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59" w:name="_GoBack"/>
      <w:bookmarkEnd w:id="59"/>
      <w:r>
        <w:rPr>
          <w:rFonts w:hint="eastAsia" w:ascii="方正小标宋简体" w:hAnsi="宋体" w:eastAsia="方正小标宋简体"/>
          <w:color w:val="000000"/>
          <w:sz w:val="72"/>
          <w:szCs w:val="72"/>
        </w:rPr>
        <w:t xml:space="preserve">  </w:t>
      </w: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597"/>
      <w:bookmarkStart w:id="3" w:name="_Toc15396475"/>
      <w:bookmarkStart w:id="4" w:name="_Toc15377425"/>
      <w:bookmarkStart w:id="5" w:name="_Toc15377193"/>
      <w:r>
        <w:rPr>
          <w:rFonts w:ascii="方正小标宋简体" w:hAnsi="方正小标宋简体" w:eastAsia="方正小标宋简体" w:cs="方正小标宋简体"/>
          <w:color w:val="000000"/>
          <w:sz w:val="44"/>
          <w:szCs w:val="44"/>
        </w:rPr>
        <w:t>2020</w:t>
      </w:r>
      <w:r>
        <w:rPr>
          <w:rFonts w:hint="eastAsia" w:ascii="方正小标宋简体" w:hAns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96476"/>
      <w:bookmarkStart w:id="7" w:name="_Toc15378442"/>
      <w:bookmarkStart w:id="8" w:name="_Toc15377426"/>
      <w:bookmarkStart w:id="9" w:name="_Toc15377194"/>
      <w:bookmarkStart w:id="10" w:name="_Toc15396598"/>
      <w:r>
        <w:rPr>
          <w:rFonts w:hint="eastAsia" w:ascii="方正小标宋简体" w:hAnsi="宋体" w:eastAsia="方正小标宋简体"/>
          <w:color w:val="000000"/>
          <w:sz w:val="44"/>
          <w:szCs w:val="44"/>
        </w:rPr>
        <w:t>四川省</w:t>
      </w:r>
      <w:bookmarkEnd w:id="0"/>
      <w:bookmarkStart w:id="11" w:name="_Toc15306268"/>
      <w:r>
        <w:rPr>
          <w:rFonts w:hint="eastAsia" w:ascii="方正小标宋简体" w:hAnsi="宋体" w:eastAsia="方正小标宋简体"/>
          <w:color w:val="000000"/>
          <w:sz w:val="44"/>
          <w:szCs w:val="44"/>
        </w:rPr>
        <w:t>茂县粮食和物资储备中心部门决算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outlineLvl w:val="0"/>
        <w:rPr>
          <w:rFonts w:ascii="黑体" w:hAnsi="黑体" w:eastAsia="黑体" w:cs="黑体"/>
          <w:color w:val="000000"/>
          <w:sz w:val="32"/>
          <w:szCs w:val="32"/>
        </w:rPr>
      </w:pPr>
      <w:r>
        <w:rPr>
          <w:rFonts w:hint="eastAsia" w:ascii="黑体" w:hAnsi="黑体" w:eastAsia="黑体" w:cs="黑体"/>
          <w:color w:val="000000"/>
          <w:sz w:val="32"/>
          <w:szCs w:val="32"/>
        </w:rPr>
        <w:t>保密审查情况：已经保密审查，请在政府门户网站公开</w:t>
      </w:r>
    </w:p>
    <w:p>
      <w:pPr>
        <w:adjustRightInd w:val="0"/>
        <w:snapToGrid w:val="0"/>
        <w:spacing w:line="360" w:lineRule="auto"/>
        <w:jc w:val="center"/>
        <w:outlineLvl w:val="0"/>
        <w:rPr>
          <w:rFonts w:ascii="黑体" w:hAnsi="黑体" w:eastAsia="黑体"/>
          <w:color w:val="000000"/>
          <w:sz w:val="48"/>
          <w:szCs w:val="48"/>
        </w:rPr>
      </w:pPr>
      <w:r>
        <w:rPr>
          <w:rFonts w:hint="eastAsia" w:ascii="黑体" w:hAnsi="黑体" w:eastAsia="黑体" w:cs="黑体"/>
          <w:color w:val="000000"/>
          <w:sz w:val="32"/>
          <w:szCs w:val="32"/>
        </w:rPr>
        <w:t>部门主要负责人审签情况：</w:t>
      </w:r>
      <w:r>
        <w:rPr>
          <w:rFonts w:ascii="黑体" w:hAnsi="黑体" w:eastAsia="黑体" w:cs="黑体"/>
          <w:color w:val="000000"/>
          <w:sz w:val="32"/>
          <w:szCs w:val="32"/>
        </w:rPr>
        <w:br w:type="page"/>
      </w:r>
      <w:r>
        <w:rPr>
          <w:rFonts w:hint="eastAsia" w:ascii="方正小标宋简体" w:hAnsi="方正小标宋简体" w:eastAsia="方正小标宋简体" w:cs="方正小标宋简体"/>
          <w:color w:val="000000"/>
          <w:sz w:val="44"/>
          <w:szCs w:val="44"/>
        </w:rPr>
        <w:t>目录</w:t>
      </w:r>
    </w:p>
    <w:p>
      <w:pPr>
        <w:widowControl/>
        <w:jc w:val="center"/>
        <w:rPr>
          <w:rFonts w:ascii="仿宋_GB2312" w:hAnsi="仿宋_GB2312" w:eastAsia="仿宋_GB2312" w:cs="仿宋_GB2312"/>
          <w:sz w:val="32"/>
          <w:szCs w:val="32"/>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8"/>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7"/>
          <w:rFonts w:hint="eastAsia" w:ascii="宋体" w:hAnsi="宋体" w:eastAsia="宋体" w:cs="宋体"/>
          <w:sz w:val="32"/>
          <w:szCs w:val="32"/>
        </w:rPr>
        <w:t>第一部分部门概况</w:t>
      </w:r>
      <w:r>
        <w:rPr>
          <w:rFonts w:ascii="仿宋_GB2312" w:hAnsi="仿宋_GB2312" w:eastAsia="仿宋_GB2312" w:cs="仿宋_GB2312"/>
          <w:sz w:val="32"/>
          <w:szCs w:val="32"/>
        </w:rPr>
        <w:tab/>
      </w:r>
      <w:r>
        <w:rPr>
          <w:rFonts w:ascii="仿宋_GB2312" w:hAnsi="仿宋_GB2312" w:eastAsia="仿宋_GB2312" w:cs="仿宋_GB2312"/>
          <w:sz w:val="32"/>
          <w:szCs w:val="32"/>
        </w:rPr>
        <w:t>1</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7"/>
          <w:rFonts w:hint="eastAsia" w:ascii="宋体" w:hAnsi="宋体" w:cs="宋体"/>
          <w:sz w:val="32"/>
          <w:szCs w:val="32"/>
        </w:rPr>
        <w:t>一</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基本职能及主要工作</w:t>
      </w:r>
      <w:r>
        <w:rPr>
          <w:rFonts w:ascii="仿宋_GB2312" w:hAnsi="仿宋_GB2312" w:eastAsia="仿宋_GB2312" w:cs="仿宋_GB2312"/>
          <w:sz w:val="32"/>
          <w:szCs w:val="32"/>
        </w:rPr>
        <w:tab/>
      </w:r>
      <w:r>
        <w:rPr>
          <w:rFonts w:ascii="仿宋_GB2312" w:hAnsi="仿宋_GB2312" w:eastAsia="仿宋_GB2312" w:cs="仿宋_GB2312"/>
          <w:sz w:val="32"/>
          <w:szCs w:val="32"/>
        </w:rPr>
        <w:t xml:space="preserve"> 1</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7"/>
          <w:rFonts w:hint="eastAsia" w:ascii="宋体" w:hAnsi="宋体" w:cs="宋体"/>
          <w:sz w:val="32"/>
          <w:szCs w:val="32"/>
        </w:rPr>
        <w:t>二</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机构设置</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p>
    <w:p>
      <w:pPr>
        <w:pStyle w:val="8"/>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7"/>
          <w:rFonts w:hint="eastAsia" w:ascii="宋体" w:hAnsi="宋体" w:eastAsia="宋体" w:cs="宋体"/>
          <w:sz w:val="32"/>
          <w:szCs w:val="32"/>
        </w:rPr>
        <w:t>第二部分</w:t>
      </w:r>
      <w:r>
        <w:rPr>
          <w:rStyle w:val="17"/>
          <w:rFonts w:ascii="仿宋_GB2312" w:hAnsi="仿宋_GB2312" w:eastAsia="仿宋_GB2312" w:cs="仿宋_GB2312"/>
          <w:sz w:val="32"/>
          <w:szCs w:val="32"/>
        </w:rPr>
        <w:t xml:space="preserve"> 2020</w:t>
      </w:r>
      <w:r>
        <w:rPr>
          <w:rStyle w:val="17"/>
          <w:rFonts w:hint="eastAsia" w:ascii="宋体" w:hAnsi="宋体" w:eastAsia="宋体" w:cs="宋体"/>
          <w:sz w:val="32"/>
          <w:szCs w:val="32"/>
        </w:rPr>
        <w:t>年度部门决算情况说明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4</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7"/>
          <w:rFonts w:hint="eastAsia" w:ascii="宋体" w:hAnsi="宋体" w:cs="宋体"/>
          <w:bCs/>
          <w:sz w:val="32"/>
          <w:szCs w:val="32"/>
        </w:rPr>
        <w:t>一</w:t>
      </w:r>
      <w:r>
        <w:rPr>
          <w:rStyle w:val="17"/>
          <w:rFonts w:hint="eastAsia" w:ascii="Malgun Gothic Semilight" w:hAnsi="Malgun Gothic Semilight" w:eastAsia="Malgun Gothic Semilight" w:cs="Malgun Gothic Semilight"/>
          <w:bCs/>
          <w:sz w:val="32"/>
          <w:szCs w:val="32"/>
        </w:rPr>
        <w:t>、</w:t>
      </w:r>
      <w:r>
        <w:rPr>
          <w:rStyle w:val="17"/>
          <w:rFonts w:hint="eastAsia" w:ascii="宋体" w:hAnsi="宋体" w:cs="宋体"/>
          <w:sz w:val="32"/>
          <w:szCs w:val="32"/>
        </w:rPr>
        <w:t>收</w:t>
      </w:r>
      <w:r>
        <w:rPr>
          <w:rStyle w:val="17"/>
          <w:rFonts w:hint="eastAsia" w:ascii="宋体" w:hAnsi="宋体" w:cs="宋体"/>
          <w:bCs/>
          <w:sz w:val="32"/>
          <w:szCs w:val="32"/>
        </w:rPr>
        <w:t>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t>4</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7"/>
          <w:rFonts w:hint="eastAsia" w:ascii="宋体" w:hAnsi="宋体" w:cs="宋体"/>
          <w:bCs/>
          <w:sz w:val="32"/>
          <w:szCs w:val="32"/>
        </w:rPr>
        <w:t>二</w:t>
      </w:r>
      <w:r>
        <w:rPr>
          <w:rStyle w:val="17"/>
          <w:rFonts w:hint="eastAsia" w:ascii="Malgun Gothic Semilight" w:hAnsi="Malgun Gothic Semilight" w:eastAsia="Malgun Gothic Semilight" w:cs="Malgun Gothic Semilight"/>
          <w:bCs/>
          <w:sz w:val="32"/>
          <w:szCs w:val="32"/>
        </w:rPr>
        <w:t>、</w:t>
      </w:r>
      <w:r>
        <w:rPr>
          <w:rStyle w:val="17"/>
          <w:rFonts w:hint="eastAsia" w:ascii="宋体" w:hAnsi="宋体" w:cs="宋体"/>
          <w:sz w:val="32"/>
          <w:szCs w:val="32"/>
        </w:rPr>
        <w:t>收</w:t>
      </w:r>
      <w:r>
        <w:rPr>
          <w:rStyle w:val="17"/>
          <w:rFonts w:hint="eastAsia" w:ascii="宋体" w:hAnsi="宋体" w:cs="宋体"/>
          <w:bCs/>
          <w:sz w:val="32"/>
          <w:szCs w:val="32"/>
        </w:rPr>
        <w:t>入决算情况说明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4</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7"/>
          <w:rFonts w:hint="eastAsia" w:ascii="宋体" w:hAnsi="宋体" w:cs="宋体"/>
          <w:bCs/>
          <w:sz w:val="32"/>
          <w:szCs w:val="32"/>
        </w:rPr>
        <w:t>三</w:t>
      </w:r>
      <w:r>
        <w:rPr>
          <w:rStyle w:val="17"/>
          <w:rFonts w:hint="eastAsia" w:ascii="Malgun Gothic Semilight" w:hAnsi="Malgun Gothic Semilight" w:eastAsia="Malgun Gothic Semilight" w:cs="Malgun Gothic Semilight"/>
          <w:bCs/>
          <w:sz w:val="32"/>
          <w:szCs w:val="32"/>
        </w:rPr>
        <w:t>、</w:t>
      </w:r>
      <w:r>
        <w:rPr>
          <w:rStyle w:val="17"/>
          <w:rFonts w:hint="eastAsia" w:ascii="宋体" w:hAnsi="宋体" w:cs="宋体"/>
          <w:sz w:val="32"/>
          <w:szCs w:val="32"/>
        </w:rPr>
        <w:t>支</w:t>
      </w:r>
      <w:r>
        <w:rPr>
          <w:rStyle w:val="17"/>
          <w:rFonts w:hint="eastAsia" w:ascii="宋体" w:hAnsi="宋体" w:cs="宋体"/>
          <w:bCs/>
          <w:sz w:val="32"/>
          <w:szCs w:val="32"/>
        </w:rPr>
        <w:t>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_Toc15396605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8</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7"/>
          <w:rFonts w:hint="eastAsia" w:ascii="宋体" w:hAnsi="宋体" w:cs="宋体"/>
          <w:sz w:val="32"/>
          <w:szCs w:val="32"/>
        </w:rPr>
        <w:t>四</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财</w:t>
      </w:r>
      <w:r>
        <w:rPr>
          <w:rStyle w:val="17"/>
          <w:rFonts w:hint="eastAsia" w:ascii="宋体" w:hAnsi="宋体" w:cs="宋体"/>
          <w:bCs/>
          <w:sz w:val="32"/>
          <w:szCs w:val="32"/>
        </w:rPr>
        <w:t>政拨款收入支出决算总体情况说明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_Toc15396606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8</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7"/>
          <w:rFonts w:hint="eastAsia" w:ascii="宋体" w:hAnsi="宋体" w:cs="宋体"/>
          <w:sz w:val="32"/>
          <w:szCs w:val="32"/>
        </w:rPr>
        <w:t>五</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一</w:t>
      </w:r>
      <w:r>
        <w:rPr>
          <w:rStyle w:val="17"/>
          <w:rFonts w:hint="eastAsia" w:ascii="宋体" w:hAnsi="宋体" w:cs="宋体"/>
          <w:bCs/>
          <w:sz w:val="32"/>
          <w:szCs w:val="32"/>
        </w:rPr>
        <w:t>般公共预算财政拨款支出决算情况说明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6</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7"/>
          <w:rFonts w:hint="eastAsia" w:ascii="宋体" w:hAnsi="宋体" w:cs="宋体"/>
          <w:sz w:val="32"/>
          <w:szCs w:val="32"/>
        </w:rPr>
        <w:t>六</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一</w:t>
      </w:r>
      <w:r>
        <w:rPr>
          <w:rStyle w:val="17"/>
          <w:rFonts w:hint="eastAsia" w:ascii="宋体" w:hAnsi="宋体" w:cs="宋体"/>
          <w:bCs/>
          <w:sz w:val="32"/>
          <w:szCs w:val="32"/>
        </w:rPr>
        <w:t>般公共预算财政拨款基本支出决算情况说明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7</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7"/>
          <w:rFonts w:hint="eastAsia" w:ascii="宋体" w:hAnsi="宋体" w:cs="宋体"/>
          <w:sz w:val="32"/>
          <w:szCs w:val="32"/>
        </w:rPr>
        <w:t>七</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bCs/>
          <w:sz w:val="32"/>
          <w:szCs w:val="32"/>
        </w:rPr>
        <w:t>三公</w:t>
      </w:r>
      <w:r>
        <w:rPr>
          <w:rStyle w:val="17"/>
          <w:rFonts w:hint="eastAsia" w:ascii="Malgun Gothic Semilight" w:hAnsi="Malgun Gothic Semilight" w:eastAsia="Malgun Gothic Semilight" w:cs="Malgun Gothic Semilight"/>
          <w:bCs/>
          <w:sz w:val="32"/>
          <w:szCs w:val="32"/>
        </w:rPr>
        <w:t>”</w:t>
      </w:r>
      <w:r>
        <w:rPr>
          <w:rStyle w:val="17"/>
          <w:rFonts w:hint="eastAsia" w:ascii="宋体" w:hAnsi="宋体" w:cs="宋体"/>
          <w:bCs/>
          <w:sz w:val="32"/>
          <w:szCs w:val="32"/>
        </w:rPr>
        <w:t>经费财政拨款支出决算情况说明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_Toc15396609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7"/>
          <w:rFonts w:hint="eastAsia" w:ascii="宋体" w:hAnsi="宋体" w:cs="宋体"/>
          <w:sz w:val="32"/>
          <w:szCs w:val="32"/>
        </w:rPr>
        <w:t>八</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bCs/>
          <w:sz w:val="32"/>
          <w:szCs w:val="32"/>
        </w:rPr>
        <w:t>政府性基金预算支出决算情况说明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_Toc15396610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7"/>
          <w:rFonts w:hint="eastAsia" w:ascii="宋体" w:hAnsi="宋体" w:cs="宋体"/>
          <w:bCs/>
          <w:sz w:val="32"/>
          <w:szCs w:val="32"/>
        </w:rPr>
        <w:t>九</w:t>
      </w:r>
      <w:r>
        <w:rPr>
          <w:rStyle w:val="17"/>
          <w:rFonts w:hint="eastAsia" w:ascii="Malgun Gothic Semilight" w:hAnsi="Malgun Gothic Semilight" w:eastAsia="Malgun Gothic Semilight" w:cs="Malgun Gothic Semilight"/>
          <w:bCs/>
          <w:sz w:val="32"/>
          <w:szCs w:val="32"/>
        </w:rPr>
        <w:t>、</w:t>
      </w:r>
      <w:r>
        <w:rPr>
          <w:rStyle w:val="17"/>
          <w:rFonts w:hint="eastAsia" w:ascii="宋体" w:hAnsi="宋体" w:cs="宋体"/>
          <w:sz w:val="32"/>
          <w:szCs w:val="32"/>
        </w:rPr>
        <w:t>国</w:t>
      </w:r>
      <w:r>
        <w:rPr>
          <w:rStyle w:val="17"/>
          <w:rFonts w:hint="eastAsia" w:ascii="宋体" w:hAnsi="宋体" w:cs="宋体"/>
          <w:bCs/>
          <w:sz w:val="32"/>
          <w:szCs w:val="32"/>
        </w:rPr>
        <w:t>有资本经营预算支出决算情况说明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pPr>
      <w:r>
        <w:fldChar w:fldCharType="begin"/>
      </w:r>
      <w:r>
        <w:instrText xml:space="preserve"> HYPERLINK \l "_Toc15396611" </w:instrText>
      </w:r>
      <w:r>
        <w:fldChar w:fldCharType="separate"/>
      </w:r>
      <w:r>
        <w:rPr>
          <w:rStyle w:val="17"/>
          <w:rFonts w:hint="eastAsia" w:ascii="宋体" w:hAnsi="宋体" w:cs="宋体"/>
          <w:bCs/>
          <w:sz w:val="32"/>
          <w:szCs w:val="32"/>
        </w:rPr>
        <w:t>十</w:t>
      </w:r>
      <w:r>
        <w:rPr>
          <w:rStyle w:val="17"/>
          <w:rFonts w:hint="eastAsia" w:ascii="Malgun Gothic Semilight" w:hAnsi="Malgun Gothic Semilight" w:eastAsia="Malgun Gothic Semilight" w:cs="Malgun Gothic Semilight"/>
          <w:bCs/>
          <w:sz w:val="32"/>
          <w:szCs w:val="32"/>
        </w:rPr>
        <w:t>、</w:t>
      </w:r>
      <w:r>
        <w:rPr>
          <w:rStyle w:val="17"/>
          <w:rFonts w:hint="eastAsia" w:ascii="宋体" w:hAnsi="宋体" w:cs="宋体"/>
          <w:sz w:val="32"/>
          <w:szCs w:val="32"/>
        </w:rPr>
        <w:t>预算绩效</w:t>
      </w:r>
      <w:r>
        <w:rPr>
          <w:rStyle w:val="17"/>
          <w:rFonts w:hint="eastAsia" w:ascii="宋体" w:hAnsi="宋体" w:cs="宋体"/>
          <w:bCs/>
          <w:sz w:val="32"/>
          <w:szCs w:val="32"/>
        </w:rPr>
        <w:t>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7"/>
          <w:rFonts w:hint="eastAsia" w:ascii="宋体" w:hAnsi="宋体" w:cs="宋体"/>
          <w:sz w:val="32"/>
          <w:szCs w:val="32"/>
        </w:rPr>
        <w:t>十</w:t>
      </w:r>
      <w:r>
        <w:rPr>
          <w:rStyle w:val="17"/>
          <w:rFonts w:hint="eastAsia" w:ascii="宋体" w:hAnsi="宋体" w:cs="宋体"/>
          <w:bCs/>
          <w:sz w:val="32"/>
          <w:szCs w:val="32"/>
        </w:rPr>
        <w:t>一</w:t>
      </w:r>
      <w:r>
        <w:rPr>
          <w:rStyle w:val="17"/>
          <w:rFonts w:hint="eastAsia" w:ascii="Malgun Gothic Semilight" w:hAnsi="Malgun Gothic Semilight" w:eastAsia="Malgun Gothic Semilight" w:cs="Malgun Gothic Semilight"/>
          <w:bCs/>
          <w:sz w:val="32"/>
          <w:szCs w:val="32"/>
        </w:rPr>
        <w:t>、</w:t>
      </w:r>
      <w:r>
        <w:rPr>
          <w:rStyle w:val="17"/>
          <w:rFonts w:hint="eastAsia" w:ascii="宋体" w:hAnsi="宋体" w:cs="宋体"/>
          <w:bCs/>
          <w:sz w:val="32"/>
          <w:szCs w:val="32"/>
        </w:rPr>
        <w:t>其他重要事项的情况说明</w:t>
      </w:r>
      <w:r>
        <w:rPr>
          <w:rFonts w:ascii="仿宋_GB2312" w:hAnsi="仿宋_GB2312" w:eastAsia="仿宋_GB2312" w:cs="仿宋_GB2312"/>
          <w:sz w:val="32"/>
          <w:szCs w:val="32"/>
        </w:rPr>
        <w:tab/>
      </w:r>
      <w:r>
        <w:rPr>
          <w:rFonts w:ascii="仿宋_GB2312" w:hAnsi="仿宋_GB2312" w:eastAsia="仿宋_GB2312" w:cs="仿宋_GB2312"/>
          <w:sz w:val="32"/>
          <w:szCs w:val="32"/>
        </w:rPr>
        <w:t>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3</w:t>
      </w:r>
    </w:p>
    <w:p>
      <w:pPr>
        <w:pStyle w:val="8"/>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7"/>
          <w:rFonts w:hint="eastAsia" w:ascii="宋体" w:hAnsi="宋体" w:eastAsia="宋体" w:cs="宋体"/>
          <w:bCs/>
          <w:kern w:val="44"/>
          <w:sz w:val="32"/>
          <w:szCs w:val="32"/>
        </w:rPr>
        <w:t>第三部分</w:t>
      </w:r>
      <w:r>
        <w:rPr>
          <w:rStyle w:val="17"/>
          <w:rFonts w:hint="eastAsia" w:ascii="宋体" w:hAnsi="宋体" w:eastAsia="宋体" w:cs="宋体"/>
          <w:sz w:val="32"/>
          <w:szCs w:val="32"/>
        </w:rPr>
        <w:t>名</w:t>
      </w:r>
      <w:r>
        <w:rPr>
          <w:rStyle w:val="17"/>
          <w:rFonts w:hint="eastAsia" w:ascii="宋体" w:hAnsi="宋体" w:eastAsia="宋体" w:cs="宋体"/>
          <w:bCs/>
          <w:kern w:val="44"/>
          <w:sz w:val="32"/>
          <w:szCs w:val="32"/>
        </w:rPr>
        <w:t>词解释</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17</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rPr>
          <w:rFonts w:ascii="仿宋_GB2312" w:hAnsi="仿宋_GB2312" w:eastAsia="仿宋_GB2312" w:cs="仿宋_GB2312"/>
          <w:sz w:val="32"/>
          <w:szCs w:val="32"/>
        </w:rPr>
      </w:pPr>
      <w:r>
        <w:fldChar w:fldCharType="begin"/>
      </w:r>
      <w:r>
        <w:instrText xml:space="preserve"> HYPERLINK \l "_Toc15396614" </w:instrText>
      </w:r>
      <w:r>
        <w:fldChar w:fldCharType="separate"/>
      </w:r>
      <w:r>
        <w:rPr>
          <w:rStyle w:val="17"/>
          <w:rFonts w:hint="eastAsia" w:ascii="宋体" w:hAnsi="宋体" w:eastAsia="宋体" w:cs="宋体"/>
          <w:sz w:val="32"/>
          <w:szCs w:val="32"/>
        </w:rPr>
        <w:t>第</w:t>
      </w:r>
      <w:r>
        <w:rPr>
          <w:rStyle w:val="17"/>
          <w:rFonts w:hint="eastAsia" w:ascii="宋体" w:hAnsi="宋体" w:eastAsia="宋体" w:cs="宋体"/>
          <w:bCs/>
          <w:kern w:val="44"/>
          <w:sz w:val="32"/>
          <w:szCs w:val="32"/>
        </w:rPr>
        <w:t>四部分附件</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ascii="仿宋_GB2312" w:hAnsi="仿宋_GB2312" w:eastAsia="仿宋_GB2312" w:cs="仿宋_GB2312"/>
          <w:sz w:val="32"/>
          <w:szCs w:val="32"/>
        </w:rPr>
        <w:t>.  21</w:t>
      </w:r>
      <w:r>
        <w:rPr>
          <w:rFonts w:ascii="仿宋_GB2312" w:hAnsi="仿宋_GB2312" w:eastAsia="仿宋_GB2312" w:cs="仿宋_GB2312"/>
          <w:sz w:val="32"/>
          <w:szCs w:val="32"/>
        </w:rPr>
        <w:fldChar w:fldCharType="end"/>
      </w:r>
    </w:p>
    <w:p>
      <w:pPr>
        <w:rPr>
          <w:rFonts w:eastAsia="仿宋_GB2312"/>
        </w:rPr>
      </w:pPr>
      <w:r>
        <w:rPr>
          <w:rFonts w:hint="eastAsia" w:ascii="仿宋_GB2312" w:hAnsi="仿宋_GB2312" w:eastAsia="仿宋_GB2312" w:cs="仿宋_GB2312"/>
          <w:sz w:val="32"/>
          <w:szCs w:val="32"/>
        </w:rPr>
        <w:t>茂县粮食和物资储备中心</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w:t>
      </w:r>
      <w:r>
        <w:rPr>
          <w:rFonts w:ascii="仿宋_GB2312" w:hAnsi="仿宋_GB2312" w:eastAsia="仿宋_GB2312" w:cs="仿宋_GB2312"/>
          <w:sz w:val="32"/>
          <w:szCs w:val="32"/>
        </w:rPr>
        <w:t xml:space="preserve">.......................................................... .........................................22 </w:t>
      </w:r>
    </w:p>
    <w:p>
      <w:pPr>
        <w:pStyle w:val="8"/>
        <w:rPr>
          <w:rFonts w:ascii="仿宋_GB2312" w:hAnsi="仿宋_GB2312" w:eastAsia="仿宋_GB2312" w:cs="仿宋_GB2312"/>
          <w:sz w:val="32"/>
          <w:szCs w:val="32"/>
        </w:rPr>
      </w:pPr>
      <w:r>
        <w:fldChar w:fldCharType="begin"/>
      </w:r>
      <w:r>
        <w:instrText xml:space="preserve"> HYPERLINK \l "_Toc15396618" </w:instrText>
      </w:r>
      <w:r>
        <w:fldChar w:fldCharType="separate"/>
      </w:r>
      <w:r>
        <w:rPr>
          <w:rStyle w:val="17"/>
          <w:rFonts w:hint="eastAsia" w:ascii="宋体" w:hAnsi="宋体" w:eastAsia="宋体" w:cs="宋体"/>
          <w:sz w:val="32"/>
          <w:szCs w:val="32"/>
        </w:rPr>
        <w:t>第</w:t>
      </w:r>
      <w:r>
        <w:rPr>
          <w:rStyle w:val="17"/>
          <w:rFonts w:hint="eastAsia" w:ascii="宋体" w:hAnsi="宋体" w:eastAsia="宋体" w:cs="宋体"/>
          <w:bCs/>
          <w:kern w:val="44"/>
          <w:sz w:val="32"/>
          <w:szCs w:val="32"/>
        </w:rPr>
        <w:t>五部分附表</w:t>
      </w:r>
      <w:r>
        <w:rPr>
          <w:rFonts w:ascii="仿宋_GB2312" w:hAnsi="仿宋_GB2312" w:eastAsia="仿宋_GB2312" w:cs="仿宋_GB2312"/>
          <w:sz w:val="32"/>
          <w:szCs w:val="32"/>
        </w:rPr>
        <w:tab/>
      </w:r>
      <w:r>
        <w:rPr>
          <w:rFonts w:ascii="仿宋_GB2312" w:hAnsi="仿宋_GB2312" w:eastAsia="仿宋_GB2312" w:cs="仿宋_GB2312"/>
          <w:sz w:val="32"/>
          <w:szCs w:val="32"/>
        </w:rPr>
        <w:t>22</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7"/>
          <w:rFonts w:hint="eastAsia" w:ascii="宋体" w:hAnsi="宋体" w:cs="宋体"/>
          <w:sz w:val="32"/>
          <w:szCs w:val="32"/>
        </w:rPr>
        <w:t>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7"/>
          <w:rFonts w:hint="eastAsia" w:ascii="宋体" w:hAnsi="宋体" w:cs="宋体"/>
          <w:sz w:val="32"/>
          <w:szCs w:val="32"/>
        </w:rPr>
        <w:t>收入总表</w:t>
      </w:r>
      <w:r>
        <w:rPr>
          <w:rFonts w:ascii="仿宋_GB2312" w:hAnsi="仿宋_GB2312" w:eastAsia="仿宋_GB2312" w:cs="仿宋_GB2312"/>
          <w:sz w:val="32"/>
          <w:szCs w:val="32"/>
        </w:rPr>
        <w:tab/>
      </w:r>
      <w:r>
        <w:rPr>
          <w:rFonts w:ascii="仿宋_GB2312" w:hAnsi="仿宋_GB2312" w:eastAsia="仿宋_GB2312" w:cs="仿宋_GB2312"/>
          <w:sz w:val="32"/>
          <w:szCs w:val="32"/>
        </w:rPr>
        <w:t>24</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7"/>
          <w:rFonts w:hint="eastAsia" w:ascii="宋体" w:hAnsi="宋体" w:cs="宋体"/>
          <w:sz w:val="32"/>
          <w:szCs w:val="32"/>
        </w:rPr>
        <w:t>支出总表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5</w:t>
      </w:r>
    </w:p>
    <w:p>
      <w:pPr>
        <w:pStyle w:val="9"/>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7"/>
          <w:rFonts w:hint="eastAsia" w:ascii="宋体" w:hAnsi="宋体" w:cs="宋体"/>
          <w:sz w:val="32"/>
          <w:szCs w:val="32"/>
        </w:rPr>
        <w:t>财政拨款收入支出决算总表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6</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宋体" w:hAnsi="宋体" w:cs="宋体"/>
          <w:sz w:val="32"/>
          <w:szCs w:val="32"/>
        </w:rPr>
        <w:t>财政拨款支出决算明细表</w:t>
      </w:r>
      <w:r>
        <w:rPr>
          <w:rFonts w:hint="eastAsia" w:ascii="Malgun Gothic Semilight" w:hAnsi="Malgun Gothic Semilight" w:eastAsia="Malgun Gothic Semilight" w:cs="Malgun Gothic Semilight"/>
          <w:sz w:val="32"/>
          <w:szCs w:val="32"/>
        </w:rPr>
        <w:t>（</w:t>
      </w:r>
      <w:r>
        <w:rPr>
          <w:rFonts w:hint="eastAsia" w:ascii="宋体" w:hAnsi="宋体" w:cs="宋体"/>
          <w:sz w:val="32"/>
          <w:szCs w:val="32"/>
        </w:rPr>
        <w:t>政府经济分类科目</w:t>
      </w:r>
      <w:r>
        <w:rPr>
          <w:rFonts w:hint="eastAsia" w:ascii="Malgun Gothic Semilight" w:hAnsi="Malgun Gothic Semilight" w:eastAsia="Malgun Gothic Semilight" w:cs="Malgun Gothic Semilight"/>
          <w:sz w:val="32"/>
          <w:szCs w:val="32"/>
        </w:rPr>
        <w:t>）</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27</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7"/>
          <w:rFonts w:hint="eastAsia" w:ascii="宋体" w:hAnsi="宋体" w:cs="宋体"/>
          <w:sz w:val="32"/>
          <w:szCs w:val="32"/>
        </w:rPr>
        <w:t>一般公共预算财政拨款支出决算表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8</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7"/>
          <w:rFonts w:hint="eastAsia" w:ascii="宋体" w:hAnsi="宋体" w:cs="宋体"/>
          <w:sz w:val="32"/>
          <w:szCs w:val="32"/>
        </w:rPr>
        <w:t>一般公共预算财政拨款支出决算明细表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9</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7"/>
          <w:rFonts w:hint="eastAsia" w:ascii="宋体" w:hAnsi="宋体" w:cs="宋体"/>
          <w:sz w:val="32"/>
          <w:szCs w:val="32"/>
        </w:rPr>
        <w:t>一般公共预算财政拨款基本支出决算表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0</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7"/>
          <w:rFonts w:hint="eastAsia" w:ascii="宋体" w:hAnsi="宋体" w:cs="宋体"/>
          <w:sz w:val="32"/>
          <w:szCs w:val="32"/>
        </w:rPr>
        <w:t>一般公共预算财政拨款项目支出决算表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1</w:t>
      </w:r>
    </w:p>
    <w:p>
      <w:pPr>
        <w:pStyle w:val="9"/>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7"/>
          <w:rFonts w:hint="eastAsia" w:ascii="宋体" w:hAnsi="宋体" w:cs="宋体"/>
          <w:sz w:val="32"/>
          <w:szCs w:val="32"/>
        </w:rPr>
        <w:t>一般公共预算财政拨款</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三公</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2</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7"/>
          <w:rFonts w:hint="eastAsia" w:ascii="宋体" w:hAnsi="宋体" w:cs="宋体"/>
          <w:sz w:val="32"/>
          <w:szCs w:val="32"/>
        </w:rPr>
        <w:t>政府性基金预算财政拨款收入支出决算表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3</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7"/>
          <w:rFonts w:hint="eastAsia" w:ascii="宋体" w:hAnsi="宋体" w:cs="宋体"/>
          <w:sz w:val="32"/>
          <w:szCs w:val="32"/>
        </w:rPr>
        <w:t>政府性基金预算财政拨款</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三公</w:t>
      </w:r>
      <w:r>
        <w:rPr>
          <w:rStyle w:val="17"/>
          <w:rFonts w:hint="eastAsia" w:ascii="Malgun Gothic Semilight" w:hAnsi="Malgun Gothic Semilight" w:eastAsia="Malgun Gothic Semilight" w:cs="Malgun Gothic Semilight"/>
          <w:sz w:val="32"/>
          <w:szCs w:val="32"/>
        </w:rPr>
        <w:t>”</w:t>
      </w:r>
      <w:r>
        <w:rPr>
          <w:rStyle w:val="17"/>
          <w:rFonts w:hint="eastAsia" w:ascii="宋体" w:hAnsi="宋体" w:cs="宋体"/>
          <w:sz w:val="32"/>
          <w:szCs w:val="32"/>
        </w:rPr>
        <w:t>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4</w:t>
      </w:r>
    </w:p>
    <w:p>
      <w:pPr>
        <w:pStyle w:val="9"/>
        <w:rPr>
          <w:rFonts w:ascii="仿宋" w:hAnsi="仿宋" w:eastAsia="仿宋_GB2312"/>
          <w:sz w:val="24"/>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7"/>
          <w:rFonts w:hint="eastAsia" w:ascii="宋体" w:hAnsi="宋体" w:cs="宋体"/>
          <w:sz w:val="32"/>
          <w:szCs w:val="32"/>
        </w:rPr>
        <w:t>国有资本经营预算支出决算表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5</w:t>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96599"/>
      <w:bookmarkStart w:id="13" w:name="_Toc15377196"/>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rPr>
          <w:rFonts w:ascii="黑体" w:hAnsi="黑体" w:eastAsia="黑体"/>
        </w:rPr>
      </w:pPr>
    </w:p>
    <w:p>
      <w:pPr>
        <w:adjustRightInd w:val="0"/>
        <w:snapToGrid w:val="0"/>
        <w:spacing w:line="360" w:lineRule="auto"/>
        <w:jc w:val="center"/>
        <w:outlineLvl w:val="0"/>
        <w:rPr>
          <w:rFonts w:ascii="黑体" w:eastAsia="黑体"/>
          <w:color w:val="000000"/>
          <w:sz w:val="32"/>
          <w:szCs w:val="32"/>
        </w:rPr>
      </w:pPr>
      <w:r>
        <w:rPr>
          <w:rFonts w:hint="eastAsia" w:ascii="方正小标宋简体" w:hAnsi="方正小标宋简体" w:eastAsia="方正小标宋简体" w:cs="方正小标宋简体"/>
          <w:sz w:val="44"/>
          <w:szCs w:val="44"/>
        </w:rPr>
        <w:t>第一部分</w:t>
      </w:r>
      <w:r>
        <w:rPr>
          <w:rStyle w:val="22"/>
          <w:rFonts w:hint="eastAsia" w:ascii="方正小标宋简体" w:hAnsi="方正小标宋简体" w:eastAsia="方正小标宋简体" w:cs="方正小标宋简体"/>
          <w:b w:val="0"/>
          <w:bCs w:val="0"/>
        </w:rPr>
        <w:t>部门概况</w:t>
      </w:r>
      <w:bookmarkEnd w:id="12"/>
      <w:bookmarkEnd w:id="13"/>
    </w:p>
    <w:p>
      <w:pPr>
        <w:pStyle w:val="3"/>
        <w:ind w:firstLine="640" w:firstLineChars="200"/>
        <w:rPr>
          <w:rFonts w:ascii="仿宋" w:hAnsi="仿宋" w:eastAsia="仿宋"/>
          <w:b w:val="0"/>
          <w:color w:val="000000"/>
        </w:rPr>
      </w:pPr>
      <w:bookmarkStart w:id="14" w:name="_Toc15377197"/>
      <w:bookmarkStart w:id="15" w:name="_Toc15396600"/>
      <w:bookmarkStart w:id="16" w:name="_Toc15396604"/>
      <w:bookmarkStart w:id="17" w:name="_Toc15377206"/>
      <w:bookmarkStart w:id="18" w:name="_Toc15377209"/>
      <w:bookmarkStart w:id="19" w:name="_Toc15396607"/>
      <w:bookmarkStart w:id="20" w:name="_Toc15377212"/>
      <w:r>
        <w:rPr>
          <w:rFonts w:hint="eastAsia" w:ascii="黑体" w:hAnsi="黑体" w:eastAsia="黑体" w:cs="黑体"/>
          <w:b w:val="0"/>
          <w:color w:val="000000"/>
        </w:rPr>
        <w:t>一、基</w:t>
      </w:r>
      <w:r>
        <w:rPr>
          <w:rStyle w:val="23"/>
          <w:rFonts w:hint="eastAsia" w:ascii="黑体" w:hAnsi="黑体" w:eastAsia="黑体" w:cs="黑体"/>
          <w:b/>
          <w:bCs w:val="0"/>
        </w:rPr>
        <w:t>本职能及主要工作</w:t>
      </w:r>
      <w:bookmarkEnd w:id="14"/>
      <w:bookmarkEnd w:id="15"/>
      <w:bookmarkStart w:id="21" w:name="_Toc15377198"/>
      <w:bookmarkStart w:id="22" w:name="_Toc15378445"/>
    </w:p>
    <w:bookmarkEnd w:id="21"/>
    <w:bookmarkEnd w:id="22"/>
    <w:p>
      <w:pPr>
        <w:spacing w:line="576" w:lineRule="atLeast"/>
        <w:ind w:firstLine="642" w:firstLineChars="200"/>
        <w:outlineLvl w:val="1"/>
        <w:rPr>
          <w:rFonts w:ascii="仿宋" w:hAnsi="仿宋" w:eastAsia="仿宋"/>
          <w:color w:val="000000"/>
          <w:sz w:val="32"/>
          <w:szCs w:val="32"/>
        </w:rPr>
      </w:pPr>
      <w:bookmarkStart w:id="23" w:name="_Toc15396601"/>
      <w:bookmarkStart w:id="24" w:name="_Toc15377200"/>
      <w:r>
        <w:rPr>
          <w:rFonts w:hint="eastAsia" w:ascii="楷体" w:hAnsi="楷体" w:eastAsia="楷体" w:cs="楷体"/>
          <w:b/>
          <w:color w:val="000000"/>
          <w:sz w:val="32"/>
          <w:szCs w:val="32"/>
        </w:rPr>
        <w:t>（一）主要职能</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管理社会粮食流通，保障军队、城镇居民、农村群众、应急救灾、缺粮贫困地区、退耕还林、大骨节病人和国家重点建设项目的粮食供应。</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指导全县粮食流通市场的行业行政管理、国有粮食企业的改革；指导并推动行业的技术改造、新技术推广应用、安全生产和抢险救灾工作；指导全县农村科学储粮工作；承担行业统计工作。</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7.</w:t>
      </w:r>
      <w:r>
        <w:rPr>
          <w:rFonts w:hint="eastAsia" w:ascii="仿宋" w:hAnsi="仿宋" w:eastAsia="仿宋" w:cs="仿宋"/>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8.</w:t>
      </w:r>
      <w:r>
        <w:rPr>
          <w:rFonts w:hint="eastAsia" w:ascii="仿宋" w:hAnsi="仿宋" w:eastAsia="仿宋" w:cs="仿宋"/>
          <w:sz w:val="32"/>
          <w:szCs w:val="32"/>
        </w:rPr>
        <w:t>协同质量技术监督部门做好粮食质量标准的管理工作；制定粮食储存、运输的技术规范，并监督执行。</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9.</w:t>
      </w:r>
      <w:r>
        <w:rPr>
          <w:rFonts w:hint="eastAsia" w:ascii="仿宋" w:hAnsi="仿宋" w:eastAsia="仿宋" w:cs="仿宋"/>
          <w:sz w:val="32"/>
          <w:szCs w:val="32"/>
        </w:rPr>
        <w:t>负责全县各级储备粮轮换工作，并对外地粮食行业进行经济技术合作交流。</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10.</w:t>
      </w:r>
      <w:r>
        <w:rPr>
          <w:rFonts w:hint="eastAsia" w:ascii="仿宋" w:hAnsi="仿宋" w:eastAsia="仿宋" w:cs="仿宋"/>
          <w:sz w:val="32"/>
          <w:szCs w:val="32"/>
        </w:rPr>
        <w:t>制订粮食系统人才发展规划，指导行业的职业教育；负责局机关的人事管理、机构编制管理工作。</w:t>
      </w:r>
    </w:p>
    <w:p>
      <w:pPr>
        <w:snapToGrid w:val="0"/>
        <w:spacing w:line="588" w:lineRule="exact"/>
        <w:ind w:firstLine="640" w:firstLineChars="200"/>
        <w:rPr>
          <w:rFonts w:ascii="仿宋" w:hAnsi="仿宋" w:eastAsia="仿宋" w:cs="仿宋"/>
          <w:sz w:val="32"/>
          <w:szCs w:val="32"/>
        </w:rPr>
      </w:pPr>
      <w:r>
        <w:rPr>
          <w:rFonts w:ascii="仿宋" w:hAnsi="仿宋" w:eastAsia="仿宋" w:cs="仿宋"/>
          <w:sz w:val="32"/>
          <w:szCs w:val="32"/>
        </w:rPr>
        <w:t>11.</w:t>
      </w:r>
      <w:r>
        <w:rPr>
          <w:rFonts w:hint="eastAsia" w:ascii="仿宋" w:hAnsi="仿宋" w:eastAsia="仿宋" w:cs="仿宋"/>
          <w:sz w:val="32"/>
          <w:szCs w:val="32"/>
        </w:rPr>
        <w:t>承办县政府交办的其他事项。</w:t>
      </w:r>
    </w:p>
    <w:p>
      <w:pPr>
        <w:snapToGrid w:val="0"/>
        <w:spacing w:line="588" w:lineRule="exact"/>
        <w:ind w:firstLine="640" w:firstLineChars="200"/>
        <w:rPr>
          <w:rFonts w:ascii="仿宋" w:hAnsi="仿宋" w:eastAsia="仿宋" w:cs="仿宋"/>
          <w:sz w:val="32"/>
          <w:szCs w:val="32"/>
        </w:rPr>
      </w:pPr>
      <w:r>
        <w:rPr>
          <w:rFonts w:hint="eastAsia" w:ascii="仿宋" w:hAnsi="仿宋" w:eastAsia="仿宋" w:cs="仿宋"/>
          <w:sz w:val="32"/>
          <w:szCs w:val="32"/>
        </w:rPr>
        <w:t>（二）重点工作</w:t>
      </w:r>
    </w:p>
    <w:p>
      <w:pPr>
        <w:snapToGrid w:val="0"/>
        <w:spacing w:line="588" w:lineRule="exact"/>
        <w:ind w:firstLine="640" w:firstLineChars="200"/>
        <w:rPr>
          <w:rFonts w:ascii="仿宋" w:hAnsi="仿宋" w:eastAsia="仿宋" w:cs="仿宋"/>
          <w:sz w:val="32"/>
          <w:szCs w:val="32"/>
        </w:rPr>
      </w:pPr>
      <w:r>
        <w:rPr>
          <w:rFonts w:hint="eastAsia" w:ascii="仿宋" w:hAnsi="仿宋" w:eastAsia="仿宋" w:cs="仿宋"/>
          <w:sz w:val="32"/>
          <w:szCs w:val="32"/>
        </w:rPr>
        <w:t>2020年指导粮食企业完成了年初下达的目标任务，为政府储备了</w:t>
      </w:r>
      <w:r>
        <w:rPr>
          <w:rFonts w:ascii="仿宋" w:hAnsi="仿宋" w:eastAsia="仿宋" w:cs="仿宋"/>
          <w:sz w:val="32"/>
          <w:szCs w:val="32"/>
        </w:rPr>
        <w:t>2450</w:t>
      </w:r>
      <w:r>
        <w:rPr>
          <w:rFonts w:hint="eastAsia" w:ascii="仿宋" w:hAnsi="仿宋" w:eastAsia="仿宋" w:cs="仿宋"/>
          <w:sz w:val="32"/>
          <w:szCs w:val="32"/>
        </w:rPr>
        <w:t>吨粮食，顺利进行了轮换，确保储备粮食保值增值。全面完成了县政府交办的其他任务。</w:t>
      </w:r>
    </w:p>
    <w:p>
      <w:pPr>
        <w:snapToGrid w:val="0"/>
        <w:spacing w:line="588" w:lineRule="exact"/>
        <w:ind w:firstLine="640" w:firstLineChars="200"/>
        <w:rPr>
          <w:rFonts w:ascii="仿宋" w:hAnsi="仿宋" w:eastAsia="仿宋" w:cs="仿宋"/>
          <w:sz w:val="32"/>
          <w:szCs w:val="32"/>
        </w:rPr>
      </w:pPr>
    </w:p>
    <w:p>
      <w:pPr>
        <w:pStyle w:val="3"/>
        <w:spacing w:line="576" w:lineRule="atLeast"/>
        <w:ind w:firstLine="626" w:firstLineChars="195"/>
        <w:rPr>
          <w:rStyle w:val="23"/>
          <w:rFonts w:ascii="黑体" w:hAnsi="黑体" w:eastAsia="黑体" w:cs="黑体"/>
          <w:b w:val="0"/>
          <w:bCs w:val="0"/>
        </w:rPr>
      </w:pPr>
      <w:r>
        <w:rPr>
          <w:rFonts w:hint="eastAsia" w:ascii="黑体" w:hAnsi="黑体" w:eastAsia="黑体" w:cs="黑体"/>
          <w:bCs w:val="0"/>
          <w:color w:val="000000"/>
        </w:rPr>
        <w:t>二、机</w:t>
      </w:r>
      <w:r>
        <w:rPr>
          <w:rStyle w:val="23"/>
          <w:rFonts w:hint="eastAsia" w:ascii="黑体" w:hAnsi="黑体" w:eastAsia="黑体" w:cs="黑体"/>
          <w:b w:val="0"/>
          <w:bCs w:val="0"/>
        </w:rPr>
        <w:t>构设置</w:t>
      </w:r>
      <w:bookmarkEnd w:id="23"/>
      <w:bookmarkEnd w:id="24"/>
    </w:p>
    <w:p>
      <w:pPr>
        <w:pStyle w:val="4"/>
        <w:adjustRightInd w:val="0"/>
        <w:snapToGrid w:val="0"/>
        <w:spacing w:before="93" w:line="58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茂县粮食局是参照公务员法管理的事业单位。因机构改革，现成为发展改革委员会的下设中心，现更名为茂县物资和储备中心。</w:t>
      </w:r>
    </w:p>
    <w:p>
      <w:pPr>
        <w:pStyle w:val="4"/>
        <w:adjustRightInd w:val="0"/>
        <w:snapToGrid w:val="0"/>
        <w:spacing w:before="93" w:line="580" w:lineRule="exact"/>
        <w:ind w:left="638" w:leftChars="304"/>
        <w:rPr>
          <w:sz w:val="32"/>
          <w:szCs w:val="32"/>
        </w:rPr>
      </w:pPr>
      <w:r>
        <w:rPr>
          <w:rFonts w:ascii="仿宋" w:hAnsi="仿宋" w:eastAsia="仿宋"/>
          <w:sz w:val="32"/>
          <w:szCs w:val="32"/>
        </w:rPr>
        <w:t>2.</w:t>
      </w:r>
      <w:r>
        <w:rPr>
          <w:rFonts w:hint="eastAsia" w:ascii="仿宋" w:hAnsi="仿宋" w:eastAsia="仿宋"/>
          <w:sz w:val="32"/>
          <w:szCs w:val="32"/>
        </w:rPr>
        <w:t>人员情况。编制</w:t>
      </w:r>
      <w:r>
        <w:rPr>
          <w:rFonts w:ascii="仿宋" w:hAnsi="仿宋" w:eastAsia="仿宋"/>
          <w:sz w:val="32"/>
          <w:szCs w:val="32"/>
        </w:rPr>
        <w:t>15</w:t>
      </w:r>
      <w:r>
        <w:rPr>
          <w:rFonts w:hint="eastAsia" w:ascii="仿宋" w:hAnsi="仿宋" w:eastAsia="仿宋"/>
          <w:sz w:val="32"/>
          <w:szCs w:val="32"/>
        </w:rPr>
        <w:t>人，在职职工</w:t>
      </w:r>
      <w:r>
        <w:rPr>
          <w:rFonts w:ascii="仿宋" w:hAnsi="仿宋" w:eastAsia="仿宋"/>
          <w:sz w:val="32"/>
          <w:szCs w:val="32"/>
        </w:rPr>
        <w:t>15</w:t>
      </w:r>
      <w:r>
        <w:rPr>
          <w:rFonts w:hint="eastAsia" w:ascii="仿宋" w:hAnsi="仿宋" w:eastAsia="仿宋"/>
          <w:sz w:val="32"/>
          <w:szCs w:val="32"/>
        </w:rPr>
        <w:t>人；遗属</w:t>
      </w:r>
      <w:r>
        <w:rPr>
          <w:rFonts w:ascii="仿宋" w:hAnsi="仿宋" w:eastAsia="仿宋"/>
          <w:sz w:val="32"/>
          <w:szCs w:val="32"/>
        </w:rPr>
        <w:t>6</w:t>
      </w:r>
      <w:r>
        <w:rPr>
          <w:rFonts w:hint="eastAsia" w:ascii="仿宋" w:hAnsi="仿宋" w:eastAsia="仿宋"/>
          <w:sz w:val="32"/>
          <w:szCs w:val="32"/>
        </w:rPr>
        <w:t>人。</w:t>
      </w:r>
    </w:p>
    <w:p>
      <w:pPr>
        <w:adjustRightInd w:val="0"/>
        <w:snapToGrid w:val="0"/>
        <w:spacing w:line="360" w:lineRule="auto"/>
        <w:jc w:val="center"/>
        <w:outlineLvl w:val="0"/>
        <w:rPr>
          <w:rStyle w:val="22"/>
          <w:rFonts w:ascii="方正小标宋简体" w:hAnsi="方正小标宋简体" w:eastAsia="方正小标宋简体" w:cs="方正小标宋简体"/>
          <w:b w:val="0"/>
          <w:bCs w:val="0"/>
        </w:rPr>
      </w:pPr>
      <w:bookmarkStart w:id="25" w:name="_Toc15377204"/>
      <w:bookmarkStart w:id="26" w:name="_Toc15396602"/>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center"/>
        <w:outlineLvl w:val="0"/>
        <w:rPr>
          <w:rStyle w:val="22"/>
          <w:rFonts w:hint="eastAsia" w:ascii="方正小标宋简体" w:hAnsi="方正小标宋简体" w:eastAsia="方正小标宋简体" w:cs="方正小标宋简体"/>
          <w:b w:val="0"/>
          <w:bCs w:val="0"/>
        </w:rPr>
      </w:pPr>
    </w:p>
    <w:p>
      <w:pPr>
        <w:adjustRightInd w:val="0"/>
        <w:snapToGrid w:val="0"/>
        <w:spacing w:line="360" w:lineRule="auto"/>
        <w:jc w:val="both"/>
        <w:outlineLvl w:val="0"/>
        <w:rPr>
          <w:sz w:val="44"/>
          <w:szCs w:val="44"/>
        </w:rPr>
      </w:pPr>
      <w:r>
        <w:rPr>
          <w:rStyle w:val="22"/>
          <w:rFonts w:hint="eastAsia" w:ascii="方正小标宋简体" w:hAnsi="方正小标宋简体" w:eastAsia="方正小标宋简体" w:cs="方正小标宋简体"/>
          <w:b w:val="0"/>
          <w:bCs w:val="0"/>
        </w:rPr>
        <w:t>第二部分</w:t>
      </w:r>
      <w:r>
        <w:rPr>
          <w:rStyle w:val="22"/>
          <w:rFonts w:ascii="方正小标宋简体" w:hAnsi="方正小标宋简体" w:eastAsia="方正小标宋简体" w:cs="方正小标宋简体"/>
          <w:b w:val="0"/>
          <w:bCs w:val="0"/>
        </w:rPr>
        <w:t xml:space="preserve"> 2020</w:t>
      </w:r>
      <w:r>
        <w:rPr>
          <w:rStyle w:val="22"/>
          <w:rFonts w:hint="eastAsia" w:ascii="方正小标宋简体" w:hAnsi="方正小标宋简体" w:eastAsia="方正小标宋简体" w:cs="方正小标宋简体"/>
          <w:b w:val="0"/>
          <w:bCs w:val="0"/>
        </w:rPr>
        <w:t>年度部门决算情况说明</w:t>
      </w:r>
      <w:bookmarkEnd w:id="25"/>
      <w:bookmarkEnd w:id="26"/>
    </w:p>
    <w:p>
      <w:pPr>
        <w:pStyle w:val="28"/>
        <w:numPr>
          <w:ilvl w:val="0"/>
          <w:numId w:val="1"/>
        </w:numPr>
        <w:spacing w:line="600" w:lineRule="exact"/>
        <w:ind w:firstLineChars="0"/>
        <w:outlineLvl w:val="1"/>
        <w:rPr>
          <w:rStyle w:val="23"/>
          <w:rFonts w:ascii="黑体" w:hAnsi="黑体" w:eastAsia="黑体" w:cs="黑体"/>
          <w:b w:val="0"/>
          <w:bCs w:val="0"/>
        </w:rPr>
      </w:pPr>
      <w:bookmarkStart w:id="27" w:name="_Toc15396603"/>
      <w:bookmarkStart w:id="28" w:name="_Toc15377205"/>
      <w:r>
        <w:rPr>
          <w:rFonts w:hint="eastAsia" w:ascii="黑体" w:hAnsi="黑体" w:eastAsia="黑体" w:cs="黑体"/>
          <w:color w:val="000000"/>
          <w:sz w:val="32"/>
          <w:szCs w:val="32"/>
        </w:rPr>
        <w:t>收</w:t>
      </w:r>
      <w:r>
        <w:rPr>
          <w:rStyle w:val="23"/>
          <w:rFonts w:hint="eastAsia" w:ascii="黑体" w:hAnsi="黑体" w:eastAsia="黑体" w:cs="黑体"/>
          <w:b w:val="0"/>
          <w:bCs w:val="0"/>
        </w:rPr>
        <w:t>入支出决算总体情况说明</w:t>
      </w:r>
      <w:bookmarkEnd w:id="27"/>
      <w:bookmarkEnd w:id="28"/>
    </w:p>
    <w:p>
      <w:pPr>
        <w:spacing w:line="576" w:lineRule="exact"/>
        <w:ind w:firstLine="601"/>
        <w:rPr>
          <w:rFonts w:ascii="仿宋_GB2312" w:hAnsi="仿宋_GB2312" w:eastAsia="仿宋_GB2312" w:cs="仿宋_GB2312"/>
          <w:color w:val="000000"/>
          <w:sz w:val="32"/>
          <w:szCs w:val="32"/>
        </w:rPr>
      </w:pPr>
      <w:r>
        <w:pict>
          <v:shape id="_x0000_s1028" o:spid="_x0000_s1028" o:spt="75" type="#_x0000_t75" style="position:absolute;left:0pt;margin-left:153pt;margin-top:121.6pt;height:149.1pt;width:198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9" o:title=""/>
            <o:lock v:ext="edit" aspectratio="t"/>
            <w10:wrap type="square" side="right"/>
          </v:shape>
          <o:OLEObject Type="Embed" ProgID="MSGraph.Chart.8" ShapeID="_x0000_s1028" DrawAspect="Content" ObjectID="_1468075725" r:id="rId8">
            <o:LockedField>false</o:LockedField>
          </o:OLEObject>
        </w:pict>
      </w: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年度收</w:t>
      </w:r>
      <w:r>
        <w:rPr>
          <w:rFonts w:hint="eastAsia" w:ascii="宋体" w:hAnsi="宋体" w:cs="宋体"/>
          <w:color w:val="000000"/>
          <w:sz w:val="32"/>
          <w:szCs w:val="32"/>
        </w:rPr>
        <w:t>入</w:t>
      </w:r>
      <w:r>
        <w:rPr>
          <w:rFonts w:ascii="仿宋_GB2312" w:hAnsi="仿宋_GB2312" w:eastAsia="仿宋_GB2312" w:cs="仿宋_GB2312"/>
          <w:color w:val="000000"/>
          <w:sz w:val="32"/>
          <w:szCs w:val="32"/>
        </w:rPr>
        <w:t>1411.35</w:t>
      </w:r>
      <w:r>
        <w:rPr>
          <w:rFonts w:hint="eastAsia" w:ascii="仿宋_GB2312" w:hAnsi="仿宋_GB2312" w:eastAsia="仿宋_GB2312" w:cs="仿宋_GB2312"/>
          <w:color w:val="000000"/>
          <w:sz w:val="32"/>
          <w:szCs w:val="32"/>
        </w:rPr>
        <w:t>万元，支出</w:t>
      </w:r>
      <w:r>
        <w:rPr>
          <w:rFonts w:ascii="仿宋_GB2312" w:hAnsi="仿宋_GB2312" w:eastAsia="仿宋_GB2312" w:cs="仿宋_GB2312"/>
          <w:color w:val="000000"/>
          <w:sz w:val="32"/>
          <w:szCs w:val="32"/>
        </w:rPr>
        <w:t>1040.04</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年相比，收</w:t>
      </w:r>
      <w:r>
        <w:rPr>
          <w:rFonts w:hint="eastAsia" w:ascii="宋体" w:hAnsi="宋体" w:cs="宋体"/>
          <w:color w:val="000000"/>
          <w:sz w:val="32"/>
          <w:szCs w:val="32"/>
        </w:rPr>
        <w:t>入</w:t>
      </w:r>
      <w:r>
        <w:rPr>
          <w:rFonts w:hint="eastAsia" w:ascii="仿宋_GB2312" w:hAnsi="仿宋_GB2312" w:eastAsia="仿宋_GB2312" w:cs="仿宋_GB2312"/>
          <w:color w:val="000000"/>
          <w:sz w:val="32"/>
          <w:szCs w:val="32"/>
        </w:rPr>
        <w:t>增加</w:t>
      </w:r>
      <w:r>
        <w:rPr>
          <w:rFonts w:ascii="仿宋_GB2312" w:hAnsi="仿宋_GB2312" w:eastAsia="仿宋_GB2312" w:cs="仿宋_GB2312"/>
          <w:color w:val="000000"/>
          <w:sz w:val="32"/>
          <w:szCs w:val="32"/>
        </w:rPr>
        <w:t>1004.80</w:t>
      </w:r>
      <w:r>
        <w:rPr>
          <w:rFonts w:hint="eastAsia" w:ascii="仿宋_GB2312" w:hAnsi="仿宋_GB2312" w:eastAsia="仿宋_GB2312" w:cs="仿宋_GB2312"/>
          <w:color w:val="000000"/>
          <w:sz w:val="32"/>
          <w:szCs w:val="32"/>
        </w:rPr>
        <w:t>万元，增</w:t>
      </w:r>
      <w:r>
        <w:rPr>
          <w:rFonts w:hint="eastAsia" w:ascii="宋体" w:hAnsi="宋体" w:cs="宋体"/>
          <w:color w:val="000000"/>
          <w:sz w:val="32"/>
          <w:szCs w:val="32"/>
        </w:rPr>
        <w:t>长</w:t>
      </w:r>
      <w:r>
        <w:rPr>
          <w:rFonts w:hint="eastAsia" w:ascii="仿宋_GB2312" w:hAnsi="仿宋_GB2312" w:eastAsia="仿宋_GB2312" w:cs="仿宋_GB2312"/>
          <w:color w:val="000000"/>
          <w:sz w:val="32"/>
          <w:szCs w:val="32"/>
        </w:rPr>
        <w:t>275.28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；支出增加</w:t>
      </w:r>
      <w:r>
        <w:rPr>
          <w:rFonts w:ascii="仿宋_GB2312" w:hAnsi="仿宋_GB2312" w:eastAsia="仿宋_GB2312" w:cs="仿宋_GB2312"/>
          <w:color w:val="000000"/>
          <w:sz w:val="32"/>
          <w:szCs w:val="32"/>
        </w:rPr>
        <w:t>633.50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增</w:t>
      </w:r>
      <w:r>
        <w:rPr>
          <w:rFonts w:hint="eastAsia" w:ascii="宋体" w:hAnsi="宋体" w:cs="宋体"/>
          <w:color w:val="000000"/>
          <w:sz w:val="32"/>
          <w:szCs w:val="32"/>
        </w:rPr>
        <w:t>长</w:t>
      </w:r>
      <w:r>
        <w:rPr>
          <w:rFonts w:hint="eastAsia" w:ascii="仿宋_GB2312" w:hAnsi="仿宋_GB2312" w:eastAsia="仿宋_GB2312" w:cs="仿宋_GB2312"/>
          <w:color w:val="000000"/>
          <w:sz w:val="32"/>
          <w:szCs w:val="32"/>
        </w:rPr>
        <w:t>236.32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。主要变动原因项目资金增加。</w:t>
      </w:r>
      <w:r>
        <w:rPr>
          <w:rFonts w:ascii="仿宋_GB2312" w:hAnsi="仿宋_GB2312" w:eastAsia="仿宋_GB2312" w:cs="仿宋_GB2312"/>
          <w:color w:val="000000"/>
          <w:sz w:val="32"/>
          <w:szCs w:val="32"/>
        </w:rPr>
        <w:br w:type="textWrapping" w:clear="all"/>
      </w:r>
    </w:p>
    <w:p>
      <w:pPr>
        <w:pStyle w:val="28"/>
        <w:spacing w:line="600" w:lineRule="exact"/>
        <w:ind w:left="709" w:firstLine="0" w:firstLineChars="0"/>
        <w:outlineLvl w:val="1"/>
        <w:rPr>
          <w:rFonts w:ascii="黑体" w:hAnsi="黑体" w:eastAsia="黑体"/>
          <w:sz w:val="32"/>
          <w:szCs w:val="32"/>
        </w:rPr>
      </w:pPr>
    </w:p>
    <w:p>
      <w:pPr>
        <w:pStyle w:val="28"/>
        <w:spacing w:line="600" w:lineRule="exact"/>
        <w:ind w:left="709" w:firstLine="0" w:firstLineChars="0"/>
        <w:outlineLvl w:val="1"/>
        <w:rPr>
          <w:rFonts w:ascii="黑体" w:hAnsi="黑体" w:eastAsia="黑体"/>
          <w:sz w:val="32"/>
          <w:szCs w:val="32"/>
        </w:rPr>
      </w:pPr>
    </w:p>
    <w:p>
      <w:pPr>
        <w:pStyle w:val="28"/>
        <w:spacing w:line="600" w:lineRule="exact"/>
        <w:ind w:left="709" w:firstLine="0" w:firstLineChars="0"/>
        <w:outlineLvl w:val="1"/>
        <w:rPr>
          <w:rFonts w:ascii="黑体" w:hAnsi="黑体" w:eastAsia="黑体"/>
          <w:sz w:val="32"/>
          <w:szCs w:val="32"/>
        </w:rPr>
      </w:pPr>
    </w:p>
    <w:p>
      <w:pPr>
        <w:pStyle w:val="28"/>
        <w:spacing w:line="600" w:lineRule="exact"/>
        <w:ind w:left="709" w:firstLine="0" w:firstLineChars="0"/>
        <w:outlineLvl w:val="1"/>
        <w:rPr>
          <w:rFonts w:ascii="黑体" w:hAnsi="黑体" w:eastAsia="黑体"/>
          <w:sz w:val="32"/>
          <w:szCs w:val="32"/>
        </w:rPr>
      </w:pPr>
    </w:p>
    <w:p>
      <w:pPr>
        <w:pStyle w:val="28"/>
        <w:spacing w:line="600" w:lineRule="exact"/>
        <w:ind w:left="709" w:firstLine="0" w:firstLineChars="0"/>
        <w:outlineLvl w:val="1"/>
        <w:rPr>
          <w:rFonts w:ascii="黑体" w:hAnsi="黑体" w:eastAsia="黑体"/>
          <w:sz w:val="32"/>
          <w:szCs w:val="32"/>
        </w:rPr>
      </w:pPr>
    </w:p>
    <w:p>
      <w:pPr>
        <w:pStyle w:val="28"/>
        <w:spacing w:line="600" w:lineRule="exact"/>
        <w:ind w:firstLine="0" w:firstLineChars="0"/>
        <w:outlineLvl w:val="1"/>
        <w:rPr>
          <w:rFonts w:ascii="黑体" w:hAnsi="黑体" w:eastAsia="黑体"/>
          <w:color w:val="000000"/>
          <w:sz w:val="32"/>
          <w:szCs w:val="32"/>
        </w:rPr>
      </w:pPr>
    </w:p>
    <w:p>
      <w:pPr>
        <w:pStyle w:val="28"/>
        <w:spacing w:line="600" w:lineRule="exact"/>
        <w:ind w:firstLine="0" w:firstLineChars="0"/>
        <w:outlineLvl w:val="1"/>
        <w:rPr>
          <w:rStyle w:val="23"/>
          <w:rFonts w:ascii="黑体" w:hAnsi="黑体" w:eastAsia="黑体"/>
          <w:b w:val="0"/>
          <w:bCs w:val="0"/>
        </w:rPr>
      </w:pPr>
      <w:r>
        <w:rPr>
          <w:rFonts w:hint="eastAsia" w:ascii="黑体" w:hAnsi="黑体" w:eastAsia="黑体"/>
          <w:color w:val="000000"/>
          <w:sz w:val="32"/>
          <w:szCs w:val="32"/>
        </w:rPr>
        <w:t>二、收</w:t>
      </w:r>
      <w:r>
        <w:rPr>
          <w:rStyle w:val="23"/>
          <w:rFonts w:hint="eastAsia" w:ascii="黑体" w:hAnsi="黑体" w:eastAsia="黑体"/>
          <w:b w:val="0"/>
          <w:bCs w:val="0"/>
        </w:rPr>
        <w:t>入决算情况说明</w:t>
      </w:r>
      <w:bookmarkEnd w:id="16"/>
      <w:bookmarkEnd w:id="17"/>
    </w:p>
    <w:p>
      <w:pPr>
        <w:spacing w:line="576" w:lineRule="exact"/>
        <w:ind w:firstLine="640" w:firstLineChars="200"/>
        <w:outlineLvl w:val="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1411.35</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1411.35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30" w:firstLineChars="300"/>
        <w:outlineLvl w:val="1"/>
        <w:rPr>
          <w:rFonts w:ascii="仿宋_GB2312" w:hAnsi="仿宋_GB2312" w:eastAsia="仿宋_GB2312" w:cs="仿宋_GB2312"/>
          <w:color w:val="000000"/>
          <w:sz w:val="32"/>
          <w:szCs w:val="32"/>
        </w:rPr>
      </w:pPr>
      <w:r>
        <w:drawing>
          <wp:anchor distT="0" distB="0" distL="114300" distR="114300" simplePos="0" relativeHeight="251659264" behindDoc="0" locked="0" layoutInCell="1" allowOverlap="1">
            <wp:simplePos x="0" y="0"/>
            <wp:positionH relativeFrom="column">
              <wp:posOffset>200025</wp:posOffset>
            </wp:positionH>
            <wp:positionV relativeFrom="paragraph">
              <wp:posOffset>478155</wp:posOffset>
            </wp:positionV>
            <wp:extent cx="5146040" cy="2426335"/>
            <wp:effectExtent l="0" t="0" r="16510" b="12065"/>
            <wp:wrapTopAndBottom/>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0"/>
                    <a:stretch>
                      <a:fillRect/>
                    </a:stretch>
                  </pic:blipFill>
                  <pic:spPr>
                    <a:xfrm>
                      <a:off x="0" y="0"/>
                      <a:ext cx="5146040" cy="2426335"/>
                    </a:xfrm>
                    <a:prstGeom prst="rect">
                      <a:avLst/>
                    </a:prstGeom>
                    <a:noFill/>
                    <a:ln>
                      <a:noFill/>
                    </a:ln>
                  </pic:spPr>
                </pic:pic>
              </a:graphicData>
            </a:graphic>
          </wp:anchor>
        </w:drawing>
      </w:r>
    </w:p>
    <w:p>
      <w:pPr>
        <w:spacing w:line="576" w:lineRule="exact"/>
        <w:ind w:firstLine="960" w:firstLineChars="300"/>
        <w:outlineLvl w:val="1"/>
        <w:rPr>
          <w:rFonts w:ascii="仿宋_GB2312" w:hAnsi="仿宋_GB2312" w:eastAsia="仿宋_GB2312" w:cs="仿宋_GB2312"/>
          <w:color w:val="000000"/>
          <w:sz w:val="32"/>
          <w:szCs w:val="32"/>
        </w:rPr>
      </w:pPr>
    </w:p>
    <w:p>
      <w:pPr>
        <w:spacing w:line="576" w:lineRule="exact"/>
        <w:ind w:firstLine="640" w:firstLineChars="200"/>
        <w:outlineLvl w:val="1"/>
        <w:rPr>
          <w:rFonts w:ascii="仿宋_GB2312" w:hAnsi="仿宋_GB2312" w:eastAsia="仿宋_GB2312" w:cs="仿宋_GB2312"/>
          <w:color w:val="000000"/>
          <w:sz w:val="32"/>
          <w:szCs w:val="32"/>
        </w:rPr>
      </w:pPr>
    </w:p>
    <w:p>
      <w:pPr>
        <w:pStyle w:val="28"/>
        <w:tabs>
          <w:tab w:val="left" w:pos="631"/>
        </w:tabs>
        <w:spacing w:line="600" w:lineRule="exact"/>
        <w:ind w:left="709" w:firstLine="0" w:firstLineChars="0"/>
        <w:outlineLvl w:val="1"/>
        <w:rPr>
          <w:rStyle w:val="23"/>
          <w:rFonts w:ascii="黑体" w:hAnsi="黑体" w:eastAsia="黑体" w:cs="黑体"/>
          <w:b w:val="0"/>
          <w:bCs w:val="0"/>
        </w:rPr>
      </w:pPr>
      <w:bookmarkStart w:id="29" w:name="_Toc15396605"/>
      <w:bookmarkStart w:id="30" w:name="_Toc15377207"/>
      <w:r>
        <w:rPr>
          <w:rFonts w:hint="eastAsia" w:ascii="黑体" w:hAnsi="黑体" w:eastAsia="黑体" w:cs="黑体"/>
          <w:color w:val="000000"/>
          <w:sz w:val="32"/>
          <w:szCs w:val="32"/>
        </w:rPr>
        <w:t>三、支</w:t>
      </w:r>
      <w:r>
        <w:rPr>
          <w:rStyle w:val="23"/>
          <w:rFonts w:hint="eastAsia" w:ascii="黑体" w:hAnsi="黑体" w:eastAsia="黑体" w:cs="黑体"/>
          <w:b w:val="0"/>
          <w:bCs w:val="0"/>
        </w:rPr>
        <w:t>出决算情况说明</w:t>
      </w:r>
      <w:bookmarkEnd w:id="29"/>
      <w:bookmarkEnd w:id="30"/>
    </w:p>
    <w:p>
      <w:pPr>
        <w:spacing w:line="576" w:lineRule="exact"/>
        <w:ind w:firstLine="64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年本年支出合计</w:t>
      </w:r>
      <w:r>
        <w:rPr>
          <w:rFonts w:ascii="仿宋_GB2312" w:hAnsi="仿宋_GB2312" w:eastAsia="仿宋_GB2312" w:cs="仿宋_GB2312"/>
          <w:color w:val="000000"/>
          <w:sz w:val="32"/>
          <w:szCs w:val="32"/>
        </w:rPr>
        <w:t>1040.04</w:t>
      </w:r>
      <w:r>
        <w:rPr>
          <w:rFonts w:hint="eastAsia" w:ascii="仿宋_GB2312" w:hAnsi="仿宋_GB2312" w:eastAsia="仿宋_GB2312" w:cs="仿宋_GB2312"/>
          <w:color w:val="000000"/>
          <w:sz w:val="32"/>
          <w:szCs w:val="32"/>
        </w:rPr>
        <w:t>万元，其中：基本支出</w:t>
      </w:r>
      <w:r>
        <w:rPr>
          <w:rFonts w:ascii="仿宋_GB2312" w:hAnsi="仿宋_GB2312" w:eastAsia="仿宋_GB2312" w:cs="仿宋_GB2312"/>
          <w:color w:val="000000"/>
          <w:sz w:val="32"/>
          <w:szCs w:val="32"/>
        </w:rPr>
        <w:t>1040.04</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576" w:lineRule="exact"/>
        <w:ind w:firstLine="915" w:firstLineChars="436"/>
        <w:rPr>
          <w:rFonts w:ascii="仿宋_GB2312" w:hAnsi="仿宋_GB2312" w:eastAsia="仿宋_GB2312" w:cs="仿宋_GB2312"/>
          <w:color w:val="000000"/>
          <w:sz w:val="32"/>
          <w:szCs w:val="32"/>
        </w:rPr>
      </w:pPr>
      <w:r>
        <w:pict>
          <v:shape id="_x0000_s1030" o:spid="_x0000_s1030" o:spt="75" type="#_x0000_t75" style="position:absolute;left:0pt;margin-left:72pt;margin-top:0.5pt;height:144pt;width:216.45pt;mso-wrap-distance-bottom:0pt;mso-wrap-distance-left:9pt;mso-wrap-distance-right:9pt;mso-wrap-distance-top:0pt;z-index:251661312;mso-width-relative:page;mso-height-relative:page;" o:ole="t" filled="f" o:preferrelative="t" stroked="f" coordsize="21600,21600">
            <v:path/>
            <v:fill on="f" focussize="0,0"/>
            <v:stroke on="f" joinstyle="miter"/>
            <v:imagedata r:id="rId12" o:title=""/>
            <o:lock v:ext="edit" aspectratio="t"/>
            <w10:wrap type="square"/>
          </v:shape>
          <o:OLEObject Type="Embed" ProgID="MSGraph.Chart.8" ShapeID="_x0000_s1030" DrawAspect="Content" ObjectID="_1468075726" r:id="rId11">
            <o:LockedField>false</o:LockedField>
          </o:OLEObject>
        </w:pict>
      </w:r>
      <w:r>
        <w:rPr>
          <w:rFonts w:ascii="仿宋_GB2312" w:hAnsi="仿宋_GB2312" w:eastAsia="仿宋_GB2312" w:cs="仿宋_GB2312"/>
          <w:color w:val="000000"/>
          <w:sz w:val="32"/>
          <w:szCs w:val="32"/>
        </w:rPr>
        <w:object>
          <v:shape id="_x0000_i1025" o:spt="75" type="#_x0000_t75" style="height:144pt;width:216.75pt;" o:ole="t" filled="f" o:preferrelative="t" stroked="f" coordsize="21600,21600">
            <v:path/>
            <v:fill on="f" focussize="0,0"/>
            <v:stroke on="f" joinstyle="miter"/>
            <v:imagedata r:id="rId14" o:title=""/>
            <o:lock v:ext="edit" aspectratio="t"/>
            <w10:wrap type="none"/>
            <w10:anchorlock/>
          </v:shape>
          <o:OLEObject Type="Embed" ProgID="MSGraph.Chart.8" ShapeID="_x0000_i1025" DrawAspect="Content" ObjectID="_1468075727" r:id="rId13">
            <o:LockedField>false</o:LockedField>
          </o:OLEObject>
        </w:object>
      </w:r>
    </w:p>
    <w:p>
      <w:pPr>
        <w:pStyle w:val="28"/>
        <w:spacing w:line="600" w:lineRule="exact"/>
        <w:ind w:firstLine="480" w:firstLineChars="150"/>
        <w:outlineLvl w:val="1"/>
        <w:rPr>
          <w:rStyle w:val="23"/>
          <w:rFonts w:ascii="黑体" w:hAnsi="黑体" w:eastAsia="黑体" w:cs="黑体"/>
          <w:b w:val="0"/>
          <w:bCs w:val="0"/>
        </w:rPr>
      </w:pPr>
      <w:bookmarkStart w:id="31" w:name="_Toc15377208"/>
      <w:bookmarkStart w:id="32" w:name="_Toc15396606"/>
      <w:r>
        <w:rPr>
          <w:rFonts w:hint="eastAsia" w:ascii="黑体" w:hAnsi="黑体" w:eastAsia="黑体" w:cs="黑体"/>
          <w:color w:val="000000"/>
          <w:sz w:val="32"/>
          <w:szCs w:val="32"/>
        </w:rPr>
        <w:t>四、财</w:t>
      </w:r>
      <w:r>
        <w:rPr>
          <w:rStyle w:val="23"/>
          <w:rFonts w:hint="eastAsia" w:ascii="黑体" w:hAnsi="黑体" w:eastAsia="黑体" w:cs="黑体"/>
          <w:b w:val="0"/>
          <w:bCs w:val="0"/>
        </w:rPr>
        <w:t>政</w:t>
      </w:r>
      <w:r>
        <w:rPr>
          <w:rFonts w:hint="eastAsia" w:ascii="黑体" w:hAnsi="黑体" w:eastAsia="黑体" w:cs="黑体"/>
          <w:color w:val="000000"/>
          <w:sz w:val="32"/>
          <w:szCs w:val="32"/>
        </w:rPr>
        <w:t>拨款</w:t>
      </w:r>
      <w:r>
        <w:rPr>
          <w:rStyle w:val="23"/>
          <w:rFonts w:hint="eastAsia" w:ascii="黑体" w:hAnsi="黑体" w:eastAsia="黑体" w:cs="黑体"/>
          <w:b w:val="0"/>
          <w:bCs w:val="0"/>
        </w:rPr>
        <w:t>收入支出决算总体情况说明</w:t>
      </w:r>
      <w:bookmarkEnd w:id="31"/>
      <w:bookmarkEnd w:id="32"/>
    </w:p>
    <w:p>
      <w:pPr>
        <w:spacing w:line="576" w:lineRule="exact"/>
        <w:ind w:firstLine="60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年度收</w:t>
      </w:r>
      <w:r>
        <w:rPr>
          <w:rFonts w:hint="eastAsia" w:ascii="宋体" w:hAnsi="宋体" w:cs="宋体"/>
          <w:color w:val="000000"/>
          <w:sz w:val="32"/>
          <w:szCs w:val="32"/>
        </w:rPr>
        <w:t>入</w:t>
      </w:r>
      <w:r>
        <w:rPr>
          <w:rFonts w:ascii="仿宋_GB2312" w:hAnsi="仿宋_GB2312" w:eastAsia="仿宋_GB2312" w:cs="仿宋_GB2312"/>
          <w:color w:val="000000"/>
          <w:sz w:val="32"/>
          <w:szCs w:val="32"/>
        </w:rPr>
        <w:t>1411.35</w:t>
      </w:r>
      <w:r>
        <w:rPr>
          <w:rFonts w:hint="eastAsia" w:ascii="仿宋_GB2312" w:hAnsi="仿宋_GB2312" w:eastAsia="仿宋_GB2312" w:cs="仿宋_GB2312"/>
          <w:color w:val="000000"/>
          <w:sz w:val="32"/>
          <w:szCs w:val="32"/>
        </w:rPr>
        <w:t>万元，支出</w:t>
      </w:r>
      <w:r>
        <w:rPr>
          <w:rFonts w:ascii="仿宋_GB2312" w:hAnsi="仿宋_GB2312" w:eastAsia="仿宋_GB2312" w:cs="仿宋_GB2312"/>
          <w:color w:val="000000"/>
          <w:sz w:val="32"/>
          <w:szCs w:val="32"/>
        </w:rPr>
        <w:t>1040.04</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年相比，收</w:t>
      </w:r>
      <w:r>
        <w:rPr>
          <w:rFonts w:hint="eastAsia" w:ascii="宋体" w:hAnsi="宋体" w:cs="宋体"/>
          <w:color w:val="000000"/>
          <w:sz w:val="32"/>
          <w:szCs w:val="32"/>
        </w:rPr>
        <w:t>入</w:t>
      </w:r>
      <w:r>
        <w:rPr>
          <w:rFonts w:hint="eastAsia" w:ascii="仿宋_GB2312" w:hAnsi="仿宋_GB2312" w:eastAsia="仿宋_GB2312" w:cs="仿宋_GB2312"/>
          <w:color w:val="000000"/>
          <w:sz w:val="32"/>
          <w:szCs w:val="32"/>
        </w:rPr>
        <w:t>增加</w:t>
      </w:r>
      <w:r>
        <w:rPr>
          <w:rFonts w:ascii="仿宋_GB2312" w:hAnsi="仿宋_GB2312" w:eastAsia="仿宋_GB2312" w:cs="仿宋_GB2312"/>
          <w:color w:val="000000"/>
          <w:sz w:val="32"/>
          <w:szCs w:val="32"/>
        </w:rPr>
        <w:t>1004.80</w:t>
      </w:r>
      <w:r>
        <w:rPr>
          <w:rFonts w:hint="eastAsia" w:ascii="仿宋_GB2312" w:hAnsi="仿宋_GB2312" w:eastAsia="仿宋_GB2312" w:cs="仿宋_GB2312"/>
          <w:color w:val="000000"/>
          <w:sz w:val="32"/>
          <w:szCs w:val="32"/>
        </w:rPr>
        <w:t>万元，增</w:t>
      </w:r>
      <w:r>
        <w:rPr>
          <w:rFonts w:hint="eastAsia" w:ascii="宋体" w:hAnsi="宋体" w:cs="宋体"/>
          <w:color w:val="000000"/>
          <w:sz w:val="32"/>
          <w:szCs w:val="32"/>
        </w:rPr>
        <w:t>长</w:t>
      </w:r>
      <w:r>
        <w:rPr>
          <w:rFonts w:hint="eastAsia" w:ascii="仿宋_GB2312" w:hAnsi="仿宋_GB2312" w:eastAsia="仿宋_GB2312" w:cs="仿宋_GB2312"/>
          <w:color w:val="000000"/>
          <w:sz w:val="32"/>
          <w:szCs w:val="32"/>
        </w:rPr>
        <w:t>275.28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r>
        <w:rPr>
          <w:rFonts w:hint="eastAsia" w:ascii="宋体" w:hAnsi="宋体" w:cs="宋体"/>
          <w:color w:val="000000"/>
          <w:sz w:val="32"/>
          <w:szCs w:val="32"/>
        </w:rPr>
        <w:t>支出增加</w:t>
      </w:r>
      <w:r>
        <w:rPr>
          <w:rFonts w:ascii="仿宋_GB2312" w:hAnsi="仿宋_GB2312" w:eastAsia="仿宋_GB2312" w:cs="仿宋_GB2312"/>
          <w:color w:val="000000"/>
          <w:sz w:val="32"/>
          <w:szCs w:val="32"/>
        </w:rPr>
        <w:t>633.50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增长236.32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。主要变动原因项目资金增加。</w:t>
      </w:r>
    </w:p>
    <w:p>
      <w:pPr>
        <w:pStyle w:val="28"/>
        <w:spacing w:line="600" w:lineRule="exact"/>
        <w:ind w:left="640" w:firstLine="0" w:firstLineChars="0"/>
        <w:outlineLvl w:val="1"/>
        <w:rPr>
          <w:rFonts w:ascii="仿宋" w:hAnsi="仿宋" w:eastAsia="仿宋"/>
          <w:color w:val="000000"/>
          <w:sz w:val="32"/>
          <w:szCs w:val="32"/>
        </w:rPr>
      </w:pPr>
      <w:r>
        <w:rPr>
          <w:rStyle w:val="23"/>
          <w:rFonts w:hint="eastAsia" w:ascii="黑体" w:hAnsi="黑体" w:eastAsia="黑体"/>
          <w:b w:val="0"/>
          <w:bCs w:val="0"/>
        </w:rPr>
        <w:t>五、一般公共预算财政拨款支出决算情况说明</w:t>
      </w:r>
      <w:bookmarkEnd w:id="18"/>
      <w:bookmarkEnd w:id="19"/>
      <w:bookmarkStart w:id="33" w:name="_Toc15377210"/>
    </w:p>
    <w:p>
      <w:pPr>
        <w:numPr>
          <w:ilvl w:val="0"/>
          <w:numId w:val="2"/>
        </w:numPr>
        <w:spacing w:line="600" w:lineRule="exact"/>
        <w:outlineLvl w:val="1"/>
        <w:rPr>
          <w:rFonts w:ascii="楷体" w:hAnsi="楷体" w:eastAsia="楷体" w:cs="楷体"/>
          <w:b/>
          <w:color w:val="000000"/>
          <w:sz w:val="32"/>
          <w:szCs w:val="32"/>
        </w:rPr>
      </w:pPr>
      <w:r>
        <w:rPr>
          <w:rFonts w:hint="eastAsia" w:ascii="楷体" w:hAnsi="楷体" w:eastAsia="楷体" w:cs="楷体"/>
          <w:b/>
          <w:color w:val="000000"/>
          <w:sz w:val="32"/>
          <w:szCs w:val="32"/>
        </w:rPr>
        <w:t>一般公共预算财政拨款支出决算总体情况</w:t>
      </w:r>
      <w:bookmarkEnd w:id="33"/>
    </w:p>
    <w:p>
      <w:pPr>
        <w:spacing w:line="600" w:lineRule="exact"/>
        <w:outlineLvl w:val="1"/>
        <w:rPr>
          <w:rFonts w:ascii="楷体" w:hAnsi="楷体" w:eastAsia="楷体" w:cs="楷体"/>
          <w:b/>
          <w:color w:val="000000"/>
          <w:sz w:val="32"/>
          <w:szCs w:val="32"/>
        </w:rPr>
      </w:pPr>
      <w:r>
        <w:pict>
          <v:shape id="_x0000_s1031" o:spid="_x0000_s1031" o:spt="75" type="#_x0000_t75" style="position:absolute;left:0pt;margin-left:0pt;margin-top:20.4pt;height:134.6pt;width:405pt;mso-wrap-distance-left:9pt;mso-wrap-distance-right:9pt;z-index:251661312;mso-width-relative:page;mso-height-relative:page;" o:ole="t" filled="f" o:preferrelative="t" stroked="f" coordsize="21600,21600" wrapcoords="3120 1810 1760 2655 1760 3620 2600 3741 1920 4827 1720 5309 1720 5792 1920 7602 1920 8206 2360 9533 1960 9654 1960 10619 2600 11464 1920 12308 1920 13032 2600 13394 2080 14360 1920 14842 1920 15325 2320 17256 1840 18221 1840 18342 2240 18945 7160 18945 8320 18945 17760 17497 17920 17256 18280 15928 18240 13394 18560 13394 21240 11705 21320 9774 21040 9654 18240 9533 18200 1810 3120 1810">
            <v:path/>
            <v:fill on="f" focussize="0,0"/>
            <v:stroke on="f" joinstyle="miter"/>
            <v:imagedata r:id="rId16" o:title=""/>
            <o:lock v:ext="edit" aspectratio="t"/>
            <w10:wrap type="tight"/>
          </v:shape>
          <o:OLEObject Type="Embed" ProgID="MSGraph.Chart.8" ShapeID="_x0000_s1031" DrawAspect="Content" ObjectID="_1468075728" r:id="rId15">
            <o:LockedField>false</o:LockedField>
          </o:OLEObject>
        </w:pict>
      </w:r>
    </w:p>
    <w:p>
      <w:pPr>
        <w:spacing w:line="576" w:lineRule="exact"/>
        <w:ind w:firstLine="640" w:firstLineChars="200"/>
        <w:rPr>
          <w:rFonts w:ascii="仿宋_GB2312" w:hAnsi="仿宋_GB2312" w:eastAsia="仿宋_GB2312" w:cs="仿宋_GB2312"/>
          <w:color w:val="000000"/>
          <w:sz w:val="32"/>
          <w:szCs w:val="32"/>
        </w:rPr>
      </w:pPr>
    </w:p>
    <w:p>
      <w:pPr>
        <w:spacing w:line="576" w:lineRule="exact"/>
        <w:ind w:firstLine="640" w:firstLineChars="200"/>
        <w:rPr>
          <w:rFonts w:ascii="仿宋_GB2312" w:hAnsi="仿宋_GB2312" w:eastAsia="仿宋_GB2312" w:cs="仿宋_GB2312"/>
          <w:color w:val="000000"/>
          <w:sz w:val="32"/>
          <w:szCs w:val="32"/>
        </w:rPr>
      </w:pPr>
    </w:p>
    <w:p>
      <w:pPr>
        <w:spacing w:line="576" w:lineRule="exact"/>
        <w:ind w:firstLine="640" w:firstLineChars="200"/>
        <w:rPr>
          <w:rFonts w:ascii="仿宋_GB2312" w:hAnsi="仿宋_GB2312" w:eastAsia="仿宋_GB2312" w:cs="仿宋_GB2312"/>
          <w:color w:val="000000"/>
          <w:sz w:val="32"/>
          <w:szCs w:val="32"/>
        </w:rPr>
      </w:pPr>
    </w:p>
    <w:p>
      <w:pPr>
        <w:spacing w:line="576" w:lineRule="exact"/>
        <w:ind w:firstLine="640" w:firstLineChars="200"/>
        <w:rPr>
          <w:rFonts w:ascii="仿宋_GB2312" w:hAnsi="仿宋_GB2312" w:eastAsia="仿宋_GB2312" w:cs="仿宋_GB2312"/>
          <w:color w:val="000000"/>
          <w:sz w:val="32"/>
          <w:szCs w:val="32"/>
        </w:rPr>
      </w:pPr>
    </w:p>
    <w:p>
      <w:pPr>
        <w:spacing w:line="576" w:lineRule="exact"/>
        <w:ind w:firstLine="320" w:firstLineChars="100"/>
        <w:rPr>
          <w:rFonts w:ascii="仿宋" w:hAnsi="仿宋" w:eastAsia="仿宋"/>
          <w:color w:val="000000"/>
          <w:sz w:val="32"/>
          <w:szCs w:val="32"/>
        </w:rPr>
      </w:pPr>
      <w:r>
        <w:rPr>
          <w:rFonts w:hint="eastAsia" w:ascii="仿宋_GB2312" w:hAnsi="仿宋_GB2312" w:eastAsia="仿宋_GB2312" w:cs="仿宋_GB2312"/>
          <w:color w:val="000000"/>
          <w:sz w:val="32"/>
          <w:szCs w:val="32"/>
        </w:rPr>
        <w:t>公共预算财政拨款支出</w:t>
      </w:r>
      <w:r>
        <w:rPr>
          <w:rFonts w:ascii="仿宋_GB2312" w:hAnsi="仿宋_GB2312" w:eastAsia="仿宋_GB2312" w:cs="仿宋_GB2312"/>
          <w:color w:val="000000"/>
          <w:sz w:val="32"/>
          <w:szCs w:val="32"/>
        </w:rPr>
        <w:t>1040.04</w:t>
      </w:r>
      <w:r>
        <w:rPr>
          <w:rFonts w:hint="eastAsia" w:ascii="仿宋_GB2312" w:hAnsi="仿宋_GB2312" w:eastAsia="仿宋_GB2312" w:cs="仿宋_GB2312"/>
          <w:color w:val="000000"/>
          <w:sz w:val="32"/>
          <w:szCs w:val="32"/>
        </w:rPr>
        <w:t>万元，占本年支出合计的</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年相比，一般公共预算财政拨款支出增加</w:t>
      </w:r>
      <w:r>
        <w:rPr>
          <w:rFonts w:ascii="仿宋_GB2312" w:hAnsi="仿宋_GB2312" w:eastAsia="仿宋_GB2312" w:cs="仿宋_GB2312"/>
          <w:color w:val="000000"/>
          <w:sz w:val="32"/>
          <w:szCs w:val="32"/>
        </w:rPr>
        <w:t>633.50</w:t>
      </w:r>
      <w:r>
        <w:rPr>
          <w:rFonts w:hint="eastAsia" w:ascii="仿宋_GB2312" w:hAnsi="仿宋_GB2312" w:eastAsia="仿宋_GB2312" w:cs="仿宋_GB2312"/>
          <w:color w:val="000000"/>
          <w:sz w:val="32"/>
          <w:szCs w:val="32"/>
        </w:rPr>
        <w:t>万元，增长280.26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。主要变动原因是项目资金增加。</w:t>
      </w:r>
    </w:p>
    <w:p>
      <w:pPr>
        <w:numPr>
          <w:ilvl w:val="0"/>
          <w:numId w:val="2"/>
        </w:numPr>
        <w:spacing w:line="600" w:lineRule="exact"/>
        <w:outlineLvl w:val="1"/>
        <w:rPr>
          <w:rFonts w:ascii="楷体" w:hAnsi="楷体" w:eastAsia="楷体" w:cs="楷体"/>
          <w:b/>
          <w:color w:val="000000"/>
          <w:sz w:val="32"/>
          <w:szCs w:val="32"/>
        </w:rPr>
      </w:pPr>
      <w:bookmarkStart w:id="34" w:name="_Toc15377211"/>
      <w:r>
        <w:rPr>
          <w:rFonts w:hint="eastAsia" w:ascii="楷体" w:hAnsi="楷体" w:eastAsia="楷体" w:cs="楷体"/>
          <w:b/>
          <w:color w:val="000000"/>
          <w:sz w:val="32"/>
          <w:szCs w:val="32"/>
        </w:rPr>
        <w:t>一般公共预算财政拨款支出决算结构情况</w:t>
      </w:r>
      <w:bookmarkEnd w:id="34"/>
    </w:p>
    <w:p>
      <w:pPr>
        <w:spacing w:line="576" w:lineRule="exact"/>
        <w:ind w:firstLine="64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1040.04</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社会保障和就业（类）支出</w:t>
      </w:r>
      <w:r>
        <w:rPr>
          <w:rFonts w:ascii="仿宋_GB2312" w:hAnsi="仿宋_GB2312" w:eastAsia="仿宋_GB2312" w:cs="仿宋_GB2312"/>
          <w:color w:val="000000"/>
          <w:sz w:val="32"/>
          <w:szCs w:val="32"/>
        </w:rPr>
        <w:t>27.28</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2.62%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医疗卫生与计划生育（类）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16.40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农林水（类）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3.07</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粮油物资储备事务（类）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974.16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93.65%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住房保障（类）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19.13</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1.8%</w:t>
      </w:r>
      <w:r>
        <w:rPr>
          <w:rFonts w:hint="eastAsia" w:ascii="仿宋_GB2312" w:hAnsi="仿宋_GB2312" w:eastAsia="仿宋_GB2312" w:cs="仿宋_GB2312"/>
          <w:color w:val="000000"/>
          <w:sz w:val="32"/>
          <w:szCs w:val="32"/>
        </w:rPr>
        <w:t>。</w:t>
      </w:r>
    </w:p>
    <w:p>
      <w:pPr>
        <w:spacing w:line="576" w:lineRule="exact"/>
        <w:ind w:firstLine="321" w:firstLineChars="100"/>
        <w:rPr>
          <w:rFonts w:ascii="仿宋" w:hAnsi="仿宋" w:eastAsia="仿宋"/>
          <w:b/>
          <w:color w:val="000000"/>
          <w:sz w:val="32"/>
          <w:szCs w:val="32"/>
        </w:rPr>
      </w:pPr>
      <w:r>
        <w:rPr>
          <w:rFonts w:hint="eastAsia" w:ascii="仿宋" w:hAnsi="仿宋" w:eastAsia="仿宋"/>
          <w:b/>
          <w:color w:val="000000"/>
          <w:sz w:val="32"/>
          <w:szCs w:val="32"/>
        </w:rPr>
        <w:t>（</w:t>
      </w:r>
      <w:r>
        <w:rPr>
          <w:rFonts w:hint="eastAsia" w:ascii="楷体" w:hAnsi="楷体" w:eastAsia="楷体" w:cs="楷体"/>
          <w:b/>
          <w:color w:val="000000"/>
          <w:sz w:val="32"/>
          <w:szCs w:val="32"/>
        </w:rPr>
        <w:t>三）一般公共预算财政拨款支出决算具体情况</w:t>
      </w:r>
      <w:bookmarkEnd w:id="20"/>
    </w:p>
    <w:p>
      <w:pPr>
        <w:spacing w:line="576" w:lineRule="exact"/>
        <w:ind w:firstLine="640" w:firstLineChars="200"/>
        <w:outlineLvl w:val="2"/>
        <w:rPr>
          <w:rStyle w:val="12"/>
          <w:rFonts w:ascii="仿宋" w:hAnsi="仿宋" w:eastAsia="仿宋" w:cs="仿宋_GB2312"/>
          <w:b w:val="0"/>
          <w:bCs/>
          <w:color w:val="000000"/>
          <w:sz w:val="32"/>
          <w:szCs w:val="32"/>
        </w:rPr>
      </w:pPr>
      <w:bookmarkStart w:id="35" w:name="_Toc15378460"/>
      <w:bookmarkStart w:id="36" w:name="_Toc15377213"/>
      <w:bookmarkStart w:id="37" w:name="_Toc15377444"/>
      <w:r>
        <w:rPr>
          <w:rFonts w:ascii="仿宋" w:hAnsi="仿宋" w:eastAsia="仿宋" w:cs="仿宋_GB2312"/>
          <w:bCs/>
          <w:color w:val="000000"/>
          <w:sz w:val="32"/>
          <w:szCs w:val="32"/>
        </w:rPr>
        <w:t>2020</w:t>
      </w:r>
      <w:r>
        <w:rPr>
          <w:rFonts w:hint="eastAsia" w:ascii="仿宋" w:hAnsi="仿宋" w:eastAsia="仿宋" w:cs="仿宋_GB2312"/>
          <w:bCs/>
          <w:color w:val="000000"/>
          <w:sz w:val="32"/>
          <w:szCs w:val="32"/>
        </w:rPr>
        <w:t>年一般公共预算支出决算数为</w:t>
      </w:r>
      <w:r>
        <w:rPr>
          <w:rFonts w:ascii="仿宋" w:hAnsi="仿宋" w:eastAsia="仿宋" w:cs="仿宋_GB2312"/>
          <w:bCs/>
          <w:color w:val="000000"/>
          <w:sz w:val="32"/>
          <w:szCs w:val="32"/>
        </w:rPr>
        <w:t>1040.04</w:t>
      </w:r>
      <w:r>
        <w:rPr>
          <w:rFonts w:hint="eastAsia" w:ascii="仿宋" w:hAnsi="仿宋" w:eastAsia="仿宋" w:cs="仿宋_GB2312"/>
          <w:bCs/>
          <w:color w:val="000000"/>
          <w:sz w:val="32"/>
          <w:szCs w:val="32"/>
        </w:rPr>
        <w:t>万元，</w:t>
      </w:r>
      <w:r>
        <w:rPr>
          <w:rStyle w:val="12"/>
          <w:rFonts w:hint="eastAsia" w:ascii="仿宋" w:hAnsi="仿宋" w:eastAsia="仿宋" w:cs="仿宋_GB2312"/>
          <w:b w:val="0"/>
          <w:bCs/>
          <w:color w:val="000000"/>
          <w:sz w:val="32"/>
          <w:szCs w:val="32"/>
        </w:rPr>
        <w:t>完成</w:t>
      </w:r>
    </w:p>
    <w:p>
      <w:pPr>
        <w:spacing w:line="576" w:lineRule="exact"/>
        <w:outlineLvl w:val="2"/>
        <w:rPr>
          <w:rFonts w:ascii="仿宋_GB2312" w:hAnsi="仿宋_GB2312" w:eastAsia="仿宋_GB2312" w:cs="仿宋_GB2312"/>
          <w:bCs/>
          <w:color w:val="FF0000"/>
          <w:sz w:val="32"/>
          <w:szCs w:val="32"/>
        </w:rPr>
      </w:pPr>
      <w:r>
        <w:rPr>
          <w:rStyle w:val="12"/>
          <w:rFonts w:hint="eastAsia" w:ascii="仿宋_GB2312" w:hAnsi="仿宋_GB2312" w:eastAsia="仿宋_GB2312" w:cs="仿宋_GB2312"/>
          <w:b w:val="0"/>
          <w:bCs/>
          <w:color w:val="000000"/>
          <w:sz w:val="32"/>
          <w:szCs w:val="32"/>
        </w:rPr>
        <w:t>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。其中：</w:t>
      </w:r>
      <w:bookmarkEnd w:id="35"/>
      <w:bookmarkEnd w:id="36"/>
      <w:bookmarkEnd w:id="37"/>
    </w:p>
    <w:p>
      <w:pPr>
        <w:spacing w:line="576" w:lineRule="exact"/>
        <w:ind w:firstLine="642"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1.</w:t>
      </w:r>
      <w:r>
        <w:rPr>
          <w:rStyle w:val="12"/>
          <w:rFonts w:hint="eastAsia" w:ascii="仿宋_GB2312" w:hAnsi="仿宋_GB2312" w:eastAsia="仿宋_GB2312" w:cs="仿宋_GB2312"/>
          <w:bCs/>
          <w:color w:val="000000"/>
          <w:sz w:val="32"/>
          <w:szCs w:val="32"/>
        </w:rPr>
        <w:t>社会保障和就业（类）行政事业单位离退休（款）机关事业单位职业年金缴费支出（项）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9.0</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2"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2.</w:t>
      </w:r>
      <w:r>
        <w:rPr>
          <w:rStyle w:val="12"/>
          <w:rFonts w:hint="eastAsia" w:ascii="仿宋_GB2312" w:hAnsi="仿宋_GB2312" w:eastAsia="仿宋_GB2312" w:cs="仿宋_GB2312"/>
          <w:bCs/>
          <w:color w:val="000000"/>
          <w:sz w:val="32"/>
          <w:szCs w:val="32"/>
        </w:rPr>
        <w:t>社会保障和就业（类）行政事业单位离退休（款）机关事业单位基本养老保险缴费支出（项）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18.19</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2"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3.</w:t>
      </w:r>
      <w:r>
        <w:rPr>
          <w:rStyle w:val="12"/>
          <w:rFonts w:hint="eastAsia" w:ascii="仿宋_GB2312" w:hAnsi="仿宋_GB2312" w:eastAsia="仿宋_GB2312" w:cs="仿宋_GB2312"/>
          <w:bCs/>
          <w:color w:val="000000"/>
          <w:sz w:val="32"/>
          <w:szCs w:val="32"/>
        </w:rPr>
        <w:t>医疗卫生与计划生育支出（类）行政事业单位医疗（款）行政单位医疗（项）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16.40</w:t>
      </w:r>
      <w:r>
        <w:rPr>
          <w:rStyle w:val="12"/>
          <w:rFonts w:hint="eastAsia" w:ascii="仿宋_GB2312" w:hAnsi="仿宋_GB2312" w:eastAsia="仿宋_GB2312" w:cs="仿宋_GB2312"/>
          <w:b w:val="0"/>
          <w:bCs/>
          <w:color w:val="000000"/>
          <w:sz w:val="32"/>
          <w:szCs w:val="32"/>
        </w:rPr>
        <w:t>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2"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4.</w:t>
      </w:r>
      <w:r>
        <w:rPr>
          <w:rStyle w:val="12"/>
          <w:rFonts w:hint="eastAsia" w:ascii="仿宋_GB2312" w:hAnsi="仿宋_GB2312" w:eastAsia="仿宋_GB2312" w:cs="仿宋_GB2312"/>
          <w:bCs/>
          <w:color w:val="000000"/>
          <w:sz w:val="32"/>
          <w:szCs w:val="32"/>
        </w:rPr>
        <w:t>农林水支出（类）扶贫（款）农村基础设施建设（项）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3.0</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2" w:firstLineChars="200"/>
        <w:rPr>
          <w:rStyle w:val="12"/>
          <w:rFonts w:ascii="仿宋_GB2312" w:hAnsi="仿宋_GB2312" w:eastAsia="仿宋_GB2312" w:cs="仿宋_GB2312"/>
          <w:bCs/>
          <w:color w:val="000000"/>
          <w:sz w:val="32"/>
          <w:szCs w:val="32"/>
        </w:rPr>
      </w:pPr>
      <w:r>
        <w:rPr>
          <w:rStyle w:val="12"/>
          <w:rFonts w:ascii="仿宋_GB2312" w:hAnsi="仿宋_GB2312" w:eastAsia="仿宋_GB2312" w:cs="仿宋_GB2312"/>
          <w:bCs/>
          <w:color w:val="000000"/>
          <w:sz w:val="32"/>
          <w:szCs w:val="32"/>
        </w:rPr>
        <w:t>5.</w:t>
      </w:r>
      <w:r>
        <w:rPr>
          <w:rStyle w:val="12"/>
          <w:rFonts w:hint="eastAsia" w:ascii="仿宋_GB2312" w:hAnsi="仿宋_GB2312" w:eastAsia="仿宋_GB2312" w:cs="仿宋_GB2312"/>
          <w:bCs/>
          <w:color w:val="000000"/>
          <w:sz w:val="32"/>
          <w:szCs w:val="32"/>
        </w:rPr>
        <w:t>粮油物资储备等支出（类）粮食事务（款）行政运行（项）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974.16</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2"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6.</w:t>
      </w:r>
      <w:r>
        <w:rPr>
          <w:rStyle w:val="12"/>
          <w:rFonts w:hint="eastAsia" w:ascii="仿宋_GB2312" w:hAnsi="仿宋_GB2312" w:eastAsia="仿宋_GB2312" w:cs="仿宋_GB2312"/>
          <w:bCs/>
          <w:color w:val="000000"/>
          <w:sz w:val="32"/>
          <w:szCs w:val="32"/>
        </w:rPr>
        <w:t>住房保障支出（类）住房改革支出（款）住房公积金（项）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19.14</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420" w:firstLineChars="200"/>
        <w:rPr>
          <w:rStyle w:val="12"/>
          <w:rFonts w:ascii="仿宋_GB2312" w:hAnsi="仿宋_GB2312" w:eastAsia="仿宋_GB2312" w:cs="仿宋_GB2312"/>
          <w:b w:val="0"/>
          <w:bCs/>
          <w:color w:val="000000"/>
          <w:sz w:val="32"/>
          <w:szCs w:val="32"/>
        </w:rPr>
      </w:pPr>
      <w:r>
        <w:pict>
          <v:shape id="_x0000_s1032" o:spid="_x0000_s1032" o:spt="75" type="#_x0000_t75" style="position:absolute;left:0pt;margin-left:54pt;margin-top:1.8pt;height:144pt;width:216.45pt;mso-wrap-distance-bottom:0pt;mso-wrap-distance-left:9pt;mso-wrap-distance-right:9pt;mso-wrap-distance-top:0pt;z-index:251662336;mso-width-relative:page;mso-height-relative:page;" o:ole="t" filled="f" o:preferrelative="t" stroked="f" coordsize="21600,21600">
            <v:path/>
            <v:fill on="f" focussize="0,0"/>
            <v:stroke on="f" joinstyle="miter"/>
            <v:imagedata r:id="rId18" o:title=""/>
            <o:lock v:ext="edit" aspectratio="t"/>
            <w10:wrap type="square"/>
          </v:shape>
          <o:OLEObject Type="Embed" ProgID="MSGraph.Chart.8" ShapeID="_x0000_s1032" DrawAspect="Content" ObjectID="_1468075729" r:id="rId17">
            <o:LockedField>false</o:LockedField>
          </o:OLEObject>
        </w:pict>
      </w:r>
    </w:p>
    <w:p>
      <w:pPr>
        <w:spacing w:line="576" w:lineRule="exact"/>
        <w:ind w:firstLine="640" w:firstLineChars="200"/>
        <w:rPr>
          <w:rStyle w:val="12"/>
          <w:rFonts w:ascii="仿宋_GB2312" w:hAnsi="仿宋_GB2312" w:eastAsia="仿宋_GB2312" w:cs="仿宋_GB2312"/>
          <w:b w:val="0"/>
          <w:bCs/>
          <w:color w:val="000000"/>
          <w:sz w:val="32"/>
          <w:szCs w:val="32"/>
        </w:rPr>
      </w:pPr>
    </w:p>
    <w:p>
      <w:pPr>
        <w:spacing w:line="576" w:lineRule="exact"/>
        <w:ind w:firstLine="640" w:firstLineChars="200"/>
        <w:rPr>
          <w:rStyle w:val="12"/>
          <w:rFonts w:ascii="仿宋_GB2312" w:hAnsi="仿宋_GB2312" w:eastAsia="仿宋_GB2312" w:cs="仿宋_GB2312"/>
          <w:b w:val="0"/>
          <w:bCs/>
          <w:color w:val="000000"/>
          <w:sz w:val="32"/>
          <w:szCs w:val="32"/>
        </w:rPr>
      </w:pPr>
    </w:p>
    <w:p>
      <w:pPr>
        <w:spacing w:line="576" w:lineRule="exact"/>
        <w:ind w:firstLine="640" w:firstLineChars="200"/>
        <w:rPr>
          <w:rStyle w:val="12"/>
          <w:rFonts w:ascii="仿宋_GB2312" w:hAnsi="仿宋_GB2312" w:eastAsia="仿宋_GB2312" w:cs="仿宋_GB2312"/>
          <w:b w:val="0"/>
          <w:bCs/>
          <w:color w:val="000000"/>
          <w:sz w:val="32"/>
          <w:szCs w:val="32"/>
        </w:rPr>
      </w:pPr>
    </w:p>
    <w:p>
      <w:pPr>
        <w:spacing w:line="576" w:lineRule="exact"/>
        <w:ind w:firstLine="642" w:firstLineChars="200"/>
        <w:rPr>
          <w:rStyle w:val="12"/>
          <w:rFonts w:ascii="仿宋_GB2312" w:hAnsi="仿宋_GB2312" w:eastAsia="仿宋_GB2312" w:cs="仿宋_GB2312"/>
          <w:bCs/>
          <w:color w:val="000000"/>
          <w:sz w:val="32"/>
          <w:szCs w:val="32"/>
        </w:rPr>
      </w:pPr>
    </w:p>
    <w:p>
      <w:pPr>
        <w:spacing w:line="576" w:lineRule="exact"/>
        <w:ind w:firstLine="642" w:firstLineChars="200"/>
        <w:rPr>
          <w:rStyle w:val="12"/>
          <w:rFonts w:ascii="仿宋_GB2312" w:hAnsi="仿宋_GB2312" w:eastAsia="仿宋_GB2312" w:cs="仿宋_GB2312"/>
          <w:bCs/>
          <w:color w:val="000000"/>
          <w:sz w:val="32"/>
          <w:szCs w:val="32"/>
        </w:rPr>
      </w:pPr>
    </w:p>
    <w:p>
      <w:pPr>
        <w:pStyle w:val="28"/>
        <w:spacing w:line="600" w:lineRule="exact"/>
        <w:ind w:left="640" w:firstLine="0" w:firstLineChars="0"/>
        <w:outlineLvl w:val="1"/>
        <w:rPr>
          <w:rStyle w:val="23"/>
          <w:b w:val="0"/>
        </w:rPr>
      </w:pPr>
      <w:bookmarkStart w:id="38" w:name="_Toc15396608"/>
      <w:bookmarkStart w:id="39" w:name="_Toc15377214"/>
      <w:r>
        <w:rPr>
          <w:rFonts w:hint="eastAsia" w:ascii="黑体" w:hAnsi="黑体" w:eastAsia="黑体"/>
          <w:bCs/>
          <w:color w:val="000000"/>
          <w:sz w:val="32"/>
          <w:szCs w:val="32"/>
        </w:rPr>
        <w:t>六、一</w:t>
      </w:r>
      <w:r>
        <w:rPr>
          <w:rStyle w:val="23"/>
          <w:rFonts w:hint="eastAsia" w:ascii="黑体" w:hAnsi="黑体" w:eastAsia="黑体"/>
          <w:b w:val="0"/>
        </w:rPr>
        <w:t>般公共预算财政拨款基本支出决算情况说明</w:t>
      </w:r>
      <w:bookmarkEnd w:id="38"/>
      <w:bookmarkEnd w:id="39"/>
    </w:p>
    <w:p>
      <w:pPr>
        <w:spacing w:line="576" w:lineRule="exact"/>
        <w:ind w:firstLine="646"/>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年一般公共预算财政拨款基本支出</w:t>
      </w:r>
      <w:r>
        <w:rPr>
          <w:rFonts w:ascii="仿宋_GB2312" w:hAnsi="仿宋_GB2312" w:eastAsia="仿宋_GB2312" w:cs="仿宋_GB2312"/>
          <w:color w:val="000000"/>
          <w:sz w:val="32"/>
          <w:szCs w:val="32"/>
        </w:rPr>
        <w:t>292.33</w:t>
      </w:r>
      <w:r>
        <w:rPr>
          <w:rFonts w:hint="eastAsia" w:ascii="仿宋_GB2312" w:hAnsi="仿宋_GB2312" w:eastAsia="仿宋_GB2312" w:cs="仿宋_GB2312"/>
          <w:color w:val="000000"/>
          <w:sz w:val="32"/>
          <w:szCs w:val="32"/>
        </w:rPr>
        <w:t>万元，其中：</w:t>
      </w:r>
    </w:p>
    <w:p>
      <w:pPr>
        <w:spacing w:line="576" w:lineRule="exact"/>
        <w:ind w:firstLine="646"/>
        <w:rPr>
          <w:rFonts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人员经费</w:t>
      </w:r>
      <w:r>
        <w:rPr>
          <w:rFonts w:ascii="仿宋_GB2312" w:hAnsi="仿宋_GB2312" w:eastAsia="仿宋_GB2312" w:cs="仿宋_GB2312"/>
          <w:color w:val="000000"/>
          <w:sz w:val="32"/>
          <w:szCs w:val="32"/>
        </w:rPr>
        <w:t>281.25</w:t>
      </w:r>
      <w:r>
        <w:rPr>
          <w:rFonts w:hint="eastAsia" w:ascii="仿宋_GB2312" w:hAnsi="仿宋_GB2312" w:eastAsia="仿宋_GB2312" w:cs="仿宋_GB2312"/>
          <w:color w:val="000000"/>
          <w:sz w:val="32"/>
          <w:szCs w:val="32"/>
        </w:rPr>
        <w:t>万元，主要包括：基本工资、津贴补贴、奖金、绩效工资、机关事业单位基本养老保险缴费、职业年金缴费、其他社会保障缴费、其他工资福利支出、离休费、退休费、生活补助、医疗费、奖励金、住房公积金、提租补贴、购房补贴、其他对个人和家庭的补助支出等。</w:t>
      </w:r>
      <w:r>
        <w:rPr>
          <w:rFonts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ascii="仿宋_GB2312" w:hAnsi="仿宋_GB2312" w:eastAsia="仿宋_GB2312" w:cs="仿宋_GB2312"/>
          <w:color w:val="000000"/>
          <w:sz w:val="32"/>
          <w:szCs w:val="32"/>
        </w:rPr>
        <w:t>11.08</w:t>
      </w:r>
      <w:r>
        <w:rPr>
          <w:rFonts w:hint="eastAsia" w:ascii="仿宋_GB2312" w:hAnsi="仿宋_GB2312" w:eastAsia="仿宋_GB2312" w:cs="仿宋_GB2312"/>
          <w:color w:val="000000"/>
          <w:sz w:val="32"/>
          <w:szCs w:val="32"/>
        </w:rPr>
        <w:t>万元，主要包括：办公费、水费、电费、邮电费、取暖费、差旅费、培训费、公务用车运行维护费、其他商品和服务支出、办公设备购置、专用设备购置、其他资本性支出等。</w:t>
      </w:r>
    </w:p>
    <w:p>
      <w:pPr>
        <w:pStyle w:val="28"/>
        <w:spacing w:line="600" w:lineRule="exact"/>
        <w:ind w:left="640" w:firstLine="0" w:firstLineChars="0"/>
        <w:outlineLvl w:val="1"/>
        <w:rPr>
          <w:rStyle w:val="23"/>
          <w:rFonts w:ascii="黑体" w:hAnsi="黑体" w:eastAsia="黑体"/>
          <w:b w:val="0"/>
          <w:bCs w:val="0"/>
        </w:rPr>
      </w:pPr>
      <w:bookmarkStart w:id="40" w:name="_Toc15377215"/>
      <w:bookmarkStart w:id="41" w:name="_Toc15396609"/>
      <w:r>
        <w:rPr>
          <w:rStyle w:val="23"/>
          <w:rFonts w:hint="eastAsia" w:ascii="黑体" w:hAnsi="黑体" w:eastAsia="黑体"/>
          <w:b w:val="0"/>
          <w:bCs w:val="0"/>
        </w:rPr>
        <w:t>七、“三公”经费财政拨款支出决算情况说明</w:t>
      </w:r>
      <w:bookmarkEnd w:id="40"/>
      <w:bookmarkEnd w:id="41"/>
    </w:p>
    <w:p>
      <w:pPr>
        <w:numPr>
          <w:ilvl w:val="0"/>
          <w:numId w:val="3"/>
        </w:numPr>
        <w:spacing w:line="576" w:lineRule="exact"/>
        <w:outlineLvl w:val="1"/>
        <w:rPr>
          <w:rFonts w:ascii="楷体" w:hAnsi="楷体" w:eastAsia="楷体" w:cs="楷体"/>
          <w:b/>
          <w:color w:val="000000"/>
          <w:sz w:val="32"/>
          <w:szCs w:val="32"/>
        </w:rPr>
      </w:pPr>
      <w:bookmarkStart w:id="42" w:name="_Toc15377216"/>
      <w:r>
        <w:rPr>
          <w:rFonts w:hint="eastAsia" w:ascii="楷体" w:hAnsi="楷体" w:eastAsia="楷体" w:cs="楷体"/>
          <w:b/>
          <w:color w:val="000000"/>
          <w:sz w:val="32"/>
          <w:szCs w:val="32"/>
        </w:rPr>
        <w:t>“三公”经费财政拨款支出决算总体情况说明</w:t>
      </w:r>
      <w:bookmarkEnd w:id="42"/>
    </w:p>
    <w:p>
      <w:pPr>
        <w:spacing w:line="576" w:lineRule="exact"/>
        <w:ind w:firstLine="640"/>
        <w:rPr>
          <w:rFonts w:ascii="仿宋" w:hAnsi="仿宋" w:eastAsia="仿宋" w:cs="宋体"/>
          <w:color w:val="000000"/>
          <w:sz w:val="32"/>
          <w:szCs w:val="32"/>
        </w:rPr>
      </w:pPr>
      <w:r>
        <w:rPr>
          <w:rFonts w:ascii="仿宋" w:hAnsi="仿宋" w:eastAsia="仿宋" w:cs="仿宋_GB2312"/>
          <w:color w:val="000000"/>
          <w:sz w:val="32"/>
          <w:szCs w:val="32"/>
        </w:rPr>
        <w:t>2020</w:t>
      </w:r>
      <w:r>
        <w:rPr>
          <w:rFonts w:hint="eastAsia" w:ascii="仿宋" w:hAnsi="仿宋" w:eastAsia="仿宋" w:cs="仿宋_GB2312"/>
          <w:color w:val="000000"/>
          <w:sz w:val="32"/>
          <w:szCs w:val="32"/>
        </w:rPr>
        <w:t>年“三公”经费财政拨款支出决算为</w:t>
      </w:r>
      <w:r>
        <w:rPr>
          <w:rFonts w:ascii="仿宋" w:hAnsi="仿宋" w:eastAsia="仿宋" w:cs="仿宋_GB2312"/>
          <w:color w:val="000000"/>
          <w:sz w:val="32"/>
          <w:szCs w:val="32"/>
        </w:rPr>
        <w:t>0.05</w:t>
      </w:r>
      <w:r>
        <w:rPr>
          <w:rFonts w:hint="eastAsia" w:ascii="仿宋" w:hAnsi="仿宋" w:eastAsia="仿宋" w:cs="仿宋_GB2312"/>
          <w:color w:val="000000"/>
          <w:sz w:val="32"/>
          <w:szCs w:val="32"/>
        </w:rPr>
        <w:t>万元，完成预算</w:t>
      </w:r>
      <w:r>
        <w:rPr>
          <w:rFonts w:ascii="仿宋" w:hAnsi="仿宋" w:eastAsia="仿宋" w:cs="仿宋_GB2312"/>
          <w:color w:val="000000"/>
          <w:sz w:val="32"/>
          <w:szCs w:val="32"/>
        </w:rPr>
        <w:t>20%</w:t>
      </w:r>
      <w:r>
        <w:rPr>
          <w:rFonts w:hint="eastAsia" w:ascii="仿宋" w:hAnsi="仿宋" w:eastAsia="仿宋" w:cs="仿宋_GB2312"/>
          <w:color w:val="000000"/>
          <w:sz w:val="32"/>
          <w:szCs w:val="32"/>
        </w:rPr>
        <w:t>，</w:t>
      </w:r>
      <w:r>
        <w:rPr>
          <w:rFonts w:hint="eastAsia" w:ascii="仿宋" w:hAnsi="仿宋" w:eastAsia="仿宋" w:cs="宋体"/>
          <w:color w:val="000000"/>
          <w:sz w:val="32"/>
          <w:szCs w:val="32"/>
        </w:rPr>
        <w:t>与</w:t>
      </w:r>
      <w:r>
        <w:rPr>
          <w:rFonts w:ascii="仿宋" w:hAnsi="仿宋" w:eastAsia="仿宋" w:cs="宋体"/>
          <w:color w:val="000000"/>
          <w:sz w:val="32"/>
          <w:szCs w:val="32"/>
        </w:rPr>
        <w:t>2019</w:t>
      </w:r>
      <w:r>
        <w:rPr>
          <w:rFonts w:hint="eastAsia" w:ascii="仿宋" w:hAnsi="仿宋" w:eastAsia="仿宋" w:cs="宋体"/>
          <w:color w:val="000000"/>
          <w:sz w:val="32"/>
          <w:szCs w:val="32"/>
        </w:rPr>
        <w:t>年相比，</w:t>
      </w:r>
      <w:r>
        <w:rPr>
          <w:rFonts w:hint="eastAsia" w:ascii="仿宋" w:hAnsi="仿宋" w:eastAsia="仿宋" w:cs="仿宋_GB2312"/>
          <w:color w:val="000000"/>
          <w:sz w:val="32"/>
          <w:szCs w:val="32"/>
        </w:rPr>
        <w:t>“三公”经费财政拨款支出增加</w:t>
      </w:r>
      <w:r>
        <w:rPr>
          <w:rFonts w:hint="eastAsia" w:ascii="仿宋" w:hAnsi="仿宋" w:eastAsia="仿宋" w:cs="宋体"/>
          <w:color w:val="000000"/>
          <w:sz w:val="32"/>
          <w:szCs w:val="32"/>
        </w:rPr>
        <w:t>了</w:t>
      </w:r>
      <w:r>
        <w:rPr>
          <w:rFonts w:ascii="仿宋" w:hAnsi="仿宋" w:eastAsia="仿宋" w:cs="宋体"/>
          <w:color w:val="000000"/>
          <w:sz w:val="32"/>
          <w:szCs w:val="32"/>
        </w:rPr>
        <w:t>0.05</w:t>
      </w:r>
      <w:r>
        <w:rPr>
          <w:rFonts w:hint="eastAsia" w:ascii="仿宋" w:hAnsi="仿宋" w:eastAsia="仿宋" w:cs="宋体"/>
          <w:color w:val="000000"/>
          <w:sz w:val="32"/>
          <w:szCs w:val="32"/>
        </w:rPr>
        <w:t>万元，增长</w:t>
      </w:r>
      <w:r>
        <w:rPr>
          <w:rFonts w:ascii="仿宋" w:hAnsi="仿宋" w:eastAsia="仿宋" w:cs="宋体"/>
          <w:color w:val="000000"/>
          <w:sz w:val="32"/>
          <w:szCs w:val="32"/>
        </w:rPr>
        <w:t>100%</w:t>
      </w:r>
    </w:p>
    <w:p>
      <w:pPr>
        <w:numPr>
          <w:ilvl w:val="0"/>
          <w:numId w:val="3"/>
        </w:numPr>
        <w:spacing w:line="576" w:lineRule="exact"/>
        <w:outlineLvl w:val="1"/>
        <w:rPr>
          <w:rFonts w:ascii="仿宋" w:hAnsi="仿宋" w:eastAsia="仿宋" w:cs="楷体"/>
          <w:b/>
          <w:color w:val="000000"/>
          <w:sz w:val="32"/>
          <w:szCs w:val="32"/>
        </w:rPr>
      </w:pPr>
      <w:bookmarkStart w:id="43" w:name="_Toc15377217"/>
      <w:r>
        <w:rPr>
          <w:rFonts w:hint="eastAsia" w:ascii="仿宋" w:hAnsi="仿宋" w:eastAsia="仿宋" w:cs="楷体"/>
          <w:b/>
          <w:color w:val="000000"/>
          <w:sz w:val="32"/>
          <w:szCs w:val="32"/>
        </w:rPr>
        <w:t>“三公”经费财政拨款支出决算具体情况说明</w:t>
      </w:r>
      <w:bookmarkEnd w:id="43"/>
      <w:r>
        <w:rPr>
          <w:rFonts w:ascii="仿宋" w:hAnsi="仿宋" w:eastAsia="仿宋" w:cs="仿宋_GB2312"/>
          <w:color w:val="000000"/>
          <w:sz w:val="32"/>
          <w:szCs w:val="32"/>
        </w:rPr>
        <w:t>2020</w:t>
      </w:r>
      <w:r>
        <w:rPr>
          <w:rFonts w:hint="eastAsia" w:ascii="仿宋" w:hAnsi="仿宋" w:eastAsia="仿宋" w:cs="仿宋_GB2312"/>
          <w:color w:val="000000"/>
          <w:sz w:val="32"/>
          <w:szCs w:val="32"/>
        </w:rPr>
        <w:t>年“三公”经费财政拨款支出决算中，因公出国（境）费支出决算</w:t>
      </w:r>
      <w:r>
        <w:rPr>
          <w:rFonts w:ascii="仿宋" w:hAnsi="仿宋" w:eastAsia="仿宋" w:cs="仿宋_GB2312"/>
          <w:color w:val="000000"/>
          <w:sz w:val="32"/>
          <w:szCs w:val="32"/>
        </w:rPr>
        <w:t>0</w:t>
      </w:r>
      <w:r>
        <w:rPr>
          <w:rFonts w:hint="eastAsia" w:ascii="仿宋" w:hAnsi="仿宋" w:eastAsia="仿宋" w:cs="仿宋_GB2312"/>
          <w:color w:val="000000"/>
          <w:sz w:val="32"/>
          <w:szCs w:val="32"/>
        </w:rPr>
        <w:t>万元，</w:t>
      </w:r>
      <w:r>
        <w:rPr>
          <w:rFonts w:hint="eastAsia" w:ascii="仿宋" w:hAnsi="仿宋" w:eastAsia="仿宋" w:cs="宋体"/>
          <w:color w:val="000000"/>
          <w:sz w:val="32"/>
          <w:szCs w:val="32"/>
        </w:rPr>
        <w:t>与</w:t>
      </w:r>
      <w:r>
        <w:rPr>
          <w:rFonts w:ascii="仿宋" w:hAnsi="仿宋" w:eastAsia="仿宋" w:cs="宋体"/>
          <w:color w:val="000000"/>
          <w:sz w:val="32"/>
          <w:szCs w:val="32"/>
        </w:rPr>
        <w:t>2019</w:t>
      </w:r>
      <w:r>
        <w:rPr>
          <w:rFonts w:hint="eastAsia" w:ascii="仿宋" w:hAnsi="仿宋" w:eastAsia="仿宋" w:cs="宋体"/>
          <w:color w:val="000000"/>
          <w:sz w:val="32"/>
          <w:szCs w:val="32"/>
        </w:rPr>
        <w:t>年相比，持平</w:t>
      </w:r>
      <w:r>
        <w:rPr>
          <w:rFonts w:hint="eastAsia" w:ascii="仿宋" w:hAnsi="仿宋" w:eastAsia="仿宋" w:cs="仿宋_GB2312"/>
          <w:color w:val="000000"/>
          <w:sz w:val="32"/>
          <w:szCs w:val="32"/>
        </w:rPr>
        <w:t>；公务用车购置及运行维护费支出决算</w:t>
      </w:r>
      <w:r>
        <w:rPr>
          <w:rFonts w:ascii="仿宋" w:hAnsi="仿宋" w:eastAsia="仿宋" w:cs="仿宋_GB2312"/>
          <w:color w:val="000000"/>
          <w:sz w:val="32"/>
          <w:szCs w:val="32"/>
        </w:rPr>
        <w:t>0</w:t>
      </w:r>
      <w:r>
        <w:rPr>
          <w:rFonts w:hint="eastAsia" w:ascii="仿宋" w:hAnsi="仿宋" w:eastAsia="仿宋" w:cs="仿宋_GB2312"/>
          <w:color w:val="000000"/>
          <w:sz w:val="32"/>
          <w:szCs w:val="32"/>
        </w:rPr>
        <w:t>万元，</w:t>
      </w:r>
      <w:r>
        <w:rPr>
          <w:rFonts w:hint="eastAsia" w:ascii="仿宋" w:hAnsi="仿宋" w:eastAsia="仿宋" w:cs="宋体"/>
          <w:color w:val="000000"/>
          <w:sz w:val="32"/>
          <w:szCs w:val="32"/>
        </w:rPr>
        <w:t>与</w:t>
      </w:r>
      <w:r>
        <w:rPr>
          <w:rFonts w:ascii="仿宋" w:hAnsi="仿宋" w:eastAsia="仿宋" w:cs="宋体"/>
          <w:color w:val="000000"/>
          <w:sz w:val="32"/>
          <w:szCs w:val="32"/>
        </w:rPr>
        <w:t>2019</w:t>
      </w:r>
      <w:r>
        <w:rPr>
          <w:rFonts w:hint="eastAsia" w:ascii="仿宋" w:hAnsi="仿宋" w:eastAsia="仿宋" w:cs="宋体"/>
          <w:color w:val="000000"/>
          <w:sz w:val="32"/>
          <w:szCs w:val="32"/>
        </w:rPr>
        <w:t>年相比，持平</w:t>
      </w:r>
      <w:r>
        <w:rPr>
          <w:rFonts w:hint="eastAsia" w:ascii="仿宋" w:hAnsi="仿宋" w:eastAsia="仿宋" w:cs="仿宋_GB2312"/>
          <w:color w:val="000000"/>
          <w:sz w:val="32"/>
          <w:szCs w:val="32"/>
        </w:rPr>
        <w:t>；公务接待费支出决算</w:t>
      </w:r>
      <w:r>
        <w:rPr>
          <w:rFonts w:ascii="仿宋" w:hAnsi="仿宋" w:eastAsia="仿宋" w:cs="仿宋_GB2312"/>
          <w:color w:val="000000"/>
          <w:sz w:val="32"/>
          <w:szCs w:val="32"/>
        </w:rPr>
        <w:t>0.05</w:t>
      </w:r>
      <w:r>
        <w:rPr>
          <w:rFonts w:hint="eastAsia" w:ascii="仿宋" w:hAnsi="仿宋" w:eastAsia="仿宋" w:cs="仿宋_GB2312"/>
          <w:color w:val="000000"/>
          <w:sz w:val="32"/>
          <w:szCs w:val="32"/>
        </w:rPr>
        <w:t>万元，</w:t>
      </w:r>
      <w:r>
        <w:rPr>
          <w:rFonts w:hint="eastAsia" w:ascii="仿宋" w:hAnsi="仿宋" w:eastAsia="仿宋" w:cs="宋体"/>
          <w:color w:val="000000"/>
          <w:sz w:val="32"/>
          <w:szCs w:val="32"/>
        </w:rPr>
        <w:t>与</w:t>
      </w:r>
      <w:r>
        <w:rPr>
          <w:rFonts w:ascii="仿宋" w:hAnsi="仿宋" w:eastAsia="仿宋" w:cs="宋体"/>
          <w:color w:val="000000"/>
          <w:sz w:val="32"/>
          <w:szCs w:val="32"/>
        </w:rPr>
        <w:t>2019</w:t>
      </w:r>
      <w:r>
        <w:rPr>
          <w:rFonts w:hint="eastAsia" w:ascii="仿宋" w:hAnsi="仿宋" w:eastAsia="仿宋" w:cs="宋体"/>
          <w:color w:val="000000"/>
          <w:sz w:val="32"/>
          <w:szCs w:val="32"/>
        </w:rPr>
        <w:t>年相比，增加了</w:t>
      </w:r>
      <w:r>
        <w:rPr>
          <w:rFonts w:ascii="仿宋" w:hAnsi="仿宋" w:eastAsia="仿宋" w:cs="宋体"/>
          <w:color w:val="000000"/>
          <w:sz w:val="32"/>
          <w:szCs w:val="32"/>
        </w:rPr>
        <w:t>0.05</w:t>
      </w:r>
      <w:r>
        <w:rPr>
          <w:rFonts w:hint="eastAsia" w:ascii="仿宋" w:hAnsi="仿宋" w:eastAsia="仿宋" w:cs="宋体"/>
          <w:color w:val="000000"/>
          <w:sz w:val="32"/>
          <w:szCs w:val="32"/>
        </w:rPr>
        <w:t>万元，增长</w:t>
      </w:r>
      <w:r>
        <w:rPr>
          <w:rFonts w:ascii="仿宋" w:hAnsi="仿宋" w:eastAsia="仿宋" w:cs="宋体"/>
          <w:color w:val="000000"/>
          <w:sz w:val="32"/>
          <w:szCs w:val="32"/>
        </w:rPr>
        <w:t>100%</w:t>
      </w:r>
      <w:r>
        <w:rPr>
          <w:rFonts w:hint="eastAsia" w:ascii="仿宋" w:hAnsi="仿宋" w:eastAsia="仿宋" w:cs="仿宋_GB2312"/>
          <w:color w:val="000000"/>
          <w:sz w:val="32"/>
          <w:szCs w:val="32"/>
        </w:rPr>
        <w:t>。</w:t>
      </w:r>
    </w:p>
    <w:p>
      <w:pPr>
        <w:numPr>
          <w:ilvl w:val="0"/>
          <w:numId w:val="3"/>
        </w:numPr>
        <w:spacing w:line="576" w:lineRule="exact"/>
        <w:outlineLvl w:val="1"/>
        <w:rPr>
          <w:rFonts w:ascii="楷体" w:hAnsi="楷体" w:eastAsia="楷体" w:cs="楷体"/>
          <w:b/>
          <w:color w:val="000000"/>
          <w:sz w:val="32"/>
          <w:szCs w:val="32"/>
        </w:rPr>
      </w:pPr>
      <w:r>
        <w:rPr>
          <w:rFonts w:hint="eastAsia" w:ascii="楷体" w:hAnsi="楷体" w:eastAsia="楷体" w:cs="楷体"/>
          <w:b/>
          <w:color w:val="000000"/>
          <w:sz w:val="32"/>
          <w:szCs w:val="32"/>
        </w:rPr>
        <w:t>三公经费</w:t>
      </w:r>
    </w:p>
    <w:p>
      <w:pPr>
        <w:spacing w:line="576" w:lineRule="exact"/>
        <w:ind w:firstLine="640" w:firstLineChars="200"/>
        <w:outlineLvl w:val="1"/>
        <w:rPr>
          <w:rFonts w:ascii="楷体" w:hAnsi="楷体" w:eastAsia="楷体" w:cs="楷体"/>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因公出国（境）经费支出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公务用车购置及运行维护费支出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Style w:val="12"/>
          <w:rFonts w:hint="eastAsia" w:ascii="仿宋_GB2312" w:hAnsi="仿宋_GB2312" w:eastAsia="仿宋_GB2312" w:cs="仿宋_GB2312"/>
          <w:b w:val="0"/>
          <w:bCs/>
          <w:color w:val="000000"/>
          <w:sz w:val="32"/>
          <w:szCs w:val="32"/>
        </w:rPr>
        <w:t>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公务接待费支出</w:t>
      </w:r>
      <w:r>
        <w:rPr>
          <w:rFonts w:ascii="仿宋_GB2312" w:hAnsi="仿宋_GB2312" w:eastAsia="仿宋_GB2312" w:cs="仿宋_GB2312"/>
          <w:color w:val="000000"/>
          <w:sz w:val="32"/>
          <w:szCs w:val="32"/>
        </w:rPr>
        <w:t>0.05</w:t>
      </w:r>
      <w:r>
        <w:rPr>
          <w:rFonts w:hint="eastAsia" w:ascii="仿宋_GB2312" w:hAnsi="仿宋_GB2312" w:eastAsia="仿宋_GB2312" w:cs="仿宋_GB2312"/>
          <w:color w:val="000000"/>
          <w:sz w:val="32"/>
          <w:szCs w:val="32"/>
        </w:rPr>
        <w:t>万元。</w:t>
      </w:r>
      <w:bookmarkStart w:id="44" w:name="_Toc15396610"/>
      <w:bookmarkStart w:id="45" w:name="_Toc15377218"/>
    </w:p>
    <w:p>
      <w:pPr>
        <w:pStyle w:val="28"/>
        <w:spacing w:line="600" w:lineRule="exact"/>
        <w:ind w:left="640" w:firstLine="0" w:firstLineChars="0"/>
        <w:outlineLvl w:val="1"/>
        <w:rPr>
          <w:rStyle w:val="23"/>
          <w:rFonts w:ascii="黑体" w:hAnsi="黑体" w:eastAsia="黑体"/>
        </w:rPr>
      </w:pPr>
      <w:r>
        <w:rPr>
          <w:rStyle w:val="23"/>
          <w:rFonts w:hint="eastAsia" w:ascii="黑体" w:hAnsi="黑体" w:eastAsia="黑体"/>
          <w:b w:val="0"/>
        </w:rPr>
        <w:t>八、政府性</w:t>
      </w:r>
      <w:r>
        <w:rPr>
          <w:rStyle w:val="23"/>
          <w:rFonts w:hint="eastAsia" w:ascii="黑体" w:hAnsi="黑体" w:eastAsia="黑体"/>
          <w:b w:val="0"/>
          <w:bCs w:val="0"/>
        </w:rPr>
        <w:t>基金</w:t>
      </w:r>
      <w:r>
        <w:rPr>
          <w:rStyle w:val="23"/>
          <w:rFonts w:hint="eastAsia" w:ascii="黑体" w:hAnsi="黑体" w:eastAsia="黑体"/>
          <w:b w:val="0"/>
        </w:rPr>
        <w:t>预算支出决算情况说明</w:t>
      </w:r>
      <w:bookmarkEnd w:id="44"/>
      <w:bookmarkEnd w:id="45"/>
    </w:p>
    <w:p>
      <w:pPr>
        <w:spacing w:line="576" w:lineRule="exact"/>
        <w:ind w:firstLine="641"/>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年无政府性基金预算拨款支出。</w:t>
      </w:r>
    </w:p>
    <w:p>
      <w:pPr>
        <w:pStyle w:val="28"/>
        <w:spacing w:line="600" w:lineRule="exact"/>
        <w:ind w:left="640" w:firstLine="0" w:firstLineChars="0"/>
        <w:outlineLvl w:val="1"/>
        <w:rPr>
          <w:rStyle w:val="23"/>
          <w:rFonts w:ascii="黑体" w:hAnsi="黑体" w:eastAsia="黑体"/>
          <w:b w:val="0"/>
        </w:rPr>
      </w:pPr>
      <w:bookmarkStart w:id="46" w:name="_Toc15396611"/>
      <w:bookmarkStart w:id="47" w:name="_Toc15377219"/>
      <w:r>
        <w:rPr>
          <w:rStyle w:val="23"/>
          <w:rFonts w:hint="eastAsia" w:ascii="黑体" w:hAnsi="黑体" w:eastAsia="黑体"/>
          <w:b w:val="0"/>
        </w:rPr>
        <w:t>九、国有资本经营预算支出决算情况说明</w:t>
      </w:r>
      <w:bookmarkEnd w:id="46"/>
      <w:bookmarkEnd w:id="47"/>
    </w:p>
    <w:p>
      <w:pPr>
        <w:spacing w:line="576" w:lineRule="exact"/>
        <w:ind w:firstLine="641"/>
        <w:rPr>
          <w:rFonts w:ascii="仿宋_GB2312" w:eastAsia="仿宋_GB2312"/>
          <w:color w:val="000000"/>
          <w:sz w:val="32"/>
          <w:szCs w:val="32"/>
        </w:rPr>
      </w:pPr>
      <w:r>
        <w:rPr>
          <w:rFonts w:hint="eastAsia" w:ascii="仿宋_GB2312" w:eastAsia="仿宋_GB2312"/>
          <w:color w:val="000000"/>
          <w:sz w:val="32"/>
          <w:szCs w:val="32"/>
        </w:rPr>
        <w:t>茂县粮食和物资储备中心</w:t>
      </w:r>
      <w:r>
        <w:rPr>
          <w:rFonts w:ascii="仿宋_GB2312" w:eastAsia="仿宋_GB2312"/>
          <w:color w:val="000000"/>
          <w:sz w:val="32"/>
          <w:szCs w:val="32"/>
        </w:rPr>
        <w:t>2020</w:t>
      </w:r>
      <w:r>
        <w:rPr>
          <w:rFonts w:hint="eastAsia" w:ascii="仿宋_GB2312" w:eastAsia="仿宋_GB2312"/>
          <w:color w:val="000000"/>
          <w:sz w:val="32"/>
          <w:szCs w:val="32"/>
        </w:rPr>
        <w:t>年无国有资本经营预算拨款支出。</w:t>
      </w:r>
    </w:p>
    <w:p>
      <w:pPr>
        <w:pStyle w:val="28"/>
        <w:spacing w:line="600" w:lineRule="exact"/>
        <w:ind w:left="640" w:firstLine="0" w:firstLineChars="0"/>
        <w:outlineLvl w:val="1"/>
        <w:rPr>
          <w:rStyle w:val="23"/>
          <w:rFonts w:ascii="黑体" w:hAnsi="黑体" w:eastAsia="黑体"/>
          <w:b w:val="0"/>
        </w:rPr>
      </w:pPr>
      <w:r>
        <w:rPr>
          <w:rStyle w:val="23"/>
          <w:rFonts w:hint="eastAsia" w:ascii="黑体" w:hAnsi="黑体" w:eastAsia="黑体"/>
          <w:b w:val="0"/>
        </w:rPr>
        <w:t>十、预算绩效情况说明</w:t>
      </w:r>
    </w:p>
    <w:p>
      <w:pPr>
        <w:numPr>
          <w:ilvl w:val="0"/>
          <w:numId w:val="4"/>
        </w:numPr>
        <w:spacing w:line="600" w:lineRule="exact"/>
        <w:outlineLvl w:val="1"/>
        <w:rPr>
          <w:rFonts w:ascii="仿宋" w:hAnsi="仿宋" w:eastAsia="仿宋" w:cs="楷体_GB2312"/>
          <w:b/>
          <w:bCs/>
          <w:sz w:val="32"/>
          <w:szCs w:val="32"/>
        </w:rPr>
      </w:pPr>
      <w:r>
        <w:rPr>
          <w:rFonts w:hint="eastAsia" w:ascii="楷体" w:hAnsi="楷体" w:eastAsia="楷体" w:cs="楷体"/>
          <w:b/>
          <w:bCs/>
          <w:sz w:val="32"/>
          <w:szCs w:val="32"/>
        </w:rPr>
        <w:t>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个项目开展了预算事前绩效评估，对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p>
    <w:p>
      <w:pPr>
        <w:numPr>
          <w:ilvl w:val="0"/>
          <w:numId w:val="4"/>
        </w:numPr>
        <w:spacing w:line="576" w:lineRule="exact"/>
        <w:rPr>
          <w:rFonts w:ascii="楷体" w:hAnsi="楷体" w:eastAsia="楷体" w:cs="楷体"/>
          <w:b/>
          <w:bCs/>
          <w:sz w:val="32"/>
          <w:szCs w:val="32"/>
        </w:rPr>
      </w:pPr>
      <w:r>
        <w:rPr>
          <w:rFonts w:hint="eastAsia" w:ascii="楷体" w:hAnsi="楷体" w:eastAsia="楷体" w:cs="楷体"/>
          <w:b/>
          <w:bCs/>
          <w:sz w:val="32"/>
          <w:szCs w:val="32"/>
        </w:rPr>
        <w:t>项目绩效目标完成情况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年度部门决算中反映“粮油</w:t>
      </w:r>
      <w:r>
        <w:rPr>
          <w:rFonts w:hint="eastAsia" w:ascii="宋体" w:hAnsi="宋体" w:cs="宋体"/>
          <w:sz w:val="32"/>
          <w:szCs w:val="32"/>
        </w:rPr>
        <w:t>高质量发展</w:t>
      </w:r>
      <w:r>
        <w:rPr>
          <w:rFonts w:hint="eastAsia" w:ascii="仿宋_GB2312" w:hAnsi="仿宋_GB2312" w:eastAsia="仿宋_GB2312" w:cs="仿宋_GB2312"/>
          <w:sz w:val="32"/>
          <w:szCs w:val="32"/>
        </w:rPr>
        <w:t>”、”粮食轮换及利息费用“、“粮食安全保障调控</w:t>
      </w:r>
      <w:r>
        <w:rPr>
          <w:rFonts w:hint="eastAsia" w:ascii="宋体" w:hAnsi="宋体" w:cs="宋体"/>
          <w:sz w:val="32"/>
          <w:szCs w:val="32"/>
        </w:rPr>
        <w:t>和应急设施项目”</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个项目绩效目标实际完成情况。</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粮油</w:t>
      </w:r>
      <w:r>
        <w:rPr>
          <w:rFonts w:hint="eastAsia" w:ascii="宋体" w:hAnsi="宋体" w:cs="宋体"/>
          <w:sz w:val="32"/>
          <w:szCs w:val="32"/>
        </w:rPr>
        <w:t>高质量发展项目</w:t>
      </w:r>
      <w:r>
        <w:rPr>
          <w:rFonts w:hint="eastAsia" w:ascii="仿宋_GB2312" w:hAnsi="仿宋_GB2312" w:eastAsia="仿宋_GB2312" w:cs="仿宋_GB2312"/>
          <w:sz w:val="32"/>
          <w:szCs w:val="32"/>
        </w:rPr>
        <w:t>绩效目标完成情况综述。项目全年预算数98万元，执行数为98万元，完成预算的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w:t>
      </w:r>
      <w:r>
        <w:rPr>
          <w:rFonts w:hint="eastAsia" w:ascii="宋体" w:hAnsi="宋体" w:cs="宋体"/>
          <w:sz w:val="32"/>
          <w:szCs w:val="32"/>
        </w:rPr>
        <w:t>了全县粮油储备地方安全性及食用性</w:t>
      </w:r>
      <w:r>
        <w:rPr>
          <w:rFonts w:hint="eastAsia" w:ascii="仿宋_GB2312" w:hAnsi="仿宋_GB2312" w:eastAsia="仿宋_GB2312" w:cs="仿宋_GB2312"/>
          <w:sz w:val="32"/>
          <w:szCs w:val="32"/>
        </w:rPr>
        <w:t>，有效保障了全县群众生活必需品有充足保障。</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粮食轮换及利息费用项目绩效目标完成情况综述。项目全年预算数511.98万元，执行数为511.98万元，完成预算的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。通过项目实施，完成了全县粮油轮换任务，保障全县用粮安全。</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粮食安全保障</w:t>
      </w:r>
      <w:r>
        <w:rPr>
          <w:rFonts w:hint="eastAsia" w:ascii="宋体" w:hAnsi="宋体" w:cs="宋体"/>
          <w:sz w:val="32"/>
          <w:szCs w:val="32"/>
        </w:rPr>
        <w:t>调控和应急设施项目</w:t>
      </w:r>
      <w:r>
        <w:rPr>
          <w:rFonts w:hint="eastAsia" w:ascii="仿宋_GB2312" w:hAnsi="仿宋_GB2312" w:eastAsia="仿宋_GB2312" w:cs="仿宋_GB2312"/>
          <w:sz w:val="32"/>
          <w:szCs w:val="32"/>
        </w:rPr>
        <w:t>完成情况综述。项目全年预算数855万元，执行数为508.68万元，完成预算的</w:t>
      </w:r>
      <w:r>
        <w:rPr>
          <w:rFonts w:ascii="仿宋_GB2312" w:hAnsi="仿宋_GB2312" w:eastAsia="仿宋_GB2312" w:cs="仿宋_GB2312"/>
          <w:sz w:val="32"/>
          <w:szCs w:val="32"/>
        </w:rPr>
        <w:t>59%</w:t>
      </w:r>
      <w:r>
        <w:rPr>
          <w:rFonts w:hint="eastAsia" w:ascii="仿宋_GB2312" w:hAnsi="仿宋_GB2312" w:eastAsia="仿宋_GB2312" w:cs="仿宋_GB2312"/>
          <w:sz w:val="32"/>
          <w:szCs w:val="32"/>
        </w:rPr>
        <w:t>。通过项目实施，保障</w:t>
      </w:r>
      <w:r>
        <w:rPr>
          <w:rFonts w:hint="eastAsia" w:ascii="宋体" w:hAnsi="宋体" w:cs="宋体"/>
          <w:sz w:val="32"/>
          <w:szCs w:val="32"/>
        </w:rPr>
        <w:t>了全县粮食储备安全性及应急性需要。</w:t>
      </w:r>
    </w:p>
    <w:p>
      <w:pPr>
        <w:spacing w:line="576" w:lineRule="exact"/>
        <w:ind w:firstLine="640" w:firstLineChars="200"/>
        <w:rPr>
          <w:rFonts w:ascii="宋体" w:cs="宋体"/>
          <w:sz w:val="32"/>
          <w:szCs w:val="32"/>
        </w:rPr>
      </w:pPr>
    </w:p>
    <w:p>
      <w:pPr>
        <w:rPr>
          <w:rFonts w:ascii="仿宋_GB2312" w:hAnsi="仿宋_GB2312" w:eastAsia="仿宋_GB2312" w:cs="仿宋_GB2312"/>
          <w:sz w:val="32"/>
          <w:szCs w:val="32"/>
        </w:rPr>
      </w:pPr>
    </w:p>
    <w:tbl>
      <w:tblPr>
        <w:tblStyle w:val="1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346"/>
        <w:gridCol w:w="2048"/>
        <w:gridCol w:w="2392"/>
      </w:tblGrid>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粮油高质量发展</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茂县粮食和物资储备中心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18"/>
                <w:szCs w:val="18"/>
              </w:rPr>
              <w:t>预算执行情况</w:t>
            </w:r>
            <w:r>
              <w:rPr>
                <w:rFonts w:ascii="宋体" w:hAnsi="宋体" w:cs="宋体"/>
                <w:color w:val="000000"/>
                <w:kern w:val="0"/>
                <w:sz w:val="18"/>
                <w:szCs w:val="18"/>
              </w:rPr>
              <w:t>(</w:t>
            </w:r>
            <w:r>
              <w:rPr>
                <w:rFonts w:hint="eastAsia" w:ascii="宋体" w:hAnsi="宋体" w:cs="宋体"/>
                <w:color w:val="000000"/>
                <w:kern w:val="0"/>
                <w:sz w:val="18"/>
                <w:szCs w:val="18"/>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98</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98</w:t>
            </w:r>
          </w:p>
        </w:tc>
      </w:tr>
      <w:tr>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98</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513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44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513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sz w:val="24"/>
              </w:rPr>
              <w:t>完成项目</w:t>
            </w:r>
          </w:p>
        </w:tc>
        <w:tc>
          <w:tcPr>
            <w:tcW w:w="444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sz w:val="24"/>
              </w:rPr>
              <w:t>完成项目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p>
        </w:tc>
      </w:tr>
      <w:tr>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粮库修缮</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粮库修缮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粮库修缮</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项目验收合格率</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合格率达到</w:t>
            </w: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项目完成验收并合格通过达到</w:t>
            </w:r>
            <w:r>
              <w:rPr>
                <w:rFonts w:ascii="宋体" w:hAnsi="宋体" w:cs="宋体"/>
                <w:color w:val="000000"/>
                <w:sz w:val="24"/>
              </w:rPr>
              <w:t>100%</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竣工时间</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该项目于</w:t>
            </w: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月前完成</w:t>
            </w:r>
          </w:p>
        </w:tc>
      </w:tr>
      <w:tr>
        <w:tblPrEx>
          <w:tblCellMar>
            <w:top w:w="0" w:type="dxa"/>
            <w:left w:w="0" w:type="dxa"/>
            <w:bottom w:w="0" w:type="dxa"/>
            <w:right w:w="0" w:type="dxa"/>
          </w:tblCellMar>
        </w:tblPrEx>
        <w:trPr>
          <w:trHeight w:val="5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储存粮油安全问题</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生态效益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75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受益益群众满意度</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群众满意度大于</w:t>
            </w:r>
            <w:r>
              <w:rPr>
                <w:rFonts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满意率</w:t>
            </w:r>
            <w:r>
              <w:rPr>
                <w:rFonts w:ascii="宋体" w:hAnsi="宋体" w:cs="宋体"/>
                <w:color w:val="000000"/>
                <w:sz w:val="24"/>
              </w:rPr>
              <w:t>100%</w:t>
            </w:r>
          </w:p>
        </w:tc>
      </w:tr>
      <w:tr>
        <w:trPr>
          <w:trHeight w:val="1034" w:hRule="atLeast"/>
        </w:trPr>
        <w:tc>
          <w:tcPr>
            <w:tcW w:w="9960" w:type="dxa"/>
            <w:gridSpan w:val="7"/>
            <w:tcMar>
              <w:top w:w="15" w:type="dxa"/>
              <w:left w:w="15" w:type="dxa"/>
              <w:bottom w:w="0" w:type="dxa"/>
              <w:right w:w="15" w:type="dxa"/>
            </w:tcMar>
            <w:vAlign w:val="center"/>
          </w:tcPr>
          <w:p>
            <w:pPr>
              <w:pStyle w:val="28"/>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年粮食轮换及利息费用</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茂县粮食和物资储备中心</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18"/>
                <w:szCs w:val="18"/>
              </w:rPr>
              <w:t>预算执行情况</w:t>
            </w:r>
            <w:r>
              <w:rPr>
                <w:rFonts w:ascii="宋体" w:hAnsi="宋体" w:cs="宋体"/>
                <w:color w:val="000000"/>
                <w:kern w:val="0"/>
                <w:sz w:val="18"/>
                <w:szCs w:val="18"/>
              </w:rPr>
              <w:t>(</w:t>
            </w:r>
            <w:r>
              <w:rPr>
                <w:rFonts w:hint="eastAsia" w:ascii="宋体" w:hAnsi="宋体" w:cs="宋体"/>
                <w:color w:val="000000"/>
                <w:kern w:val="0"/>
                <w:sz w:val="18"/>
                <w:szCs w:val="18"/>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511.98</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511.98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511.98</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511.98</w:t>
            </w:r>
          </w:p>
        </w:tc>
      </w:tr>
      <w:tr>
        <w:tblPrEx>
          <w:tblCellMar>
            <w:top w:w="0" w:type="dxa"/>
            <w:left w:w="0" w:type="dxa"/>
            <w:bottom w:w="0" w:type="dxa"/>
            <w:right w:w="0" w:type="dxa"/>
          </w:tblCellMar>
        </w:tblPrEx>
        <w:trPr>
          <w:trHeight w:val="92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w:t>
            </w:r>
            <w:r>
              <w:rPr>
                <w:rFonts w:ascii="宋体" w:hAnsi="宋体" w:cs="宋体"/>
                <w:color w:val="000000"/>
                <w:sz w:val="24"/>
              </w:rPr>
              <w:t>1</w:t>
            </w:r>
            <w:r>
              <w:rPr>
                <w:rFonts w:hint="eastAsia" w:ascii="宋体" w:hAnsi="宋体" w:cs="宋体"/>
                <w:color w:val="000000"/>
                <w:sz w:val="24"/>
              </w:rPr>
              <w:t>处项目</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w:t>
            </w:r>
            <w:r>
              <w:rPr>
                <w:rFonts w:ascii="宋体" w:hAnsi="宋体" w:cs="宋体"/>
                <w:color w:val="000000"/>
                <w:sz w:val="24"/>
              </w:rPr>
              <w:t>1</w:t>
            </w:r>
            <w:r>
              <w:rPr>
                <w:rFonts w:hint="eastAsia" w:ascii="宋体" w:hAnsi="宋体" w:cs="宋体"/>
                <w:color w:val="000000"/>
                <w:sz w:val="24"/>
              </w:rPr>
              <w:t>处项目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完成全县粮食轮换</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完成全县粮食轮换</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完成全县粮食轮换</w:t>
            </w:r>
          </w:p>
        </w:tc>
      </w:tr>
      <w:tr>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项目验收合格率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合格率达到</w:t>
            </w: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项目完成验收并合格通过达到</w:t>
            </w: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竣工时间</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该项目于</w:t>
            </w: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月前完工</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保障全县人民粮食市场安全，有充足粮食供应</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保障全县人民粮食市场安全，有充足粮食供应</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保障全县人民粮食市场安全，有充足粮食供应</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生态效益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受益益群众满意度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群众满意度大于</w:t>
            </w:r>
            <w:r>
              <w:rPr>
                <w:rFonts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满意率</w:t>
            </w:r>
            <w:r>
              <w:rPr>
                <w:rFonts w:ascii="宋体" w:hAnsi="宋体" w:cs="宋体"/>
                <w:color w:val="000000"/>
                <w:sz w:val="24"/>
              </w:rPr>
              <w:t>100%</w:t>
            </w:r>
          </w:p>
        </w:tc>
      </w:tr>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8"/>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粮食安全保障调控和应急设施项目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茂县粮食和物资储备中心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18"/>
                <w:szCs w:val="18"/>
              </w:rPr>
              <w:t>预算执行情况</w:t>
            </w:r>
            <w:r>
              <w:rPr>
                <w:rFonts w:ascii="宋体" w:hAnsi="宋体" w:cs="宋体"/>
                <w:color w:val="000000"/>
                <w:kern w:val="0"/>
                <w:sz w:val="18"/>
                <w:szCs w:val="18"/>
              </w:rPr>
              <w:t>(</w:t>
            </w:r>
            <w:r>
              <w:rPr>
                <w:rFonts w:hint="eastAsia" w:ascii="宋体" w:hAnsi="宋体" w:cs="宋体"/>
                <w:color w:val="000000"/>
                <w:kern w:val="0"/>
                <w:sz w:val="18"/>
                <w:szCs w:val="18"/>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855</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508.68</w:t>
            </w:r>
          </w:p>
        </w:tc>
      </w:tr>
      <w:tr>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855</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508.68</w:t>
            </w:r>
          </w:p>
        </w:tc>
      </w:tr>
      <w:tr>
        <w:tblPrEx>
          <w:tblCellMar>
            <w:top w:w="0" w:type="dxa"/>
            <w:left w:w="0" w:type="dxa"/>
            <w:bottom w:w="0" w:type="dxa"/>
            <w:right w:w="0" w:type="dxa"/>
          </w:tblCellMar>
        </w:tblPrEx>
        <w:trPr>
          <w:trHeight w:val="92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w:t>
            </w:r>
            <w:r>
              <w:rPr>
                <w:rFonts w:ascii="宋体" w:hAnsi="宋体" w:cs="宋体"/>
                <w:color w:val="000000"/>
                <w:sz w:val="24"/>
              </w:rPr>
              <w:t>1</w:t>
            </w:r>
            <w:r>
              <w:rPr>
                <w:rFonts w:hint="eastAsia" w:ascii="宋体" w:hAnsi="宋体" w:cs="宋体"/>
                <w:color w:val="000000"/>
                <w:sz w:val="24"/>
              </w:rPr>
              <w:t>处项目</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w:t>
            </w:r>
            <w:r>
              <w:rPr>
                <w:rFonts w:ascii="宋体" w:hAnsi="宋体" w:cs="宋体"/>
                <w:color w:val="000000"/>
                <w:sz w:val="24"/>
              </w:rPr>
              <w:t>1</w:t>
            </w:r>
            <w:r>
              <w:rPr>
                <w:rFonts w:hint="eastAsia" w:ascii="宋体" w:hAnsi="宋体" w:cs="宋体"/>
                <w:color w:val="000000"/>
                <w:sz w:val="24"/>
              </w:rPr>
              <w:t>处项目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p>
        </w:tc>
      </w:tr>
      <w:tr>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完成全县粮食中转及应急目标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完成全县粮食中转及应急目标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完成全县粮食中转及应急目标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项目验收合格率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合格率达到</w:t>
            </w: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项目正在实施中</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竣工时间</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s="宋体"/>
                <w:color w:val="000000"/>
                <w:sz w:val="24"/>
              </w:rPr>
            </w:pPr>
            <w:r>
              <w:rPr>
                <w:rFonts w:hint="eastAsia" w:ascii="宋体" w:hAnsi="宋体" w:cs="宋体"/>
                <w:color w:val="000000"/>
                <w:sz w:val="24"/>
              </w:rPr>
              <w:t>项目正在实施过程中</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确保粮食中转安全性及应急性</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保障全县人民粮食市场安全，有充足粮食供应确保粮食中转安全性及应急性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保障全县人民粮食市场安全，有充足粮食供应</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生态效益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受益群众满意度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群众满意度大于</w:t>
            </w:r>
            <w:r>
              <w:rPr>
                <w:rFonts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满意率</w:t>
            </w:r>
            <w:r>
              <w:rPr>
                <w:rFonts w:ascii="宋体" w:hAnsi="宋体" w:cs="宋体"/>
                <w:color w:val="000000"/>
                <w:sz w:val="24"/>
              </w:rPr>
              <w:t>100%</w:t>
            </w:r>
          </w:p>
        </w:tc>
      </w:tr>
    </w:tbl>
    <w:p>
      <w:pPr>
        <w:spacing w:line="600" w:lineRule="exact"/>
        <w:outlineLvl w:val="1"/>
        <w:rPr>
          <w:rFonts w:ascii="楷体" w:hAnsi="楷体" w:eastAsia="楷体" w:cs="楷体"/>
          <w:sz w:val="32"/>
          <w:szCs w:val="32"/>
        </w:rPr>
      </w:pPr>
      <w:r>
        <w:rPr>
          <w:rFonts w:hint="eastAsia" w:ascii="楷体" w:hAnsi="楷体" w:eastAsia="楷体" w:cs="楷体"/>
          <w:b/>
          <w:bCs/>
          <w:sz w:val="32"/>
          <w:szCs w:val="32"/>
        </w:rPr>
        <w:t>（三）部门开展绩效评价结果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年部门整体支出绩效评价情况开展自评，《茂县粮食和物资储备中心部门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w:t>
      </w:r>
    </w:p>
    <w:p>
      <w:pPr>
        <w:pStyle w:val="28"/>
        <w:numPr>
          <w:ilvl w:val="0"/>
          <w:numId w:val="5"/>
        </w:numPr>
        <w:spacing w:line="600" w:lineRule="exact"/>
        <w:ind w:firstLineChars="0"/>
        <w:outlineLvl w:val="1"/>
        <w:rPr>
          <w:rStyle w:val="23"/>
          <w:rFonts w:ascii="黑体" w:hAnsi="黑体" w:eastAsia="黑体"/>
        </w:rPr>
      </w:pPr>
      <w:bookmarkStart w:id="48" w:name="_Toc15396612"/>
      <w:bookmarkStart w:id="49" w:name="_Toc15377221"/>
      <w:r>
        <w:rPr>
          <w:rStyle w:val="23"/>
          <w:rFonts w:hint="eastAsia" w:ascii="黑体" w:hAnsi="黑体" w:eastAsia="黑体"/>
          <w:b w:val="0"/>
        </w:rPr>
        <w:t>其他重要事项的情况说明</w:t>
      </w:r>
      <w:bookmarkEnd w:id="48"/>
      <w:bookmarkEnd w:id="49"/>
    </w:p>
    <w:p>
      <w:pPr>
        <w:numPr>
          <w:ilvl w:val="0"/>
          <w:numId w:val="6"/>
        </w:numPr>
        <w:spacing w:line="600" w:lineRule="exact"/>
        <w:outlineLvl w:val="2"/>
        <w:rPr>
          <w:rFonts w:ascii="楷体" w:hAnsi="楷体" w:eastAsia="楷体" w:cs="楷体"/>
          <w:b/>
          <w:color w:val="000000"/>
          <w:sz w:val="32"/>
          <w:szCs w:val="32"/>
        </w:rPr>
      </w:pPr>
      <w:bookmarkStart w:id="50" w:name="_Toc15377222"/>
      <w:r>
        <w:rPr>
          <w:rFonts w:hint="eastAsia" w:ascii="楷体" w:hAnsi="楷体" w:eastAsia="楷体" w:cs="楷体"/>
          <w:b/>
          <w:color w:val="000000"/>
          <w:sz w:val="32"/>
          <w:szCs w:val="32"/>
        </w:rPr>
        <w:t>机关运行经费支出情况</w:t>
      </w:r>
      <w:bookmarkEnd w:id="50"/>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年，茂县粮食和物资储备中心机关运行经费支出</w:t>
      </w:r>
      <w:r>
        <w:rPr>
          <w:rFonts w:ascii="仿宋_GB2312" w:eastAsia="仿宋_GB2312"/>
          <w:color w:val="000000"/>
          <w:sz w:val="32"/>
          <w:szCs w:val="32"/>
        </w:rPr>
        <w:t>11.08</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ascii="仿宋_GB2312" w:eastAsia="仿宋_GB2312"/>
          <w:color w:val="000000"/>
          <w:sz w:val="32"/>
          <w:szCs w:val="32"/>
        </w:rPr>
        <w:t>2</w:t>
      </w:r>
      <w:r>
        <w:rPr>
          <w:rFonts w:hint="eastAsia" w:ascii="仿宋_GB2312" w:eastAsia="仿宋_GB2312"/>
          <w:color w:val="000000"/>
          <w:sz w:val="32"/>
          <w:szCs w:val="32"/>
        </w:rPr>
        <w:t>万元，下降</w:t>
      </w:r>
      <w:r>
        <w:rPr>
          <w:rFonts w:ascii="仿宋_GB2312" w:eastAsia="仿宋_GB2312"/>
          <w:color w:val="000000"/>
          <w:sz w:val="32"/>
          <w:szCs w:val="32"/>
        </w:rPr>
        <w:t>7%</w:t>
      </w:r>
      <w:r>
        <w:rPr>
          <w:rFonts w:hint="eastAsia" w:ascii="仿宋_GB2312" w:eastAsia="仿宋_GB2312"/>
          <w:color w:val="000000"/>
          <w:sz w:val="32"/>
          <w:szCs w:val="32"/>
        </w:rPr>
        <w:t>。主要原因是继续积极贯彻落实中央八项规定及省委省政府十项规定要求，加强单位日常经费管理。</w:t>
      </w:r>
    </w:p>
    <w:p>
      <w:pPr>
        <w:numPr>
          <w:ilvl w:val="0"/>
          <w:numId w:val="6"/>
        </w:numPr>
        <w:spacing w:line="600" w:lineRule="exact"/>
        <w:outlineLvl w:val="2"/>
        <w:rPr>
          <w:rFonts w:ascii="楷体" w:hAnsi="楷体" w:eastAsia="楷体" w:cs="楷体"/>
          <w:b/>
          <w:color w:val="000000"/>
          <w:sz w:val="32"/>
          <w:szCs w:val="32"/>
        </w:rPr>
      </w:pPr>
      <w:bookmarkStart w:id="51" w:name="_Toc15377223"/>
      <w:r>
        <w:rPr>
          <w:rFonts w:hint="eastAsia" w:ascii="楷体" w:hAnsi="楷体" w:eastAsia="楷体" w:cs="楷体"/>
          <w:b/>
          <w:color w:val="000000"/>
          <w:sz w:val="32"/>
          <w:szCs w:val="32"/>
        </w:rPr>
        <w:t>政府采购支出情况</w:t>
      </w:r>
      <w:bookmarkEnd w:id="51"/>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年，茂县粮食和物资储备中心采购支出总额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6"/>
        </w:numPr>
        <w:spacing w:line="600" w:lineRule="exact"/>
        <w:outlineLvl w:val="2"/>
        <w:rPr>
          <w:rFonts w:ascii="楷体" w:hAnsi="楷体" w:eastAsia="楷体" w:cs="楷体"/>
          <w:b/>
          <w:color w:val="000000"/>
          <w:sz w:val="32"/>
          <w:szCs w:val="32"/>
        </w:rPr>
      </w:pPr>
      <w:bookmarkStart w:id="52" w:name="_Toc15377224"/>
      <w:r>
        <w:rPr>
          <w:rFonts w:hint="eastAsia" w:ascii="楷体" w:hAnsi="楷体" w:eastAsia="楷体" w:cs="楷体"/>
          <w:b/>
          <w:color w:val="000000"/>
          <w:sz w:val="32"/>
          <w:szCs w:val="32"/>
        </w:rPr>
        <w:t>国有资产占有使用情况</w:t>
      </w:r>
      <w:bookmarkEnd w:id="52"/>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日，茂县粮食和物资储备中心共有车辆</w:t>
      </w:r>
      <w:r>
        <w:rPr>
          <w:rFonts w:ascii="仿宋_GB2312" w:eastAsia="仿宋_GB2312"/>
          <w:color w:val="000000"/>
          <w:sz w:val="32"/>
          <w:szCs w:val="32"/>
        </w:rPr>
        <w:t>0</w:t>
      </w:r>
      <w:r>
        <w:rPr>
          <w:rFonts w:hint="eastAsia" w:ascii="仿宋_GB2312" w:eastAsia="仿宋_GB2312"/>
          <w:color w:val="000000"/>
          <w:sz w:val="32"/>
          <w:szCs w:val="32"/>
        </w:rPr>
        <w:t>辆，其中：领导干部用车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0</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rPr>
          <w:rFonts w:ascii="仿宋_GB2312" w:eastAsia="仿宋_GB2312"/>
          <w:color w:val="000000"/>
          <w:sz w:val="32"/>
          <w:szCs w:val="32"/>
        </w:rPr>
      </w:pPr>
    </w:p>
    <w:p>
      <w:pPr>
        <w:numPr>
          <w:ilvl w:val="0"/>
          <w:numId w:val="0"/>
        </w:numPr>
        <w:spacing w:line="600" w:lineRule="exact"/>
        <w:jc w:val="both"/>
        <w:outlineLvl w:val="0"/>
        <w:rPr>
          <w:rStyle w:val="22"/>
          <w:rFonts w:ascii="方正小标宋简体" w:hAnsi="方正小标宋简体" w:eastAsia="方正小标宋简体" w:cs="方正小标宋简体"/>
          <w:b w:val="0"/>
        </w:rPr>
      </w:pPr>
    </w:p>
    <w:p>
      <w:pPr>
        <w:spacing w:line="600" w:lineRule="exact"/>
        <w:jc w:val="left"/>
        <w:rPr>
          <w:rFonts w:ascii="宋体"/>
          <w:b/>
          <w:color w:val="000000"/>
          <w:sz w:val="44"/>
          <w:szCs w:val="44"/>
        </w:rPr>
      </w:pPr>
    </w:p>
    <w:p>
      <w:pPr>
        <w:pStyle w:val="29"/>
        <w:spacing w:line="576" w:lineRule="exact"/>
        <w:ind w:firstLine="640" w:firstLineChars="200"/>
        <w:rPr>
          <w:rFonts w:ascii="仿宋_GB2312" w:eastAsia="仿宋_GB2312"/>
          <w:sz w:val="32"/>
          <w:szCs w:val="32"/>
        </w:rPr>
      </w:pPr>
    </w:p>
    <w:p>
      <w:pPr>
        <w:pStyle w:val="29"/>
        <w:spacing w:line="576" w:lineRule="exact"/>
        <w:ind w:firstLine="640" w:firstLineChars="200"/>
        <w:rPr>
          <w:rFonts w:ascii="仿宋_GB2312" w:eastAsia="仿宋_GB2312"/>
          <w:sz w:val="32"/>
          <w:szCs w:val="32"/>
        </w:rPr>
      </w:pPr>
    </w:p>
    <w:p>
      <w:pPr>
        <w:pStyle w:val="29"/>
        <w:spacing w:line="576" w:lineRule="exact"/>
        <w:ind w:firstLine="640" w:firstLineChars="200"/>
        <w:rPr>
          <w:rFonts w:ascii="仿宋_GB2312" w:eastAsia="仿宋_GB2312"/>
          <w:sz w:val="32"/>
          <w:szCs w:val="32"/>
        </w:rPr>
      </w:pPr>
    </w:p>
    <w:p>
      <w:pPr>
        <w:pStyle w:val="29"/>
        <w:spacing w:line="576" w:lineRule="exact"/>
        <w:ind w:firstLine="883" w:firstLineChars="200"/>
        <w:jc w:val="center"/>
        <w:rPr>
          <w:rStyle w:val="22"/>
          <w:rFonts w:hint="eastAsia" w:ascii="方正小标宋简体" w:hAnsi="方正小标宋简体" w:eastAsia="方正小标宋简体" w:cs="方正小标宋简体"/>
          <w:b w:val="0"/>
        </w:rPr>
      </w:pPr>
      <w:bookmarkStart w:id="53" w:name="_Toc15396613"/>
      <w:bookmarkStart w:id="54" w:name="_Toc15377225"/>
      <w:r>
        <w:rPr>
          <w:rFonts w:hint="eastAsia" w:ascii="方正小标宋简体" w:hAnsi="方正小标宋简体" w:eastAsia="方正小标宋简体" w:cs="方正小标宋简体"/>
          <w:b/>
          <w:color w:val="000000"/>
          <w:sz w:val="44"/>
          <w:szCs w:val="44"/>
          <w:lang w:eastAsia="zh-CN"/>
        </w:rPr>
        <w:t>第三部分</w:t>
      </w:r>
      <w:r>
        <w:rPr>
          <w:rFonts w:hint="eastAsia" w:ascii="方正小标宋简体" w:hAnsi="方正小标宋简体" w:eastAsia="方正小标宋简体" w:cs="方正小标宋简体"/>
          <w:b/>
          <w:color w:val="000000"/>
          <w:sz w:val="44"/>
          <w:szCs w:val="44"/>
          <w:lang w:val="en-US" w:eastAsia="zh-CN"/>
        </w:rPr>
        <w:t xml:space="preserve">  </w:t>
      </w:r>
      <w:r>
        <w:rPr>
          <w:rFonts w:hint="eastAsia" w:ascii="方正小标宋简体" w:hAnsi="方正小标宋简体" w:eastAsia="方正小标宋简体" w:cs="方正小标宋简体"/>
          <w:b/>
          <w:color w:val="000000"/>
          <w:sz w:val="44"/>
          <w:szCs w:val="44"/>
        </w:rPr>
        <w:t>名</w:t>
      </w:r>
      <w:r>
        <w:rPr>
          <w:rStyle w:val="22"/>
          <w:rFonts w:hint="eastAsia" w:ascii="方正小标宋简体" w:hAnsi="方正小标宋简体" w:eastAsia="方正小标宋简体" w:cs="方正小标宋简体"/>
          <w:b w:val="0"/>
        </w:rPr>
        <w:t>词解释</w:t>
      </w:r>
      <w:bookmarkEnd w:id="53"/>
      <w:bookmarkEnd w:id="54"/>
    </w:p>
    <w:p>
      <w:pPr>
        <w:pStyle w:val="29"/>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社会保障和就业（类）行政事业单位离退休（款）机关事业单位职业年金缴费支出（项）：指部门实施养老保险制度由单位缴纳的职业年金的支出。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医疗卫生与计划生育（类）行政事业单位医疗（款）行政单位医疗（项）：指厅机关及参公管理事业单位用于缴纳单位基本医疗保险支出。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医疗卫生与计划生育（类）行政事业单位医疗（款）事业单位医疗（项）：指事业单位用于缴纳单位基本医疗保险支出。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住房保障（类）住房改革支出（款）住房公积金（项）：反映行政事业单位按规定为职工缴纳的住房公积金。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住房保障（类）住房改革支出（款）购房补贴（项）：指根据房改政策规定的标准，向符合条件职工发放的用于购</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买住房的补贴。</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农林水支出（类）扶贫（款）农村基础设施建设（项）：用于农村贫困地区乡村道路、住房、基本农田等生活条件改善方面的支出。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农林水支出（类）扶贫（款）其他扶贫支出（项）：反映除上述项目以外其他用于扶贫方面的支出。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农林水支出（类）其他农林水支出（款）其他农林水支出（项）：反映除化解债务支出以外其他用于农林水方面的支出。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粮油事务等支出（类）其它粮油储备支出（款）行政运行（项）：反映粮油储备的有关支出。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经营支出：指事业单位在专业业务活动及其辅助活动之外开展非独立核算经营活动发生的支出。</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76" w:lineRule="exact"/>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ind w:firstLine="480" w:firstLineChars="150"/>
        <w:outlineLvl w:val="0"/>
        <w:rPr>
          <w:rFonts w:ascii="仿宋_GB2312" w:eastAsia="仿宋_GB2312" w:cs="黑体"/>
          <w:sz w:val="32"/>
          <w:szCs w:val="32"/>
        </w:rPr>
      </w:pPr>
      <w:r>
        <w:rPr>
          <w:rFonts w:ascii="仿宋_GB2312" w:eastAsia="仿宋_GB2312" w:cs="黑体"/>
          <w:sz w:val="32"/>
          <w:szCs w:val="32"/>
        </w:rPr>
        <w:t>24.</w:t>
      </w:r>
      <w:r>
        <w:rPr>
          <w:rFonts w:hint="eastAsia" w:ascii="仿宋_GB2312" w:eastAsia="仿宋_GB2312" w:cs="黑体"/>
          <w:sz w:val="32"/>
          <w:szCs w:val="32"/>
        </w:rPr>
        <w:t>财政应返还额度：为行政事业单位会计核算科目，用于核算实行国库集中支付的行政事业单位应收财政返还的资金额度。</w:t>
      </w:r>
    </w:p>
    <w:p>
      <w:pPr>
        <w:pStyle w:val="29"/>
        <w:spacing w:line="576" w:lineRule="exact"/>
        <w:ind w:firstLine="640" w:firstLineChars="200"/>
        <w:rPr>
          <w:rFonts w:ascii="仿宋_GB2312" w:eastAsia="仿宋_GB2312" w:cs="黑体"/>
          <w:sz w:val="32"/>
          <w:szCs w:val="32"/>
        </w:rPr>
      </w:pPr>
    </w:p>
    <w:p>
      <w:pPr>
        <w:rPr>
          <w:rFonts w:ascii="仿宋_GB2312" w:eastAsia="仿宋_GB2312" w:cs="黑体"/>
          <w:sz w:val="32"/>
          <w:szCs w:val="32"/>
        </w:rPr>
      </w:pPr>
      <w:bookmarkStart w:id="55" w:name="_Toc15396614"/>
      <w:bookmarkStart w:id="56" w:name="_Toc15377226"/>
      <w:r>
        <w:rPr>
          <w:rFonts w:ascii="仿宋_GB2312" w:eastAsia="仿宋_GB2312" w:cs="黑体"/>
          <w:sz w:val="32"/>
          <w:szCs w:val="32"/>
        </w:rPr>
        <w:br w:type="page"/>
      </w:r>
    </w:p>
    <w:p>
      <w:pPr>
        <w:numPr>
          <w:ilvl w:val="0"/>
          <w:numId w:val="0"/>
        </w:numPr>
        <w:spacing w:line="600" w:lineRule="exact"/>
        <w:jc w:val="center"/>
        <w:outlineLvl w:val="0"/>
        <w:rPr>
          <w:rStyle w:val="22"/>
        </w:rPr>
      </w:pPr>
      <w:r>
        <w:rPr>
          <w:rStyle w:val="22"/>
          <w:rFonts w:hint="eastAsia" w:ascii="方正小标宋简体" w:hAnsi="方正小标宋简体" w:eastAsia="方正小标宋简体" w:cs="方正小标宋简体"/>
          <w:b w:val="0"/>
          <w:lang w:eastAsia="zh-CN"/>
        </w:rPr>
        <w:t>第四部分</w:t>
      </w:r>
      <w:r>
        <w:rPr>
          <w:rStyle w:val="22"/>
          <w:rFonts w:hint="eastAsia" w:ascii="方正小标宋简体" w:hAnsi="方正小标宋简体" w:eastAsia="方正小标宋简体" w:cs="方正小标宋简体"/>
          <w:b w:val="0"/>
          <w:lang w:val="en-US" w:eastAsia="zh-CN"/>
        </w:rPr>
        <w:t xml:space="preserve">  </w:t>
      </w:r>
      <w:r>
        <w:rPr>
          <w:rStyle w:val="22"/>
          <w:rFonts w:hint="eastAsia" w:ascii="方正小标宋简体" w:hAnsi="方正小标宋简体" w:eastAsia="方正小标宋简体" w:cs="方正小标宋简体"/>
          <w:b w:val="0"/>
        </w:rPr>
        <w:t>附件</w:t>
      </w:r>
      <w:bookmarkEnd w:id="55"/>
    </w:p>
    <w:p>
      <w:pPr>
        <w:spacing w:line="600" w:lineRule="exact"/>
        <w:jc w:val="center"/>
        <w:outlineLvl w:val="0"/>
        <w:rPr>
          <w:rFonts w:ascii="方正小标宋简体" w:hAnsi="方正小标宋简体" w:eastAsia="方正小标宋简体" w:cs="方正小标宋简体"/>
          <w:sz w:val="44"/>
          <w:szCs w:val="44"/>
        </w:rPr>
      </w:pPr>
      <w:bookmarkStart w:id="57" w:name="_Toc15396616"/>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茂县粮食和物资储备中心</w:t>
      </w:r>
    </w:p>
    <w:p>
      <w:pPr>
        <w:spacing w:line="600" w:lineRule="exact"/>
        <w:jc w:val="center"/>
        <w:outlineLvl w:val="0"/>
        <w:rPr>
          <w:rFonts w:ascii="黑体" w:hAnsi="黑体" w:eastAsia="黑体" w:cs="方正小标宋简体"/>
          <w:sz w:val="36"/>
          <w:szCs w:val="36"/>
        </w:rPr>
      </w:pPr>
      <w:r>
        <w:rPr>
          <w:rFonts w:ascii="方正小标宋简体" w:hAnsi="方正小标宋简体" w:eastAsia="方正小标宋简体" w:cs="方正小标宋简体"/>
          <w:sz w:val="44"/>
          <w:szCs w:val="44"/>
        </w:rPr>
        <w:t>2020</w:t>
      </w:r>
      <w:r>
        <w:rPr>
          <w:rFonts w:hint="eastAsia" w:ascii="方正小标宋简体" w:hAnsi="方正小标宋简体" w:eastAsia="方正小标宋简体" w:cs="方正小标宋简体"/>
          <w:sz w:val="44"/>
          <w:szCs w:val="44"/>
        </w:rPr>
        <w:t>年部门整体支出绩效评价报告</w:t>
      </w:r>
      <w:bookmarkEnd w:id="57"/>
    </w:p>
    <w:p>
      <w:pPr>
        <w:spacing w:line="580" w:lineRule="exact"/>
        <w:ind w:firstLine="640" w:firstLineChars="200"/>
        <w:rPr>
          <w:rFonts w:ascii="黑体" w:hAnsi="黑体" w:eastAsia="黑体" w:cs="黑体"/>
          <w:sz w:val="32"/>
          <w:szCs w:val="32"/>
        </w:rPr>
      </w:pPr>
    </w:p>
    <w:p>
      <w:pPr>
        <w:pStyle w:val="3"/>
        <w:numPr>
          <w:ilvl w:val="0"/>
          <w:numId w:val="7"/>
        </w:numPr>
        <w:rPr>
          <w:rFonts w:ascii="黑体" w:hAnsi="黑体" w:eastAsia="黑体" w:cs="黑体"/>
          <w:b w:val="0"/>
          <w:bCs w:val="0"/>
        </w:rPr>
      </w:pPr>
      <w:r>
        <w:rPr>
          <w:rFonts w:hint="eastAsia" w:ascii="黑体" w:hAnsi="黑体" w:eastAsia="黑体" w:cs="黑体"/>
          <w:b w:val="0"/>
          <w:bCs w:val="0"/>
        </w:rPr>
        <w:t>单位概况</w:t>
      </w:r>
    </w:p>
    <w:p>
      <w:pPr>
        <w:numPr>
          <w:ilvl w:val="0"/>
          <w:numId w:val="8"/>
        </w:numPr>
        <w:spacing w:line="580" w:lineRule="exact"/>
        <w:rPr>
          <w:rFonts w:ascii="楷体" w:hAnsi="楷体" w:eastAsia="楷体" w:cs="楷体"/>
          <w:b/>
          <w:bCs/>
          <w:sz w:val="32"/>
          <w:szCs w:val="32"/>
        </w:rPr>
      </w:pPr>
      <w:r>
        <w:rPr>
          <w:rFonts w:hint="eastAsia" w:ascii="楷体" w:hAnsi="楷体" w:eastAsia="楷体" w:cs="楷体"/>
          <w:b/>
          <w:bCs/>
          <w:sz w:val="32"/>
          <w:szCs w:val="32"/>
        </w:rPr>
        <w:t>机构组成</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茂县粮食和物资储备中心是一级预算行政（参公）单位，无下属二级预算单位。</w:t>
      </w:r>
    </w:p>
    <w:p>
      <w:pPr>
        <w:numPr>
          <w:ilvl w:val="0"/>
          <w:numId w:val="8"/>
        </w:numPr>
        <w:spacing w:line="580" w:lineRule="exact"/>
        <w:rPr>
          <w:rFonts w:ascii="楷体" w:hAnsi="楷体" w:eastAsia="楷体" w:cs="楷体"/>
          <w:b/>
          <w:bCs/>
          <w:sz w:val="32"/>
          <w:szCs w:val="32"/>
        </w:rPr>
      </w:pPr>
      <w:r>
        <w:rPr>
          <w:rFonts w:hint="eastAsia" w:ascii="楷体" w:hAnsi="楷体" w:eastAsia="楷体" w:cs="楷体"/>
          <w:b/>
          <w:bCs/>
          <w:sz w:val="32"/>
          <w:szCs w:val="32"/>
        </w:rPr>
        <w:t>机构职能</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）管理社会粮食流通，保障军队、城镇居民、农村群众、应急救灾、缺粮贫困地区、退耕还林、大骨节病人和国家重点建设项目的粮食供应。</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指导全县粮食流通市场的行业行政管理、国有粮食企业的改革；指导并推动行业的技术改造、新技术推广应用、安全生产和抢险救灾工作；指导全县农村科学储粮工作；承担行业统计工作。</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指导全县粮食财务管理工作；组织实施粮食财务和会计制度工作，负责国有企业资产的监督管理；会同有关部门做好粮食收购资金使用；编报全县粮食系统财务报表，组织编制年度决算。</w:t>
      </w:r>
    </w:p>
    <w:p>
      <w:pPr>
        <w:numPr>
          <w:ilvl w:val="0"/>
          <w:numId w:val="8"/>
        </w:numPr>
        <w:spacing w:line="580" w:lineRule="exact"/>
        <w:rPr>
          <w:rFonts w:ascii="楷体" w:hAnsi="楷体" w:eastAsia="楷体" w:cs="楷体"/>
          <w:b/>
          <w:bCs/>
          <w:sz w:val="32"/>
          <w:szCs w:val="32"/>
        </w:rPr>
      </w:pPr>
      <w:r>
        <w:rPr>
          <w:rFonts w:hint="eastAsia" w:ascii="楷体" w:hAnsi="楷体" w:eastAsia="楷体" w:cs="楷体"/>
          <w:b/>
          <w:bCs/>
          <w:sz w:val="32"/>
          <w:szCs w:val="32"/>
        </w:rPr>
        <w:t>人员概况</w:t>
      </w:r>
    </w:p>
    <w:p>
      <w:pPr>
        <w:snapToGrid w:val="0"/>
        <w:spacing w:line="576" w:lineRule="exact"/>
        <w:ind w:firstLine="640" w:firstLineChars="200"/>
        <w:rPr>
          <w:rFonts w:ascii="仿宋" w:hAnsi="仿宋" w:eastAsia="仿宋" w:cs="仿宋_GB2312"/>
          <w:sz w:val="32"/>
          <w:szCs w:val="32"/>
        </w:rPr>
      </w:pPr>
      <w:r>
        <w:rPr>
          <w:rFonts w:hint="eastAsia" w:ascii="仿宋" w:hAnsi="仿宋" w:eastAsia="仿宋"/>
          <w:sz w:val="32"/>
          <w:szCs w:val="32"/>
        </w:rPr>
        <w:t>茂县粮食和物资储备中心为参公单位，现有事业编制</w:t>
      </w:r>
      <w:r>
        <w:rPr>
          <w:rFonts w:ascii="仿宋" w:hAnsi="仿宋" w:eastAsia="仿宋"/>
          <w:sz w:val="32"/>
          <w:szCs w:val="32"/>
        </w:rPr>
        <w:t>15</w:t>
      </w:r>
      <w:r>
        <w:rPr>
          <w:rFonts w:hint="eastAsia" w:ascii="仿宋" w:hAnsi="仿宋" w:eastAsia="仿宋"/>
          <w:sz w:val="32"/>
          <w:szCs w:val="32"/>
        </w:rPr>
        <w:t>人，在职职工</w:t>
      </w:r>
      <w:r>
        <w:rPr>
          <w:rFonts w:ascii="仿宋" w:hAnsi="仿宋" w:eastAsia="仿宋"/>
          <w:sz w:val="32"/>
          <w:szCs w:val="32"/>
        </w:rPr>
        <w:t>15</w:t>
      </w:r>
      <w:r>
        <w:rPr>
          <w:rFonts w:hint="eastAsia" w:ascii="仿宋" w:hAnsi="仿宋" w:eastAsia="仿宋"/>
          <w:sz w:val="32"/>
          <w:szCs w:val="32"/>
        </w:rPr>
        <w:t>人，其中：参公人员</w:t>
      </w:r>
      <w:r>
        <w:rPr>
          <w:rFonts w:ascii="仿宋" w:hAnsi="仿宋" w:eastAsia="仿宋"/>
          <w:sz w:val="32"/>
          <w:szCs w:val="32"/>
        </w:rPr>
        <w:t>13</w:t>
      </w:r>
      <w:r>
        <w:rPr>
          <w:rFonts w:hint="eastAsia" w:ascii="仿宋" w:hAnsi="仿宋" w:eastAsia="仿宋"/>
          <w:sz w:val="32"/>
          <w:szCs w:val="32"/>
        </w:rPr>
        <w:t>人，工勤人员</w:t>
      </w:r>
      <w:r>
        <w:rPr>
          <w:rFonts w:ascii="仿宋" w:hAnsi="仿宋" w:eastAsia="仿宋"/>
          <w:sz w:val="32"/>
          <w:szCs w:val="32"/>
        </w:rPr>
        <w:t>2</w:t>
      </w:r>
      <w:r>
        <w:rPr>
          <w:rFonts w:hint="eastAsia" w:ascii="仿宋" w:hAnsi="仿宋" w:eastAsia="仿宋"/>
          <w:sz w:val="32"/>
          <w:szCs w:val="32"/>
        </w:rPr>
        <w:t>人。遗属</w:t>
      </w:r>
      <w:r>
        <w:rPr>
          <w:rFonts w:ascii="仿宋" w:hAnsi="仿宋" w:eastAsia="仿宋"/>
          <w:sz w:val="32"/>
          <w:szCs w:val="32"/>
        </w:rPr>
        <w:t>6</w:t>
      </w:r>
      <w:r>
        <w:rPr>
          <w:rFonts w:hint="eastAsia" w:ascii="仿宋" w:hAnsi="仿宋" w:eastAsia="仿宋"/>
          <w:sz w:val="32"/>
          <w:szCs w:val="32"/>
        </w:rPr>
        <w:t>人。</w:t>
      </w:r>
    </w:p>
    <w:p>
      <w:pPr>
        <w:pStyle w:val="3"/>
        <w:ind w:left="420"/>
        <w:rPr>
          <w:rFonts w:ascii="仿宋" w:hAnsi="仿宋" w:eastAsia="仿宋"/>
          <w:b w:val="0"/>
          <w:bCs w:val="0"/>
          <w:color w:val="000000"/>
        </w:rPr>
      </w:pPr>
      <w:r>
        <w:rPr>
          <w:rFonts w:hint="eastAsia" w:ascii="黑体" w:hAnsi="黑体" w:eastAsia="黑体" w:cs="黑体"/>
          <w:b w:val="0"/>
          <w:bCs w:val="0"/>
        </w:rPr>
        <w:t>二、部门财政资金收支情况</w:t>
      </w:r>
    </w:p>
    <w:p>
      <w:pPr>
        <w:numPr>
          <w:ilvl w:val="0"/>
          <w:numId w:val="9"/>
        </w:numPr>
        <w:spacing w:line="576" w:lineRule="exact"/>
        <w:rPr>
          <w:rFonts w:ascii="楷体" w:hAnsi="楷体" w:eastAsia="楷体" w:cs="楷体"/>
          <w:b/>
          <w:bCs/>
          <w:sz w:val="32"/>
          <w:szCs w:val="32"/>
        </w:rPr>
      </w:pPr>
      <w:r>
        <w:rPr>
          <w:rFonts w:hint="eastAsia" w:ascii="楷体" w:hAnsi="楷体" w:eastAsia="楷体" w:cs="楷体"/>
          <w:b/>
          <w:bCs/>
          <w:sz w:val="32"/>
          <w:szCs w:val="32"/>
        </w:rPr>
        <w:t>部门财政资金收入情况</w:t>
      </w:r>
    </w:p>
    <w:p>
      <w:pPr>
        <w:widowControl/>
        <w:adjustRightInd w:val="0"/>
        <w:snapToGrid w:val="0"/>
        <w:spacing w:line="576" w:lineRule="exact"/>
        <w:ind w:left="638" w:leftChars="304" w:firstLine="80" w:firstLineChars="25"/>
        <w:rPr>
          <w:rFonts w:ascii="楷体" w:hAnsi="楷体" w:eastAsia="楷体" w:cs="楷体"/>
          <w:b/>
          <w:bCs/>
          <w:sz w:val="32"/>
          <w:szCs w:val="32"/>
        </w:rPr>
      </w:pPr>
      <w:r>
        <w:rPr>
          <w:rFonts w:ascii="仿宋" w:hAnsi="仿宋" w:eastAsia="仿宋"/>
          <w:sz w:val="32"/>
          <w:szCs w:val="32"/>
        </w:rPr>
        <w:t>2020</w:t>
      </w:r>
      <w:r>
        <w:rPr>
          <w:rFonts w:hint="eastAsia" w:ascii="仿宋" w:hAnsi="仿宋" w:eastAsia="仿宋"/>
          <w:sz w:val="32"/>
          <w:szCs w:val="32"/>
        </w:rPr>
        <w:t>年本单位财政拨款收入决算总额为：</w:t>
      </w:r>
      <w:r>
        <w:rPr>
          <w:rFonts w:ascii="仿宋" w:hAnsi="仿宋" w:eastAsia="仿宋"/>
          <w:sz w:val="32"/>
          <w:szCs w:val="32"/>
        </w:rPr>
        <w:t>1411.35</w:t>
      </w:r>
      <w:r>
        <w:rPr>
          <w:rFonts w:hint="eastAsia" w:ascii="仿宋" w:hAnsi="仿宋" w:eastAsia="仿宋"/>
          <w:sz w:val="32"/>
          <w:szCs w:val="32"/>
        </w:rPr>
        <w:t>万元（二）</w:t>
      </w:r>
      <w:r>
        <w:rPr>
          <w:rFonts w:hint="eastAsia" w:ascii="楷体" w:hAnsi="楷体" w:eastAsia="楷体" w:cs="楷体"/>
          <w:b/>
          <w:bCs/>
          <w:sz w:val="32"/>
          <w:szCs w:val="32"/>
        </w:rPr>
        <w:t>部门财政资金支出情况</w:t>
      </w:r>
    </w:p>
    <w:p>
      <w:pPr>
        <w:widowControl/>
        <w:adjustRightInd w:val="0"/>
        <w:snapToGrid w:val="0"/>
        <w:spacing w:line="576" w:lineRule="exact"/>
        <w:ind w:firstLine="720"/>
        <w:rPr>
          <w:rFonts w:ascii="仿宋" w:hAnsi="仿宋" w:eastAsia="仿宋"/>
          <w:color w:val="000000"/>
          <w:sz w:val="32"/>
          <w:szCs w:val="32"/>
        </w:rPr>
      </w:pPr>
      <w:r>
        <w:rPr>
          <w:rFonts w:ascii="仿宋" w:hAnsi="仿宋" w:eastAsia="仿宋"/>
          <w:sz w:val="32"/>
          <w:szCs w:val="32"/>
        </w:rPr>
        <w:t>2020</w:t>
      </w:r>
      <w:r>
        <w:rPr>
          <w:rFonts w:hint="eastAsia" w:ascii="仿宋" w:hAnsi="仿宋" w:eastAsia="仿宋"/>
          <w:sz w:val="32"/>
          <w:szCs w:val="32"/>
        </w:rPr>
        <w:t>年本单位财政拨款支出决算总额为：</w:t>
      </w:r>
      <w:r>
        <w:rPr>
          <w:rFonts w:ascii="仿宋" w:hAnsi="仿宋" w:eastAsia="仿宋"/>
          <w:sz w:val="32"/>
          <w:szCs w:val="32"/>
        </w:rPr>
        <w:t>1040.04</w:t>
      </w:r>
      <w:r>
        <w:rPr>
          <w:rFonts w:hint="eastAsia" w:ascii="仿宋" w:hAnsi="仿宋" w:eastAsia="仿宋"/>
          <w:sz w:val="32"/>
          <w:szCs w:val="32"/>
        </w:rPr>
        <w:t>万元。其中按功能分类，社会保障和就业支出</w:t>
      </w:r>
      <w:r>
        <w:rPr>
          <w:rFonts w:ascii="仿宋" w:hAnsi="仿宋" w:eastAsia="仿宋"/>
          <w:sz w:val="32"/>
          <w:szCs w:val="32"/>
        </w:rPr>
        <w:t>27.28</w:t>
      </w:r>
      <w:r>
        <w:rPr>
          <w:rFonts w:hint="eastAsia" w:ascii="仿宋" w:hAnsi="仿宋" w:eastAsia="仿宋"/>
          <w:sz w:val="32"/>
          <w:szCs w:val="32"/>
        </w:rPr>
        <w:t>万元、医疗卫生与计划生育支出</w:t>
      </w:r>
      <w:r>
        <w:rPr>
          <w:rFonts w:ascii="仿宋" w:hAnsi="仿宋" w:eastAsia="仿宋"/>
          <w:sz w:val="32"/>
          <w:szCs w:val="32"/>
        </w:rPr>
        <w:t>16.40</w:t>
      </w:r>
      <w:r>
        <w:rPr>
          <w:rFonts w:hint="eastAsia" w:ascii="仿宋" w:hAnsi="仿宋" w:eastAsia="仿宋"/>
          <w:sz w:val="32"/>
          <w:szCs w:val="32"/>
        </w:rPr>
        <w:t>万元、农林水支出</w:t>
      </w:r>
      <w:r>
        <w:rPr>
          <w:rFonts w:ascii="仿宋" w:hAnsi="仿宋" w:eastAsia="仿宋"/>
          <w:sz w:val="32"/>
          <w:szCs w:val="32"/>
        </w:rPr>
        <w:t>3.07</w:t>
      </w:r>
      <w:r>
        <w:rPr>
          <w:rFonts w:hint="eastAsia" w:ascii="仿宋" w:hAnsi="仿宋" w:eastAsia="仿宋"/>
          <w:sz w:val="32"/>
          <w:szCs w:val="32"/>
        </w:rPr>
        <w:t>万元、粮油物质储备事务等支出</w:t>
      </w:r>
      <w:r>
        <w:rPr>
          <w:rFonts w:ascii="仿宋" w:hAnsi="仿宋" w:eastAsia="仿宋"/>
          <w:sz w:val="32"/>
          <w:szCs w:val="32"/>
        </w:rPr>
        <w:t>1345.47</w:t>
      </w:r>
      <w:r>
        <w:rPr>
          <w:rFonts w:hint="eastAsia" w:ascii="仿宋" w:hAnsi="仿宋" w:eastAsia="仿宋"/>
          <w:sz w:val="32"/>
          <w:szCs w:val="32"/>
        </w:rPr>
        <w:t>万元、住房保障支出</w:t>
      </w:r>
      <w:r>
        <w:rPr>
          <w:rFonts w:ascii="仿宋" w:hAnsi="仿宋" w:eastAsia="仿宋"/>
          <w:sz w:val="32"/>
          <w:szCs w:val="32"/>
        </w:rPr>
        <w:t>19.14</w:t>
      </w:r>
      <w:r>
        <w:rPr>
          <w:rFonts w:hint="eastAsia" w:ascii="仿宋" w:hAnsi="仿宋" w:eastAsia="仿宋"/>
          <w:sz w:val="32"/>
          <w:szCs w:val="32"/>
        </w:rPr>
        <w:t>万元；按支出性质分类，</w:t>
      </w:r>
      <w:r>
        <w:rPr>
          <w:rFonts w:hint="eastAsia" w:ascii="仿宋" w:hAnsi="仿宋" w:eastAsia="仿宋"/>
          <w:color w:val="000000"/>
          <w:sz w:val="32"/>
          <w:szCs w:val="32"/>
        </w:rPr>
        <w:t>基本支出</w:t>
      </w:r>
      <w:r>
        <w:rPr>
          <w:rFonts w:ascii="仿宋" w:hAnsi="仿宋" w:eastAsia="仿宋"/>
          <w:color w:val="000000"/>
          <w:sz w:val="32"/>
          <w:szCs w:val="32"/>
        </w:rPr>
        <w:t>292.33</w:t>
      </w:r>
      <w:r>
        <w:rPr>
          <w:rFonts w:hint="eastAsia" w:ascii="仿宋" w:hAnsi="仿宋" w:eastAsia="仿宋"/>
          <w:color w:val="000000"/>
          <w:sz w:val="32"/>
          <w:szCs w:val="32"/>
        </w:rPr>
        <w:t>万元、项目支出</w:t>
      </w:r>
      <w:r>
        <w:rPr>
          <w:rFonts w:ascii="仿宋" w:hAnsi="仿宋" w:eastAsia="仿宋"/>
          <w:color w:val="000000"/>
          <w:sz w:val="32"/>
          <w:szCs w:val="32"/>
        </w:rPr>
        <w:t>747.71</w:t>
      </w:r>
      <w:r>
        <w:rPr>
          <w:rFonts w:hint="eastAsia" w:ascii="仿宋" w:hAnsi="仿宋" w:eastAsia="仿宋"/>
          <w:color w:val="000000"/>
          <w:sz w:val="32"/>
          <w:szCs w:val="32"/>
        </w:rPr>
        <w:t>万元；按经济分类，工资福利支出</w:t>
      </w:r>
      <w:r>
        <w:rPr>
          <w:rFonts w:ascii="仿宋" w:hAnsi="仿宋" w:eastAsia="仿宋"/>
          <w:color w:val="000000"/>
          <w:sz w:val="32"/>
          <w:szCs w:val="32"/>
        </w:rPr>
        <w:t>238.71</w:t>
      </w:r>
      <w:r>
        <w:rPr>
          <w:rFonts w:hint="eastAsia" w:ascii="仿宋" w:hAnsi="仿宋" w:eastAsia="仿宋"/>
          <w:color w:val="000000"/>
          <w:sz w:val="32"/>
          <w:szCs w:val="32"/>
        </w:rPr>
        <w:t>万元、商品和服务支出</w:t>
      </w:r>
      <w:r>
        <w:rPr>
          <w:rFonts w:ascii="仿宋" w:hAnsi="仿宋" w:eastAsia="仿宋"/>
          <w:color w:val="000000"/>
          <w:sz w:val="32"/>
          <w:szCs w:val="32"/>
        </w:rPr>
        <w:t>11.08</w:t>
      </w:r>
      <w:r>
        <w:rPr>
          <w:rFonts w:hint="eastAsia" w:ascii="仿宋" w:hAnsi="仿宋" w:eastAsia="仿宋"/>
          <w:color w:val="000000"/>
          <w:sz w:val="32"/>
          <w:szCs w:val="32"/>
        </w:rPr>
        <w:t>万元、对个人和家庭的补助</w:t>
      </w:r>
      <w:r>
        <w:rPr>
          <w:rFonts w:ascii="仿宋" w:hAnsi="仿宋" w:eastAsia="仿宋"/>
          <w:color w:val="000000"/>
          <w:sz w:val="32"/>
          <w:szCs w:val="32"/>
        </w:rPr>
        <w:t>42.54</w:t>
      </w:r>
      <w:r>
        <w:rPr>
          <w:rFonts w:hint="eastAsia" w:ascii="仿宋" w:hAnsi="仿宋" w:eastAsia="仿宋"/>
          <w:color w:val="000000"/>
          <w:sz w:val="32"/>
          <w:szCs w:val="32"/>
        </w:rPr>
        <w:t>万元、基本建设支出</w:t>
      </w:r>
      <w:r>
        <w:rPr>
          <w:rFonts w:ascii="仿宋" w:hAnsi="仿宋" w:eastAsia="仿宋"/>
          <w:color w:val="000000"/>
          <w:sz w:val="32"/>
          <w:szCs w:val="32"/>
        </w:rPr>
        <w:t>747.71</w:t>
      </w:r>
      <w:r>
        <w:rPr>
          <w:rFonts w:hint="eastAsia" w:ascii="仿宋" w:hAnsi="仿宋" w:eastAsia="仿宋"/>
          <w:color w:val="000000"/>
          <w:sz w:val="32"/>
          <w:szCs w:val="32"/>
        </w:rPr>
        <w:t>万元。</w:t>
      </w:r>
    </w:p>
    <w:p>
      <w:pPr>
        <w:pStyle w:val="3"/>
        <w:spacing w:line="576" w:lineRule="exact"/>
        <w:ind w:firstLine="640" w:firstLineChars="200"/>
        <w:rPr>
          <w:rFonts w:ascii="黑体" w:hAnsi="黑体" w:eastAsia="黑体" w:cs="黑体"/>
          <w:b w:val="0"/>
          <w:bCs w:val="0"/>
        </w:rPr>
      </w:pPr>
      <w:r>
        <w:rPr>
          <w:rFonts w:hint="eastAsia" w:ascii="黑体" w:hAnsi="黑体" w:eastAsia="黑体" w:cs="黑体"/>
          <w:b w:val="0"/>
          <w:bCs w:val="0"/>
        </w:rPr>
        <w:t>三、部门整体预算绩效管理情况</w:t>
      </w:r>
    </w:p>
    <w:p>
      <w:pPr>
        <w:pStyle w:val="3"/>
        <w:spacing w:line="576" w:lineRule="exact"/>
        <w:ind w:firstLine="642" w:firstLineChars="200"/>
        <w:rPr>
          <w:rFonts w:ascii="仿宋" w:hAnsi="仿宋" w:eastAsia="仿宋" w:cs="黑体"/>
          <w:b w:val="0"/>
          <w:bCs w:val="0"/>
        </w:rPr>
      </w:pPr>
      <w:r>
        <w:rPr>
          <w:rFonts w:hint="eastAsia" w:ascii="仿宋" w:hAnsi="仿宋" w:eastAsia="仿宋" w:cs="楷体"/>
        </w:rPr>
        <w:t>（一）部门预算管理</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我中心认真学习贯彻党的十九大、省第十一次党代会和省委十一届三次、四次全会精神，以习近平新时代中国特色社会主义思想为指导，根据职能职责积极谋划，确定目标任务，积极发挥粮食和物资储备中心职能作用。按照</w:t>
      </w:r>
      <w:r>
        <w:rPr>
          <w:rFonts w:ascii="仿宋" w:hAnsi="仿宋" w:eastAsia="仿宋" w:cs="仿宋_GB2312"/>
          <w:sz w:val="32"/>
          <w:szCs w:val="32"/>
        </w:rPr>
        <w:t>2020</w:t>
      </w:r>
      <w:r>
        <w:rPr>
          <w:rFonts w:hint="eastAsia" w:ascii="仿宋" w:hAnsi="仿宋" w:eastAsia="仿宋" w:cs="仿宋_GB2312"/>
          <w:sz w:val="32"/>
          <w:szCs w:val="32"/>
        </w:rPr>
        <w:t>年部门预算编审要求，根据我中心职能职责，结合中长期规划和年度工作计划，明确了年度主要工作任务及年度内履职所要达到的总体产出和效果，认真填报了中心整体支出绩效目标设定了年度绩效数量指标、成本指标、效益指标等，详细反映了相应项目工作任务、达成的效果。</w:t>
      </w:r>
    </w:p>
    <w:p>
      <w:pPr>
        <w:spacing w:line="576" w:lineRule="exact"/>
        <w:ind w:firstLine="642" w:firstLineChars="200"/>
        <w:rPr>
          <w:rFonts w:ascii="仿宋" w:hAnsi="仿宋" w:eastAsia="仿宋" w:cs="楷体"/>
          <w:b/>
          <w:bCs/>
          <w:sz w:val="32"/>
          <w:szCs w:val="32"/>
        </w:rPr>
      </w:pPr>
      <w:r>
        <w:rPr>
          <w:rFonts w:hint="eastAsia" w:ascii="仿宋" w:hAnsi="仿宋" w:eastAsia="仿宋" w:cs="楷体"/>
          <w:b/>
          <w:bCs/>
          <w:sz w:val="32"/>
          <w:szCs w:val="32"/>
        </w:rPr>
        <w:t>（二）专项预算管理</w:t>
      </w:r>
    </w:p>
    <w:p>
      <w:pPr>
        <w:pStyle w:val="3"/>
        <w:spacing w:line="576" w:lineRule="exact"/>
        <w:ind w:firstLine="640" w:firstLineChars="200"/>
        <w:rPr>
          <w:rFonts w:ascii="仿宋" w:hAnsi="仿宋" w:eastAsia="仿宋" w:cs="仿宋_GB2312"/>
        </w:rPr>
      </w:pPr>
      <w:r>
        <w:rPr>
          <w:rFonts w:ascii="仿宋" w:hAnsi="仿宋" w:eastAsia="仿宋" w:cs="仿宋_GB2312"/>
          <w:b w:val="0"/>
          <w:bCs w:val="0"/>
        </w:rPr>
        <w:t>2020</w:t>
      </w:r>
      <w:r>
        <w:rPr>
          <w:rFonts w:hint="eastAsia" w:ascii="仿宋" w:hAnsi="仿宋" w:eastAsia="仿宋" w:cs="仿宋_GB2312"/>
          <w:b w:val="0"/>
          <w:bCs w:val="0"/>
        </w:rPr>
        <w:t>年，本单位无专项预算。</w:t>
      </w:r>
    </w:p>
    <w:p>
      <w:pPr>
        <w:spacing w:line="576" w:lineRule="exact"/>
        <w:ind w:firstLine="642" w:firstLineChars="200"/>
        <w:rPr>
          <w:rFonts w:ascii="仿宋" w:hAnsi="仿宋" w:eastAsia="仿宋" w:cs="楷体"/>
          <w:b/>
          <w:bCs/>
          <w:sz w:val="32"/>
          <w:szCs w:val="32"/>
        </w:rPr>
      </w:pPr>
      <w:r>
        <w:rPr>
          <w:rFonts w:hint="eastAsia" w:ascii="仿宋" w:hAnsi="仿宋" w:eastAsia="仿宋" w:cs="楷体"/>
          <w:b/>
          <w:bCs/>
          <w:sz w:val="32"/>
          <w:szCs w:val="32"/>
        </w:rPr>
        <w:t>（三）结果应用情况</w:t>
      </w:r>
    </w:p>
    <w:p>
      <w:pPr>
        <w:spacing w:line="576" w:lineRule="exact"/>
        <w:ind w:firstLine="640" w:firstLineChars="200"/>
        <w:rPr>
          <w:rFonts w:ascii="仿宋" w:hAnsi="仿宋" w:eastAsia="仿宋"/>
        </w:rPr>
      </w:pPr>
      <w:r>
        <w:rPr>
          <w:rFonts w:hint="eastAsia" w:ascii="仿宋" w:hAnsi="仿宋" w:eastAsia="仿宋" w:cs="仿宋_GB2312"/>
          <w:sz w:val="32"/>
          <w:szCs w:val="32"/>
        </w:rPr>
        <w:t>我单位对预算绩效管理工作开展情况认真进行了自查自评。绩效评价自查开展覆盖的项目支出，将评价结果作为预算安排的重要依据，参照项目年度预算执行情况、执行情况统筹项目支出需求，保障重点支出，调整支出结构，优化财政资金配置，不断强化绩效理念，推动我单位整体绩效管理水平不断提升。</w:t>
      </w:r>
    </w:p>
    <w:p>
      <w:pPr>
        <w:pStyle w:val="3"/>
        <w:ind w:firstLine="640" w:firstLineChars="200"/>
        <w:rPr>
          <w:rFonts w:ascii="黑体" w:hAnsi="黑体" w:eastAsia="黑体" w:cs="黑体"/>
          <w:b w:val="0"/>
          <w:bCs w:val="0"/>
        </w:rPr>
      </w:pPr>
      <w:r>
        <w:rPr>
          <w:rFonts w:hint="eastAsia" w:ascii="黑体" w:hAnsi="黑体" w:eastAsia="黑体" w:cs="黑体"/>
          <w:b w:val="0"/>
          <w:bCs w:val="0"/>
        </w:rPr>
        <w:t>四、评价结论及建议</w:t>
      </w:r>
    </w:p>
    <w:p>
      <w:pPr>
        <w:numPr>
          <w:ilvl w:val="0"/>
          <w:numId w:val="10"/>
        </w:numPr>
        <w:spacing w:line="576" w:lineRule="exact"/>
        <w:rPr>
          <w:rFonts w:ascii="仿宋" w:hAnsi="仿宋" w:eastAsia="仿宋" w:cs="楷体"/>
          <w:b/>
          <w:bCs/>
          <w:sz w:val="32"/>
          <w:szCs w:val="32"/>
        </w:rPr>
      </w:pPr>
      <w:r>
        <w:rPr>
          <w:rFonts w:hint="eastAsia" w:ascii="仿宋" w:hAnsi="仿宋" w:eastAsia="仿宋" w:cs="楷体"/>
          <w:b/>
          <w:bCs/>
          <w:sz w:val="32"/>
          <w:szCs w:val="32"/>
        </w:rPr>
        <w:t>评价结论</w:t>
      </w:r>
    </w:p>
    <w:p>
      <w:pPr>
        <w:widowControl/>
        <w:adjustRightInd w:val="0"/>
        <w:snapToGrid w:val="0"/>
        <w:spacing w:line="576" w:lineRule="exact"/>
        <w:ind w:firstLine="640" w:firstLineChars="200"/>
        <w:rPr>
          <w:rFonts w:ascii="仿宋" w:hAnsi="仿宋" w:eastAsia="仿宋"/>
        </w:rPr>
      </w:pPr>
      <w:r>
        <w:rPr>
          <w:rFonts w:hint="eastAsia" w:ascii="仿宋" w:hAnsi="仿宋" w:eastAsia="仿宋" w:cs="宋体"/>
          <w:color w:val="000000"/>
          <w:kern w:val="0"/>
          <w:sz w:val="32"/>
          <w:szCs w:val="32"/>
          <w:shd w:val="clear" w:color="auto" w:fill="FFFFFF"/>
          <w:lang w:val="zh-CN"/>
        </w:rPr>
        <w:t>总体看，我单位预算编制及执行决算较为准确，支出管理较为规范，财务管理制度较完善，部门整体绩效较好。</w:t>
      </w:r>
    </w:p>
    <w:p>
      <w:pPr>
        <w:numPr>
          <w:ilvl w:val="0"/>
          <w:numId w:val="10"/>
        </w:numPr>
        <w:spacing w:line="576" w:lineRule="exact"/>
        <w:rPr>
          <w:rFonts w:ascii="仿宋" w:hAnsi="仿宋" w:eastAsia="仿宋" w:cs="楷体"/>
          <w:b/>
          <w:bCs/>
          <w:sz w:val="32"/>
          <w:szCs w:val="32"/>
        </w:rPr>
      </w:pPr>
      <w:r>
        <w:rPr>
          <w:rFonts w:hint="eastAsia" w:ascii="仿宋" w:hAnsi="仿宋" w:eastAsia="仿宋" w:cs="楷体"/>
          <w:b/>
          <w:bCs/>
          <w:sz w:val="32"/>
          <w:szCs w:val="32"/>
        </w:rPr>
        <w:t>存在问题</w:t>
      </w:r>
    </w:p>
    <w:p>
      <w:pPr>
        <w:widowControl/>
        <w:adjustRightInd w:val="0"/>
        <w:snapToGrid w:val="0"/>
        <w:spacing w:line="576" w:lineRule="exact"/>
        <w:ind w:firstLine="720"/>
        <w:rPr>
          <w:rFonts w:ascii="仿宋" w:hAnsi="仿宋" w:eastAsia="仿宋"/>
        </w:rPr>
      </w:pPr>
      <w:r>
        <w:rPr>
          <w:rFonts w:hint="eastAsia" w:ascii="仿宋" w:hAnsi="仿宋" w:eastAsia="仿宋" w:cs="宋体"/>
          <w:color w:val="000000"/>
          <w:kern w:val="0"/>
          <w:sz w:val="32"/>
          <w:szCs w:val="32"/>
          <w:shd w:val="clear" w:color="auto" w:fill="FFFFFF"/>
          <w:lang w:val="zh-CN"/>
        </w:rPr>
        <w:t>内控制度管理质量不高，个别内控制度执行力不强、监督不力，导致制度管理质量不高。</w:t>
      </w:r>
    </w:p>
    <w:p>
      <w:pPr>
        <w:numPr>
          <w:ilvl w:val="0"/>
          <w:numId w:val="10"/>
        </w:numPr>
        <w:spacing w:line="576" w:lineRule="exact"/>
        <w:rPr>
          <w:rFonts w:ascii="仿宋" w:hAnsi="仿宋" w:eastAsia="仿宋" w:cs="楷体"/>
          <w:b/>
          <w:bCs/>
          <w:sz w:val="32"/>
          <w:szCs w:val="32"/>
        </w:rPr>
      </w:pPr>
      <w:r>
        <w:rPr>
          <w:rFonts w:hint="eastAsia" w:ascii="仿宋" w:hAnsi="仿宋" w:eastAsia="仿宋" w:cs="楷体"/>
          <w:b/>
          <w:bCs/>
          <w:sz w:val="32"/>
          <w:szCs w:val="32"/>
        </w:rPr>
        <w:t>改进建议</w:t>
      </w:r>
    </w:p>
    <w:p>
      <w:pPr>
        <w:spacing w:line="576"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我们一定要提高预算编制质量，强化资金财务管理，加大内控管理制度，使我单位能更好的完成各项目标任务。</w:t>
      </w:r>
    </w:p>
    <w:p>
      <w:pPr>
        <w:numPr>
          <w:ilvl w:val="0"/>
          <w:numId w:val="0"/>
        </w:numPr>
        <w:spacing w:line="600" w:lineRule="exact"/>
        <w:jc w:val="center"/>
        <w:outlineLvl w:val="0"/>
        <w:rPr>
          <w:rStyle w:val="22"/>
          <w:rFonts w:ascii="方正小标宋简体" w:hAnsi="方正小标宋简体" w:eastAsia="方正小标宋简体" w:cs="方正小标宋简体"/>
          <w:b w:val="0"/>
        </w:rPr>
      </w:pPr>
      <w:bookmarkStart w:id="58" w:name="_Toc15396618"/>
      <w:r>
        <w:rPr>
          <w:rFonts w:ascii="仿宋" w:hAnsi="仿宋" w:eastAsia="仿宋" w:cs="方正小标宋简体"/>
          <w:color w:val="000000"/>
          <w:sz w:val="44"/>
          <w:szCs w:val="44"/>
        </w:rPr>
        <w:br w:type="page"/>
      </w:r>
      <w:r>
        <w:rPr>
          <w:rStyle w:val="22"/>
          <w:rFonts w:hint="eastAsia" w:ascii="方正小标宋简体" w:hAnsi="方正小标宋简体" w:eastAsia="方正小标宋简体" w:cs="方正小标宋简体"/>
          <w:b w:val="0"/>
          <w:lang w:eastAsia="zh-CN"/>
        </w:rPr>
        <w:t>第五部分</w:t>
      </w:r>
      <w:r>
        <w:rPr>
          <w:rStyle w:val="22"/>
          <w:rFonts w:hint="eastAsia" w:ascii="方正小标宋简体" w:hAnsi="方正小标宋简体" w:eastAsia="方正小标宋简体" w:cs="方正小标宋简体"/>
          <w:b w:val="0"/>
          <w:lang w:val="en-US" w:eastAsia="zh-CN"/>
        </w:rPr>
        <w:t xml:space="preserve">  </w:t>
      </w:r>
      <w:r>
        <w:rPr>
          <w:rStyle w:val="22"/>
          <w:rFonts w:hint="eastAsia" w:ascii="方正小标宋简体" w:hAnsi="方正小标宋简体" w:eastAsia="方正小标宋简体" w:cs="方正小标宋简体"/>
          <w:b w:val="0"/>
        </w:rPr>
        <w:t>附表</w:t>
      </w:r>
    </w:p>
    <w:p>
      <w:pPr>
        <w:pStyle w:val="3"/>
        <w:spacing w:line="576" w:lineRule="exact"/>
        <w:rPr>
          <w:rFonts w:ascii="仿宋" w:hAnsi="仿宋" w:eastAsia="仿宋"/>
          <w:color w:val="000000"/>
        </w:rPr>
      </w:pPr>
      <w:r>
        <w:rPr>
          <w:rFonts w:hint="eastAsia" w:ascii="仿宋" w:hAnsi="仿宋" w:eastAsia="仿宋"/>
          <w:b w:val="0"/>
          <w:color w:val="000000"/>
        </w:rPr>
        <w:t>一、收</w:t>
      </w:r>
      <w:r>
        <w:rPr>
          <w:rStyle w:val="23"/>
          <w:rFonts w:hint="eastAsia" w:ascii="仿宋" w:hAnsi="仿宋" w:eastAsia="仿宋"/>
          <w:b w:val="0"/>
          <w:bCs w:val="0"/>
        </w:rPr>
        <w:t>入支出决算总表</w:t>
      </w:r>
    </w:p>
    <w:p>
      <w:pPr>
        <w:pStyle w:val="3"/>
        <w:spacing w:line="576" w:lineRule="exact"/>
        <w:rPr>
          <w:rFonts w:ascii="仿宋" w:hAnsi="仿宋" w:eastAsia="仿宋"/>
          <w:color w:val="000000"/>
        </w:rPr>
      </w:pPr>
      <w:r>
        <w:rPr>
          <w:rFonts w:hint="eastAsia" w:ascii="仿宋" w:hAnsi="仿宋" w:eastAsia="仿宋"/>
          <w:b w:val="0"/>
          <w:color w:val="000000"/>
        </w:rPr>
        <w:t>二、收</w:t>
      </w:r>
      <w:r>
        <w:rPr>
          <w:rStyle w:val="23"/>
          <w:rFonts w:hint="eastAsia" w:ascii="仿宋" w:hAnsi="仿宋" w:eastAsia="仿宋"/>
          <w:b w:val="0"/>
          <w:bCs w:val="0"/>
        </w:rPr>
        <w:t>入总表</w:t>
      </w:r>
    </w:p>
    <w:p>
      <w:pPr>
        <w:pStyle w:val="3"/>
        <w:spacing w:line="576" w:lineRule="exact"/>
        <w:rPr>
          <w:rFonts w:ascii="仿宋" w:hAnsi="仿宋" w:eastAsia="仿宋"/>
          <w:color w:val="000000"/>
        </w:rPr>
      </w:pPr>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出总表</w:t>
      </w:r>
    </w:p>
    <w:p>
      <w:pPr>
        <w:pStyle w:val="3"/>
        <w:spacing w:line="576" w:lineRule="exact"/>
        <w:rPr>
          <w:rFonts w:ascii="仿宋" w:hAnsi="仿宋" w:eastAsia="仿宋"/>
          <w:b w:val="0"/>
          <w:color w:val="000000"/>
        </w:rPr>
      </w:pPr>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p>
    <w:p>
      <w:pPr>
        <w:pStyle w:val="3"/>
        <w:spacing w:line="576" w:lineRule="exact"/>
        <w:rPr>
          <w:rFonts w:ascii="仿宋" w:hAnsi="仿宋" w:eastAsia="仿宋"/>
          <w:color w:val="000000"/>
        </w:rPr>
      </w:pPr>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政拨款支出决算明细表（政府经济分类科目）</w:t>
      </w:r>
    </w:p>
    <w:p>
      <w:pPr>
        <w:pStyle w:val="3"/>
        <w:spacing w:line="576" w:lineRule="exact"/>
        <w:rPr>
          <w:rFonts w:ascii="仿宋" w:hAnsi="仿宋" w:eastAsia="仿宋"/>
          <w:color w:val="000000"/>
        </w:rPr>
      </w:pPr>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p>
    <w:p>
      <w:pPr>
        <w:pStyle w:val="3"/>
        <w:spacing w:line="576" w:lineRule="exact"/>
        <w:rPr>
          <w:rFonts w:ascii="仿宋" w:hAnsi="仿宋" w:eastAsia="仿宋"/>
          <w:color w:val="000000"/>
        </w:rPr>
      </w:pPr>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p>
    <w:p>
      <w:pPr>
        <w:pStyle w:val="3"/>
        <w:spacing w:line="576" w:lineRule="exact"/>
        <w:rPr>
          <w:rFonts w:ascii="仿宋" w:hAnsi="仿宋" w:eastAsia="仿宋"/>
          <w:color w:val="000000"/>
        </w:rPr>
      </w:pPr>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p>
    <w:p>
      <w:pPr>
        <w:pStyle w:val="3"/>
        <w:spacing w:line="576" w:lineRule="exact"/>
        <w:rPr>
          <w:rFonts w:ascii="仿宋" w:hAnsi="仿宋" w:eastAsia="仿宋"/>
          <w:color w:val="000000"/>
        </w:rPr>
      </w:pPr>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p>
    <w:p>
      <w:pPr>
        <w:pStyle w:val="3"/>
        <w:spacing w:line="576" w:lineRule="exact"/>
        <w:rPr>
          <w:rFonts w:ascii="仿宋" w:hAnsi="仿宋" w:eastAsia="仿宋"/>
          <w:color w:val="000000"/>
        </w:rPr>
      </w:pPr>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p>
    <w:p>
      <w:pPr>
        <w:pStyle w:val="3"/>
        <w:spacing w:line="576" w:lineRule="exact"/>
        <w:rPr>
          <w:rFonts w:ascii="仿宋" w:hAnsi="仿宋" w:eastAsia="仿宋"/>
          <w:color w:val="000000"/>
        </w:rPr>
      </w:pPr>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p>
    <w:p>
      <w:pPr>
        <w:pStyle w:val="3"/>
        <w:spacing w:line="576" w:lineRule="exact"/>
        <w:rPr>
          <w:rFonts w:ascii="仿宋" w:hAnsi="仿宋" w:eastAsia="仿宋"/>
          <w:color w:val="000000"/>
        </w:rPr>
      </w:pPr>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p>
    <w:p>
      <w:pPr>
        <w:pStyle w:val="3"/>
        <w:spacing w:line="576" w:lineRule="exact"/>
        <w:rPr>
          <w:rFonts w:ascii="方正小标宋简体" w:hAnsi="方正小标宋简体" w:eastAsia="方正小标宋简体" w:cs="方正小标宋简体"/>
          <w:color w:val="000000"/>
          <w:sz w:val="44"/>
          <w:szCs w:val="44"/>
        </w:rPr>
        <w:sectPr>
          <w:footerReference r:id="rId6" w:type="first"/>
          <w:footerReference r:id="rId5" w:type="default"/>
          <w:pgSz w:w="11906" w:h="16838"/>
          <w:pgMar w:top="1440" w:right="1800" w:bottom="1440" w:left="1800" w:header="851" w:footer="992" w:gutter="0"/>
          <w:cols w:space="425" w:num="1"/>
          <w:titlePg/>
          <w:docGrid w:type="lines" w:linePitch="312" w:charSpace="0"/>
        </w:sectPr>
      </w:pPr>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有资本经营预算支出</w:t>
      </w:r>
    </w:p>
    <w:bookmarkEnd w:id="56"/>
    <w:bookmarkEnd w:id="5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serif">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Malgun Gothic Semilight">
    <w:altName w:val="仿宋_GB2312"/>
    <w:panose1 w:val="00000000000000000000"/>
    <w:charset w:val="86"/>
    <w:family w:val="swiss"/>
    <w:pitch w:val="default"/>
    <w:sig w:usb0="00000000" w:usb1="00000000" w:usb2="00000012" w:usb3="00000000" w:csb0="003E01BD"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center"/>
                          </w:pPr>
                          <w:r>
                            <w:fldChar w:fldCharType="begin"/>
                          </w:r>
                          <w:r>
                            <w:instrText xml:space="preserve">PAGE   \* MERGEFORMAT</w:instrText>
                          </w:r>
                          <w:r>
                            <w:fldChar w:fldCharType="separate"/>
                          </w:r>
                          <w:r>
                            <w:rPr>
                              <w:lang w:val="zh-CN"/>
                            </w:rPr>
                            <w:t>9</w:t>
                          </w:r>
                          <w:r>
                            <w:rPr>
                              <w:lang w:val="zh-CN"/>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NmcYOQyAgAAYwQAAA4AAAAAAAAAAQAgAAAA&#10;NQEAAGRycy9lMm9Eb2MueG1sUEsFBgAAAAAGAAYAWQEAANkFA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9</w:t>
                    </w:r>
                    <w:r>
                      <w:rPr>
                        <w:lang w:val="zh-CN"/>
                      </w:rPr>
                      <w:fldChar w:fldCharType="end"/>
                    </w:r>
                  </w:p>
                  <w:p/>
                </w:txbxContent>
              </v:textbox>
            </v:shape>
          </w:pict>
        </mc:Fallback>
      </mc:AlternateContent>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w/hMQIAAGU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v/8P4TECAABlBAAADgAAAAAAAAABACAAAAA1&#10;AQAAZHJzL2Uyb0RvYy54bWxQSwUGAAAAAAYABgBZAQAA2A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AD20C4"/>
    <w:multiLevelType w:val="singleLevel"/>
    <w:tmpl w:val="BDAD20C4"/>
    <w:lvl w:ilvl="0" w:tentative="0">
      <w:start w:val="1"/>
      <w:numFmt w:val="chineseCounting"/>
      <w:suff w:val="nothing"/>
      <w:lvlText w:val="（%1）"/>
      <w:lvlJc w:val="left"/>
      <w:pPr>
        <w:ind w:firstLine="420"/>
      </w:pPr>
      <w:rPr>
        <w:rFonts w:hint="eastAsia" w:cs="Times New Roman"/>
      </w:rPr>
    </w:lvl>
  </w:abstractNum>
  <w:abstractNum w:abstractNumId="1">
    <w:nsid w:val="D2B405E2"/>
    <w:multiLevelType w:val="singleLevel"/>
    <w:tmpl w:val="D2B405E2"/>
    <w:lvl w:ilvl="0" w:tentative="0">
      <w:start w:val="1"/>
      <w:numFmt w:val="chineseCounting"/>
      <w:suff w:val="nothing"/>
      <w:lvlText w:val="（%1）"/>
      <w:lvlJc w:val="left"/>
      <w:pPr>
        <w:ind w:firstLine="420"/>
      </w:pPr>
      <w:rPr>
        <w:rFonts w:hint="eastAsia" w:cs="Times New Roman"/>
      </w:rPr>
    </w:lvl>
  </w:abstractNum>
  <w:abstractNum w:abstractNumId="2">
    <w:nsid w:val="E47F4D54"/>
    <w:multiLevelType w:val="singleLevel"/>
    <w:tmpl w:val="E47F4D54"/>
    <w:lvl w:ilvl="0" w:tentative="0">
      <w:start w:val="1"/>
      <w:numFmt w:val="chineseCounting"/>
      <w:suff w:val="nothing"/>
      <w:lvlText w:val="（%1）"/>
      <w:lvlJc w:val="left"/>
      <w:pPr>
        <w:ind w:firstLine="420"/>
      </w:pPr>
      <w:rPr>
        <w:rFonts w:hint="eastAsia" w:cs="Times New Roman"/>
      </w:rPr>
    </w:lvl>
  </w:abstractNum>
  <w:abstractNum w:abstractNumId="3">
    <w:nsid w:val="E9AB9F7D"/>
    <w:multiLevelType w:val="singleLevel"/>
    <w:tmpl w:val="E9AB9F7D"/>
    <w:lvl w:ilvl="0" w:tentative="0">
      <w:start w:val="1"/>
      <w:numFmt w:val="chineseCounting"/>
      <w:suff w:val="nothing"/>
      <w:lvlText w:val="（%1）"/>
      <w:lvlJc w:val="left"/>
      <w:pPr>
        <w:ind w:firstLine="420"/>
      </w:pPr>
      <w:rPr>
        <w:rFonts w:hint="eastAsia" w:cs="Times New Roman"/>
      </w:rPr>
    </w:lvl>
  </w:abstractNum>
  <w:abstractNum w:abstractNumId="4">
    <w:nsid w:val="EE7C0A43"/>
    <w:multiLevelType w:val="singleLevel"/>
    <w:tmpl w:val="EE7C0A43"/>
    <w:lvl w:ilvl="0" w:tentative="0">
      <w:start w:val="1"/>
      <w:numFmt w:val="chineseCounting"/>
      <w:suff w:val="nothing"/>
      <w:lvlText w:val="%1、"/>
      <w:lvlJc w:val="left"/>
      <w:pPr>
        <w:ind w:firstLine="420"/>
      </w:pPr>
      <w:rPr>
        <w:rFonts w:hint="eastAsia" w:cs="Times New Roman"/>
      </w:rPr>
    </w:lvl>
  </w:abstractNum>
  <w:abstractNum w:abstractNumId="5">
    <w:nsid w:val="F999FD7A"/>
    <w:multiLevelType w:val="singleLevel"/>
    <w:tmpl w:val="F999FD7A"/>
    <w:lvl w:ilvl="0" w:tentative="0">
      <w:start w:val="1"/>
      <w:numFmt w:val="chineseCounting"/>
      <w:suff w:val="nothing"/>
      <w:lvlText w:val="（%1）"/>
      <w:lvlJc w:val="left"/>
      <w:pPr>
        <w:ind w:firstLine="420"/>
      </w:pPr>
      <w:rPr>
        <w:rFonts w:hint="eastAsia" w:cs="Times New Roman"/>
      </w:rPr>
    </w:lvl>
  </w:abstractNum>
  <w:abstractNum w:abstractNumId="6">
    <w:nsid w:val="05963987"/>
    <w:multiLevelType w:val="singleLevel"/>
    <w:tmpl w:val="05963987"/>
    <w:lvl w:ilvl="0" w:tentative="0">
      <w:start w:val="1"/>
      <w:numFmt w:val="chineseCounting"/>
      <w:suff w:val="nothing"/>
      <w:lvlText w:val="（%1）"/>
      <w:lvlJc w:val="left"/>
      <w:pPr>
        <w:ind w:firstLine="420"/>
      </w:pPr>
      <w:rPr>
        <w:rFonts w:hint="eastAsia" w:cs="Times New Roman"/>
      </w:rPr>
    </w:lvl>
  </w:abstractNum>
  <w:abstractNum w:abstractNumId="7">
    <w:nsid w:val="1272550B"/>
    <w:multiLevelType w:val="multilevel"/>
    <w:tmpl w:val="1272550B"/>
    <w:lvl w:ilvl="0" w:tentative="0">
      <w:start w:val="1"/>
      <w:numFmt w:val="japaneseCounting"/>
      <w:lvlText w:val="%1、"/>
      <w:lvlJc w:val="left"/>
      <w:pPr>
        <w:ind w:left="1429"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8">
    <w:nsid w:val="47170206"/>
    <w:multiLevelType w:val="singleLevel"/>
    <w:tmpl w:val="47170206"/>
    <w:lvl w:ilvl="0" w:tentative="0">
      <w:start w:val="1"/>
      <w:numFmt w:val="chineseCounting"/>
      <w:suff w:val="nothing"/>
      <w:lvlText w:val="（%1）"/>
      <w:lvlJc w:val="left"/>
      <w:pPr>
        <w:ind w:firstLine="420"/>
      </w:pPr>
      <w:rPr>
        <w:rFonts w:hint="eastAsia" w:cs="Times New Roman"/>
      </w:rPr>
    </w:lvl>
  </w:abstractNum>
  <w:abstractNum w:abstractNumId="9">
    <w:nsid w:val="4E6F4D8C"/>
    <w:multiLevelType w:val="multilevel"/>
    <w:tmpl w:val="4E6F4D8C"/>
    <w:lvl w:ilvl="0" w:tentative="0">
      <w:start w:val="4"/>
      <w:numFmt w:val="japaneseCounting"/>
      <w:lvlText w:val="%1、"/>
      <w:lvlJc w:val="left"/>
      <w:pPr>
        <w:tabs>
          <w:tab w:val="left" w:pos="1429"/>
        </w:tabs>
        <w:ind w:left="1429" w:hanging="720"/>
      </w:pPr>
      <w:rPr>
        <w:rFonts w:hint="default" w:cs="Times New Roman"/>
        <w:color w:val="000000"/>
      </w:rPr>
    </w:lvl>
    <w:lvl w:ilvl="1" w:tentative="0">
      <w:start w:val="1"/>
      <w:numFmt w:val="lowerLetter"/>
      <w:lvlText w:val="%2)"/>
      <w:lvlJc w:val="left"/>
      <w:pPr>
        <w:tabs>
          <w:tab w:val="left" w:pos="1549"/>
        </w:tabs>
        <w:ind w:left="1549" w:hanging="420"/>
      </w:pPr>
      <w:rPr>
        <w:rFonts w:cs="Times New Roman"/>
      </w:rPr>
    </w:lvl>
    <w:lvl w:ilvl="2" w:tentative="0">
      <w:start w:val="1"/>
      <w:numFmt w:val="lowerRoman"/>
      <w:lvlText w:val="%3."/>
      <w:lvlJc w:val="right"/>
      <w:pPr>
        <w:tabs>
          <w:tab w:val="left" w:pos="1969"/>
        </w:tabs>
        <w:ind w:left="1969" w:hanging="420"/>
      </w:pPr>
      <w:rPr>
        <w:rFonts w:cs="Times New Roman"/>
      </w:rPr>
    </w:lvl>
    <w:lvl w:ilvl="3" w:tentative="0">
      <w:start w:val="1"/>
      <w:numFmt w:val="decimal"/>
      <w:lvlText w:val="%4."/>
      <w:lvlJc w:val="left"/>
      <w:pPr>
        <w:tabs>
          <w:tab w:val="left" w:pos="2389"/>
        </w:tabs>
        <w:ind w:left="2389" w:hanging="420"/>
      </w:pPr>
      <w:rPr>
        <w:rFonts w:cs="Times New Roman"/>
      </w:rPr>
    </w:lvl>
    <w:lvl w:ilvl="4" w:tentative="0">
      <w:start w:val="1"/>
      <w:numFmt w:val="lowerLetter"/>
      <w:lvlText w:val="%5)"/>
      <w:lvlJc w:val="left"/>
      <w:pPr>
        <w:tabs>
          <w:tab w:val="left" w:pos="2809"/>
        </w:tabs>
        <w:ind w:left="2809" w:hanging="420"/>
      </w:pPr>
      <w:rPr>
        <w:rFonts w:cs="Times New Roman"/>
      </w:rPr>
    </w:lvl>
    <w:lvl w:ilvl="5" w:tentative="0">
      <w:start w:val="1"/>
      <w:numFmt w:val="lowerRoman"/>
      <w:lvlText w:val="%6."/>
      <w:lvlJc w:val="right"/>
      <w:pPr>
        <w:tabs>
          <w:tab w:val="left" w:pos="3229"/>
        </w:tabs>
        <w:ind w:left="3229" w:hanging="420"/>
      </w:pPr>
      <w:rPr>
        <w:rFonts w:cs="Times New Roman"/>
      </w:rPr>
    </w:lvl>
    <w:lvl w:ilvl="6" w:tentative="0">
      <w:start w:val="1"/>
      <w:numFmt w:val="decimal"/>
      <w:lvlText w:val="%7."/>
      <w:lvlJc w:val="left"/>
      <w:pPr>
        <w:tabs>
          <w:tab w:val="left" w:pos="3649"/>
        </w:tabs>
        <w:ind w:left="3649" w:hanging="420"/>
      </w:pPr>
      <w:rPr>
        <w:rFonts w:cs="Times New Roman"/>
      </w:rPr>
    </w:lvl>
    <w:lvl w:ilvl="7" w:tentative="0">
      <w:start w:val="1"/>
      <w:numFmt w:val="lowerLetter"/>
      <w:lvlText w:val="%8)"/>
      <w:lvlJc w:val="left"/>
      <w:pPr>
        <w:tabs>
          <w:tab w:val="left" w:pos="4069"/>
        </w:tabs>
        <w:ind w:left="4069" w:hanging="420"/>
      </w:pPr>
      <w:rPr>
        <w:rFonts w:cs="Times New Roman"/>
      </w:rPr>
    </w:lvl>
    <w:lvl w:ilvl="8" w:tentative="0">
      <w:start w:val="1"/>
      <w:numFmt w:val="lowerRoman"/>
      <w:lvlText w:val="%9."/>
      <w:lvlJc w:val="right"/>
      <w:pPr>
        <w:tabs>
          <w:tab w:val="left" w:pos="4489"/>
        </w:tabs>
        <w:ind w:left="4489" w:hanging="420"/>
      </w:pPr>
      <w:rPr>
        <w:rFonts w:cs="Times New Roman"/>
      </w:rPr>
    </w:lvl>
  </w:abstractNum>
  <w:num w:numId="1">
    <w:abstractNumId w:val="7"/>
  </w:num>
  <w:num w:numId="2">
    <w:abstractNumId w:val="3"/>
  </w:num>
  <w:num w:numId="3">
    <w:abstractNumId w:val="1"/>
  </w:num>
  <w:num w:numId="4">
    <w:abstractNumId w:val="8"/>
  </w:num>
  <w:num w:numId="5">
    <w:abstractNumId w:val="9"/>
  </w:num>
  <w:num w:numId="6">
    <w:abstractNumId w:val="0"/>
  </w:num>
  <w:num w:numId="7">
    <w:abstractNumId w:val="4"/>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B8476E"/>
    <w:rsid w:val="00082645"/>
    <w:rsid w:val="000945A1"/>
    <w:rsid w:val="000B0CA1"/>
    <w:rsid w:val="000E01E4"/>
    <w:rsid w:val="000E10DE"/>
    <w:rsid w:val="000F4A1B"/>
    <w:rsid w:val="00104143"/>
    <w:rsid w:val="00137FFD"/>
    <w:rsid w:val="001412A1"/>
    <w:rsid w:val="00143ECF"/>
    <w:rsid w:val="00164876"/>
    <w:rsid w:val="001A6F9E"/>
    <w:rsid w:val="001B1084"/>
    <w:rsid w:val="001C6572"/>
    <w:rsid w:val="001C67D2"/>
    <w:rsid w:val="002437EC"/>
    <w:rsid w:val="0024798D"/>
    <w:rsid w:val="00283E96"/>
    <w:rsid w:val="00293C74"/>
    <w:rsid w:val="002B6832"/>
    <w:rsid w:val="002B7DA2"/>
    <w:rsid w:val="002F4364"/>
    <w:rsid w:val="0033419E"/>
    <w:rsid w:val="003464B1"/>
    <w:rsid w:val="0034688C"/>
    <w:rsid w:val="003875CE"/>
    <w:rsid w:val="0039274B"/>
    <w:rsid w:val="003A6051"/>
    <w:rsid w:val="003F524C"/>
    <w:rsid w:val="00414A1C"/>
    <w:rsid w:val="00422E27"/>
    <w:rsid w:val="0046109C"/>
    <w:rsid w:val="004664C8"/>
    <w:rsid w:val="004A749C"/>
    <w:rsid w:val="004B3C5F"/>
    <w:rsid w:val="004D3379"/>
    <w:rsid w:val="004D5F69"/>
    <w:rsid w:val="004E0479"/>
    <w:rsid w:val="004E0BA5"/>
    <w:rsid w:val="004F1F42"/>
    <w:rsid w:val="00532C38"/>
    <w:rsid w:val="00544504"/>
    <w:rsid w:val="00550D97"/>
    <w:rsid w:val="00553F63"/>
    <w:rsid w:val="00563B7C"/>
    <w:rsid w:val="0057156C"/>
    <w:rsid w:val="005A4E71"/>
    <w:rsid w:val="005A5721"/>
    <w:rsid w:val="005F5E46"/>
    <w:rsid w:val="00610A1A"/>
    <w:rsid w:val="00612800"/>
    <w:rsid w:val="0062436E"/>
    <w:rsid w:val="0065427D"/>
    <w:rsid w:val="00664CFE"/>
    <w:rsid w:val="00693E09"/>
    <w:rsid w:val="006A12DB"/>
    <w:rsid w:val="006A732D"/>
    <w:rsid w:val="007027EE"/>
    <w:rsid w:val="00706E2C"/>
    <w:rsid w:val="00707826"/>
    <w:rsid w:val="00715C56"/>
    <w:rsid w:val="00723B1F"/>
    <w:rsid w:val="00732B64"/>
    <w:rsid w:val="00733E23"/>
    <w:rsid w:val="00743115"/>
    <w:rsid w:val="00746D79"/>
    <w:rsid w:val="007522AD"/>
    <w:rsid w:val="00757DCD"/>
    <w:rsid w:val="00790EC2"/>
    <w:rsid w:val="007D7ECB"/>
    <w:rsid w:val="00831899"/>
    <w:rsid w:val="00846CAE"/>
    <w:rsid w:val="008674A3"/>
    <w:rsid w:val="008A6B0E"/>
    <w:rsid w:val="008A6EB9"/>
    <w:rsid w:val="008C1678"/>
    <w:rsid w:val="008D0B23"/>
    <w:rsid w:val="008D1CC1"/>
    <w:rsid w:val="008D3544"/>
    <w:rsid w:val="00902B6A"/>
    <w:rsid w:val="009470D6"/>
    <w:rsid w:val="00986EC4"/>
    <w:rsid w:val="009B3815"/>
    <w:rsid w:val="009B7E1A"/>
    <w:rsid w:val="009E5C30"/>
    <w:rsid w:val="009F7623"/>
    <w:rsid w:val="00A15A37"/>
    <w:rsid w:val="00A5101C"/>
    <w:rsid w:val="00A87D83"/>
    <w:rsid w:val="00AB4AB0"/>
    <w:rsid w:val="00AC4C8C"/>
    <w:rsid w:val="00AD5DC6"/>
    <w:rsid w:val="00AF4463"/>
    <w:rsid w:val="00AF7FC9"/>
    <w:rsid w:val="00B048C9"/>
    <w:rsid w:val="00B4391E"/>
    <w:rsid w:val="00B43A69"/>
    <w:rsid w:val="00B44A44"/>
    <w:rsid w:val="00B54FCA"/>
    <w:rsid w:val="00B5645E"/>
    <w:rsid w:val="00B63495"/>
    <w:rsid w:val="00B76CB8"/>
    <w:rsid w:val="00BE317B"/>
    <w:rsid w:val="00BE5718"/>
    <w:rsid w:val="00C02149"/>
    <w:rsid w:val="00C0660A"/>
    <w:rsid w:val="00C30C0F"/>
    <w:rsid w:val="00C5593D"/>
    <w:rsid w:val="00C6678B"/>
    <w:rsid w:val="00C728E4"/>
    <w:rsid w:val="00C76BC7"/>
    <w:rsid w:val="00CA2AFF"/>
    <w:rsid w:val="00CB7CCE"/>
    <w:rsid w:val="00CE106B"/>
    <w:rsid w:val="00D03569"/>
    <w:rsid w:val="00D22317"/>
    <w:rsid w:val="00D2525B"/>
    <w:rsid w:val="00D37B27"/>
    <w:rsid w:val="00D4203B"/>
    <w:rsid w:val="00D56BFE"/>
    <w:rsid w:val="00DC6503"/>
    <w:rsid w:val="00DF136F"/>
    <w:rsid w:val="00DF70C4"/>
    <w:rsid w:val="00E16F22"/>
    <w:rsid w:val="00E44D65"/>
    <w:rsid w:val="00EF4FC2"/>
    <w:rsid w:val="00F17D5E"/>
    <w:rsid w:val="00F25B4E"/>
    <w:rsid w:val="00F6021C"/>
    <w:rsid w:val="00F85040"/>
    <w:rsid w:val="00F87C89"/>
    <w:rsid w:val="00F91B28"/>
    <w:rsid w:val="00F979DE"/>
    <w:rsid w:val="00FB0C62"/>
    <w:rsid w:val="00FB2FFB"/>
    <w:rsid w:val="00FD0871"/>
    <w:rsid w:val="01AD2A7E"/>
    <w:rsid w:val="031F4148"/>
    <w:rsid w:val="04F65CC6"/>
    <w:rsid w:val="074A55AD"/>
    <w:rsid w:val="074E369C"/>
    <w:rsid w:val="09C463E5"/>
    <w:rsid w:val="0B5A7CA8"/>
    <w:rsid w:val="0C140C64"/>
    <w:rsid w:val="0C75739D"/>
    <w:rsid w:val="0F4F19F3"/>
    <w:rsid w:val="0F911CC3"/>
    <w:rsid w:val="10450F54"/>
    <w:rsid w:val="12404222"/>
    <w:rsid w:val="12B03565"/>
    <w:rsid w:val="14EC5A25"/>
    <w:rsid w:val="15121CE2"/>
    <w:rsid w:val="15566DB3"/>
    <w:rsid w:val="16341660"/>
    <w:rsid w:val="17A54B1D"/>
    <w:rsid w:val="19A56953"/>
    <w:rsid w:val="1AD414D5"/>
    <w:rsid w:val="1B11105C"/>
    <w:rsid w:val="1BB8476E"/>
    <w:rsid w:val="1CC57E3D"/>
    <w:rsid w:val="1D357097"/>
    <w:rsid w:val="1E0E55DC"/>
    <w:rsid w:val="1FFA6777"/>
    <w:rsid w:val="25466CD4"/>
    <w:rsid w:val="255612F9"/>
    <w:rsid w:val="26DA0589"/>
    <w:rsid w:val="27DB6B21"/>
    <w:rsid w:val="29EA3E07"/>
    <w:rsid w:val="29F62D5C"/>
    <w:rsid w:val="2E053996"/>
    <w:rsid w:val="3337355C"/>
    <w:rsid w:val="352B1B97"/>
    <w:rsid w:val="361F03B0"/>
    <w:rsid w:val="36493F03"/>
    <w:rsid w:val="3825571E"/>
    <w:rsid w:val="397541D6"/>
    <w:rsid w:val="3A610464"/>
    <w:rsid w:val="3BBC351E"/>
    <w:rsid w:val="3C9D5211"/>
    <w:rsid w:val="3D26431D"/>
    <w:rsid w:val="3DF961E8"/>
    <w:rsid w:val="403F7B83"/>
    <w:rsid w:val="442F1339"/>
    <w:rsid w:val="44BB759D"/>
    <w:rsid w:val="45302620"/>
    <w:rsid w:val="458A0C2D"/>
    <w:rsid w:val="462E0BC3"/>
    <w:rsid w:val="48A912AA"/>
    <w:rsid w:val="48FE309F"/>
    <w:rsid w:val="494D0D60"/>
    <w:rsid w:val="49AB5695"/>
    <w:rsid w:val="4BBB23DF"/>
    <w:rsid w:val="4CB14649"/>
    <w:rsid w:val="4F272104"/>
    <w:rsid w:val="536652AD"/>
    <w:rsid w:val="53F220CF"/>
    <w:rsid w:val="553345F4"/>
    <w:rsid w:val="5CC04870"/>
    <w:rsid w:val="5E2D7A25"/>
    <w:rsid w:val="5F753F61"/>
    <w:rsid w:val="621F6117"/>
    <w:rsid w:val="622F4FF0"/>
    <w:rsid w:val="64484C94"/>
    <w:rsid w:val="64B52C47"/>
    <w:rsid w:val="67955DA4"/>
    <w:rsid w:val="68176FDC"/>
    <w:rsid w:val="6AB628AA"/>
    <w:rsid w:val="6CC42D9E"/>
    <w:rsid w:val="6D627D64"/>
    <w:rsid w:val="6ED63700"/>
    <w:rsid w:val="7093197A"/>
    <w:rsid w:val="71B12292"/>
    <w:rsid w:val="71E219AE"/>
    <w:rsid w:val="7355077D"/>
    <w:rsid w:val="7391537E"/>
    <w:rsid w:val="747D2659"/>
    <w:rsid w:val="74985FE9"/>
    <w:rsid w:val="768D70C3"/>
    <w:rsid w:val="76B27FC8"/>
    <w:rsid w:val="770C6463"/>
    <w:rsid w:val="77B3035B"/>
    <w:rsid w:val="77E15F85"/>
    <w:rsid w:val="7B36776C"/>
    <w:rsid w:val="7E716EBD"/>
    <w:rsid w:val="7ECA38D9"/>
    <w:rsid w:val="EFBF0A66"/>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uiPriority="99" w:name="HTML Typewriter" w:locked="1"/>
    <w:lsdException w:qFormat="1" w:unhideWhenUsed="0" w:uiPriority="99" w:semiHidden="0" w:name="HTML Variable"/>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9"/>
    <w:pPr>
      <w:keepNext/>
      <w:keepLines/>
      <w:spacing w:before="260" w:after="260" w:line="416" w:lineRule="auto"/>
      <w:outlineLvl w:val="1"/>
    </w:pPr>
    <w:rPr>
      <w:rFonts w:ascii="Calibri Light" w:hAnsi="Calibri Light"/>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4"/>
    <w:qFormat/>
    <w:uiPriority w:val="99"/>
    <w:pPr>
      <w:spacing w:beforeLines="30"/>
    </w:pPr>
    <w:rPr>
      <w:rFonts w:ascii="仿宋_GB2312" w:eastAsia="仿宋_GB2312"/>
      <w:kern w:val="0"/>
      <w:sz w:val="30"/>
    </w:rPr>
  </w:style>
  <w:style w:type="paragraph" w:styleId="5">
    <w:name w:val="Balloon Text"/>
    <w:basedOn w:val="1"/>
    <w:link w:val="25"/>
    <w:semiHidden/>
    <w:qFormat/>
    <w:locked/>
    <w:uiPriority w:val="99"/>
    <w:rPr>
      <w:sz w:val="18"/>
      <w:szCs w:val="18"/>
    </w:rPr>
  </w:style>
  <w:style w:type="paragraph" w:styleId="6">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7">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9">
    <w:name w:val="toc 2"/>
    <w:basedOn w:val="1"/>
    <w:next w:val="1"/>
    <w:qFormat/>
    <w:uiPriority w:val="99"/>
    <w:pPr>
      <w:tabs>
        <w:tab w:val="right" w:leader="dot" w:pos="8296"/>
      </w:tabs>
      <w:ind w:left="420" w:leftChars="200"/>
    </w:pPr>
  </w:style>
  <w:style w:type="character" w:styleId="12">
    <w:name w:val="Strong"/>
    <w:basedOn w:val="11"/>
    <w:qFormat/>
    <w:uiPriority w:val="99"/>
    <w:rPr>
      <w:rFonts w:cs="Times New Roman"/>
      <w:b/>
    </w:rPr>
  </w:style>
  <w:style w:type="character" w:styleId="13">
    <w:name w:val="FollowedHyperlink"/>
    <w:basedOn w:val="11"/>
    <w:qFormat/>
    <w:uiPriority w:val="99"/>
    <w:rPr>
      <w:rFonts w:cs="Times New Roman"/>
      <w:color w:val="338DE6"/>
      <w:u w:val="none"/>
    </w:rPr>
  </w:style>
  <w:style w:type="character" w:styleId="14">
    <w:name w:val="Emphasis"/>
    <w:basedOn w:val="11"/>
    <w:qFormat/>
    <w:uiPriority w:val="99"/>
    <w:rPr>
      <w:rFonts w:cs="Times New Roman"/>
    </w:rPr>
  </w:style>
  <w:style w:type="character" w:styleId="15">
    <w:name w:val="HTML Definition"/>
    <w:basedOn w:val="11"/>
    <w:qFormat/>
    <w:uiPriority w:val="99"/>
    <w:rPr>
      <w:rFonts w:cs="Times New Roman"/>
    </w:rPr>
  </w:style>
  <w:style w:type="character" w:styleId="16">
    <w:name w:val="HTML Variable"/>
    <w:basedOn w:val="11"/>
    <w:qFormat/>
    <w:uiPriority w:val="99"/>
    <w:rPr>
      <w:rFonts w:cs="Times New Roman"/>
    </w:rPr>
  </w:style>
  <w:style w:type="character" w:styleId="17">
    <w:name w:val="Hyperlink"/>
    <w:basedOn w:val="11"/>
    <w:qFormat/>
    <w:uiPriority w:val="99"/>
    <w:rPr>
      <w:rFonts w:cs="Times New Roman"/>
      <w:color w:val="0563C1"/>
      <w:u w:val="single"/>
    </w:rPr>
  </w:style>
  <w:style w:type="character" w:styleId="18">
    <w:name w:val="HTML Code"/>
    <w:basedOn w:val="11"/>
    <w:qFormat/>
    <w:uiPriority w:val="99"/>
    <w:rPr>
      <w:rFonts w:ascii="serif" w:hAnsi="serif" w:cs="serif"/>
      <w:sz w:val="21"/>
      <w:szCs w:val="21"/>
    </w:rPr>
  </w:style>
  <w:style w:type="character" w:styleId="19">
    <w:name w:val="HTML Cite"/>
    <w:basedOn w:val="11"/>
    <w:qFormat/>
    <w:uiPriority w:val="99"/>
    <w:rPr>
      <w:rFonts w:cs="Times New Roman"/>
    </w:rPr>
  </w:style>
  <w:style w:type="character" w:styleId="20">
    <w:name w:val="HTML Keyboard"/>
    <w:basedOn w:val="11"/>
    <w:qFormat/>
    <w:uiPriority w:val="99"/>
    <w:rPr>
      <w:rFonts w:ascii="serif" w:hAnsi="serif" w:cs="serif"/>
      <w:sz w:val="21"/>
      <w:szCs w:val="21"/>
    </w:rPr>
  </w:style>
  <w:style w:type="character" w:styleId="21">
    <w:name w:val="HTML Sample"/>
    <w:basedOn w:val="11"/>
    <w:qFormat/>
    <w:uiPriority w:val="99"/>
    <w:rPr>
      <w:rFonts w:ascii="serif" w:hAnsi="serif" w:cs="serif"/>
      <w:sz w:val="21"/>
      <w:szCs w:val="21"/>
    </w:rPr>
  </w:style>
  <w:style w:type="character" w:customStyle="1" w:styleId="22">
    <w:name w:val="标题 1 Char"/>
    <w:basedOn w:val="11"/>
    <w:link w:val="2"/>
    <w:qFormat/>
    <w:locked/>
    <w:uiPriority w:val="99"/>
    <w:rPr>
      <w:rFonts w:cs="Times New Roman"/>
      <w:b/>
      <w:bCs/>
      <w:kern w:val="44"/>
      <w:sz w:val="44"/>
      <w:szCs w:val="44"/>
    </w:rPr>
  </w:style>
  <w:style w:type="character" w:customStyle="1" w:styleId="23">
    <w:name w:val="标题 2 Char"/>
    <w:basedOn w:val="11"/>
    <w:link w:val="3"/>
    <w:qFormat/>
    <w:locked/>
    <w:uiPriority w:val="99"/>
    <w:rPr>
      <w:rFonts w:ascii="Calibri Light" w:hAnsi="Calibri Light" w:eastAsia="宋体" w:cs="Times New Roman"/>
      <w:b/>
      <w:bCs/>
      <w:sz w:val="32"/>
      <w:szCs w:val="32"/>
    </w:rPr>
  </w:style>
  <w:style w:type="character" w:customStyle="1" w:styleId="24">
    <w:name w:val="正文文本 Char"/>
    <w:basedOn w:val="11"/>
    <w:link w:val="4"/>
    <w:semiHidden/>
    <w:qFormat/>
    <w:locked/>
    <w:uiPriority w:val="99"/>
    <w:rPr>
      <w:rFonts w:cs="Times New Roman"/>
      <w:sz w:val="24"/>
      <w:szCs w:val="24"/>
    </w:rPr>
  </w:style>
  <w:style w:type="character" w:customStyle="1" w:styleId="25">
    <w:name w:val="批注框文本 Char"/>
    <w:basedOn w:val="11"/>
    <w:link w:val="5"/>
    <w:semiHidden/>
    <w:qFormat/>
    <w:locked/>
    <w:uiPriority w:val="99"/>
    <w:rPr>
      <w:rFonts w:cs="Times New Roman"/>
      <w:sz w:val="2"/>
    </w:rPr>
  </w:style>
  <w:style w:type="character" w:customStyle="1" w:styleId="26">
    <w:name w:val="页脚 Char"/>
    <w:basedOn w:val="11"/>
    <w:link w:val="6"/>
    <w:semiHidden/>
    <w:qFormat/>
    <w:locked/>
    <w:uiPriority w:val="99"/>
    <w:rPr>
      <w:rFonts w:cs="Times New Roman"/>
      <w:sz w:val="18"/>
      <w:szCs w:val="18"/>
    </w:rPr>
  </w:style>
  <w:style w:type="character" w:customStyle="1" w:styleId="27">
    <w:name w:val="页眉 Char"/>
    <w:basedOn w:val="11"/>
    <w:link w:val="7"/>
    <w:semiHidden/>
    <w:qFormat/>
    <w:locked/>
    <w:uiPriority w:val="99"/>
    <w:rPr>
      <w:rFonts w:cs="Times New Roman"/>
      <w:sz w:val="18"/>
      <w:szCs w:val="18"/>
    </w:rPr>
  </w:style>
  <w:style w:type="paragraph" w:styleId="28">
    <w:name w:val="List Paragraph"/>
    <w:basedOn w:val="1"/>
    <w:qFormat/>
    <w:uiPriority w:val="99"/>
    <w:pPr>
      <w:ind w:firstLine="420" w:firstLineChars="200"/>
    </w:p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30">
    <w:name w:val="fontborder"/>
    <w:basedOn w:val="11"/>
    <w:qFormat/>
    <w:uiPriority w:val="99"/>
    <w:rPr>
      <w:rFonts w:cs="Times New Roman"/>
      <w:bdr w:val="single" w:color="000000" w:sz="4" w:space="0"/>
    </w:rPr>
  </w:style>
  <w:style w:type="character" w:customStyle="1" w:styleId="31">
    <w:name w:val="fontstrikethrough"/>
    <w:basedOn w:val="11"/>
    <w:qFormat/>
    <w:uiPriority w:val="99"/>
    <w:rPr>
      <w:rFonts w:cs="Times New Roman"/>
      <w:strike/>
    </w:rPr>
  </w:style>
  <w:style w:type="character" w:customStyle="1" w:styleId="32">
    <w:name w:val="font01"/>
    <w:basedOn w:val="11"/>
    <w:qFormat/>
    <w:uiPriority w:val="99"/>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wmf"/><Relationship Id="rId17" Type="http://schemas.openxmlformats.org/officeDocument/2006/relationships/oleObject" Target="embeddings/oleObject5.bin"/><Relationship Id="rId16" Type="http://schemas.openxmlformats.org/officeDocument/2006/relationships/image" Target="media/image5.wmf"/><Relationship Id="rId15" Type="http://schemas.openxmlformats.org/officeDocument/2006/relationships/oleObject" Target="embeddings/oleObject4.bin"/><Relationship Id="rId14" Type="http://schemas.openxmlformats.org/officeDocument/2006/relationships/image" Target="media/image4.emf"/><Relationship Id="rId13" Type="http://schemas.openxmlformats.org/officeDocument/2006/relationships/oleObject" Target="embeddings/oleObject3.bin"/><Relationship Id="rId12" Type="http://schemas.openxmlformats.org/officeDocument/2006/relationships/image" Target="media/image3.wmf"/><Relationship Id="rId11" Type="http://schemas.openxmlformats.org/officeDocument/2006/relationships/oleObject" Target="embeddings/oleObject2.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8"/>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26</Pages>
  <Words>8123</Words>
  <Characters>2461</Characters>
  <Lines>20</Lines>
  <Paragraphs>21</Paragraphs>
  <TotalTime>4</TotalTime>
  <ScaleCrop>false</ScaleCrop>
  <LinksUpToDate>false</LinksUpToDate>
  <CharactersWithSpaces>10563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2020-09-22T10:52:00Z</dcterms:created>
  <dc:creator>若、</dc:creator>
  <cp:lastModifiedBy>user</cp:lastModifiedBy>
  <cp:lastPrinted>2021-09-25T10:34:00Z</cp:lastPrinted>
  <dcterms:modified xsi:type="dcterms:W3CDTF">2026-04-20T09:55:28Z</dcterms:modified>
  <dc:title>2019年度</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