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193"/>
      <w:bookmarkStart w:id="3" w:name="_Toc15377425"/>
      <w:bookmarkStart w:id="4" w:name="_Toc15396597"/>
      <w:bookmarkStart w:id="5" w:name="_Toc15396475"/>
      <w:r>
        <w:rPr>
          <w:rFonts w:ascii="方正小标宋简体" w:eastAsia="方正小标宋简体" w:cs="方正小标宋简体"/>
          <w:color w:val="000000"/>
          <w:sz w:val="44"/>
          <w:szCs w:val="44"/>
        </w:rPr>
        <w:t>2021</w:t>
      </w:r>
      <w:r>
        <w:rPr>
          <w:rFonts w:ascii="方正小标宋简体" w:eastAsia="方正小标宋简体" w:cs="方正小标宋简体" w:hint="eastAsia"/>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44"/>
          <w:szCs w:val="44"/>
        </w:rPr>
      </w:pPr>
      <w:bookmarkStart w:id="6" w:name="_Toc15378442"/>
      <w:bookmarkStart w:id="7" w:name="_Toc15377194"/>
      <w:bookmarkStart w:id="8" w:name="_Toc15396598"/>
      <w:bookmarkStart w:id="9" w:name="_Toc15377426"/>
      <w:bookmarkStart w:id="10" w:name="_Toc15396476"/>
      <w:r>
        <w:rPr>
          <w:rFonts w:ascii="方正小标宋简体" w:eastAsia="方正小标宋简体" w:hint="eastAsia"/>
          <w:color w:val="000000"/>
          <w:sz w:val="44"/>
          <w:szCs w:val="44"/>
        </w:rPr>
        <w:t>四川省</w:t>
      </w:r>
      <w:bookmarkStart w:id="11" w:name="_Toc15306268"/>
      <w:bookmarkEnd w:id="0"/>
      <w:r>
        <w:rPr>
          <w:rFonts w:ascii="方正小标宋简体" w:eastAsia="方正小标宋简体" w:hint="eastAsia"/>
          <w:color w:val="000000"/>
          <w:sz w:val="44"/>
          <w:szCs w:val="44"/>
        </w:rPr>
        <w:t>茂县粮食和物资储备中心部门决算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52"/>
          <w:szCs w:val="52"/>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outlineLvl w:val="0"/>
        <w:rPr>
          <w:rFonts w:ascii="黑体" w:eastAsia="黑体" w:cs="黑体"/>
          <w:color w:val="000000"/>
          <w:sz w:val="32"/>
          <w:szCs w:val="32"/>
        </w:rPr>
      </w:pPr>
      <w:r>
        <w:rPr>
          <w:rFonts w:ascii="黑体" w:eastAsia="黑体" w:cs="黑体" w:hint="eastAsia"/>
          <w:color w:val="000000"/>
          <w:sz w:val="32"/>
          <w:szCs w:val="32"/>
        </w:rPr>
        <w:t>保密审查情况：已经保密审查，请在政府门户网站公开</w:t>
      </w:r>
    </w:p>
    <w:p>
      <w:pPr>
        <w:adjustRightInd w:val="0"/>
        <w:snapToGrid w:val="0"/>
        <w:spacing w:line="360" w:lineRule="auto"/>
        <w:jc w:val="center"/>
        <w:outlineLvl w:val="0"/>
        <w:rPr>
          <w:rFonts w:ascii="黑体" w:eastAsia="黑体"/>
          <w:color w:val="000000"/>
          <w:sz w:val="48"/>
          <w:szCs w:val="48"/>
        </w:rPr>
      </w:pPr>
      <w:r>
        <w:rPr>
          <w:rFonts w:ascii="黑体" w:eastAsia="黑体" w:cs="黑体" w:hint="eastAsia"/>
          <w:color w:val="000000"/>
          <w:sz w:val="32"/>
          <w:szCs w:val="32"/>
        </w:rPr>
        <w:t>部门主要负责人审签情况：</w:t>
      </w:r>
      <w:r>
        <w:rPr>
          <w:rFonts w:ascii="黑体" w:eastAsia="黑体" w:cs="黑体"/>
          <w:color w:val="000000"/>
          <w:sz w:val="32"/>
          <w:szCs w:val="32"/>
        </w:rPr>
        <w:br w:type="page"/>
      </w:r>
      <w:r>
        <w:rPr>
          <w:rFonts w:ascii="方正小标宋简体" w:eastAsia="方正小标宋简体" w:cs="方正小标宋简体" w:hint="eastAsia"/>
          <w:color w:val="000000"/>
          <w:sz w:val="44"/>
          <w:szCs w:val="44"/>
        </w:rPr>
        <w:t>目</w:t>
      </w:r>
      <w:r>
        <w:rPr>
          <w:rFonts w:ascii="方正小标宋简体" w:eastAsia="方正小标宋简体" w:cs="方正小标宋简体"/>
          <w:color w:val="000000"/>
          <w:sz w:val="44"/>
          <w:szCs w:val="44"/>
        </w:rPr>
        <w:t xml:space="preserve">    </w:t>
      </w:r>
      <w:r>
        <w:rPr>
          <w:rFonts w:ascii="方正小标宋简体" w:eastAsia="方正小标宋简体" w:cs="方正小标宋简体" w:hint="eastAsia"/>
          <w:color w:val="000000"/>
          <w:sz w:val="44"/>
          <w:szCs w:val="44"/>
        </w:rPr>
        <w:t>录</w:t>
      </w:r>
    </w:p>
    <w:p>
      <w:pPr>
        <w:widowControl/>
        <w:jc w:val="center"/>
        <w:rPr>
          <w:rFonts w:ascii="仿宋_GB2312" w:eastAsia="仿宋_GB2312" w:cs="仿宋_GB2312"/>
          <w:sz w:val="32"/>
          <w:szCs w:val="32"/>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9"/>
        <w:tabs>
          <w:tab w:val="right" w:leader="dot" w:pos="8296"/>
        </w:tabs>
        <w:rPr>
          <w:rFonts w:ascii="仿宋_GB2312" w:eastAsia="仿宋_GB2312" w:cs="仿宋_GB2312"/>
          <w:sz w:val="32"/>
          <w:szCs w:val="32"/>
        </w:rPr>
      </w:pPr>
      <w:r>
        <w:fldChar w:fldCharType="begin"/>
      </w:r>
      <w:r>
        <w:instrText>Hyperlink \l "_Toc15396599"</w:instrText>
      </w:r>
      <w:r>
        <w:fldChar w:fldCharType="separate"/>
      </w:r>
      <w:r>
        <w:rPr>
          <w:rFonts w:ascii="宋体" w:eastAsia="宋体" w:cs="宋体" w:hint="eastAsia"/>
          <w:sz w:val="32"/>
          <w:szCs w:val="32"/>
        </w:rPr>
        <w:t>第一部分</w:t>
      </w:r>
      <w:r>
        <w:rPr>
          <w:rFonts w:ascii="仿宋_GB2312" w:eastAsia="仿宋_GB2312" w:cs="仿宋_GB2312"/>
          <w:sz w:val="32"/>
          <w:szCs w:val="32"/>
        </w:rPr>
        <w:t xml:space="preserve">  </w:t>
      </w:r>
      <w:r>
        <w:rPr>
          <w:rFonts w:ascii="宋体" w:eastAsia="宋体" w:cs="宋体" w:hint="eastAsia"/>
          <w:sz w:val="32"/>
          <w:szCs w:val="32"/>
        </w:rPr>
        <w:t>部门概况</w:t>
      </w:r>
      <w:r>
        <w:rPr>
          <w:rFonts w:ascii="仿宋_GB2312" w:eastAsia="仿宋_GB2312" w:cs="仿宋_GB2312"/>
          <w:sz w:val="32"/>
          <w:szCs w:val="32"/>
        </w:rPr>
        <w:tab/>
        <w:t>1</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"_Toc15396600"</w:instrText>
      </w:r>
      <w:r>
        <w:fldChar w:fldCharType="separate"/>
      </w:r>
      <w:r>
        <w:rPr>
          <w:rFonts w:ascii="宋体" w:cs="宋体" w:hint="eastAsia"/>
          <w:sz w:val="32"/>
          <w:szCs w:val="32"/>
        </w:rPr>
        <w:t>一</w:t>
      </w:r>
      <w:r>
        <w:rPr>
          <w:rFonts w:ascii="Malgun Gothic Semilight" w:eastAsia="Malgun Gothic Semilight" w:cs="Malgun Gothic Semilight" w:hAnsi="Malgun Gothic Semilight" w:hint="eastAsia"/>
          <w:sz w:val="32"/>
          <w:szCs w:val="32"/>
        </w:rPr>
        <w:t>、</w:t>
      </w:r>
      <w:r>
        <w:rPr>
          <w:rFonts w:ascii="宋体" w:cs="宋体" w:hint="eastAsia"/>
          <w:sz w:val="32"/>
          <w:szCs w:val="32"/>
        </w:rPr>
        <w:t>基本职能及主要工作</w:t>
      </w:r>
      <w:r>
        <w:rPr>
          <w:rFonts w:ascii="仿宋_GB2312" w:eastAsia="仿宋_GB2312" w:cs="仿宋_GB2312"/>
          <w:sz w:val="32"/>
          <w:szCs w:val="32"/>
        </w:rPr>
        <w:tab/>
        <w:t xml:space="preserve"> 1</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"_Toc15396601"</w:instrText>
      </w:r>
      <w:r>
        <w:fldChar w:fldCharType="separate"/>
      </w:r>
      <w:r>
        <w:rPr>
          <w:rFonts w:ascii="宋体" w:cs="宋体" w:hint="eastAsia"/>
          <w:sz w:val="32"/>
          <w:szCs w:val="32"/>
        </w:rPr>
        <w:t>二</w:t>
      </w:r>
      <w:r>
        <w:rPr>
          <w:rFonts w:ascii="Malgun Gothic Semilight" w:eastAsia="Malgun Gothic Semilight" w:cs="Malgun Gothic Semilight" w:hAnsi="Malgun Gothic Semilight" w:hint="eastAsia"/>
          <w:sz w:val="32"/>
          <w:szCs w:val="32"/>
        </w:rPr>
        <w:t>、</w:t>
      </w:r>
      <w:r>
        <w:rPr>
          <w:rFonts w:ascii="宋体" w:cs="宋体" w:hint="eastAsia"/>
          <w:sz w:val="32"/>
          <w:szCs w:val="32"/>
        </w:rPr>
        <w:t>机构设置</w:t>
      </w:r>
      <w:r>
        <w:rPr>
          <w:rFonts w:ascii="仿宋_GB2312" w:eastAsia="仿宋_GB2312" w:cs="仿宋_GB2312"/>
          <w:sz w:val="32"/>
          <w:szCs w:val="32"/>
        </w:rPr>
        <w:tab/>
        <w:t>3</w:t>
      </w:r>
      <w:r>
        <w:fldChar w:fldCharType="end"/>
      </w:r>
    </w:p>
    <w:p>
      <w:pPr>
        <w:pStyle w:val="19"/>
        <w:tabs>
          <w:tab w:val="right" w:leader="dot" w:pos="8296"/>
        </w:tabs>
        <w:rPr>
          <w:rFonts w:ascii="仿宋_GB2312" w:eastAsia="仿宋_GB2312" w:cs="仿宋_GB2312"/>
          <w:sz w:val="32"/>
          <w:szCs w:val="32"/>
        </w:rPr>
      </w:pPr>
      <w:r>
        <w:fldChar w:fldCharType="begin"/>
      </w:r>
      <w:r>
        <w:instrText>Hyperlink \l "_Toc15396602"</w:instrText>
      </w:r>
      <w:r>
        <w:fldChar w:fldCharType="separate"/>
      </w:r>
      <w:r>
        <w:rPr>
          <w:rFonts w:ascii="宋体" w:eastAsia="宋体" w:cs="宋体" w:hint="eastAsia"/>
          <w:sz w:val="32"/>
          <w:szCs w:val="32"/>
        </w:rPr>
        <w:t>第二部分</w:t>
      </w:r>
      <w:r>
        <w:rPr>
          <w:rFonts w:ascii="仿宋_GB2312" w:eastAsia="仿宋_GB2312" w:cs="仿宋_GB2312"/>
          <w:sz w:val="32"/>
          <w:szCs w:val="32"/>
        </w:rPr>
        <w:t xml:space="preserve"> 2021</w:t>
      </w:r>
      <w:r>
        <w:rPr>
          <w:rFonts w:ascii="宋体" w:eastAsia="宋体" w:cs="宋体" w:hint="eastAsia"/>
          <w:sz w:val="32"/>
          <w:szCs w:val="32"/>
        </w:rPr>
        <w:t>年度部门决算情况说明</w:t>
      </w:r>
      <w:r>
        <w:rPr>
          <w:rFonts w:ascii="仿宋_GB2312" w:eastAsia="仿宋_GB2312" w:cs="仿宋_GB2312"/>
          <w:sz w:val="32"/>
          <w:szCs w:val="32"/>
        </w:rPr>
        <w:tab/>
        <w:t>4</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"_Toc15396603"</w:instrText>
      </w:r>
      <w:r>
        <w:fldChar w:fldCharType="separate"/>
      </w:r>
      <w:r>
        <w:rPr>
          <w:rFonts w:ascii="宋体" w:cs="宋体" w:hint="eastAsia"/>
          <w:bCs/>
          <w:sz w:val="32"/>
          <w:szCs w:val="32"/>
        </w:rPr>
        <w:t>一</w:t>
      </w:r>
      <w:r>
        <w:rPr>
          <w:rFonts w:ascii="Malgun Gothic Semilight" w:eastAsia="Malgun Gothic Semilight" w:cs="Malgun Gothic Semilight" w:hAnsi="Malgun Gothic Semilight" w:hint="eastAsia"/>
          <w:bCs/>
          <w:sz w:val="32"/>
          <w:szCs w:val="32"/>
        </w:rPr>
        <w:t>、</w:t>
      </w:r>
      <w:r>
        <w:rPr>
          <w:rFonts w:ascii="宋体" w:cs="宋体" w:hint="eastAsia"/>
          <w:sz w:val="32"/>
          <w:szCs w:val="32"/>
        </w:rPr>
        <w:t>收</w:t>
      </w:r>
      <w:r>
        <w:rPr>
          <w:rFonts w:ascii="宋体" w:cs="宋体" w:hint="eastAsia"/>
          <w:bCs/>
          <w:sz w:val="32"/>
          <w:szCs w:val="32"/>
        </w:rPr>
        <w:t>入支出决算总体情况说明</w:t>
      </w:r>
      <w:r>
        <w:rPr>
          <w:rFonts w:ascii="仿宋_GB2312" w:eastAsia="仿宋_GB2312" w:cs="仿宋_GB2312"/>
          <w:sz w:val="32"/>
          <w:szCs w:val="32"/>
        </w:rPr>
        <w:tab/>
        <w:t>4</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"_Toc15396604"</w:instrText>
      </w:r>
      <w:r>
        <w:fldChar w:fldCharType="separate"/>
      </w:r>
      <w:r>
        <w:rPr>
          <w:rFonts w:ascii="宋体" w:cs="宋体" w:hint="eastAsia"/>
          <w:bCs/>
          <w:sz w:val="32"/>
          <w:szCs w:val="32"/>
        </w:rPr>
        <w:t>二</w:t>
      </w:r>
      <w:r>
        <w:rPr>
          <w:rFonts w:ascii="Malgun Gothic Semilight" w:eastAsia="Malgun Gothic Semilight" w:cs="Malgun Gothic Semilight" w:hAnsi="Malgun Gothic Semilight" w:hint="eastAsia"/>
          <w:bCs/>
          <w:sz w:val="32"/>
          <w:szCs w:val="32"/>
        </w:rPr>
        <w:t>、</w:t>
      </w:r>
      <w:r>
        <w:rPr>
          <w:rFonts w:ascii="宋体" w:cs="宋体" w:hint="eastAsia"/>
          <w:sz w:val="32"/>
          <w:szCs w:val="32"/>
        </w:rPr>
        <w:t>收</w:t>
      </w:r>
      <w:r>
        <w:rPr>
          <w:rFonts w:ascii="宋体" w:cs="宋体" w:hint="eastAsia"/>
          <w:bCs/>
          <w:sz w:val="32"/>
          <w:szCs w:val="32"/>
        </w:rPr>
        <w:t>入决算情况说明</w:t>
      </w:r>
      <w:r>
        <w:rPr>
          <w:rFonts w:ascii="仿宋_GB2312" w:eastAsia="仿宋_GB2312" w:cs="仿宋_GB2312"/>
          <w:sz w:val="32"/>
          <w:szCs w:val="32"/>
        </w:rPr>
        <w:tab/>
        <w:t>4</w:t>
      </w:r>
      <w:r>
        <w:fldChar w:fldCharType="end"/>
      </w:r>
    </w:p>
    <w:p>
      <w:pPr>
        <w:pStyle w:val="20"/>
        <w:tabs>
          <w:tab w:val="right" w:leader="dot" w:pos="8296"/>
        </w:tabs>
        <w:ind w:leftChars="200" w:left="420" w:firstLine="0"/>
        <w:rPr>
          <w:rFonts w:ascii="仿宋_GB2312" w:eastAsia="仿宋_GB2312" w:cs="仿宋_GB2312"/>
          <w:sz w:val="32"/>
          <w:szCs w:val="32"/>
        </w:rPr>
      </w:pPr>
      <w:r>
        <w:rPr>
          <w:rFonts w:ascii="仿宋_GB2312" w:eastAsia="仿宋_GB2312" w:cs="仿宋_GB2312"/>
          <w:sz w:val="32"/>
          <w:szCs w:val="32"/>
        </w:rPr>
        <w:t xml:space="preserve">三、支出决算情况表..............................4 </w:t>
      </w:r>
      <w:r>
        <w:fldChar w:fldCharType="begin"/>
      </w:r>
      <w:r>
        <w:instrText>Hyperlink \l "_Toc15396606"</w:instrText>
      </w:r>
      <w:r>
        <w:fldChar w:fldCharType="separate"/>
      </w:r>
      <w:r>
        <w:rPr>
          <w:rFonts w:ascii="宋体" w:cs="宋体" w:hint="eastAsia"/>
          <w:sz w:val="32"/>
          <w:szCs w:val="32"/>
        </w:rPr>
        <w:t>四</w:t>
      </w:r>
      <w:r>
        <w:rPr>
          <w:rFonts w:ascii="Malgun Gothic Semilight" w:eastAsia="Malgun Gothic Semilight" w:cs="Malgun Gothic Semilight" w:hAnsi="Malgun Gothic Semilight" w:hint="eastAsia"/>
          <w:sz w:val="32"/>
          <w:szCs w:val="32"/>
        </w:rPr>
        <w:t>、</w:t>
      </w:r>
      <w:r>
        <w:rPr>
          <w:rFonts w:ascii="宋体" w:cs="宋体" w:hint="eastAsia"/>
          <w:sz w:val="32"/>
          <w:szCs w:val="32"/>
        </w:rPr>
        <w:t>财</w:t>
      </w:r>
      <w:r>
        <w:rPr>
          <w:rFonts w:ascii="宋体" w:cs="宋体" w:hint="eastAsia"/>
          <w:bCs/>
          <w:sz w:val="32"/>
          <w:szCs w:val="32"/>
        </w:rPr>
        <w:t>政拨款收入支出决算总体情况说明</w:t>
      </w:r>
      <w:r>
        <w:rPr>
          <w:rFonts w:ascii="仿宋_GB2312" w:eastAsia="仿宋_GB2312" w:cs="仿宋_GB2312"/>
          <w:sz w:val="32"/>
          <w:szCs w:val="32"/>
        </w:rPr>
        <w:tab/>
        <w:t>5</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"_Toc15396607"</w:instrText>
      </w:r>
      <w:r>
        <w:fldChar w:fldCharType="separate"/>
      </w:r>
      <w:r>
        <w:rPr>
          <w:rFonts w:ascii="宋体" w:cs="宋体" w:hint="eastAsia"/>
          <w:sz w:val="32"/>
          <w:szCs w:val="32"/>
        </w:rPr>
        <w:t>五</w:t>
      </w:r>
      <w:r>
        <w:rPr>
          <w:rFonts w:ascii="Malgun Gothic Semilight" w:eastAsia="Malgun Gothic Semilight" w:cs="Malgun Gothic Semilight" w:hAnsi="Malgun Gothic Semilight" w:hint="eastAsia"/>
          <w:sz w:val="32"/>
          <w:szCs w:val="32"/>
        </w:rPr>
        <w:t>、</w:t>
      </w:r>
      <w:r>
        <w:rPr>
          <w:rFonts w:ascii="宋体" w:cs="宋体" w:hint="eastAsia"/>
          <w:sz w:val="32"/>
          <w:szCs w:val="32"/>
        </w:rPr>
        <w:t>一</w:t>
      </w:r>
      <w:r>
        <w:rPr>
          <w:rFonts w:ascii="宋体" w:cs="宋体" w:hint="eastAsia"/>
          <w:bCs/>
          <w:sz w:val="32"/>
          <w:szCs w:val="32"/>
        </w:rPr>
        <w:t>般公共预算财政拨款支出决算情况说明</w:t>
      </w:r>
      <w:r>
        <w:rPr>
          <w:rFonts w:ascii="仿宋_GB2312" w:eastAsia="仿宋_GB2312" w:cs="仿宋_GB2312"/>
          <w:sz w:val="32"/>
          <w:szCs w:val="32"/>
        </w:rPr>
        <w:tab/>
        <w:t>6</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"_Toc15396608"</w:instrText>
      </w:r>
      <w:r>
        <w:fldChar w:fldCharType="separate"/>
      </w:r>
      <w:r>
        <w:rPr>
          <w:rFonts w:ascii="宋体" w:cs="宋体" w:hint="eastAsia"/>
          <w:sz w:val="32"/>
          <w:szCs w:val="32"/>
        </w:rPr>
        <w:t>六</w:t>
      </w:r>
      <w:r>
        <w:rPr>
          <w:rFonts w:ascii="Malgun Gothic Semilight" w:eastAsia="Malgun Gothic Semilight" w:cs="Malgun Gothic Semilight" w:hAnsi="Malgun Gothic Semilight" w:hint="eastAsia"/>
          <w:sz w:val="32"/>
          <w:szCs w:val="32"/>
        </w:rPr>
        <w:t>、</w:t>
      </w:r>
      <w:r>
        <w:rPr>
          <w:rFonts w:ascii="宋体" w:cs="宋体" w:hint="eastAsia"/>
          <w:sz w:val="32"/>
          <w:szCs w:val="32"/>
        </w:rPr>
        <w:t>一</w:t>
      </w:r>
      <w:r>
        <w:rPr>
          <w:rFonts w:ascii="宋体" w:cs="宋体" w:hint="eastAsia"/>
          <w:bCs/>
          <w:sz w:val="32"/>
          <w:szCs w:val="32"/>
        </w:rPr>
        <w:t>般公共预算财政拨款基本支出决算情况说明</w:t>
      </w:r>
      <w:r>
        <w:rPr>
          <w:rFonts w:ascii="仿宋_GB2312" w:eastAsia="仿宋_GB2312" w:cs="仿宋_GB2312"/>
          <w:sz w:val="32"/>
          <w:szCs w:val="32"/>
        </w:rPr>
        <w:tab/>
        <w:t>7</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"_Toc15396609"</w:instrText>
      </w:r>
      <w:r>
        <w:fldChar w:fldCharType="separate"/>
      </w:r>
      <w:r>
        <w:rPr>
          <w:rFonts w:ascii="宋体" w:cs="宋体" w:hint="eastAsia"/>
          <w:sz w:val="32"/>
          <w:szCs w:val="32"/>
        </w:rPr>
        <w:t>七</w:t>
      </w:r>
      <w:r>
        <w:rPr>
          <w:rFonts w:ascii="Malgun Gothic Semilight" w:eastAsia="Malgun Gothic Semilight" w:cs="Malgun Gothic Semilight" w:hAnsi="Malgun Gothic Semilight" w:hint="eastAsia"/>
          <w:sz w:val="32"/>
          <w:szCs w:val="32"/>
        </w:rPr>
        <w:t>、“</w:t>
      </w:r>
      <w:r>
        <w:rPr>
          <w:rFonts w:ascii="宋体" w:cs="宋体" w:hint="eastAsia"/>
          <w:bCs/>
          <w:sz w:val="32"/>
          <w:szCs w:val="32"/>
        </w:rPr>
        <w:t>三公</w:t>
      </w:r>
      <w:r>
        <w:rPr>
          <w:rFonts w:ascii="Malgun Gothic Semilight" w:eastAsia="Malgun Gothic Semilight" w:cs="Malgun Gothic Semilight" w:hAnsi="Malgun Gothic Semilight" w:hint="eastAsia"/>
          <w:bCs/>
          <w:sz w:val="32"/>
          <w:szCs w:val="32"/>
        </w:rPr>
        <w:t>”</w:t>
      </w:r>
      <w:r>
        <w:rPr>
          <w:rFonts w:ascii="宋体" w:cs="宋体" w:hint="eastAsia"/>
          <w:bCs/>
          <w:sz w:val="32"/>
          <w:szCs w:val="32"/>
        </w:rPr>
        <w:t>经费财政拨款支出决算情况说明</w:t>
      </w:r>
      <w:r>
        <w:rPr>
          <w:rFonts w:ascii="仿宋_GB2312" w:eastAsia="仿宋_GB2312" w:cs="仿宋_GB2312"/>
          <w:sz w:val="32"/>
          <w:szCs w:val="32"/>
        </w:rPr>
        <w:tab/>
      </w:r>
      <w:r>
        <w:rPr>
          <w:rFonts w:ascii="仿宋_GB2312" w:eastAsia="仿宋_GB2312" w:cs="仿宋_GB2312" w:hint="eastAsia"/>
          <w:sz w:val="32"/>
          <w:szCs w:val="32"/>
          <w:lang w:val="en-US" w:eastAsia="zh-CN"/>
        </w:rPr>
        <w:t>8</w:t>
      </w:r>
      <w:r>
        <w:fldChar w:fldCharType="end"/>
      </w:r>
    </w:p>
    <w:p>
      <w:pPr>
        <w:pStyle w:val="20"/>
        <w:tabs>
          <w:tab w:val="right" w:leader="dot" w:pos="8296"/>
        </w:tabs>
        <w:rPr>
          <w:rFonts w:ascii="仿宋_GB2312" w:eastAsia="仿宋_GB2312" w:cs="仿宋_GB2312"/>
          <w:sz w:val="32"/>
          <w:szCs w:val="32"/>
        </w:rPr>
      </w:pPr>
      <w:r>
        <w:fldChar w:fldCharType="begin"/>
      </w:r>
      <w:r>
        <w:instrText>Hyperlink \l "_Toc15396610"</w:instrText>
      </w:r>
      <w:r>
        <w:fldChar w:fldCharType="separate"/>
      </w:r>
      <w:r>
        <w:rPr>
          <w:rFonts w:ascii="宋体" w:cs="宋体" w:hint="eastAsia"/>
          <w:sz w:val="32"/>
          <w:szCs w:val="32"/>
        </w:rPr>
        <w:t>八</w:t>
      </w:r>
      <w:r>
        <w:rPr>
          <w:rFonts w:ascii="Malgun Gothic Semilight" w:eastAsia="Malgun Gothic Semilight" w:cs="Malgun Gothic Semilight" w:hAnsi="Malgun Gothic Semilight" w:hint="eastAsia"/>
          <w:sz w:val="32"/>
          <w:szCs w:val="32"/>
        </w:rPr>
        <w:t>、</w:t>
      </w:r>
      <w:r>
        <w:rPr>
          <w:rFonts w:ascii="宋体" w:cs="宋体" w:hint="eastAsia"/>
          <w:bCs/>
          <w:sz w:val="32"/>
          <w:szCs w:val="32"/>
        </w:rPr>
        <w:t>政府性基金预算支出决算情况说明</w:t>
      </w:r>
      <w:r>
        <w:rPr>
          <w:rFonts w:ascii="仿宋_GB2312" w:eastAsia="仿宋_GB2312" w:cs="仿宋_GB2312"/>
          <w:sz w:val="32"/>
          <w:szCs w:val="32"/>
        </w:rPr>
        <w:tab/>
      </w:r>
      <w:r>
        <w:rPr>
          <w:rFonts w:ascii="仿宋_GB2312" w:eastAsia="仿宋_GB2312" w:cs="仿宋_GB2312" w:hint="eastAsia"/>
          <w:sz w:val="32"/>
          <w:szCs w:val="32"/>
          <w:lang w:val="en-US" w:eastAsia="zh-CN"/>
        </w:rPr>
        <w:t>8</w:t>
      </w:r>
      <w:r>
        <w:fldChar w:fldCharType="end"/>
      </w:r>
    </w:p>
    <w:p>
      <w:pPr>
        <w:pStyle w:val="20"/>
        <w:tabs>
          <w:tab w:val="right" w:leader="dot" w:pos="8296"/>
        </w:tabs>
        <w:rPr>
          <w:rFonts w:ascii="仿宋_GB2312" w:eastAsia="宋体" w:cs="仿宋_GB2312" w:hAnsi="仿宋_GB2312" w:hint="eastAsia"/>
          <w:sz w:val="32"/>
          <w:szCs w:val="32"/>
          <w:lang w:val="en-US" w:eastAsia="zh-CN"/>
        </w:rPr>
      </w:pPr>
      <w:r>
        <w:fldChar w:fldCharType="begin"/>
      </w:r>
      <w:r>
        <w:instrText>Hyperlink \l "_Toc15396611"</w:instrText>
      </w:r>
      <w:r>
        <w:fldChar w:fldCharType="separate"/>
      </w:r>
      <w:r>
        <w:rPr>
          <w:rFonts w:ascii="宋体" w:cs="宋体" w:hint="eastAsia"/>
          <w:bCs/>
          <w:sz w:val="32"/>
          <w:szCs w:val="32"/>
        </w:rPr>
        <w:t>九</w:t>
      </w:r>
      <w:r>
        <w:rPr>
          <w:rFonts w:ascii="Malgun Gothic Semilight" w:eastAsia="Malgun Gothic Semilight" w:cs="Malgun Gothic Semilight" w:hAnsi="Malgun Gothic Semilight" w:hint="eastAsia"/>
          <w:bCs/>
          <w:sz w:val="32"/>
          <w:szCs w:val="32"/>
        </w:rPr>
        <w:t>、</w:t>
      </w:r>
      <w:r>
        <w:rPr>
          <w:rFonts w:ascii="宋体" w:cs="宋体" w:hint="eastAsia"/>
          <w:sz w:val="32"/>
          <w:szCs w:val="32"/>
        </w:rPr>
        <w:t>国</w:t>
      </w:r>
      <w:r>
        <w:rPr>
          <w:rFonts w:ascii="宋体" w:cs="宋体" w:hint="eastAsia"/>
          <w:bCs/>
          <w:sz w:val="32"/>
          <w:szCs w:val="32"/>
        </w:rPr>
        <w:t>有资本经营预算支出决算情况说明</w:t>
      </w:r>
      <w:r>
        <w:rPr>
          <w:rFonts w:ascii="仿宋_GB2312" w:eastAsia="仿宋_GB2312" w:cs="仿宋_GB2312"/>
          <w:sz w:val="32"/>
          <w:szCs w:val="32"/>
        </w:rPr>
        <w:tab/>
      </w:r>
      <w:r>
        <w:rPr>
          <w:rFonts w:ascii="仿宋_GB2312" w:eastAsia="仿宋_GB2312" w:cs="仿宋_GB2312" w:hint="eastAsia"/>
          <w:sz w:val="32"/>
          <w:szCs w:val="32"/>
          <w:lang w:val="en-US" w:eastAsia="zh-CN"/>
        </w:rPr>
        <w:t>1</w:t>
      </w:r>
      <w:r>
        <w:fldChar w:fldCharType="end"/>
      </w:r>
      <w:r>
        <w:rPr>
          <w:rFonts w:hint="eastAsia"/>
          <w:lang w:val="en-US" w:eastAsia="zh-CN"/>
        </w:rPr>
        <w:t>0</w:t>
      </w:r>
    </w:p>
    <w:p>
      <w:pPr>
        <w:pStyle w:val="20"/>
        <w:tabs>
          <w:tab w:val="right" w:leader="dot" w:pos="8296"/>
        </w:tabs>
      </w:pPr>
      <w:r>
        <w:t>十、绩效预算说明报告.........................................................................................</w:t>
      </w:r>
      <w:r>
        <w:rPr>
          <w:rFonts w:hint="eastAsia"/>
          <w:lang w:val="en-US" w:eastAsia="zh-CN"/>
        </w:rPr>
        <w:t xml:space="preserve">     </w:t>
      </w:r>
      <w:r>
        <w:t>..............13</w:t>
      </w:r>
    </w:p>
    <w:p>
      <w:pPr>
        <w:pStyle w:val="20"/>
        <w:tabs>
          <w:tab w:val="right" w:leader="dot" w:pos="8296"/>
        </w:tabs>
        <w:rPr>
          <w:rFonts w:ascii="仿宋_GB2312" w:eastAsia="仿宋_GB2312" w:cs="仿宋_GB2312"/>
          <w:sz w:val="32"/>
          <w:szCs w:val="32"/>
        </w:rPr>
      </w:pPr>
      <w:r>
        <w:fldChar w:fldCharType="begin"/>
      </w:r>
      <w:r>
        <w:instrText>Hyperlink \l "_Toc15396612"</w:instrText>
      </w:r>
      <w:r>
        <w:fldChar w:fldCharType="separate"/>
      </w:r>
      <w:r>
        <w:rPr>
          <w:rFonts w:ascii="宋体" w:cs="宋体" w:hint="eastAsia"/>
          <w:sz w:val="32"/>
          <w:szCs w:val="32"/>
        </w:rPr>
        <w:t>十</w:t>
      </w:r>
      <w:r>
        <w:rPr>
          <w:rFonts w:ascii="宋体" w:cs="宋体" w:hint="eastAsia"/>
          <w:bCs/>
          <w:sz w:val="32"/>
          <w:szCs w:val="32"/>
        </w:rPr>
        <w:t>一</w:t>
      </w:r>
      <w:r>
        <w:rPr>
          <w:rFonts w:ascii="Malgun Gothic Semilight" w:eastAsia="Malgun Gothic Semilight" w:cs="Malgun Gothic Semilight" w:hAnsi="Malgun Gothic Semilight" w:hint="eastAsia"/>
          <w:bCs/>
          <w:sz w:val="32"/>
          <w:szCs w:val="32"/>
        </w:rPr>
        <w:t>、</w:t>
      </w:r>
      <w:r>
        <w:rPr>
          <w:rFonts w:ascii="宋体" w:cs="宋体" w:hint="eastAsia"/>
          <w:bCs/>
          <w:sz w:val="32"/>
          <w:szCs w:val="32"/>
        </w:rPr>
        <w:t>其他重要事项的情况说明</w:t>
      </w:r>
      <w:r>
        <w:rPr>
          <w:rFonts w:ascii="仿宋_GB2312" w:eastAsia="仿宋_GB2312" w:cs="仿宋_GB2312"/>
          <w:sz w:val="32"/>
          <w:szCs w:val="32"/>
        </w:rPr>
        <w:tab/>
        <w:t>1</w:t>
      </w:r>
      <w:r>
        <w:fldChar w:fldCharType="end"/>
      </w:r>
      <w:r>
        <w:rPr>
          <w:rFonts w:ascii="仿宋_GB2312" w:eastAsia="仿宋_GB2312" w:cs="仿宋_GB2312"/>
          <w:sz w:val="32"/>
          <w:szCs w:val="32"/>
        </w:rPr>
        <w:t>3</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lang w:eastAsia="zh-CN"/>
        </w:rPr>
        <w:t>第</w:t>
      </w:r>
      <w:r>
        <w:rPr>
          <w:sz w:val="28"/>
          <w:szCs w:val="28"/>
        </w:rPr>
        <w:t>三名词解释.</w:t>
      </w:r>
      <w:r>
        <w:rPr>
          <w:sz w:val="24"/>
        </w:rPr>
        <w:t>....................................................................................</w:t>
      </w:r>
      <w:r>
        <w:rPr>
          <w:rFonts w:hint="eastAsia"/>
          <w:sz w:val="24"/>
          <w:lang w:val="en-US" w:eastAsia="zh-CN"/>
        </w:rPr>
        <w:t xml:space="preserve">     </w:t>
      </w:r>
      <w:r>
        <w:rPr>
          <w:sz w:val="24"/>
        </w:rPr>
        <w:t xml:space="preserve">.14             </w:t>
      </w:r>
    </w:p>
    <w:p>
      <w:pPr>
        <w:pStyle w:val="19"/>
        <w:tabs>
          <w:tab w:val="right" w:leader="dot" w:pos="8296"/>
        </w:tabs>
        <w:rPr>
          <w:rFonts w:ascii="仿宋_GB2312" w:eastAsia="仿宋_GB2312" w:cs="仿宋_GB2312"/>
          <w:sz w:val="32"/>
          <w:szCs w:val="32"/>
        </w:rPr>
      </w:pPr>
      <w:r>
        <w:t xml:space="preserve">  </w:t>
      </w:r>
      <w:r>
        <w:fldChar w:fldCharType="begin"/>
      </w:r>
      <w:r>
        <w:instrText>Hyperlink \l "_Toc15396614"</w:instrText>
      </w:r>
      <w:r>
        <w:fldChar w:fldCharType="separate"/>
      </w:r>
      <w:r>
        <w:rPr>
          <w:rFonts w:ascii="宋体" w:eastAsia="宋体" w:cs="宋体" w:hint="eastAsia"/>
          <w:sz w:val="32"/>
          <w:szCs w:val="32"/>
        </w:rPr>
        <w:t>第</w:t>
      </w:r>
      <w:r>
        <w:rPr>
          <w:rFonts w:ascii="宋体" w:eastAsia="宋体" w:cs="宋体" w:hint="eastAsia"/>
          <w:bCs/>
          <w:kern w:val="44"/>
          <w:sz w:val="32"/>
          <w:szCs w:val="32"/>
        </w:rPr>
        <w:t>四部分</w:t>
      </w:r>
      <w:r>
        <w:rPr>
          <w:rFonts w:ascii="仿宋_GB2312" w:eastAsia="仿宋_GB2312" w:cs="仿宋_GB2312"/>
          <w:bCs/>
          <w:kern w:val="44"/>
          <w:sz w:val="32"/>
          <w:szCs w:val="32"/>
        </w:rPr>
        <w:t xml:space="preserve">  </w:t>
      </w:r>
      <w:r>
        <w:rPr>
          <w:rFonts w:ascii="宋体" w:eastAsia="宋体" w:cs="宋体" w:hint="eastAsia"/>
          <w:bCs/>
          <w:kern w:val="44"/>
          <w:sz w:val="32"/>
          <w:szCs w:val="32"/>
        </w:rPr>
        <w:t>附件</w:t>
      </w:r>
      <w:r>
        <w:rPr>
          <w:rFonts w:ascii="仿宋_GB2312" w:eastAsia="仿宋_GB2312" w:cs="仿宋_GB2312"/>
          <w:sz w:val="32"/>
          <w:szCs w:val="32"/>
        </w:rPr>
        <w:tab/>
      </w:r>
      <w:r>
        <w:rPr>
          <w:rFonts w:ascii="仿宋_GB2312" w:eastAsia="仿宋_GB2312" w:cs="仿宋_GB2312" w:hint="eastAsia"/>
          <w:sz w:val="32"/>
          <w:szCs w:val="32"/>
        </w:rPr>
        <w:t>…</w:t>
      </w:r>
      <w:r>
        <w:rPr>
          <w:rFonts w:ascii="仿宋_GB2312" w:eastAsia="仿宋_GB2312" w:cs="仿宋_GB2312"/>
          <w:sz w:val="32"/>
          <w:szCs w:val="32"/>
        </w:rPr>
        <w:t>.  21</w:t>
      </w:r>
      <w:r>
        <w:fldChar w:fldCharType="end"/>
      </w:r>
    </w:p>
    <w:p>
      <w:pPr>
        <w:ind w:firstLineChars="100" w:firstLine="320"/>
        <w:rPr>
          <w:rFonts w:eastAsia="仿宋_GB2312"/>
        </w:rPr>
      </w:pPr>
      <w:r>
        <w:rPr>
          <w:rFonts w:ascii="仿宋_GB2312" w:eastAsia="仿宋_GB2312" w:cs="仿宋_GB2312" w:hint="eastAsia"/>
          <w:sz w:val="32"/>
          <w:szCs w:val="32"/>
        </w:rPr>
        <w:t>茂县粮食和物资储备中心</w:t>
      </w:r>
      <w:r>
        <w:rPr>
          <w:rFonts w:ascii="仿宋_GB2312" w:eastAsia="仿宋_GB2312" w:cs="仿宋_GB2312"/>
          <w:sz w:val="32"/>
          <w:szCs w:val="32"/>
        </w:rPr>
        <w:t>2021</w:t>
      </w:r>
      <w:bookmarkStart w:id="12" w:name="_GoBack"/>
      <w:bookmarkEnd w:id="12"/>
      <w:r>
        <w:rPr>
          <w:rFonts w:ascii="仿宋_GB2312" w:eastAsia="仿宋_GB2312" w:cs="仿宋_GB2312" w:hint="eastAsia"/>
          <w:sz w:val="32"/>
          <w:szCs w:val="32"/>
        </w:rPr>
        <w:t>年部门整体支出绩效评价报告</w:t>
      </w:r>
      <w:r>
        <w:rPr>
          <w:rFonts w:ascii="仿宋_GB2312" w:eastAsia="仿宋_GB2312" w:cs="仿宋_GB2312"/>
          <w:sz w:val="32"/>
          <w:szCs w:val="32"/>
        </w:rPr>
        <w:t>.............................................21</w:t>
      </w:r>
    </w:p>
    <w:p>
      <w:pPr>
        <w:pStyle w:val="19"/>
        <w:tabs>
          <w:tab w:val="right" w:leader="dot" w:pos="8296"/>
        </w:tabs>
        <w:rPr>
          <w:rFonts w:ascii="仿宋_GB2312" w:eastAsia="仿宋_GB2312" w:cs="仿宋_GB2312"/>
          <w:sz w:val="32"/>
          <w:szCs w:val="32"/>
        </w:rPr>
      </w:pPr>
      <w:r>
        <w:fldChar w:fldCharType="begin"/>
      </w:r>
      <w:r>
        <w:instrText>Hyperlink \l "_Toc15396618"</w:instrText>
      </w:r>
      <w:r>
        <w:fldChar w:fldCharType="separate"/>
      </w:r>
      <w:r>
        <w:rPr>
          <w:rFonts w:ascii="宋体" w:eastAsia="宋体" w:cs="宋体" w:hint="eastAsia"/>
          <w:sz w:val="32"/>
          <w:szCs w:val="32"/>
        </w:rPr>
        <w:t>第</w:t>
      </w:r>
      <w:r>
        <w:rPr>
          <w:rFonts w:ascii="宋体" w:eastAsia="宋体" w:cs="宋体" w:hint="eastAsia"/>
          <w:bCs/>
          <w:kern w:val="44"/>
          <w:sz w:val="32"/>
          <w:szCs w:val="32"/>
        </w:rPr>
        <w:t>五部分</w:t>
      </w:r>
      <w:r>
        <w:rPr>
          <w:rFonts w:ascii="仿宋_GB2312" w:eastAsia="仿宋_GB2312" w:cs="仿宋_GB2312"/>
          <w:bCs/>
          <w:kern w:val="44"/>
          <w:sz w:val="32"/>
          <w:szCs w:val="32"/>
        </w:rPr>
        <w:t xml:space="preserve">  </w:t>
      </w:r>
      <w:r>
        <w:rPr>
          <w:rFonts w:ascii="宋体" w:eastAsia="宋体" w:cs="宋体" w:hint="eastAsia"/>
          <w:bCs/>
          <w:kern w:val="44"/>
          <w:sz w:val="32"/>
          <w:szCs w:val="32"/>
        </w:rPr>
        <w:t>附表</w:t>
      </w:r>
      <w:r>
        <w:rPr>
          <w:rFonts w:ascii="仿宋_GB2312" w:eastAsia="仿宋_GB2312" w:cs="仿宋_GB2312"/>
          <w:sz w:val="32"/>
          <w:szCs w:val="32"/>
        </w:rPr>
        <w:tab/>
        <w:t>22</w:t>
      </w:r>
      <w:r>
        <w:fldChar w:fldCharType="end"/>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一、</w:t>
      </w:r>
      <w:r>
        <w:fldChar w:fldCharType="begin"/>
      </w:r>
      <w:r>
        <w:instrText>Hyperlink \l "_Toc15396619"</w:instrText>
      </w:r>
      <w:r>
        <w:fldChar w:fldCharType="separate"/>
      </w:r>
      <w:r>
        <w:rPr>
          <w:rFonts w:ascii="宋体" w:cs="宋体" w:hint="eastAsia"/>
          <w:sz w:val="32"/>
          <w:szCs w:val="32"/>
        </w:rPr>
        <w:t>收入支出决算总表</w:t>
      </w:r>
      <w:r>
        <w:rPr>
          <w:rFonts w:ascii="仿宋_GB2312" w:eastAsia="仿宋_GB2312" w:cs="仿宋_GB2312"/>
          <w:sz w:val="32"/>
          <w:szCs w:val="32"/>
        </w:rPr>
        <w:tab/>
        <w:t>23</w:t>
      </w:r>
      <w:r>
        <w:fldChar w:fldCharType="end"/>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二、</w:t>
      </w:r>
      <w:r>
        <w:fldChar w:fldCharType="begin"/>
      </w:r>
      <w:r>
        <w:instrText>Hyperlink \l "_Toc15396620"</w:instrText>
      </w:r>
      <w:r>
        <w:fldChar w:fldCharType="separate"/>
      </w:r>
      <w:r>
        <w:rPr>
          <w:rFonts w:ascii="宋体" w:cs="宋体" w:hint="eastAsia"/>
          <w:sz w:val="32"/>
          <w:szCs w:val="32"/>
        </w:rPr>
        <w:t>收入总表</w:t>
      </w:r>
      <w:r>
        <w:rPr>
          <w:rFonts w:ascii="仿宋_GB2312" w:eastAsia="仿宋_GB2312" w:cs="仿宋_GB2312"/>
          <w:sz w:val="32"/>
          <w:szCs w:val="32"/>
        </w:rPr>
        <w:tab/>
        <w:t>24</w:t>
      </w:r>
      <w:r>
        <w:fldChar w:fldCharType="end"/>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三、</w:t>
      </w:r>
      <w:r>
        <w:fldChar w:fldCharType="begin"/>
      </w:r>
      <w:r>
        <w:instrText>Hyperlink \l "_Toc15396621"</w:instrText>
      </w:r>
      <w:r>
        <w:fldChar w:fldCharType="separate"/>
      </w:r>
      <w:r>
        <w:rPr>
          <w:rFonts w:ascii="宋体" w:cs="宋体" w:hint="eastAsia"/>
          <w:sz w:val="32"/>
          <w:szCs w:val="32"/>
        </w:rPr>
        <w:t>支出总表</w:t>
      </w:r>
      <w:r>
        <w:rPr>
          <w:rFonts w:ascii="仿宋_GB2312" w:eastAsia="仿宋_GB2312" w:cs="仿宋_GB2312"/>
          <w:sz w:val="32"/>
          <w:szCs w:val="32"/>
        </w:rPr>
        <w:tab/>
        <w:t>2</w:t>
      </w:r>
      <w:r>
        <w:fldChar w:fldCharType="end"/>
      </w:r>
      <w:r>
        <w:rPr>
          <w:rFonts w:ascii="仿宋_GB2312" w:eastAsia="仿宋_GB2312" w:cs="仿宋_GB2312"/>
          <w:sz w:val="32"/>
          <w:szCs w:val="32"/>
        </w:rPr>
        <w:t>5</w:t>
      </w:r>
    </w:p>
    <w:p>
      <w:pPr>
        <w:pStyle w:val="20"/>
        <w:tabs>
          <w:tab w:val="right" w:leader="dot" w:pos="8296"/>
        </w:tabs>
        <w:spacing w:line="576" w:lineRule="exact"/>
        <w:rPr>
          <w:rFonts w:ascii="仿宋_GB2312" w:eastAsia="仿宋_GB2312" w:cs="仿宋_GB2312"/>
          <w:sz w:val="32"/>
          <w:szCs w:val="32"/>
        </w:rPr>
      </w:pPr>
      <w:r>
        <w:rPr>
          <w:rFonts w:ascii="仿宋_GB2312" w:eastAsia="仿宋_GB2312" w:cs="仿宋_GB2312" w:hint="eastAsia"/>
          <w:sz w:val="32"/>
          <w:szCs w:val="32"/>
        </w:rPr>
        <w:t>四、</w:t>
      </w:r>
      <w:r>
        <w:fldChar w:fldCharType="begin"/>
      </w:r>
      <w:r>
        <w:instrText>Hyperlink \l "_Toc15396622"</w:instrText>
      </w:r>
      <w:r>
        <w:fldChar w:fldCharType="separate"/>
      </w:r>
      <w:r>
        <w:rPr>
          <w:rFonts w:ascii="宋体" w:cs="宋体" w:hint="eastAsia"/>
          <w:sz w:val="32"/>
          <w:szCs w:val="32"/>
        </w:rPr>
        <w:t>财政拨款收入支出决算总表</w:t>
      </w:r>
      <w:r>
        <w:rPr>
          <w:rFonts w:ascii="仿宋_GB2312" w:eastAsia="仿宋_GB2312" w:cs="仿宋_GB2312"/>
          <w:sz w:val="32"/>
          <w:szCs w:val="32"/>
        </w:rPr>
        <w:tab/>
        <w:t>2</w:t>
      </w:r>
      <w:r>
        <w:fldChar w:fldCharType="end"/>
      </w:r>
      <w:r>
        <w:rPr>
          <w:rFonts w:ascii="仿宋_GB2312" w:eastAsia="仿宋_GB2312" w:cs="仿宋_GB2312"/>
          <w:sz w:val="32"/>
          <w:szCs w:val="32"/>
        </w:rPr>
        <w:t>6</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五、</w:t>
      </w:r>
      <w:r>
        <w:fldChar w:fldCharType="begin"/>
      </w:r>
      <w:r>
        <w:instrText>Hyperlink \l "_Toc15396623"</w:instrText>
      </w:r>
      <w:r>
        <w:fldChar w:fldCharType="separate"/>
      </w:r>
      <w:r>
        <w:rPr>
          <w:rFonts w:ascii="宋体" w:cs="宋体" w:hint="eastAsia"/>
          <w:sz w:val="32"/>
          <w:szCs w:val="32"/>
        </w:rPr>
        <w:t>财政拨款支出决算明细表</w:t>
      </w:r>
      <w:r>
        <w:rPr>
          <w:rFonts w:ascii="Malgun Gothic Semilight" w:eastAsia="Malgun Gothic Semilight" w:cs="Malgun Gothic Semilight" w:hAnsi="Malgun Gothic Semilight" w:hint="eastAsia"/>
          <w:sz w:val="32"/>
          <w:szCs w:val="32"/>
        </w:rPr>
        <w:t>（</w:t>
      </w:r>
      <w:r>
        <w:rPr>
          <w:rFonts w:ascii="宋体" w:cs="宋体" w:hint="eastAsia"/>
          <w:sz w:val="32"/>
          <w:szCs w:val="32"/>
        </w:rPr>
        <w:t>政府经济分类科目</w:t>
      </w:r>
      <w:r>
        <w:rPr>
          <w:rFonts w:ascii="Malgun Gothic Semilight" w:eastAsia="Malgun Gothic Semilight" w:cs="Malgun Gothic Semilight" w:hAnsi="Malgun Gothic Semilight" w:hint="eastAsia"/>
          <w:sz w:val="32"/>
          <w:szCs w:val="32"/>
        </w:rPr>
        <w:t>）</w:t>
      </w:r>
      <w:r>
        <w:rPr>
          <w:rFonts w:ascii="仿宋_GB2312" w:eastAsia="仿宋_GB2312" w:cs="仿宋_GB2312"/>
          <w:sz w:val="32"/>
          <w:szCs w:val="32"/>
        </w:rPr>
        <w:tab/>
      </w:r>
      <w:r>
        <w:fldChar w:fldCharType="end"/>
      </w:r>
      <w:r>
        <w:rPr>
          <w:rFonts w:ascii="仿宋_GB2312" w:eastAsia="仿宋_GB2312" w:cs="仿宋_GB2312"/>
          <w:sz w:val="32"/>
          <w:szCs w:val="32"/>
        </w:rPr>
        <w:t>27</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六、</w:t>
      </w:r>
      <w:r>
        <w:fldChar w:fldCharType="begin"/>
      </w:r>
      <w:r>
        <w:instrText>Hyperlink \l "_Toc15396624"</w:instrText>
      </w:r>
      <w:r>
        <w:fldChar w:fldCharType="separate"/>
      </w:r>
      <w:r>
        <w:rPr>
          <w:rFonts w:ascii="宋体" w:cs="宋体" w:hint="eastAsia"/>
          <w:sz w:val="32"/>
          <w:szCs w:val="32"/>
        </w:rPr>
        <w:t>一般公共预算财政拨款支出决算表</w:t>
      </w:r>
      <w:r>
        <w:rPr>
          <w:rFonts w:ascii="仿宋_GB2312" w:eastAsia="仿宋_GB2312" w:cs="仿宋_GB2312"/>
          <w:sz w:val="32"/>
          <w:szCs w:val="32"/>
        </w:rPr>
        <w:tab/>
        <w:t>2</w:t>
      </w:r>
      <w:r>
        <w:fldChar w:fldCharType="end"/>
      </w:r>
      <w:r>
        <w:rPr>
          <w:rFonts w:ascii="仿宋_GB2312" w:eastAsia="仿宋_GB2312" w:cs="仿宋_GB2312"/>
          <w:sz w:val="32"/>
          <w:szCs w:val="32"/>
        </w:rPr>
        <w:t>8</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七、</w:t>
      </w:r>
      <w:r>
        <w:fldChar w:fldCharType="begin"/>
      </w:r>
      <w:r>
        <w:instrText>Hyperlink \l "_Toc15396625"</w:instrText>
      </w:r>
      <w:r>
        <w:fldChar w:fldCharType="separate"/>
      </w:r>
      <w:r>
        <w:rPr>
          <w:rFonts w:ascii="宋体" w:cs="宋体" w:hint="eastAsia"/>
          <w:sz w:val="32"/>
          <w:szCs w:val="32"/>
        </w:rPr>
        <w:t>一般公共预算财政拨款支出决算明细表</w:t>
      </w:r>
      <w:r>
        <w:rPr>
          <w:rFonts w:ascii="仿宋_GB2312" w:eastAsia="仿宋_GB2312" w:cs="仿宋_GB2312"/>
          <w:sz w:val="32"/>
          <w:szCs w:val="32"/>
        </w:rPr>
        <w:tab/>
        <w:t>2</w:t>
      </w:r>
      <w:r>
        <w:fldChar w:fldCharType="end"/>
      </w:r>
      <w:r>
        <w:rPr>
          <w:rFonts w:ascii="仿宋_GB2312" w:eastAsia="仿宋_GB2312" w:cs="仿宋_GB2312"/>
          <w:sz w:val="32"/>
          <w:szCs w:val="32"/>
        </w:rPr>
        <w:t>9</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八、</w:t>
      </w:r>
      <w:r>
        <w:fldChar w:fldCharType="begin"/>
      </w:r>
      <w:r>
        <w:instrText>Hyperlink \l "_Toc15396626"</w:instrText>
      </w:r>
      <w:r>
        <w:fldChar w:fldCharType="separate"/>
      </w:r>
      <w:r>
        <w:rPr>
          <w:rFonts w:ascii="宋体" w:cs="宋体" w:hint="eastAsia"/>
          <w:sz w:val="32"/>
          <w:szCs w:val="32"/>
        </w:rPr>
        <w:t>一般公共预算财政拨款基本支出决算表</w:t>
      </w:r>
      <w:r>
        <w:rPr>
          <w:rFonts w:ascii="仿宋_GB2312" w:eastAsia="仿宋_GB2312" w:cs="仿宋_GB2312"/>
          <w:sz w:val="32"/>
          <w:szCs w:val="32"/>
        </w:rPr>
        <w:tab/>
        <w:t>3</w:t>
      </w:r>
      <w:r>
        <w:fldChar w:fldCharType="end"/>
      </w:r>
      <w:r>
        <w:rPr>
          <w:rFonts w:ascii="仿宋_GB2312" w:eastAsia="仿宋_GB2312" w:cs="仿宋_GB2312"/>
          <w:sz w:val="32"/>
          <w:szCs w:val="32"/>
        </w:rPr>
        <w:t>0</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九、</w:t>
      </w:r>
      <w:r>
        <w:fldChar w:fldCharType="begin"/>
      </w:r>
      <w:r>
        <w:instrText>Hyperlink \l "_Toc15396627"</w:instrText>
      </w:r>
      <w:r>
        <w:fldChar w:fldCharType="separate"/>
      </w:r>
      <w:r>
        <w:rPr>
          <w:rFonts w:ascii="宋体" w:cs="宋体" w:hint="eastAsia"/>
          <w:sz w:val="32"/>
          <w:szCs w:val="32"/>
        </w:rPr>
        <w:t>一般公共预算财政拨款项目支出决算表</w:t>
      </w:r>
      <w:r>
        <w:rPr>
          <w:rFonts w:ascii="仿宋_GB2312" w:eastAsia="仿宋_GB2312" w:cs="仿宋_GB2312"/>
          <w:sz w:val="32"/>
          <w:szCs w:val="32"/>
        </w:rPr>
        <w:tab/>
        <w:t>3</w:t>
      </w:r>
      <w:r>
        <w:fldChar w:fldCharType="end"/>
      </w:r>
      <w:r>
        <w:rPr>
          <w:rFonts w:ascii="仿宋_GB2312" w:eastAsia="仿宋_GB2312" w:cs="仿宋_GB2312"/>
          <w:sz w:val="32"/>
          <w:szCs w:val="32"/>
        </w:rPr>
        <w:t>1</w:t>
      </w:r>
    </w:p>
    <w:p>
      <w:pPr>
        <w:pStyle w:val="20"/>
        <w:tabs>
          <w:tab w:val="right" w:leader="dot" w:pos="8296"/>
        </w:tabs>
        <w:outlineLvl w:val="1"/>
        <w:rPr>
          <w:rFonts w:ascii="仿宋_GB2312" w:eastAsia="仿宋_GB2312" w:cs="仿宋_GB2312"/>
          <w:sz w:val="32"/>
          <w:szCs w:val="32"/>
        </w:rPr>
      </w:pPr>
      <w:r>
        <w:rPr>
          <w:rFonts w:ascii="仿宋_GB2312" w:eastAsia="仿宋_GB2312" w:cs="仿宋_GB2312" w:hint="eastAsia"/>
          <w:sz w:val="32"/>
          <w:szCs w:val="32"/>
        </w:rPr>
        <w:t>十、</w:t>
      </w:r>
      <w:r>
        <w:fldChar w:fldCharType="begin"/>
      </w:r>
      <w:r>
        <w:instrText>Hyperlink \l "_Toc15396628"</w:instrText>
      </w:r>
      <w:r>
        <w:fldChar w:fldCharType="separate"/>
      </w:r>
      <w:r>
        <w:rPr>
          <w:rFonts w:ascii="宋体" w:cs="宋体" w:hint="eastAsia"/>
          <w:sz w:val="32"/>
          <w:szCs w:val="32"/>
        </w:rPr>
        <w:t>一般公共预算财政拨款</w:t>
      </w:r>
      <w:r>
        <w:rPr>
          <w:rFonts w:ascii="Malgun Gothic Semilight" w:eastAsia="Malgun Gothic Semilight" w:cs="Malgun Gothic Semilight" w:hAnsi="Malgun Gothic Semilight" w:hint="eastAsia"/>
          <w:sz w:val="32"/>
          <w:szCs w:val="32"/>
        </w:rPr>
        <w:t>“</w:t>
      </w:r>
      <w:r>
        <w:rPr>
          <w:rFonts w:ascii="宋体" w:cs="宋体" w:hint="eastAsia"/>
          <w:sz w:val="32"/>
          <w:szCs w:val="32"/>
        </w:rPr>
        <w:t>三公</w:t>
      </w:r>
      <w:r>
        <w:rPr>
          <w:rFonts w:ascii="Malgun Gothic Semilight" w:eastAsia="Malgun Gothic Semilight" w:cs="Malgun Gothic Semilight" w:hAnsi="Malgun Gothic Semilight" w:hint="eastAsia"/>
          <w:sz w:val="32"/>
          <w:szCs w:val="32"/>
        </w:rPr>
        <w:t>”</w:t>
      </w:r>
      <w:r>
        <w:rPr>
          <w:rFonts w:ascii="宋体" w:cs="宋体" w:hint="eastAsia"/>
          <w:sz w:val="32"/>
          <w:szCs w:val="32"/>
        </w:rPr>
        <w:t>经费支出决算表</w:t>
      </w:r>
      <w:r>
        <w:rPr>
          <w:rFonts w:ascii="仿宋_GB2312" w:eastAsia="仿宋_GB2312" w:cs="仿宋_GB2312"/>
          <w:sz w:val="32"/>
          <w:szCs w:val="32"/>
        </w:rPr>
        <w:tab/>
        <w:t>3</w:t>
      </w:r>
      <w:r>
        <w:fldChar w:fldCharType="end"/>
      </w:r>
      <w:r>
        <w:rPr>
          <w:rFonts w:ascii="仿宋_GB2312" w:eastAsia="仿宋_GB2312" w:cs="仿宋_GB2312"/>
          <w:sz w:val="32"/>
          <w:szCs w:val="32"/>
        </w:rPr>
        <w:t>2</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十一、</w:t>
      </w:r>
      <w:r>
        <w:fldChar w:fldCharType="begin"/>
      </w:r>
      <w:r>
        <w:instrText>Hyperlink \l "_Toc15396629"</w:instrText>
      </w:r>
      <w:r>
        <w:fldChar w:fldCharType="separate"/>
      </w:r>
      <w:r>
        <w:rPr>
          <w:rFonts w:ascii="宋体" w:cs="宋体" w:hint="eastAsia"/>
          <w:sz w:val="32"/>
          <w:szCs w:val="32"/>
        </w:rPr>
        <w:t>政府性基金预算财政拨款收入支出决算表</w:t>
      </w:r>
      <w:r>
        <w:rPr>
          <w:rFonts w:ascii="仿宋_GB2312" w:eastAsia="仿宋_GB2312" w:cs="仿宋_GB2312"/>
          <w:sz w:val="32"/>
          <w:szCs w:val="32"/>
        </w:rPr>
        <w:tab/>
        <w:t>3</w:t>
      </w:r>
      <w:r>
        <w:fldChar w:fldCharType="end"/>
      </w:r>
      <w:r>
        <w:rPr>
          <w:rFonts w:ascii="仿宋_GB2312" w:eastAsia="仿宋_GB2312" w:cs="仿宋_GB2312"/>
          <w:sz w:val="32"/>
          <w:szCs w:val="32"/>
        </w:rPr>
        <w:t>3</w:t>
      </w:r>
    </w:p>
    <w:p>
      <w:pPr>
        <w:pStyle w:val="20"/>
        <w:tabs>
          <w:tab w:val="right" w:leader="dot" w:pos="8296"/>
        </w:tabs>
        <w:rPr>
          <w:rFonts w:ascii="仿宋_GB2312" w:eastAsia="仿宋_GB2312" w:cs="仿宋_GB2312"/>
          <w:sz w:val="32"/>
          <w:szCs w:val="32"/>
        </w:rPr>
      </w:pPr>
      <w:r>
        <w:rPr>
          <w:rFonts w:ascii="仿宋_GB2312" w:eastAsia="仿宋_GB2312" w:cs="仿宋_GB2312" w:hint="eastAsia"/>
          <w:sz w:val="32"/>
          <w:szCs w:val="32"/>
        </w:rPr>
        <w:t>十二、</w:t>
      </w:r>
      <w:r>
        <w:fldChar w:fldCharType="begin"/>
      </w:r>
      <w:r>
        <w:instrText>Hyperlink \l "_Toc15396630"</w:instrText>
      </w:r>
      <w:r>
        <w:fldChar w:fldCharType="separate"/>
      </w:r>
      <w:r>
        <w:rPr>
          <w:rFonts w:ascii="宋体" w:cs="宋体" w:hint="eastAsia"/>
          <w:sz w:val="32"/>
          <w:szCs w:val="32"/>
        </w:rPr>
        <w:t>政府性基金预算财政拨款</w:t>
      </w:r>
      <w:r>
        <w:rPr>
          <w:rFonts w:ascii="Malgun Gothic Semilight" w:eastAsia="Malgun Gothic Semilight" w:cs="Malgun Gothic Semilight" w:hAnsi="Malgun Gothic Semilight" w:hint="eastAsia"/>
          <w:sz w:val="32"/>
          <w:szCs w:val="32"/>
        </w:rPr>
        <w:t>“</w:t>
      </w:r>
      <w:r>
        <w:rPr>
          <w:rFonts w:ascii="宋体" w:cs="宋体" w:hint="eastAsia"/>
          <w:sz w:val="32"/>
          <w:szCs w:val="32"/>
        </w:rPr>
        <w:t>三公</w:t>
      </w:r>
      <w:r>
        <w:rPr>
          <w:rFonts w:ascii="Malgun Gothic Semilight" w:eastAsia="Malgun Gothic Semilight" w:cs="Malgun Gothic Semilight" w:hAnsi="Malgun Gothic Semilight" w:hint="eastAsia"/>
          <w:sz w:val="32"/>
          <w:szCs w:val="32"/>
        </w:rPr>
        <w:t>”</w:t>
      </w:r>
      <w:r>
        <w:rPr>
          <w:rFonts w:ascii="宋体" w:cs="宋体" w:hint="eastAsia"/>
          <w:sz w:val="32"/>
          <w:szCs w:val="32"/>
        </w:rPr>
        <w:t>经费支出决算表</w:t>
      </w:r>
      <w:r>
        <w:rPr>
          <w:rFonts w:ascii="仿宋_GB2312" w:eastAsia="仿宋_GB2312" w:cs="仿宋_GB2312"/>
          <w:sz w:val="32"/>
          <w:szCs w:val="32"/>
        </w:rPr>
        <w:tab/>
        <w:t>3</w:t>
      </w:r>
      <w:r>
        <w:fldChar w:fldCharType="end"/>
      </w:r>
      <w:r>
        <w:rPr>
          <w:rFonts w:ascii="仿宋_GB2312" w:eastAsia="仿宋_GB2312" w:cs="仿宋_GB2312"/>
          <w:sz w:val="32"/>
          <w:szCs w:val="32"/>
        </w:rPr>
        <w:t>4</w:t>
      </w:r>
    </w:p>
    <w:p>
      <w:pPr>
        <w:pStyle w:val="20"/>
        <w:tabs>
          <w:tab w:val="right" w:leader="dot" w:pos="8296"/>
        </w:tabs>
        <w:rPr>
          <w:rFonts w:ascii="仿宋" w:eastAsia="仿宋_GB2312" w:hAnsi="仿宋"/>
          <w:sz w:val="24"/>
        </w:rPr>
      </w:pPr>
      <w:r>
        <w:rPr>
          <w:rFonts w:ascii="仿宋_GB2312" w:eastAsia="仿宋_GB2312" w:cs="仿宋_GB2312" w:hint="eastAsia"/>
          <w:sz w:val="32"/>
          <w:szCs w:val="32"/>
        </w:rPr>
        <w:t>十三、</w:t>
      </w:r>
      <w:r>
        <w:fldChar w:fldCharType="begin"/>
      </w:r>
      <w:r>
        <w:instrText>Hyperlink \l "_Toc15396631"</w:instrText>
      </w:r>
      <w:r>
        <w:fldChar w:fldCharType="separate"/>
      </w:r>
      <w:r>
        <w:rPr>
          <w:rFonts w:ascii="宋体" w:cs="宋体" w:hint="eastAsia"/>
          <w:sz w:val="32"/>
          <w:szCs w:val="32"/>
        </w:rPr>
        <w:t>国有资本经营预算支出决算表</w:t>
      </w:r>
      <w:r>
        <w:rPr>
          <w:rFonts w:ascii="仿宋_GB2312" w:eastAsia="仿宋_GB2312" w:cs="仿宋_GB2312"/>
          <w:sz w:val="32"/>
          <w:szCs w:val="32"/>
        </w:rPr>
        <w:tab/>
        <w:t>3</w:t>
      </w:r>
      <w:r>
        <w:fldChar w:fldCharType="end"/>
      </w:r>
      <w:r>
        <w:rPr>
          <w:rFonts w:ascii="仿宋_GB2312" w:eastAsia="仿宋_GB2312" w:cs="仿宋_GB2312"/>
          <w:sz w:val="32"/>
          <w:szCs w:val="32"/>
        </w:rPr>
        <w:t>5</w:t>
      </w: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3" w:name="_Toc15396599"/>
      <w:bookmarkStart w:id="14" w:name="_Toc15377196"/>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widowControl/>
        <w:rPr>
          <w:rFonts w:ascii="黑体" w:eastAsia="黑体"/>
        </w:rPr>
      </w:pPr>
    </w:p>
    <w:p>
      <w:pPr>
        <w:adjustRightInd w:val="0"/>
        <w:snapToGrid w:val="0"/>
        <w:spacing w:line="360" w:lineRule="auto"/>
        <w:jc w:val="center"/>
        <w:outlineLvl w:val="0"/>
        <w:rPr>
          <w:rFonts w:ascii="黑体" w:eastAsia="黑体"/>
          <w:color w:val="000000"/>
          <w:sz w:val="32"/>
          <w:szCs w:val="32"/>
        </w:rPr>
      </w:pPr>
      <w:r>
        <w:rPr>
          <w:rFonts w:ascii="方正小标宋简体" w:eastAsia="方正小标宋简体" w:cs="方正小标宋简体" w:hint="eastAsia"/>
          <w:sz w:val="44"/>
          <w:szCs w:val="44"/>
        </w:rPr>
        <w:t>第一部分</w:t>
      </w:r>
      <w:r>
        <w:rPr>
          <w:rStyle w:val="1Char"/>
          <w:rFonts w:ascii="方正小标宋简体" w:eastAsia="方正小标宋简体" w:cs="方正小标宋简体" w:hint="eastAsia"/>
          <w:b w:val="0"/>
          <w:bCs w:val="0"/>
        </w:rPr>
        <w:t>部门概况</w:t>
      </w:r>
      <w:bookmarkEnd w:id="13"/>
      <w:bookmarkEnd w:id="14"/>
    </w:p>
    <w:p>
      <w:pPr>
        <w:pStyle w:val="2"/>
        <w:ind w:firstLineChars="200" w:firstLine="640"/>
        <w:rPr>
          <w:rFonts w:ascii="仿宋" w:eastAsia="仿宋"/>
          <w:b w:val="0"/>
          <w:color w:val="000000"/>
        </w:rPr>
      </w:pPr>
      <w:bookmarkStart w:id="15" w:name="_Toc15377197"/>
      <w:bookmarkStart w:id="16" w:name="_Toc15396600"/>
      <w:bookmarkStart w:id="17" w:name="_Toc15377206"/>
      <w:bookmarkStart w:id="18" w:name="_Toc15396604"/>
      <w:bookmarkStart w:id="19" w:name="_Toc15396607"/>
      <w:bookmarkStart w:id="20" w:name="_Toc15377209"/>
      <w:bookmarkStart w:id="21" w:name="_Toc15377212"/>
      <w:r>
        <w:rPr>
          <w:rFonts w:ascii="黑体" w:eastAsia="黑体" w:cs="黑体" w:hint="eastAsia"/>
          <w:b w:val="0"/>
          <w:color w:val="000000"/>
        </w:rPr>
        <w:t>一、基</w:t>
      </w:r>
      <w:r>
        <w:rPr>
          <w:rStyle w:val="2Char"/>
          <w:rFonts w:ascii="黑体" w:eastAsia="黑体" w:cs="黑体" w:hint="eastAsia"/>
          <w:b/>
          <w:bCs w:val="0"/>
        </w:rPr>
        <w:t>本职能及主要工作</w:t>
      </w:r>
      <w:bookmarkStart w:id="22" w:name="_Toc15378445"/>
      <w:bookmarkStart w:id="23" w:name="_Toc15377198"/>
      <w:bookmarkEnd w:id="15"/>
      <w:bookmarkEnd w:id="16"/>
    </w:p>
    <w:p>
      <w:pPr>
        <w:spacing w:line="576" w:lineRule="atLeast"/>
        <w:ind w:firstLineChars="200" w:firstLine="640"/>
        <w:outlineLvl w:val="1"/>
        <w:rPr>
          <w:rFonts w:ascii="仿宋" w:eastAsia="仿宋"/>
          <w:color w:val="000000"/>
          <w:sz w:val="32"/>
          <w:szCs w:val="32"/>
        </w:rPr>
      </w:pPr>
      <w:bookmarkStart w:id="24" w:name="_Toc15396601"/>
      <w:bookmarkStart w:id="25" w:name="_Toc15377200"/>
      <w:bookmarkEnd w:id="22"/>
      <w:bookmarkEnd w:id="23"/>
      <w:r>
        <w:rPr>
          <w:rFonts w:ascii="楷体" w:eastAsia="楷体" w:cs="楷体" w:hint="eastAsia"/>
          <w:b/>
          <w:color w:val="000000"/>
          <w:sz w:val="32"/>
          <w:szCs w:val="32"/>
        </w:rPr>
        <w:t>（一）主要职能</w:t>
      </w:r>
    </w:p>
    <w:p>
      <w:pPr>
        <w:spacing w:line="576" w:lineRule="exact"/>
        <w:ind w:firstLineChars="200" w:firstLine="640"/>
        <w:rPr>
          <w:rFonts w:ascii="仿宋" w:eastAsia="仿宋" w:cs="仿宋"/>
          <w:sz w:val="32"/>
          <w:szCs w:val="32"/>
        </w:rPr>
      </w:pPr>
      <w:r>
        <w:rPr>
          <w:rFonts w:ascii="仿宋" w:eastAsia="仿宋" w:cs="仿宋"/>
          <w:sz w:val="32"/>
          <w:szCs w:val="32"/>
        </w:rPr>
        <w:t>1.</w:t>
      </w:r>
      <w:r>
        <w:rPr>
          <w:rFonts w:ascii="仿宋" w:eastAsia="仿宋" w:cs="仿宋"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Chars="200" w:firstLine="640"/>
        <w:rPr>
          <w:rFonts w:ascii="仿宋" w:eastAsia="仿宋" w:cs="仿宋"/>
          <w:sz w:val="32"/>
          <w:szCs w:val="32"/>
        </w:rPr>
      </w:pPr>
      <w:r>
        <w:rPr>
          <w:rFonts w:ascii="仿宋" w:eastAsia="仿宋" w:cs="仿宋"/>
          <w:sz w:val="32"/>
          <w:szCs w:val="32"/>
        </w:rPr>
        <w:t>2.</w:t>
      </w:r>
      <w:r>
        <w:rPr>
          <w:rFonts w:ascii="仿宋" w:eastAsia="仿宋" w:cs="仿宋"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Chars="200" w:firstLine="640"/>
        <w:rPr>
          <w:rFonts w:ascii="仿宋" w:eastAsia="仿宋" w:cs="仿宋"/>
          <w:sz w:val="32"/>
          <w:szCs w:val="32"/>
        </w:rPr>
      </w:pPr>
      <w:r>
        <w:rPr>
          <w:rFonts w:ascii="仿宋" w:eastAsia="仿宋" w:cs="仿宋"/>
          <w:sz w:val="32"/>
          <w:szCs w:val="32"/>
        </w:rPr>
        <w:t>3.</w:t>
      </w:r>
      <w:r>
        <w:rPr>
          <w:rFonts w:ascii="仿宋" w:eastAsia="仿宋" w:cs="仿宋"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Chars="200" w:firstLine="640"/>
        <w:rPr>
          <w:rFonts w:ascii="仿宋" w:eastAsia="仿宋" w:cs="仿宋"/>
          <w:sz w:val="32"/>
          <w:szCs w:val="32"/>
        </w:rPr>
      </w:pPr>
      <w:r>
        <w:rPr>
          <w:rFonts w:ascii="仿宋" w:eastAsia="仿宋" w:cs="仿宋"/>
          <w:sz w:val="32"/>
          <w:szCs w:val="32"/>
        </w:rPr>
        <w:t>4.</w:t>
      </w:r>
      <w:r>
        <w:rPr>
          <w:rFonts w:ascii="仿宋" w:eastAsia="仿宋" w:cs="仿宋" w:hint="eastAsia"/>
          <w:sz w:val="32"/>
          <w:szCs w:val="32"/>
        </w:rPr>
        <w:t>管理社会粮食流通，保障军队、城镇居民、农村群众、应急救灾、缺粮贫困地区、退耕还林、大骨节病人和国家重点建设项目的粮食供应。</w:t>
      </w:r>
    </w:p>
    <w:p>
      <w:pPr>
        <w:spacing w:line="576" w:lineRule="exact"/>
        <w:ind w:firstLineChars="200" w:firstLine="640"/>
        <w:rPr>
          <w:rFonts w:ascii="仿宋" w:eastAsia="仿宋" w:cs="仿宋"/>
          <w:sz w:val="32"/>
          <w:szCs w:val="32"/>
        </w:rPr>
      </w:pPr>
      <w:r>
        <w:rPr>
          <w:rFonts w:ascii="仿宋" w:eastAsia="仿宋" w:cs="仿宋"/>
          <w:sz w:val="32"/>
          <w:szCs w:val="32"/>
        </w:rPr>
        <w:t>5.</w:t>
      </w:r>
      <w:r>
        <w:rPr>
          <w:rFonts w:ascii="仿宋" w:eastAsia="仿宋" w:cs="仿宋" w:hint="eastAsia"/>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Chars="200" w:firstLine="640"/>
        <w:rPr>
          <w:rFonts w:ascii="仿宋" w:eastAsia="仿宋" w:cs="仿宋"/>
          <w:sz w:val="32"/>
          <w:szCs w:val="32"/>
        </w:rPr>
      </w:pPr>
      <w:r>
        <w:rPr>
          <w:rFonts w:ascii="仿宋" w:eastAsia="仿宋" w:cs="仿宋"/>
          <w:sz w:val="32"/>
          <w:szCs w:val="32"/>
        </w:rPr>
        <w:t>6.</w:t>
      </w:r>
      <w:r>
        <w:rPr>
          <w:rFonts w:ascii="仿宋" w:eastAsia="仿宋" w:cs="仿宋"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Chars="200" w:firstLine="640"/>
        <w:rPr>
          <w:rFonts w:ascii="仿宋" w:eastAsia="仿宋" w:cs="仿宋"/>
          <w:sz w:val="32"/>
          <w:szCs w:val="32"/>
        </w:rPr>
      </w:pPr>
      <w:r>
        <w:rPr>
          <w:rFonts w:ascii="仿宋" w:eastAsia="仿宋" w:cs="仿宋"/>
          <w:sz w:val="32"/>
          <w:szCs w:val="32"/>
        </w:rPr>
        <w:t>7.</w:t>
      </w:r>
      <w:r>
        <w:rPr>
          <w:rFonts w:ascii="仿宋" w:eastAsia="仿宋" w:cs="仿宋"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Chars="200" w:firstLine="640"/>
        <w:rPr>
          <w:rFonts w:ascii="仿宋" w:eastAsia="仿宋" w:cs="仿宋"/>
          <w:sz w:val="32"/>
          <w:szCs w:val="32"/>
        </w:rPr>
      </w:pPr>
      <w:r>
        <w:rPr>
          <w:rFonts w:ascii="仿宋" w:eastAsia="仿宋" w:cs="仿宋"/>
          <w:sz w:val="32"/>
          <w:szCs w:val="32"/>
        </w:rPr>
        <w:t>8.</w:t>
      </w:r>
      <w:r>
        <w:rPr>
          <w:rFonts w:ascii="仿宋" w:eastAsia="仿宋" w:cs="仿宋" w:hint="eastAsia"/>
          <w:sz w:val="32"/>
          <w:szCs w:val="32"/>
        </w:rPr>
        <w:t>协同质量技术监督部门做好粮食质量标准的管理工作；制定粮食储存、运输的技术规范，并监督执行。</w:t>
      </w:r>
    </w:p>
    <w:p>
      <w:pPr>
        <w:spacing w:line="576" w:lineRule="exact"/>
        <w:ind w:firstLineChars="200" w:firstLine="640"/>
        <w:rPr>
          <w:rFonts w:ascii="仿宋" w:eastAsia="仿宋" w:cs="仿宋"/>
          <w:sz w:val="32"/>
          <w:szCs w:val="32"/>
        </w:rPr>
      </w:pPr>
      <w:r>
        <w:rPr>
          <w:rFonts w:ascii="仿宋" w:eastAsia="仿宋" w:cs="仿宋"/>
          <w:sz w:val="32"/>
          <w:szCs w:val="32"/>
        </w:rPr>
        <w:t>9.</w:t>
      </w:r>
      <w:r>
        <w:rPr>
          <w:rFonts w:ascii="仿宋" w:eastAsia="仿宋" w:cs="仿宋" w:hint="eastAsia"/>
          <w:sz w:val="32"/>
          <w:szCs w:val="32"/>
        </w:rPr>
        <w:t>负责全县各级储备粮轮换工作，并对外地粮食行业进行经济技术合作交流。</w:t>
      </w:r>
    </w:p>
    <w:p>
      <w:pPr>
        <w:spacing w:line="576" w:lineRule="exact"/>
        <w:ind w:firstLineChars="200" w:firstLine="640"/>
        <w:rPr>
          <w:rFonts w:ascii="仿宋" w:eastAsia="仿宋" w:cs="仿宋"/>
          <w:sz w:val="32"/>
          <w:szCs w:val="32"/>
        </w:rPr>
      </w:pPr>
      <w:r>
        <w:rPr>
          <w:rFonts w:ascii="仿宋" w:eastAsia="仿宋" w:cs="仿宋"/>
          <w:sz w:val="32"/>
          <w:szCs w:val="32"/>
        </w:rPr>
        <w:t>10.</w:t>
      </w:r>
      <w:r>
        <w:rPr>
          <w:rFonts w:ascii="仿宋" w:eastAsia="仿宋" w:cs="仿宋" w:hint="eastAsia"/>
          <w:sz w:val="32"/>
          <w:szCs w:val="32"/>
        </w:rPr>
        <w:t>制订粮食系统人才发展规划，指导行业的职业教育；负责局机关的人事管理、机构编制管理工作。</w:t>
      </w:r>
    </w:p>
    <w:p>
      <w:pPr>
        <w:snapToGrid w:val="0"/>
        <w:spacing w:line="588" w:lineRule="exact"/>
        <w:ind w:firstLineChars="200" w:firstLine="640"/>
        <w:rPr>
          <w:rFonts w:ascii="仿宋" w:eastAsia="仿宋" w:cs="仿宋"/>
          <w:sz w:val="32"/>
          <w:szCs w:val="32"/>
        </w:rPr>
      </w:pPr>
      <w:r>
        <w:rPr>
          <w:rFonts w:ascii="仿宋" w:eastAsia="仿宋" w:cs="仿宋"/>
          <w:sz w:val="32"/>
          <w:szCs w:val="32"/>
        </w:rPr>
        <w:t>11.</w:t>
      </w:r>
      <w:r>
        <w:rPr>
          <w:rFonts w:ascii="仿宋" w:eastAsia="仿宋" w:cs="仿宋" w:hint="eastAsia"/>
          <w:sz w:val="32"/>
          <w:szCs w:val="32"/>
        </w:rPr>
        <w:t>承办县政府交办的其他事项。</w:t>
      </w:r>
    </w:p>
    <w:p>
      <w:pPr>
        <w:pStyle w:val="2"/>
        <w:spacing w:line="576" w:lineRule="atLeast"/>
        <w:ind w:firstLineChars="195" w:firstLine="624"/>
        <w:rPr>
          <w:rStyle w:val="2Char"/>
          <w:rFonts w:ascii="黑体" w:eastAsia="黑体" w:cs="黑体"/>
          <w:b w:val="0"/>
          <w:bCs w:val="0"/>
        </w:rPr>
      </w:pPr>
      <w:r>
        <w:rPr>
          <w:rFonts w:ascii="黑体" w:eastAsia="黑体" w:cs="黑体" w:hint="eastAsia"/>
          <w:bCs w:val="0"/>
          <w:color w:val="000000"/>
        </w:rPr>
        <w:t>二、机</w:t>
      </w:r>
      <w:r>
        <w:rPr>
          <w:rStyle w:val="2Char"/>
          <w:rFonts w:ascii="黑体" w:eastAsia="黑体" w:cs="黑体" w:hint="eastAsia"/>
          <w:b w:val="0"/>
          <w:bCs w:val="0"/>
        </w:rPr>
        <w:t>构设置</w:t>
      </w:r>
      <w:bookmarkEnd w:id="24"/>
      <w:bookmarkEnd w:id="25"/>
    </w:p>
    <w:p>
      <w:pPr>
        <w:pStyle w:val="15"/>
        <w:adjustRightInd w:val="0"/>
        <w:snapToGrid w:val="0"/>
        <w:spacing w:beforeLines="0" w:before="93" w:line="580" w:lineRule="exact"/>
        <w:ind w:firstLineChars="200" w:firstLine="640"/>
        <w:rPr>
          <w:rFonts w:ascii="仿宋" w:eastAsia="仿宋"/>
          <w:sz w:val="32"/>
          <w:szCs w:val="32"/>
        </w:rPr>
      </w:pPr>
      <w:r>
        <w:rPr>
          <w:rFonts w:ascii="仿宋" w:eastAsia="仿宋"/>
          <w:sz w:val="32"/>
          <w:szCs w:val="32"/>
        </w:rPr>
        <w:t>1.</w:t>
      </w:r>
      <w:r>
        <w:rPr>
          <w:rFonts w:ascii="仿宋" w:eastAsia="仿宋" w:hint="eastAsia"/>
          <w:sz w:val="32"/>
          <w:szCs w:val="32"/>
        </w:rPr>
        <w:t>茂县粮食局是参照公务员法管理的事业单位。因机构改革，现成为发展改革委员会的下设中心，现更名为茂县物资和储备中心。</w:t>
      </w:r>
    </w:p>
    <w:p>
      <w:pPr>
        <w:pStyle w:val="15"/>
        <w:adjustRightInd w:val="0"/>
        <w:snapToGrid w:val="0"/>
        <w:spacing w:beforeLines="0" w:before="93" w:line="580" w:lineRule="exact"/>
        <w:ind w:leftChars="304" w:left="638"/>
        <w:rPr>
          <w:sz w:val="32"/>
          <w:szCs w:val="32"/>
        </w:rPr>
      </w:pPr>
      <w:r>
        <w:rPr>
          <w:rFonts w:ascii="仿宋" w:eastAsia="仿宋"/>
          <w:sz w:val="32"/>
          <w:szCs w:val="32"/>
        </w:rPr>
        <w:t>2.</w:t>
      </w:r>
      <w:r>
        <w:rPr>
          <w:rFonts w:ascii="仿宋" w:eastAsia="仿宋" w:hint="eastAsia"/>
          <w:sz w:val="32"/>
          <w:szCs w:val="32"/>
        </w:rPr>
        <w:t>人员情况。编制</w:t>
      </w:r>
      <w:r>
        <w:rPr>
          <w:rFonts w:ascii="仿宋" w:eastAsia="仿宋"/>
          <w:sz w:val="32"/>
          <w:szCs w:val="32"/>
        </w:rPr>
        <w:t>15</w:t>
      </w:r>
      <w:r>
        <w:rPr>
          <w:rFonts w:ascii="仿宋" w:eastAsia="仿宋" w:hint="eastAsia"/>
          <w:sz w:val="32"/>
          <w:szCs w:val="32"/>
        </w:rPr>
        <w:t>人，在职职工</w:t>
      </w:r>
      <w:r>
        <w:rPr>
          <w:rFonts w:ascii="仿宋" w:eastAsia="仿宋"/>
          <w:sz w:val="32"/>
          <w:szCs w:val="32"/>
        </w:rPr>
        <w:t>14</w:t>
      </w:r>
      <w:r>
        <w:rPr>
          <w:rFonts w:ascii="仿宋" w:eastAsia="仿宋" w:hint="eastAsia"/>
          <w:sz w:val="32"/>
          <w:szCs w:val="32"/>
        </w:rPr>
        <w:t>人；遗属</w:t>
      </w:r>
      <w:r>
        <w:rPr>
          <w:rFonts w:ascii="仿宋" w:eastAsia="仿宋"/>
          <w:sz w:val="32"/>
          <w:szCs w:val="32"/>
        </w:rPr>
        <w:t>7</w:t>
      </w:r>
      <w:r>
        <w:rPr>
          <w:rFonts w:ascii="仿宋" w:eastAsia="仿宋" w:hint="eastAsia"/>
          <w:sz w:val="32"/>
          <w:szCs w:val="32"/>
        </w:rPr>
        <w:t>人。</w:t>
      </w:r>
    </w:p>
    <w:p>
      <w:pPr>
        <w:adjustRightInd w:val="0"/>
        <w:snapToGrid w:val="0"/>
        <w:spacing w:line="360" w:lineRule="auto"/>
        <w:jc w:val="center"/>
        <w:outlineLvl w:val="0"/>
        <w:rPr>
          <w:sz w:val="44"/>
          <w:szCs w:val="44"/>
        </w:rPr>
      </w:pPr>
      <w:bookmarkStart w:id="26" w:name="_Toc15396602"/>
      <w:bookmarkStart w:id="27" w:name="_Toc15377204"/>
      <w:r>
        <w:rPr>
          <w:rStyle w:val="1Char"/>
          <w:rFonts w:ascii="方正小标宋简体" w:eastAsia="方正小标宋简体" w:cs="方正小标宋简体" w:hint="eastAsia"/>
          <w:b w:val="0"/>
          <w:bCs w:val="0"/>
        </w:rPr>
        <w:t>第二部分</w:t>
      </w:r>
      <w:r>
        <w:rPr>
          <w:rStyle w:val="1Char"/>
          <w:rFonts w:ascii="方正小标宋简体" w:eastAsia="方正小标宋简体" w:cs="方正小标宋简体"/>
          <w:b w:val="0"/>
          <w:bCs w:val="0"/>
        </w:rPr>
        <w:t xml:space="preserve"> 2021</w:t>
      </w:r>
      <w:r>
        <w:rPr>
          <w:rStyle w:val="1Char"/>
          <w:rFonts w:ascii="方正小标宋简体" w:eastAsia="方正小标宋简体" w:cs="方正小标宋简体" w:hint="eastAsia"/>
          <w:b w:val="0"/>
          <w:bCs w:val="0"/>
        </w:rPr>
        <w:t>年度部门决算情况说明</w:t>
      </w:r>
      <w:bookmarkEnd w:id="26"/>
      <w:bookmarkEnd w:id="27"/>
    </w:p>
    <w:p>
      <w:pPr>
        <w:pStyle w:val="31"/>
        <w:numPr>
          <w:ilvl w:val="0"/>
          <w:numId w:val="1"/>
        </w:numPr>
        <w:spacing w:line="600" w:lineRule="exact"/>
        <w:ind w:firstLineChars="0"/>
        <w:outlineLvl w:val="1"/>
        <w:rPr>
          <w:rStyle w:val="2Char"/>
          <w:rFonts w:ascii="黑体" w:eastAsia="黑体" w:cs="黑体"/>
          <w:b w:val="0"/>
          <w:bCs w:val="0"/>
        </w:rPr>
      </w:pPr>
      <w:bookmarkStart w:id="28" w:name="_Toc15396603"/>
      <w:bookmarkStart w:id="29" w:name="_Toc15377205"/>
      <w:r>
        <w:rPr>
          <w:rFonts w:ascii="黑体" w:eastAsia="黑体" w:cs="黑体" w:hint="eastAsia"/>
          <w:color w:val="000000"/>
          <w:sz w:val="32"/>
          <w:szCs w:val="32"/>
        </w:rPr>
        <w:t>收</w:t>
      </w:r>
      <w:r>
        <w:rPr>
          <w:rStyle w:val="2Char"/>
          <w:rFonts w:ascii="黑体" w:eastAsia="黑体" w:cs="黑体" w:hint="eastAsia"/>
          <w:b w:val="0"/>
          <w:bCs w:val="0"/>
        </w:rPr>
        <w:t>入支出决算总体情况说明</w:t>
      </w:r>
      <w:bookmarkEnd w:id="28"/>
      <w:bookmarkEnd w:id="29"/>
    </w:p>
    <w:p>
      <w:pPr>
        <w:spacing w:line="576" w:lineRule="exact"/>
        <w:ind w:firstLine="601"/>
        <w:rPr>
          <w:rFonts w:ascii="仿宋_GB2312" w:eastAsia="仿宋_GB2312" w:cs="仿宋_GB2312"/>
          <w:color w:val="000000"/>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152.95pt;margin-top:121.6pt;width:197.95pt;height:149.1pt;z-index:32;mso-position-horizontal:absolute;mso-position-vertical:absolute;mso-wrap-distance-left:7.15pt;mso-wrap-distance-right:7.15pt;" o:ole="">
            <v:stroke color="#000000"/>
            <v:imagedata r:id="rId6" o:title="image1"/>
            <o:lock aspectratio="t"/>
            <w10:wrap type="square" side="right"/>
          </v:shape>
          <o:OLEObject Type="Embed" ProgID="Package" ShapeID="_x0000_i1" DrawAspect="Content" ObjectID="_1393063351" r:id="rId7"/>
        </w:object>
      </w:r>
      <w:r>
        <w:rPr>
          <w:rFonts w:ascii="仿宋_GB2312" w:eastAsia="仿宋_GB2312" w:cs="仿宋_GB2312"/>
          <w:color w:val="000000"/>
          <w:sz w:val="32"/>
          <w:szCs w:val="32"/>
        </w:rPr>
        <w:t>2021</w:t>
      </w:r>
      <w:r>
        <w:rPr>
          <w:rFonts w:ascii="仿宋_GB2312" w:eastAsia="仿宋_GB2312" w:cs="仿宋_GB2312" w:hint="eastAsia"/>
          <w:color w:val="000000"/>
          <w:sz w:val="32"/>
          <w:szCs w:val="32"/>
        </w:rPr>
        <w:t>年度收</w:t>
      </w:r>
      <w:r>
        <w:rPr>
          <w:rFonts w:ascii="宋体" w:cs="宋体" w:hint="eastAsia"/>
          <w:color w:val="000000"/>
          <w:sz w:val="32"/>
          <w:szCs w:val="32"/>
        </w:rPr>
        <w:t>入</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万元，支出</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万元。与</w:t>
      </w:r>
      <w:r>
        <w:rPr>
          <w:rFonts w:ascii="仿宋_GB2312" w:eastAsia="仿宋_GB2312" w:cs="仿宋_GB2312" w:hint="eastAsia"/>
          <w:color w:val="000000"/>
          <w:sz w:val="32"/>
          <w:szCs w:val="32"/>
          <w:lang w:val="en-US" w:eastAsia="zh-CN"/>
        </w:rPr>
        <w:t>2020</w:t>
      </w:r>
      <w:r>
        <w:rPr>
          <w:rFonts w:ascii="仿宋_GB2312" w:eastAsia="仿宋_GB2312" w:cs="仿宋_GB2312" w:hint="eastAsia"/>
          <w:color w:val="000000"/>
          <w:sz w:val="32"/>
          <w:szCs w:val="32"/>
        </w:rPr>
        <w:t>年相比，收</w:t>
      </w:r>
      <w:r>
        <w:rPr>
          <w:rFonts w:ascii="宋体" w:cs="宋体" w:hint="eastAsia"/>
          <w:color w:val="000000"/>
          <w:sz w:val="32"/>
          <w:szCs w:val="32"/>
        </w:rPr>
        <w:t>入</w:t>
      </w:r>
      <w:r>
        <w:rPr>
          <w:rFonts w:ascii="仿宋_GB2312" w:eastAsia="仿宋_GB2312" w:cs="仿宋_GB2312"/>
          <w:color w:val="000000"/>
          <w:sz w:val="32"/>
          <w:szCs w:val="32"/>
        </w:rPr>
        <w:t>减少801.03</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减少55.34%</w:t>
      </w:r>
      <w:r>
        <w:rPr>
          <w:rFonts w:ascii="仿宋_GB2312" w:eastAsia="仿宋_GB2312" w:cs="仿宋_GB2312" w:hint="eastAsia"/>
          <w:color w:val="000000"/>
          <w:sz w:val="32"/>
          <w:szCs w:val="32"/>
        </w:rPr>
        <w:t>；主要变动原因</w:t>
      </w:r>
      <w:r>
        <w:rPr>
          <w:rFonts w:ascii="仿宋_GB2312" w:eastAsia="仿宋_GB2312" w:cs="仿宋_GB2312"/>
          <w:color w:val="000000"/>
          <w:sz w:val="32"/>
          <w:szCs w:val="32"/>
        </w:rPr>
        <w:t>人员减少，</w:t>
      </w:r>
      <w:r>
        <w:rPr>
          <w:rFonts w:ascii="仿宋_GB2312" w:eastAsia="仿宋_GB2312" w:cs="仿宋_GB2312" w:hint="eastAsia"/>
          <w:color w:val="000000"/>
          <w:sz w:val="32"/>
          <w:szCs w:val="32"/>
        </w:rPr>
        <w:t>项目资金增加。</w:t>
      </w:r>
      <w:r>
        <w:rPr>
          <w:rFonts w:ascii="仿宋_GB2312" w:eastAsia="仿宋_GB2312" w:cs="仿宋_GB2312"/>
          <w:color w:val="000000"/>
          <w:sz w:val="32"/>
          <w:szCs w:val="32"/>
        </w:rPr>
        <w:br w:type="textWrapping" w:clear="all"/>
      </w:r>
    </w:p>
    <w:p>
      <w:pPr>
        <w:pStyle w:val="31"/>
        <w:spacing w:line="600" w:lineRule="exact"/>
        <w:ind w:left="709" w:firstLineChars="0" w:firstLine="0"/>
        <w:outlineLvl w:val="1"/>
        <w:rPr>
          <w:rFonts w:ascii="黑体" w:eastAsia="黑体"/>
          <w:sz w:val="32"/>
          <w:szCs w:val="32"/>
        </w:rPr>
      </w:pPr>
    </w:p>
    <w:p>
      <w:pPr>
        <w:pStyle w:val="31"/>
        <w:spacing w:line="600" w:lineRule="exact"/>
        <w:ind w:left="709" w:firstLineChars="0" w:firstLine="0"/>
        <w:outlineLvl w:val="1"/>
        <w:rPr>
          <w:rFonts w:ascii="黑体" w:eastAsia="黑体"/>
          <w:sz w:val="32"/>
          <w:szCs w:val="32"/>
        </w:rPr>
      </w:pPr>
    </w:p>
    <w:p>
      <w:pPr>
        <w:pStyle w:val="31"/>
        <w:spacing w:line="600" w:lineRule="exact"/>
        <w:ind w:left="709" w:firstLineChars="0" w:firstLine="0"/>
        <w:outlineLvl w:val="1"/>
        <w:rPr>
          <w:rFonts w:ascii="黑体" w:eastAsia="黑体"/>
          <w:sz w:val="32"/>
          <w:szCs w:val="32"/>
        </w:rPr>
      </w:pPr>
    </w:p>
    <w:p>
      <w:pPr>
        <w:pStyle w:val="31"/>
        <w:spacing w:line="600" w:lineRule="exact"/>
        <w:ind w:left="709" w:firstLineChars="0" w:firstLine="0"/>
        <w:outlineLvl w:val="1"/>
        <w:rPr>
          <w:rFonts w:ascii="黑体" w:eastAsia="黑体"/>
          <w:sz w:val="32"/>
          <w:szCs w:val="32"/>
        </w:rPr>
      </w:pPr>
    </w:p>
    <w:p>
      <w:pPr>
        <w:pStyle w:val="31"/>
        <w:spacing w:line="600" w:lineRule="exact"/>
        <w:ind w:left="709" w:firstLineChars="0" w:firstLine="0"/>
        <w:outlineLvl w:val="1"/>
        <w:rPr>
          <w:rFonts w:ascii="黑体" w:eastAsia="黑体"/>
          <w:sz w:val="32"/>
          <w:szCs w:val="32"/>
        </w:rPr>
      </w:pPr>
    </w:p>
    <w:p>
      <w:pPr>
        <w:pStyle w:val="31"/>
        <w:spacing w:line="600" w:lineRule="exact"/>
        <w:ind w:left="709" w:firstLineChars="0" w:firstLine="0"/>
        <w:outlineLvl w:val="1"/>
        <w:rPr>
          <w:rFonts w:ascii="黑体" w:eastAsia="黑体"/>
          <w:color w:val="000000"/>
          <w:sz w:val="32"/>
          <w:szCs w:val="32"/>
        </w:rPr>
      </w:pPr>
    </w:p>
    <w:p>
      <w:pPr>
        <w:pStyle w:val="31"/>
        <w:spacing w:line="600" w:lineRule="exact"/>
        <w:ind w:left="709" w:firstLineChars="0" w:firstLine="0"/>
        <w:outlineLvl w:val="1"/>
        <w:rPr>
          <w:rStyle w:val="2Char"/>
          <w:rFonts w:ascii="黑体" w:eastAsia="黑体"/>
          <w:b w:val="0"/>
          <w:bCs w:val="0"/>
        </w:rPr>
      </w:pPr>
      <w:r>
        <w:rPr>
          <w:rFonts w:ascii="黑体" w:eastAsia="黑体" w:hint="eastAsia"/>
          <w:color w:val="000000"/>
          <w:sz w:val="32"/>
          <w:szCs w:val="32"/>
        </w:rPr>
        <w:t>二、收</w:t>
      </w:r>
      <w:r>
        <w:rPr>
          <w:rStyle w:val="2Char"/>
          <w:rFonts w:ascii="黑体" w:eastAsia="黑体" w:hint="eastAsia"/>
          <w:b w:val="0"/>
          <w:bCs w:val="0"/>
        </w:rPr>
        <w:t>入决算情况说明</w:t>
      </w:r>
      <w:bookmarkEnd w:id="17"/>
      <w:bookmarkEnd w:id="18"/>
    </w:p>
    <w:p>
      <w:pPr>
        <w:spacing w:line="576" w:lineRule="exact"/>
        <w:ind w:firstLineChars="200" w:firstLine="640"/>
        <w:outlineLvl w:val="1"/>
        <w:rPr>
          <w:rFonts w:ascii="仿宋_GB2312" w:eastAsia="仿宋_GB2312" w:cs="仿宋_GB2312"/>
          <w:color w:val="000000"/>
          <w:sz w:val="32"/>
          <w:szCs w:val="32"/>
        </w:rPr>
      </w:pPr>
      <w:r>
        <w:rPr>
          <w:rFonts w:ascii="仿宋_GB2312" w:eastAsia="仿宋_GB2312" w:cs="仿宋_GB2312"/>
          <w:color w:val="000000"/>
          <w:sz w:val="32"/>
          <w:szCs w:val="32"/>
        </w:rPr>
        <w:t>2021</w:t>
      </w:r>
      <w:r>
        <w:rPr>
          <w:rFonts w:ascii="仿宋_GB2312" w:eastAsia="仿宋_GB2312" w:cs="仿宋_GB2312" w:hint="eastAsia"/>
          <w:color w:val="000000"/>
          <w:sz w:val="32"/>
          <w:szCs w:val="32"/>
        </w:rPr>
        <w:t>年本年收入合计</w:t>
      </w:r>
      <w:r>
        <w:rPr>
          <w:rFonts w:ascii="仿宋_GB2312" w:eastAsia="仿宋_GB2312" w:cs="仿宋_GB2312"/>
          <w:color w:val="000000"/>
          <w:sz w:val="32"/>
          <w:szCs w:val="32"/>
        </w:rPr>
        <w:t>384</w:t>
      </w:r>
      <w:r>
        <w:rPr>
          <w:rFonts w:ascii="仿宋_GB2312" w:eastAsia="仿宋_GB2312" w:cs="仿宋_GB2312" w:hint="eastAsia"/>
          <w:color w:val="000000"/>
          <w:sz w:val="32"/>
          <w:szCs w:val="32"/>
        </w:rPr>
        <w:t>万元，其中：一般公共预算财政拨款收入</w:t>
      </w:r>
      <w:r>
        <w:rPr>
          <w:rFonts w:ascii="仿宋_GB2312" w:eastAsia="仿宋_GB2312" w:cs="仿宋_GB2312"/>
          <w:color w:val="000000"/>
          <w:sz w:val="32"/>
          <w:szCs w:val="32"/>
        </w:rPr>
        <w:t>384</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100%</w:t>
      </w:r>
      <w:r>
        <w:rPr>
          <w:rFonts w:ascii="仿宋_GB2312" w:eastAsia="仿宋_GB2312" w:cs="仿宋_GB2312" w:hint="eastAsia"/>
          <w:color w:val="000000"/>
          <w:sz w:val="32"/>
          <w:szCs w:val="32"/>
        </w:rPr>
        <w:t>；政府性基金预算财政拨款收入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万元；国有资本经营预算财政拨款收入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万元；事业收入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万元；经营收入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万元；附属单位上缴收入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万元；其他收入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Chars="300" w:firstLine="630"/>
        <w:outlineLvl w:val="1"/>
        <w:rPr>
          <w:rFonts w:ascii="仿宋_GB2312" w:eastAsia="仿宋_GB2312" w:cs="仿宋_GB2312"/>
          <w:color w:val="000000"/>
          <w:sz w:val="32"/>
          <w:szCs w:val="32"/>
        </w:rPr>
      </w:pPr>
      <w:r>
        <w:drawing>
          <wp:anchor distT="0" distB="0" distL="90805" distR="90805" simplePos="0" relativeHeight="34" behindDoc="0" locked="0" layoutInCell="1" hidden="0" allowOverlap="1">
            <wp:simplePos x="0" y="0"/>
            <wp:positionH relativeFrom="column">
              <wp:posOffset>199390</wp:posOffset>
            </wp:positionH>
            <wp:positionV relativeFrom="paragraph">
              <wp:posOffset>477519</wp:posOffset>
            </wp:positionV>
            <wp:extent cx="5146040" cy="2426335"/>
            <wp:effectExtent l="0" t="0" r="0" b="0"/>
            <wp:wrapTopAndBottom/>
            <wp:docPr id="9" name="_x0000_s1029"/>
            <wp:cNvGraphicFramePr>
              <a:graphicFrameLocks noChangeAspect="0"/>
            </wp:cNvGraphicFramePr>
            <a:graphic>
              <a:graphicData uri="http://schemas.openxmlformats.org/drawingml/2006/picture">
                <pic:pic>
                  <pic:nvPicPr>
                    <pic:cNvPr id="11" name="_x0000_s1029 11"/>
                    <pic:cNvPicPr/>
                  </pic:nvPicPr>
                  <pic:blipFill>
                    <a:blip r:embed="rId8"/>
                    <a:stretch>
                      <a:fillRect/>
                    </a:stretch>
                  </pic:blipFill>
                  <pic:spPr>
                    <a:xfrm rot="0">
                      <a:off x="0" y="0"/>
                      <a:ext cx="5146040" cy="2426335"/>
                    </a:xfrm>
                    <a:prstGeom prst="rect"/>
                    <a:noFill/>
                    <a:ln w="9525" cmpd="sng" cap="flat">
                      <a:noFill/>
                      <a:prstDash val="solid"/>
                      <a:miter/>
                    </a:ln>
                  </pic:spPr>
                </pic:pic>
              </a:graphicData>
            </a:graphic>
          </wp:anchor>
        </w:drawing>
      </w:r>
    </w:p>
    <w:p>
      <w:pPr>
        <w:spacing w:line="576" w:lineRule="exact"/>
        <w:ind w:firstLineChars="300" w:firstLine="960"/>
        <w:outlineLvl w:val="1"/>
        <w:rPr>
          <w:rFonts w:ascii="仿宋_GB2312" w:eastAsia="仿宋_GB2312" w:cs="仿宋_GB2312"/>
          <w:color w:val="000000"/>
          <w:sz w:val="32"/>
          <w:szCs w:val="32"/>
        </w:rPr>
      </w:pPr>
    </w:p>
    <w:p>
      <w:pPr>
        <w:spacing w:line="576" w:lineRule="exact"/>
        <w:ind w:firstLineChars="200" w:firstLine="640"/>
        <w:outlineLvl w:val="1"/>
        <w:rPr>
          <w:rFonts w:ascii="仿宋_GB2312" w:eastAsia="仿宋_GB2312" w:cs="仿宋_GB2312"/>
          <w:color w:val="000000"/>
          <w:sz w:val="32"/>
          <w:szCs w:val="32"/>
        </w:rPr>
      </w:pPr>
    </w:p>
    <w:p>
      <w:pPr>
        <w:pStyle w:val="31"/>
        <w:tabs>
          <w:tab w:val="left" w:pos="631"/>
        </w:tabs>
        <w:spacing w:line="600" w:lineRule="exact"/>
        <w:ind w:left="709" w:firstLineChars="0" w:firstLine="0"/>
        <w:outlineLvl w:val="1"/>
        <w:rPr>
          <w:rStyle w:val="2Char"/>
          <w:rFonts w:ascii="黑体" w:eastAsia="黑体" w:cs="黑体"/>
          <w:b w:val="0"/>
          <w:bCs w:val="0"/>
        </w:rPr>
      </w:pPr>
      <w:bookmarkStart w:id="30" w:name="_Toc15377207"/>
      <w:bookmarkStart w:id="31" w:name="_Toc15396605"/>
      <w:r>
        <w:rPr>
          <w:rFonts w:ascii="黑体" w:eastAsia="黑体" w:cs="黑体" w:hint="eastAsia"/>
          <w:color w:val="000000"/>
          <w:sz w:val="32"/>
          <w:szCs w:val="32"/>
        </w:rPr>
        <w:t>三、支</w:t>
      </w:r>
      <w:r>
        <w:rPr>
          <w:rStyle w:val="2Char"/>
          <w:rFonts w:ascii="黑体" w:eastAsia="黑体" w:cs="黑体" w:hint="eastAsia"/>
          <w:b w:val="0"/>
          <w:bCs w:val="0"/>
        </w:rPr>
        <w:t>出决算情况说明</w:t>
      </w:r>
      <w:bookmarkEnd w:id="30"/>
      <w:bookmarkEnd w:id="31"/>
    </w:p>
    <w:p>
      <w:pPr>
        <w:spacing w:line="576" w:lineRule="exact"/>
        <w:ind w:firstLine="641"/>
        <w:rPr>
          <w:rFonts w:ascii="仿宋_GB2312" w:eastAsia="仿宋_GB2312" w:cs="仿宋_GB2312" w:hint="eastAsia"/>
          <w:color w:val="000000"/>
          <w:sz w:val="32"/>
          <w:szCs w:val="32"/>
          <w:lang w:eastAsia="zh-CN"/>
        </w:rPr>
      </w:pPr>
      <w:r>
        <w:rPr>
          <w:rFonts w:ascii="仿宋_GB2312" w:eastAsia="仿宋_GB2312" w:cs="仿宋_GB2312"/>
          <w:color w:val="000000"/>
          <w:sz w:val="32"/>
          <w:szCs w:val="32"/>
        </w:rPr>
        <w:t>2021</w:t>
      </w:r>
      <w:r>
        <w:rPr>
          <w:rFonts w:ascii="仿宋_GB2312" w:eastAsia="仿宋_GB2312" w:cs="仿宋_GB2312" w:hint="eastAsia"/>
          <w:color w:val="000000"/>
          <w:sz w:val="32"/>
          <w:szCs w:val="32"/>
        </w:rPr>
        <w:t>年本年支出合计</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万元，其中：基本支出</w:t>
      </w:r>
      <w:r>
        <w:rPr>
          <w:rFonts w:ascii="仿宋_GB2312" w:eastAsia="仿宋_GB2312" w:cs="仿宋_GB2312"/>
          <w:color w:val="000000"/>
          <w:sz w:val="32"/>
          <w:szCs w:val="32"/>
        </w:rPr>
        <w:t>343.66</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53.17%</w:t>
      </w:r>
      <w:r>
        <w:rPr>
          <w:rFonts w:ascii="仿宋_GB2312" w:eastAsia="仿宋_GB2312" w:cs="仿宋_GB2312" w:hint="eastAsia"/>
          <w:color w:val="000000"/>
          <w:sz w:val="32"/>
          <w:szCs w:val="32"/>
        </w:rPr>
        <w:t>；</w:t>
      </w:r>
      <w:r>
        <w:rPr>
          <w:rFonts w:ascii="仿宋_GB2312" w:eastAsia="仿宋_GB2312" w:cs="仿宋_GB2312"/>
          <w:color w:val="000000"/>
          <w:sz w:val="32"/>
          <w:szCs w:val="32"/>
        </w:rPr>
        <w:t>项目支出302.66万元，占46.83%上缴上级支出0.00万元，占0.00%；营业支出0.00万元，占0.00%；对附属单位补助支出0.00万元，占0.00%</w:t>
      </w:r>
      <w:r>
        <w:rPr>
          <w:rFonts w:ascii="仿宋_GB2312" w:eastAsia="仿宋_GB2312" w:cs="仿宋_GB2312" w:hint="eastAsia"/>
          <w:color w:val="000000"/>
          <w:sz w:val="32"/>
          <w:szCs w:val="32"/>
          <w:lang w:eastAsia="zh-CN"/>
        </w:rPr>
        <w:t>。</w:t>
      </w:r>
    </w:p>
    <w:p>
      <w:pPr>
        <w:spacing w:line="576" w:lineRule="exact"/>
      </w:pPr>
      <w:r>
        <w:drawing>
          <wp:inline distT="0" distB="0" distL="67945" distR="67945">
            <wp:extent cx="5432425" cy="2453005"/>
            <wp:effectExtent l="0" t="0" r="0" b="0"/>
            <wp:docPr id="12" name="对象"/>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576" w:lineRule="exact"/>
        <w:ind w:left="0"/>
        <w:rPr>
          <w:rFonts w:ascii="仿宋_GB2312" w:eastAsia="仿宋_GB2312" w:cs="仿宋_GB2312"/>
          <w:color w:val="000000"/>
          <w:sz w:val="32"/>
          <w:szCs w:val="32"/>
        </w:rPr>
      </w:pPr>
    </w:p>
    <w:p>
      <w:pPr>
        <w:spacing w:line="576" w:lineRule="exact"/>
        <w:ind w:firstLine="641"/>
        <w:rPr>
          <w:rFonts w:ascii="仿宋_GB2312" w:eastAsia="仿宋_GB2312" w:cs="仿宋_GB2312"/>
          <w:color w:val="000000"/>
          <w:sz w:val="32"/>
          <w:szCs w:val="32"/>
        </w:rPr>
      </w:pPr>
    </w:p>
    <w:p>
      <w:pPr>
        <w:spacing w:line="576" w:lineRule="exact"/>
        <w:ind w:firstLine="641"/>
        <w:rPr>
          <w:rFonts w:ascii="仿宋_GB2312" w:eastAsia="仿宋_GB2312" w:cs="仿宋_GB2312"/>
          <w:color w:val="000000"/>
          <w:sz w:val="32"/>
          <w:szCs w:val="32"/>
        </w:rPr>
      </w:pPr>
    </w:p>
    <w:p>
      <w:pPr>
        <w:spacing w:line="576" w:lineRule="exact"/>
        <w:ind w:left="0"/>
        <w:rPr>
          <w:rFonts w:ascii="仿宋_GB2312" w:eastAsia="仿宋_GB2312" w:cs="仿宋_GB2312"/>
          <w:color w:val="000000"/>
          <w:sz w:val="32"/>
          <w:szCs w:val="32"/>
        </w:rPr>
      </w:pPr>
    </w:p>
    <w:p>
      <w:pPr>
        <w:spacing w:line="576" w:lineRule="exact"/>
        <w:ind w:firstLineChars="436" w:firstLine="1395"/>
        <w:rPr>
          <w:rFonts w:ascii="仿宋_GB2312" w:eastAsia="仿宋_GB2312" w:cs="仿宋_GB2312"/>
          <w:color w:val="000000"/>
          <w:sz w:val="32"/>
          <w:szCs w:val="32"/>
        </w:rPr>
      </w:pPr>
      <w:r>
        <w:rPr>
          <w:rFonts w:ascii="仿宋_GB2312" w:eastAsia="仿宋_GB2312" w:cs="仿宋_GB2312"/>
          <w:color w:val="000000"/>
          <w:sz w:val="32"/>
          <w:szCs w:val="32"/>
        </w:rPr>
        <w:object>
          <v:shape id="_x0000_i2" type="#_x0000_t75" filled="f" stroked="f" style="width:216.6pt;height:144.0pt;" o:ole="">
            <v:stroke color="#000000"/>
            <v:imagedata r:id="rId10" o:title="image3"/>
            <o:lock aspectratio="t"/>
            <w10:anchorLock/>
          </v:shape>
          <o:OLEObject Type="Embed" ProgID="Package" ShapeID="_x0000_i2" DrawAspect="Content" ObjectID="_1393063352" r:id="rId11"/>
        </w:object>
      </w:r>
    </w:p>
    <w:p>
      <w:pPr>
        <w:pStyle w:val="31"/>
        <w:spacing w:line="600" w:lineRule="exact"/>
        <w:ind w:firstLineChars="150" w:firstLine="480"/>
        <w:outlineLvl w:val="1"/>
        <w:rPr>
          <w:rFonts w:ascii="黑体" w:eastAsia="黑体" w:cs="黑体"/>
          <w:color w:val="000000"/>
          <w:sz w:val="32"/>
          <w:szCs w:val="32"/>
        </w:rPr>
      </w:pPr>
      <w:bookmarkStart w:id="32" w:name="_Toc15396606"/>
      <w:bookmarkStart w:id="33" w:name="_Toc15377208"/>
    </w:p>
    <w:p>
      <w:pPr>
        <w:pStyle w:val="31"/>
        <w:spacing w:line="600" w:lineRule="exact"/>
        <w:ind w:left="0" w:firstLineChars="0" w:firstLine="0"/>
        <w:outlineLvl w:val="1"/>
        <w:rPr>
          <w:rStyle w:val="2Char"/>
          <w:rFonts w:ascii="黑体" w:eastAsia="黑体" w:cs="黑体"/>
          <w:b w:val="0"/>
          <w:bCs w:val="0"/>
        </w:rPr>
      </w:pPr>
      <w:r>
        <w:rPr>
          <w:rFonts w:ascii="黑体" w:eastAsia="黑体" w:cs="黑体" w:hint="eastAsia"/>
          <w:color w:val="000000"/>
          <w:sz w:val="32"/>
          <w:szCs w:val="32"/>
        </w:rPr>
        <w:t>四、财</w:t>
      </w:r>
      <w:r>
        <w:rPr>
          <w:rStyle w:val="2Char"/>
          <w:rFonts w:ascii="黑体" w:eastAsia="黑体" w:cs="黑体" w:hint="eastAsia"/>
          <w:b w:val="0"/>
          <w:bCs w:val="0"/>
        </w:rPr>
        <w:t>政</w:t>
      </w:r>
      <w:r>
        <w:rPr>
          <w:rFonts w:ascii="黑体" w:eastAsia="黑体" w:cs="黑体" w:hint="eastAsia"/>
          <w:color w:val="000000"/>
          <w:sz w:val="32"/>
          <w:szCs w:val="32"/>
        </w:rPr>
        <w:t>拨款</w:t>
      </w:r>
      <w:r>
        <w:rPr>
          <w:rStyle w:val="2Char"/>
          <w:rFonts w:ascii="黑体" w:eastAsia="黑体" w:cs="黑体" w:hint="eastAsia"/>
          <w:b w:val="0"/>
          <w:bCs w:val="0"/>
        </w:rPr>
        <w:t>收入支出决算总体情况说明</w:t>
      </w:r>
      <w:bookmarkEnd w:id="32"/>
      <w:bookmarkEnd w:id="33"/>
    </w:p>
    <w:p>
      <w:pPr>
        <w:spacing w:line="576" w:lineRule="exact"/>
        <w:ind w:firstLine="601"/>
        <w:rPr>
          <w:rFonts w:ascii="仿宋_GB2312" w:eastAsia="仿宋_GB2312" w:cs="仿宋_GB2312"/>
          <w:color w:val="000000"/>
          <w:sz w:val="32"/>
          <w:szCs w:val="32"/>
        </w:rPr>
      </w:pPr>
      <w:r>
        <w:rPr>
          <w:rFonts w:ascii="仿宋_GB2312" w:eastAsia="仿宋_GB2312" w:cs="仿宋_GB2312"/>
          <w:color w:val="000000"/>
          <w:sz w:val="32"/>
          <w:szCs w:val="32"/>
        </w:rPr>
        <w:t>2021</w:t>
      </w:r>
      <w:r>
        <w:rPr>
          <w:rFonts w:ascii="仿宋_GB2312" w:eastAsia="仿宋_GB2312" w:cs="仿宋_GB2312" w:hint="eastAsia"/>
          <w:color w:val="000000"/>
          <w:sz w:val="32"/>
          <w:szCs w:val="32"/>
        </w:rPr>
        <w:t>年度收</w:t>
      </w:r>
      <w:r>
        <w:rPr>
          <w:rFonts w:ascii="宋体" w:cs="宋体" w:hint="eastAsia"/>
          <w:color w:val="000000"/>
          <w:sz w:val="32"/>
          <w:szCs w:val="32"/>
        </w:rPr>
        <w:t>入</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万元，支出</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2020</w:t>
      </w:r>
      <w:r>
        <w:rPr>
          <w:rFonts w:ascii="仿宋_GB2312" w:eastAsia="仿宋_GB2312" w:cs="仿宋_GB2312" w:hint="eastAsia"/>
          <w:color w:val="000000"/>
          <w:sz w:val="32"/>
          <w:szCs w:val="32"/>
        </w:rPr>
        <w:t>年相比，收</w:t>
      </w:r>
      <w:r>
        <w:rPr>
          <w:rFonts w:ascii="宋体" w:cs="宋体" w:hint="eastAsia"/>
          <w:color w:val="000000"/>
          <w:sz w:val="32"/>
          <w:szCs w:val="32"/>
        </w:rPr>
        <w:t>入</w:t>
      </w:r>
      <w:r>
        <w:rPr>
          <w:rFonts w:ascii="仿宋_GB2312" w:eastAsia="仿宋_GB2312" w:cs="仿宋_GB2312"/>
          <w:color w:val="000000"/>
          <w:sz w:val="32"/>
          <w:szCs w:val="32"/>
        </w:rPr>
        <w:t>减少801.03</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减少55.34%</w:t>
      </w:r>
      <w:r>
        <w:rPr>
          <w:rFonts w:ascii="仿宋_GB2312" w:eastAsia="仿宋_GB2312" w:cs="仿宋_GB2312" w:hint="eastAsia"/>
          <w:color w:val="000000"/>
          <w:sz w:val="32"/>
          <w:szCs w:val="32"/>
        </w:rPr>
        <w:t>；主要变动原因</w:t>
      </w:r>
      <w:r>
        <w:rPr>
          <w:rFonts w:ascii="仿宋_GB2312" w:eastAsia="仿宋_GB2312" w:cs="仿宋_GB2312"/>
          <w:color w:val="000000"/>
          <w:sz w:val="32"/>
          <w:szCs w:val="32"/>
        </w:rPr>
        <w:t>人员变动，</w:t>
      </w:r>
      <w:r>
        <w:rPr>
          <w:rFonts w:ascii="仿宋_GB2312" w:eastAsia="仿宋_GB2312" w:cs="仿宋_GB2312" w:hint="eastAsia"/>
          <w:color w:val="000000"/>
          <w:sz w:val="32"/>
          <w:szCs w:val="32"/>
        </w:rPr>
        <w:t>项目资金增加。</w:t>
      </w:r>
    </w:p>
    <w:p>
      <w:pPr>
        <w:spacing w:line="576" w:lineRule="exact"/>
        <w:ind w:left="0"/>
      </w:pPr>
      <w:r>
        <w:t xml:space="preserve"> </w:t>
      </w:r>
    </w:p>
    <w:p>
      <w:pPr>
        <w:spacing w:line="576" w:lineRule="exact"/>
      </w:pPr>
      <w:r>
        <w:drawing>
          <wp:inline distT="0" distB="0" distL="67945" distR="67945">
            <wp:extent cx="5211445" cy="2803525"/>
            <wp:effectExtent l="0" t="0" r="0" b="0"/>
            <wp:docPr id="15" name="对象"/>
            <wp:cNvGraphicFramePr>
              <a:graphicFrameLocks noChangeAspect="0"/>
            </wp:cNvGraphicFramePr>
            <a:graphic>
              <a:graphicData uri="http://schemas.openxmlformats.org/drawingml/2006/chart">
                <c:chart xmlns:c="http://schemas.openxmlformats.org/drawingml/2006/chart" r:id="rId12"/>
              </a:graphicData>
            </a:graphic>
          </wp:inline>
        </w:drawing>
      </w:r>
    </w:p>
    <w:p>
      <w:pPr>
        <w:pStyle w:val="31"/>
        <w:spacing w:line="600" w:lineRule="exact"/>
        <w:ind w:firstLineChars="0" w:firstLine="0"/>
        <w:outlineLvl w:val="1"/>
        <w:rPr>
          <w:rFonts w:ascii="仿宋" w:eastAsia="仿宋"/>
          <w:color w:val="000000"/>
          <w:sz w:val="32"/>
          <w:szCs w:val="32"/>
        </w:rPr>
      </w:pPr>
      <w:r>
        <w:rPr>
          <w:rStyle w:val="2Char"/>
          <w:rFonts w:ascii="黑体" w:eastAsia="黑体" w:hint="eastAsia"/>
          <w:b w:val="0"/>
          <w:bCs w:val="0"/>
        </w:rPr>
        <w:t>五、一般公共预算财政拨款支出决算情况说明</w:t>
      </w:r>
      <w:bookmarkStart w:id="34" w:name="_Toc15377210"/>
      <w:bookmarkEnd w:id="19"/>
      <w:bookmarkEnd w:id="20"/>
    </w:p>
    <w:p>
      <w:pPr>
        <w:numPr>
          <w:ilvl w:val="0"/>
          <w:numId w:val="2"/>
        </w:numPr>
        <w:spacing w:line="600" w:lineRule="exact"/>
        <w:outlineLvl w:val="1"/>
        <w:rPr>
          <w:rFonts w:ascii="楷体" w:eastAsia="楷体" w:cs="楷体"/>
          <w:b/>
          <w:color w:val="000000"/>
          <w:sz w:val="32"/>
          <w:szCs w:val="32"/>
        </w:rPr>
      </w:pPr>
      <w:r>
        <w:rPr>
          <w:rFonts w:ascii="楷体" w:eastAsia="楷体" w:cs="楷体" w:hint="eastAsia"/>
          <w:b/>
          <w:color w:val="000000"/>
          <w:sz w:val="32"/>
          <w:szCs w:val="32"/>
        </w:rPr>
        <w:t>一般公共预算财政拨款支出决算总体情况</w:t>
      </w:r>
      <w:bookmarkEnd w:id="34"/>
    </w:p>
    <w:p>
      <w:pPr>
        <w:spacing w:line="600" w:lineRule="exact"/>
        <w:outlineLvl w:val="1"/>
        <w:rPr>
          <w:rFonts w:ascii="楷体" w:eastAsia="楷体" w:cs="楷体"/>
          <w:b/>
          <w:color w:val="000000"/>
          <w:sz w:val="32"/>
          <w:szCs w:val="32"/>
        </w:rPr>
      </w:pPr>
      <w:r>
        <w:object>
          <v:shape id="_x0000_i3" type="#_x0000_t75" filled="f" stroked="f" wrapcoords="3120 1810 1760 2655 1760 3620 2600 3741 1920 4827 1720 5309 1720 5792 1920 7601 1920 8206 2360 9533 1960 9654 1960 10619 2600 11464 1920 12308 1920 13032 2600 13394 2080 14360 1920 14841 1920 15325 2320 17256 1840 18221 1840 18342 2240 18945 7160 18945 8320 18945 17760 17497 17920 17256 18280 15927 18240 13394 18560 13394 21240 11705 21320 9774 21040 9654 18240 9533 18200 1810 3120 1810" style="position:absolute;margin-left:0.0pt;margin-top:20.35pt;width:404.95pt;height:134.6pt;z-index:36;mso-position-horizontal:absolute;mso-position-vertical:absolute;mso-wrap-distance-left:7.15pt;mso-wrap-distance-right:7.15pt;" o:ole="">
            <v:stroke color="#000000"/>
            <v:imagedata r:id="rId13" o:title="image4"/>
            <o:lock aspectratio="t"/>
            <w10:wrap type="tight"/>
          </v:shape>
          <o:OLEObject Type="Embed" ProgID="Package" ShapeID="_x0000_i3" DrawAspect="Content" ObjectID="_1393063353" r:id="rId14"/>
        </w:object>
      </w:r>
      <w:r>
        <w:rPr>
          <w:rFonts w:ascii="楷体" w:eastAsia="楷体" w:cs="楷体"/>
          <w:b/>
          <w:color w:val="000000"/>
          <w:sz w:val="32"/>
          <w:szCs w:val="32"/>
        </w:rPr>
        <w:t xml:space="preserve">          </w:t>
      </w:r>
    </w:p>
    <w:p>
      <w:pPr>
        <w:spacing w:line="600" w:lineRule="exact"/>
        <w:outlineLvl w:val="1"/>
        <w:rPr>
          <w:rFonts w:ascii="楷体" w:eastAsia="楷体" w:cs="楷体"/>
          <w:b/>
          <w:color w:val="000000"/>
          <w:sz w:val="32"/>
          <w:szCs w:val="32"/>
        </w:rPr>
      </w:pP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 xml:space="preserve">      </w:t>
      </w:r>
    </w:p>
    <w:p>
      <w:pPr>
        <w:spacing w:line="576" w:lineRule="exact"/>
        <w:ind w:left="0"/>
        <w:rPr>
          <w:rFonts w:ascii="仿宋_GB2312" w:eastAsia="仿宋_GB2312" w:cs="仿宋_GB2312"/>
          <w:color w:val="000000"/>
          <w:sz w:val="32"/>
          <w:szCs w:val="32"/>
        </w:rPr>
      </w:pPr>
      <w:r>
        <w:rPr>
          <w:rFonts w:ascii="仿宋_GB2312" w:eastAsia="仿宋_GB2312" w:cs="仿宋_GB2312"/>
          <w:color w:val="000000"/>
          <w:sz w:val="32"/>
          <w:szCs w:val="32"/>
        </w:rPr>
        <w:t xml:space="preserve">                                                            </w:t>
      </w:r>
    </w:p>
    <w:p>
      <w:pPr>
        <w:spacing w:line="576" w:lineRule="exact"/>
        <w:ind w:left="0"/>
        <w:rPr>
          <w:rFonts w:ascii="仿宋_GB2312" w:eastAsia="仿宋_GB2312" w:cs="仿宋_GB2312"/>
          <w:color w:val="000000"/>
          <w:sz w:val="32"/>
          <w:szCs w:val="32"/>
        </w:rPr>
      </w:pPr>
    </w:p>
    <w:p>
      <w:pPr>
        <w:spacing w:line="576" w:lineRule="exact"/>
        <w:ind w:left="0"/>
        <w:rPr>
          <w:rFonts w:ascii="仿宋_GB2312" w:eastAsia="仿宋_GB2312" w:cs="仿宋_GB2312"/>
          <w:color w:val="000000"/>
          <w:sz w:val="32"/>
          <w:szCs w:val="32"/>
        </w:rPr>
      </w:pPr>
    </w:p>
    <w:p>
      <w:pPr>
        <w:spacing w:line="576" w:lineRule="exact"/>
        <w:ind w:left="0" w:firstLineChars="50" w:firstLine="160"/>
        <w:rPr>
          <w:rFonts w:ascii="仿宋" w:eastAsia="仿宋"/>
          <w:color w:val="000000"/>
          <w:sz w:val="32"/>
          <w:szCs w:val="32"/>
        </w:rPr>
      </w:pPr>
      <w:r>
        <w:rPr>
          <w:rFonts w:ascii="仿宋_GB2312" w:eastAsia="仿宋_GB2312" w:cs="仿宋_GB2312"/>
          <w:color w:val="000000"/>
          <w:sz w:val="32"/>
          <w:szCs w:val="32"/>
        </w:rPr>
        <w:t>公</w:t>
      </w:r>
      <w:r>
        <w:rPr>
          <w:rFonts w:ascii="仿宋_GB2312" w:eastAsia="仿宋_GB2312" w:cs="仿宋_GB2312" w:hint="eastAsia"/>
          <w:color w:val="000000"/>
          <w:sz w:val="32"/>
          <w:szCs w:val="32"/>
        </w:rPr>
        <w:t>共预算财政拨款支出</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万元，占本年支出合计的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。与</w:t>
      </w:r>
      <w:r>
        <w:rPr>
          <w:rFonts w:ascii="仿宋_GB2312" w:eastAsia="仿宋_GB2312" w:cs="仿宋_GB2312"/>
          <w:color w:val="000000"/>
          <w:sz w:val="32"/>
          <w:szCs w:val="32"/>
        </w:rPr>
        <w:t>2020</w:t>
      </w:r>
      <w:r>
        <w:rPr>
          <w:rFonts w:ascii="仿宋_GB2312" w:eastAsia="仿宋_GB2312" w:cs="仿宋_GB2312" w:hint="eastAsia"/>
          <w:color w:val="000000"/>
          <w:sz w:val="32"/>
          <w:szCs w:val="32"/>
        </w:rPr>
        <w:t>年相比，一般公共预算财政拨款支出</w:t>
      </w:r>
      <w:r>
        <w:rPr>
          <w:rFonts w:ascii="仿宋_GB2312" w:eastAsia="仿宋_GB2312" w:cs="仿宋_GB2312"/>
          <w:color w:val="000000"/>
          <w:sz w:val="32"/>
          <w:szCs w:val="32"/>
        </w:rPr>
        <w:t>减少393.72</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减少37.86%</w:t>
      </w:r>
      <w:r>
        <w:rPr>
          <w:rFonts w:ascii="仿宋_GB2312" w:eastAsia="仿宋_GB2312" w:cs="仿宋_GB2312" w:hint="eastAsia"/>
          <w:color w:val="000000"/>
          <w:sz w:val="32"/>
          <w:szCs w:val="32"/>
        </w:rPr>
        <w:t>。主要变动原因是</w:t>
      </w:r>
      <w:r>
        <w:rPr>
          <w:rFonts w:ascii="仿宋_GB2312" w:eastAsia="仿宋_GB2312" w:cs="仿宋_GB2312"/>
          <w:color w:val="000000"/>
          <w:sz w:val="32"/>
          <w:szCs w:val="32"/>
        </w:rPr>
        <w:t>人员变动，</w:t>
      </w:r>
      <w:r>
        <w:rPr>
          <w:rFonts w:ascii="仿宋_GB2312" w:eastAsia="仿宋_GB2312" w:cs="仿宋_GB2312" w:hint="eastAsia"/>
          <w:color w:val="000000"/>
          <w:sz w:val="32"/>
          <w:szCs w:val="32"/>
        </w:rPr>
        <w:t>项目资金增加。</w:t>
      </w:r>
    </w:p>
    <w:p>
      <w:pPr>
        <w:numPr>
          <w:ilvl w:val="0"/>
          <w:numId w:val="2"/>
        </w:numPr>
        <w:spacing w:line="600" w:lineRule="exact"/>
        <w:outlineLvl w:val="1"/>
        <w:rPr>
          <w:rFonts w:ascii="楷体" w:eastAsia="楷体" w:cs="楷体"/>
          <w:b/>
          <w:color w:val="000000"/>
          <w:sz w:val="32"/>
          <w:szCs w:val="32"/>
        </w:rPr>
      </w:pPr>
      <w:bookmarkStart w:id="35" w:name="_Toc15377211"/>
      <w:r>
        <w:rPr>
          <w:rFonts w:ascii="楷体" w:eastAsia="楷体" w:cs="楷体" w:hint="eastAsia"/>
          <w:b/>
          <w:color w:val="000000"/>
          <w:sz w:val="32"/>
          <w:szCs w:val="32"/>
        </w:rPr>
        <w:t>一般公共预算财政拨款支出决算结构情况</w:t>
      </w:r>
      <w:bookmarkEnd w:id="35"/>
    </w:p>
    <w:p>
      <w:pPr>
        <w:spacing w:line="576" w:lineRule="exact"/>
        <w:ind w:firstLine="641"/>
        <w:rPr>
          <w:rFonts w:ascii="仿宋_GB2312" w:eastAsia="仿宋_GB2312" w:cs="仿宋_GB2312"/>
          <w:color w:val="000000"/>
          <w:sz w:val="32"/>
          <w:szCs w:val="32"/>
        </w:rPr>
      </w:pPr>
      <w:r>
        <w:rPr>
          <w:rFonts w:ascii="仿宋_GB2312" w:eastAsia="仿宋_GB2312" w:cs="仿宋_GB2312"/>
          <w:color w:val="000000"/>
          <w:sz w:val="32"/>
          <w:szCs w:val="32"/>
        </w:rPr>
        <w:t>2021</w:t>
      </w:r>
      <w:r>
        <w:rPr>
          <w:rFonts w:ascii="仿宋_GB2312" w:eastAsia="仿宋_GB2312" w:cs="仿宋_GB2312" w:hint="eastAsia"/>
          <w:color w:val="000000"/>
          <w:sz w:val="32"/>
          <w:szCs w:val="32"/>
        </w:rPr>
        <w:t>年一般公共预算财政拨款支出</w:t>
      </w:r>
      <w:r>
        <w:rPr>
          <w:rFonts w:ascii="仿宋_GB2312" w:eastAsia="仿宋_GB2312" w:cs="仿宋_GB2312"/>
          <w:color w:val="000000"/>
          <w:sz w:val="32"/>
          <w:szCs w:val="32"/>
        </w:rPr>
        <w:t>646.33</w:t>
      </w:r>
      <w:r>
        <w:rPr>
          <w:rFonts w:ascii="仿宋_GB2312" w:eastAsia="仿宋_GB2312" w:cs="仿宋_GB2312" w:hint="eastAsia"/>
          <w:color w:val="000000"/>
          <w:sz w:val="32"/>
          <w:szCs w:val="32"/>
        </w:rPr>
        <w:t>万元，主要用于以下方面</w:t>
      </w:r>
      <w:r>
        <w:rPr>
          <w:rFonts w:ascii="仿宋_GB2312" w:eastAsia="仿宋_GB2312" w:cs="仿宋_GB2312"/>
          <w:color w:val="000000"/>
          <w:sz w:val="32"/>
          <w:szCs w:val="32"/>
        </w:rPr>
        <w:t>:</w:t>
      </w:r>
      <w:r>
        <w:rPr>
          <w:rFonts w:ascii="仿宋_GB2312" w:eastAsia="仿宋_GB2312" w:cs="仿宋_GB2312" w:hint="eastAsia"/>
          <w:color w:val="000000"/>
          <w:sz w:val="32"/>
          <w:szCs w:val="32"/>
        </w:rPr>
        <w:t>社会保障和就业（类）支出</w:t>
      </w:r>
      <w:r>
        <w:rPr>
          <w:rFonts w:ascii="仿宋_GB2312" w:eastAsia="仿宋_GB2312" w:cs="仿宋_GB2312"/>
          <w:color w:val="000000"/>
          <w:sz w:val="32"/>
          <w:szCs w:val="32"/>
        </w:rPr>
        <w:t>29.99</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4.64%</w:t>
      </w:r>
      <w:r>
        <w:rPr>
          <w:rFonts w:ascii="仿宋_GB2312" w:eastAsia="仿宋_GB2312" w:cs="仿宋_GB2312" w:hint="eastAsia"/>
          <w:color w:val="000000"/>
          <w:sz w:val="32"/>
          <w:szCs w:val="32"/>
        </w:rPr>
        <w:t>；</w:t>
      </w:r>
      <w:r>
        <w:rPr>
          <w:rFonts w:ascii="仿宋_GB2312" w:eastAsia="仿宋_GB2312" w:cs="仿宋_GB2312" w:hint="eastAsia"/>
          <w:bCs/>
          <w:color w:val="000000"/>
          <w:sz w:val="32"/>
          <w:szCs w:val="32"/>
        </w:rPr>
        <w:t>医疗卫生与计划生育（类）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15.78</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2.44%</w:t>
      </w:r>
      <w:r>
        <w:rPr>
          <w:rFonts w:ascii="仿宋_GB2312" w:eastAsia="仿宋_GB2312" w:cs="仿宋_GB2312" w:hint="eastAsia"/>
          <w:color w:val="000000"/>
          <w:sz w:val="32"/>
          <w:szCs w:val="32"/>
        </w:rPr>
        <w:t>；</w:t>
      </w:r>
      <w:r>
        <w:rPr>
          <w:rFonts w:ascii="仿宋_GB2312" w:eastAsia="仿宋_GB2312" w:cs="仿宋_GB2312" w:hint="eastAsia"/>
          <w:bCs/>
          <w:color w:val="000000"/>
          <w:sz w:val="32"/>
          <w:szCs w:val="32"/>
        </w:rPr>
        <w:t>农林水（类）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1.08</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0.17%</w:t>
      </w:r>
      <w:r>
        <w:rPr>
          <w:rFonts w:ascii="仿宋_GB2312" w:eastAsia="仿宋_GB2312" w:cs="仿宋_GB2312" w:hint="eastAsia"/>
          <w:color w:val="000000"/>
          <w:sz w:val="32"/>
          <w:szCs w:val="32"/>
        </w:rPr>
        <w:t>；</w:t>
      </w:r>
      <w:r>
        <w:rPr>
          <w:rFonts w:ascii="仿宋_GB2312" w:eastAsia="仿宋_GB2312" w:cs="仿宋_GB2312" w:hint="eastAsia"/>
          <w:bCs/>
          <w:color w:val="000000"/>
          <w:sz w:val="32"/>
          <w:szCs w:val="32"/>
        </w:rPr>
        <w:t>粮油物资储备事务（类）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551.01</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85.25%</w:t>
      </w:r>
      <w:r>
        <w:rPr>
          <w:rFonts w:ascii="仿宋_GB2312" w:eastAsia="仿宋_GB2312" w:cs="仿宋_GB2312" w:hint="eastAsia"/>
          <w:color w:val="000000"/>
          <w:sz w:val="32"/>
          <w:szCs w:val="32"/>
        </w:rPr>
        <w:t>；</w:t>
      </w:r>
      <w:r>
        <w:rPr>
          <w:rFonts w:ascii="仿宋_GB2312" w:eastAsia="仿宋_GB2312" w:cs="仿宋_GB2312" w:hint="eastAsia"/>
          <w:bCs/>
          <w:color w:val="000000"/>
          <w:sz w:val="32"/>
          <w:szCs w:val="32"/>
        </w:rPr>
        <w:t>住房保障（类）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19.93</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3.08%；灾害防治及应急管理支出28.54万元，占4.42%。</w:t>
      </w:r>
    </w:p>
    <w:p>
      <w:pPr>
        <w:spacing w:line="576" w:lineRule="exact"/>
        <w:ind w:firstLine="641"/>
      </w:pPr>
      <w:r>
        <w:drawing>
          <wp:inline distT="0" distB="0" distL="67945" distR="67945">
            <wp:extent cx="5036185" cy="3329304"/>
            <wp:effectExtent l="0" t="0" r="0" b="0"/>
            <wp:docPr id="18" name="对象"/>
            <wp:cNvGraphicFramePr>
              <a:graphicFrameLocks noChangeAspect="0"/>
            </wp:cNvGraphicFramePr>
            <a:graphic>
              <a:graphicData uri="http://schemas.openxmlformats.org/drawingml/2006/chart">
                <c:chart xmlns:c="http://schemas.openxmlformats.org/drawingml/2006/chart" r:id="rId15"/>
              </a:graphicData>
            </a:graphic>
          </wp:inline>
        </w:drawing>
      </w:r>
    </w:p>
    <w:p>
      <w:pPr>
        <w:spacing w:line="576" w:lineRule="exact"/>
        <w:ind w:left="0"/>
        <w:rPr>
          <w:rFonts w:ascii="仿宋" w:eastAsia="仿宋"/>
          <w:b/>
          <w:color w:val="000000"/>
          <w:sz w:val="32"/>
          <w:szCs w:val="32"/>
        </w:rPr>
      </w:pPr>
      <w:r>
        <w:rPr>
          <w:rFonts w:ascii="仿宋" w:eastAsia="仿宋" w:hint="eastAsia"/>
          <w:b/>
          <w:color w:val="000000"/>
          <w:sz w:val="32"/>
          <w:szCs w:val="32"/>
        </w:rPr>
        <w:t>（</w:t>
      </w:r>
      <w:r>
        <w:rPr>
          <w:rFonts w:ascii="楷体" w:eastAsia="楷体" w:cs="楷体" w:hint="eastAsia"/>
          <w:b/>
          <w:color w:val="000000"/>
          <w:sz w:val="32"/>
          <w:szCs w:val="32"/>
        </w:rPr>
        <w:t>三）一般公共预算财政拨款支出决算具体情况</w:t>
      </w:r>
      <w:bookmarkEnd w:id="21"/>
      <w:r>
        <w:rPr>
          <w:rFonts w:ascii="仿宋" w:eastAsia="仿宋"/>
          <w:b/>
          <w:color w:val="000000"/>
          <w:sz w:val="32"/>
          <w:szCs w:val="32"/>
        </w:rPr>
        <w:t xml:space="preserve"> </w:t>
      </w:r>
    </w:p>
    <w:p>
      <w:pPr>
        <w:spacing w:line="576" w:lineRule="exact"/>
        <w:ind w:firstLineChars="200" w:firstLine="640"/>
        <w:outlineLvl w:val="2"/>
        <w:rPr>
          <w:rStyle w:val="21"/>
          <w:rFonts w:ascii="仿宋" w:eastAsia="仿宋" w:cs="仿宋_GB2312"/>
          <w:b w:val="0"/>
          <w:bCs/>
          <w:color w:val="000000"/>
          <w:sz w:val="32"/>
          <w:szCs w:val="32"/>
        </w:rPr>
      </w:pPr>
      <w:bookmarkStart w:id="36" w:name="_Toc15377213"/>
      <w:bookmarkStart w:id="37" w:name="_Toc15377444"/>
      <w:bookmarkStart w:id="38" w:name="_Toc15378460"/>
      <w:r>
        <w:rPr>
          <w:rFonts w:ascii="仿宋" w:eastAsia="仿宋" w:cs="仿宋_GB2312"/>
          <w:bCs/>
          <w:color w:val="000000"/>
          <w:sz w:val="32"/>
          <w:szCs w:val="32"/>
        </w:rPr>
        <w:t>2021</w:t>
      </w:r>
      <w:r>
        <w:rPr>
          <w:rFonts w:ascii="仿宋" w:eastAsia="仿宋" w:cs="仿宋_GB2312" w:hint="eastAsia"/>
          <w:bCs/>
          <w:color w:val="000000"/>
          <w:sz w:val="32"/>
          <w:szCs w:val="32"/>
        </w:rPr>
        <w:t>年一般公共预算支出决算数为</w:t>
      </w:r>
      <w:r>
        <w:rPr>
          <w:rFonts w:ascii="仿宋" w:eastAsia="仿宋" w:cs="仿宋_GB2312"/>
          <w:bCs/>
          <w:color w:val="000000"/>
          <w:sz w:val="32"/>
          <w:szCs w:val="32"/>
        </w:rPr>
        <w:t>646.33</w:t>
      </w:r>
      <w:r>
        <w:rPr>
          <w:rFonts w:ascii="仿宋" w:eastAsia="仿宋" w:cs="仿宋_GB2312" w:hint="eastAsia"/>
          <w:bCs/>
          <w:color w:val="000000"/>
          <w:sz w:val="32"/>
          <w:szCs w:val="32"/>
        </w:rPr>
        <w:t>万元，</w:t>
      </w:r>
      <w:r>
        <w:rPr>
          <w:rStyle w:val="21"/>
          <w:rFonts w:ascii="仿宋" w:eastAsia="仿宋" w:cs="仿宋_GB2312" w:hint="eastAsia"/>
          <w:b w:val="0"/>
          <w:bCs/>
          <w:color w:val="000000"/>
          <w:sz w:val="32"/>
          <w:szCs w:val="32"/>
        </w:rPr>
        <w:t>完成</w:t>
      </w:r>
    </w:p>
    <w:p>
      <w:pPr>
        <w:spacing w:line="576" w:lineRule="exact"/>
        <w:outlineLvl w:val="2"/>
        <w:rPr>
          <w:rFonts w:ascii="仿宋_GB2312" w:eastAsia="仿宋_GB2312" w:cs="仿宋_GB2312"/>
          <w:bCs/>
          <w:color w:val="FF0000"/>
          <w:sz w:val="32"/>
          <w:szCs w:val="32"/>
        </w:rPr>
      </w:pPr>
      <w:r>
        <w:rPr>
          <w:rStyle w:val="21"/>
          <w:rFonts w:ascii="仿宋_GB2312" w:eastAsia="仿宋_GB2312" w:cs="仿宋_GB2312" w:hint="eastAsia"/>
          <w:b w:val="0"/>
          <w:bCs/>
          <w:color w:val="000000"/>
          <w:sz w:val="32"/>
          <w:szCs w:val="32"/>
        </w:rPr>
        <w:t>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。其中：</w:t>
      </w:r>
      <w:bookmarkEnd w:id="36"/>
      <w:bookmarkEnd w:id="37"/>
      <w:bookmarkEnd w:id="38"/>
    </w:p>
    <w:p>
      <w:pPr>
        <w:spacing w:line="576" w:lineRule="exact"/>
        <w:ind w:firstLineChars="200" w:firstLine="640"/>
        <w:rPr>
          <w:rStyle w:val="21"/>
          <w:rFonts w:ascii="仿宋_GB2312" w:eastAsia="仿宋_GB2312" w:cs="仿宋_GB2312"/>
          <w:b w:val="0"/>
          <w:bCs/>
          <w:color w:val="000000"/>
          <w:sz w:val="32"/>
          <w:szCs w:val="32"/>
        </w:rPr>
      </w:pPr>
      <w:r>
        <w:rPr>
          <w:rStyle w:val="21"/>
          <w:rFonts w:ascii="仿宋_GB2312" w:eastAsia="仿宋_GB2312" w:cs="仿宋_GB2312"/>
          <w:bCs/>
          <w:color w:val="000000"/>
          <w:sz w:val="32"/>
          <w:szCs w:val="32"/>
        </w:rPr>
        <w:t>1.</w:t>
      </w:r>
      <w:r>
        <w:rPr>
          <w:rStyle w:val="21"/>
          <w:rFonts w:ascii="仿宋_GB2312" w:eastAsia="仿宋_GB2312" w:cs="仿宋_GB2312" w:hint="eastAsia"/>
          <w:bCs/>
          <w:color w:val="000000"/>
          <w:sz w:val="32"/>
          <w:szCs w:val="32"/>
        </w:rPr>
        <w:t>社会保障和就业（</w:t>
      </w:r>
      <w:r>
        <w:rPr>
          <w:rStyle w:val="21"/>
          <w:rFonts w:ascii="仿宋_GB2312" w:eastAsia="仿宋_GB2312" w:cs="仿宋_GB2312"/>
          <w:bCs/>
          <w:color w:val="000000"/>
          <w:sz w:val="32"/>
          <w:szCs w:val="32"/>
        </w:rPr>
        <w:t>208</w:t>
      </w:r>
      <w:r>
        <w:rPr>
          <w:rStyle w:val="21"/>
          <w:rFonts w:ascii="仿宋_GB2312" w:eastAsia="仿宋_GB2312" w:cs="仿宋_GB2312" w:hint="eastAsia"/>
          <w:bCs/>
          <w:color w:val="000000"/>
          <w:sz w:val="32"/>
          <w:szCs w:val="32"/>
        </w:rPr>
        <w:t>）行政事业单位离退休（</w:t>
      </w:r>
      <w:r>
        <w:rPr>
          <w:rStyle w:val="21"/>
          <w:rFonts w:ascii="仿宋_GB2312" w:eastAsia="仿宋_GB2312" w:cs="仿宋_GB2312"/>
          <w:bCs/>
          <w:color w:val="000000"/>
          <w:sz w:val="32"/>
          <w:szCs w:val="32"/>
        </w:rPr>
        <w:t>20805</w:t>
      </w:r>
      <w:r>
        <w:rPr>
          <w:rStyle w:val="21"/>
          <w:rFonts w:ascii="仿宋_GB2312" w:eastAsia="仿宋_GB2312" w:cs="仿宋_GB2312" w:hint="eastAsia"/>
          <w:bCs/>
          <w:color w:val="000000"/>
          <w:sz w:val="32"/>
          <w:szCs w:val="32"/>
        </w:rPr>
        <w:t>）机关事业单位职业年金缴费支出（</w:t>
      </w:r>
      <w:r>
        <w:rPr>
          <w:rStyle w:val="21"/>
          <w:rFonts w:ascii="仿宋_GB2312" w:eastAsia="仿宋_GB2312" w:cs="仿宋_GB2312"/>
          <w:bCs/>
          <w:color w:val="000000"/>
          <w:sz w:val="32"/>
          <w:szCs w:val="32"/>
        </w:rPr>
        <w:t>2080506</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10</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640"/>
        <w:rPr>
          <w:rStyle w:val="21"/>
          <w:rFonts w:ascii="仿宋_GB2312" w:eastAsia="仿宋_GB2312" w:cs="仿宋_GB2312"/>
          <w:b w:val="0"/>
          <w:bCs/>
          <w:color w:val="000000"/>
          <w:sz w:val="32"/>
          <w:szCs w:val="32"/>
        </w:rPr>
      </w:pPr>
      <w:r>
        <w:rPr>
          <w:rStyle w:val="21"/>
          <w:rFonts w:ascii="仿宋_GB2312" w:eastAsia="仿宋_GB2312" w:cs="仿宋_GB2312"/>
          <w:bCs/>
          <w:color w:val="000000"/>
          <w:sz w:val="32"/>
          <w:szCs w:val="32"/>
        </w:rPr>
        <w:t>2.</w:t>
      </w:r>
      <w:r>
        <w:rPr>
          <w:rStyle w:val="21"/>
          <w:rFonts w:ascii="仿宋_GB2312" w:eastAsia="仿宋_GB2312" w:cs="仿宋_GB2312" w:hint="eastAsia"/>
          <w:bCs/>
          <w:color w:val="000000"/>
          <w:sz w:val="32"/>
          <w:szCs w:val="32"/>
        </w:rPr>
        <w:t>社会保障和就业（</w:t>
      </w:r>
      <w:r>
        <w:rPr>
          <w:rStyle w:val="21"/>
          <w:rFonts w:ascii="仿宋_GB2312" w:eastAsia="仿宋_GB2312" w:cs="仿宋_GB2312"/>
          <w:bCs/>
          <w:color w:val="000000"/>
          <w:sz w:val="32"/>
          <w:szCs w:val="32"/>
        </w:rPr>
        <w:t>208</w:t>
      </w:r>
      <w:r>
        <w:rPr>
          <w:rStyle w:val="21"/>
          <w:rFonts w:ascii="仿宋_GB2312" w:eastAsia="仿宋_GB2312" w:cs="仿宋_GB2312" w:hint="eastAsia"/>
          <w:bCs/>
          <w:color w:val="000000"/>
          <w:sz w:val="32"/>
          <w:szCs w:val="32"/>
        </w:rPr>
        <w:t>）行政事业单位离退休（</w:t>
      </w:r>
      <w:r>
        <w:rPr>
          <w:rStyle w:val="21"/>
          <w:rFonts w:ascii="仿宋_GB2312" w:eastAsia="仿宋_GB2312" w:cs="仿宋_GB2312"/>
          <w:bCs/>
          <w:color w:val="000000"/>
          <w:sz w:val="32"/>
          <w:szCs w:val="32"/>
        </w:rPr>
        <w:t>20805</w:t>
      </w:r>
      <w:r>
        <w:rPr>
          <w:rStyle w:val="21"/>
          <w:rFonts w:ascii="仿宋_GB2312" w:eastAsia="仿宋_GB2312" w:cs="仿宋_GB2312" w:hint="eastAsia"/>
          <w:bCs/>
          <w:color w:val="000000"/>
          <w:sz w:val="32"/>
          <w:szCs w:val="32"/>
        </w:rPr>
        <w:t>）机关事业单位基本养老保险缴费支出（</w:t>
      </w:r>
      <w:r>
        <w:rPr>
          <w:rStyle w:val="21"/>
          <w:rFonts w:ascii="仿宋_GB2312" w:eastAsia="仿宋_GB2312" w:cs="仿宋_GB2312"/>
          <w:bCs/>
          <w:color w:val="000000"/>
          <w:sz w:val="32"/>
          <w:szCs w:val="32"/>
        </w:rPr>
        <w:t>2080505</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20</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640"/>
        <w:rPr>
          <w:rStyle w:val="21"/>
          <w:rFonts w:ascii="仿宋_GB2312" w:eastAsia="仿宋_GB2312" w:cs="仿宋_GB2312"/>
          <w:b w:val="0"/>
          <w:bCs/>
          <w:color w:val="000000"/>
          <w:sz w:val="32"/>
          <w:szCs w:val="32"/>
        </w:rPr>
      </w:pPr>
      <w:r>
        <w:rPr>
          <w:rStyle w:val="21"/>
          <w:rFonts w:ascii="仿宋_GB2312" w:eastAsia="仿宋_GB2312" w:cs="仿宋_GB2312"/>
          <w:bCs/>
          <w:color w:val="000000"/>
          <w:sz w:val="32"/>
          <w:szCs w:val="32"/>
        </w:rPr>
        <w:t>3.</w:t>
      </w:r>
      <w:r>
        <w:rPr>
          <w:rStyle w:val="21"/>
          <w:rFonts w:ascii="仿宋_GB2312" w:eastAsia="仿宋_GB2312" w:cs="仿宋_GB2312" w:hint="eastAsia"/>
          <w:bCs/>
          <w:color w:val="000000"/>
          <w:sz w:val="32"/>
          <w:szCs w:val="32"/>
        </w:rPr>
        <w:t>医疗卫生与计划生育支出（</w:t>
      </w:r>
      <w:r>
        <w:rPr>
          <w:rStyle w:val="21"/>
          <w:rFonts w:ascii="仿宋_GB2312" w:eastAsia="仿宋_GB2312" w:cs="仿宋_GB2312"/>
          <w:bCs/>
          <w:color w:val="000000"/>
          <w:sz w:val="32"/>
          <w:szCs w:val="32"/>
        </w:rPr>
        <w:t>210</w:t>
      </w:r>
      <w:r>
        <w:rPr>
          <w:rStyle w:val="21"/>
          <w:rFonts w:ascii="仿宋_GB2312" w:eastAsia="仿宋_GB2312" w:cs="仿宋_GB2312" w:hint="eastAsia"/>
          <w:bCs/>
          <w:color w:val="000000"/>
          <w:sz w:val="32"/>
          <w:szCs w:val="32"/>
        </w:rPr>
        <w:t>）行政事业单位医疗（</w:t>
      </w:r>
      <w:r>
        <w:rPr>
          <w:rStyle w:val="21"/>
          <w:rFonts w:ascii="仿宋_GB2312" w:eastAsia="仿宋_GB2312" w:cs="仿宋_GB2312"/>
          <w:bCs/>
          <w:color w:val="000000"/>
          <w:sz w:val="32"/>
          <w:szCs w:val="32"/>
        </w:rPr>
        <w:t>21011</w:t>
      </w:r>
      <w:r>
        <w:rPr>
          <w:rStyle w:val="21"/>
          <w:rFonts w:ascii="仿宋_GB2312" w:eastAsia="仿宋_GB2312" w:cs="仿宋_GB2312" w:hint="eastAsia"/>
          <w:bCs/>
          <w:color w:val="000000"/>
          <w:sz w:val="32"/>
          <w:szCs w:val="32"/>
        </w:rPr>
        <w:t>）行政单位医疗（</w:t>
      </w:r>
      <w:r>
        <w:rPr>
          <w:rStyle w:val="21"/>
          <w:rFonts w:ascii="仿宋_GB2312" w:eastAsia="仿宋_GB2312" w:cs="仿宋_GB2312"/>
          <w:bCs/>
          <w:color w:val="000000"/>
          <w:sz w:val="32"/>
          <w:szCs w:val="32"/>
        </w:rPr>
        <w:t>2101101</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15.78</w:t>
      </w:r>
      <w:r>
        <w:rPr>
          <w:rStyle w:val="21"/>
          <w:rFonts w:ascii="仿宋_GB2312" w:eastAsia="仿宋_GB2312" w:cs="仿宋_GB2312" w:hint="eastAsia"/>
          <w:b w:val="0"/>
          <w:bCs/>
          <w:color w:val="000000"/>
          <w:sz w:val="32"/>
          <w:szCs w:val="32"/>
          <w:lang w:eastAsia="zh-CN"/>
        </w:rPr>
        <w:t>万</w:t>
      </w:r>
      <w:r>
        <w:rPr>
          <w:rStyle w:val="21"/>
          <w:rFonts w:ascii="仿宋_GB2312" w:eastAsia="仿宋_GB2312" w:cs="仿宋_GB2312" w:hint="eastAsia"/>
          <w:b w:val="0"/>
          <w:bCs/>
          <w:color w:val="000000"/>
          <w:sz w:val="32"/>
          <w:szCs w:val="32"/>
        </w:rPr>
        <w:t>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640"/>
        <w:rPr>
          <w:rStyle w:val="21"/>
          <w:rFonts w:ascii="仿宋_GB2312" w:eastAsia="仿宋_GB2312" w:cs="仿宋_GB2312"/>
          <w:b w:val="0"/>
          <w:bCs/>
          <w:color w:val="000000"/>
          <w:sz w:val="32"/>
          <w:szCs w:val="32"/>
        </w:rPr>
      </w:pPr>
      <w:r>
        <w:rPr>
          <w:rStyle w:val="21"/>
          <w:rFonts w:ascii="仿宋_GB2312" w:eastAsia="仿宋_GB2312" w:cs="仿宋_GB2312"/>
          <w:bCs/>
          <w:color w:val="000000"/>
          <w:sz w:val="32"/>
          <w:szCs w:val="32"/>
        </w:rPr>
        <w:t>4.</w:t>
      </w:r>
      <w:r>
        <w:rPr>
          <w:rStyle w:val="21"/>
          <w:rFonts w:ascii="仿宋_GB2312" w:eastAsia="仿宋_GB2312" w:cs="仿宋_GB2312" w:hint="eastAsia"/>
          <w:bCs/>
          <w:color w:val="000000"/>
          <w:sz w:val="32"/>
          <w:szCs w:val="32"/>
        </w:rPr>
        <w:t>农林水支出（</w:t>
      </w:r>
      <w:r>
        <w:rPr>
          <w:rStyle w:val="21"/>
          <w:rFonts w:ascii="仿宋_GB2312" w:eastAsia="仿宋_GB2312" w:cs="仿宋_GB2312"/>
          <w:bCs/>
          <w:color w:val="000000"/>
          <w:sz w:val="32"/>
          <w:szCs w:val="32"/>
        </w:rPr>
        <w:t>213</w:t>
      </w:r>
      <w:r>
        <w:rPr>
          <w:rStyle w:val="21"/>
          <w:rFonts w:ascii="仿宋_GB2312" w:eastAsia="仿宋_GB2312" w:cs="仿宋_GB2312" w:hint="eastAsia"/>
          <w:bCs/>
          <w:color w:val="000000"/>
          <w:sz w:val="32"/>
          <w:szCs w:val="32"/>
        </w:rPr>
        <w:t>）扶贫（</w:t>
      </w:r>
      <w:r>
        <w:rPr>
          <w:rStyle w:val="21"/>
          <w:rFonts w:ascii="仿宋_GB2312" w:eastAsia="仿宋_GB2312" w:cs="仿宋_GB2312"/>
          <w:bCs/>
          <w:color w:val="000000"/>
          <w:sz w:val="32"/>
          <w:szCs w:val="32"/>
        </w:rPr>
        <w:t>21305</w:t>
      </w:r>
      <w:r>
        <w:rPr>
          <w:rStyle w:val="21"/>
          <w:rFonts w:ascii="仿宋_GB2312" w:eastAsia="仿宋_GB2312" w:cs="仿宋_GB2312" w:hint="eastAsia"/>
          <w:bCs/>
          <w:color w:val="000000"/>
          <w:sz w:val="32"/>
          <w:szCs w:val="32"/>
        </w:rPr>
        <w:t>）农村基础设施建设（</w:t>
      </w:r>
      <w:r>
        <w:rPr>
          <w:rStyle w:val="21"/>
          <w:rFonts w:ascii="仿宋_GB2312" w:eastAsia="仿宋_GB2312" w:cs="仿宋_GB2312"/>
          <w:bCs/>
          <w:color w:val="000000"/>
          <w:sz w:val="32"/>
          <w:szCs w:val="32"/>
        </w:rPr>
        <w:t>2130599</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1.08</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640"/>
        <w:rPr>
          <w:rStyle w:val="21"/>
          <w:rFonts w:ascii="仿宋_GB2312" w:eastAsia="仿宋_GB2312" w:cs="仿宋_GB2312"/>
          <w:bCs/>
          <w:color w:val="000000"/>
          <w:sz w:val="32"/>
          <w:szCs w:val="32"/>
        </w:rPr>
      </w:pPr>
      <w:r>
        <w:rPr>
          <w:rStyle w:val="21"/>
          <w:rFonts w:ascii="仿宋_GB2312" w:eastAsia="仿宋_GB2312" w:cs="仿宋_GB2312"/>
          <w:bCs/>
          <w:color w:val="000000"/>
          <w:sz w:val="32"/>
          <w:szCs w:val="32"/>
        </w:rPr>
        <w:t>5.</w:t>
      </w:r>
      <w:r>
        <w:rPr>
          <w:rStyle w:val="21"/>
          <w:rFonts w:ascii="仿宋_GB2312" w:eastAsia="仿宋_GB2312" w:cs="仿宋_GB2312" w:hint="eastAsia"/>
          <w:bCs/>
          <w:color w:val="000000"/>
          <w:sz w:val="32"/>
          <w:szCs w:val="32"/>
        </w:rPr>
        <w:t>粮油物资储备等支出（</w:t>
      </w:r>
      <w:r>
        <w:rPr>
          <w:rStyle w:val="21"/>
          <w:rFonts w:ascii="仿宋_GB2312" w:eastAsia="仿宋_GB2312" w:cs="仿宋_GB2312"/>
          <w:bCs/>
          <w:color w:val="000000"/>
          <w:sz w:val="32"/>
          <w:szCs w:val="32"/>
        </w:rPr>
        <w:t>222</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粮油</w:t>
      </w:r>
      <w:r>
        <w:rPr>
          <w:rStyle w:val="21"/>
          <w:rFonts w:ascii="仿宋_GB2312" w:eastAsia="仿宋_GB2312" w:cs="仿宋_GB2312" w:hint="eastAsia"/>
          <w:bCs/>
          <w:color w:val="000000"/>
          <w:sz w:val="32"/>
          <w:szCs w:val="32"/>
        </w:rPr>
        <w:t>事务（</w:t>
      </w:r>
      <w:r>
        <w:rPr>
          <w:rStyle w:val="21"/>
          <w:rFonts w:ascii="仿宋_GB2312" w:eastAsia="仿宋_GB2312" w:cs="仿宋_GB2312"/>
          <w:bCs/>
          <w:color w:val="000000"/>
          <w:sz w:val="32"/>
          <w:szCs w:val="32"/>
        </w:rPr>
        <w:t>22201</w:t>
      </w:r>
      <w:r>
        <w:rPr>
          <w:rStyle w:val="21"/>
          <w:rFonts w:ascii="仿宋_GB2312" w:eastAsia="仿宋_GB2312" w:cs="仿宋_GB2312" w:hint="eastAsia"/>
          <w:bCs/>
          <w:color w:val="000000"/>
          <w:sz w:val="32"/>
          <w:szCs w:val="32"/>
        </w:rPr>
        <w:t>）行政运行（</w:t>
      </w:r>
      <w:r>
        <w:rPr>
          <w:rStyle w:val="21"/>
          <w:rFonts w:ascii="仿宋_GB2312" w:eastAsia="仿宋_GB2312" w:cs="仿宋_GB2312"/>
          <w:bCs/>
          <w:color w:val="000000"/>
          <w:sz w:val="32"/>
          <w:szCs w:val="32"/>
        </w:rPr>
        <w:t>2220101</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277.96</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640"/>
        <w:rPr>
          <w:rStyle w:val="21"/>
          <w:rFonts w:ascii="仿宋_GB2312" w:eastAsia="仿宋_GB2312" w:cs="仿宋_GB2312"/>
          <w:b w:val="0"/>
          <w:bCs/>
          <w:color w:val="000000"/>
          <w:sz w:val="32"/>
          <w:szCs w:val="32"/>
        </w:rPr>
      </w:pPr>
      <w:r>
        <w:rPr>
          <w:rStyle w:val="21"/>
          <w:rFonts w:ascii="仿宋_GB2312" w:eastAsia="仿宋_GB2312" w:cs="仿宋_GB2312"/>
          <w:bCs/>
          <w:color w:val="000000"/>
          <w:sz w:val="32"/>
          <w:szCs w:val="32"/>
        </w:rPr>
        <w:t>6.</w:t>
      </w:r>
      <w:r>
        <w:rPr>
          <w:rStyle w:val="21"/>
          <w:rFonts w:ascii="仿宋_GB2312" w:eastAsia="仿宋_GB2312" w:cs="仿宋_GB2312" w:hint="eastAsia"/>
          <w:bCs/>
          <w:color w:val="000000"/>
          <w:sz w:val="32"/>
          <w:szCs w:val="32"/>
        </w:rPr>
        <w:t>住房保障支出（</w:t>
      </w:r>
      <w:r>
        <w:rPr>
          <w:rStyle w:val="21"/>
          <w:rFonts w:ascii="仿宋_GB2312" w:eastAsia="仿宋_GB2312" w:cs="仿宋_GB2312"/>
          <w:bCs/>
          <w:color w:val="000000"/>
          <w:sz w:val="32"/>
          <w:szCs w:val="32"/>
        </w:rPr>
        <w:t>221</w:t>
      </w:r>
      <w:r>
        <w:rPr>
          <w:rStyle w:val="21"/>
          <w:rFonts w:ascii="仿宋_GB2312" w:eastAsia="仿宋_GB2312" w:cs="仿宋_GB2312" w:hint="eastAsia"/>
          <w:bCs/>
          <w:color w:val="000000"/>
          <w:sz w:val="32"/>
          <w:szCs w:val="32"/>
        </w:rPr>
        <w:t>）住房改革支出（</w:t>
      </w:r>
      <w:r>
        <w:rPr>
          <w:rStyle w:val="21"/>
          <w:rFonts w:ascii="仿宋_GB2312" w:eastAsia="仿宋_GB2312" w:cs="仿宋_GB2312"/>
          <w:bCs/>
          <w:color w:val="000000"/>
          <w:sz w:val="32"/>
          <w:szCs w:val="32"/>
        </w:rPr>
        <w:t>22102</w:t>
      </w:r>
      <w:r>
        <w:rPr>
          <w:rStyle w:val="21"/>
          <w:rFonts w:ascii="仿宋_GB2312" w:eastAsia="仿宋_GB2312" w:cs="仿宋_GB2312" w:hint="eastAsia"/>
          <w:bCs/>
          <w:color w:val="000000"/>
          <w:sz w:val="32"/>
          <w:szCs w:val="32"/>
        </w:rPr>
        <w:t>）住房公积金（</w:t>
      </w:r>
      <w:r>
        <w:rPr>
          <w:rStyle w:val="21"/>
          <w:rFonts w:ascii="仿宋_GB2312" w:eastAsia="仿宋_GB2312" w:cs="仿宋_GB2312"/>
          <w:bCs/>
          <w:color w:val="000000"/>
          <w:sz w:val="32"/>
          <w:szCs w:val="32"/>
        </w:rPr>
        <w:t>2210201</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19.93</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420"/>
        <w:rPr>
          <w:rStyle w:val="21"/>
          <w:rFonts w:ascii="仿宋_GB2312" w:eastAsia="仿宋_GB2312" w:cs="仿宋_GB2312"/>
          <w:bCs/>
          <w:color w:val="000000"/>
          <w:sz w:val="32"/>
          <w:szCs w:val="32"/>
        </w:rPr>
      </w:pPr>
      <w:r>
        <w:t xml:space="preserve">  </w:t>
      </w:r>
      <w:r>
        <w:rPr>
          <w:sz w:val="32"/>
          <w:szCs w:val="32"/>
        </w:rPr>
        <w:t>7</w:t>
      </w:r>
      <w:r>
        <w:rPr>
          <w:rStyle w:val="21"/>
          <w:rFonts w:ascii="仿宋_GB2312" w:eastAsia="仿宋_GB2312" w:cs="仿宋_GB2312"/>
          <w:bCs/>
          <w:color w:val="000000"/>
          <w:sz w:val="32"/>
          <w:szCs w:val="32"/>
        </w:rPr>
        <w:t>.</w:t>
      </w:r>
      <w:r>
        <w:rPr>
          <w:rStyle w:val="21"/>
          <w:rFonts w:ascii="仿宋_GB2312" w:eastAsia="仿宋_GB2312" w:cs="仿宋_GB2312" w:hint="eastAsia"/>
          <w:bCs/>
          <w:color w:val="000000"/>
          <w:sz w:val="32"/>
          <w:szCs w:val="32"/>
        </w:rPr>
        <w:t>粮油物资储备等支出（</w:t>
      </w:r>
      <w:r>
        <w:rPr>
          <w:rStyle w:val="21"/>
          <w:rFonts w:ascii="仿宋_GB2312" w:eastAsia="仿宋_GB2312" w:cs="仿宋_GB2312"/>
          <w:bCs/>
          <w:color w:val="000000"/>
          <w:sz w:val="32"/>
          <w:szCs w:val="32"/>
        </w:rPr>
        <w:t>222</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粮油</w:t>
      </w:r>
      <w:r>
        <w:rPr>
          <w:rStyle w:val="21"/>
          <w:rFonts w:ascii="仿宋_GB2312" w:eastAsia="仿宋_GB2312" w:cs="仿宋_GB2312" w:hint="eastAsia"/>
          <w:bCs/>
          <w:color w:val="000000"/>
          <w:sz w:val="32"/>
          <w:szCs w:val="32"/>
        </w:rPr>
        <w:t>事务（</w:t>
      </w:r>
      <w:r>
        <w:rPr>
          <w:rStyle w:val="21"/>
          <w:rFonts w:ascii="仿宋_GB2312" w:eastAsia="仿宋_GB2312" w:cs="仿宋_GB2312"/>
          <w:bCs/>
          <w:color w:val="000000"/>
          <w:sz w:val="32"/>
          <w:szCs w:val="32"/>
        </w:rPr>
        <w:t>22201</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其它粮油物资事务支出</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2220199</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58.46</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420"/>
        <w:rPr>
          <w:rStyle w:val="21"/>
          <w:rFonts w:ascii="仿宋_GB2312" w:eastAsia="仿宋_GB2312" w:cs="仿宋_GB2312"/>
          <w:bCs/>
          <w:color w:val="000000"/>
          <w:sz w:val="32"/>
          <w:szCs w:val="32"/>
        </w:rPr>
      </w:pPr>
      <w:r>
        <w:t xml:space="preserve">  </w:t>
      </w:r>
      <w:r>
        <w:rPr>
          <w:sz w:val="32"/>
          <w:szCs w:val="32"/>
        </w:rPr>
        <w:t>8</w:t>
      </w:r>
      <w:r>
        <w:rPr>
          <w:rStyle w:val="21"/>
          <w:rFonts w:ascii="仿宋_GB2312" w:eastAsia="仿宋_GB2312" w:cs="仿宋_GB2312"/>
          <w:bCs/>
          <w:color w:val="000000"/>
          <w:sz w:val="32"/>
          <w:szCs w:val="32"/>
        </w:rPr>
        <w:t>.</w:t>
      </w:r>
      <w:r>
        <w:rPr>
          <w:rStyle w:val="21"/>
          <w:rFonts w:ascii="仿宋_GB2312" w:eastAsia="仿宋_GB2312" w:cs="仿宋_GB2312" w:hint="eastAsia"/>
          <w:bCs/>
          <w:color w:val="000000"/>
          <w:sz w:val="32"/>
          <w:szCs w:val="32"/>
        </w:rPr>
        <w:t>粮油物资储备等支出（</w:t>
      </w:r>
      <w:r>
        <w:rPr>
          <w:rStyle w:val="21"/>
          <w:rFonts w:ascii="仿宋_GB2312" w:eastAsia="仿宋_GB2312" w:cs="仿宋_GB2312"/>
          <w:bCs/>
          <w:color w:val="000000"/>
          <w:sz w:val="32"/>
          <w:szCs w:val="32"/>
        </w:rPr>
        <w:t>222</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粮油</w:t>
      </w:r>
      <w:r>
        <w:rPr>
          <w:rStyle w:val="21"/>
          <w:rFonts w:ascii="仿宋_GB2312" w:eastAsia="仿宋_GB2312" w:cs="仿宋_GB2312" w:hint="eastAsia"/>
          <w:bCs/>
          <w:color w:val="000000"/>
          <w:sz w:val="32"/>
          <w:szCs w:val="32"/>
        </w:rPr>
        <w:t>事务（</w:t>
      </w:r>
      <w:r>
        <w:rPr>
          <w:rStyle w:val="21"/>
          <w:rFonts w:ascii="仿宋_GB2312" w:eastAsia="仿宋_GB2312" w:cs="仿宋_GB2312"/>
          <w:bCs/>
          <w:color w:val="000000"/>
          <w:sz w:val="32"/>
          <w:szCs w:val="32"/>
        </w:rPr>
        <w:t>22204</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其它粮油储备支出</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2220499</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214.58</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firstLineChars="200" w:firstLine="420"/>
        <w:rPr>
          <w:rStyle w:val="21"/>
          <w:rFonts w:ascii="仿宋_GB2312" w:eastAsia="仿宋_GB2312" w:cs="仿宋_GB2312"/>
          <w:bCs/>
          <w:color w:val="000000"/>
          <w:sz w:val="32"/>
          <w:szCs w:val="32"/>
        </w:rPr>
      </w:pPr>
      <w:r>
        <w:t xml:space="preserve">  </w:t>
      </w:r>
      <w:r>
        <w:rPr>
          <w:sz w:val="32"/>
          <w:szCs w:val="32"/>
        </w:rPr>
        <w:t>9</w:t>
      </w:r>
      <w:r>
        <w:rPr>
          <w:rStyle w:val="21"/>
          <w:rFonts w:ascii="仿宋_GB2312" w:eastAsia="仿宋_GB2312" w:cs="仿宋_GB2312"/>
          <w:bCs/>
          <w:color w:val="000000"/>
          <w:sz w:val="32"/>
          <w:szCs w:val="32"/>
        </w:rPr>
        <w:t>.灾害防治及应急管理</w:t>
      </w:r>
      <w:r>
        <w:rPr>
          <w:rStyle w:val="21"/>
          <w:rFonts w:ascii="仿宋_GB2312" w:eastAsia="仿宋_GB2312" w:cs="仿宋_GB2312" w:hint="eastAsia"/>
          <w:bCs/>
          <w:color w:val="000000"/>
          <w:sz w:val="32"/>
          <w:szCs w:val="32"/>
        </w:rPr>
        <w:t>支出（</w:t>
      </w:r>
      <w:r>
        <w:rPr>
          <w:rStyle w:val="21"/>
          <w:rFonts w:ascii="仿宋_GB2312" w:eastAsia="仿宋_GB2312" w:cs="仿宋_GB2312"/>
          <w:bCs/>
          <w:color w:val="000000"/>
          <w:sz w:val="32"/>
          <w:szCs w:val="32"/>
        </w:rPr>
        <w:t>224</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其它灾害防治及应急管理支出</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222499</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其它灾害防治及应急管理支出</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224999</w:t>
      </w:r>
      <w:r>
        <w:rPr>
          <w:rStyle w:val="21"/>
          <w:rFonts w:ascii="仿宋_GB2312" w:eastAsia="仿宋_GB2312" w:cs="仿宋_GB2312" w:hint="eastAsia"/>
          <w:bCs/>
          <w:color w:val="000000"/>
          <w:sz w:val="32"/>
          <w:szCs w:val="32"/>
        </w:rPr>
        <w:t>）</w:t>
      </w:r>
      <w:r>
        <w:rPr>
          <w:rStyle w:val="21"/>
          <w:rFonts w:ascii="仿宋_GB2312" w:eastAsia="仿宋_GB2312" w:cs="仿宋_GB2312"/>
          <w:bCs/>
          <w:color w:val="000000"/>
          <w:sz w:val="32"/>
          <w:szCs w:val="32"/>
        </w:rPr>
        <w:t>:</w:t>
      </w:r>
      <w:r>
        <w:rPr>
          <w:rStyle w:val="21"/>
          <w:rFonts w:ascii="仿宋_GB2312" w:eastAsia="仿宋_GB2312" w:cs="仿宋_GB2312" w:hint="eastAsia"/>
          <w:b w:val="0"/>
          <w:bCs/>
          <w:color w:val="000000"/>
          <w:sz w:val="32"/>
          <w:szCs w:val="32"/>
        </w:rPr>
        <w:t>支出决算为</w:t>
      </w:r>
      <w:r>
        <w:rPr>
          <w:rStyle w:val="21"/>
          <w:rFonts w:ascii="仿宋_GB2312" w:eastAsia="仿宋_GB2312" w:cs="仿宋_GB2312"/>
          <w:b w:val="0"/>
          <w:bCs/>
          <w:color w:val="000000"/>
          <w:sz w:val="32"/>
          <w:szCs w:val="32"/>
        </w:rPr>
        <w:t>28.54</w:t>
      </w:r>
      <w:r>
        <w:rPr>
          <w:rStyle w:val="21"/>
          <w:rFonts w:ascii="仿宋_GB2312" w:eastAsia="仿宋_GB2312" w:cs="仿宋_GB2312" w:hint="eastAsia"/>
          <w:b w:val="0"/>
          <w:bCs/>
          <w:color w:val="000000"/>
          <w:sz w:val="32"/>
          <w:szCs w:val="32"/>
        </w:rPr>
        <w:t>万元，完成预算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，决算数等于预算数。</w:t>
      </w:r>
    </w:p>
    <w:p>
      <w:pPr>
        <w:spacing w:line="576" w:lineRule="exact"/>
        <w:ind w:left="0"/>
      </w:pPr>
    </w:p>
    <w:p>
      <w:pPr>
        <w:spacing w:line="576" w:lineRule="exact"/>
        <w:ind w:firstLineChars="200" w:firstLine="420"/>
        <w:rPr>
          <w:rStyle w:val="21"/>
          <w:rFonts w:ascii="仿宋_GB2312" w:eastAsia="仿宋_GB2312" w:cs="仿宋_GB2312"/>
          <w:b w:val="0"/>
          <w:bCs/>
          <w:color w:val="000000"/>
          <w:sz w:val="32"/>
          <w:szCs w:val="32"/>
        </w:rPr>
      </w:pPr>
      <w:r>
        <w:object>
          <v:shape id="_x0000_i4" type="#_x0000_t75" filled="f" stroked="f" style="position:absolute;margin-left:53.950005pt;margin-top:1.7499999pt;width:216.4pt;height:144.0pt;z-index:38;mso-position-horizontal:absolute;mso-position-vertical:absolute;mso-wrap-distance-left:7.15pt;mso-wrap-distance-right:7.15pt;" o:ole="">
            <v:stroke color="#000000"/>
            <v:imagedata r:id="rId16" o:title="image5"/>
            <o:lock aspectratio="t"/>
            <w10:wrap type="square"/>
          </v:shape>
          <o:OLEObject Type="Embed" ProgID="Package" ShapeID="_x0000_i4" DrawAspect="Content" ObjectID="_1393063354" r:id="rId17"/>
        </w:object>
      </w:r>
    </w:p>
    <w:p>
      <w:pPr>
        <w:spacing w:line="576" w:lineRule="exact"/>
        <w:ind w:firstLineChars="200" w:firstLine="640"/>
        <w:rPr>
          <w:rStyle w:val="21"/>
          <w:rFonts w:ascii="仿宋_GB2312" w:eastAsia="仿宋_GB2312" w:cs="仿宋_GB2312"/>
          <w:b w:val="0"/>
          <w:bCs/>
          <w:color w:val="000000"/>
          <w:sz w:val="32"/>
          <w:szCs w:val="32"/>
        </w:rPr>
      </w:pPr>
    </w:p>
    <w:p>
      <w:pPr>
        <w:spacing w:line="576" w:lineRule="exact"/>
        <w:ind w:firstLineChars="200" w:firstLine="640"/>
        <w:rPr>
          <w:rStyle w:val="21"/>
          <w:rFonts w:ascii="仿宋_GB2312" w:eastAsia="仿宋_GB2312" w:cs="仿宋_GB2312"/>
          <w:b w:val="0"/>
          <w:bCs/>
          <w:color w:val="000000"/>
          <w:sz w:val="32"/>
          <w:szCs w:val="32"/>
        </w:rPr>
      </w:pPr>
    </w:p>
    <w:p>
      <w:pPr>
        <w:spacing w:line="576" w:lineRule="exact"/>
        <w:ind w:firstLineChars="200" w:firstLine="640"/>
        <w:rPr>
          <w:rStyle w:val="21"/>
          <w:rFonts w:ascii="仿宋_GB2312" w:eastAsia="仿宋_GB2312" w:cs="仿宋_GB2312"/>
          <w:b w:val="0"/>
          <w:bCs/>
          <w:color w:val="000000"/>
          <w:sz w:val="32"/>
          <w:szCs w:val="32"/>
        </w:rPr>
      </w:pPr>
    </w:p>
    <w:p>
      <w:pPr>
        <w:spacing w:line="576" w:lineRule="exact"/>
        <w:ind w:firstLineChars="200" w:firstLine="640"/>
        <w:rPr>
          <w:rStyle w:val="21"/>
          <w:rFonts w:ascii="仿宋_GB2312" w:eastAsia="仿宋_GB2312" w:cs="仿宋_GB2312"/>
          <w:bCs/>
          <w:color w:val="000000"/>
          <w:sz w:val="32"/>
          <w:szCs w:val="32"/>
        </w:rPr>
      </w:pPr>
    </w:p>
    <w:p>
      <w:pPr>
        <w:spacing w:line="576" w:lineRule="exact"/>
        <w:ind w:firstLineChars="200" w:firstLine="640"/>
        <w:rPr>
          <w:rStyle w:val="21"/>
          <w:rFonts w:ascii="仿宋_GB2312" w:eastAsia="仿宋_GB2312" w:cs="仿宋_GB2312"/>
          <w:bCs/>
          <w:color w:val="000000"/>
          <w:sz w:val="32"/>
          <w:szCs w:val="32"/>
        </w:rPr>
      </w:pPr>
    </w:p>
    <w:p>
      <w:pPr>
        <w:pStyle w:val="31"/>
        <w:spacing w:line="600" w:lineRule="exact"/>
        <w:ind w:left="640" w:firstLineChars="0" w:firstLine="0"/>
        <w:outlineLvl w:val="1"/>
        <w:rPr>
          <w:rStyle w:val="2Char"/>
          <w:b w:val="0"/>
        </w:rPr>
      </w:pPr>
      <w:bookmarkStart w:id="39" w:name="_Toc15377214"/>
      <w:bookmarkStart w:id="40" w:name="_Toc15396608"/>
      <w:r>
        <w:rPr>
          <w:rFonts w:ascii="黑体" w:eastAsia="黑体" w:hint="eastAsia"/>
          <w:bCs/>
          <w:color w:val="000000"/>
          <w:sz w:val="32"/>
          <w:szCs w:val="32"/>
        </w:rPr>
        <w:t>六、一</w:t>
      </w:r>
      <w:r>
        <w:rPr>
          <w:rStyle w:val="2Char"/>
          <w:rFonts w:ascii="黑体" w:eastAsia="黑体" w:hint="eastAsia"/>
          <w:b w:val="0"/>
        </w:rPr>
        <w:t>般公共预算财政拨款基本支出决算情况说明</w:t>
      </w:r>
      <w:bookmarkEnd w:id="39"/>
      <w:bookmarkEnd w:id="40"/>
    </w:p>
    <w:p>
      <w:pPr>
        <w:spacing w:line="576" w:lineRule="exact"/>
        <w:ind w:firstLine="646"/>
        <w:rPr>
          <w:rFonts w:ascii="仿宋_GB2312" w:eastAsia="仿宋_GB2312" w:cs="仿宋_GB2312"/>
          <w:color w:val="000000"/>
          <w:sz w:val="32"/>
          <w:szCs w:val="32"/>
        </w:rPr>
      </w:pPr>
      <w:r>
        <w:rPr>
          <w:rFonts w:ascii="仿宋_GB2312" w:eastAsia="仿宋_GB2312" w:cs="仿宋_GB2312"/>
          <w:color w:val="000000"/>
          <w:sz w:val="32"/>
          <w:szCs w:val="32"/>
        </w:rPr>
        <w:t>2021</w:t>
      </w:r>
      <w:r>
        <w:rPr>
          <w:rFonts w:ascii="仿宋_GB2312" w:eastAsia="仿宋_GB2312" w:cs="仿宋_GB2312" w:hint="eastAsia"/>
          <w:color w:val="000000"/>
          <w:sz w:val="32"/>
          <w:szCs w:val="32"/>
        </w:rPr>
        <w:t>年一般公共预算财政拨款基本支出</w:t>
      </w:r>
      <w:r>
        <w:rPr>
          <w:rFonts w:ascii="仿宋_GB2312" w:eastAsia="仿宋_GB2312" w:cs="仿宋_GB2312"/>
          <w:color w:val="000000"/>
          <w:sz w:val="32"/>
          <w:szCs w:val="32"/>
        </w:rPr>
        <w:t>343.66</w:t>
      </w:r>
      <w:r>
        <w:rPr>
          <w:rFonts w:ascii="仿宋_GB2312" w:eastAsia="仿宋_GB2312" w:cs="仿宋_GB2312" w:hint="eastAsia"/>
          <w:color w:val="000000"/>
          <w:sz w:val="32"/>
          <w:szCs w:val="32"/>
        </w:rPr>
        <w:t>万元，其中：</w:t>
      </w:r>
    </w:p>
    <w:p>
      <w:pPr>
        <w:spacing w:line="576" w:lineRule="exact"/>
        <w:ind w:firstLine="646"/>
        <w:rPr>
          <w:rFonts w:ascii="仿宋_GB2312" w:eastAsia="仿宋_GB2312" w:cs="仿宋_GB2312"/>
          <w:b/>
          <w:color w:val="FF0000"/>
          <w:sz w:val="32"/>
          <w:szCs w:val="32"/>
        </w:rPr>
      </w:pPr>
      <w:r>
        <w:rPr>
          <w:rFonts w:ascii="仿宋_GB2312" w:eastAsia="仿宋_GB2312" w:cs="仿宋_GB2312" w:hint="eastAsia"/>
          <w:color w:val="000000"/>
          <w:sz w:val="32"/>
          <w:szCs w:val="32"/>
        </w:rPr>
        <w:t>人员经费</w:t>
      </w:r>
      <w:r>
        <w:rPr>
          <w:rFonts w:ascii="仿宋_GB2312" w:eastAsia="仿宋_GB2312" w:cs="仿宋_GB2312"/>
          <w:color w:val="000000"/>
          <w:sz w:val="32"/>
          <w:szCs w:val="32"/>
        </w:rPr>
        <w:t>332.62</w:t>
      </w:r>
      <w:r>
        <w:rPr>
          <w:rFonts w:ascii="仿宋_GB2312" w:eastAsia="仿宋_GB2312" w:cs="仿宋_GB2312" w:hint="eastAsia"/>
          <w:color w:val="000000"/>
          <w:sz w:val="32"/>
          <w:szCs w:val="32"/>
        </w:rPr>
        <w:t>万元，主要包括：基本工资、津贴补贴、奖金、绩效工资、机关事业单位基本养老保险缴费、职业年金缴费、其他社会保障缴费、其他工资福利支出、离休费、退休费、生活补助、医疗费、奖励金、住房公积金、提租补贴、购房补贴、其他对个人和家庭的补助支出等。</w:t>
      </w:r>
      <w:r>
        <w:rPr>
          <w:rFonts w:ascii="仿宋_GB2312" w:eastAsia="仿宋_GB2312" w:cs="仿宋_GB2312"/>
          <w:color w:val="000000"/>
          <w:sz w:val="32"/>
          <w:szCs w:val="32"/>
        </w:rPr>
        <w:br/>
      </w:r>
      <w:r>
        <w:rPr>
          <w:rFonts w:ascii="仿宋_GB2312" w:eastAsia="仿宋_GB2312" w:cs="仿宋_GB2312" w:hint="eastAsia"/>
          <w:color w:val="000000"/>
          <w:sz w:val="32"/>
          <w:szCs w:val="32"/>
        </w:rPr>
        <w:t>　　公用经费</w:t>
      </w:r>
      <w:r>
        <w:rPr>
          <w:rFonts w:ascii="仿宋_GB2312" w:eastAsia="仿宋_GB2312" w:cs="仿宋_GB2312"/>
          <w:color w:val="000000"/>
          <w:sz w:val="32"/>
          <w:szCs w:val="32"/>
        </w:rPr>
        <w:t>11.04</w:t>
      </w:r>
      <w:r>
        <w:rPr>
          <w:rFonts w:ascii="仿宋_GB2312" w:eastAsia="仿宋_GB2312" w:cs="仿宋_GB2312" w:hint="eastAsia"/>
          <w:color w:val="000000"/>
          <w:sz w:val="32"/>
          <w:szCs w:val="32"/>
        </w:rPr>
        <w:t>万元，主要包括：办公费、水费、电费、邮电费、取暖费、差旅费、培训费、公务用车运行维护费、其他商品和服务支出、办公设备购置、专用设备购置、其他资本性支出等。</w:t>
      </w:r>
    </w:p>
    <w:p>
      <w:pPr>
        <w:pStyle w:val="31"/>
        <w:spacing w:line="600" w:lineRule="exact"/>
        <w:ind w:left="640" w:firstLineChars="0" w:firstLine="0"/>
        <w:outlineLvl w:val="1"/>
        <w:rPr>
          <w:rStyle w:val="2Char"/>
          <w:rFonts w:ascii="黑体" w:eastAsia="黑体"/>
          <w:b w:val="0"/>
          <w:bCs w:val="0"/>
        </w:rPr>
      </w:pPr>
      <w:bookmarkStart w:id="41" w:name="_Toc15377215"/>
      <w:bookmarkStart w:id="42" w:name="_Toc15396609"/>
      <w:r>
        <w:rPr>
          <w:rStyle w:val="2Char"/>
          <w:rFonts w:ascii="黑体" w:eastAsia="黑体" w:hint="eastAsia"/>
          <w:b w:val="0"/>
          <w:bCs w:val="0"/>
        </w:rPr>
        <w:t>七、“三公”经费财政拨款支出决算情况说明</w:t>
      </w:r>
      <w:bookmarkEnd w:id="41"/>
      <w:bookmarkEnd w:id="42"/>
    </w:p>
    <w:p>
      <w:pPr>
        <w:numPr>
          <w:ilvl w:val="0"/>
          <w:numId w:val="3"/>
        </w:numPr>
        <w:spacing w:line="576" w:lineRule="exact"/>
        <w:outlineLvl w:val="1"/>
        <w:rPr>
          <w:rFonts w:ascii="楷体" w:eastAsia="楷体" w:cs="楷体"/>
          <w:b/>
          <w:color w:val="000000"/>
          <w:sz w:val="32"/>
          <w:szCs w:val="32"/>
        </w:rPr>
      </w:pPr>
      <w:bookmarkStart w:id="43" w:name="_Toc15377216"/>
      <w:r>
        <w:rPr>
          <w:rFonts w:ascii="楷体" w:eastAsia="楷体" w:cs="楷体" w:hint="eastAsia"/>
          <w:b/>
          <w:color w:val="000000"/>
          <w:sz w:val="32"/>
          <w:szCs w:val="32"/>
        </w:rPr>
        <w:t>“三公”经费财政拨款支出决算总体情况说明</w:t>
      </w:r>
      <w:bookmarkEnd w:id="43"/>
    </w:p>
    <w:p>
      <w:pPr>
        <w:spacing w:line="576" w:lineRule="exact"/>
        <w:ind w:firstLine="640"/>
        <w:rPr>
          <w:rFonts w:ascii="仿宋" w:eastAsia="仿宋" w:cs="宋体"/>
          <w:color w:val="000000"/>
          <w:sz w:val="32"/>
          <w:szCs w:val="32"/>
        </w:rPr>
      </w:pPr>
      <w:r>
        <w:rPr>
          <w:rFonts w:ascii="仿宋" w:eastAsia="仿宋" w:cs="仿宋_GB2312"/>
          <w:color w:val="000000"/>
          <w:sz w:val="32"/>
          <w:szCs w:val="32"/>
        </w:rPr>
        <w:t>2021</w:t>
      </w:r>
      <w:r>
        <w:rPr>
          <w:rFonts w:ascii="仿宋" w:eastAsia="仿宋" w:cs="仿宋_GB2312" w:hint="eastAsia"/>
          <w:color w:val="000000"/>
          <w:sz w:val="32"/>
          <w:szCs w:val="32"/>
        </w:rPr>
        <w:t>年“三公”经费财政拨款支出决算为</w:t>
      </w:r>
      <w:r>
        <w:rPr>
          <w:rFonts w:ascii="仿宋" w:eastAsia="仿宋" w:cs="仿宋_GB2312"/>
          <w:color w:val="000000"/>
          <w:sz w:val="32"/>
          <w:szCs w:val="32"/>
        </w:rPr>
        <w:t>0.02</w:t>
      </w:r>
      <w:r>
        <w:rPr>
          <w:rFonts w:ascii="仿宋" w:eastAsia="仿宋" w:cs="仿宋_GB2312" w:hint="eastAsia"/>
          <w:color w:val="000000"/>
          <w:sz w:val="32"/>
          <w:szCs w:val="32"/>
        </w:rPr>
        <w:t>万元，完成预算</w:t>
      </w:r>
      <w:r>
        <w:rPr>
          <w:rFonts w:ascii="仿宋" w:eastAsia="仿宋" w:cs="仿宋_GB2312"/>
          <w:color w:val="000000"/>
          <w:sz w:val="32"/>
          <w:szCs w:val="32"/>
        </w:rPr>
        <w:t>100%。</w:t>
      </w:r>
    </w:p>
    <w:p>
      <w:pPr>
        <w:numPr>
          <w:ilvl w:val="0"/>
          <w:numId w:val="3"/>
        </w:numPr>
        <w:spacing w:line="576" w:lineRule="exact"/>
        <w:outlineLvl w:val="1"/>
        <w:rPr>
          <w:rFonts w:ascii="仿宋" w:eastAsia="仿宋" w:cs="楷体"/>
          <w:b/>
          <w:color w:val="000000"/>
          <w:sz w:val="32"/>
          <w:szCs w:val="32"/>
        </w:rPr>
      </w:pPr>
      <w:bookmarkStart w:id="44" w:name="_Toc15377217"/>
      <w:r>
        <w:rPr>
          <w:rFonts w:ascii="仿宋" w:eastAsia="仿宋" w:cs="楷体" w:hint="eastAsia"/>
          <w:b/>
          <w:color w:val="000000"/>
          <w:sz w:val="32"/>
          <w:szCs w:val="32"/>
        </w:rPr>
        <w:t>“三公”经费财政拨款支出决算具体情况说明</w:t>
      </w:r>
      <w:bookmarkEnd w:id="44"/>
      <w:r>
        <w:rPr>
          <w:rFonts w:ascii="仿宋" w:eastAsia="仿宋" w:cs="楷体"/>
          <w:b/>
          <w:color w:val="000000"/>
          <w:sz w:val="32"/>
          <w:szCs w:val="32"/>
        </w:rPr>
        <w:t xml:space="preserve">                                                                          </w:t>
      </w:r>
      <w:r>
        <w:rPr>
          <w:rFonts w:ascii="仿宋" w:eastAsia="仿宋" w:cs="仿宋_GB2312"/>
          <w:color w:val="000000"/>
          <w:sz w:val="32"/>
          <w:szCs w:val="32"/>
        </w:rPr>
        <w:t>2021</w:t>
      </w:r>
      <w:r>
        <w:rPr>
          <w:rFonts w:ascii="仿宋" w:eastAsia="仿宋" w:cs="仿宋_GB2312" w:hint="eastAsia"/>
          <w:color w:val="000000"/>
          <w:sz w:val="32"/>
          <w:szCs w:val="32"/>
        </w:rPr>
        <w:t>年“三公”经费财政拨款支出决算中，因公出国（境）费支出决算</w:t>
      </w:r>
      <w:r>
        <w:rPr>
          <w:rFonts w:ascii="仿宋" w:eastAsia="仿宋" w:cs="仿宋_GB2312"/>
          <w:color w:val="000000"/>
          <w:sz w:val="32"/>
          <w:szCs w:val="32"/>
        </w:rPr>
        <w:t>0</w:t>
      </w:r>
      <w:r>
        <w:rPr>
          <w:rFonts w:ascii="仿宋" w:eastAsia="仿宋" w:cs="仿宋_GB2312" w:hint="eastAsia"/>
          <w:color w:val="000000"/>
          <w:sz w:val="32"/>
          <w:szCs w:val="32"/>
        </w:rPr>
        <w:t>万元，</w:t>
      </w:r>
      <w:r>
        <w:rPr>
          <w:rFonts w:ascii="仿宋" w:eastAsia="仿宋" w:cs="宋体" w:hint="eastAsia"/>
          <w:color w:val="000000"/>
          <w:sz w:val="32"/>
          <w:szCs w:val="32"/>
        </w:rPr>
        <w:t>与</w:t>
      </w:r>
      <w:r>
        <w:rPr>
          <w:rFonts w:ascii="仿宋" w:eastAsia="仿宋" w:cs="宋体"/>
          <w:color w:val="000000"/>
          <w:sz w:val="32"/>
          <w:szCs w:val="32"/>
        </w:rPr>
        <w:t>2020</w:t>
      </w:r>
      <w:r>
        <w:rPr>
          <w:rFonts w:ascii="仿宋" w:eastAsia="仿宋" w:cs="宋体" w:hint="eastAsia"/>
          <w:color w:val="000000"/>
          <w:sz w:val="32"/>
          <w:szCs w:val="32"/>
        </w:rPr>
        <w:t>年相比，持平</w:t>
      </w:r>
      <w:r>
        <w:rPr>
          <w:rFonts w:ascii="仿宋" w:eastAsia="仿宋" w:cs="仿宋_GB2312" w:hint="eastAsia"/>
          <w:color w:val="000000"/>
          <w:sz w:val="32"/>
          <w:szCs w:val="32"/>
        </w:rPr>
        <w:t>；公务用车购置及运行维护费支出决算</w:t>
      </w:r>
      <w:r>
        <w:rPr>
          <w:rFonts w:ascii="仿宋" w:eastAsia="仿宋" w:cs="仿宋_GB2312"/>
          <w:color w:val="000000"/>
          <w:sz w:val="32"/>
          <w:szCs w:val="32"/>
        </w:rPr>
        <w:t>0</w:t>
      </w:r>
      <w:r>
        <w:rPr>
          <w:rFonts w:ascii="仿宋" w:eastAsia="仿宋" w:cs="仿宋_GB2312" w:hint="eastAsia"/>
          <w:color w:val="000000"/>
          <w:sz w:val="32"/>
          <w:szCs w:val="32"/>
        </w:rPr>
        <w:t>万元，</w:t>
      </w:r>
      <w:r>
        <w:rPr>
          <w:rFonts w:ascii="仿宋" w:eastAsia="仿宋" w:cs="宋体" w:hint="eastAsia"/>
          <w:color w:val="000000"/>
          <w:sz w:val="32"/>
          <w:szCs w:val="32"/>
        </w:rPr>
        <w:t>与</w:t>
      </w:r>
      <w:r>
        <w:rPr>
          <w:rFonts w:ascii="仿宋" w:eastAsia="仿宋" w:cs="宋体"/>
          <w:color w:val="000000"/>
          <w:sz w:val="32"/>
          <w:szCs w:val="32"/>
        </w:rPr>
        <w:t>2020</w:t>
      </w:r>
      <w:r>
        <w:rPr>
          <w:rFonts w:ascii="仿宋" w:eastAsia="仿宋" w:cs="宋体" w:hint="eastAsia"/>
          <w:color w:val="000000"/>
          <w:sz w:val="32"/>
          <w:szCs w:val="32"/>
        </w:rPr>
        <w:t>年相比，持平</w:t>
      </w:r>
      <w:r>
        <w:rPr>
          <w:rFonts w:ascii="仿宋" w:eastAsia="仿宋" w:cs="仿宋_GB2312" w:hint="eastAsia"/>
          <w:color w:val="000000"/>
          <w:sz w:val="32"/>
          <w:szCs w:val="32"/>
        </w:rPr>
        <w:t>；公务接待费支出决算</w:t>
      </w:r>
      <w:r>
        <w:rPr>
          <w:rFonts w:ascii="仿宋" w:eastAsia="仿宋" w:cs="仿宋_GB2312"/>
          <w:color w:val="000000"/>
          <w:sz w:val="32"/>
          <w:szCs w:val="32"/>
        </w:rPr>
        <w:t>0.02</w:t>
      </w:r>
      <w:r>
        <w:rPr>
          <w:rFonts w:ascii="仿宋" w:eastAsia="仿宋" w:cs="仿宋_GB2312" w:hint="eastAsia"/>
          <w:color w:val="000000"/>
          <w:sz w:val="32"/>
          <w:szCs w:val="32"/>
        </w:rPr>
        <w:t>万元</w:t>
      </w:r>
      <w:r>
        <w:rPr>
          <w:rFonts w:ascii="仿宋" w:eastAsia="仿宋" w:cs="仿宋_GB2312"/>
          <w:color w:val="000000"/>
          <w:sz w:val="32"/>
          <w:szCs w:val="32"/>
        </w:rPr>
        <w:t>，占100%</w:t>
      </w:r>
      <w:r>
        <w:rPr>
          <w:rFonts w:ascii="仿宋" w:eastAsia="仿宋" w:cs="仿宋_GB2312" w:hint="eastAsia"/>
          <w:color w:val="000000"/>
          <w:sz w:val="32"/>
          <w:szCs w:val="32"/>
        </w:rPr>
        <w:t>。</w:t>
      </w:r>
    </w:p>
    <w:p>
      <w:pPr>
        <w:spacing w:line="576" w:lineRule="exact"/>
        <w:outlineLvl w:val="1"/>
      </w:pPr>
      <w:r>
        <w:drawing>
          <wp:inline distT="0" distB="0" distL="67945" distR="67945">
            <wp:extent cx="6644005" cy="2628265"/>
            <wp:effectExtent l="0" t="0" r="0" b="0"/>
            <wp:docPr id="21" name="对象"/>
            <wp:cNvGraphicFramePr>
              <a:graphicFrameLocks noChangeAspect="0"/>
            </wp:cNvGraphicFramePr>
            <a:graphic>
              <a:graphicData uri="http://schemas.openxmlformats.org/drawingml/2006/chart">
                <c:chart xmlns:c="http://schemas.openxmlformats.org/drawingml/2006/chart" r:id="rId18"/>
              </a:graphicData>
            </a:graphic>
          </wp:inline>
        </w:drawing>
      </w:r>
    </w:p>
    <w:p>
      <w:pPr>
        <w:spacing w:line="576" w:lineRule="exact"/>
        <w:ind w:firstLine="0"/>
        <w:outlineLvl w:val="1"/>
        <w:rPr>
          <w:rFonts w:ascii="仿宋" w:eastAsia="仿宋" w:cs="楷体"/>
          <w:b/>
          <w:color w:val="000000"/>
          <w:sz w:val="32"/>
          <w:szCs w:val="32"/>
        </w:rPr>
      </w:pPr>
    </w:p>
    <w:p>
      <w:pPr>
        <w:numPr>
          <w:ilvl w:val="0"/>
          <w:numId w:val="3"/>
        </w:numPr>
        <w:spacing w:line="576" w:lineRule="exact"/>
        <w:outlineLvl w:val="1"/>
        <w:rPr>
          <w:rFonts w:ascii="楷体" w:eastAsia="楷体" w:cs="楷体"/>
          <w:b/>
          <w:color w:val="000000"/>
          <w:sz w:val="32"/>
          <w:szCs w:val="32"/>
        </w:rPr>
      </w:pPr>
      <w:r>
        <w:rPr>
          <w:rFonts w:ascii="楷体" w:eastAsia="楷体" w:cs="楷体" w:hint="eastAsia"/>
          <w:b/>
          <w:color w:val="000000"/>
          <w:sz w:val="32"/>
          <w:szCs w:val="32"/>
        </w:rPr>
        <w:t>三公经费</w:t>
      </w:r>
    </w:p>
    <w:p>
      <w:pPr>
        <w:spacing w:line="576" w:lineRule="exact"/>
        <w:ind w:firstLineChars="200" w:firstLine="640"/>
        <w:outlineLvl w:val="1"/>
        <w:rPr>
          <w:rFonts w:ascii="楷体" w:eastAsia="楷体" w:cs="楷体"/>
          <w:color w:val="000000"/>
          <w:sz w:val="32"/>
          <w:szCs w:val="32"/>
        </w:rPr>
      </w:pPr>
      <w:r>
        <w:rPr>
          <w:rFonts w:ascii="仿宋_GB2312" w:eastAsia="仿宋_GB2312" w:cs="仿宋_GB2312"/>
          <w:color w:val="000000"/>
          <w:sz w:val="32"/>
          <w:szCs w:val="32"/>
        </w:rPr>
        <w:t>1.</w:t>
      </w:r>
      <w:r>
        <w:rPr>
          <w:rFonts w:ascii="仿宋_GB2312" w:eastAsia="仿宋_GB2312" w:cs="仿宋_GB2312" w:hint="eastAsia"/>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公务用车购置及运行维护费支出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w:t>
      </w:r>
      <w:r>
        <w:rPr>
          <w:rStyle w:val="21"/>
          <w:rFonts w:ascii="仿宋_GB2312" w:eastAsia="仿宋_GB2312" w:cs="仿宋_GB2312" w:hint="eastAsia"/>
          <w:b w:val="0"/>
          <w:bCs/>
          <w:color w:val="000000"/>
          <w:sz w:val="32"/>
          <w:szCs w:val="32"/>
        </w:rPr>
        <w:t>完成预算</w:t>
      </w:r>
      <w:r>
        <w:rPr>
          <w:rStyle w:val="21"/>
          <w:rFonts w:ascii="仿宋_GB2312" w:eastAsia="仿宋_GB2312" w:cs="仿宋_GB2312"/>
          <w:b w:val="0"/>
          <w:bCs/>
          <w:color w:val="000000"/>
          <w:sz w:val="32"/>
          <w:szCs w:val="32"/>
        </w:rPr>
        <w:t>100%</w:t>
      </w:r>
      <w:r>
        <w:rPr>
          <w:rStyle w:val="21"/>
          <w:rFonts w:ascii="仿宋_GB2312" w:eastAsia="仿宋_GB2312" w:cs="仿宋_GB2312" w:hint="eastAsia"/>
          <w:b w:val="0"/>
          <w:bCs/>
          <w:color w:val="000000"/>
          <w:sz w:val="32"/>
          <w:szCs w:val="32"/>
        </w:rPr>
        <w:t>。</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其中：公务用车购置支出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公务用车运行维护费支出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640"/>
        <w:rPr>
          <w:rFonts w:ascii="仿宋_GB2312" w:eastAsia="仿宋_GB2312" w:cs="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公务接待费支出</w:t>
      </w:r>
      <w:r>
        <w:rPr>
          <w:rFonts w:ascii="仿宋_GB2312" w:eastAsia="仿宋_GB2312" w:cs="仿宋_GB2312"/>
          <w:color w:val="000000"/>
          <w:sz w:val="32"/>
          <w:szCs w:val="32"/>
        </w:rPr>
        <w:t>0.02</w:t>
      </w:r>
      <w:r>
        <w:rPr>
          <w:rFonts w:ascii="仿宋_GB2312" w:eastAsia="仿宋_GB2312" w:cs="仿宋_GB2312" w:hint="eastAsia"/>
          <w:color w:val="000000"/>
          <w:sz w:val="32"/>
          <w:szCs w:val="32"/>
        </w:rPr>
        <w:t>万元。</w:t>
      </w:r>
      <w:bookmarkStart w:id="45" w:name="_Toc15377218"/>
      <w:bookmarkStart w:id="46" w:name="_Toc15396610"/>
    </w:p>
    <w:p>
      <w:pPr>
        <w:pStyle w:val="31"/>
        <w:spacing w:line="600" w:lineRule="exact"/>
        <w:ind w:left="640" w:firstLineChars="0" w:firstLine="0"/>
        <w:outlineLvl w:val="1"/>
        <w:rPr>
          <w:rStyle w:val="2Char"/>
          <w:rFonts w:ascii="黑体" w:eastAsia="黑体"/>
        </w:rPr>
      </w:pPr>
      <w:r>
        <w:rPr>
          <w:rStyle w:val="2Char"/>
          <w:rFonts w:ascii="黑体" w:eastAsia="黑体" w:hint="eastAsia"/>
          <w:b w:val="0"/>
        </w:rPr>
        <w:t>八、政府性</w:t>
      </w:r>
      <w:r>
        <w:rPr>
          <w:rStyle w:val="2Char"/>
          <w:rFonts w:ascii="黑体" w:eastAsia="黑体" w:hint="eastAsia"/>
          <w:b w:val="0"/>
          <w:bCs w:val="0"/>
        </w:rPr>
        <w:t>基金</w:t>
      </w:r>
      <w:r>
        <w:rPr>
          <w:rStyle w:val="2Char"/>
          <w:rFonts w:ascii="黑体" w:eastAsia="黑体" w:hint="eastAsia"/>
          <w:b w:val="0"/>
        </w:rPr>
        <w:t>预算支出决算情况说明</w:t>
      </w:r>
      <w:bookmarkEnd w:id="45"/>
      <w:bookmarkEnd w:id="46"/>
    </w:p>
    <w:p>
      <w:pPr>
        <w:spacing w:line="576" w:lineRule="exact"/>
        <w:ind w:firstLine="641"/>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年无政府性基金预算拨款支出。</w:t>
      </w:r>
    </w:p>
    <w:p>
      <w:pPr>
        <w:pStyle w:val="31"/>
        <w:spacing w:line="600" w:lineRule="exact"/>
        <w:ind w:left="640" w:firstLineChars="0" w:firstLine="0"/>
        <w:outlineLvl w:val="1"/>
        <w:rPr>
          <w:rStyle w:val="2Char"/>
          <w:rFonts w:ascii="黑体" w:eastAsia="黑体"/>
          <w:b w:val="0"/>
        </w:rPr>
      </w:pPr>
      <w:bookmarkStart w:id="47" w:name="_Toc15396611"/>
      <w:bookmarkStart w:id="48" w:name="_Toc15377219"/>
      <w:r>
        <w:rPr>
          <w:rStyle w:val="2Char"/>
          <w:rFonts w:ascii="黑体" w:eastAsia="黑体" w:hint="eastAsia"/>
          <w:b w:val="0"/>
        </w:rPr>
        <w:t>九、国有资本经营预算支出决算情况说明</w:t>
      </w:r>
      <w:bookmarkEnd w:id="47"/>
      <w:bookmarkEnd w:id="48"/>
    </w:p>
    <w:p>
      <w:pPr>
        <w:spacing w:line="576" w:lineRule="exact"/>
        <w:ind w:firstLine="641"/>
        <w:rPr>
          <w:rFonts w:ascii="仿宋_GB2312" w:eastAsia="仿宋_GB2312"/>
          <w:color w:val="000000"/>
          <w:sz w:val="32"/>
          <w:szCs w:val="32"/>
        </w:rPr>
      </w:pPr>
      <w:r>
        <w:rPr>
          <w:rFonts w:ascii="仿宋_GB2312" w:eastAsia="仿宋_GB2312" w:hint="eastAsia"/>
          <w:color w:val="000000"/>
          <w:sz w:val="32"/>
          <w:szCs w:val="32"/>
        </w:rPr>
        <w:t>茂县粮食和物资储备中心</w:t>
      </w:r>
      <w:r>
        <w:rPr>
          <w:rFonts w:ascii="仿宋_GB2312" w:eastAsia="仿宋_GB2312"/>
          <w:color w:val="000000"/>
          <w:sz w:val="32"/>
          <w:szCs w:val="32"/>
        </w:rPr>
        <w:t>2021</w:t>
      </w:r>
      <w:r>
        <w:rPr>
          <w:rFonts w:ascii="仿宋_GB2312" w:eastAsia="仿宋_GB2312" w:hint="eastAsia"/>
          <w:color w:val="000000"/>
          <w:sz w:val="32"/>
          <w:szCs w:val="32"/>
        </w:rPr>
        <w:t>年无国有资本经营预算拨款支出。</w:t>
      </w:r>
    </w:p>
    <w:p>
      <w:pPr>
        <w:pStyle w:val="31"/>
        <w:spacing w:line="600" w:lineRule="exact"/>
        <w:ind w:left="640" w:firstLineChars="0" w:firstLine="0"/>
        <w:outlineLvl w:val="1"/>
        <w:rPr>
          <w:rStyle w:val="2Char"/>
          <w:rFonts w:ascii="黑体" w:eastAsia="黑体"/>
          <w:b w:val="0"/>
        </w:rPr>
      </w:pPr>
      <w:r>
        <w:rPr>
          <w:rStyle w:val="2Char"/>
          <w:rFonts w:ascii="黑体" w:eastAsia="黑体" w:hint="eastAsia"/>
          <w:b w:val="0"/>
        </w:rPr>
        <w:t>十、预算绩效情况说明</w:t>
      </w:r>
    </w:p>
    <w:p>
      <w:pPr>
        <w:numPr>
          <w:ilvl w:val="0"/>
          <w:numId w:val="4"/>
        </w:numPr>
        <w:spacing w:line="600" w:lineRule="exact"/>
        <w:outlineLvl w:val="1"/>
        <w:rPr>
          <w:rFonts w:ascii="仿宋" w:eastAsia="仿宋" w:cs="楷体_GB2312"/>
          <w:b/>
          <w:bCs/>
          <w:sz w:val="32"/>
          <w:szCs w:val="32"/>
        </w:rPr>
      </w:pPr>
      <w:r>
        <w:rPr>
          <w:rFonts w:ascii="楷体" w:eastAsia="楷体" w:cs="楷体" w:hint="eastAsia"/>
          <w:b/>
          <w:bCs/>
          <w:sz w:val="32"/>
          <w:szCs w:val="32"/>
        </w:rPr>
        <w:t>预算绩效管理工作开展情况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根据预算绩效管理要求，本单位在年初预算编制阶段，组织对</w:t>
      </w:r>
      <w:r>
        <w:rPr>
          <w:rFonts w:ascii="仿宋_GB2312" w:eastAsia="仿宋_GB2312" w:cs="仿宋_GB2312"/>
          <w:sz w:val="32"/>
          <w:szCs w:val="32"/>
        </w:rPr>
        <w:t>3</w:t>
      </w:r>
      <w:r>
        <w:rPr>
          <w:rFonts w:ascii="仿宋_GB2312" w:eastAsia="仿宋_GB2312" w:cs="仿宋_GB2312" w:hint="eastAsia"/>
          <w:sz w:val="32"/>
          <w:szCs w:val="32"/>
        </w:rPr>
        <w:t>个项目开展了预算事前绩效评估，对</w:t>
      </w:r>
      <w:r>
        <w:rPr>
          <w:rFonts w:ascii="仿宋_GB2312" w:eastAsia="仿宋_GB2312" w:cs="仿宋_GB2312"/>
          <w:sz w:val="32"/>
          <w:szCs w:val="32"/>
        </w:rPr>
        <w:t>3</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3</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3</w:t>
      </w:r>
      <w:r>
        <w:rPr>
          <w:rFonts w:ascii="仿宋_GB2312" w:eastAsia="仿宋_GB2312" w:cs="仿宋_GB2312" w:hint="eastAsia"/>
          <w:sz w:val="32"/>
          <w:szCs w:val="32"/>
        </w:rPr>
        <w:t>个项目开展了绩效目标完成情况梳理填报。</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本单位按要求对</w:t>
      </w:r>
      <w:r>
        <w:rPr>
          <w:rFonts w:ascii="仿宋_GB2312" w:eastAsia="仿宋_GB2312" w:cs="仿宋_GB2312"/>
          <w:sz w:val="32"/>
          <w:szCs w:val="32"/>
        </w:rPr>
        <w:t>2021</w:t>
      </w:r>
      <w:r>
        <w:rPr>
          <w:rFonts w:ascii="仿宋_GB2312" w:eastAsia="仿宋_GB2312" w:cs="仿宋_GB2312" w:hint="eastAsia"/>
          <w:sz w:val="32"/>
          <w:szCs w:val="32"/>
        </w:rPr>
        <w:t>年部门整体支出开展绩效自评，从评价情况来看</w:t>
      </w:r>
      <w:r>
        <w:rPr>
          <w:rFonts w:ascii="仿宋_GB2312" w:eastAsia="仿宋_GB2312" w:cs="仿宋_GB2312"/>
          <w:sz w:val="32"/>
          <w:szCs w:val="32"/>
        </w:rPr>
        <w:t>2021</w:t>
      </w:r>
      <w:r>
        <w:rPr>
          <w:rFonts w:ascii="仿宋_GB2312" w:eastAsia="仿宋_GB2312" w:cs="仿宋_GB2312" w:hint="eastAsia"/>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pPr>
        <w:numPr>
          <w:ilvl w:val="0"/>
          <w:numId w:val="4"/>
        </w:numPr>
        <w:spacing w:line="576" w:lineRule="exact"/>
        <w:rPr>
          <w:rFonts w:ascii="楷体" w:eastAsia="楷体" w:cs="楷体"/>
          <w:b/>
          <w:bCs/>
          <w:sz w:val="32"/>
          <w:szCs w:val="32"/>
        </w:rPr>
      </w:pPr>
      <w:r>
        <w:rPr>
          <w:rFonts w:ascii="楷体" w:eastAsia="楷体" w:cs="楷体" w:hint="eastAsia"/>
          <w:b/>
          <w:bCs/>
          <w:sz w:val="32"/>
          <w:szCs w:val="32"/>
        </w:rPr>
        <w:t>项目绩效目标完成情况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Pr>
          <w:rFonts w:ascii="仿宋_GB2312" w:eastAsia="仿宋_GB2312" w:cs="仿宋_GB2312"/>
          <w:sz w:val="32"/>
          <w:szCs w:val="32"/>
        </w:rPr>
        <w:t>中转站粮油建设项目</w:t>
      </w:r>
      <w:r>
        <w:rPr>
          <w:rFonts w:ascii="仿宋_GB2312" w:eastAsia="仿宋_GB2312" w:cs="仿宋_GB2312" w:hint="eastAsia"/>
          <w:sz w:val="32"/>
          <w:szCs w:val="32"/>
        </w:rPr>
        <w:t>”、“粮食轮换及利息费用、“</w:t>
      </w:r>
      <w:r>
        <w:rPr>
          <w:rFonts w:ascii="仿宋_GB2312" w:eastAsia="仿宋_GB2312" w:cs="仿宋_GB2312"/>
          <w:sz w:val="32"/>
          <w:szCs w:val="32"/>
        </w:rPr>
        <w:t>军粮供应网点建设</w:t>
      </w:r>
      <w:r>
        <w:rPr>
          <w:rFonts w:ascii="宋体" w:cs="宋体"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个项目绩效目标实际完成情况。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1.中转粮油建设项目</w:t>
      </w:r>
      <w:r>
        <w:rPr>
          <w:rFonts w:ascii="仿宋_GB2312" w:eastAsia="仿宋_GB2312" w:cs="仿宋_GB2312" w:hint="eastAsia"/>
          <w:sz w:val="32"/>
          <w:szCs w:val="32"/>
        </w:rPr>
        <w:t>绩效目标完成情况综述。项目全年预算数</w:t>
      </w:r>
      <w:r>
        <w:rPr>
          <w:rFonts w:ascii="仿宋_GB2312" w:eastAsia="仿宋_GB2312" w:cs="仿宋_GB2312"/>
          <w:sz w:val="32"/>
          <w:szCs w:val="32"/>
        </w:rPr>
        <w:t>2038639.53</w:t>
      </w:r>
      <w:r>
        <w:rPr>
          <w:rFonts w:ascii="仿宋_GB2312" w:eastAsia="仿宋_GB2312" w:cs="仿宋_GB2312" w:hint="eastAsia"/>
          <w:sz w:val="32"/>
          <w:szCs w:val="32"/>
        </w:rPr>
        <w:t>元，执行数为</w:t>
      </w:r>
      <w:r>
        <w:rPr>
          <w:rFonts w:ascii="仿宋_GB2312" w:eastAsia="仿宋_GB2312" w:cs="仿宋_GB2312"/>
          <w:sz w:val="32"/>
          <w:szCs w:val="32"/>
        </w:rPr>
        <w:t>2038639.53</w:t>
      </w:r>
      <w:r>
        <w:rPr>
          <w:rFonts w:ascii="仿宋_GB2312" w:eastAsia="仿宋_GB2312" w:cs="仿宋_GB2312" w:hint="eastAsia"/>
          <w:sz w:val="32"/>
          <w:szCs w:val="32"/>
        </w:rPr>
        <w:t>元，完成预算的</w:t>
      </w:r>
      <w:r>
        <w:rPr>
          <w:rFonts w:ascii="仿宋_GB2312" w:eastAsia="仿宋_GB2312" w:cs="仿宋_GB2312"/>
          <w:sz w:val="32"/>
          <w:szCs w:val="32"/>
        </w:rPr>
        <w:t>100%</w:t>
      </w:r>
      <w:r>
        <w:rPr>
          <w:rFonts w:ascii="仿宋_GB2312" w:eastAsia="仿宋_GB2312" w:cs="仿宋_GB2312" w:hint="eastAsia"/>
          <w:sz w:val="32"/>
          <w:szCs w:val="32"/>
        </w:rPr>
        <w:t>。通过项目实施，保障</w:t>
      </w:r>
      <w:r>
        <w:rPr>
          <w:rFonts w:ascii="宋体" w:cs="宋体" w:hint="eastAsia"/>
          <w:sz w:val="32"/>
          <w:szCs w:val="32"/>
        </w:rPr>
        <w:t>了全县粮油储备地方安全性及食用性</w:t>
      </w:r>
      <w:r>
        <w:rPr>
          <w:rFonts w:ascii="仿宋_GB2312" w:eastAsia="仿宋_GB2312" w:cs="仿宋_GB2312" w:hint="eastAsia"/>
          <w:sz w:val="32"/>
          <w:szCs w:val="32"/>
        </w:rPr>
        <w:t>，有效保障了全县群众生活必需品有充足保障。</w:t>
      </w:r>
    </w:p>
    <w:p>
      <w:pPr>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粮食轮换及利息费用项目绩效目标完成情况综述。项目全年预算数</w:t>
      </w:r>
      <w:r>
        <w:rPr>
          <w:rFonts w:ascii="仿宋_GB2312" w:hAnsi="仿宋_GB2312"/>
          <w:sz w:val="32"/>
          <w:szCs w:val="32"/>
          <w:lang w:val="zh-CN"/>
        </w:rPr>
        <w:t>535464.65</w:t>
      </w:r>
      <w:r>
        <w:rPr>
          <w:rFonts w:ascii="仿宋_GB2312" w:eastAsia="仿宋_GB2312" w:cs="仿宋_GB2312" w:hint="eastAsia"/>
          <w:sz w:val="32"/>
          <w:szCs w:val="32"/>
        </w:rPr>
        <w:t>元，执行数为</w:t>
      </w:r>
      <w:r>
        <w:rPr>
          <w:rFonts w:ascii="仿宋_GB2312" w:hAnsi="仿宋_GB2312"/>
          <w:sz w:val="32"/>
          <w:szCs w:val="32"/>
          <w:lang w:val="zh-CN"/>
        </w:rPr>
        <w:t>535464.65</w:t>
      </w:r>
      <w:r>
        <w:rPr>
          <w:rFonts w:ascii="仿宋_GB2312" w:eastAsia="仿宋_GB2312" w:cs="仿宋_GB2312" w:hint="eastAsia"/>
          <w:sz w:val="32"/>
          <w:szCs w:val="32"/>
        </w:rPr>
        <w:t>元，完成预算的</w:t>
      </w:r>
      <w:r>
        <w:rPr>
          <w:rFonts w:ascii="仿宋_GB2312" w:eastAsia="仿宋_GB2312" w:cs="仿宋_GB2312"/>
          <w:sz w:val="32"/>
          <w:szCs w:val="32"/>
        </w:rPr>
        <w:t>100%</w:t>
      </w:r>
      <w:r>
        <w:rPr>
          <w:rFonts w:ascii="仿宋_GB2312" w:eastAsia="仿宋_GB2312" w:cs="仿宋_GB2312" w:hint="eastAsia"/>
          <w:sz w:val="32"/>
          <w:szCs w:val="32"/>
        </w:rPr>
        <w:t>。通过项目实施，完成了全县粮油轮换任务，保障全县用粮安全。</w:t>
      </w:r>
    </w:p>
    <w:p>
      <w:pPr>
        <w:spacing w:line="576" w:lineRule="exact"/>
        <w:ind w:firstLineChars="200" w:firstLine="640"/>
        <w:rPr>
          <w:rFonts w:ascii="仿宋_GB2312" w:eastAsia="仿宋_GB2312" w:cs="仿宋_GB2312"/>
          <w:sz w:val="32"/>
          <w:szCs w:val="32"/>
        </w:rPr>
      </w:pPr>
      <w:r>
        <w:rPr>
          <w:rFonts w:ascii="仿宋_GB2312" w:eastAsia="仿宋_GB2312" w:cs="仿宋_GB2312"/>
          <w:sz w:val="32"/>
          <w:szCs w:val="32"/>
        </w:rPr>
        <w:t>3.军粮供应网点建设</w:t>
      </w:r>
      <w:r>
        <w:rPr>
          <w:rFonts w:ascii="仿宋_GB2312" w:eastAsia="仿宋_GB2312" w:cs="仿宋_GB2312" w:hint="eastAsia"/>
          <w:sz w:val="32"/>
          <w:szCs w:val="32"/>
        </w:rPr>
        <w:t>完成情况综述。项目全年预算数</w:t>
      </w:r>
      <w:r>
        <w:rPr>
          <w:rFonts w:ascii="仿宋_GB2312" w:eastAsia="仿宋_GB2312" w:cs="仿宋_GB2312"/>
          <w:sz w:val="32"/>
          <w:szCs w:val="32"/>
        </w:rPr>
        <w:t>584642</w:t>
      </w:r>
      <w:r>
        <w:rPr>
          <w:rFonts w:ascii="仿宋_GB2312" w:eastAsia="仿宋_GB2312" w:cs="仿宋_GB2312" w:hint="eastAsia"/>
          <w:sz w:val="32"/>
          <w:szCs w:val="32"/>
        </w:rPr>
        <w:t>元，执行数为</w:t>
      </w:r>
      <w:r>
        <w:rPr>
          <w:rFonts w:ascii="仿宋_GB2312" w:eastAsia="仿宋_GB2312" w:cs="仿宋_GB2312"/>
          <w:sz w:val="32"/>
          <w:szCs w:val="32"/>
        </w:rPr>
        <w:t>584642</w:t>
      </w:r>
      <w:r>
        <w:rPr>
          <w:rFonts w:ascii="仿宋_GB2312" w:eastAsia="仿宋_GB2312" w:cs="仿宋_GB2312" w:hint="eastAsia"/>
          <w:sz w:val="32"/>
          <w:szCs w:val="32"/>
        </w:rPr>
        <w:t>元，完成预算的</w:t>
      </w:r>
      <w:r>
        <w:rPr>
          <w:rFonts w:ascii="仿宋_GB2312" w:eastAsia="仿宋_GB2312" w:cs="仿宋_GB2312"/>
          <w:sz w:val="32"/>
          <w:szCs w:val="32"/>
        </w:rPr>
        <w:t>100%</w:t>
      </w:r>
      <w:r>
        <w:rPr>
          <w:rFonts w:ascii="仿宋_GB2312" w:eastAsia="仿宋_GB2312" w:cs="仿宋_GB2312" w:hint="eastAsia"/>
          <w:sz w:val="32"/>
          <w:szCs w:val="32"/>
        </w:rPr>
        <w:t>。通过项目实施，保障</w:t>
      </w:r>
      <w:r>
        <w:rPr>
          <w:rFonts w:ascii="宋体" w:cs="宋体" w:hint="eastAsia"/>
          <w:sz w:val="32"/>
          <w:szCs w:val="32"/>
        </w:rPr>
        <w:t>了</w:t>
      </w:r>
      <w:r>
        <w:rPr>
          <w:rFonts w:ascii="宋体" w:cs="宋体"/>
          <w:sz w:val="32"/>
          <w:szCs w:val="32"/>
        </w:rPr>
        <w:t>军粮供应</w:t>
      </w:r>
      <w:r>
        <w:rPr>
          <w:rFonts w:ascii="宋体" w:cs="宋体" w:hint="eastAsia"/>
          <w:sz w:val="32"/>
          <w:szCs w:val="32"/>
        </w:rPr>
        <w:t>安全性需要。</w:t>
      </w:r>
    </w:p>
    <w:p>
      <w:pPr>
        <w:spacing w:line="576" w:lineRule="exact"/>
        <w:ind w:firstLineChars="200" w:firstLine="640"/>
        <w:rPr>
          <w:rFonts w:ascii="宋体" w:cs="宋体"/>
          <w:sz w:val="32"/>
          <w:szCs w:val="32"/>
        </w:rPr>
      </w:pPr>
    </w:p>
    <w:p>
      <w:pPr>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346"/>
        <w:gridCol w:w="2048"/>
        <w:gridCol w:w="2392"/>
      </w:tblGrid>
      <w:tr>
        <w:trPr>
          <w:trHeight w:val="1034"/>
        </w:trPr>
        <w:tc>
          <w:tcPr>
            <w:tcW w:w="9960" w:type="dxa"/>
            <w:gridSpan w:val="7"/>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sz w:val="32"/>
                <w:szCs w:val="32"/>
              </w:rPr>
              <w:t>中转粮油建设项目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茂县粮食和物资储备中心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18"/>
                <w:szCs w:val="18"/>
              </w:rPr>
              <w:t>预算执行情况</w:t>
            </w:r>
            <w:r>
              <w:rPr>
                <w:rFonts w:ascii="宋体" w:cs="宋体"/>
                <w:color w:val="000000"/>
                <w:kern w:val="0"/>
                <w:sz w:val="18"/>
                <w:szCs w:val="18"/>
              </w:rPr>
              <w:t>(</w:t>
            </w:r>
            <w:r>
              <w:rPr>
                <w:rFonts w:ascii="宋体" w:cs="宋体" w:hint="eastAsia"/>
                <w:color w:val="000000"/>
                <w:kern w:val="0"/>
                <w:sz w:val="18"/>
                <w:szCs w:val="18"/>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2038639.53</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2038639.53</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2038639.53</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2038639.53</w:t>
            </w:r>
          </w:p>
        </w:tc>
      </w:tr>
      <w:tr>
        <w:trPr>
          <w:trHeight w:val="9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513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44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513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rPr>
              <w:t>完成项目</w:t>
            </w:r>
          </w:p>
        </w:tc>
        <w:tc>
          <w:tcPr>
            <w:tcW w:w="444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rPr>
              <w:t>完成项目</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宋体" w:cs="宋体"/>
                <w:sz w:val="24"/>
              </w:rPr>
              <w:t>中转站</w:t>
            </w:r>
            <w:r>
              <w:rPr>
                <w:rFonts w:ascii="宋体" w:cs="宋体" w:hint="eastAsia"/>
                <w:sz w:val="24"/>
              </w:rPr>
              <w:t>粮库</w:t>
            </w:r>
            <w:r>
              <w:rPr>
                <w:rFonts w:ascii="宋体" w:cs="宋体"/>
                <w:sz w:val="24"/>
              </w:rPr>
              <w:t>修建</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sz w:val="24"/>
              </w:rPr>
            </w:pPr>
            <w:r>
              <w:rPr>
                <w:rFonts w:ascii="宋体" w:cs="宋体"/>
                <w:sz w:val="24"/>
              </w:rPr>
              <w:t>中转站</w:t>
            </w:r>
            <w:r>
              <w:rPr>
                <w:rFonts w:ascii="宋体" w:cs="宋体" w:hint="eastAsia"/>
                <w:sz w:val="24"/>
              </w:rPr>
              <w:t>粮库</w:t>
            </w:r>
            <w:r>
              <w:rPr>
                <w:rFonts w:ascii="宋体" w:cs="宋体"/>
                <w:sz w:val="24"/>
              </w:rPr>
              <w:t>修建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宋体" w:cs="宋体"/>
                <w:sz w:val="24"/>
              </w:rPr>
              <w:t>中转站</w:t>
            </w:r>
            <w:r>
              <w:rPr>
                <w:rFonts w:ascii="宋体" w:cs="宋体" w:hint="eastAsia"/>
                <w:sz w:val="24"/>
              </w:rPr>
              <w:t>粮库</w:t>
            </w:r>
            <w:r>
              <w:rPr>
                <w:rFonts w:ascii="宋体" w:cs="宋体"/>
                <w:sz w:val="24"/>
              </w:rPr>
              <w:t>修建</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项目验收合格率</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合格率达到</w:t>
            </w: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项目完成验收并合格通过达到</w:t>
            </w:r>
            <w:r>
              <w:rPr>
                <w:rFonts w:ascii="宋体" w:cs="宋体"/>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竣工时间</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月前完成</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该项目于</w:t>
            </w: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月前完成</w:t>
            </w:r>
          </w:p>
        </w:tc>
      </w:tr>
      <w:tr>
        <w:trPr>
          <w:trHeight w:val="51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w:t>
            </w:r>
          </w:p>
          <w:p>
            <w:pPr>
              <w:widowControl/>
              <w:jc w:val="center"/>
              <w:textAlignment w:val="center"/>
              <w:rPr>
                <w:rFonts w:ascii="宋体" w:cs="宋体"/>
                <w:color w:val="000000"/>
                <w:sz w:val="24"/>
              </w:rPr>
            </w:pPr>
            <w:r>
              <w:rPr>
                <w:rFonts w:ascii="宋体" w:cs="宋体" w:hint="eastAsia"/>
                <w:color w:val="000000"/>
                <w:sz w:val="24"/>
              </w:rPr>
              <w:t>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储存粮油安全问题</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生态效益</w:t>
            </w:r>
          </w:p>
          <w:p>
            <w:pPr>
              <w:widowControl/>
              <w:jc w:val="center"/>
              <w:textAlignment w:val="center"/>
              <w:rPr>
                <w:rFonts w:ascii="宋体" w:cs="宋体"/>
                <w:color w:val="000000"/>
                <w:sz w:val="24"/>
              </w:rPr>
            </w:pPr>
            <w:r>
              <w:rPr>
                <w:rFonts w:ascii="宋体" w:cs="宋体" w:hint="eastAsia"/>
                <w:color w:val="000000"/>
                <w:sz w:val="24"/>
              </w:rPr>
              <w:t>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75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服务对象</w:t>
            </w:r>
          </w:p>
          <w:p>
            <w:pPr>
              <w:widowControl/>
              <w:jc w:val="center"/>
              <w:textAlignment w:val="center"/>
              <w:rPr>
                <w:rFonts w:ascii="宋体" w:cs="宋体"/>
                <w:color w:val="000000"/>
                <w:sz w:val="24"/>
              </w:rPr>
            </w:pPr>
            <w:r>
              <w:rPr>
                <w:rFonts w:ascii="宋体" w:cs="宋体" w:hint="eastAsia"/>
                <w:color w:val="000000"/>
                <w:sz w:val="24"/>
              </w:rPr>
              <w:t>满意度指标</w:t>
            </w:r>
          </w:p>
        </w:tc>
        <w:tc>
          <w:tcPr>
            <w:tcW w:w="27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受益益群众满意度</w:t>
            </w:r>
          </w:p>
        </w:tc>
        <w:tc>
          <w:tcPr>
            <w:tcW w:w="204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群众满意度大于</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满意率</w:t>
            </w:r>
            <w:r>
              <w:rPr>
                <w:rFonts w:ascii="宋体" w:cs="宋体"/>
                <w:color w:val="000000"/>
                <w:sz w:val="24"/>
              </w:rPr>
              <w:t>100%</w:t>
            </w:r>
          </w:p>
        </w:tc>
      </w:tr>
      <w:tr>
        <w:trPr>
          <w:trHeight w:val="1034"/>
        </w:trPr>
        <w:tc>
          <w:tcPr>
            <w:tcW w:w="9960" w:type="dxa"/>
            <w:gridSpan w:val="7"/>
            <w:tcBorders>
              <w:top w:val="nil"/>
              <w:bottom w:val="nil"/>
            </w:tcBorders>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年粮食轮换及利息费用</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茂县粮食和物资储备中心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18"/>
                <w:szCs w:val="18"/>
              </w:rPr>
              <w:t>预算执行情况</w:t>
            </w:r>
            <w:r>
              <w:rPr>
                <w:rFonts w:ascii="宋体" w:cs="宋体"/>
                <w:color w:val="000000"/>
                <w:kern w:val="0"/>
                <w:sz w:val="18"/>
                <w:szCs w:val="18"/>
              </w:rPr>
              <w:t>(</w:t>
            </w:r>
            <w:r>
              <w:rPr>
                <w:rFonts w:ascii="宋体" w:cs="宋体" w:hint="eastAsia"/>
                <w:color w:val="000000"/>
                <w:kern w:val="0"/>
                <w:sz w:val="18"/>
                <w:szCs w:val="18"/>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lang w:val="zh-CN"/>
              </w:rPr>
              <w:t>535464.65</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lang w:val="zh-CN"/>
              </w:rPr>
              <w:t>535464.65</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lang w:val="zh-CN"/>
              </w:rPr>
              <w:t>535464.65</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lang w:val="zh-CN"/>
              </w:rPr>
              <w:t>535464.65</w:t>
            </w:r>
          </w:p>
        </w:tc>
      </w:tr>
      <w:tr>
        <w:trPr>
          <w:trHeight w:val="92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1</w:t>
            </w:r>
            <w:r>
              <w:rPr>
                <w:rFonts w:ascii="宋体" w:cs="宋体" w:hint="eastAsia"/>
                <w:color w:val="000000"/>
                <w:sz w:val="24"/>
              </w:rPr>
              <w:t>处项目</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1</w:t>
            </w:r>
            <w:r>
              <w:rPr>
                <w:rFonts w:ascii="宋体" w:cs="宋体" w:hint="eastAsia"/>
                <w:color w:val="000000"/>
                <w:sz w:val="24"/>
              </w:rPr>
              <w:t>处项目</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完成全县粮食轮换</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完成全县粮食轮换</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完成全县粮食轮换</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项目验收合格率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合格率达到</w:t>
            </w: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项目完成验收并合格通过达到</w:t>
            </w:r>
            <w:r>
              <w:rPr>
                <w:rFonts w:ascii="宋体" w:cs="宋体"/>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竣工时间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2020</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月前完工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该项目于</w:t>
            </w:r>
            <w:r>
              <w:rPr>
                <w:rFonts w:ascii="宋体" w:cs="宋体"/>
                <w:color w:val="000000"/>
                <w:sz w:val="24"/>
              </w:rPr>
              <w:t>2020</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月前完工</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w:t>
            </w:r>
          </w:p>
          <w:p>
            <w:pPr>
              <w:widowControl/>
              <w:jc w:val="center"/>
              <w:textAlignment w:val="center"/>
              <w:rPr>
                <w:rFonts w:ascii="宋体" w:cs="宋体"/>
                <w:color w:val="000000"/>
                <w:sz w:val="24"/>
              </w:rPr>
            </w:pP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保障全县人民粮食市场安全，有充足粮食供应</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保障全县人民粮食市场安全，有充足粮食供应</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保障全县人民粮食市场安全，有充足粮食供应</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生态效益</w:t>
            </w:r>
          </w:p>
          <w:p>
            <w:pPr>
              <w:widowControl/>
              <w:jc w:val="center"/>
              <w:textAlignment w:val="center"/>
              <w:rPr>
                <w:rFonts w:ascii="宋体" w:cs="宋体"/>
                <w:color w:val="000000"/>
                <w:sz w:val="24"/>
              </w:rPr>
            </w:pP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服务对象</w:t>
            </w:r>
          </w:p>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受益益群众满意度</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群众满意度大于</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满意率</w:t>
            </w:r>
            <w:r>
              <w:rPr>
                <w:rFonts w:ascii="宋体" w:cs="宋体"/>
                <w:color w:val="000000"/>
                <w:sz w:val="24"/>
              </w:rPr>
              <w:t>100%</w:t>
            </w:r>
          </w:p>
        </w:tc>
      </w:tr>
      <w:tr>
        <w:trPr>
          <w:trHeight w:val="1034"/>
        </w:trPr>
        <w:tc>
          <w:tcPr>
            <w:tcW w:w="9960" w:type="dxa"/>
            <w:gridSpan w:val="7"/>
            <w:tcBorders>
              <w:top w:val="nil"/>
              <w:bottom w:val="nil"/>
            </w:tcBorders>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b/>
                <w:bCs/>
                <w:color w:val="000000"/>
                <w:kern w:val="0"/>
                <w:sz w:val="36"/>
                <w:szCs w:val="36"/>
              </w:rPr>
              <w:br/>
            </w: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军粮供应网点建设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茂县粮食和物资储备中心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18"/>
                <w:szCs w:val="18"/>
              </w:rPr>
              <w:t>预算执行情况</w:t>
            </w:r>
            <w:r>
              <w:rPr>
                <w:rFonts w:ascii="宋体" w:cs="宋体"/>
                <w:color w:val="000000"/>
                <w:kern w:val="0"/>
                <w:sz w:val="18"/>
                <w:szCs w:val="18"/>
              </w:rPr>
              <w:t>(</w:t>
            </w:r>
            <w:r>
              <w:rPr>
                <w:rFonts w:ascii="宋体" w:cs="宋体" w:hint="eastAsia"/>
                <w:color w:val="000000"/>
                <w:kern w:val="0"/>
                <w:sz w:val="18"/>
                <w:szCs w:val="18"/>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584642</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584642</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584642</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584642</w:t>
            </w:r>
          </w:p>
        </w:tc>
      </w:tr>
      <w:tr>
        <w:trPr>
          <w:trHeight w:val="92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1</w:t>
            </w:r>
            <w:r>
              <w:rPr>
                <w:rFonts w:ascii="宋体" w:cs="宋体" w:hint="eastAsia"/>
                <w:color w:val="000000"/>
                <w:sz w:val="24"/>
              </w:rPr>
              <w:t>处项目</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1</w:t>
            </w:r>
            <w:r>
              <w:rPr>
                <w:rFonts w:ascii="宋体" w:cs="宋体" w:hint="eastAsia"/>
                <w:color w:val="000000"/>
                <w:sz w:val="24"/>
              </w:rPr>
              <w:t>处项目</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军粮供应网点建设</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军粮供应网点建设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w:t>
            </w:r>
            <w:r>
              <w:rPr>
                <w:rFonts w:ascii="宋体" w:cs="宋体"/>
                <w:color w:val="000000"/>
                <w:sz w:val="24"/>
              </w:rPr>
              <w:t>军粮供应网点建设</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项目验收合格率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合格率达到</w:t>
            </w:r>
            <w:r>
              <w:rPr>
                <w:rFonts w:asci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w:t>
            </w:r>
            <w:r>
              <w:rPr>
                <w:rFonts w:ascii="宋体" w:cs="宋体"/>
                <w:color w:val="000000"/>
                <w:sz w:val="24"/>
              </w:rPr>
              <w:t>已完工</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竣工时间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2021</w:t>
            </w:r>
            <w:r>
              <w:rPr>
                <w:rFonts w:ascii="宋体" w:cs="宋体" w:hint="eastAsia"/>
                <w:color w:val="000000"/>
                <w:sz w:val="24"/>
              </w:rPr>
              <w:t>年</w:t>
            </w:r>
            <w:r>
              <w:rPr>
                <w:rFonts w:ascii="宋体" w:cs="宋体"/>
                <w:color w:val="000000"/>
                <w:sz w:val="24"/>
              </w:rPr>
              <w:t>12</w:t>
            </w:r>
            <w:r>
              <w:rPr>
                <w:rFonts w:ascii="宋体" w:cs="宋体" w:hint="eastAsia"/>
                <w:color w:val="000000"/>
                <w:sz w:val="24"/>
              </w:rPr>
              <w:t>月前完工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项目</w:t>
            </w:r>
            <w:r>
              <w:rPr>
                <w:rFonts w:ascii="宋体" w:cs="宋体"/>
                <w:color w:val="000000"/>
                <w:sz w:val="24"/>
              </w:rPr>
              <w:t>已完工</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w:t>
            </w:r>
          </w:p>
          <w:p>
            <w:pPr>
              <w:widowControl/>
              <w:jc w:val="center"/>
              <w:textAlignment w:val="center"/>
              <w:rPr>
                <w:rFonts w:ascii="宋体" w:cs="宋体"/>
                <w:color w:val="000000"/>
                <w:sz w:val="24"/>
              </w:rPr>
            </w:pP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确保</w:t>
            </w:r>
            <w:r>
              <w:rPr>
                <w:rFonts w:ascii="宋体" w:cs="宋体"/>
                <w:color w:val="000000"/>
                <w:sz w:val="24"/>
              </w:rPr>
              <w:t>军粮供应</w:t>
            </w:r>
            <w:r>
              <w:rPr>
                <w:rFonts w:ascii="宋体" w:cs="宋体" w:hint="eastAsia"/>
                <w:color w:val="000000"/>
                <w:sz w:val="24"/>
              </w:rPr>
              <w:t>安全性</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确保</w:t>
            </w:r>
            <w:r>
              <w:rPr>
                <w:rFonts w:ascii="宋体" w:cs="宋体"/>
                <w:color w:val="000000"/>
                <w:sz w:val="24"/>
              </w:rPr>
              <w:t>军粮供应</w:t>
            </w:r>
            <w:r>
              <w:rPr>
                <w:rFonts w:ascii="宋体" w:cs="宋体" w:hint="eastAsia"/>
                <w:color w:val="000000"/>
                <w:sz w:val="24"/>
              </w:rPr>
              <w:t>安全性</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确保</w:t>
            </w:r>
            <w:r>
              <w:rPr>
                <w:rFonts w:ascii="宋体" w:cs="宋体"/>
                <w:color w:val="000000"/>
                <w:sz w:val="24"/>
              </w:rPr>
              <w:t>军粮供应</w:t>
            </w:r>
            <w:r>
              <w:rPr>
                <w:rFonts w:ascii="宋体" w:cs="宋体" w:hint="eastAsia"/>
                <w:color w:val="000000"/>
                <w:sz w:val="24"/>
              </w:rPr>
              <w:t>安全性</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生态效益</w:t>
            </w:r>
          </w:p>
          <w:p>
            <w:pPr>
              <w:widowControl/>
              <w:jc w:val="center"/>
              <w:textAlignment w:val="center"/>
              <w:rPr>
                <w:rFonts w:ascii="宋体" w:cs="宋体"/>
                <w:color w:val="000000"/>
                <w:sz w:val="24"/>
              </w:rPr>
            </w:pPr>
            <w:r>
              <w:rPr>
                <w:rFonts w:asci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服务对象</w:t>
            </w:r>
          </w:p>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受益群众满意度</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群众满意度大于</w:t>
            </w:r>
            <w:r>
              <w:rPr>
                <w:rFonts w:ascii="宋体" w:cs="宋体"/>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满意率</w:t>
            </w:r>
            <w:r>
              <w:rPr>
                <w:rFonts w:ascii="宋体" w:cs="宋体"/>
                <w:color w:val="000000"/>
                <w:sz w:val="24"/>
              </w:rPr>
              <w:t>100%</w:t>
            </w:r>
          </w:p>
        </w:tc>
      </w:tr>
    </w:tbl>
    <w:p>
      <w:pPr>
        <w:spacing w:line="600" w:lineRule="exact"/>
        <w:outlineLvl w:val="1"/>
        <w:rPr>
          <w:rFonts w:ascii="楷体" w:eastAsia="楷体" w:cs="楷体"/>
          <w:sz w:val="32"/>
          <w:szCs w:val="32"/>
        </w:rPr>
      </w:pPr>
      <w:r>
        <w:rPr>
          <w:rFonts w:ascii="楷体" w:eastAsia="楷体" w:cs="楷体" w:hint="eastAsia"/>
          <w:b/>
          <w:bCs/>
          <w:sz w:val="32"/>
          <w:szCs w:val="32"/>
        </w:rPr>
        <w:t>（三）部门开展绩效评价结果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本单位按要求对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年部门整体支出绩效评价情况开展自评，《茂县粮食和物资储备中心部门</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w:t>
      </w:r>
    </w:p>
    <w:p>
      <w:pPr>
        <w:pStyle w:val="31"/>
        <w:numPr>
          <w:ilvl w:val="0"/>
          <w:numId w:val="5"/>
        </w:numPr>
        <w:spacing w:line="600" w:lineRule="exact"/>
        <w:ind w:firstLineChars="0"/>
        <w:outlineLvl w:val="1"/>
        <w:rPr>
          <w:rStyle w:val="2Char"/>
          <w:rFonts w:ascii="黑体" w:eastAsia="黑体"/>
        </w:rPr>
      </w:pPr>
      <w:bookmarkStart w:id="49" w:name="_Toc15396612"/>
      <w:bookmarkStart w:id="50" w:name="_Toc15377221"/>
      <w:r>
        <w:rPr>
          <w:rStyle w:val="2Char"/>
          <w:rFonts w:ascii="黑体" w:eastAsia="黑体" w:hint="eastAsia"/>
          <w:b w:val="0"/>
        </w:rPr>
        <w:t>其他重要事项的情况说明</w:t>
      </w:r>
      <w:bookmarkEnd w:id="49"/>
      <w:bookmarkEnd w:id="50"/>
    </w:p>
    <w:p>
      <w:pPr>
        <w:numPr>
          <w:ilvl w:val="0"/>
          <w:numId w:val="6"/>
        </w:numPr>
        <w:spacing w:line="600" w:lineRule="exact"/>
        <w:outlineLvl w:val="2"/>
        <w:rPr>
          <w:rFonts w:ascii="楷体" w:eastAsia="楷体" w:cs="楷体"/>
          <w:b/>
          <w:color w:val="000000"/>
          <w:sz w:val="32"/>
          <w:szCs w:val="32"/>
        </w:rPr>
      </w:pPr>
      <w:bookmarkStart w:id="51" w:name="_Toc15377222"/>
      <w:r>
        <w:rPr>
          <w:rFonts w:ascii="楷体" w:eastAsia="楷体" w:cs="楷体" w:hint="eastAsia"/>
          <w:b/>
          <w:color w:val="000000"/>
          <w:sz w:val="32"/>
          <w:szCs w:val="32"/>
        </w:rPr>
        <w:t>机关运行经费支出情况</w:t>
      </w:r>
      <w:bookmarkEnd w:id="51"/>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年，茂县粮食和物资储备中心机关运行经费支出</w:t>
      </w:r>
      <w:r>
        <w:rPr>
          <w:rFonts w:ascii="仿宋_GB2312" w:eastAsia="仿宋_GB2312"/>
          <w:color w:val="000000"/>
          <w:sz w:val="32"/>
          <w:szCs w:val="32"/>
        </w:rPr>
        <w:t>11.04</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color w:val="000000"/>
          <w:sz w:val="32"/>
          <w:szCs w:val="32"/>
        </w:rPr>
        <w:t>0.04</w:t>
      </w:r>
      <w:r>
        <w:rPr>
          <w:rFonts w:ascii="仿宋_GB2312" w:eastAsia="仿宋_GB2312" w:hint="eastAsia"/>
          <w:color w:val="000000"/>
          <w:sz w:val="32"/>
          <w:szCs w:val="32"/>
        </w:rPr>
        <w:t>万元，下降</w:t>
      </w:r>
      <w:r>
        <w:rPr>
          <w:rFonts w:ascii="仿宋_GB2312" w:eastAsia="仿宋_GB2312"/>
          <w:color w:val="000000"/>
          <w:sz w:val="32"/>
          <w:szCs w:val="32"/>
        </w:rPr>
        <w:t>4%</w:t>
      </w:r>
      <w:r>
        <w:rPr>
          <w:rFonts w:ascii="仿宋_GB2312" w:eastAsia="仿宋_GB2312" w:hint="eastAsia"/>
          <w:color w:val="000000"/>
          <w:sz w:val="32"/>
          <w:szCs w:val="32"/>
        </w:rPr>
        <w:t>。主要原因是继续积极贯彻落实中央八项规定及省委省政府十项规定要求，加强单位日常</w:t>
      </w:r>
      <w:r>
        <w:rPr>
          <w:rFonts w:ascii="仿宋_GB2312" w:eastAsia="仿宋_GB2312"/>
          <w:color w:val="000000"/>
          <w:sz w:val="32"/>
          <w:szCs w:val="32"/>
        </w:rPr>
        <w:t>办公</w:t>
      </w:r>
      <w:r>
        <w:rPr>
          <w:rFonts w:ascii="仿宋_GB2312" w:eastAsia="仿宋_GB2312" w:hint="eastAsia"/>
          <w:color w:val="000000"/>
          <w:sz w:val="32"/>
          <w:szCs w:val="32"/>
        </w:rPr>
        <w:t>经费管理。</w:t>
      </w:r>
    </w:p>
    <w:p>
      <w:pPr>
        <w:numPr>
          <w:ilvl w:val="0"/>
          <w:numId w:val="6"/>
        </w:numPr>
        <w:spacing w:line="600" w:lineRule="exact"/>
        <w:outlineLvl w:val="2"/>
        <w:rPr>
          <w:rFonts w:ascii="楷体" w:eastAsia="楷体" w:cs="楷体"/>
          <w:b/>
          <w:color w:val="000000"/>
          <w:sz w:val="32"/>
          <w:szCs w:val="32"/>
        </w:rPr>
      </w:pPr>
      <w:bookmarkStart w:id="52" w:name="_Toc15377223"/>
      <w:r>
        <w:rPr>
          <w:rFonts w:ascii="楷体" w:eastAsia="楷体" w:cs="楷体" w:hint="eastAsia"/>
          <w:b/>
          <w:color w:val="000000"/>
          <w:sz w:val="32"/>
          <w:szCs w:val="32"/>
        </w:rPr>
        <w:t>政府采购支出情况</w:t>
      </w:r>
      <w:bookmarkEnd w:id="52"/>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年，茂县粮食和物资储备中心采购支出总额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6"/>
        </w:numPr>
        <w:spacing w:line="600" w:lineRule="exact"/>
        <w:outlineLvl w:val="2"/>
        <w:rPr>
          <w:rFonts w:ascii="楷体" w:eastAsia="楷体" w:cs="楷体"/>
          <w:b/>
          <w:color w:val="000000"/>
          <w:sz w:val="32"/>
          <w:szCs w:val="32"/>
        </w:rPr>
      </w:pPr>
      <w:bookmarkStart w:id="53" w:name="_Toc15377224"/>
      <w:r>
        <w:rPr>
          <w:rFonts w:ascii="楷体" w:eastAsia="楷体" w:cs="楷体" w:hint="eastAsia"/>
          <w:b/>
          <w:color w:val="000000"/>
          <w:sz w:val="32"/>
          <w:szCs w:val="32"/>
        </w:rPr>
        <w:t>国有资产占有使用情况</w:t>
      </w:r>
      <w:bookmarkEnd w:id="53"/>
    </w:p>
    <w:p>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日，茂县粮食和物资储备中心共有车辆</w:t>
      </w:r>
      <w:r>
        <w:rPr>
          <w:rFonts w:ascii="仿宋_GB2312" w:eastAsia="仿宋_GB2312"/>
          <w:color w:val="000000"/>
          <w:sz w:val="32"/>
          <w:szCs w:val="32"/>
        </w:rPr>
        <w:t>0</w:t>
      </w:r>
      <w:r>
        <w:rPr>
          <w:rFonts w:ascii="仿宋_GB2312" w:eastAsia="仿宋_GB2312" w:hint="eastAsia"/>
          <w:color w:val="000000"/>
          <w:sz w:val="32"/>
          <w:szCs w:val="32"/>
        </w:rPr>
        <w:t>辆，其中：领导干部用车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0</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pPr>
        <w:autoSpaceDE w:val="0"/>
        <w:autoSpaceDN w:val="0"/>
        <w:adjustRightInd w:val="0"/>
        <w:spacing w:line="576" w:lineRule="exact"/>
        <w:ind w:firstLineChars="200" w:firstLine="640"/>
        <w:rPr>
          <w:rFonts w:ascii="仿宋_GB2312" w:eastAsia="仿宋_GB2312"/>
          <w:color w:val="000000"/>
          <w:sz w:val="32"/>
          <w:szCs w:val="32"/>
        </w:rPr>
      </w:pPr>
    </w:p>
    <w:p>
      <w:pPr>
        <w:autoSpaceDE w:val="0"/>
        <w:autoSpaceDN w:val="0"/>
        <w:adjustRightInd w:val="0"/>
        <w:spacing w:line="576" w:lineRule="exact"/>
        <w:ind w:firstLineChars="200" w:firstLine="640"/>
        <w:rPr>
          <w:rFonts w:ascii="仿宋_GB2312" w:eastAsia="仿宋_GB2312"/>
          <w:color w:val="000000"/>
          <w:sz w:val="32"/>
          <w:szCs w:val="32"/>
        </w:rPr>
      </w:pPr>
    </w:p>
    <w:p>
      <w:pPr>
        <w:rPr>
          <w:rFonts w:ascii="仿宋_GB2312" w:eastAsia="仿宋_GB2312"/>
          <w:color w:val="000000"/>
          <w:sz w:val="32"/>
          <w:szCs w:val="32"/>
        </w:rPr>
      </w:pPr>
    </w:p>
    <w:p>
      <w:pPr>
        <w:numPr>
          <w:ilvl w:val="0"/>
          <w:numId w:val="7"/>
        </w:numPr>
        <w:spacing w:line="600" w:lineRule="exact"/>
        <w:ind w:left="0" w:firstLineChars="150" w:firstLine="660"/>
        <w:jc w:val="center"/>
        <w:outlineLvl w:val="0"/>
        <w:rPr>
          <w:rStyle w:val="1Char"/>
          <w:rFonts w:ascii="方正小标宋简体" w:eastAsia="方正小标宋简体" w:cs="方正小标宋简体"/>
          <w:b w:val="0"/>
        </w:rPr>
      </w:pPr>
      <w:bookmarkStart w:id="54" w:name="_Toc15396613"/>
      <w:bookmarkStart w:id="55" w:name="_Toc15377225"/>
      <w:r>
        <w:rPr>
          <w:rFonts w:ascii="方正小标宋简体" w:eastAsia="方正小标宋简体" w:cs="方正小标宋简体" w:hint="eastAsia"/>
          <w:b/>
          <w:color w:val="000000"/>
          <w:sz w:val="44"/>
          <w:szCs w:val="44"/>
        </w:rPr>
        <w:t>名</w:t>
      </w:r>
      <w:r>
        <w:rPr>
          <w:rStyle w:val="1Char"/>
          <w:rFonts w:ascii="方正小标宋简体" w:eastAsia="方正小标宋简体" w:cs="方正小标宋简体" w:hint="eastAsia"/>
          <w:b w:val="0"/>
        </w:rPr>
        <w:t>词解释</w:t>
      </w:r>
      <w:bookmarkEnd w:id="54"/>
      <w:bookmarkEnd w:id="55"/>
    </w:p>
    <w:p>
      <w:pPr>
        <w:spacing w:line="600" w:lineRule="exact"/>
        <w:jc w:val="left"/>
        <w:rPr>
          <w:rFonts w:ascii="宋体"/>
          <w:b/>
          <w:color w:val="000000"/>
          <w:sz w:val="44"/>
          <w:szCs w:val="44"/>
        </w:rPr>
      </w:pPr>
    </w:p>
    <w:p>
      <w:pPr>
        <w:pStyle w:val="32"/>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社会保障和就业（类）行政事业单位离退休（款）机关事业单位基本养老保险缴费支出（项）：指部门实施养老保险制度由单位缴纳的养老保险费的支出。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社会保障和就业（类）行政事业单位离退休（款）机关事业单位职业年金缴费支出（项）：指部门实施养老保险制度由单位缴纳的职业年金的支出。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医疗卫生与计划生育（类）行政事业单位医疗（款）行政单位医疗（项）：指厅机关及参公管理事业单位用于缴纳单位基本医疗保险支出。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医疗卫生与计划生育（类）行政事业单位医疗（款）事业单位医疗（项）：指事业单位用于缴纳单位基本医疗保险支出。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住房保障（类）住房改革支出（款）住房公积金（项）：反映行政事业单位按规定为职工缴纳的住房公积金。</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住房保障（类）住房改革支出（款）购房补贴（项）：指根据房改政策规定的标准，向符合条件职工发放的用于购</w:t>
      </w:r>
    </w:p>
    <w:p>
      <w:pPr>
        <w:spacing w:line="576" w:lineRule="exact"/>
        <w:rPr>
          <w:rFonts w:ascii="仿宋_GB2312" w:eastAsia="仿宋_GB2312"/>
          <w:color w:val="000000"/>
          <w:sz w:val="32"/>
          <w:szCs w:val="32"/>
        </w:rPr>
      </w:pPr>
      <w:r>
        <w:rPr>
          <w:rFonts w:ascii="仿宋_GB2312" w:eastAsia="仿宋_GB2312" w:hint="eastAsia"/>
          <w:color w:val="000000"/>
          <w:sz w:val="32"/>
          <w:szCs w:val="32"/>
        </w:rPr>
        <w:t>买住房的补贴。</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农林水支出（类）扶贫（款）农村基础设施建设（项）：用于农村贫困地区乡村道路、住房、基本农田等生活条件改善方面的支出。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农林水支出（类）扶贫（款）其他扶贫支出（项）：反映除上述项目以外其他用于扶贫方面的支出。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农林水支出（类）其他农林水支出（款）其他农林水支出（项）：反映除化解债务支出以外其他用于农林水方面的支出。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粮油事务等支出（类）其它粮油储备支出（款）行政运行（项）：反映粮油储备的有关支出。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项目支出：指在基本支出之外为完成特定行政任务和事业发展目标所发生的支出。</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经营支出：指事业单位在专业业务活动及其辅助活动之外开展非独立核算经营活动发生的支出。</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76" w:lineRule="exact"/>
        <w:ind w:firstLineChars="200" w:firstLine="640"/>
        <w:rPr>
          <w:rFonts w:ascii="仿宋_GB2312" w:eastAsia="仿宋_GB2312"/>
          <w:sz w:val="32"/>
          <w:szCs w:val="32"/>
        </w:rPr>
      </w:pPr>
      <w:r>
        <w:rPr>
          <w:rFonts w:ascii="仿宋_GB2312" w:eastAsia="仿宋_GB2312"/>
          <w:sz w:val="32"/>
          <w:szCs w:val="32"/>
        </w:rPr>
        <w:t>23.</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Chars="150" w:firstLine="480"/>
        <w:outlineLvl w:val="0"/>
        <w:rPr>
          <w:rFonts w:ascii="仿宋_GB2312" w:eastAsia="仿宋_GB2312" w:cs="黑体"/>
          <w:sz w:val="32"/>
          <w:szCs w:val="32"/>
        </w:rPr>
      </w:pPr>
      <w:r>
        <w:rPr>
          <w:rFonts w:ascii="仿宋_GB2312" w:eastAsia="仿宋_GB2312" w:cs="黑体"/>
          <w:sz w:val="32"/>
          <w:szCs w:val="32"/>
        </w:rPr>
        <w:t>24.</w:t>
      </w:r>
      <w:r>
        <w:rPr>
          <w:rFonts w:ascii="仿宋_GB2312" w:eastAsia="仿宋_GB2312" w:cs="黑体" w:hint="eastAsia"/>
          <w:sz w:val="32"/>
          <w:szCs w:val="32"/>
        </w:rPr>
        <w:t>财政应返还额度：为行政事业单位会计核算科目，用于核算实行国库集中支付的行政事业单位应收财政返还的资金额度。</w:t>
      </w:r>
    </w:p>
    <w:p>
      <w:pPr>
        <w:pStyle w:val="32"/>
        <w:spacing w:line="576" w:lineRule="exact"/>
        <w:ind w:firstLineChars="200" w:firstLine="640"/>
        <w:rPr>
          <w:rFonts w:ascii="仿宋_GB2312" w:eastAsia="仿宋_GB2312" w:cs="黑体"/>
          <w:sz w:val="32"/>
          <w:szCs w:val="32"/>
        </w:rPr>
      </w:pPr>
    </w:p>
    <w:p>
      <w:pPr>
        <w:rPr>
          <w:rFonts w:ascii="仿宋_GB2312" w:eastAsia="仿宋_GB2312" w:cs="黑体"/>
          <w:sz w:val="32"/>
          <w:szCs w:val="32"/>
        </w:rPr>
      </w:pPr>
      <w:bookmarkStart w:id="56" w:name="_Toc15396614"/>
      <w:bookmarkStart w:id="57" w:name="_Toc15377226"/>
      <w:r>
        <w:rPr>
          <w:rFonts w:ascii="仿宋_GB2312" w:eastAsia="仿宋_GB2312" w:cs="黑体"/>
          <w:sz w:val="32"/>
          <w:szCs w:val="32"/>
        </w:rPr>
        <w:br w:type="page"/>
      </w:r>
    </w:p>
    <w:p>
      <w:pPr>
        <w:numPr>
          <w:ilvl w:val="0"/>
          <w:numId w:val="7"/>
        </w:numPr>
        <w:spacing w:line="600" w:lineRule="exact"/>
        <w:ind w:left="0" w:firstLineChars="150" w:firstLine="660"/>
        <w:jc w:val="center"/>
        <w:outlineLvl w:val="0"/>
        <w:rPr>
          <w:rStyle w:val="1Char"/>
        </w:rPr>
      </w:pPr>
      <w:r>
        <w:rPr>
          <w:rStyle w:val="1Char"/>
          <w:rFonts w:ascii="方正小标宋简体" w:eastAsia="方正小标宋简体" w:cs="方正小标宋简体" w:hint="eastAsia"/>
          <w:b w:val="0"/>
        </w:rPr>
        <w:t>附件</w:t>
      </w:r>
      <w:bookmarkEnd w:id="56"/>
    </w:p>
    <w:p>
      <w:pPr>
        <w:spacing w:line="600" w:lineRule="exact"/>
        <w:jc w:val="center"/>
        <w:outlineLvl w:val="0"/>
        <w:rPr>
          <w:rFonts w:ascii="方正小标宋简体" w:eastAsia="方正小标宋简体" w:cs="方正小标宋简体"/>
          <w:sz w:val="44"/>
          <w:szCs w:val="44"/>
        </w:rPr>
      </w:pPr>
      <w:bookmarkStart w:id="58" w:name="_Toc15396616"/>
    </w:p>
    <w:p>
      <w:pPr>
        <w:spacing w:line="60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hint="eastAsia"/>
          <w:sz w:val="44"/>
          <w:szCs w:val="44"/>
        </w:rPr>
        <w:t>茂县粮食和物资储备中心</w:t>
      </w:r>
    </w:p>
    <w:p>
      <w:pPr>
        <w:spacing w:line="600" w:lineRule="exact"/>
        <w:jc w:val="center"/>
        <w:outlineLvl w:val="0"/>
        <w:rPr>
          <w:rFonts w:ascii="黑体" w:eastAsia="黑体" w:cs="方正小标宋简体"/>
          <w:sz w:val="36"/>
          <w:szCs w:val="36"/>
        </w:rPr>
      </w:pPr>
      <w:r>
        <w:rPr>
          <w:rFonts w:ascii="方正小标宋简体" w:eastAsia="方正小标宋简体" w:cs="方正小标宋简体"/>
          <w:sz w:val="44"/>
          <w:szCs w:val="44"/>
        </w:rPr>
        <w:t>2021</w:t>
      </w:r>
      <w:r>
        <w:rPr>
          <w:rFonts w:ascii="方正小标宋简体" w:eastAsia="方正小标宋简体" w:cs="方正小标宋简体" w:hint="eastAsia"/>
          <w:sz w:val="44"/>
          <w:szCs w:val="44"/>
        </w:rPr>
        <w:t>年部门整体支出绩效评价报告</w:t>
      </w:r>
      <w:bookmarkEnd w:id="58"/>
    </w:p>
    <w:p>
      <w:pPr>
        <w:spacing w:line="580" w:lineRule="exact"/>
        <w:ind w:firstLineChars="200" w:firstLine="640"/>
        <w:rPr>
          <w:rFonts w:ascii="黑体" w:eastAsia="黑体" w:cs="黑体"/>
          <w:sz w:val="32"/>
          <w:szCs w:val="32"/>
        </w:rPr>
      </w:pPr>
    </w:p>
    <w:p>
      <w:pPr>
        <w:pStyle w:val="2"/>
        <w:numPr>
          <w:ilvl w:val="0"/>
          <w:numId w:val="8"/>
        </w:numPr>
        <w:rPr>
          <w:rFonts w:ascii="黑体" w:eastAsia="黑体" w:cs="黑体"/>
          <w:b w:val="0"/>
          <w:bCs w:val="0"/>
        </w:rPr>
      </w:pPr>
      <w:r>
        <w:rPr>
          <w:rFonts w:ascii="黑体" w:eastAsia="黑体" w:cs="黑体" w:hint="eastAsia"/>
          <w:b w:val="0"/>
          <w:bCs w:val="0"/>
        </w:rPr>
        <w:t>单位概况</w:t>
      </w:r>
    </w:p>
    <w:p>
      <w:pPr>
        <w:numPr>
          <w:ilvl w:val="0"/>
          <w:numId w:val="9"/>
        </w:numPr>
        <w:spacing w:line="580" w:lineRule="exact"/>
        <w:rPr>
          <w:rFonts w:ascii="楷体" w:eastAsia="楷体" w:cs="楷体"/>
          <w:b/>
          <w:bCs/>
          <w:sz w:val="32"/>
          <w:szCs w:val="32"/>
        </w:rPr>
      </w:pPr>
      <w:r>
        <w:rPr>
          <w:rFonts w:ascii="楷体" w:eastAsia="楷体" w:cs="楷体" w:hint="eastAsia"/>
          <w:b/>
          <w:bCs/>
          <w:sz w:val="32"/>
          <w:szCs w:val="32"/>
        </w:rPr>
        <w:t>机构组成</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茂县粮食和物资储备中心是一级预算行政（参公）单位，无下属二级预算单位。</w:t>
      </w:r>
    </w:p>
    <w:p>
      <w:pPr>
        <w:numPr>
          <w:ilvl w:val="0"/>
          <w:numId w:val="9"/>
        </w:numPr>
        <w:spacing w:line="580" w:lineRule="exact"/>
        <w:rPr>
          <w:rFonts w:ascii="楷体" w:eastAsia="楷体" w:cs="楷体"/>
          <w:b/>
          <w:bCs/>
          <w:sz w:val="32"/>
          <w:szCs w:val="32"/>
        </w:rPr>
      </w:pPr>
      <w:r>
        <w:rPr>
          <w:rFonts w:ascii="楷体" w:eastAsia="楷体" w:cs="楷体" w:hint="eastAsia"/>
          <w:b/>
          <w:bCs/>
          <w:sz w:val="32"/>
          <w:szCs w:val="32"/>
        </w:rPr>
        <w:t>机构职能</w:t>
      </w:r>
    </w:p>
    <w:p>
      <w:pPr>
        <w:spacing w:line="576" w:lineRule="exact"/>
        <w:ind w:firstLineChars="200" w:firstLine="640"/>
        <w:rPr>
          <w:rFonts w:ascii="仿宋" w:eastAsia="仿宋" w:cs="仿宋"/>
          <w:sz w:val="32"/>
          <w:szCs w:val="32"/>
        </w:rPr>
      </w:pPr>
      <w:r>
        <w:rPr>
          <w:rFonts w:ascii="仿宋" w:eastAsia="仿宋" w:cs="仿宋" w:hint="eastAsia"/>
          <w:sz w:val="32"/>
          <w:szCs w:val="32"/>
        </w:rPr>
        <w:t>（</w:t>
      </w:r>
      <w:r>
        <w:rPr>
          <w:rFonts w:ascii="仿宋" w:eastAsia="仿宋" w:cs="仿宋"/>
          <w:sz w:val="32"/>
          <w:szCs w:val="32"/>
        </w:rPr>
        <w:t>1</w:t>
      </w:r>
      <w:r>
        <w:rPr>
          <w:rFonts w:ascii="仿宋" w:eastAsia="仿宋" w:cs="仿宋"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Chars="200" w:firstLine="640"/>
        <w:rPr>
          <w:rFonts w:ascii="仿宋" w:eastAsia="仿宋" w:cs="仿宋"/>
          <w:sz w:val="32"/>
          <w:szCs w:val="32"/>
        </w:rPr>
      </w:pPr>
      <w:r>
        <w:rPr>
          <w:rFonts w:ascii="仿宋" w:eastAsia="仿宋" w:cs="仿宋" w:hint="eastAsia"/>
          <w:sz w:val="32"/>
          <w:szCs w:val="32"/>
        </w:rPr>
        <w:t>（</w:t>
      </w:r>
      <w:r>
        <w:rPr>
          <w:rFonts w:ascii="仿宋" w:eastAsia="仿宋" w:cs="仿宋"/>
          <w:sz w:val="32"/>
          <w:szCs w:val="32"/>
        </w:rPr>
        <w:t>2</w:t>
      </w:r>
      <w:r>
        <w:rPr>
          <w:rFonts w:ascii="仿宋" w:eastAsia="仿宋" w:cs="仿宋" w:hint="eastAsia"/>
          <w:sz w:val="32"/>
          <w:szCs w:val="32"/>
        </w:rPr>
        <w:t>）管理社会粮食流通，保障军队、城镇居民、农村群众、应急救灾、缺粮贫困地区、退耕还林、大骨节病人和国家重点建设项目的粮食供应。</w:t>
      </w:r>
    </w:p>
    <w:p>
      <w:pPr>
        <w:spacing w:line="576" w:lineRule="exact"/>
        <w:ind w:firstLineChars="200" w:firstLine="640"/>
        <w:rPr>
          <w:rFonts w:ascii="仿宋" w:eastAsia="仿宋" w:cs="仿宋"/>
          <w:sz w:val="32"/>
          <w:szCs w:val="32"/>
        </w:rPr>
      </w:pPr>
      <w:r>
        <w:rPr>
          <w:rFonts w:ascii="仿宋" w:eastAsia="仿宋" w:cs="仿宋" w:hint="eastAsia"/>
          <w:sz w:val="32"/>
          <w:szCs w:val="32"/>
        </w:rPr>
        <w:t>（</w:t>
      </w:r>
      <w:r>
        <w:rPr>
          <w:rFonts w:ascii="仿宋" w:eastAsia="仿宋" w:cs="仿宋"/>
          <w:sz w:val="32"/>
          <w:szCs w:val="32"/>
        </w:rPr>
        <w:t>3</w:t>
      </w:r>
      <w:r>
        <w:rPr>
          <w:rFonts w:ascii="仿宋" w:eastAsia="仿宋" w:cs="仿宋" w:hint="eastAsia"/>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Chars="200" w:firstLine="640"/>
        <w:rPr>
          <w:rFonts w:ascii="仿宋" w:eastAsia="仿宋" w:cs="仿宋"/>
          <w:sz w:val="32"/>
          <w:szCs w:val="32"/>
        </w:rPr>
      </w:pPr>
      <w:r>
        <w:rPr>
          <w:rFonts w:ascii="仿宋" w:eastAsia="仿宋" w:cs="仿宋"/>
          <w:sz w:val="32"/>
          <w:szCs w:val="32"/>
        </w:rPr>
        <w:t>(4)</w:t>
      </w:r>
      <w:r>
        <w:rPr>
          <w:rFonts w:ascii="仿宋" w:eastAsia="仿宋" w:cs="仿宋"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p>
    <w:p>
      <w:pPr>
        <w:spacing w:line="576" w:lineRule="exact"/>
        <w:ind w:firstLineChars="200" w:firstLine="640"/>
        <w:rPr>
          <w:rFonts w:ascii="仿宋" w:eastAsia="仿宋" w:cs="仿宋"/>
          <w:sz w:val="32"/>
          <w:szCs w:val="32"/>
        </w:rPr>
      </w:pPr>
      <w:r>
        <w:rPr>
          <w:rFonts w:ascii="仿宋" w:eastAsia="仿宋" w:cs="仿宋"/>
          <w:sz w:val="32"/>
          <w:szCs w:val="32"/>
        </w:rPr>
        <w:t>(5)</w:t>
      </w:r>
      <w:r>
        <w:rPr>
          <w:rFonts w:ascii="仿宋" w:eastAsia="仿宋" w:cs="仿宋"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pPr>
        <w:numPr>
          <w:ilvl w:val="0"/>
          <w:numId w:val="9"/>
        </w:numPr>
        <w:spacing w:line="580" w:lineRule="exact"/>
        <w:rPr>
          <w:rFonts w:ascii="楷体" w:eastAsia="楷体" w:cs="楷体"/>
          <w:b/>
          <w:bCs/>
          <w:sz w:val="32"/>
          <w:szCs w:val="32"/>
        </w:rPr>
      </w:pPr>
      <w:r>
        <w:rPr>
          <w:rFonts w:ascii="楷体" w:eastAsia="楷体" w:cs="楷体" w:hint="eastAsia"/>
          <w:b/>
          <w:bCs/>
          <w:sz w:val="32"/>
          <w:szCs w:val="32"/>
        </w:rPr>
        <w:t>人员概况</w:t>
      </w:r>
    </w:p>
    <w:p>
      <w:pPr>
        <w:snapToGrid w:val="0"/>
        <w:spacing w:line="576" w:lineRule="exact"/>
        <w:ind w:firstLineChars="200" w:firstLine="640"/>
        <w:rPr>
          <w:rFonts w:ascii="仿宋" w:eastAsia="仿宋" w:cs="仿宋_GB2312"/>
          <w:sz w:val="32"/>
          <w:szCs w:val="32"/>
        </w:rPr>
      </w:pPr>
      <w:r>
        <w:rPr>
          <w:rFonts w:ascii="仿宋" w:eastAsia="仿宋" w:hint="eastAsia"/>
          <w:sz w:val="32"/>
          <w:szCs w:val="32"/>
        </w:rPr>
        <w:t>茂县粮食和物资储备中心为参公单位，现有事业编制</w:t>
      </w:r>
      <w:r>
        <w:rPr>
          <w:rFonts w:ascii="仿宋" w:eastAsia="仿宋"/>
          <w:sz w:val="32"/>
          <w:szCs w:val="32"/>
        </w:rPr>
        <w:t>15</w:t>
      </w:r>
      <w:r>
        <w:rPr>
          <w:rFonts w:ascii="仿宋" w:eastAsia="仿宋" w:hint="eastAsia"/>
          <w:sz w:val="32"/>
          <w:szCs w:val="32"/>
        </w:rPr>
        <w:t>人，在职职工</w:t>
      </w:r>
      <w:r>
        <w:rPr>
          <w:rFonts w:ascii="仿宋" w:eastAsia="仿宋"/>
          <w:sz w:val="32"/>
          <w:szCs w:val="32"/>
        </w:rPr>
        <w:t>14</w:t>
      </w:r>
      <w:r>
        <w:rPr>
          <w:rFonts w:ascii="仿宋" w:eastAsia="仿宋" w:hint="eastAsia"/>
          <w:sz w:val="32"/>
          <w:szCs w:val="32"/>
        </w:rPr>
        <w:t>人，其中：参公人员</w:t>
      </w:r>
      <w:r>
        <w:rPr>
          <w:rFonts w:ascii="仿宋" w:eastAsia="仿宋"/>
          <w:sz w:val="32"/>
          <w:szCs w:val="32"/>
        </w:rPr>
        <w:t>12</w:t>
      </w:r>
      <w:r>
        <w:rPr>
          <w:rFonts w:ascii="仿宋" w:eastAsia="仿宋" w:hint="eastAsia"/>
          <w:sz w:val="32"/>
          <w:szCs w:val="32"/>
        </w:rPr>
        <w:t>人，工勤人员</w:t>
      </w:r>
      <w:r>
        <w:rPr>
          <w:rFonts w:ascii="仿宋" w:eastAsia="仿宋"/>
          <w:sz w:val="32"/>
          <w:szCs w:val="32"/>
        </w:rPr>
        <w:t>2</w:t>
      </w:r>
      <w:r>
        <w:rPr>
          <w:rFonts w:ascii="仿宋" w:eastAsia="仿宋" w:hint="eastAsia"/>
          <w:sz w:val="32"/>
          <w:szCs w:val="32"/>
        </w:rPr>
        <w:t>人。遗属</w:t>
      </w:r>
      <w:r>
        <w:rPr>
          <w:rFonts w:ascii="仿宋" w:eastAsia="仿宋"/>
          <w:sz w:val="32"/>
          <w:szCs w:val="32"/>
        </w:rPr>
        <w:t>7</w:t>
      </w:r>
      <w:r>
        <w:rPr>
          <w:rFonts w:ascii="仿宋" w:eastAsia="仿宋" w:hint="eastAsia"/>
          <w:sz w:val="32"/>
          <w:szCs w:val="32"/>
        </w:rPr>
        <w:t>人。</w:t>
      </w:r>
    </w:p>
    <w:p>
      <w:pPr>
        <w:pStyle w:val="2"/>
        <w:ind w:left="420"/>
        <w:rPr>
          <w:rFonts w:ascii="仿宋" w:eastAsia="仿宋"/>
          <w:b w:val="0"/>
          <w:bCs w:val="0"/>
          <w:color w:val="000000"/>
        </w:rPr>
      </w:pPr>
      <w:r>
        <w:rPr>
          <w:rFonts w:ascii="黑体" w:eastAsia="黑体" w:cs="黑体" w:hint="eastAsia"/>
          <w:b w:val="0"/>
          <w:bCs w:val="0"/>
        </w:rPr>
        <w:t>二、部门财政资金收支情况</w:t>
      </w:r>
    </w:p>
    <w:p>
      <w:pPr>
        <w:numPr>
          <w:ilvl w:val="0"/>
          <w:numId w:val="10"/>
        </w:numPr>
        <w:spacing w:line="576" w:lineRule="exact"/>
        <w:rPr>
          <w:rFonts w:ascii="楷体" w:eastAsia="楷体" w:cs="楷体"/>
          <w:b/>
          <w:bCs/>
          <w:sz w:val="32"/>
          <w:szCs w:val="32"/>
        </w:rPr>
      </w:pPr>
      <w:r>
        <w:rPr>
          <w:rFonts w:ascii="楷体" w:eastAsia="楷体" w:cs="楷体" w:hint="eastAsia"/>
          <w:b/>
          <w:bCs/>
          <w:sz w:val="32"/>
          <w:szCs w:val="32"/>
        </w:rPr>
        <w:t>部门财政资金收入情况</w:t>
      </w:r>
    </w:p>
    <w:p>
      <w:pPr>
        <w:widowControl/>
        <w:adjustRightInd w:val="0"/>
        <w:snapToGrid w:val="0"/>
        <w:spacing w:line="576" w:lineRule="exact"/>
        <w:ind w:leftChars="304" w:left="638" w:firstLineChars="25" w:firstLine="80"/>
        <w:rPr>
          <w:rFonts w:ascii="楷体" w:eastAsia="楷体" w:cs="楷体"/>
          <w:b/>
          <w:bCs/>
          <w:sz w:val="32"/>
          <w:szCs w:val="32"/>
        </w:rPr>
      </w:pPr>
      <w:r>
        <w:rPr>
          <w:rFonts w:ascii="仿宋" w:eastAsia="仿宋"/>
          <w:sz w:val="32"/>
          <w:szCs w:val="32"/>
        </w:rPr>
        <w:t>2021</w:t>
      </w:r>
      <w:r>
        <w:rPr>
          <w:rFonts w:ascii="仿宋" w:eastAsia="仿宋" w:hint="eastAsia"/>
          <w:sz w:val="32"/>
          <w:szCs w:val="32"/>
        </w:rPr>
        <w:t>年本单位财政拨款收入决算总额为：</w:t>
      </w:r>
      <w:r>
        <w:rPr>
          <w:rFonts w:ascii="仿宋" w:eastAsia="仿宋"/>
          <w:sz w:val="32"/>
          <w:szCs w:val="32"/>
        </w:rPr>
        <w:t>646.33</w:t>
      </w:r>
      <w:r>
        <w:rPr>
          <w:rFonts w:ascii="仿宋" w:eastAsia="仿宋" w:hint="eastAsia"/>
          <w:sz w:val="32"/>
          <w:szCs w:val="32"/>
        </w:rPr>
        <w:t>万元（二）</w:t>
      </w:r>
      <w:r>
        <w:rPr>
          <w:rFonts w:ascii="楷体" w:eastAsia="楷体" w:cs="楷体" w:hint="eastAsia"/>
          <w:b/>
          <w:bCs/>
          <w:sz w:val="32"/>
          <w:szCs w:val="32"/>
        </w:rPr>
        <w:t>部门财政资金支出情况</w:t>
      </w:r>
    </w:p>
    <w:p>
      <w:pPr>
        <w:widowControl/>
        <w:adjustRightInd w:val="0"/>
        <w:snapToGrid w:val="0"/>
        <w:spacing w:line="576" w:lineRule="exact"/>
        <w:ind w:firstLine="720"/>
        <w:rPr>
          <w:rFonts w:ascii="仿宋" w:eastAsia="仿宋"/>
          <w:color w:val="000000"/>
          <w:sz w:val="32"/>
          <w:szCs w:val="32"/>
        </w:rPr>
      </w:pPr>
      <w:r>
        <w:rPr>
          <w:rFonts w:ascii="仿宋" w:eastAsia="仿宋"/>
          <w:sz w:val="32"/>
          <w:szCs w:val="32"/>
        </w:rPr>
        <w:t>2021</w:t>
      </w:r>
      <w:r>
        <w:rPr>
          <w:rFonts w:ascii="仿宋" w:eastAsia="仿宋" w:hint="eastAsia"/>
          <w:sz w:val="32"/>
          <w:szCs w:val="32"/>
        </w:rPr>
        <w:t>年本单位财政拨款支出决算总额为：</w:t>
      </w:r>
      <w:r>
        <w:rPr>
          <w:rFonts w:ascii="仿宋" w:eastAsia="仿宋"/>
          <w:sz w:val="32"/>
          <w:szCs w:val="32"/>
        </w:rPr>
        <w:t>646.33</w:t>
      </w:r>
      <w:r>
        <w:rPr>
          <w:rFonts w:ascii="仿宋" w:eastAsia="仿宋" w:hint="eastAsia"/>
          <w:sz w:val="32"/>
          <w:szCs w:val="32"/>
        </w:rPr>
        <w:t>万元。其中按功能分类，社会保障和就业支出</w:t>
      </w:r>
      <w:r>
        <w:rPr>
          <w:rFonts w:ascii="仿宋" w:eastAsia="仿宋"/>
          <w:sz w:val="32"/>
          <w:szCs w:val="32"/>
        </w:rPr>
        <w:t>29.99</w:t>
      </w:r>
      <w:r>
        <w:rPr>
          <w:rFonts w:ascii="仿宋" w:eastAsia="仿宋" w:hint="eastAsia"/>
          <w:sz w:val="32"/>
          <w:szCs w:val="32"/>
        </w:rPr>
        <w:t>万元、医疗卫生与计划生育支出</w:t>
      </w:r>
      <w:r>
        <w:rPr>
          <w:rFonts w:ascii="仿宋" w:eastAsia="仿宋"/>
          <w:sz w:val="32"/>
          <w:szCs w:val="32"/>
        </w:rPr>
        <w:t>15.78</w:t>
      </w:r>
      <w:r>
        <w:rPr>
          <w:rFonts w:ascii="仿宋" w:eastAsia="仿宋" w:hint="eastAsia"/>
          <w:sz w:val="32"/>
          <w:szCs w:val="32"/>
        </w:rPr>
        <w:t>万元、农林水支出</w:t>
      </w:r>
      <w:r>
        <w:rPr>
          <w:rFonts w:ascii="仿宋" w:eastAsia="仿宋"/>
          <w:sz w:val="32"/>
          <w:szCs w:val="32"/>
        </w:rPr>
        <w:t>1.08</w:t>
      </w:r>
      <w:r>
        <w:rPr>
          <w:rFonts w:ascii="仿宋" w:eastAsia="仿宋" w:hint="eastAsia"/>
          <w:sz w:val="32"/>
          <w:szCs w:val="32"/>
        </w:rPr>
        <w:t>万元、粮油物质储备事务等支出</w:t>
      </w:r>
      <w:r>
        <w:rPr>
          <w:rFonts w:ascii="仿宋" w:eastAsia="仿宋"/>
          <w:sz w:val="32"/>
          <w:szCs w:val="32"/>
        </w:rPr>
        <w:t>551.01</w:t>
      </w:r>
      <w:r>
        <w:rPr>
          <w:rFonts w:ascii="仿宋" w:eastAsia="仿宋" w:hint="eastAsia"/>
          <w:sz w:val="32"/>
          <w:szCs w:val="32"/>
        </w:rPr>
        <w:t>万元、住房保障支出</w:t>
      </w:r>
      <w:r>
        <w:rPr>
          <w:rFonts w:ascii="仿宋" w:eastAsia="仿宋"/>
          <w:sz w:val="32"/>
          <w:szCs w:val="32"/>
        </w:rPr>
        <w:t>19.93</w:t>
      </w:r>
      <w:r>
        <w:rPr>
          <w:rFonts w:ascii="仿宋" w:eastAsia="仿宋" w:hint="eastAsia"/>
          <w:sz w:val="32"/>
          <w:szCs w:val="32"/>
        </w:rPr>
        <w:t>万元；按支出性质分类，</w:t>
      </w:r>
      <w:r>
        <w:rPr>
          <w:rFonts w:ascii="仿宋" w:eastAsia="仿宋" w:hint="eastAsia"/>
          <w:color w:val="000000"/>
          <w:sz w:val="32"/>
          <w:szCs w:val="32"/>
        </w:rPr>
        <w:t>基本支出</w:t>
      </w:r>
      <w:r>
        <w:rPr>
          <w:rFonts w:ascii="仿宋" w:eastAsia="仿宋"/>
          <w:color w:val="000000"/>
          <w:sz w:val="32"/>
          <w:szCs w:val="32"/>
        </w:rPr>
        <w:t>343.66</w:t>
      </w:r>
      <w:r>
        <w:rPr>
          <w:rFonts w:ascii="仿宋" w:eastAsia="仿宋" w:hint="eastAsia"/>
          <w:color w:val="000000"/>
          <w:sz w:val="32"/>
          <w:szCs w:val="32"/>
        </w:rPr>
        <w:t>万元、项目支出</w:t>
      </w:r>
      <w:r>
        <w:rPr>
          <w:rFonts w:ascii="仿宋" w:eastAsia="仿宋"/>
          <w:color w:val="000000"/>
          <w:sz w:val="32"/>
          <w:szCs w:val="32"/>
        </w:rPr>
        <w:t>302.66</w:t>
      </w:r>
      <w:r>
        <w:rPr>
          <w:rFonts w:ascii="仿宋" w:eastAsia="仿宋" w:hint="eastAsia"/>
          <w:color w:val="000000"/>
          <w:sz w:val="32"/>
          <w:szCs w:val="32"/>
        </w:rPr>
        <w:t>万元；按经济分类，工资福利支出</w:t>
      </w:r>
      <w:r>
        <w:rPr>
          <w:rFonts w:ascii="仿宋" w:eastAsia="仿宋"/>
          <w:color w:val="000000"/>
          <w:sz w:val="32"/>
          <w:szCs w:val="32"/>
        </w:rPr>
        <w:t>258.15</w:t>
      </w:r>
      <w:r>
        <w:rPr>
          <w:rFonts w:ascii="仿宋" w:eastAsia="仿宋" w:hint="eastAsia"/>
          <w:color w:val="000000"/>
          <w:sz w:val="32"/>
          <w:szCs w:val="32"/>
        </w:rPr>
        <w:t>万元、商品和服务支出</w:t>
      </w:r>
      <w:r>
        <w:rPr>
          <w:rFonts w:ascii="仿宋" w:eastAsia="仿宋"/>
          <w:color w:val="000000"/>
          <w:sz w:val="32"/>
          <w:szCs w:val="32"/>
        </w:rPr>
        <w:t>21.76</w:t>
      </w:r>
      <w:r>
        <w:rPr>
          <w:rFonts w:ascii="仿宋" w:eastAsia="仿宋" w:hint="eastAsia"/>
          <w:color w:val="000000"/>
          <w:sz w:val="32"/>
          <w:szCs w:val="32"/>
        </w:rPr>
        <w:t>万元、对个人和家庭的补助</w:t>
      </w:r>
      <w:r>
        <w:rPr>
          <w:rFonts w:ascii="仿宋" w:eastAsia="仿宋"/>
          <w:color w:val="000000"/>
          <w:sz w:val="32"/>
          <w:szCs w:val="32"/>
        </w:rPr>
        <w:t>75.55</w:t>
      </w:r>
      <w:r>
        <w:rPr>
          <w:rFonts w:ascii="仿宋" w:eastAsia="仿宋" w:hint="eastAsia"/>
          <w:color w:val="000000"/>
          <w:sz w:val="32"/>
          <w:szCs w:val="32"/>
        </w:rPr>
        <w:t>万元、基本建设支出</w:t>
      </w:r>
      <w:r>
        <w:rPr>
          <w:rFonts w:ascii="仿宋" w:eastAsia="仿宋"/>
          <w:color w:val="000000"/>
          <w:sz w:val="32"/>
          <w:szCs w:val="32"/>
        </w:rPr>
        <w:t>290.86</w:t>
      </w:r>
      <w:r>
        <w:rPr>
          <w:rFonts w:ascii="仿宋" w:eastAsia="仿宋" w:hint="eastAsia"/>
          <w:color w:val="000000"/>
          <w:sz w:val="32"/>
          <w:szCs w:val="32"/>
        </w:rPr>
        <w:t>万元。</w:t>
      </w:r>
    </w:p>
    <w:p>
      <w:pPr>
        <w:pStyle w:val="2"/>
        <w:spacing w:line="576" w:lineRule="exact"/>
        <w:ind w:firstLineChars="200" w:firstLine="640"/>
        <w:rPr>
          <w:rFonts w:ascii="黑体" w:eastAsia="黑体" w:cs="黑体"/>
          <w:b w:val="0"/>
          <w:bCs w:val="0"/>
        </w:rPr>
      </w:pPr>
      <w:r>
        <w:rPr>
          <w:rFonts w:ascii="黑体" w:eastAsia="黑体" w:cs="黑体" w:hint="eastAsia"/>
          <w:b w:val="0"/>
          <w:bCs w:val="0"/>
        </w:rPr>
        <w:t>三、部门整体预算绩效管理情况</w:t>
      </w:r>
    </w:p>
    <w:p>
      <w:pPr>
        <w:pStyle w:val="2"/>
        <w:spacing w:line="576" w:lineRule="exact"/>
        <w:ind w:firstLineChars="200" w:firstLine="640"/>
        <w:rPr>
          <w:rFonts w:ascii="仿宋" w:eastAsia="仿宋" w:cs="黑体"/>
          <w:b w:val="0"/>
          <w:bCs w:val="0"/>
        </w:rPr>
      </w:pPr>
      <w:r>
        <w:rPr>
          <w:rFonts w:ascii="仿宋" w:eastAsia="仿宋" w:cs="楷体" w:hint="eastAsia"/>
        </w:rPr>
        <w:t>（一）部门预算管理</w:t>
      </w:r>
    </w:p>
    <w:p>
      <w:pPr>
        <w:spacing w:line="576" w:lineRule="exact"/>
        <w:ind w:firstLineChars="200" w:firstLine="640"/>
        <w:rPr>
          <w:rFonts w:ascii="仿宋" w:eastAsia="仿宋" w:cs="仿宋_GB2312"/>
          <w:sz w:val="32"/>
          <w:szCs w:val="32"/>
        </w:rPr>
      </w:pPr>
      <w:r>
        <w:rPr>
          <w:rFonts w:ascii="仿宋" w:eastAsia="仿宋" w:cs="仿宋_GB2312" w:hint="eastAsia"/>
          <w:sz w:val="32"/>
          <w:szCs w:val="32"/>
        </w:rPr>
        <w:t>我中心认真学习贯彻党的十九大、省第十一次党代会和省委十一届三次、四次全会精神，以习近平新时代中国特色社会主义思想为指导，根据职能职责积极谋划，确定目标任务，积极发挥粮食和物资储备中心职能作用。按照</w:t>
      </w:r>
      <w:r>
        <w:rPr>
          <w:rFonts w:ascii="仿宋" w:eastAsia="仿宋" w:cs="仿宋_GB2312"/>
          <w:sz w:val="32"/>
          <w:szCs w:val="32"/>
        </w:rPr>
        <w:t>2021</w:t>
      </w:r>
      <w:r>
        <w:rPr>
          <w:rFonts w:ascii="仿宋" w:eastAsia="仿宋" w:cs="仿宋_GB2312" w:hint="eastAsia"/>
          <w:sz w:val="32"/>
          <w:szCs w:val="32"/>
        </w:rPr>
        <w:t>年部门预算编审要求，根据我中心职能职责，结合中长期规划和年度工作计划，明确了年度主要工作任务及年度内履职所要达到的总体产出和效果，认真填报了中心整体支出绩效目标设定了年度绩效数量指标、成本指标、效益指标等，详细反映了相应项目工作任务、达成的效果。</w:t>
      </w:r>
    </w:p>
    <w:p>
      <w:pPr>
        <w:spacing w:line="576" w:lineRule="exact"/>
        <w:ind w:firstLineChars="200" w:firstLine="640"/>
        <w:rPr>
          <w:rFonts w:ascii="仿宋" w:eastAsia="仿宋" w:cs="楷体"/>
          <w:b/>
          <w:bCs/>
          <w:sz w:val="32"/>
          <w:szCs w:val="32"/>
        </w:rPr>
      </w:pPr>
      <w:r>
        <w:rPr>
          <w:rFonts w:ascii="仿宋" w:eastAsia="仿宋" w:cs="楷体" w:hint="eastAsia"/>
          <w:b/>
          <w:bCs/>
          <w:sz w:val="32"/>
          <w:szCs w:val="32"/>
        </w:rPr>
        <w:t>（二）专项预算管理</w:t>
      </w:r>
    </w:p>
    <w:p>
      <w:pPr>
        <w:pStyle w:val="2"/>
        <w:spacing w:line="576" w:lineRule="exact"/>
        <w:ind w:firstLineChars="200" w:firstLine="640"/>
        <w:rPr>
          <w:rFonts w:ascii="仿宋" w:eastAsia="仿宋" w:cs="仿宋_GB2312"/>
        </w:rPr>
      </w:pPr>
      <w:r>
        <w:rPr>
          <w:rFonts w:ascii="仿宋" w:eastAsia="仿宋" w:cs="仿宋_GB2312"/>
          <w:b w:val="0"/>
          <w:bCs w:val="0"/>
        </w:rPr>
        <w:t>2021</w:t>
      </w:r>
      <w:r>
        <w:rPr>
          <w:rFonts w:ascii="仿宋" w:eastAsia="仿宋" w:cs="仿宋_GB2312" w:hint="eastAsia"/>
          <w:b w:val="0"/>
          <w:bCs w:val="0"/>
        </w:rPr>
        <w:t>年，本单位无专项预算。</w:t>
      </w:r>
    </w:p>
    <w:p>
      <w:pPr>
        <w:spacing w:line="576" w:lineRule="exact"/>
        <w:ind w:firstLineChars="200" w:firstLine="640"/>
        <w:rPr>
          <w:rFonts w:ascii="仿宋" w:eastAsia="仿宋" w:cs="楷体"/>
          <w:b/>
          <w:bCs/>
          <w:sz w:val="32"/>
          <w:szCs w:val="32"/>
        </w:rPr>
      </w:pPr>
      <w:r>
        <w:rPr>
          <w:rFonts w:ascii="仿宋" w:eastAsia="仿宋" w:cs="楷体" w:hint="eastAsia"/>
          <w:b/>
          <w:bCs/>
          <w:sz w:val="32"/>
          <w:szCs w:val="32"/>
        </w:rPr>
        <w:t>（三）结果应用情况</w:t>
      </w:r>
    </w:p>
    <w:p>
      <w:pPr>
        <w:spacing w:line="576" w:lineRule="exact"/>
        <w:ind w:firstLineChars="200" w:firstLine="640"/>
        <w:rPr>
          <w:rFonts w:ascii="仿宋" w:eastAsia="仿宋"/>
        </w:rPr>
      </w:pPr>
      <w:r>
        <w:rPr>
          <w:rFonts w:ascii="仿宋" w:eastAsia="仿宋" w:cs="仿宋_GB2312" w:hint="eastAsia"/>
          <w:sz w:val="32"/>
          <w:szCs w:val="32"/>
        </w:rPr>
        <w:t>我单位对预算绩效管理工作开展情况认真进行了自查自评。绩效评价自查开展覆盖的项目支出，将评价结果作为预算安排的重要依据，参照项目年度预算执行情况、执行情况统筹项目支出需求，保障重点支出，调整支出结构，优化财政资金配置，不断强化绩效理念，推动我单位整体绩效管理水平不断提升。</w:t>
      </w:r>
    </w:p>
    <w:p>
      <w:pPr>
        <w:pStyle w:val="2"/>
        <w:ind w:firstLineChars="200" w:firstLine="640"/>
        <w:rPr>
          <w:rFonts w:ascii="黑体" w:eastAsia="黑体" w:cs="黑体"/>
          <w:b w:val="0"/>
          <w:bCs w:val="0"/>
        </w:rPr>
      </w:pPr>
      <w:r>
        <w:rPr>
          <w:rFonts w:ascii="黑体" w:eastAsia="黑体" w:cs="黑体" w:hint="eastAsia"/>
          <w:b w:val="0"/>
          <w:bCs w:val="0"/>
        </w:rPr>
        <w:t>四、评价结论及建议</w:t>
      </w:r>
    </w:p>
    <w:p>
      <w:pPr>
        <w:numPr>
          <w:ilvl w:val="0"/>
          <w:numId w:val="11"/>
        </w:numPr>
        <w:spacing w:line="576" w:lineRule="exact"/>
        <w:rPr>
          <w:rFonts w:ascii="仿宋" w:eastAsia="仿宋" w:cs="楷体"/>
          <w:b/>
          <w:bCs/>
          <w:sz w:val="32"/>
          <w:szCs w:val="32"/>
        </w:rPr>
      </w:pPr>
      <w:r>
        <w:rPr>
          <w:rFonts w:ascii="仿宋" w:eastAsia="仿宋" w:cs="楷体" w:hint="eastAsia"/>
          <w:b/>
          <w:bCs/>
          <w:sz w:val="32"/>
          <w:szCs w:val="32"/>
        </w:rPr>
        <w:t>评价结论</w:t>
      </w:r>
    </w:p>
    <w:p>
      <w:pPr>
        <w:widowControl/>
        <w:adjustRightInd w:val="0"/>
        <w:snapToGrid w:val="0"/>
        <w:spacing w:line="576" w:lineRule="exact"/>
        <w:ind w:firstLineChars="200" w:firstLine="640"/>
        <w:rPr>
          <w:rFonts w:ascii="仿宋" w:eastAsia="仿宋"/>
        </w:rPr>
      </w:pPr>
      <w:r>
        <w:rPr>
          <w:rFonts w:ascii="仿宋" w:eastAsia="仿宋" w:cs="宋体" w:hint="eastAsia"/>
          <w:color w:val="000000"/>
          <w:kern w:val="0"/>
          <w:sz w:val="32"/>
          <w:szCs w:val="32"/>
          <w:shd w:val="clear" w:color="auto" w:fill="FFFFFF"/>
          <w:lang w:val="zh-CN"/>
        </w:rPr>
        <w:t>总体看，我单位预算编制及执行决算较为准确，支出管理较为规范，财务管理制度较完善，部门整体绩效较好。</w:t>
      </w:r>
    </w:p>
    <w:p>
      <w:pPr>
        <w:numPr>
          <w:ilvl w:val="0"/>
          <w:numId w:val="11"/>
        </w:numPr>
        <w:spacing w:line="576" w:lineRule="exact"/>
        <w:rPr>
          <w:rFonts w:ascii="仿宋" w:eastAsia="仿宋" w:cs="楷体"/>
          <w:b/>
          <w:bCs/>
          <w:sz w:val="32"/>
          <w:szCs w:val="32"/>
        </w:rPr>
      </w:pPr>
      <w:r>
        <w:rPr>
          <w:rFonts w:ascii="仿宋" w:eastAsia="仿宋" w:cs="楷体" w:hint="eastAsia"/>
          <w:b/>
          <w:bCs/>
          <w:sz w:val="32"/>
          <w:szCs w:val="32"/>
        </w:rPr>
        <w:t>存在问题</w:t>
      </w:r>
    </w:p>
    <w:p>
      <w:pPr>
        <w:widowControl/>
        <w:adjustRightInd w:val="0"/>
        <w:snapToGrid w:val="0"/>
        <w:spacing w:line="576" w:lineRule="exact"/>
        <w:ind w:firstLine="720"/>
        <w:rPr>
          <w:rFonts w:ascii="仿宋" w:eastAsia="仿宋"/>
        </w:rPr>
      </w:pPr>
      <w:r>
        <w:rPr>
          <w:rFonts w:ascii="仿宋" w:eastAsia="仿宋" w:cs="宋体" w:hint="eastAsia"/>
          <w:color w:val="000000"/>
          <w:kern w:val="0"/>
          <w:sz w:val="32"/>
          <w:szCs w:val="32"/>
          <w:shd w:val="clear" w:color="auto" w:fill="FFFFFF"/>
          <w:lang w:val="zh-CN"/>
        </w:rPr>
        <w:t>内控制度管理质量不高，个别内控制度执行力不强、监督不力，导致制度管理质量不高。</w:t>
      </w:r>
    </w:p>
    <w:p>
      <w:pPr>
        <w:numPr>
          <w:ilvl w:val="0"/>
          <w:numId w:val="11"/>
        </w:numPr>
        <w:spacing w:line="576" w:lineRule="exact"/>
        <w:rPr>
          <w:rFonts w:ascii="仿宋" w:eastAsia="仿宋" w:cs="楷体"/>
          <w:b/>
          <w:bCs/>
          <w:sz w:val="32"/>
          <w:szCs w:val="32"/>
        </w:rPr>
      </w:pPr>
      <w:r>
        <w:rPr>
          <w:rFonts w:ascii="仿宋" w:eastAsia="仿宋" w:cs="楷体" w:hint="eastAsia"/>
          <w:b/>
          <w:bCs/>
          <w:sz w:val="32"/>
          <w:szCs w:val="32"/>
        </w:rPr>
        <w:t>改进建议</w:t>
      </w:r>
    </w:p>
    <w:p>
      <w:pPr>
        <w:spacing w:line="576" w:lineRule="exact"/>
        <w:ind w:firstLineChars="200" w:firstLine="640"/>
        <w:rPr>
          <w:rFonts w:ascii="仿宋" w:eastAsia="仿宋" w:cs="仿宋_GB2312"/>
          <w:sz w:val="32"/>
          <w:szCs w:val="32"/>
          <w:lang w:val="zh-CN"/>
        </w:rPr>
      </w:pPr>
      <w:r>
        <w:rPr>
          <w:rFonts w:ascii="仿宋" w:eastAsia="仿宋" w:cs="仿宋_GB2312" w:hint="eastAsia"/>
          <w:sz w:val="32"/>
          <w:szCs w:val="32"/>
          <w:lang w:val="zh-CN"/>
        </w:rPr>
        <w:t>我们一定要提高预算编制质量，强化资金财务管理，加大内控管理制度，使我单位能更好的完成各项目标任务。</w:t>
      </w:r>
    </w:p>
    <w:p>
      <w:pPr>
        <w:numPr>
          <w:ilvl w:val="0"/>
          <w:numId w:val="7"/>
        </w:numPr>
        <w:spacing w:line="600" w:lineRule="exact"/>
        <w:ind w:left="0" w:firstLineChars="150" w:firstLine="660"/>
        <w:jc w:val="center"/>
        <w:outlineLvl w:val="0"/>
        <w:rPr>
          <w:rStyle w:val="1Char"/>
          <w:rFonts w:ascii="方正小标宋简体" w:eastAsia="方正小标宋简体" w:cs="方正小标宋简体"/>
          <w:b w:val="0"/>
        </w:rPr>
      </w:pPr>
      <w:bookmarkStart w:id="59" w:name="_Toc15396618"/>
      <w:r>
        <w:rPr>
          <w:rFonts w:ascii="仿宋" w:eastAsia="仿宋" w:cs="方正小标宋简体"/>
          <w:color w:val="000000"/>
          <w:sz w:val="44"/>
          <w:szCs w:val="44"/>
        </w:rPr>
        <w:br w:type="page"/>
      </w:r>
      <w:r>
        <w:rPr>
          <w:rStyle w:val="1Char"/>
          <w:rFonts w:ascii="方正小标宋简体" w:eastAsia="方正小标宋简体" w:cs="方正小标宋简体" w:hint="eastAsia"/>
          <w:b w:val="0"/>
        </w:rPr>
        <w:t>附表</w:t>
      </w:r>
    </w:p>
    <w:p>
      <w:pPr>
        <w:pStyle w:val="2"/>
        <w:spacing w:line="576" w:lineRule="exact"/>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p>
    <w:p>
      <w:pPr>
        <w:pStyle w:val="2"/>
        <w:spacing w:line="576" w:lineRule="exact"/>
        <w:rPr>
          <w:rFonts w:ascii="仿宋" w:eastAsia="仿宋"/>
          <w:color w:val="000000"/>
        </w:rPr>
      </w:pPr>
      <w:r>
        <w:rPr>
          <w:rFonts w:ascii="仿宋" w:eastAsia="仿宋" w:hint="eastAsia"/>
          <w:b w:val="0"/>
          <w:color w:val="000000"/>
        </w:rPr>
        <w:t>二、收</w:t>
      </w:r>
      <w:r>
        <w:rPr>
          <w:rStyle w:val="2Char"/>
          <w:rFonts w:ascii="仿宋" w:eastAsia="仿宋" w:hint="eastAsia"/>
          <w:b w:val="0"/>
          <w:bCs w:val="0"/>
        </w:rPr>
        <w:t>入总表</w:t>
      </w:r>
    </w:p>
    <w:p>
      <w:pPr>
        <w:pStyle w:val="2"/>
        <w:spacing w:line="576" w:lineRule="exact"/>
        <w:rPr>
          <w:rFonts w:ascii="仿宋" w:eastAsia="仿宋"/>
          <w:color w:val="000000"/>
        </w:rPr>
      </w:pPr>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p>
    <w:p>
      <w:pPr>
        <w:pStyle w:val="2"/>
        <w:spacing w:line="576" w:lineRule="exact"/>
        <w:rPr>
          <w:rFonts w:ascii="仿宋" w:eastAsia="仿宋"/>
          <w:b w:val="0"/>
          <w:color w:val="000000"/>
        </w:rPr>
      </w:pPr>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p>
    <w:p>
      <w:pPr>
        <w:pStyle w:val="2"/>
        <w:spacing w:line="576" w:lineRule="exact"/>
        <w:rPr>
          <w:rFonts w:ascii="仿宋" w:eastAsia="仿宋"/>
          <w:color w:val="000000"/>
        </w:rPr>
      </w:pPr>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p>
    <w:p>
      <w:pPr>
        <w:pStyle w:val="2"/>
        <w:spacing w:line="576" w:lineRule="exact"/>
        <w:rPr>
          <w:rFonts w:ascii="仿宋" w:eastAsia="仿宋"/>
          <w:color w:val="000000"/>
        </w:rPr>
      </w:pPr>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p>
    <w:p>
      <w:pPr>
        <w:pStyle w:val="2"/>
        <w:spacing w:line="576" w:lineRule="exact"/>
        <w:rPr>
          <w:rFonts w:ascii="仿宋" w:eastAsia="仿宋"/>
          <w:color w:val="000000"/>
        </w:rPr>
      </w:pPr>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p>
    <w:p>
      <w:pPr>
        <w:pStyle w:val="2"/>
        <w:spacing w:line="576" w:lineRule="exact"/>
        <w:rPr>
          <w:rFonts w:ascii="仿宋" w:eastAsia="仿宋"/>
          <w:color w:val="000000"/>
        </w:rPr>
      </w:pPr>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p>
    <w:p>
      <w:pPr>
        <w:pStyle w:val="2"/>
        <w:spacing w:line="576" w:lineRule="exact"/>
        <w:rPr>
          <w:rFonts w:ascii="仿宋" w:eastAsia="仿宋"/>
          <w:color w:val="000000"/>
        </w:rPr>
      </w:pPr>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p>
    <w:p>
      <w:pPr>
        <w:pStyle w:val="2"/>
        <w:spacing w:line="576" w:lineRule="exact"/>
        <w:rPr>
          <w:rFonts w:ascii="仿宋" w:eastAsia="仿宋"/>
          <w:color w:val="000000"/>
        </w:rPr>
      </w:pPr>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p>
    <w:p>
      <w:pPr>
        <w:pStyle w:val="2"/>
        <w:spacing w:line="576" w:lineRule="exact"/>
        <w:rPr>
          <w:rFonts w:ascii="仿宋" w:eastAsia="仿宋"/>
          <w:color w:val="000000"/>
        </w:rPr>
      </w:pPr>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p>
    <w:p>
      <w:pPr>
        <w:pStyle w:val="2"/>
        <w:spacing w:line="576" w:lineRule="exact"/>
        <w:rPr>
          <w:rFonts w:ascii="仿宋" w:eastAsia="仿宋"/>
          <w:color w:val="000000"/>
        </w:rPr>
      </w:pPr>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p>
    <w:p>
      <w:pPr>
        <w:pStyle w:val="2"/>
        <w:spacing w:line="576" w:lineRule="exact"/>
        <w:rPr>
          <w:rFonts w:ascii="方正小标宋简体" w:eastAsia="方正小标宋简体" w:cs="方正小标宋简体"/>
          <w:color w:val="000000"/>
          <w:sz w:val="44"/>
          <w:szCs w:val="44"/>
        </w:rPr>
        <w:sectPr>
          <w:footerReference w:type="default" r:id="rId4"/>
          <w:footerReference w:type="first" r:id="rId5"/>
          <w:pgSz w:w="11906" w:h="16838"/>
          <w:pgMar w:top="1440" w:right="1800" w:bottom="1440" w:left="1800" w:header="851" w:footer="992" w:gutter="0"/>
          <w:titlePg/>
          <w:docGrid w:type="lines" w:linePitch="312" w:charSpace="0"/>
        </w:sectPr>
      </w:pPr>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w:t>
      </w:r>
    </w:p>
    <w:p>
      <w:bookmarkEnd w:id="57"/>
      <w:bookmarkEnd w:id="59"/>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小标宋_GBK"/>
    <w:panose1 w:val="03000509000000000000"/>
    <w:charset w:val="86"/>
    <w:family w:val="script"/>
    <w:pitch w:val="variable"/>
    <w:sig w:usb0="00000000" w:usb1="00000000" w:usb2="0000001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altName w:val="方正书宋_GBK"/>
    <w:panose1 w:val="00000000000000000000"/>
    <w:charset w:val="01"/>
    <w:family w:val="auto"/>
    <w:pitch w:val="variable"/>
    <w:sig w:usb0="00000000" w:usb1="00000000" w:usb2="00000000" w:usb3="00000000" w:csb0="00000000" w:csb1="00000000"/>
  </w:font>
  <w:font w:name="Malgun Gothic Semilight">
    <w:altName w:val="宋体"/>
    <w:panose1 w:val="020B0502040204020203"/>
    <w:charset w:val="86"/>
    <w:family w:val="swiss"/>
    <w:pitch w:val="variable"/>
    <w:sig w:usb0="00000000" w:usb1="00000000" w:usb2="00000012" w:usb3="00000000" w:csb0="003E01BD" w:csb1="00000000"/>
  </w:font>
  <w:font w:name="仿宋">
    <w:altName w:val="方正仿宋_GBK"/>
    <w:panose1 w:val="02010609060101010101"/>
    <w:charset w:val="86"/>
    <w:family w:val="modern"/>
    <w:pitch w:val="variable"/>
    <w:sig w:usb0="00000000" w:usb1="00000000" w:usb2="00000016" w:usb3="00000000" w:csb0="00040001" w:csb1="00000000"/>
  </w:font>
  <w:font w:name="楷体">
    <w:altName w:val="方正楷体_GBK"/>
    <w:panose1 w:val="02010609060101010101"/>
    <w:charset w:val="86"/>
    <w:family w:val="modern"/>
    <w:pitch w:val="variable"/>
    <w:sig w:usb0="00000000" w:usb1="00000000"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Times New Roman">
    <w:altName w:val="DejaVu Sans"/>
    <w:panose1 w:val="00000000000000000000"/>
    <w:charset w:val="01"/>
    <w:family w:val="auto"/>
    <w:pitch w:val="variable"/>
    <w:sig w:usb0="00000000" w:usb1="00000000" w:usb2="00000000" w:usb3="00000000" w:csb0="00000000" w:csb1="00000000"/>
  </w:font>
  <w:font w:name="Calibri Light">
    <w:altName w:val="DejaVu Sans"/>
    <w:panose1 w:val="020F0302020204030204"/>
    <w:charset w:val="00"/>
    <w:family w:val="swiss"/>
    <w:pitch w:val="variable"/>
    <w:sig w:usb0="00000000" w:usb1="00000000" w:usb2="00000009"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serif">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p>
  <w:p>
    <w:pPr>
      <w:pStyle w:val="1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r>
      <mc:AlternateContent>
        <mc:Choice Requires="wps">
          <w:drawing>
            <wp:anchor distT="0" distB="0" distL="114298" distR="114298" simplePos="0" relativeHeight="40" behindDoc="0" locked="0" layoutInCell="1" hidden="0" allowOverlap="1">
              <wp:simplePos x="0" y="0"/>
              <wp:positionH relativeFrom="margin">
                <wp:align>center</wp:align>
              </wp:positionH>
              <wp:positionV relativeFrom="paragraph">
                <wp:posOffset>-9782810</wp:posOffset>
              </wp:positionV>
              <wp:extent cx="145389" cy="286645"/>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145389" cy="286645"/>
                      </a:xfrm>
                      <a:prstGeom prst="rect"/>
                      <a:noFill/>
                      <a:ln w="9525" cmpd="sng" cap="flat">
                        <a:noFill/>
                        <a:prstDash val="solid"/>
                        <a:miter/>
                      </a:ln>
                    </wps:spPr>
                    <wps:txbx id="2">
                      <w:txbxContent>
                        <w:p>
                          <w:pPr>
                            <w:pStyle w:val="17"/>
                            <w:tabs>
                              <w:tab w:val="center" w:pos="4153"/>
                              <w:tab w:val="right" w:pos="8306"/>
                            </w:tabs>
                            <w:jc w:val="center"/>
                          </w:pPr>
                          <w:r>
                            <w:fldChar w:fldCharType="begin"/>
                          </w:r>
                          <w:r>
                            <w:instrText>PAGE   \* MERGEFORMAT</w:instrText>
                          </w:r>
                          <w:r>
                            <w:fldChar w:fldCharType="separate"/>
                          </w:r>
                          <w:r>
                            <w:rPr>
                              <w:lang w:val="zh-CN"/>
                            </w:rPr>
                            <w:t>6</w:t>
                          </w:r>
                          <w:r>
                            <w:fldChar w:fldCharType="end"/>
                          </w:r>
                        </w:p>
                        <w:p/>
                      </w:txbxContent>
                    </wps:txbx>
                    <wps:bodyPr vert="horz" wrap="none" lIns="0" tIns="0" rIns="0" bIns="0" anchor="t" anchorCtr="0" upright="0">
                      <a:spAutoFit/>
                    </wps:bodyPr>
                  </wps:wsp>
                </a:graphicData>
              </a:graphic>
            </wp:anchor>
          </w:drawing>
        </mc:Choice>
        <mc:Fallback>
          <w:pict>
            <v:rect type="#_x0000_t1" id="_x0000_s2049 3" o:spid="_x0000_s3" filled="f" stroked="f" style="position:absolute;margin-left:0.0pt;margin-top:-770.3pt;width:11.447991pt;height:22.570518pt;z-index:40;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7"/>
                      <w:tabs>
                        <w:tab w:val="center" w:pos="4153"/>
                        <w:tab w:val="right" w:pos="8306"/>
                      </w:tabs>
                      <w:jc w:val="center"/>
                    </w:pPr>
                    <w:r>
                      <w:fldChar w:fldCharType="begin"/>
                    </w:r>
                    <w:r>
                      <w:instrText>PAGE   \* MERGEFORMAT</w:instrText>
                    </w:r>
                    <w:r>
                      <w:fldChar w:fldCharType="separate"/>
                    </w:r>
                    <w:r>
                      <w:rPr>
                        <w:lang w:val="zh-CN"/>
                      </w:rPr>
                      <w:t>6</w:t>
                    </w:r>
                    <w:r>
                      <w:fldChar w:fldCharType="end"/>
                    </w:r>
                  </w:p>
                  <w:p/>
                </w:txbxContent>
              </v:textbox>
            </v:rect>
          </w:pict>
        </mc:Fallback>
      </mc:AlternateContent>
    </w:r>
  </w:p>
  <w:p>
    <w:pPr>
      <w:pStyle w:val="1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mc:AlternateContent>
        <mc:Choice Requires="wps">
          <w:drawing>
            <wp:anchor distT="0" distB="0" distL="114298" distR="114298" simplePos="0" relativeHeight="42"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4" name="_x0000_s2050"/>
              <wp:cNvGraphicFramePr>
                <a:graphicFrameLocks noChangeAspect="0"/>
              </wp:cNvGraphicFramePr>
              <a:graphic>
                <a:graphicData uri="http://schemas.microsoft.com/office/word/2010/wordprocessingShape">
                  <wps:wsp>
                    <wps:cNvSpPr/>
                    <wps:spPr>
                      <a:xfrm rot="0">
                        <a:off x="0" y="0"/>
                        <a:ext cx="72694" cy="133159"/>
                      </a:xfrm>
                      <a:prstGeom prst="rect"/>
                      <a:noFill/>
                      <a:ln w="9525" cmpd="sng" cap="flat">
                        <a:noFill/>
                        <a:prstDash val="solid"/>
                        <a:miter/>
                      </a:ln>
                    </wps:spPr>
                    <wps:txbx id="5">
                      <w:txbxContent>
                        <w:p>
                          <w:pPr>
                            <w:pStyle w:val="17"/>
                            <w:tabs>
                              <w:tab w:val="center" w:pos="4153"/>
                              <w:tab w:val="right" w:pos="8306"/>
                            </w:tabs>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rect type="#_x0000_t1" id="_x0000_s2050 6" o:spid="_x0000_s6" filled="f" stroked="f" style="position:absolute;margin-left:0.0pt;margin-top:0.0pt;width:5.7240005pt;height:10.485001pt;z-index:42;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429"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E9AB9F7D"/>
    <w:multiLevelType w:val="singleLevel"/>
    <w:tmpl w:val="E9AB9F7D"/>
    <w:lvl w:ilvl="0">
      <w:start w:val="1"/>
      <w:numFmt w:val="chineseCounting"/>
      <w:lvlRestart w:val="0"/>
      <w:suff w:val="nothing"/>
      <w:lvlText w:val="（%1）"/>
      <w:lvlJc w:val="left"/>
      <w:pPr>
        <w:ind w:left="0" w:firstLine="420"/>
      </w:pPr>
      <w:rPr>
        <w:rFonts w:cs="Times New Roman" w:hint="eastAsia"/>
      </w:rPr>
    </w:lvl>
  </w:abstractNum>
  <w:abstractNum w:abstractNumId="2">
    <w:nsid w:val="D2B405E2"/>
    <w:multiLevelType w:val="singleLevel"/>
    <w:tmpl w:val="D2B405E2"/>
    <w:lvl w:ilvl="0">
      <w:start w:val="1"/>
      <w:numFmt w:val="chineseCounting"/>
      <w:lvlRestart w:val="0"/>
      <w:suff w:val="nothing"/>
      <w:lvlText w:val="（%1）"/>
      <w:lvlJc w:val="left"/>
      <w:pPr>
        <w:ind w:left="0" w:firstLine="420"/>
      </w:pPr>
      <w:rPr>
        <w:rFonts w:cs="Times New Roman" w:hint="eastAsia"/>
      </w:rPr>
    </w:lvl>
  </w:abstractNum>
  <w:abstractNum w:abstractNumId="3">
    <w:nsid w:val="47170206"/>
    <w:multiLevelType w:val="singleLevel"/>
    <w:tmpl w:val="47170206"/>
    <w:lvl w:ilvl="0">
      <w:start w:val="1"/>
      <w:numFmt w:val="chineseCounting"/>
      <w:lvlRestart w:val="0"/>
      <w:suff w:val="nothing"/>
      <w:lvlText w:val="（%1）"/>
      <w:lvlJc w:val="left"/>
      <w:pPr>
        <w:ind w:left="0" w:firstLine="420"/>
      </w:pPr>
      <w:rPr>
        <w:rFonts w:cs="Times New Roman" w:hint="eastAsia"/>
      </w:rPr>
    </w:lvl>
  </w:abstractNum>
  <w:abstractNum w:abstractNumId="4">
    <w:nsid w:val="4E6F4D8C"/>
    <w:multiLevelType w:val="multilevel"/>
    <w:tmpl w:val="4E6F4D8C"/>
    <w:lvl w:ilvl="0">
      <w:start w:val="4"/>
      <w:numFmt w:val="japaneseCounting"/>
      <w:lvlRestart w:val="0"/>
      <w:lvlText w:val="%1、"/>
      <w:lvlJc w:val="left"/>
      <w:pPr>
        <w:ind w:left="1429" w:hanging="720"/>
      </w:pPr>
      <w:rPr>
        <w:rFonts w:cs="Times New Roman" w:hint="default"/>
        <w:color w:val="000000"/>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5">
    <w:nsid w:val="BDAD20C4"/>
    <w:multiLevelType w:val="singleLevel"/>
    <w:tmpl w:val="BDAD20C4"/>
    <w:lvl w:ilvl="0">
      <w:start w:val="1"/>
      <w:numFmt w:val="chineseCounting"/>
      <w:lvlRestart w:val="0"/>
      <w:suff w:val="nothing"/>
      <w:lvlText w:val="（%1）"/>
      <w:lvlJc w:val="left"/>
      <w:pPr>
        <w:ind w:left="0" w:firstLine="420"/>
      </w:pPr>
      <w:rPr>
        <w:rFonts w:cs="Times New Roman" w:hint="eastAsia"/>
      </w:rPr>
    </w:lvl>
  </w:abstractNum>
  <w:abstractNum w:abstractNumId="6">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7">
    <w:nsid w:val="EE7C0A43"/>
    <w:multiLevelType w:val="singleLevel"/>
    <w:tmpl w:val="EE7C0A43"/>
    <w:lvl w:ilvl="0">
      <w:start w:val="1"/>
      <w:numFmt w:val="chineseCounting"/>
      <w:lvlRestart w:val="0"/>
      <w:suff w:val="nothing"/>
      <w:lvlText w:val="%1、"/>
      <w:lvlJc w:val="left"/>
      <w:pPr>
        <w:ind w:left="0" w:firstLine="420"/>
      </w:pPr>
      <w:rPr>
        <w:rFonts w:cs="Times New Roman" w:hint="eastAsia"/>
      </w:rPr>
    </w:lvl>
  </w:abstractNum>
  <w:abstractNum w:abstractNumId="8">
    <w:nsid w:val="05963987"/>
    <w:multiLevelType w:val="singleLevel"/>
    <w:tmpl w:val="05963987"/>
    <w:lvl w:ilvl="0">
      <w:start w:val="1"/>
      <w:numFmt w:val="chineseCounting"/>
      <w:lvlRestart w:val="0"/>
      <w:suff w:val="nothing"/>
      <w:lvlText w:val="（%1）"/>
      <w:lvlJc w:val="left"/>
      <w:pPr>
        <w:ind w:left="0" w:firstLine="420"/>
      </w:pPr>
      <w:rPr>
        <w:rFonts w:cs="Times New Roman" w:hint="eastAsia"/>
      </w:rPr>
    </w:lvl>
  </w:abstractNum>
  <w:abstractNum w:abstractNumId="9">
    <w:nsid w:val="E47F4D54"/>
    <w:multiLevelType w:val="singleLevel"/>
    <w:tmpl w:val="E47F4D54"/>
    <w:lvl w:ilvl="0">
      <w:start w:val="1"/>
      <w:numFmt w:val="chineseCounting"/>
      <w:lvlRestart w:val="0"/>
      <w:suff w:val="nothing"/>
      <w:lvlText w:val="（%1）"/>
      <w:lvlJc w:val="left"/>
      <w:pPr>
        <w:ind w:left="0" w:firstLine="420"/>
      </w:pPr>
      <w:rPr>
        <w:rFonts w:cs="Times New Roman" w:hint="eastAsia"/>
      </w:rPr>
    </w:lvl>
  </w:abstractNum>
  <w:abstractNum w:abstractNumId="10">
    <w:nsid w:val="F999FD7A"/>
    <w:multiLevelType w:val="singleLevel"/>
    <w:tmpl w:val="F999FD7A"/>
    <w:lvl w:ilvl="0">
      <w:start w:val="1"/>
      <w:numFmt w:val="chineseCounting"/>
      <w:lvlRestart w:val="0"/>
      <w:suff w:val="nothing"/>
      <w:lvlText w:val="（%1）"/>
      <w:lvlJc w:val="left"/>
      <w:pPr>
        <w:ind w:left="0" w:firstLine="420"/>
      </w:pPr>
      <w:rPr>
        <w:rFonts w:cs="Times New Roman"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libri Light" w:hAnsi="Calibri Light"/>
      <w:b/>
      <w:bCs/>
      <w:sz w:val="32"/>
      <w:szCs w:val="32"/>
    </w:rPr>
  </w:style>
  <w:style w:type="character" w:customStyle="1" w:styleId="2Char">
    <w:name w:val="heading 2 Char"/>
    <w:basedOn w:val="10"/>
    <w:link w:val="2"/>
    <w:rPr>
      <w:rFonts w:ascii="Calibri Light" w:eastAsia="宋体" w:cs="Times New Roman" w:hAnsi="Calibri Light"/>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rFonts w:ascii="Calibri" w:hAnsi="Calibri"/>
      <w:kern w:val="0"/>
      <w:sz w:val="18"/>
      <w:szCs w:val="18"/>
    </w:rPr>
  </w:style>
  <w:style w:type="paragraph" w:styleId="1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9">
    <w:name w:val="toc 1"/>
    <w:basedOn w:val="0"/>
    <w:next w:val="0"/>
    <w:pPr>
      <w:tabs>
        <w:tab w:val="right" w:leader="dot" w:pos="8296"/>
      </w:tabs>
      <w:spacing w:before="93"/>
      <w:jc w:val="center"/>
    </w:pPr>
    <w:rPr>
      <w:rFonts w:ascii="仿宋" w:eastAsia="仿宋"/>
      <w:sz w:val="28"/>
      <w:szCs w:val="28"/>
    </w:rPr>
  </w:style>
  <w:style w:type="paragraph" w:styleId="20">
    <w:name w:val="toc 2"/>
    <w:basedOn w:val="0"/>
    <w:next w:val="0"/>
    <w:pPr>
      <w:tabs>
        <w:tab w:val="right" w:leader="dot" w:pos="8296"/>
      </w:tabs>
      <w:ind w:leftChars="200" w:left="200"/>
    </w:pPr>
  </w:style>
  <w:style w:type="character" w:styleId="21">
    <w:name w:val="Strong"/>
    <w:basedOn w:val="10"/>
    <w:rPr>
      <w:rFonts w:cs="Times New Roman"/>
      <w:b/>
    </w:rPr>
  </w:style>
  <w:style w:type="character" w:styleId="22">
    <w:name w:val="FollowedHyperlink"/>
    <w:basedOn w:val="10"/>
    <w:rPr>
      <w:rFonts w:cs="Times New Roman"/>
      <w:color w:val="338DE6"/>
      <w:u w:val="none"/>
    </w:rPr>
  </w:style>
  <w:style w:type="character" w:styleId="23">
    <w:name w:val="Emphasis"/>
    <w:basedOn w:val="10"/>
    <w:rPr>
      <w:rFonts w:cs="Times New Roman"/>
    </w:rPr>
  </w:style>
  <w:style w:type="character" w:styleId="24">
    <w:name w:val="HTML Definition"/>
    <w:basedOn w:val="10"/>
    <w:rPr>
      <w:rFonts w:cs="Times New Roman"/>
    </w:rPr>
  </w:style>
  <w:style w:type="character" w:styleId="25">
    <w:name w:val="HTML Variable"/>
    <w:basedOn w:val="10"/>
    <w:rPr>
      <w:rFonts w:cs="Times New Roman"/>
    </w:rPr>
  </w:style>
  <w:style w:type="character" w:styleId="26">
    <w:name w:val="Hyperlink"/>
    <w:basedOn w:val="10"/>
    <w:rPr>
      <w:rFonts w:cs="Times New Roman"/>
      <w:color w:val="0563C1"/>
      <w:u w:val="single"/>
    </w:rPr>
  </w:style>
  <w:style w:type="character" w:styleId="27">
    <w:name w:val="HTML Code"/>
    <w:basedOn w:val="10"/>
    <w:rPr>
      <w:rFonts w:ascii="serif" w:cs="serif" w:hAnsi="serif"/>
      <w:sz w:val="21"/>
      <w:szCs w:val="21"/>
    </w:rPr>
  </w:style>
  <w:style w:type="character" w:styleId="28">
    <w:name w:val="HTML Cite"/>
    <w:basedOn w:val="10"/>
    <w:rPr>
      <w:rFonts w:cs="Times New Roman"/>
    </w:rPr>
  </w:style>
  <w:style w:type="character" w:styleId="29">
    <w:name w:val="HTML Keyboard"/>
    <w:basedOn w:val="10"/>
    <w:rPr>
      <w:rFonts w:ascii="serif" w:cs="serif" w:hAnsi="serif"/>
      <w:sz w:val="21"/>
      <w:szCs w:val="21"/>
    </w:rPr>
  </w:style>
  <w:style w:type="character" w:styleId="30">
    <w:name w:val="HTML Sample"/>
    <w:basedOn w:val="10"/>
    <w:rPr>
      <w:rFonts w:ascii="serif" w:cs="serif" w:hAnsi="serif"/>
      <w:sz w:val="21"/>
      <w:szCs w:val="21"/>
    </w:rPr>
  </w:style>
  <w:style w:type="paragraph" w:styleId="31">
    <w:name w:val="List Paragraph"/>
    <w:basedOn w:val="0"/>
    <w:pPr>
      <w:ind w:firstLineChars="200" w:firstLine="200"/>
    </w:pPr>
  </w:style>
  <w:style w:type="paragraph" w:customStyle="1" w:styleId="32">
    <w:name w:val="Default"/>
    <w:pPr>
      <w:widowControl w:val="0"/>
      <w:autoSpaceDE w:val="0"/>
      <w:autoSpaceDN w:val="0"/>
      <w:adjustRightInd w:val="0"/>
    </w:pPr>
    <w:rPr>
      <w:rFonts w:ascii="仿宋" w:eastAsia="仿宋" w:cs="仿宋"/>
      <w:color w:val="000000"/>
      <w:kern w:val="0"/>
      <w:sz w:val="24"/>
      <w:szCs w:val="24"/>
      <w:lang w:val="en-US" w:eastAsia="zh-CN" w:bidi="ar-SA"/>
    </w:rPr>
  </w:style>
  <w:style w:type="character" w:customStyle="1" w:styleId="33">
    <w:name w:val="fontborder"/>
    <w:basedOn w:val="10"/>
    <w:rPr>
      <w:rFonts w:cs="Times New Roman"/>
      <w:bdr w:val="single" w:sz="4" w:space="0" w:color="000000"/>
    </w:rPr>
  </w:style>
  <w:style w:type="character" w:customStyle="1" w:styleId="34">
    <w:name w:val="fontstrikethrough"/>
    <w:basedOn w:val="10"/>
    <w:rPr>
      <w:rFonts w:cs="Times New Roman"/>
      <w:strike/>
      <w:dstrike w:val="0"/>
    </w:rPr>
  </w:style>
  <w:style w:type="character" w:customStyle="1" w:styleId="35">
    <w:name w:val="font01"/>
    <w:basedOn w:val="10"/>
    <w:rPr>
      <w:rFonts w:ascii="宋体" w:eastAsia="宋体" w:cs="宋体"/>
      <w:color w:val="000000"/>
      <w:sz w:val="22"/>
      <w:szCs w:val="22"/>
      <w:u w:val="none"/>
    </w:rPr>
  </w:style>
  <w:style w:type="paragraph" w:customStyle="1" w:styleId="36">
    <w:name w:val="列表段落"/>
    <w:basedOn w:val="0"/>
    <w:pPr>
      <w:widowControl w:val="0"/>
      <w:ind w:firstLine="42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8.emf"/><Relationship Id="rId7" Type="http://schemas.openxmlformats.org/officeDocument/2006/relationships/oleObject" Target="embeddings/oleObject1.bin"/><Relationship Id="rId8" Type="http://schemas.openxmlformats.org/officeDocument/2006/relationships/image" Target="media/10.emf"/><Relationship Id="rId9" Type="http://schemas.openxmlformats.org/officeDocument/2006/relationships/chart" Target="charts/chart1.xml"/><Relationship Id="rId10" Type="http://schemas.openxmlformats.org/officeDocument/2006/relationships/image" Target="media/14.emf"/><Relationship Id="rId11" Type="http://schemas.openxmlformats.org/officeDocument/2006/relationships/oleObject" Target="embeddings/oleObject2.bin"/><Relationship Id="rId12" Type="http://schemas.openxmlformats.org/officeDocument/2006/relationships/chart" Target="charts/chart2.xml"/><Relationship Id="rId13" Type="http://schemas.openxmlformats.org/officeDocument/2006/relationships/image" Target="media/17.emf"/><Relationship Id="rId14" Type="http://schemas.openxmlformats.org/officeDocument/2006/relationships/oleObject" Target="embeddings/oleObject3.bin"/><Relationship Id="rId15" Type="http://schemas.openxmlformats.org/officeDocument/2006/relationships/chart" Target="charts/chart3.xml"/><Relationship Id="rId16" Type="http://schemas.openxmlformats.org/officeDocument/2006/relationships/image" Target="media/20.emf"/><Relationship Id="rId17" Type="http://schemas.openxmlformats.org/officeDocument/2006/relationships/oleObject" Target="embeddings/oleObject4.bin"/><Relationship Id="rId18" Type="http://schemas.openxmlformats.org/officeDocument/2006/relationships/chart" Target="charts/chart4.xml"/><Relationship Id="rId19" Type="http://schemas.openxmlformats.org/officeDocument/2006/relationships/styles" Target="styles.xml"/><Relationship Id="rId20" Type="http://schemas.openxmlformats.org/officeDocument/2006/relationships/numbering" Target="numbering.xml"/><Relationship Id="rId2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0"/>
        <c:ser>
          <c:idx val="0"/>
          <c:order val="0"/>
          <c:tx>
            <c:strRef>
              <c:f>'工作表465540'!$B$1</c:f>
              <c:strCache>
                <c:ptCount val="1"/>
                <c:pt idx="0">
                  <c:v>支出决算结构图</c:v>
                </c:pt>
              </c:strCache>
            </c:strRef>
          </c:tx>
          <c:spPr>
            <a:solidFill>
              <a:srgbClr val="4F81BD"/>
            </a:solidFill>
            <a:ln w="19050">
              <a:solidFill>
                <a:srgbClr val="FFFFFF"/>
              </a:solidFill>
              <a:prstDash val="solid"/>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'工作表465540'!$A$2:$A$3</c:f>
              <c:strCache>
                <c:ptCount val="2"/>
                <c:pt idx="0">
                  <c:v>基本支出</c:v>
                </c:pt>
                <c:pt idx="1">
                  <c:v>项目支出</c:v>
                </c:pt>
              </c:strCache>
            </c:strRef>
          </c:cat>
          <c:val>
            <c:numRef>
              <c:f>'工作表465540'!$B$2:$B$3</c:f>
              <c:numCache>
                <c:formatCode>General</c:formatCode>
                <c:ptCount val="2"/>
                <c:pt idx="0">
                  <c:v>343.66</c:v>
                </c:pt>
                <c:pt idx="1">
                  <c:v>302.66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'工作表465546'!$A$3</c:f>
              <c:strCache>
                <c:ptCount val="1"/>
                <c:pt idx="0">
                  <c:v>2020</c:v>
                </c:pt>
              </c:strCache>
            </c:strRef>
          </c:tx>
          <c:spPr>
            <a:solidFill>
              <a:srgbClr val="5B9BD5"/>
            </a:solidFill>
            <a:ln>
              <a:noFill/>
            </a:ln>
          </c:spPr>
          <c:invertIfNegative val="0"/>
          <c:dLbls>
            <c:dLblPos val="outEnd"/>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'工作表465546'!$B$1:$C$2</c:f>
              <c:strCache>
                <c:ptCount val="2"/>
                <c:pt idx="0">
                  <c:v>收入</c:v>
                </c:pt>
                <c:pt idx="1">
                  <c:v>支出</c:v>
                </c:pt>
              </c:strCache>
            </c:strRef>
          </c:cat>
          <c:val>
            <c:numRef>
              <c:f>'工作表465546'!$B$3:$C$3</c:f>
              <c:numCache>
                <c:formatCode>General</c:formatCode>
                <c:ptCount val="2"/>
                <c:pt idx="0">
                  <c:v>1411.35</c:v>
                </c:pt>
                <c:pt idx="1">
                  <c:v>1411.35</c:v>
                </c:pt>
              </c:numCache>
            </c:numRef>
          </c:val>
        </c:ser>
        <c:ser>
          <c:idx val="1"/>
          <c:order val="1"/>
          <c:tx>
            <c:strRef>
              <c:f>'工作表465546'!$A$4</c:f>
              <c:strCache>
                <c:ptCount val="1"/>
                <c:pt idx="0">
                  <c:v>2021</c:v>
                </c:pt>
              </c:strCache>
            </c:strRef>
          </c:tx>
          <c:spPr>
            <a:solidFill>
              <a:srgbClr val="ED7D31"/>
            </a:solidFill>
            <a:ln>
              <a:noFill/>
            </a:ln>
          </c:spPr>
          <c:invertIfNegative val="0"/>
          <c:dLbls>
            <c:dLblPos val="outEnd"/>
            <c:showLegendKey val="0"/>
            <c:showVal val="0"/>
            <c:showCatName val="0"/>
            <c:showSerName val="0"/>
            <c:showPercent val="0"/>
            <c:showBubbleSize val="0"/>
            <c:showLeaderLines val="1"/>
            <c:extLst>
              <c:ext xmlns:c15="http://schemas.microsoft.com/office/drawing/2012/chart" uri="{CE6537A1-D6FC-4f65-9D91-7224C49458BB}">
                <c15:showLeaderLines val="1"/>
              </c:ext>
            </c:extLst>
          </c:dLbls>
          <c:cat>
            <c:strRef>
              <c:f>'工作表465546'!$B$1:$C$2</c:f>
              <c:strCache>
                <c:ptCount val="2"/>
                <c:pt idx="0">
                  <c:v>收入</c:v>
                </c:pt>
                <c:pt idx="1">
                  <c:v>支出</c:v>
                </c:pt>
              </c:strCache>
            </c:strRef>
          </c:cat>
          <c:val>
            <c:numRef>
              <c:f>'工作表465546'!$B$4:$C$4</c:f>
              <c:numCache>
                <c:formatCode>General</c:formatCode>
                <c:ptCount val="2"/>
                <c:pt idx="0">
                  <c:v>646.33</c:v>
                </c:pt>
                <c:pt idx="1">
                  <c:v>646.33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0"/>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spPr>
            <a:solidFill>
              <a:srgbClr val="4F81BD"/>
            </a:solidFill>
            <a:ln w="19050">
              <a:solidFill>
                <a:srgbClr val="FFFFFF"/>
              </a:solidFill>
              <a:prstDash val="solid"/>
            </a:ln>
          </c:spPr>
          <c:dPt>
            <c:idx val="0"/>
            <c:bubble3D val="0"/>
            <c:spPr>
              <a:gradFill rotWithShape="1">
                <a:gsLst>
                  <a:gs pos="0">
                    <a:srgbClr val="5B9BD5">
                      <a:alpha val="100000"/>
                    </a:srgbClr>
                  </a:gs>
                  <a:gs pos="100000">
                    <a:srgbClr val="9CC2E6">
                      <a:alpha val="100000"/>
                    </a:srgbClr>
                  </a:gs>
                </a:gsLst>
                <a:lin ang="5400000" scaled="1"/>
              </a:gradFill>
              <a:ln w="19050">
                <a:solidFill>
                  <a:srgbClr val="FFFFFF"/>
                </a:solidFill>
                <a:prstDash val="solid"/>
              </a:ln>
            </c:spPr>
          </c:dPt>
          <c:dPt>
            <c:idx val="1"/>
            <c:bubble3D val="0"/>
            <c:spPr>
              <a:gradFill rotWithShape="1">
                <a:gsLst>
                  <a:gs pos="0">
                    <a:srgbClr val="ED7D31">
                      <a:alpha val="100000"/>
                    </a:srgbClr>
                  </a:gs>
                  <a:gs pos="100000">
                    <a:srgbClr val="F4B184">
                      <a:alpha val="100000"/>
                    </a:srgbClr>
                  </a:gs>
                </a:gsLst>
                <a:lin ang="5400000" scaled="1"/>
              </a:gradFill>
              <a:ln w="19050">
                <a:solidFill>
                  <a:srgbClr val="FFFFFF"/>
                </a:solidFill>
                <a:prstDash val="solid"/>
              </a:ln>
            </c:spPr>
          </c:dPt>
          <c:dPt>
            <c:idx val="2"/>
            <c:bubble3D val="0"/>
            <c:spPr>
              <a:gradFill rotWithShape="1">
                <a:gsLst>
                  <a:gs pos="0">
                    <a:srgbClr val="A5A5A5">
                      <a:alpha val="100000"/>
                    </a:srgbClr>
                  </a:gs>
                  <a:gs pos="100000">
                    <a:srgbClr val="C9C9C9">
                      <a:alpha val="100000"/>
                    </a:srgbClr>
                  </a:gs>
                </a:gsLst>
                <a:lin ang="5400000" scaled="1"/>
              </a:gradFill>
              <a:ln w="19050">
                <a:solidFill>
                  <a:srgbClr val="FFFFFF"/>
                </a:solidFill>
                <a:prstDash val="solid"/>
              </a:ln>
            </c:spPr>
          </c:dPt>
          <c:dPt>
            <c:idx val="3"/>
            <c:bubble3D val="0"/>
            <c:spPr>
              <a:gradFill rotWithShape="1">
                <a:gsLst>
                  <a:gs pos="0">
                    <a:srgbClr val="FFC000">
                      <a:alpha val="100000"/>
                    </a:srgbClr>
                  </a:gs>
                  <a:gs pos="100000">
                    <a:srgbClr val="FFD967">
                      <a:alpha val="100000"/>
                    </a:srgbClr>
                  </a:gs>
                </a:gsLst>
                <a:lin ang="5400000" scaled="1"/>
              </a:gradFill>
              <a:ln w="19050">
                <a:solidFill>
                  <a:srgbClr val="FFFFFF"/>
                </a:solidFill>
                <a:prstDash val="solid"/>
              </a:ln>
            </c:spPr>
          </c:dPt>
          <c:dPt>
            <c:idx val="4"/>
            <c:bubble3D val="0"/>
            <c:spPr>
              <a:gradFill rotWithShape="1">
                <a:gsLst>
                  <a:gs pos="0">
                    <a:srgbClr val="4472C4">
                      <a:alpha val="100000"/>
                    </a:srgbClr>
                  </a:gs>
                  <a:gs pos="100000">
                    <a:srgbClr val="8EABDC">
                      <a:alpha val="100000"/>
                    </a:srgbClr>
                  </a:gs>
                </a:gsLst>
                <a:lin ang="5400000" scaled="1"/>
              </a:gradFill>
              <a:ln w="19050">
                <a:solidFill>
                  <a:srgbClr val="FFFFFF"/>
                </a:solidFill>
                <a:prstDash val="solid"/>
              </a:ln>
            </c:spPr>
          </c:dPt>
          <c:dPt>
            <c:idx val="5"/>
            <c:bubble3D val="0"/>
            <c:spPr>
              <a:gradFill rotWithShape="1">
                <a:gsLst>
                  <a:gs pos="0">
                    <a:srgbClr val="70AD47">
                      <a:alpha val="100000"/>
                    </a:srgbClr>
                  </a:gs>
                  <a:gs pos="100000">
                    <a:srgbClr val="A8D18D">
                      <a:alpha val="100000"/>
                    </a:srgbClr>
                  </a:gs>
                </a:gsLst>
                <a:lin ang="5400000" scaled="1"/>
              </a:gradFill>
              <a:ln w="19050">
                <a:solidFill>
                  <a:srgbClr val="FFFFFF"/>
                </a:solidFill>
                <a:prstDash val="solid"/>
              </a:ln>
            </c:spPr>
          </c:dPt>
          <c:dPt>
            <c:idx val="6"/>
            <c:bubble3D val="0"/>
            <c:spPr>
              <a:gradFill rotWithShape="1">
                <a:gsLst>
                  <a:gs pos="0">
                    <a:srgbClr val="255E91">
                      <a:alpha val="100000"/>
                    </a:srgbClr>
                  </a:gs>
                  <a:gs pos="100000">
                    <a:srgbClr val="63A2D7">
                      <a:alpha val="100000"/>
                    </a:srgbClr>
                  </a:gs>
                </a:gsLst>
                <a:lin ang="5400000" scaled="1"/>
              </a:gradFill>
              <a:ln w="19050">
                <a:solidFill>
                  <a:srgbClr val="FFFFFF"/>
                </a:solidFill>
                <a:prstDash val="solid"/>
              </a:ln>
            </c:spPr>
          </c:dPt>
          <c:dLbls>
            <c:dLbl>
              <c:idx val="0"/>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3"/>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4"/>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5"/>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6"/>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'工作表465547'!$A$1:$A$7</c:f>
              <c:strCache>
                <c:ptCount val="7"/>
                <c:pt idx="0">
                  <c:v>一般公共预算财政拨款支出</c:v>
                </c:pt>
                <c:pt idx="1">
                  <c:v>社会保障和就业支出</c:v>
                </c:pt>
                <c:pt idx="2">
                  <c:v>卫生健康支出</c:v>
                </c:pt>
                <c:pt idx="3">
                  <c:v>农林水支出</c:v>
                </c:pt>
                <c:pt idx="4">
                  <c:v>住房保障支出</c:v>
                </c:pt>
                <c:pt idx="5">
                  <c:v>粮油物资储备支出</c:v>
                </c:pt>
                <c:pt idx="6">
                  <c:v>灾害防治及应急管理支出</c:v>
                </c:pt>
              </c:strCache>
            </c:strRef>
          </c:cat>
          <c:val>
            <c:numRef>
              <c:f>'工作表465547'!$B$1:$B$7</c:f>
              <c:numCache>
                <c:formatCode>General</c:formatCode>
                <c:ptCount val="7"/>
                <c:pt idx="1">
                  <c:v>29.99</c:v>
                </c:pt>
                <c:pt idx="2">
                  <c:v>15.78</c:v>
                </c:pt>
                <c:pt idx="3">
                  <c:v>1.08</c:v>
                </c:pt>
                <c:pt idx="4">
                  <c:v>19.93</c:v>
                </c:pt>
                <c:pt idx="5">
                  <c:v>551.01</c:v>
                </c:pt>
                <c:pt idx="6">
                  <c:v>28.54</c:v>
                </c:pt>
              </c:numCache>
            </c:numRef>
          </c:val>
        </c:ser>
        <c:firstSliceAng val="0"/>
      </c:pieChart>
      <c:spPr>
        <a:noFill/>
        <a:ln>
          <a:noFill/>
        </a:ln>
      </c:spPr>
    </c:plotArea>
    <c:legend>
      <c:legendPos val="r"/>
      <c:layout/>
      <c:overlay val="0"/>
      <c:spPr>
        <a:solidFill>
          <a:srgbClr val="9BBB59"/>
        </a:solid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4F81BD"/>
    </a:solidFill>
    <a:ln w="6350">
      <a:solidFill>
        <a:srgbClr val="000000"/>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spPr>
            <a:solidFill>
              <a:srgbClr val="4F81BD"/>
            </a:solidFill>
            <a:ln w="19050">
              <a:solidFill>
                <a:srgbClr val="FFFFFF"/>
              </a:solidFill>
              <a:prstDash val="solid"/>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Lbls>
            <c:dLbl>
              <c:idx val="0"/>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dLbl>
              <c:idx val="2"/>
              <c:numFmt formatCode="General"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0"/>
              <c:showCatName val="0"/>
              <c:showSerName val="0"/>
              <c:showPercent val="0"/>
              <c:showBubbleSize val="0"/>
            </c:dLbl>
            <c:showLegendKey val="0"/>
            <c:showVal val="0"/>
            <c:showCatName val="0"/>
            <c:showSerName val="0"/>
            <c:showPercent val="0"/>
            <c:showBubbleSize val="0"/>
            <c:showLeaderLines val="1"/>
          </c:dLbls>
          <c:cat>
            <c:strRef>
              <c:f>'工作表465548'!$A$1:$C$2</c:f>
              <c:strCache>
                <c:ptCount val="2"/>
                <c:pt idx="1">
                  <c:v>公务用车购置及运行维护费</c:v>
                </c:pt>
              </c:strCache>
            </c:strRef>
          </c:cat>
          <c:val>
            <c:numRef>
              <c:f>'工作表465548'!$A$3:$C$3</c:f>
              <c:numCache>
                <c:formatCode>General</c:formatCode>
                <c:ptCount val="3"/>
                <c:pt idx="0">
                  <c:v>0.02</c:v>
                </c:pt>
                <c:pt idx="1">
                  <c:v>0.0</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2147</TotalTime>
  <Application>Yozo_Office27021597764231179</Application>
  <Pages>25</Pages>
  <Words>8176</Words>
  <Characters>9285</Characters>
  <Lines>717</Lines>
  <Paragraphs>360</Paragraphs>
  <CharactersWithSpaces>9522</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2019年度</dc:title>
  <dc:creator>若、</dc:creator>
  <cp:lastModifiedBy>user</cp:lastModifiedBy>
  <cp:revision>35</cp:revision>
  <cp:lastPrinted>2022-09-27T09:44:00Z</cp:lastPrinted>
  <dcterms:created xsi:type="dcterms:W3CDTF">2020-09-22T10:52:00Z</dcterms:created>
  <dcterms:modified xsi:type="dcterms:W3CDTF">2022-09-27T02:47:05Z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2052-11.1.0.10161</vt:lpwstr>
  </property>
</Properties>
</file>