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3E8B5">
      <w:pPr>
        <w:spacing w:line="576" w:lineRule="exact"/>
        <w:jc w:val="center"/>
        <w:rPr>
          <w:rFonts w:ascii="方正小标宋简体" w:eastAsia="方正小标宋简体" w:cs="方正小标宋简体"/>
          <w:sz w:val="48"/>
          <w:szCs w:val="48"/>
        </w:rPr>
      </w:pPr>
    </w:p>
    <w:p w14:paraId="1A8D7D12">
      <w:pPr>
        <w:pStyle w:val="17"/>
      </w:pPr>
    </w:p>
    <w:p w14:paraId="31AA1576">
      <w:pPr>
        <w:spacing w:line="576" w:lineRule="exact"/>
        <w:jc w:val="center"/>
        <w:rPr>
          <w:rFonts w:ascii="方正小标宋简体" w:eastAsia="方正小标宋简体" w:cs="方正小标宋简体"/>
          <w:sz w:val="48"/>
          <w:szCs w:val="48"/>
        </w:rPr>
      </w:pPr>
    </w:p>
    <w:p w14:paraId="1EA336A5">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w:t>
      </w:r>
      <w:r>
        <w:rPr>
          <w:rFonts w:hint="eastAsia" w:ascii="方正小标宋简体" w:eastAsia="方正小标宋简体" w:cs="方正小标宋简体"/>
          <w:sz w:val="48"/>
          <w:szCs w:val="48"/>
          <w:lang w:val="en-US" w:eastAsia="zh-CN"/>
        </w:rPr>
        <w:t>4</w:t>
      </w:r>
      <w:r>
        <w:rPr>
          <w:rFonts w:hint="eastAsia" w:ascii="方正小标宋简体" w:eastAsia="方正小标宋简体" w:cs="方正小标宋简体"/>
          <w:sz w:val="48"/>
          <w:szCs w:val="48"/>
        </w:rPr>
        <w:t>年度</w:t>
      </w:r>
    </w:p>
    <w:p w14:paraId="2EF13CED">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四川省阿坝州茂县档案馆部门决算</w:t>
      </w:r>
    </w:p>
    <w:p w14:paraId="05B23BD4">
      <w:pPr>
        <w:spacing w:line="576" w:lineRule="exact"/>
        <w:jc w:val="center"/>
        <w:rPr>
          <w:rFonts w:ascii="黑体" w:eastAsia="黑体"/>
          <w:sz w:val="72"/>
          <w:szCs w:val="72"/>
        </w:rPr>
      </w:pPr>
      <w:r>
        <w:rPr>
          <w:rFonts w:ascii="黑体" w:eastAsia="黑体"/>
          <w:sz w:val="72"/>
          <w:szCs w:val="72"/>
        </w:rPr>
        <w:t> </w:t>
      </w:r>
    </w:p>
    <w:p w14:paraId="4711DD86">
      <w:pPr>
        <w:spacing w:line="576" w:lineRule="exact"/>
        <w:jc w:val="center"/>
        <w:rPr>
          <w:rFonts w:ascii="黑体" w:eastAsia="黑体"/>
          <w:sz w:val="72"/>
          <w:szCs w:val="72"/>
        </w:rPr>
      </w:pPr>
      <w:r>
        <w:rPr>
          <w:rFonts w:ascii="黑体" w:eastAsia="黑体"/>
          <w:sz w:val="72"/>
          <w:szCs w:val="72"/>
        </w:rPr>
        <w:t> </w:t>
      </w:r>
    </w:p>
    <w:p w14:paraId="3DBA7CD8">
      <w:pPr>
        <w:spacing w:line="576" w:lineRule="exact"/>
        <w:jc w:val="center"/>
        <w:rPr>
          <w:rFonts w:ascii="黑体" w:eastAsia="黑体"/>
          <w:sz w:val="72"/>
          <w:szCs w:val="72"/>
        </w:rPr>
      </w:pPr>
      <w:r>
        <w:rPr>
          <w:rFonts w:ascii="黑体" w:eastAsia="黑体"/>
          <w:sz w:val="72"/>
          <w:szCs w:val="72"/>
        </w:rPr>
        <w:t> </w:t>
      </w:r>
    </w:p>
    <w:p w14:paraId="3552AE6E">
      <w:pPr>
        <w:spacing w:line="576" w:lineRule="exact"/>
        <w:jc w:val="center"/>
        <w:rPr>
          <w:rFonts w:ascii="黑体" w:eastAsia="黑体"/>
          <w:sz w:val="72"/>
          <w:szCs w:val="72"/>
        </w:rPr>
      </w:pPr>
      <w:r>
        <w:rPr>
          <w:rFonts w:ascii="黑体" w:eastAsia="黑体"/>
          <w:sz w:val="72"/>
          <w:szCs w:val="72"/>
        </w:rPr>
        <w:t> </w:t>
      </w:r>
    </w:p>
    <w:p w14:paraId="75DF7002">
      <w:pPr>
        <w:spacing w:line="576" w:lineRule="exact"/>
        <w:jc w:val="center"/>
        <w:rPr>
          <w:rFonts w:ascii="黑体" w:eastAsia="黑体"/>
          <w:sz w:val="72"/>
          <w:szCs w:val="72"/>
        </w:rPr>
      </w:pPr>
      <w:r>
        <w:rPr>
          <w:rFonts w:ascii="黑体" w:eastAsia="黑体"/>
          <w:sz w:val="72"/>
          <w:szCs w:val="72"/>
        </w:rPr>
        <w:t> </w:t>
      </w:r>
    </w:p>
    <w:p w14:paraId="1BC3EA80">
      <w:pPr>
        <w:spacing w:line="576" w:lineRule="exact"/>
        <w:jc w:val="center"/>
        <w:rPr>
          <w:rFonts w:ascii="黑体" w:eastAsia="黑体"/>
          <w:sz w:val="72"/>
          <w:szCs w:val="72"/>
        </w:rPr>
      </w:pPr>
      <w:r>
        <w:rPr>
          <w:rFonts w:ascii="黑体" w:eastAsia="黑体"/>
          <w:sz w:val="72"/>
          <w:szCs w:val="72"/>
        </w:rPr>
        <w:t> </w:t>
      </w:r>
    </w:p>
    <w:p w14:paraId="6081891D">
      <w:pPr>
        <w:spacing w:line="576" w:lineRule="exact"/>
        <w:jc w:val="center"/>
        <w:rPr>
          <w:rFonts w:ascii="黑体" w:eastAsia="黑体"/>
          <w:sz w:val="72"/>
          <w:szCs w:val="72"/>
        </w:rPr>
      </w:pPr>
    </w:p>
    <w:p w14:paraId="731EF7D6">
      <w:pPr>
        <w:spacing w:line="576" w:lineRule="exact"/>
        <w:jc w:val="center"/>
        <w:rPr>
          <w:rFonts w:ascii="黑体" w:eastAsia="黑体"/>
          <w:sz w:val="72"/>
          <w:szCs w:val="72"/>
        </w:rPr>
      </w:pPr>
    </w:p>
    <w:p w14:paraId="00C4778C">
      <w:pPr>
        <w:spacing w:line="576" w:lineRule="exact"/>
        <w:jc w:val="center"/>
        <w:rPr>
          <w:rFonts w:ascii="黑体" w:eastAsia="黑体"/>
          <w:sz w:val="72"/>
          <w:szCs w:val="72"/>
        </w:rPr>
      </w:pPr>
    </w:p>
    <w:p w14:paraId="64891160">
      <w:pPr>
        <w:spacing w:line="576" w:lineRule="exact"/>
        <w:jc w:val="center"/>
        <w:rPr>
          <w:rFonts w:ascii="黑体" w:eastAsia="黑体"/>
          <w:sz w:val="72"/>
          <w:szCs w:val="72"/>
        </w:rPr>
      </w:pPr>
    </w:p>
    <w:p w14:paraId="38A41FA4">
      <w:pPr>
        <w:spacing w:line="576" w:lineRule="exact"/>
        <w:jc w:val="center"/>
        <w:rPr>
          <w:rFonts w:ascii="黑体" w:eastAsia="黑体"/>
          <w:sz w:val="72"/>
          <w:szCs w:val="72"/>
        </w:rPr>
      </w:pPr>
    </w:p>
    <w:p w14:paraId="25CA2AA4">
      <w:pPr>
        <w:spacing w:line="576" w:lineRule="exact"/>
        <w:jc w:val="center"/>
        <w:rPr>
          <w:rFonts w:ascii="黑体" w:eastAsia="黑体"/>
          <w:sz w:val="72"/>
          <w:szCs w:val="72"/>
        </w:rPr>
      </w:pPr>
    </w:p>
    <w:p w14:paraId="3728CE71">
      <w:pPr>
        <w:spacing w:line="576" w:lineRule="exact"/>
        <w:jc w:val="center"/>
        <w:rPr>
          <w:rFonts w:ascii="黑体" w:eastAsia="黑体"/>
          <w:sz w:val="72"/>
          <w:szCs w:val="72"/>
        </w:rPr>
      </w:pPr>
    </w:p>
    <w:p w14:paraId="24FB2818">
      <w:pPr>
        <w:spacing w:line="576" w:lineRule="exact"/>
        <w:jc w:val="center"/>
        <w:rPr>
          <w:rFonts w:ascii="黑体" w:eastAsia="黑体"/>
          <w:sz w:val="72"/>
          <w:szCs w:val="72"/>
        </w:rPr>
      </w:pPr>
    </w:p>
    <w:p w14:paraId="16B9C6CE">
      <w:pPr>
        <w:spacing w:line="576" w:lineRule="exact"/>
        <w:jc w:val="center"/>
        <w:rPr>
          <w:rFonts w:ascii="黑体" w:eastAsia="黑体"/>
          <w:sz w:val="72"/>
          <w:szCs w:val="72"/>
        </w:rPr>
      </w:pPr>
    </w:p>
    <w:p w14:paraId="3D3996D7">
      <w:pPr>
        <w:spacing w:line="576" w:lineRule="exact"/>
        <w:jc w:val="center"/>
        <w:rPr>
          <w:rFonts w:ascii="黑体" w:eastAsia="黑体"/>
          <w:sz w:val="72"/>
          <w:szCs w:val="72"/>
        </w:rPr>
      </w:pPr>
    </w:p>
    <w:p w14:paraId="0BF3BAB5">
      <w:pPr>
        <w:spacing w:line="576" w:lineRule="exact"/>
        <w:jc w:val="center"/>
        <w:rPr>
          <w:rFonts w:ascii="黑体" w:eastAsia="黑体"/>
          <w:sz w:val="72"/>
          <w:szCs w:val="72"/>
        </w:rPr>
      </w:pPr>
    </w:p>
    <w:p w14:paraId="025F450D">
      <w:pPr>
        <w:spacing w:line="576" w:lineRule="exact"/>
        <w:rPr>
          <w:rFonts w:ascii="黑体" w:eastAsia="黑体"/>
          <w:sz w:val="72"/>
          <w:szCs w:val="72"/>
        </w:rPr>
      </w:pPr>
    </w:p>
    <w:p w14:paraId="076C8302">
      <w:pPr>
        <w:spacing w:line="576" w:lineRule="exact"/>
        <w:rPr>
          <w:rFonts w:ascii="黑体" w:eastAsia="黑体"/>
          <w:sz w:val="72"/>
          <w:szCs w:val="72"/>
        </w:rPr>
      </w:pPr>
      <w:r>
        <w:rPr>
          <w:rFonts w:ascii="黑体" w:eastAsia="黑体"/>
          <w:sz w:val="72"/>
          <w:szCs w:val="72"/>
        </w:rPr>
        <w:t> </w:t>
      </w:r>
    </w:p>
    <w:p w14:paraId="75A14286">
      <w:pPr>
        <w:pStyle w:val="20"/>
        <w:keepNext w:val="0"/>
        <w:keepLines w:val="0"/>
        <w:pageBreakBefore w:val="0"/>
        <w:kinsoku/>
        <w:wordWrap/>
        <w:overflowPunct/>
        <w:topLinePunct w:val="0"/>
        <w:autoSpaceDE/>
        <w:autoSpaceDN/>
        <w:bidi w:val="0"/>
        <w:adjustRightInd/>
        <w:snapToGrid/>
        <w:spacing w:before="0" w:beforeAutospacing="0" w:after="0" w:afterAutospacing="0" w:line="576" w:lineRule="exact"/>
        <w:jc w:val="center"/>
        <w:textAlignment w:val="auto"/>
        <w:rPr>
          <w:rFonts w:ascii="黑体" w:eastAsia="黑体" w:cs="Times New Roman"/>
          <w:color w:val="000000"/>
          <w:sz w:val="48"/>
          <w:szCs w:val="48"/>
        </w:rPr>
      </w:pPr>
      <w:r>
        <w:rPr>
          <w:rFonts w:hint="eastAsia" w:ascii="黑体" w:eastAsia="黑体" w:cs="Times New Roman"/>
          <w:color w:val="000000"/>
          <w:sz w:val="48"/>
          <w:szCs w:val="48"/>
        </w:rPr>
        <w:t>目录</w:t>
      </w:r>
    </w:p>
    <w:p w14:paraId="215804B2">
      <w:pPr>
        <w:pStyle w:val="14"/>
        <w:keepNext w:val="0"/>
        <w:keepLines w:val="0"/>
        <w:pageBreakBefore w:val="0"/>
        <w:kinsoku/>
        <w:wordWrap/>
        <w:overflowPunct/>
        <w:topLinePunct w:val="0"/>
        <w:autoSpaceDE/>
        <w:autoSpaceDN/>
        <w:bidi w:val="0"/>
        <w:adjustRightInd/>
        <w:snapToGrid/>
        <w:spacing w:before="0" w:beforeAutospacing="0" w:after="0" w:afterAutospacing="0"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5</w:t>
      </w:r>
      <w:r>
        <w:rPr>
          <w:rFonts w:hint="eastAsia"/>
          <w:b w:val="0"/>
          <w:bCs w:val="0"/>
          <w:sz w:val="24"/>
          <w:szCs w:val="24"/>
        </w:rPr>
        <w:t>年9月25日</w:t>
      </w:r>
    </w:p>
    <w:p w14:paraId="707D0F94">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TOC \o "1-3" \h \u </w:instrText>
      </w:r>
      <w:r>
        <w:fldChar w:fldCharType="separate"/>
      </w:r>
      <w:r>
        <w:fldChar w:fldCharType="begin"/>
      </w:r>
      <w:r>
        <w:instrText xml:space="preserve"> HYPERLINK \l "_Toc178176219" </w:instrText>
      </w:r>
      <w:r>
        <w:fldChar w:fldCharType="separate"/>
      </w:r>
      <w:r>
        <w:rPr>
          <w:rFonts w:hint="eastAsia" w:ascii="黑体" w:eastAsia="黑体"/>
        </w:rPr>
        <w:t>第一部分</w:t>
      </w:r>
      <w:r>
        <w:rPr>
          <w:rFonts w:ascii="黑体" w:eastAsia="黑体"/>
        </w:rPr>
        <w:t xml:space="preserve"> </w:t>
      </w:r>
      <w:r>
        <w:rPr>
          <w:rFonts w:hint="eastAsia" w:ascii="黑体" w:eastAsia="黑体"/>
        </w:rPr>
        <w:t>部门概况</w:t>
      </w:r>
      <w:r>
        <w:tab/>
      </w:r>
      <w:r>
        <w:fldChar w:fldCharType="begin"/>
      </w:r>
      <w:r>
        <w:instrText xml:space="preserve"> PAGEREF _Toc178176219 \h </w:instrText>
      </w:r>
      <w:r>
        <w:fldChar w:fldCharType="separate"/>
      </w:r>
      <w:r>
        <w:t>3</w:t>
      </w:r>
      <w:r>
        <w:fldChar w:fldCharType="end"/>
      </w:r>
      <w:r>
        <w:fldChar w:fldCharType="end"/>
      </w:r>
    </w:p>
    <w:p w14:paraId="5F23E2F3">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"_Toc178176220" </w:instrText>
      </w:r>
      <w:r>
        <w:fldChar w:fldCharType="separate"/>
      </w:r>
      <w:r>
        <w:rPr>
          <w:rFonts w:hint="eastAsia" w:ascii="黑体" w:eastAsia="黑体"/>
        </w:rPr>
        <w:t>一、部门职责</w:t>
      </w:r>
      <w:r>
        <w:tab/>
      </w:r>
      <w:r>
        <w:fldChar w:fldCharType="begin"/>
      </w:r>
      <w:r>
        <w:instrText xml:space="preserve"> PAGEREF _Toc178176220 \h </w:instrText>
      </w:r>
      <w:r>
        <w:fldChar w:fldCharType="separate"/>
      </w:r>
      <w:r>
        <w:t>3</w:t>
      </w:r>
      <w:r>
        <w:fldChar w:fldCharType="end"/>
      </w:r>
      <w:r>
        <w:fldChar w:fldCharType="end"/>
      </w:r>
    </w:p>
    <w:p w14:paraId="211D0A04">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"_Toc178176221" </w:instrText>
      </w:r>
      <w:r>
        <w:fldChar w:fldCharType="separate"/>
      </w:r>
      <w:r>
        <w:rPr>
          <w:rFonts w:hint="eastAsia" w:ascii="黑体" w:eastAsia="黑体"/>
        </w:rPr>
        <w:t>二、机构设置</w:t>
      </w:r>
      <w:r>
        <w:tab/>
      </w:r>
      <w:r>
        <w:fldChar w:fldCharType="begin"/>
      </w:r>
      <w:r>
        <w:instrText xml:space="preserve"> PAGEREF _Toc178176221 \h </w:instrText>
      </w:r>
      <w:r>
        <w:fldChar w:fldCharType="separate"/>
      </w:r>
      <w:r>
        <w:t>4</w:t>
      </w:r>
      <w:r>
        <w:fldChar w:fldCharType="end"/>
      </w:r>
      <w:r>
        <w:fldChar w:fldCharType="end"/>
      </w:r>
    </w:p>
    <w:p w14:paraId="4E41D153">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"_Toc178176222" </w:instrText>
      </w:r>
      <w:r>
        <w:fldChar w:fldCharType="separate"/>
      </w:r>
      <w:r>
        <w:rPr>
          <w:rFonts w:hint="eastAsia"/>
        </w:rPr>
        <w:t>第二部分</w:t>
      </w:r>
      <w:r>
        <w:t xml:space="preserve"> 202</w:t>
      </w:r>
      <w:r>
        <w:rPr>
          <w:rFonts w:hint="eastAsia"/>
          <w:lang w:val="en-US" w:eastAsia="zh-CN"/>
        </w:rPr>
        <w:t>4</w:t>
      </w:r>
      <w:r>
        <w:rPr>
          <w:rFonts w:hint="eastAsia"/>
        </w:rPr>
        <w:t>年度部门决算情况说明</w:t>
      </w:r>
      <w:r>
        <w:tab/>
      </w:r>
      <w:r>
        <w:fldChar w:fldCharType="begin"/>
      </w:r>
      <w:r>
        <w:instrText xml:space="preserve"> PAGEREF _Toc178176222 \h </w:instrText>
      </w:r>
      <w:r>
        <w:fldChar w:fldCharType="separate"/>
      </w:r>
      <w:r>
        <w:t>4</w:t>
      </w:r>
      <w:r>
        <w:fldChar w:fldCharType="end"/>
      </w:r>
      <w:r>
        <w:fldChar w:fldCharType="end"/>
      </w:r>
    </w:p>
    <w:p w14:paraId="2E3DCCF4">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"_Toc178176223" </w:instrText>
      </w:r>
      <w:r>
        <w:fldChar w:fldCharType="separate"/>
      </w:r>
      <w:r>
        <w:rPr>
          <w:rFonts w:hint="eastAsia" w:ascii="黑体" w:eastAsia="黑体"/>
        </w:rPr>
        <w:t>一、</w:t>
      </w:r>
      <w:r>
        <w:rPr>
          <w:rFonts w:ascii="Calibri" w:hAnsi="Calibri" w:eastAsia="宋体" w:cs="Arial"/>
          <w:caps w:val="0"/>
          <w:smallCaps w:val="0"/>
          <w:sz w:val="21"/>
          <w:szCs w:val="22"/>
        </w:rPr>
        <w:tab/>
      </w:r>
      <w:r>
        <w:rPr>
          <w:rFonts w:hint="eastAsia" w:ascii="黑体" w:eastAsia="黑体"/>
        </w:rPr>
        <w:t>收入支出决算总体情况说明</w:t>
      </w:r>
      <w:r>
        <w:tab/>
      </w:r>
      <w:r>
        <w:fldChar w:fldCharType="begin"/>
      </w:r>
      <w:r>
        <w:instrText xml:space="preserve"> PAGEREF _Toc178176223 \h </w:instrText>
      </w:r>
      <w:r>
        <w:fldChar w:fldCharType="separate"/>
      </w:r>
      <w:r>
        <w:t>4</w:t>
      </w:r>
      <w:r>
        <w:fldChar w:fldCharType="end"/>
      </w:r>
      <w:r>
        <w:fldChar w:fldCharType="end"/>
      </w:r>
    </w:p>
    <w:p w14:paraId="25C0C926">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"_Toc178176224" </w:instrText>
      </w:r>
      <w:r>
        <w:fldChar w:fldCharType="separate"/>
      </w:r>
      <w:r>
        <w:rPr>
          <w:rFonts w:hint="eastAsia" w:ascii="黑体" w:eastAsia="黑体"/>
        </w:rPr>
        <w:t>二、</w:t>
      </w:r>
      <w:r>
        <w:rPr>
          <w:rFonts w:ascii="Calibri" w:hAnsi="Calibri" w:eastAsia="宋体" w:cs="Arial"/>
          <w:caps w:val="0"/>
          <w:smallCaps w:val="0"/>
          <w:sz w:val="21"/>
          <w:szCs w:val="22"/>
        </w:rPr>
        <w:tab/>
      </w:r>
      <w:r>
        <w:rPr>
          <w:rFonts w:hint="eastAsia" w:ascii="黑体" w:eastAsia="黑体"/>
        </w:rPr>
        <w:t>收入决算情况说明</w:t>
      </w:r>
      <w:r>
        <w:tab/>
      </w:r>
      <w:r>
        <w:fldChar w:fldCharType="begin"/>
      </w:r>
      <w:r>
        <w:instrText xml:space="preserve"> PAGEREF _Toc178176224 \h </w:instrText>
      </w:r>
      <w:r>
        <w:fldChar w:fldCharType="separate"/>
      </w:r>
      <w:r>
        <w:t>4</w:t>
      </w:r>
      <w:r>
        <w:fldChar w:fldCharType="end"/>
      </w:r>
      <w:r>
        <w:fldChar w:fldCharType="end"/>
      </w:r>
    </w:p>
    <w:p w14:paraId="22E34266">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"_Toc178176225" </w:instrText>
      </w:r>
      <w:r>
        <w:fldChar w:fldCharType="separate"/>
      </w:r>
      <w:r>
        <w:rPr>
          <w:rFonts w:hint="eastAsia" w:ascii="黑体" w:eastAsia="黑体"/>
          <w:bCs/>
        </w:rPr>
        <w:t>三、</w:t>
      </w:r>
      <w:r>
        <w:rPr>
          <w:rFonts w:ascii="Calibri" w:hAnsi="Calibri" w:eastAsia="宋体" w:cs="Arial"/>
          <w:caps w:val="0"/>
          <w:smallCaps w:val="0"/>
          <w:sz w:val="21"/>
          <w:szCs w:val="22"/>
        </w:rPr>
        <w:tab/>
      </w:r>
      <w:r>
        <w:rPr>
          <w:rFonts w:hint="eastAsia" w:ascii="黑体" w:eastAsia="黑体"/>
        </w:rPr>
        <w:t>支</w:t>
      </w:r>
      <w:r>
        <w:rPr>
          <w:rFonts w:hint="eastAsia" w:ascii="黑体" w:eastAsia="黑体"/>
          <w:bCs/>
        </w:rPr>
        <w:t>出决算情况说明</w:t>
      </w:r>
      <w:r>
        <w:tab/>
      </w:r>
      <w:r>
        <w:fldChar w:fldCharType="begin"/>
      </w:r>
      <w:r>
        <w:instrText xml:space="preserve"> PAGEREF _Toc178176225 \h </w:instrText>
      </w:r>
      <w:r>
        <w:fldChar w:fldCharType="separate"/>
      </w:r>
      <w:r>
        <w:t>4</w:t>
      </w:r>
      <w:r>
        <w:fldChar w:fldCharType="end"/>
      </w:r>
      <w:r>
        <w:fldChar w:fldCharType="end"/>
      </w:r>
    </w:p>
    <w:p w14:paraId="02C163F5">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"_Toc178176226" </w:instrText>
      </w:r>
      <w:r>
        <w:fldChar w:fldCharType="separate"/>
      </w:r>
      <w:r>
        <w:rPr>
          <w:rFonts w:hint="eastAsia" w:ascii="黑体" w:eastAsia="黑体"/>
        </w:rPr>
        <w:t>四、财</w:t>
      </w:r>
      <w:r>
        <w:rPr>
          <w:rFonts w:hint="eastAsia" w:ascii="黑体" w:eastAsia="黑体"/>
          <w:bCs/>
        </w:rPr>
        <w:t>政拨款收入支出决算总体情况说明</w:t>
      </w:r>
      <w:r>
        <w:tab/>
      </w:r>
      <w:r>
        <w:fldChar w:fldCharType="begin"/>
      </w:r>
      <w:r>
        <w:instrText xml:space="preserve"> PAGEREF _Toc178176226 \h </w:instrText>
      </w:r>
      <w:r>
        <w:fldChar w:fldCharType="separate"/>
      </w:r>
      <w:r>
        <w:t>5</w:t>
      </w:r>
      <w:r>
        <w:fldChar w:fldCharType="end"/>
      </w:r>
      <w:r>
        <w:fldChar w:fldCharType="end"/>
      </w:r>
    </w:p>
    <w:p w14:paraId="14B83B0B">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"_Toc178176227" </w:instrText>
      </w:r>
      <w:r>
        <w:fldChar w:fldCharType="separate"/>
      </w:r>
      <w:r>
        <w:rPr>
          <w:rFonts w:hint="eastAsia" w:ascii="黑体" w:eastAsia="黑体"/>
        </w:rPr>
        <w:t>五、</w:t>
      </w:r>
      <w:r>
        <w:rPr>
          <w:rFonts w:hint="eastAsia" w:ascii="黑体" w:eastAsia="黑体"/>
          <w:b/>
        </w:rPr>
        <w:t>一</w:t>
      </w:r>
      <w:r>
        <w:rPr>
          <w:rFonts w:hint="eastAsia" w:ascii="黑体" w:eastAsia="黑体"/>
          <w:bCs/>
        </w:rPr>
        <w:t>般公共预算财政拨款支出决算情况说明</w:t>
      </w:r>
      <w:r>
        <w:tab/>
      </w:r>
      <w:r>
        <w:fldChar w:fldCharType="begin"/>
      </w:r>
      <w:r>
        <w:instrText xml:space="preserve"> PAGEREF _Toc178176227 \h </w:instrText>
      </w:r>
      <w:r>
        <w:fldChar w:fldCharType="separate"/>
      </w:r>
      <w:r>
        <w:t>5</w:t>
      </w:r>
      <w:r>
        <w:fldChar w:fldCharType="end"/>
      </w:r>
      <w:r>
        <w:fldChar w:fldCharType="end"/>
      </w:r>
    </w:p>
    <w:p w14:paraId="36EA396C">
      <w:pPr>
        <w:pStyle w:val="9"/>
        <w:tabs>
          <w:tab w:val="right" w:leader="dot" w:pos="8296"/>
        </w:tabs>
        <w:rPr>
          <w:rFonts w:ascii="Calibri" w:hAnsi="Calibri" w:eastAsia="宋体" w:cs="Arial"/>
          <w:i w:val="0"/>
          <w:iCs w:val="0"/>
          <w:sz w:val="21"/>
          <w:szCs w:val="22"/>
        </w:rPr>
      </w:pPr>
      <w:r>
        <w:fldChar w:fldCharType="begin"/>
      </w:r>
      <w:r>
        <w:instrText xml:space="preserve"> HYPERLINK \l "_Toc178176228" </w:instrText>
      </w:r>
      <w:r>
        <w:fldChar w:fldCharType="separate"/>
      </w:r>
      <w:r>
        <w:rPr>
          <w:rFonts w:hint="eastAsia" w:ascii="仿宋" w:eastAsia="仿宋"/>
          <w:b/>
          <w:i w:val="0"/>
        </w:rPr>
        <w:t>（一）一般公共预算财政拨款支出决算总体情况</w:t>
      </w:r>
      <w:r>
        <w:rPr>
          <w:i w:val="0"/>
        </w:rPr>
        <w:tab/>
      </w:r>
      <w:r>
        <w:rPr>
          <w:i w:val="0"/>
        </w:rPr>
        <w:fldChar w:fldCharType="begin"/>
      </w:r>
      <w:r>
        <w:rPr>
          <w:i w:val="0"/>
        </w:rPr>
        <w:instrText xml:space="preserve"> PAGEREF _Toc178176228 \h </w:instrText>
      </w:r>
      <w:r>
        <w:rPr>
          <w:i w:val="0"/>
        </w:rPr>
        <w:fldChar w:fldCharType="separate"/>
      </w:r>
      <w:r>
        <w:rPr>
          <w:i w:val="0"/>
        </w:rPr>
        <w:t>5</w:t>
      </w:r>
      <w:r>
        <w:rPr>
          <w:i w:val="0"/>
        </w:rPr>
        <w:fldChar w:fldCharType="end"/>
      </w:r>
      <w:r>
        <w:rPr>
          <w:i w:val="0"/>
        </w:rPr>
        <w:fldChar w:fldCharType="end"/>
      </w:r>
    </w:p>
    <w:p w14:paraId="5667382E">
      <w:pPr>
        <w:pStyle w:val="9"/>
        <w:tabs>
          <w:tab w:val="right" w:leader="dot" w:pos="8296"/>
        </w:tabs>
        <w:rPr>
          <w:rFonts w:ascii="Calibri" w:hAnsi="Calibri" w:eastAsia="宋体" w:cs="Arial"/>
          <w:i w:val="0"/>
          <w:iCs w:val="0"/>
          <w:sz w:val="21"/>
          <w:szCs w:val="22"/>
        </w:rPr>
      </w:pPr>
      <w:r>
        <w:fldChar w:fldCharType="begin"/>
      </w:r>
      <w:r>
        <w:instrText xml:space="preserve"> HYPERLINK \l "_Toc178176229" </w:instrText>
      </w:r>
      <w:r>
        <w:fldChar w:fldCharType="separate"/>
      </w:r>
      <w:r>
        <w:rPr>
          <w:rFonts w:hint="eastAsia" w:ascii="仿宋" w:eastAsia="仿宋"/>
          <w:b/>
          <w:i w:val="0"/>
        </w:rPr>
        <w:t>（二）一般公共预算财政拨款支出决算结构情况</w:t>
      </w:r>
      <w:r>
        <w:rPr>
          <w:i w:val="0"/>
        </w:rPr>
        <w:tab/>
      </w:r>
      <w:r>
        <w:rPr>
          <w:i w:val="0"/>
        </w:rPr>
        <w:fldChar w:fldCharType="begin"/>
      </w:r>
      <w:r>
        <w:rPr>
          <w:i w:val="0"/>
        </w:rPr>
        <w:instrText xml:space="preserve"> PAGEREF _Toc178176229 \h </w:instrText>
      </w:r>
      <w:r>
        <w:rPr>
          <w:i w:val="0"/>
        </w:rPr>
        <w:fldChar w:fldCharType="separate"/>
      </w:r>
      <w:r>
        <w:rPr>
          <w:i w:val="0"/>
        </w:rPr>
        <w:t>6</w:t>
      </w:r>
      <w:r>
        <w:rPr>
          <w:i w:val="0"/>
        </w:rPr>
        <w:fldChar w:fldCharType="end"/>
      </w:r>
      <w:r>
        <w:rPr>
          <w:i w:val="0"/>
        </w:rPr>
        <w:fldChar w:fldCharType="end"/>
      </w:r>
    </w:p>
    <w:p w14:paraId="4A87EA95">
      <w:pPr>
        <w:pStyle w:val="9"/>
        <w:tabs>
          <w:tab w:val="right" w:leader="dot" w:pos="8296"/>
        </w:tabs>
        <w:rPr>
          <w:rFonts w:ascii="Calibri" w:hAnsi="Calibri" w:eastAsia="宋体" w:cs="Arial"/>
          <w:i w:val="0"/>
          <w:iCs w:val="0"/>
          <w:sz w:val="21"/>
          <w:szCs w:val="22"/>
        </w:rPr>
      </w:pPr>
      <w:r>
        <w:fldChar w:fldCharType="begin"/>
      </w:r>
      <w:r>
        <w:instrText xml:space="preserve"> HYPERLINK \l "_Toc178176230" </w:instrText>
      </w:r>
      <w:r>
        <w:fldChar w:fldCharType="separate"/>
      </w:r>
      <w:r>
        <w:rPr>
          <w:rFonts w:hint="eastAsia" w:ascii="仿宋" w:eastAsia="仿宋"/>
          <w:b/>
          <w:i w:val="0"/>
        </w:rPr>
        <w:t>（三）一般公共预算财政拨款支出决算具体情况</w:t>
      </w:r>
      <w:r>
        <w:rPr>
          <w:i w:val="0"/>
        </w:rPr>
        <w:tab/>
      </w:r>
      <w:r>
        <w:rPr>
          <w:i w:val="0"/>
        </w:rPr>
        <w:fldChar w:fldCharType="begin"/>
      </w:r>
      <w:r>
        <w:rPr>
          <w:i w:val="0"/>
        </w:rPr>
        <w:instrText xml:space="preserve"> PAGEREF _Toc178176230 \h </w:instrText>
      </w:r>
      <w:r>
        <w:rPr>
          <w:i w:val="0"/>
        </w:rPr>
        <w:fldChar w:fldCharType="separate"/>
      </w:r>
      <w:r>
        <w:rPr>
          <w:i w:val="0"/>
        </w:rPr>
        <w:t>6</w:t>
      </w:r>
      <w:r>
        <w:rPr>
          <w:i w:val="0"/>
        </w:rPr>
        <w:fldChar w:fldCharType="end"/>
      </w:r>
      <w:r>
        <w:rPr>
          <w:i w:val="0"/>
        </w:rPr>
        <w:fldChar w:fldCharType="end"/>
      </w:r>
    </w:p>
    <w:p w14:paraId="06817D64">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"_Toc178176231" </w:instrText>
      </w:r>
      <w:r>
        <w:fldChar w:fldCharType="separate"/>
      </w:r>
      <w:r>
        <w:rPr>
          <w:rFonts w:hint="eastAsia" w:ascii="黑体" w:eastAsia="黑体"/>
        </w:rPr>
        <w:t>六</w:t>
      </w:r>
      <w:r>
        <w:rPr>
          <w:rFonts w:hint="eastAsia" w:ascii="黑体" w:eastAsia="黑体"/>
          <w:b/>
        </w:rPr>
        <w:t>、一</w:t>
      </w:r>
      <w:r>
        <w:rPr>
          <w:rFonts w:hint="eastAsia" w:ascii="黑体" w:eastAsia="黑体"/>
          <w:bCs/>
        </w:rPr>
        <w:t>般公共预算财政拨款基本支出决算情况说明</w:t>
      </w:r>
      <w:r>
        <w:tab/>
      </w:r>
      <w:r>
        <w:fldChar w:fldCharType="begin"/>
      </w:r>
      <w:r>
        <w:instrText xml:space="preserve"> PAGEREF _Toc178176231 \h </w:instrText>
      </w:r>
      <w:r>
        <w:fldChar w:fldCharType="separate"/>
      </w:r>
      <w:r>
        <w:t>7</w:t>
      </w:r>
      <w:r>
        <w:fldChar w:fldCharType="end"/>
      </w:r>
      <w:r>
        <w:fldChar w:fldCharType="end"/>
      </w:r>
    </w:p>
    <w:p w14:paraId="28D50483">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"_Toc178176232" </w:instrText>
      </w:r>
      <w:r>
        <w:fldChar w:fldCharType="separate"/>
      </w:r>
      <w:r>
        <w:rPr>
          <w:rFonts w:hint="eastAsia" w:ascii="黑体" w:eastAsia="黑体"/>
        </w:rPr>
        <w:t>七、</w:t>
      </w:r>
      <w:r>
        <w:rPr>
          <w:rFonts w:ascii="黑体" w:eastAsia="黑体"/>
          <w:b/>
          <w:bCs/>
        </w:rPr>
        <w:t>“</w:t>
      </w:r>
      <w:r>
        <w:rPr>
          <w:rFonts w:hint="eastAsia" w:ascii="黑体" w:eastAsia="黑体"/>
          <w:bCs/>
        </w:rPr>
        <w:t>三公”经费财政拨款支出决算情况说明</w:t>
      </w:r>
      <w:r>
        <w:tab/>
      </w:r>
      <w:r>
        <w:fldChar w:fldCharType="begin"/>
      </w:r>
      <w:r>
        <w:instrText xml:space="preserve"> PAGEREF _Toc178176232 \h </w:instrText>
      </w:r>
      <w:r>
        <w:fldChar w:fldCharType="separate"/>
      </w:r>
      <w:r>
        <w:t>8</w:t>
      </w:r>
      <w:r>
        <w:fldChar w:fldCharType="end"/>
      </w:r>
      <w:r>
        <w:fldChar w:fldCharType="end"/>
      </w:r>
    </w:p>
    <w:p w14:paraId="65527463">
      <w:pPr>
        <w:pStyle w:val="9"/>
        <w:tabs>
          <w:tab w:val="right" w:leader="dot" w:pos="8296"/>
        </w:tabs>
        <w:rPr>
          <w:rFonts w:ascii="Calibri" w:hAnsi="Calibri" w:eastAsia="宋体" w:cs="Arial"/>
          <w:i w:val="0"/>
          <w:iCs w:val="0"/>
          <w:sz w:val="21"/>
          <w:szCs w:val="22"/>
        </w:rPr>
      </w:pPr>
      <w:r>
        <w:fldChar w:fldCharType="begin"/>
      </w:r>
      <w:r>
        <w:instrText xml:space="preserve"> HYPERLINK \l "_Toc178176233" </w:instrText>
      </w:r>
      <w:r>
        <w:fldChar w:fldCharType="separate"/>
      </w:r>
      <w:r>
        <w:rPr>
          <w:rFonts w:hint="eastAsia" w:ascii="仿宋" w:eastAsia="仿宋"/>
          <w:b/>
          <w:i w:val="0"/>
        </w:rPr>
        <w:t>（一）“三公”经费财政拨款支出决算总体情况说明</w:t>
      </w:r>
      <w:r>
        <w:rPr>
          <w:i w:val="0"/>
        </w:rPr>
        <w:tab/>
      </w:r>
      <w:r>
        <w:rPr>
          <w:i w:val="0"/>
        </w:rPr>
        <w:fldChar w:fldCharType="begin"/>
      </w:r>
      <w:r>
        <w:rPr>
          <w:i w:val="0"/>
        </w:rPr>
        <w:instrText xml:space="preserve"> PAGEREF _Toc178176233 \h </w:instrText>
      </w:r>
      <w:r>
        <w:rPr>
          <w:i w:val="0"/>
        </w:rPr>
        <w:fldChar w:fldCharType="separate"/>
      </w:r>
      <w:r>
        <w:rPr>
          <w:i w:val="0"/>
        </w:rPr>
        <w:t>8</w:t>
      </w:r>
      <w:r>
        <w:rPr>
          <w:i w:val="0"/>
        </w:rPr>
        <w:fldChar w:fldCharType="end"/>
      </w:r>
      <w:r>
        <w:rPr>
          <w:i w:val="0"/>
        </w:rPr>
        <w:fldChar w:fldCharType="end"/>
      </w:r>
    </w:p>
    <w:p w14:paraId="0D79963F">
      <w:pPr>
        <w:pStyle w:val="9"/>
        <w:tabs>
          <w:tab w:val="right" w:leader="dot" w:pos="8296"/>
        </w:tabs>
        <w:rPr>
          <w:rFonts w:ascii="Calibri" w:hAnsi="Calibri" w:eastAsia="宋体" w:cs="Arial"/>
          <w:i w:val="0"/>
          <w:iCs w:val="0"/>
          <w:sz w:val="21"/>
          <w:szCs w:val="22"/>
        </w:rPr>
      </w:pPr>
      <w:r>
        <w:fldChar w:fldCharType="begin"/>
      </w:r>
      <w:r>
        <w:instrText xml:space="preserve"> HYPERLINK \l "_Toc178176234" </w:instrText>
      </w:r>
      <w:r>
        <w:fldChar w:fldCharType="separate"/>
      </w:r>
      <w:r>
        <w:rPr>
          <w:rFonts w:hint="eastAsia" w:ascii="仿宋" w:eastAsia="仿宋"/>
          <w:b/>
          <w:i w:val="0"/>
        </w:rPr>
        <w:t>（二）“三公”经费财政拨款支出决算具体情况说明</w:t>
      </w:r>
      <w:r>
        <w:rPr>
          <w:i w:val="0"/>
        </w:rPr>
        <w:tab/>
      </w:r>
      <w:r>
        <w:rPr>
          <w:i w:val="0"/>
        </w:rPr>
        <w:fldChar w:fldCharType="begin"/>
      </w:r>
      <w:r>
        <w:rPr>
          <w:i w:val="0"/>
        </w:rPr>
        <w:instrText xml:space="preserve"> PAGEREF _Toc178176234 \h </w:instrText>
      </w:r>
      <w:r>
        <w:rPr>
          <w:i w:val="0"/>
        </w:rPr>
        <w:fldChar w:fldCharType="separate"/>
      </w:r>
      <w:r>
        <w:rPr>
          <w:i w:val="0"/>
        </w:rPr>
        <w:t>8</w:t>
      </w:r>
      <w:r>
        <w:rPr>
          <w:i w:val="0"/>
        </w:rPr>
        <w:fldChar w:fldCharType="end"/>
      </w:r>
      <w:r>
        <w:rPr>
          <w:i w:val="0"/>
        </w:rPr>
        <w:fldChar w:fldCharType="end"/>
      </w:r>
    </w:p>
    <w:p w14:paraId="2F216ED2">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"_Toc178176235" </w:instrText>
      </w:r>
      <w:r>
        <w:fldChar w:fldCharType="separate"/>
      </w:r>
      <w:r>
        <w:rPr>
          <w:rFonts w:hint="eastAsia" w:ascii="黑体" w:eastAsia="黑体"/>
        </w:rPr>
        <w:t>八、</w:t>
      </w:r>
      <w:r>
        <w:rPr>
          <w:rFonts w:hint="eastAsia" w:ascii="黑体" w:eastAsia="黑体"/>
          <w:bCs/>
        </w:rPr>
        <w:t>政府性基金预算支出决算情况说明</w:t>
      </w:r>
      <w:r>
        <w:tab/>
      </w:r>
      <w:r>
        <w:fldChar w:fldCharType="begin"/>
      </w:r>
      <w:r>
        <w:instrText xml:space="preserve"> PAGEREF _Toc178176235 \h </w:instrText>
      </w:r>
      <w:r>
        <w:fldChar w:fldCharType="separate"/>
      </w:r>
      <w:r>
        <w:t>9</w:t>
      </w:r>
      <w:r>
        <w:fldChar w:fldCharType="end"/>
      </w:r>
      <w:r>
        <w:fldChar w:fldCharType="end"/>
      </w:r>
    </w:p>
    <w:p w14:paraId="5B4D2926">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"_Toc178176236" </w:instrText>
      </w:r>
      <w:r>
        <w:fldChar w:fldCharType="separate"/>
      </w:r>
      <w:r>
        <w:rPr>
          <w:rFonts w:hint="eastAsia" w:ascii="黑体" w:eastAsia="黑体"/>
          <w:bCs/>
        </w:rPr>
        <w:t>九、 国有资本经营预算支出决算情况说明</w:t>
      </w:r>
      <w:r>
        <w:tab/>
      </w:r>
      <w:r>
        <w:fldChar w:fldCharType="begin"/>
      </w:r>
      <w:r>
        <w:instrText xml:space="preserve"> PAGEREF _Toc178176236 \h </w:instrText>
      </w:r>
      <w:r>
        <w:fldChar w:fldCharType="separate"/>
      </w:r>
      <w:r>
        <w:t>9</w:t>
      </w:r>
      <w:r>
        <w:fldChar w:fldCharType="end"/>
      </w:r>
      <w:r>
        <w:fldChar w:fldCharType="end"/>
      </w:r>
    </w:p>
    <w:p w14:paraId="041AE0B8">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"_Toc178176237" </w:instrText>
      </w:r>
      <w:r>
        <w:fldChar w:fldCharType="separate"/>
      </w:r>
      <w:r>
        <w:rPr>
          <w:rFonts w:hint="eastAsia" w:ascii="黑体" w:eastAsia="黑体"/>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_Toc178176237 \h </w:instrText>
      </w:r>
      <w:r>
        <w:fldChar w:fldCharType="separate"/>
      </w:r>
      <w:r>
        <w:t>9</w:t>
      </w:r>
      <w:r>
        <w:fldChar w:fldCharType="end"/>
      </w:r>
      <w:r>
        <w:fldChar w:fldCharType="end"/>
      </w:r>
    </w:p>
    <w:p w14:paraId="1EDEE210">
      <w:pPr>
        <w:pStyle w:val="9"/>
        <w:tabs>
          <w:tab w:val="right" w:leader="dot" w:pos="8296"/>
        </w:tabs>
        <w:rPr>
          <w:rFonts w:ascii="Calibri" w:hAnsi="Calibri" w:eastAsia="宋体" w:cs="Arial"/>
          <w:i w:val="0"/>
          <w:iCs w:val="0"/>
          <w:sz w:val="21"/>
          <w:szCs w:val="22"/>
        </w:rPr>
      </w:pPr>
      <w:r>
        <w:fldChar w:fldCharType="begin"/>
      </w:r>
      <w:r>
        <w:instrText xml:space="preserve"> HYPERLINK \l "_Toc178176238" </w:instrText>
      </w:r>
      <w:r>
        <w:fldChar w:fldCharType="separate"/>
      </w:r>
      <w:r>
        <w:rPr>
          <w:rFonts w:hint="eastAsia" w:ascii="仿宋" w:eastAsia="仿宋"/>
          <w:b/>
          <w:i w:val="0"/>
        </w:rPr>
        <w:t>（一）机关运行经费支出情况</w:t>
      </w:r>
      <w:r>
        <w:rPr>
          <w:i w:val="0"/>
        </w:rPr>
        <w:tab/>
      </w:r>
      <w:r>
        <w:rPr>
          <w:rFonts w:hint="eastAsia"/>
          <w:i w:val="0"/>
          <w:lang w:val="en-US" w:eastAsia="zh-CN"/>
        </w:rPr>
        <w:t>9</w:t>
      </w:r>
      <w:r>
        <w:rPr>
          <w:i w:val="0"/>
        </w:rPr>
        <w:fldChar w:fldCharType="end"/>
      </w:r>
    </w:p>
    <w:p w14:paraId="4103F516">
      <w:pPr>
        <w:pStyle w:val="9"/>
        <w:tabs>
          <w:tab w:val="right" w:leader="dot" w:pos="8296"/>
        </w:tabs>
        <w:rPr>
          <w:rFonts w:ascii="Calibri" w:hAnsi="Calibri" w:eastAsia="宋体" w:cs="Arial"/>
          <w:i w:val="0"/>
          <w:iCs w:val="0"/>
          <w:sz w:val="21"/>
          <w:szCs w:val="22"/>
        </w:rPr>
      </w:pPr>
      <w:r>
        <w:fldChar w:fldCharType="begin"/>
      </w:r>
      <w:r>
        <w:instrText xml:space="preserve"> HYPERLINK \l "_Toc178176239" </w:instrText>
      </w:r>
      <w:r>
        <w:fldChar w:fldCharType="separate"/>
      </w:r>
      <w:r>
        <w:rPr>
          <w:rFonts w:hint="eastAsia" w:ascii="仿宋" w:eastAsia="仿宋"/>
          <w:b/>
          <w:i w:val="0"/>
        </w:rPr>
        <w:t>（二）政府采购支出情况</w:t>
      </w:r>
      <w:r>
        <w:rPr>
          <w:i w:val="0"/>
        </w:rPr>
        <w:tab/>
      </w:r>
      <w:r>
        <w:rPr>
          <w:rFonts w:hint="eastAsia"/>
          <w:i w:val="0"/>
          <w:lang w:val="en-US" w:eastAsia="zh-CN"/>
        </w:rPr>
        <w:t>9</w:t>
      </w:r>
      <w:r>
        <w:rPr>
          <w:i w:val="0"/>
        </w:rPr>
        <w:fldChar w:fldCharType="end"/>
      </w:r>
    </w:p>
    <w:p w14:paraId="289B67B1">
      <w:pPr>
        <w:pStyle w:val="9"/>
        <w:tabs>
          <w:tab w:val="right" w:leader="dot" w:pos="8296"/>
        </w:tabs>
        <w:rPr>
          <w:rFonts w:ascii="Calibri" w:hAnsi="Calibri" w:eastAsia="宋体" w:cs="Arial"/>
          <w:i w:val="0"/>
          <w:iCs w:val="0"/>
          <w:sz w:val="21"/>
          <w:szCs w:val="22"/>
        </w:rPr>
      </w:pPr>
      <w:r>
        <w:fldChar w:fldCharType="begin"/>
      </w:r>
      <w:r>
        <w:instrText xml:space="preserve"> HYPERLINK \l "_Toc178176240" </w:instrText>
      </w:r>
      <w:r>
        <w:fldChar w:fldCharType="separate"/>
      </w:r>
      <w:r>
        <w:rPr>
          <w:rFonts w:hint="eastAsia" w:ascii="仿宋" w:eastAsia="仿宋"/>
          <w:b/>
          <w:i w:val="0"/>
        </w:rPr>
        <w:t>（三）国有资产占有使用情况</w:t>
      </w:r>
      <w:r>
        <w:rPr>
          <w:i w:val="0"/>
        </w:rPr>
        <w:tab/>
      </w:r>
      <w:r>
        <w:rPr>
          <w:i w:val="0"/>
        </w:rPr>
        <w:fldChar w:fldCharType="begin"/>
      </w:r>
      <w:r>
        <w:rPr>
          <w:i w:val="0"/>
        </w:rPr>
        <w:instrText xml:space="preserve"> PAGEREF _Toc178176240 \h </w:instrText>
      </w:r>
      <w:r>
        <w:rPr>
          <w:i w:val="0"/>
        </w:rPr>
        <w:fldChar w:fldCharType="separate"/>
      </w:r>
      <w:r>
        <w:rPr>
          <w:i w:val="0"/>
        </w:rPr>
        <w:t>10</w:t>
      </w:r>
      <w:r>
        <w:rPr>
          <w:i w:val="0"/>
        </w:rPr>
        <w:fldChar w:fldCharType="end"/>
      </w:r>
      <w:r>
        <w:rPr>
          <w:i w:val="0"/>
        </w:rPr>
        <w:fldChar w:fldCharType="end"/>
      </w:r>
    </w:p>
    <w:p w14:paraId="7B247F2E">
      <w:pPr>
        <w:pStyle w:val="9"/>
        <w:tabs>
          <w:tab w:val="right" w:leader="dot" w:pos="8296"/>
        </w:tabs>
        <w:rPr>
          <w:rFonts w:ascii="Calibri" w:hAnsi="Calibri" w:eastAsia="宋体" w:cs="Arial"/>
          <w:i w:val="0"/>
          <w:iCs w:val="0"/>
          <w:sz w:val="21"/>
          <w:szCs w:val="22"/>
        </w:rPr>
      </w:pPr>
      <w:r>
        <w:fldChar w:fldCharType="begin"/>
      </w:r>
      <w:r>
        <w:instrText xml:space="preserve"> HYPERLINK \l "_Toc178176241" </w:instrText>
      </w:r>
      <w:r>
        <w:fldChar w:fldCharType="separate"/>
      </w:r>
      <w:r>
        <w:rPr>
          <w:rFonts w:hint="eastAsia" w:ascii="仿宋" w:eastAsia="仿宋"/>
          <w:b/>
          <w:i w:val="0"/>
        </w:rPr>
        <w:t>（四）预算绩效管理情况</w:t>
      </w:r>
      <w:r>
        <w:rPr>
          <w:i w:val="0"/>
        </w:rPr>
        <w:tab/>
      </w:r>
      <w:r>
        <w:rPr>
          <w:i w:val="0"/>
        </w:rPr>
        <w:fldChar w:fldCharType="begin"/>
      </w:r>
      <w:r>
        <w:rPr>
          <w:i w:val="0"/>
        </w:rPr>
        <w:instrText xml:space="preserve"> PAGEREF _Toc178176241 \h </w:instrText>
      </w:r>
      <w:r>
        <w:rPr>
          <w:i w:val="0"/>
        </w:rPr>
        <w:fldChar w:fldCharType="separate"/>
      </w:r>
      <w:r>
        <w:rPr>
          <w:i w:val="0"/>
        </w:rPr>
        <w:t>10</w:t>
      </w:r>
      <w:r>
        <w:rPr>
          <w:i w:val="0"/>
        </w:rPr>
        <w:fldChar w:fldCharType="end"/>
      </w:r>
      <w:r>
        <w:rPr>
          <w:i w:val="0"/>
        </w:rPr>
        <w:fldChar w:fldCharType="end"/>
      </w:r>
    </w:p>
    <w:p w14:paraId="62914F7C">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"_Toc178176242" </w:instrText>
      </w:r>
      <w:r>
        <w:fldChar w:fldCharType="separate"/>
      </w:r>
      <w:r>
        <w:rPr>
          <w:rFonts w:hint="eastAsia" w:ascii="黑体" w:eastAsia="黑体"/>
          <w:kern w:val="44"/>
        </w:rPr>
        <w:t>第三部分</w:t>
      </w:r>
      <w:r>
        <w:rPr>
          <w:rFonts w:hint="eastAsia" w:ascii="黑体" w:eastAsia="黑体"/>
        </w:rPr>
        <w:t xml:space="preserve"> 名</w:t>
      </w:r>
      <w:r>
        <w:rPr>
          <w:rFonts w:hint="eastAsia" w:ascii="黑体" w:eastAsia="黑体"/>
          <w:kern w:val="44"/>
        </w:rPr>
        <w:t>词解释</w:t>
      </w:r>
      <w:r>
        <w:tab/>
      </w:r>
      <w:r>
        <w:fldChar w:fldCharType="begin"/>
      </w:r>
      <w:r>
        <w:instrText xml:space="preserve"> PAGEREF _Toc178176242 \h </w:instrText>
      </w:r>
      <w:r>
        <w:fldChar w:fldCharType="separate"/>
      </w:r>
      <w:r>
        <w:t>11</w:t>
      </w:r>
      <w:r>
        <w:fldChar w:fldCharType="end"/>
      </w:r>
      <w:r>
        <w:fldChar w:fldCharType="end"/>
      </w:r>
    </w:p>
    <w:p w14:paraId="65950B4F">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"_Toc178176243" </w:instrText>
      </w:r>
      <w:r>
        <w:fldChar w:fldCharType="separate"/>
      </w:r>
      <w:r>
        <w:rPr>
          <w:rFonts w:hint="eastAsia" w:ascii="黑体" w:eastAsia="黑体"/>
        </w:rPr>
        <w:t>第</w:t>
      </w:r>
      <w:r>
        <w:rPr>
          <w:rFonts w:hint="eastAsia" w:ascii="黑体" w:eastAsia="黑体"/>
          <w:kern w:val="44"/>
        </w:rPr>
        <w:t>四部分</w:t>
      </w:r>
      <w:r>
        <w:rPr>
          <w:rFonts w:ascii="黑体" w:eastAsia="黑体"/>
          <w:kern w:val="44"/>
        </w:rPr>
        <w:t xml:space="preserve"> </w:t>
      </w:r>
      <w:r>
        <w:rPr>
          <w:rFonts w:hint="eastAsia" w:ascii="黑体" w:eastAsia="黑体"/>
          <w:kern w:val="44"/>
        </w:rPr>
        <w:t>附件</w:t>
      </w:r>
      <w:r>
        <w:tab/>
      </w:r>
      <w:r>
        <w:fldChar w:fldCharType="begin"/>
      </w:r>
      <w:r>
        <w:instrText xml:space="preserve"> PAGEREF _Toc178176243 \h </w:instrText>
      </w:r>
      <w:r>
        <w:fldChar w:fldCharType="separate"/>
      </w:r>
      <w:r>
        <w:t>14</w:t>
      </w:r>
      <w:r>
        <w:fldChar w:fldCharType="end"/>
      </w:r>
      <w:r>
        <w:fldChar w:fldCharType="end"/>
      </w:r>
    </w:p>
    <w:p w14:paraId="6ED5AFEC">
      <w:pPr>
        <w:pStyle w:val="14"/>
        <w:tabs>
          <w:tab w:val="right" w:leader="dot" w:pos="8296"/>
        </w:tabs>
        <w:spacing w:before="0" w:after="0"/>
        <w:rPr>
          <w:rFonts w:hint="eastAsia" w:ascii="Calibri" w:hAnsi="Calibri" w:eastAsia="等线" w:cs="Arial"/>
          <w:b w:val="0"/>
          <w:bCs w:val="0"/>
          <w:caps w:val="0"/>
          <w:smallCaps w:val="0"/>
          <w:sz w:val="21"/>
          <w:szCs w:val="22"/>
          <w:lang w:val="en-US" w:eastAsia="zh-CN"/>
        </w:rPr>
      </w:pPr>
      <w:r>
        <w:fldChar w:fldCharType="begin"/>
      </w:r>
      <w:r>
        <w:instrText xml:space="preserve">HYPERLINK \l "_Toc178176243"</w:instrText>
      </w:r>
      <w:r>
        <w:fldChar w:fldCharType="separate"/>
      </w:r>
      <w:r>
        <w:rPr>
          <w:rFonts w:hint="eastAsia" w:ascii="黑体" w:eastAsia="黑体"/>
        </w:rPr>
        <w:t>第</w:t>
      </w:r>
      <w:r>
        <w:rPr>
          <w:rFonts w:hint="eastAsia" w:ascii="黑体" w:eastAsia="黑体"/>
          <w:kern w:val="44"/>
        </w:rPr>
        <w:t>五部分</w:t>
      </w:r>
      <w:r>
        <w:rPr>
          <w:rFonts w:ascii="黑体" w:eastAsia="黑体"/>
          <w:kern w:val="44"/>
        </w:rPr>
        <w:t xml:space="preserve"> </w:t>
      </w:r>
      <w:r>
        <w:rPr>
          <w:rFonts w:hint="eastAsia" w:ascii="黑体" w:eastAsia="黑体"/>
          <w:kern w:val="44"/>
        </w:rPr>
        <w:t>附表</w:t>
      </w:r>
      <w:r>
        <w:tab/>
      </w:r>
      <w:r>
        <w:rPr>
          <w:rFonts w:hint="eastAsia"/>
          <w:lang w:val="en-US" w:eastAsia="zh-CN"/>
        </w:rPr>
        <w:t>3</w:t>
      </w:r>
      <w:r>
        <w:fldChar w:fldCharType="end"/>
      </w:r>
      <w:r>
        <w:rPr>
          <w:rFonts w:hint="eastAsia"/>
          <w:lang w:val="en-US" w:eastAsia="zh-CN"/>
        </w:rPr>
        <w:t>4</w:t>
      </w:r>
    </w:p>
    <w:p w14:paraId="22FBDA92">
      <w:pPr>
        <w:pStyle w:val="18"/>
        <w:tabs>
          <w:tab w:val="right" w:leader="dot" w:pos="8296"/>
        </w:tabs>
        <w:rPr>
          <w:rFonts w:hint="eastAsia" w:ascii="Calibri" w:hAnsi="Calibri" w:eastAsia="等线" w:cs="Arial"/>
          <w:smallCaps w:val="0"/>
          <w:sz w:val="21"/>
          <w:szCs w:val="22"/>
          <w:lang w:val="en-US" w:eastAsia="zh-CN"/>
        </w:rPr>
      </w:pPr>
      <w:r>
        <w:fldChar w:fldCharType="end"/>
      </w:r>
      <w:r>
        <w:fldChar w:fldCharType="begin"/>
      </w:r>
      <w:r>
        <w:instrText xml:space="preserve">TOC \o "1-3" \h \u </w:instrText>
      </w:r>
      <w:r>
        <w:fldChar w:fldCharType="separate"/>
      </w:r>
      <w:r>
        <w:fldChar w:fldCharType="begin"/>
      </w:r>
      <w:r>
        <w:instrText xml:space="preserve"> HYPERLINK \l "_Toc144822118" </w:instrText>
      </w:r>
      <w:r>
        <w:fldChar w:fldCharType="separate"/>
      </w:r>
      <w:r>
        <w:rPr>
          <w:rFonts w:hint="eastAsia" w:ascii="仿宋" w:eastAsia="仿宋"/>
        </w:rPr>
        <w:t>一、收入支出决算总表</w:t>
      </w:r>
      <w:r>
        <w:tab/>
      </w:r>
      <w:r>
        <w:rPr>
          <w:rFonts w:hint="eastAsia"/>
          <w:lang w:val="en-US" w:eastAsia="zh-CN"/>
        </w:rPr>
        <w:t>3</w:t>
      </w:r>
      <w:r>
        <w:fldChar w:fldCharType="end"/>
      </w:r>
      <w:r>
        <w:rPr>
          <w:rFonts w:hint="eastAsia"/>
          <w:lang w:val="en-US" w:eastAsia="zh-CN"/>
        </w:rPr>
        <w:t>4</w:t>
      </w:r>
    </w:p>
    <w:p w14:paraId="462478DE">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"_Toc144822119" </w:instrText>
      </w:r>
      <w:r>
        <w:fldChar w:fldCharType="separate"/>
      </w:r>
      <w:r>
        <w:rPr>
          <w:rFonts w:hint="eastAsia" w:ascii="仿宋" w:eastAsia="仿宋"/>
        </w:rPr>
        <w:t>二、收入决算表</w:t>
      </w:r>
      <w:r>
        <w:tab/>
      </w:r>
      <w:r>
        <w:rPr>
          <w:rFonts w:hint="eastAsia"/>
          <w:lang w:val="en-US" w:eastAsia="zh-CN"/>
        </w:rPr>
        <w:t>3</w:t>
      </w:r>
      <w:r>
        <w:fldChar w:fldCharType="end"/>
      </w:r>
      <w:r>
        <w:rPr>
          <w:rFonts w:hint="eastAsia"/>
          <w:lang w:val="en-US" w:eastAsia="zh-CN"/>
        </w:rPr>
        <w:t>4</w:t>
      </w:r>
    </w:p>
    <w:p w14:paraId="07474B14">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"_Toc144822120" </w:instrText>
      </w:r>
      <w:r>
        <w:fldChar w:fldCharType="separate"/>
      </w:r>
      <w:r>
        <w:rPr>
          <w:rFonts w:hint="eastAsia" w:ascii="仿宋" w:eastAsia="仿宋"/>
        </w:rPr>
        <w:t>三、支出决算表</w:t>
      </w:r>
      <w:r>
        <w:tab/>
      </w:r>
      <w:r>
        <w:rPr>
          <w:rFonts w:hint="eastAsia"/>
          <w:lang w:val="en-US" w:eastAsia="zh-CN"/>
        </w:rPr>
        <w:t>3</w:t>
      </w:r>
      <w:r>
        <w:fldChar w:fldCharType="end"/>
      </w:r>
      <w:r>
        <w:rPr>
          <w:rFonts w:hint="eastAsia"/>
          <w:lang w:val="en-US" w:eastAsia="zh-CN"/>
        </w:rPr>
        <w:t>4</w:t>
      </w:r>
    </w:p>
    <w:p w14:paraId="651EBD80">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"_Toc144822121" </w:instrText>
      </w:r>
      <w:r>
        <w:fldChar w:fldCharType="separate"/>
      </w:r>
      <w:r>
        <w:rPr>
          <w:rFonts w:hint="eastAsia" w:ascii="仿宋" w:eastAsia="仿宋"/>
        </w:rPr>
        <w:t>四、财政拨款收入支出决算总表</w:t>
      </w:r>
      <w:r>
        <w:tab/>
      </w:r>
      <w:r>
        <w:rPr>
          <w:rFonts w:hint="eastAsia"/>
          <w:lang w:val="en-US" w:eastAsia="zh-CN"/>
        </w:rPr>
        <w:t>3</w:t>
      </w:r>
      <w:r>
        <w:fldChar w:fldCharType="end"/>
      </w:r>
      <w:r>
        <w:rPr>
          <w:rFonts w:hint="eastAsia"/>
          <w:lang w:val="en-US" w:eastAsia="zh-CN"/>
        </w:rPr>
        <w:t>4</w:t>
      </w:r>
    </w:p>
    <w:p w14:paraId="75A4FFDC">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"_Toc144822122" </w:instrText>
      </w:r>
      <w:r>
        <w:fldChar w:fldCharType="separate"/>
      </w:r>
      <w:r>
        <w:rPr>
          <w:rFonts w:hint="eastAsia" w:ascii="仿宋" w:eastAsia="仿宋"/>
        </w:rPr>
        <w:t>五、财政拨款支出决算明细表</w:t>
      </w:r>
      <w:r>
        <w:tab/>
      </w:r>
      <w:r>
        <w:rPr>
          <w:rFonts w:hint="eastAsia"/>
          <w:lang w:val="en-US" w:eastAsia="zh-CN"/>
        </w:rPr>
        <w:t>3</w:t>
      </w:r>
      <w:r>
        <w:fldChar w:fldCharType="end"/>
      </w:r>
      <w:r>
        <w:rPr>
          <w:rFonts w:hint="eastAsia"/>
          <w:lang w:val="en-US" w:eastAsia="zh-CN"/>
        </w:rPr>
        <w:t>4</w:t>
      </w:r>
    </w:p>
    <w:p w14:paraId="2404F48E">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"_Toc144822123" </w:instrText>
      </w:r>
      <w:r>
        <w:fldChar w:fldCharType="separate"/>
      </w:r>
      <w:r>
        <w:rPr>
          <w:rFonts w:hint="eastAsia" w:ascii="仿宋" w:eastAsia="仿宋"/>
        </w:rPr>
        <w:t>六、一般公共预算财政拨款支出决算表</w:t>
      </w:r>
      <w:r>
        <w:tab/>
      </w:r>
      <w:r>
        <w:rPr>
          <w:rFonts w:hint="eastAsia"/>
          <w:lang w:val="en-US" w:eastAsia="zh-CN"/>
        </w:rPr>
        <w:t>3</w:t>
      </w:r>
      <w:r>
        <w:fldChar w:fldCharType="end"/>
      </w:r>
      <w:r>
        <w:rPr>
          <w:rFonts w:hint="eastAsia"/>
          <w:lang w:val="en-US" w:eastAsia="zh-CN"/>
        </w:rPr>
        <w:t>4</w:t>
      </w:r>
    </w:p>
    <w:p w14:paraId="2F0229DD">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"_Toc144822124" </w:instrText>
      </w:r>
      <w:r>
        <w:fldChar w:fldCharType="separate"/>
      </w:r>
      <w:r>
        <w:rPr>
          <w:rFonts w:hint="eastAsia" w:ascii="仿宋" w:eastAsia="仿宋"/>
        </w:rPr>
        <w:t>七、一般公共预算财政拨款支出决算明细表</w:t>
      </w:r>
      <w:r>
        <w:tab/>
      </w:r>
      <w:r>
        <w:rPr>
          <w:rFonts w:hint="eastAsia"/>
          <w:lang w:val="en-US" w:eastAsia="zh-CN"/>
        </w:rPr>
        <w:t>3</w:t>
      </w:r>
      <w:r>
        <w:fldChar w:fldCharType="end"/>
      </w:r>
      <w:r>
        <w:rPr>
          <w:rFonts w:hint="eastAsia"/>
          <w:lang w:val="en-US" w:eastAsia="zh-CN"/>
        </w:rPr>
        <w:t>4</w:t>
      </w:r>
    </w:p>
    <w:p w14:paraId="064F690D">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"_Toc144822125" </w:instrText>
      </w:r>
      <w:r>
        <w:fldChar w:fldCharType="separate"/>
      </w:r>
      <w:r>
        <w:rPr>
          <w:rFonts w:hint="eastAsia" w:ascii="仿宋" w:eastAsia="仿宋"/>
        </w:rPr>
        <w:t>八、一般公共预算财政拨款基本支出决算</w:t>
      </w:r>
      <w:r>
        <w:rPr>
          <w:rFonts w:hint="eastAsia" w:ascii="仿宋" w:eastAsia="仿宋"/>
          <w:lang w:eastAsia="zh-CN"/>
        </w:rPr>
        <w:t>明细</w:t>
      </w:r>
      <w:r>
        <w:rPr>
          <w:rFonts w:hint="eastAsia" w:ascii="仿宋" w:eastAsia="仿宋"/>
        </w:rPr>
        <w:t>表</w:t>
      </w:r>
      <w:r>
        <w:tab/>
      </w:r>
      <w:r>
        <w:rPr>
          <w:rFonts w:hint="eastAsia"/>
          <w:lang w:val="en-US" w:eastAsia="zh-CN"/>
        </w:rPr>
        <w:t>3</w:t>
      </w:r>
      <w:r>
        <w:fldChar w:fldCharType="end"/>
      </w:r>
      <w:r>
        <w:rPr>
          <w:rFonts w:hint="eastAsia"/>
          <w:lang w:val="en-US" w:eastAsia="zh-CN"/>
        </w:rPr>
        <w:t>4</w:t>
      </w:r>
    </w:p>
    <w:p w14:paraId="209928D8">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"_Toc144822126" </w:instrText>
      </w:r>
      <w:r>
        <w:fldChar w:fldCharType="separate"/>
      </w:r>
      <w:r>
        <w:rPr>
          <w:rFonts w:hint="eastAsia" w:ascii="仿宋" w:eastAsia="仿宋"/>
        </w:rPr>
        <w:t>九、一般公共预算财政拨款项目支出决算表</w:t>
      </w:r>
      <w:r>
        <w:tab/>
      </w:r>
      <w:r>
        <w:rPr>
          <w:rFonts w:hint="eastAsia"/>
          <w:lang w:val="en-US" w:eastAsia="zh-CN"/>
        </w:rPr>
        <w:t>3</w:t>
      </w:r>
      <w:r>
        <w:fldChar w:fldCharType="end"/>
      </w:r>
      <w:r>
        <w:rPr>
          <w:rFonts w:hint="eastAsia"/>
          <w:lang w:val="en-US" w:eastAsia="zh-CN"/>
        </w:rPr>
        <w:t>4</w:t>
      </w:r>
    </w:p>
    <w:p w14:paraId="1BDB24A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"_Toc144822127" </w:instrText>
      </w:r>
      <w:r>
        <w:fldChar w:fldCharType="separate"/>
      </w:r>
      <w:r>
        <w:rPr>
          <w:rFonts w:hint="eastAsia" w:ascii="仿宋" w:eastAsia="仿宋"/>
        </w:rPr>
        <w:t>十、政府性基金预算财政拨款收入支出决算表</w:t>
      </w:r>
      <w:r>
        <w:tab/>
      </w:r>
      <w:r>
        <w:rPr>
          <w:rFonts w:hint="eastAsia"/>
          <w:lang w:val="en-US" w:eastAsia="zh-CN"/>
        </w:rPr>
        <w:t>3</w:t>
      </w:r>
      <w:r>
        <w:fldChar w:fldCharType="end"/>
      </w:r>
      <w:r>
        <w:rPr>
          <w:rFonts w:hint="eastAsia"/>
          <w:lang w:val="en-US" w:eastAsia="zh-CN"/>
        </w:rPr>
        <w:t>4</w:t>
      </w:r>
    </w:p>
    <w:p w14:paraId="5A2DED32">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"_Toc144822128" </w:instrText>
      </w:r>
      <w:r>
        <w:fldChar w:fldCharType="separate"/>
      </w:r>
      <w:r>
        <w:rPr>
          <w:rFonts w:hint="eastAsia" w:ascii="仿宋" w:eastAsia="仿宋"/>
        </w:rPr>
        <w:t>十一、国有资本经营预算财政拨款</w:t>
      </w:r>
      <w:r>
        <w:rPr>
          <w:rFonts w:hint="eastAsia" w:ascii="仿宋" w:eastAsia="仿宋"/>
          <w:lang w:eastAsia="zh-CN"/>
        </w:rPr>
        <w:t>收入</w:t>
      </w:r>
      <w:r>
        <w:rPr>
          <w:rFonts w:hint="eastAsia" w:ascii="仿宋" w:eastAsia="仿宋"/>
        </w:rPr>
        <w:t>支出决算表</w:t>
      </w:r>
      <w:r>
        <w:tab/>
      </w:r>
      <w:r>
        <w:rPr>
          <w:rFonts w:hint="eastAsia"/>
          <w:lang w:val="en-US" w:eastAsia="zh-CN"/>
        </w:rPr>
        <w:t>3</w:t>
      </w:r>
      <w:r>
        <w:fldChar w:fldCharType="end"/>
      </w:r>
      <w:r>
        <w:rPr>
          <w:rFonts w:hint="eastAsia"/>
          <w:lang w:val="en-US" w:eastAsia="zh-CN"/>
        </w:rPr>
        <w:t>4</w:t>
      </w:r>
    </w:p>
    <w:p w14:paraId="4FE1D25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"_Toc144822129" </w:instrText>
      </w:r>
      <w:r>
        <w:fldChar w:fldCharType="separate"/>
      </w:r>
      <w:r>
        <w:rPr>
          <w:rFonts w:hint="eastAsia" w:ascii="仿宋" w:eastAsia="仿宋"/>
        </w:rPr>
        <w:t>十二、国有资本经营预算财政拨款支出决算表</w:t>
      </w:r>
      <w:r>
        <w:tab/>
      </w:r>
      <w:r>
        <w:rPr>
          <w:rFonts w:hint="eastAsia"/>
          <w:lang w:val="en-US" w:eastAsia="zh-CN"/>
        </w:rPr>
        <w:t>3</w:t>
      </w:r>
      <w:r>
        <w:fldChar w:fldCharType="end"/>
      </w:r>
      <w:r>
        <w:rPr>
          <w:rFonts w:hint="eastAsia"/>
          <w:lang w:val="en-US" w:eastAsia="zh-CN"/>
        </w:rPr>
        <w:t>4</w:t>
      </w:r>
    </w:p>
    <w:p w14:paraId="5141495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"_Toc144822130" </w:instrText>
      </w:r>
      <w:r>
        <w:fldChar w:fldCharType="separate"/>
      </w:r>
      <w:r>
        <w:rPr>
          <w:rFonts w:hint="eastAsia" w:ascii="仿宋" w:eastAsia="仿宋"/>
        </w:rPr>
        <w:t>十三、</w:t>
      </w:r>
      <w:bookmarkStart w:id="123" w:name="_GoBack"/>
      <w:bookmarkEnd w:id="123"/>
      <w:r>
        <w:rPr>
          <w:rFonts w:hint="eastAsia" w:ascii="仿宋" w:eastAsia="仿宋"/>
        </w:rPr>
        <w:t>财政拨款“三公”经费支出决算表</w:t>
      </w:r>
      <w:r>
        <w:tab/>
      </w:r>
      <w:r>
        <w:rPr>
          <w:rFonts w:hint="eastAsia"/>
          <w:lang w:val="en-US" w:eastAsia="zh-CN"/>
        </w:rPr>
        <w:t>3</w:t>
      </w:r>
      <w:r>
        <w:fldChar w:fldCharType="end"/>
      </w:r>
      <w:r>
        <w:rPr>
          <w:rFonts w:hint="eastAsia"/>
          <w:lang w:val="en-US" w:eastAsia="zh-CN"/>
        </w:rPr>
        <w:t>4</w:t>
      </w:r>
    </w:p>
    <w:p w14:paraId="1A8C7C3E">
      <w:pPr>
        <w:spacing w:line="576" w:lineRule="exact"/>
      </w:pPr>
      <w:r>
        <w:fldChar w:fldCharType="end"/>
      </w:r>
    </w:p>
    <w:p w14:paraId="5048CFF5">
      <w:pPr>
        <w:pStyle w:val="2"/>
        <w:spacing w:line="576" w:lineRule="exact"/>
        <w:jc w:val="center"/>
        <w:rPr>
          <w:rFonts w:ascii="黑体" w:eastAsia="黑体"/>
          <w:b w:val="0"/>
        </w:rPr>
      </w:pPr>
      <w:bookmarkStart w:id="0" w:name="_Toc178176219"/>
      <w:r>
        <w:rPr>
          <w:rFonts w:hint="eastAsia" w:ascii="黑体" w:eastAsia="黑体"/>
          <w:b w:val="0"/>
        </w:rPr>
        <w:t>第一部分 部门概况</w:t>
      </w:r>
      <w:bookmarkEnd w:id="0"/>
    </w:p>
    <w:p w14:paraId="52663514">
      <w:pPr>
        <w:pStyle w:val="3"/>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b w:val="0"/>
          <w:color w:val="000000"/>
        </w:rPr>
      </w:pPr>
      <w:bookmarkStart w:id="1" w:name="_Toc178176220"/>
      <w:r>
        <w:rPr>
          <w:rFonts w:hint="eastAsia" w:ascii="黑体" w:eastAsia="黑体"/>
          <w:b w:val="0"/>
          <w:color w:val="000000"/>
        </w:rPr>
        <w:t>一、部门职责</w:t>
      </w:r>
      <w:bookmarkEnd w:id="1"/>
    </w:p>
    <w:p w14:paraId="76A8F7EA">
      <w:pPr>
        <w:pStyle w:val="2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eastAsia="仿宋_GB2312" w:cs="仿宋_GB2312"/>
          <w:color w:val="2E2E2E"/>
          <w:sz w:val="32"/>
          <w:szCs w:val="32"/>
        </w:rPr>
      </w:pPr>
      <w:bookmarkStart w:id="2" w:name="_Toc79163604"/>
      <w:bookmarkStart w:id="3" w:name="_Toc15377199"/>
      <w:bookmarkStart w:id="4" w:name="_Toc79163854"/>
      <w:bookmarkStart w:id="5" w:name="_Toc15378446"/>
      <w:r>
        <w:rPr>
          <w:rFonts w:hint="eastAsia" w:ascii="仿宋_GB2312" w:eastAsia="仿宋_GB2312" w:cs="仿宋_GB2312"/>
          <w:color w:val="2E2E2E"/>
          <w:sz w:val="32"/>
          <w:szCs w:val="32"/>
        </w:rPr>
        <w:t>1.贯彻实施《中华人民共和国档案法》及档案工作的法律、法规和方针政策，进行行政执法监督；制定实施全县档案事业发展规划和档案工作的规章制度。</w:t>
      </w:r>
    </w:p>
    <w:p w14:paraId="1090AD2E">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2.监管对国家和社会具有保存价值或应当保密的集体和个人档案。</w:t>
      </w:r>
    </w:p>
    <w:p w14:paraId="3C9B37CC">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3.对全县各级机关、团体、企业事业单位和其他组织、重点项目的档案工作进行监督和指导，审查制定县级各专业系统的档案管理办法，组织全县档案信息资源开发工作。</w:t>
      </w:r>
    </w:p>
    <w:p w14:paraId="7D5C8385">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4.集中统一管理县级各机关、团体及其所属单位重要的档案资料，维护档案的完整，确保档案资料的安全。</w:t>
      </w:r>
    </w:p>
    <w:p w14:paraId="2BDECD71">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5.负责接收县级机关、团体及其所属单位的档案资料，研究并组织实施馆藏档案的保管、整理、编目、统计、鉴定、解密、利用、开放等工作；征集本县散失的档案资料；做好档案资料的编辑出版工作；推进档案工作的科学管理和现代化建设；为社会各方面提供服务。</w:t>
      </w:r>
    </w:p>
    <w:p w14:paraId="1301A5C1">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6.组织并指导全县档案理论和科学技术研究、档案保护、档案教育、档案宣传、档案干部培训和档案专业技术职务评审工作。</w:t>
      </w:r>
    </w:p>
    <w:p w14:paraId="5444C4F0">
      <w:pPr>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7.完成县委、县政府、省、州档案局（馆）交办的有关事项。</w:t>
      </w:r>
    </w:p>
    <w:bookmarkEnd w:id="2"/>
    <w:bookmarkEnd w:id="3"/>
    <w:bookmarkEnd w:id="4"/>
    <w:bookmarkEnd w:id="5"/>
    <w:p w14:paraId="7B0AFD31">
      <w:pPr>
        <w:pStyle w:val="3"/>
        <w:keepNext/>
        <w:keepLines/>
        <w:pageBreakBefore w:val="0"/>
        <w:widowControl w:val="0"/>
        <w:kinsoku/>
        <w:wordWrap/>
        <w:overflowPunct/>
        <w:topLinePunct w:val="0"/>
        <w:autoSpaceDE/>
        <w:autoSpaceDN/>
        <w:bidi w:val="0"/>
        <w:adjustRightInd/>
        <w:snapToGrid/>
        <w:spacing w:before="0" w:after="0" w:afterAutospacing="0" w:line="576" w:lineRule="exact"/>
        <w:ind w:firstLine="640" w:firstLineChars="200"/>
        <w:textAlignment w:val="auto"/>
        <w:rPr>
          <w:rFonts w:ascii="黑体" w:eastAsia="黑体"/>
          <w:b w:val="0"/>
          <w:color w:val="000000"/>
        </w:rPr>
      </w:pPr>
      <w:bookmarkStart w:id="6" w:name="_Toc178176221"/>
      <w:r>
        <w:rPr>
          <w:rFonts w:hint="eastAsia" w:ascii="黑体" w:eastAsia="黑体"/>
          <w:b w:val="0"/>
          <w:color w:val="000000"/>
        </w:rPr>
        <w:t>二、机构设置</w:t>
      </w:r>
      <w:bookmarkEnd w:id="6"/>
    </w:p>
    <w:p w14:paraId="796B140B">
      <w:pPr>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四川省阿坝州茂县档案馆</w:t>
      </w:r>
      <w:r>
        <w:rPr>
          <w:rFonts w:hint="eastAsia" w:ascii="仿宋_GB2312" w:eastAsia="仿宋_GB2312" w:cs="仿宋_GB2312"/>
          <w:sz w:val="32"/>
          <w:szCs w:val="32"/>
          <w:lang w:eastAsia="zh-CN"/>
        </w:rPr>
        <w:t>下属二级预算单位</w:t>
      </w:r>
      <w:r>
        <w:rPr>
          <w:rFonts w:hint="eastAsia" w:ascii="仿宋_GB2312" w:eastAsia="仿宋_GB2312" w:cs="仿宋_GB2312"/>
          <w:sz w:val="32"/>
          <w:szCs w:val="32"/>
          <w:lang w:val="en-US" w:eastAsia="zh-CN"/>
        </w:rPr>
        <w:t>0个，其中行政单位0个，参照公务员管理的事业单位0个，其他事业单位0个</w:t>
      </w:r>
      <w:r>
        <w:rPr>
          <w:rFonts w:hint="eastAsia" w:ascii="仿宋_GB2312" w:eastAsia="仿宋_GB2312" w:cs="仿宋_GB2312"/>
          <w:sz w:val="32"/>
          <w:szCs w:val="32"/>
        </w:rPr>
        <w:t>。</w:t>
      </w:r>
    </w:p>
    <w:p w14:paraId="7BBD9BE9">
      <w:pPr>
        <w:pStyle w:val="2"/>
        <w:keepNext w:val="0"/>
        <w:keepLines w:val="0"/>
        <w:pageBreakBefore w:val="0"/>
        <w:widowControl/>
        <w:kinsoku/>
        <w:wordWrap/>
        <w:overflowPunct/>
        <w:topLinePunct w:val="0"/>
        <w:autoSpaceDE/>
        <w:autoSpaceDN/>
        <w:bidi w:val="0"/>
        <w:adjustRightInd/>
        <w:snapToGrid/>
        <w:spacing w:before="0" w:after="0" w:afterAutospacing="0" w:line="576" w:lineRule="exact"/>
        <w:jc w:val="center"/>
        <w:textAlignment w:val="auto"/>
      </w:pPr>
      <w:bookmarkStart w:id="7" w:name="_Toc178176222"/>
      <w:r>
        <w:t>第二部分 202</w:t>
      </w:r>
      <w:r>
        <w:rPr>
          <w:rFonts w:hint="eastAsia"/>
          <w:lang w:val="en-US" w:eastAsia="zh-CN"/>
        </w:rPr>
        <w:t>4</w:t>
      </w:r>
      <w:r>
        <w:t>年度部门决算情况说明</w:t>
      </w:r>
      <w:bookmarkEnd w:id="7"/>
    </w:p>
    <w:p w14:paraId="7E6B0468">
      <w:pPr>
        <w:pStyle w:val="32"/>
        <w:pageBreakBefore w:val="0"/>
        <w:widowControl w:val="0"/>
        <w:numPr>
          <w:ilvl w:val="0"/>
          <w:numId w:val="1"/>
        </w:numPr>
        <w:kinsoku/>
        <w:wordWrap/>
        <w:overflowPunct/>
        <w:topLinePunct w:val="0"/>
        <w:autoSpaceDE/>
        <w:autoSpaceDN/>
        <w:bidi w:val="0"/>
        <w:adjustRightInd/>
        <w:snapToGrid/>
        <w:spacing w:afterAutospacing="0" w:line="576" w:lineRule="exact"/>
        <w:ind w:firstLineChars="0"/>
        <w:textAlignment w:val="auto"/>
        <w:outlineLvl w:val="1"/>
        <w:rPr>
          <w:rFonts w:ascii="黑体" w:eastAsia="黑体"/>
          <w:color w:val="000000"/>
          <w:sz w:val="32"/>
          <w:szCs w:val="32"/>
        </w:rPr>
      </w:pPr>
      <w:bookmarkStart w:id="8" w:name="_Toc178176223"/>
      <w:r>
        <w:rPr>
          <w:rFonts w:hint="eastAsia" w:ascii="黑体" w:eastAsia="黑体"/>
          <w:color w:val="000000"/>
          <w:sz w:val="32"/>
          <w:szCs w:val="32"/>
        </w:rPr>
        <w:t>收入支出决算总体情况说明</w:t>
      </w:r>
      <w:bookmarkEnd w:id="8"/>
    </w:p>
    <w:p w14:paraId="39B4ADE3">
      <w:pPr>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年度收、支总</w:t>
      </w:r>
      <w:r>
        <w:rPr>
          <w:rFonts w:hint="eastAsia" w:ascii="仿宋_GB2312" w:eastAsia="仿宋_GB2312" w:cs="仿宋_GB2312"/>
          <w:color w:val="000000"/>
          <w:sz w:val="32"/>
          <w:szCs w:val="32"/>
          <w:lang w:eastAsia="zh-CN"/>
        </w:rPr>
        <w:t>计各</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年相比，收、支总计各增加</w:t>
      </w:r>
      <w:r>
        <w:rPr>
          <w:rFonts w:hint="eastAsia" w:ascii="仿宋_GB2312" w:eastAsia="仿宋_GB2312" w:cs="仿宋_GB2312"/>
          <w:color w:val="000000"/>
          <w:sz w:val="32"/>
          <w:szCs w:val="32"/>
          <w:lang w:val="en-US" w:eastAsia="zh-CN"/>
        </w:rPr>
        <w:t>119.46万</w:t>
      </w:r>
      <w:r>
        <w:rPr>
          <w:rFonts w:hint="eastAsia" w:ascii="仿宋_GB2312" w:eastAsia="仿宋_GB2312" w:cs="仿宋_GB2312"/>
          <w:color w:val="000000"/>
          <w:sz w:val="32"/>
          <w:szCs w:val="32"/>
        </w:rPr>
        <w:t>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0F6B61CC">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drawing>
          <wp:inline distT="0" distB="0" distL="0" distR="0">
            <wp:extent cx="3790950" cy="1896110"/>
            <wp:effectExtent l="0" t="0" r="0" b="0"/>
            <wp:docPr id="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AA230EB">
      <w:pPr>
        <w:pStyle w:val="32"/>
        <w:numPr>
          <w:ilvl w:val="0"/>
          <w:numId w:val="1"/>
        </w:numPr>
        <w:spacing w:line="576" w:lineRule="exact"/>
        <w:ind w:firstLineChars="0"/>
        <w:outlineLvl w:val="1"/>
        <w:rPr>
          <w:rFonts w:ascii="黑体" w:eastAsia="黑体"/>
          <w:color w:val="000000"/>
          <w:sz w:val="32"/>
          <w:szCs w:val="32"/>
        </w:rPr>
      </w:pPr>
      <w:bookmarkStart w:id="9" w:name="_Toc178176224"/>
      <w:bookmarkStart w:id="10" w:name="_Toc79163611"/>
      <w:bookmarkStart w:id="11" w:name="_Toc15396604"/>
      <w:bookmarkStart w:id="12" w:name="_Toc115101710"/>
      <w:bookmarkStart w:id="13" w:name="_Toc15377206"/>
      <w:r>
        <w:rPr>
          <w:rFonts w:hint="eastAsia" w:ascii="黑体" w:eastAsia="黑体"/>
          <w:color w:val="000000"/>
          <w:sz w:val="32"/>
          <w:szCs w:val="32"/>
        </w:rPr>
        <w:t>收入决算情况说明</w:t>
      </w:r>
      <w:bookmarkEnd w:id="9"/>
    </w:p>
    <w:p w14:paraId="44C5CE3C">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万元，占 100%</w:t>
      </w:r>
      <w:bookmarkEnd w:id="10"/>
      <w:bookmarkEnd w:id="11"/>
      <w:bookmarkEnd w:id="12"/>
      <w:bookmarkEnd w:id="13"/>
      <w:r>
        <w:rPr>
          <w:rFonts w:hint="eastAsia" w:ascii="仿宋_GB2312" w:eastAsia="仿宋_GB2312" w:cs="仿宋_GB2312"/>
          <w:color w:val="000000"/>
          <w:sz w:val="32"/>
          <w:szCs w:val="32"/>
        </w:rPr>
        <w:t>。</w:t>
      </w:r>
    </w:p>
    <w:p w14:paraId="3EB25A04">
      <w:pPr>
        <w:pStyle w:val="11"/>
        <w:bidi w:val="0"/>
        <w:rPr>
          <w:rFonts w:hint="eastAsia"/>
          <w:lang w:eastAsia="zh-CN"/>
        </w:rPr>
      </w:pPr>
      <w:r>
        <w:rPr>
          <w:rFonts w:hint="eastAsia"/>
          <w:lang w:eastAsia="zh-CN"/>
        </w:rPr>
        <w:drawing>
          <wp:inline distT="0" distB="0" distL="114300" distR="114300">
            <wp:extent cx="2971165" cy="1575435"/>
            <wp:effectExtent l="0" t="0" r="0" b="0"/>
            <wp:docPr id="2"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D09F2DF">
      <w:pPr>
        <w:pStyle w:val="11"/>
        <w:bidi w:val="0"/>
        <w:rPr>
          <w:rFonts w:hint="eastAsia"/>
          <w:lang w:eastAsia="zh-CN"/>
        </w:rPr>
      </w:pPr>
    </w:p>
    <w:p w14:paraId="2388E21F">
      <w:pPr>
        <w:pStyle w:val="32"/>
        <w:numPr>
          <w:ilvl w:val="0"/>
          <w:numId w:val="1"/>
        </w:numPr>
        <w:spacing w:line="600" w:lineRule="exact"/>
        <w:ind w:firstLineChars="0"/>
        <w:outlineLvl w:val="1"/>
        <w:rPr>
          <w:rStyle w:val="27"/>
          <w:rFonts w:ascii="黑体" w:eastAsia="黑体"/>
          <w:b w:val="0"/>
        </w:rPr>
      </w:pPr>
      <w:bookmarkStart w:id="14" w:name="_Toc15377207"/>
      <w:bookmarkStart w:id="15" w:name="_Toc15396605"/>
      <w:bookmarkStart w:id="16" w:name="_Toc178176225"/>
      <w:bookmarkStart w:id="17" w:name="_Toc79163612"/>
      <w:bookmarkStart w:id="18" w:name="_Toc115101711"/>
      <w:r>
        <w:rPr>
          <w:rFonts w:hint="eastAsia" w:ascii="黑体" w:eastAsia="黑体"/>
          <w:color w:val="000000"/>
          <w:sz w:val="32"/>
          <w:szCs w:val="32"/>
        </w:rPr>
        <w:t>支</w:t>
      </w:r>
      <w:r>
        <w:rPr>
          <w:rStyle w:val="27"/>
          <w:rFonts w:hint="eastAsia" w:ascii="黑体" w:eastAsia="黑体"/>
          <w:b w:val="0"/>
        </w:rPr>
        <w:t>出决算情况说明</w:t>
      </w:r>
      <w:bookmarkEnd w:id="14"/>
      <w:bookmarkEnd w:id="15"/>
      <w:bookmarkEnd w:id="16"/>
      <w:bookmarkEnd w:id="17"/>
      <w:bookmarkEnd w:id="18"/>
    </w:p>
    <w:p w14:paraId="12520449">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_GB2312" w:eastAsia="仿宋_GB2312"/>
          <w:sz w:val="32"/>
          <w:szCs w:val="32"/>
          <w:lang w:val="en-US" w:eastAsia="zh-CN"/>
        </w:rPr>
        <w:t>348.06</w:t>
      </w:r>
      <w:r>
        <w:rPr>
          <w:rFonts w:hint="eastAsia" w:ascii="仿宋_GB2312" w:eastAsia="仿宋_GB2312"/>
          <w:sz w:val="32"/>
          <w:szCs w:val="32"/>
        </w:rPr>
        <w:t>万元，其中：基本支出</w:t>
      </w:r>
      <w:r>
        <w:rPr>
          <w:rFonts w:hint="eastAsia" w:ascii="仿宋_GB2312" w:eastAsia="仿宋_GB2312"/>
          <w:sz w:val="32"/>
          <w:szCs w:val="32"/>
          <w:lang w:val="en-US" w:eastAsia="zh-CN"/>
        </w:rPr>
        <w:t>218.09</w:t>
      </w:r>
      <w:r>
        <w:rPr>
          <w:rFonts w:hint="eastAsia" w:ascii="仿宋_GB2312" w:eastAsia="仿宋_GB2312"/>
          <w:sz w:val="32"/>
          <w:szCs w:val="32"/>
        </w:rPr>
        <w:t>万元，占</w:t>
      </w:r>
      <w:r>
        <w:rPr>
          <w:rFonts w:hint="eastAsia" w:ascii="仿宋_GB2312" w:eastAsia="仿宋_GB2312"/>
          <w:sz w:val="32"/>
          <w:szCs w:val="32"/>
          <w:lang w:val="en-US" w:eastAsia="zh-CN"/>
        </w:rPr>
        <w:t>62.66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129.97</w:t>
      </w:r>
      <w:r>
        <w:rPr>
          <w:rFonts w:hint="eastAsia" w:ascii="仿宋_GB2312" w:eastAsia="仿宋_GB2312"/>
          <w:sz w:val="32"/>
          <w:szCs w:val="32"/>
        </w:rPr>
        <w:t>万元，占</w:t>
      </w:r>
      <w:r>
        <w:rPr>
          <w:rFonts w:hint="eastAsia" w:ascii="仿宋_GB2312" w:eastAsia="仿宋_GB2312"/>
          <w:sz w:val="32"/>
          <w:szCs w:val="32"/>
          <w:lang w:val="en-US" w:eastAsia="zh-CN"/>
        </w:rPr>
        <w:t>37.34</w:t>
      </w:r>
      <w:r>
        <w:rPr>
          <w:rFonts w:ascii="仿宋_GB2312" w:eastAsia="仿宋_GB2312"/>
          <w:sz w:val="32"/>
          <w:szCs w:val="32"/>
        </w:rPr>
        <w:t>%</w:t>
      </w:r>
      <w:r>
        <w:rPr>
          <w:rFonts w:hint="eastAsia" w:ascii="仿宋_GB2312" w:eastAsia="仿宋_GB2312"/>
          <w:sz w:val="32"/>
          <w:szCs w:val="32"/>
        </w:rPr>
        <w:t>。</w:t>
      </w:r>
    </w:p>
    <w:p w14:paraId="317F8243">
      <w:pPr>
        <w:ind w:firstLine="420" w:firstLineChars="200"/>
        <w:rPr>
          <w:rFonts w:hint="eastAsia" w:ascii="仿宋" w:eastAsia="仿宋"/>
          <w:color w:val="000000"/>
          <w:lang w:eastAsia="zh-CN"/>
        </w:rPr>
      </w:pPr>
      <w:r>
        <w:rPr>
          <w:rFonts w:hint="eastAsia" w:ascii="仿宋" w:eastAsia="仿宋"/>
          <w:color w:val="000000"/>
          <w:lang w:eastAsia="zh-CN"/>
        </w:rPr>
        <w:drawing>
          <wp:inline distT="0" distB="0" distL="114300" distR="114300">
            <wp:extent cx="3335020" cy="1957070"/>
            <wp:effectExtent l="0" t="0" r="0" b="0"/>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CDB02F">
      <w:pPr>
        <w:spacing w:line="600" w:lineRule="exact"/>
        <w:ind w:firstLine="640" w:firstLineChars="200"/>
        <w:outlineLvl w:val="1"/>
        <w:rPr>
          <w:rStyle w:val="27"/>
          <w:rFonts w:ascii="黑体" w:eastAsia="黑体"/>
          <w:b w:val="0"/>
        </w:rPr>
      </w:pPr>
      <w:bookmarkStart w:id="19" w:name="_Toc115101712"/>
      <w:bookmarkStart w:id="20" w:name="_Toc15396606"/>
      <w:bookmarkStart w:id="21" w:name="_Toc15377208"/>
      <w:bookmarkStart w:id="22" w:name="_Toc79163613"/>
      <w:bookmarkStart w:id="23" w:name="_Toc178176226"/>
      <w:r>
        <w:rPr>
          <w:rFonts w:hint="eastAsia" w:ascii="黑体" w:eastAsia="黑体"/>
          <w:color w:val="000000"/>
          <w:sz w:val="32"/>
          <w:szCs w:val="32"/>
        </w:rPr>
        <w:t>四、财</w:t>
      </w:r>
      <w:r>
        <w:rPr>
          <w:rStyle w:val="27"/>
          <w:rFonts w:hint="eastAsia" w:ascii="黑体" w:eastAsia="黑体"/>
          <w:b w:val="0"/>
        </w:rPr>
        <w:t>政拨款收入支出决算总体情况说明</w:t>
      </w:r>
      <w:bookmarkEnd w:id="19"/>
      <w:bookmarkEnd w:id="20"/>
      <w:bookmarkEnd w:id="21"/>
      <w:bookmarkEnd w:id="22"/>
      <w:bookmarkEnd w:id="23"/>
    </w:p>
    <w:p w14:paraId="51E69E2F">
      <w:pPr>
        <w:spacing w:line="576"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年财政拨款收、支总计</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年相比，财政拨款收、支总计各增加</w:t>
      </w:r>
      <w:r>
        <w:rPr>
          <w:rFonts w:hint="eastAsia" w:ascii="仿宋_GB2312" w:eastAsia="仿宋_GB2312" w:cs="仿宋_GB2312"/>
          <w:color w:val="000000"/>
          <w:sz w:val="32"/>
          <w:szCs w:val="32"/>
          <w:lang w:val="en-US" w:eastAsia="zh-CN"/>
        </w:rPr>
        <w:t>119.46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4CD7F9F5">
      <w:pPr>
        <w:rPr>
          <w:rFonts w:ascii="仿宋" w:eastAsia="仿宋"/>
          <w:color w:val="000000"/>
        </w:rPr>
      </w:pPr>
      <w:r>
        <w:rPr>
          <w:rFonts w:hint="eastAsia" w:ascii="仿宋" w:eastAsia="仿宋"/>
          <w:color w:val="000000"/>
        </w:rPr>
        <w:drawing>
          <wp:inline distT="0" distB="0" distL="0" distR="0">
            <wp:extent cx="3790950" cy="1896110"/>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F3A94E">
      <w:pPr>
        <w:spacing w:line="600" w:lineRule="exact"/>
        <w:ind w:firstLine="640" w:firstLineChars="200"/>
        <w:outlineLvl w:val="1"/>
        <w:rPr>
          <w:rStyle w:val="27"/>
          <w:rFonts w:ascii="黑体" w:eastAsia="黑体"/>
          <w:b w:val="0"/>
        </w:rPr>
      </w:pPr>
      <w:bookmarkStart w:id="24" w:name="_Toc79163614"/>
      <w:bookmarkStart w:id="25" w:name="_Toc15377209"/>
      <w:bookmarkStart w:id="26" w:name="_Toc178176227"/>
      <w:bookmarkStart w:id="27" w:name="_Toc15396607"/>
      <w:bookmarkStart w:id="28" w:name="_Toc115101713"/>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24"/>
      <w:bookmarkEnd w:id="25"/>
      <w:bookmarkEnd w:id="26"/>
      <w:bookmarkEnd w:id="27"/>
      <w:bookmarkEnd w:id="28"/>
    </w:p>
    <w:p w14:paraId="461AEA15">
      <w:pPr>
        <w:spacing w:line="600" w:lineRule="exact"/>
        <w:ind w:firstLine="643" w:firstLineChars="200"/>
        <w:outlineLvl w:val="2"/>
        <w:rPr>
          <w:rFonts w:ascii="仿宋" w:eastAsia="仿宋"/>
          <w:b/>
          <w:color w:val="000000"/>
          <w:sz w:val="32"/>
          <w:szCs w:val="32"/>
        </w:rPr>
      </w:pPr>
      <w:bookmarkStart w:id="29" w:name="_Toc15377210"/>
      <w:bookmarkStart w:id="30" w:name="_Toc79163615"/>
      <w:bookmarkStart w:id="31" w:name="_Toc115101714"/>
      <w:bookmarkStart w:id="32" w:name="_Toc178176228"/>
      <w:r>
        <w:rPr>
          <w:rFonts w:hint="eastAsia" w:ascii="仿宋" w:eastAsia="仿宋"/>
          <w:b/>
          <w:color w:val="000000"/>
          <w:sz w:val="32"/>
          <w:szCs w:val="32"/>
        </w:rPr>
        <w:t>（一）一般公共预算财政拨款支出决算总体情况</w:t>
      </w:r>
      <w:bookmarkEnd w:id="29"/>
      <w:bookmarkEnd w:id="30"/>
      <w:bookmarkEnd w:id="31"/>
      <w:bookmarkEnd w:id="32"/>
    </w:p>
    <w:p w14:paraId="0A03754A">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万元，占本年支出合计的100%。与202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年相比，一般公共预算财政拨款增加</w:t>
      </w:r>
      <w:r>
        <w:rPr>
          <w:rFonts w:hint="eastAsia" w:ascii="仿宋_GB2312" w:eastAsia="仿宋_GB2312" w:cs="仿宋_GB2312"/>
          <w:color w:val="000000"/>
          <w:sz w:val="32"/>
          <w:szCs w:val="32"/>
          <w:lang w:val="en-US" w:eastAsia="zh-CN"/>
        </w:rPr>
        <w:t>119.46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37FC5FC1">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2852420" cy="1934845"/>
            <wp:effectExtent l="0" t="0" r="0" b="0"/>
            <wp:docPr id="5"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E4B72D">
      <w:pPr>
        <w:spacing w:line="600" w:lineRule="exact"/>
        <w:ind w:firstLine="643" w:firstLineChars="200"/>
        <w:outlineLvl w:val="2"/>
        <w:rPr>
          <w:rFonts w:ascii="仿宋" w:eastAsia="仿宋"/>
          <w:b/>
          <w:color w:val="000000"/>
          <w:sz w:val="32"/>
          <w:szCs w:val="32"/>
        </w:rPr>
      </w:pPr>
      <w:bookmarkStart w:id="33" w:name="_Toc79163616"/>
      <w:bookmarkStart w:id="34" w:name="_Toc15377211"/>
      <w:bookmarkStart w:id="35" w:name="_Toc178176229"/>
      <w:bookmarkStart w:id="36" w:name="_Toc115101715"/>
      <w:r>
        <w:rPr>
          <w:rFonts w:hint="eastAsia" w:ascii="仿宋" w:eastAsia="仿宋"/>
          <w:b/>
          <w:color w:val="000000"/>
          <w:sz w:val="32"/>
          <w:szCs w:val="32"/>
        </w:rPr>
        <w:t>（二）一般公共预算财政拨款支出决算结构情况</w:t>
      </w:r>
      <w:bookmarkEnd w:id="33"/>
      <w:bookmarkEnd w:id="34"/>
      <w:bookmarkEnd w:id="35"/>
      <w:bookmarkEnd w:id="36"/>
    </w:p>
    <w:p w14:paraId="3AD61463">
      <w:pPr>
        <w:spacing w:line="600" w:lineRule="exact"/>
        <w:ind w:firstLine="640"/>
        <w:rPr>
          <w:rFonts w:hint="eastAsia"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202</w:t>
      </w:r>
      <w:r>
        <w:rPr>
          <w:rFonts w:hint="eastAsia" w:ascii="仿宋_GB2312" w:eastAsia="仿宋_GB2312" w:cs="仿宋_GB2312"/>
          <w:b w:val="0"/>
          <w:bCs w:val="0"/>
          <w:color w:val="000000"/>
          <w:sz w:val="32"/>
          <w:szCs w:val="32"/>
          <w:lang w:val="en-US" w:eastAsia="zh-CN"/>
        </w:rPr>
        <w:t>4</w:t>
      </w:r>
      <w:r>
        <w:rPr>
          <w:rFonts w:hint="eastAsia" w:ascii="仿宋_GB2312" w:eastAsia="仿宋_GB2312" w:cs="仿宋_GB2312"/>
          <w:b w:val="0"/>
          <w:bCs w:val="0"/>
          <w:color w:val="000000"/>
          <w:sz w:val="32"/>
          <w:szCs w:val="32"/>
        </w:rPr>
        <w:t>年一般公共预算财政拨款支出</w:t>
      </w:r>
      <w:r>
        <w:rPr>
          <w:rFonts w:hint="eastAsia" w:ascii="仿宋_GB2312" w:eastAsia="仿宋_GB2312" w:cs="仿宋_GB2312"/>
          <w:b w:val="0"/>
          <w:bCs w:val="0"/>
          <w:color w:val="000000"/>
          <w:sz w:val="32"/>
          <w:szCs w:val="32"/>
          <w:lang w:val="en-US" w:eastAsia="zh-CN"/>
        </w:rPr>
        <w:t>348.06</w:t>
      </w:r>
      <w:r>
        <w:rPr>
          <w:rFonts w:hint="eastAsia" w:ascii="仿宋_GB2312" w:eastAsia="仿宋_GB2312" w:cs="仿宋_GB2312"/>
          <w:b w:val="0"/>
          <w:bCs w:val="0"/>
          <w:color w:val="000000"/>
          <w:sz w:val="32"/>
          <w:szCs w:val="32"/>
        </w:rPr>
        <w:t>万元，主要用于以下方面:一般公共服务（类）支出</w:t>
      </w:r>
      <w:r>
        <w:rPr>
          <w:rFonts w:hint="eastAsia" w:ascii="仿宋_GB2312" w:eastAsia="仿宋_GB2312" w:cs="仿宋_GB2312"/>
          <w:b w:val="0"/>
          <w:bCs w:val="0"/>
          <w:color w:val="000000"/>
          <w:sz w:val="32"/>
          <w:szCs w:val="32"/>
          <w:lang w:val="en-US" w:eastAsia="zh-CN"/>
        </w:rPr>
        <w:t>289.78</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83.26</w:t>
      </w:r>
      <w:r>
        <w:rPr>
          <w:rFonts w:hint="eastAsia" w:ascii="仿宋_GB2312" w:eastAsia="仿宋_GB2312" w:cs="仿宋_GB2312"/>
          <w:b w:val="0"/>
          <w:bCs w:val="0"/>
          <w:color w:val="000000"/>
          <w:sz w:val="32"/>
          <w:szCs w:val="32"/>
        </w:rPr>
        <w:t>%；社会保障和就业（类）支出</w:t>
      </w:r>
      <w:r>
        <w:rPr>
          <w:rFonts w:hint="eastAsia" w:ascii="仿宋_GB2312" w:eastAsia="仿宋_GB2312" w:cs="仿宋_GB2312"/>
          <w:b w:val="0"/>
          <w:bCs w:val="0"/>
          <w:color w:val="000000"/>
          <w:sz w:val="32"/>
          <w:szCs w:val="32"/>
          <w:lang w:val="en-US" w:eastAsia="zh-CN"/>
        </w:rPr>
        <w:t>28.97</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8.32</w:t>
      </w:r>
      <w:r>
        <w:rPr>
          <w:rFonts w:hint="eastAsia" w:ascii="仿宋_GB2312" w:eastAsia="仿宋_GB2312" w:cs="仿宋_GB2312"/>
          <w:b w:val="0"/>
          <w:bCs w:val="0"/>
          <w:color w:val="000000"/>
          <w:sz w:val="32"/>
          <w:szCs w:val="32"/>
        </w:rPr>
        <w:t>%；卫生健康支出</w:t>
      </w:r>
      <w:r>
        <w:rPr>
          <w:rFonts w:hint="eastAsia" w:ascii="仿宋_GB2312" w:eastAsia="仿宋_GB2312" w:cs="仿宋_GB2312"/>
          <w:b w:val="0"/>
          <w:bCs w:val="0"/>
          <w:color w:val="000000"/>
          <w:sz w:val="32"/>
          <w:szCs w:val="32"/>
          <w:lang w:val="en-US" w:eastAsia="zh-CN"/>
        </w:rPr>
        <w:t>12.76</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3.67</w:t>
      </w:r>
      <w:r>
        <w:rPr>
          <w:rFonts w:hint="eastAsia" w:ascii="仿宋_GB2312" w:eastAsia="仿宋_GB2312" w:cs="仿宋_GB2312"/>
          <w:b w:val="0"/>
          <w:bCs w:val="0"/>
          <w:color w:val="000000"/>
          <w:sz w:val="32"/>
          <w:szCs w:val="32"/>
        </w:rPr>
        <w:t>%；住房保障支出</w:t>
      </w:r>
      <w:r>
        <w:rPr>
          <w:rFonts w:hint="eastAsia" w:ascii="仿宋_GB2312" w:eastAsia="仿宋_GB2312" w:cs="仿宋_GB2312"/>
          <w:b w:val="0"/>
          <w:bCs w:val="0"/>
          <w:color w:val="000000"/>
          <w:sz w:val="32"/>
          <w:szCs w:val="32"/>
          <w:lang w:val="en-US" w:eastAsia="zh-CN"/>
        </w:rPr>
        <w:t>16.56</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4.75</w:t>
      </w:r>
      <w:r>
        <w:rPr>
          <w:rFonts w:hint="eastAsia" w:ascii="仿宋_GB2312" w:eastAsia="仿宋_GB2312" w:cs="仿宋_GB2312"/>
          <w:b w:val="0"/>
          <w:bCs w:val="0"/>
          <w:color w:val="000000"/>
          <w:sz w:val="32"/>
          <w:szCs w:val="32"/>
        </w:rPr>
        <w:t>%。</w:t>
      </w:r>
    </w:p>
    <w:p w14:paraId="2A04F31E">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2926080" cy="1844040"/>
            <wp:effectExtent l="0" t="0" r="0" b="0"/>
            <wp:docPr id="6"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F995B3">
      <w:pPr>
        <w:spacing w:line="600" w:lineRule="exact"/>
        <w:ind w:firstLine="643" w:firstLineChars="200"/>
        <w:outlineLvl w:val="2"/>
        <w:rPr>
          <w:rFonts w:ascii="仿宋" w:eastAsia="仿宋"/>
          <w:b/>
          <w:color w:val="000000"/>
          <w:sz w:val="32"/>
          <w:szCs w:val="32"/>
        </w:rPr>
      </w:pPr>
      <w:bookmarkStart w:id="37" w:name="_Toc15377212"/>
      <w:bookmarkStart w:id="38" w:name="_Toc115101716"/>
      <w:bookmarkStart w:id="39" w:name="_Toc79163617"/>
      <w:bookmarkStart w:id="40" w:name="_Toc178176230"/>
      <w:r>
        <w:rPr>
          <w:rFonts w:hint="eastAsia" w:ascii="仿宋" w:eastAsia="仿宋"/>
          <w:b/>
          <w:color w:val="000000"/>
          <w:sz w:val="32"/>
          <w:szCs w:val="32"/>
        </w:rPr>
        <w:t>（三）一般公共预算财政拨款支出决算具体情况</w:t>
      </w:r>
      <w:bookmarkEnd w:id="37"/>
      <w:bookmarkEnd w:id="38"/>
      <w:bookmarkEnd w:id="39"/>
      <w:bookmarkEnd w:id="40"/>
    </w:p>
    <w:p w14:paraId="79BD4EA7">
      <w:pPr>
        <w:spacing w:line="600" w:lineRule="exact"/>
        <w:ind w:firstLine="640" w:firstLineChars="200"/>
        <w:rPr>
          <w:rFonts w:hint="eastAsia" w:ascii="仿宋_GB2312" w:eastAsia="仿宋_GB2312" w:cs="仿宋_GB2312"/>
          <w:bCs/>
          <w:sz w:val="32"/>
          <w:szCs w:val="32"/>
        </w:rPr>
      </w:pPr>
      <w:bookmarkStart w:id="41" w:name="_Toc15378460"/>
      <w:bookmarkStart w:id="42" w:name="_Toc15377444"/>
      <w:bookmarkStart w:id="43" w:name="_Toc15377213"/>
      <w:r>
        <w:rPr>
          <w:rFonts w:hint="eastAsia" w:ascii="仿宋_GB2312" w:eastAsia="仿宋_GB2312" w:cs="仿宋_GB2312"/>
          <w:bCs/>
          <w:sz w:val="32"/>
          <w:szCs w:val="32"/>
        </w:rPr>
        <w:t>202</w:t>
      </w:r>
      <w:r>
        <w:rPr>
          <w:rFonts w:hint="eastAsia" w:ascii="仿宋_GB2312" w:eastAsia="仿宋_GB2312" w:cs="仿宋_GB2312"/>
          <w:bCs/>
          <w:sz w:val="32"/>
          <w:szCs w:val="32"/>
          <w:lang w:val="en-US" w:eastAsia="zh-CN"/>
        </w:rPr>
        <w:t>4</w:t>
      </w:r>
      <w:r>
        <w:rPr>
          <w:rFonts w:hint="eastAsia" w:ascii="仿宋_GB2312" w:eastAsia="仿宋_GB2312" w:cs="仿宋_GB2312"/>
          <w:bCs/>
          <w:sz w:val="32"/>
          <w:szCs w:val="32"/>
        </w:rPr>
        <w:t>年一般公共预算支出决算数为</w:t>
      </w:r>
      <w:r>
        <w:rPr>
          <w:rFonts w:hint="eastAsia" w:ascii="仿宋_GB2312" w:eastAsia="仿宋_GB2312" w:cs="仿宋_GB2312"/>
          <w:bCs/>
          <w:sz w:val="32"/>
          <w:szCs w:val="32"/>
          <w:lang w:val="en-US" w:eastAsia="zh-CN"/>
        </w:rPr>
        <w:t>348.06</w:t>
      </w:r>
      <w:r>
        <w:rPr>
          <w:rFonts w:hint="eastAsia" w:ascii="仿宋_GB2312" w:eastAsia="仿宋_GB2312" w:cs="仿宋_GB2312"/>
          <w:bCs/>
          <w:sz w:val="32"/>
          <w:szCs w:val="32"/>
        </w:rPr>
        <w:t>万元，完成预算100%。其中：</w:t>
      </w:r>
      <w:bookmarkEnd w:id="41"/>
      <w:bookmarkEnd w:id="42"/>
      <w:bookmarkEnd w:id="43"/>
    </w:p>
    <w:p w14:paraId="20F259FE">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1.一般公共服务（</w:t>
      </w:r>
      <w:r>
        <w:rPr>
          <w:rStyle w:val="24"/>
          <w:rFonts w:hint="eastAsia" w:ascii="仿宋_GB2312" w:eastAsia="仿宋_GB2312" w:cs="仿宋_GB2312"/>
          <w:b w:val="0"/>
          <w:bCs/>
          <w:color w:val="000000"/>
          <w:sz w:val="32"/>
          <w:szCs w:val="32"/>
          <w:lang w:val="en-US" w:eastAsia="zh-CN"/>
        </w:rPr>
        <w:t>201</w:t>
      </w:r>
      <w:r>
        <w:rPr>
          <w:rStyle w:val="24"/>
          <w:rFonts w:hint="eastAsia" w:ascii="仿宋_GB2312" w:eastAsia="仿宋_GB2312" w:cs="仿宋_GB2312"/>
          <w:b w:val="0"/>
          <w:bCs/>
          <w:color w:val="000000"/>
          <w:sz w:val="32"/>
          <w:szCs w:val="32"/>
        </w:rPr>
        <w:t>）档案事务（</w:t>
      </w:r>
      <w:r>
        <w:rPr>
          <w:rStyle w:val="24"/>
          <w:rFonts w:hint="eastAsia" w:ascii="仿宋_GB2312" w:eastAsia="仿宋_GB2312" w:cs="仿宋_GB2312"/>
          <w:b w:val="0"/>
          <w:bCs/>
          <w:color w:val="000000"/>
          <w:sz w:val="32"/>
          <w:szCs w:val="32"/>
          <w:lang w:val="en-US" w:eastAsia="zh-CN"/>
        </w:rPr>
        <w:t>26</w:t>
      </w:r>
      <w:r>
        <w:rPr>
          <w:rStyle w:val="24"/>
          <w:rFonts w:hint="eastAsia" w:ascii="仿宋_GB2312" w:eastAsia="仿宋_GB2312" w:cs="仿宋_GB2312"/>
          <w:b w:val="0"/>
          <w:bCs/>
          <w:color w:val="000000"/>
          <w:sz w:val="32"/>
          <w:szCs w:val="32"/>
        </w:rPr>
        <w:t>）行政运行（</w:t>
      </w:r>
      <w:r>
        <w:rPr>
          <w:rStyle w:val="24"/>
          <w:rFonts w:hint="eastAsia" w:ascii="仿宋_GB2312" w:eastAsia="仿宋_GB2312" w:cs="仿宋_GB2312"/>
          <w:b w:val="0"/>
          <w:bCs/>
          <w:color w:val="000000"/>
          <w:sz w:val="32"/>
          <w:szCs w:val="32"/>
          <w:lang w:val="en-US" w:eastAsia="zh-CN"/>
        </w:rPr>
        <w:t>01</w:t>
      </w:r>
      <w:r>
        <w:rPr>
          <w:rStyle w:val="24"/>
          <w:rFonts w:hint="eastAsia" w:ascii="仿宋_GB2312" w:eastAsia="仿宋_GB2312" w:cs="仿宋_GB2312"/>
          <w:b w:val="0"/>
          <w:bCs/>
          <w:color w:val="000000"/>
          <w:sz w:val="32"/>
          <w:szCs w:val="32"/>
        </w:rPr>
        <w:t>）: 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289.78</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7B58FA44">
      <w:pPr>
        <w:spacing w:line="600" w:lineRule="exact"/>
        <w:ind w:firstLine="640" w:firstLineChars="200"/>
        <w:rPr>
          <w:rFonts w:hint="eastAsia" w:ascii="仿宋_GB2312" w:eastAsia="仿宋_GB2312" w:cs="仿宋_GB2312"/>
          <w:color w:val="000000"/>
          <w:sz w:val="32"/>
          <w:szCs w:val="32"/>
          <w:lang w:eastAsia="zh-CN"/>
        </w:rPr>
      </w:pPr>
      <w:bookmarkStart w:id="44" w:name="_Toc79163618"/>
      <w:bookmarkStart w:id="45" w:name="_Toc15377214"/>
      <w:bookmarkStart w:id="46" w:name="_Toc15396608"/>
      <w:r>
        <w:rPr>
          <w:rStyle w:val="24"/>
          <w:rFonts w:hint="eastAsia" w:ascii="仿宋_GB2312" w:eastAsia="仿宋_GB2312" w:cs="仿宋_GB2312"/>
          <w:b w:val="0"/>
          <w:bCs/>
          <w:color w:val="000000"/>
          <w:sz w:val="32"/>
          <w:szCs w:val="32"/>
        </w:rPr>
        <w:t>2. 社会保障和就业支出（</w:t>
      </w:r>
      <w:r>
        <w:rPr>
          <w:rStyle w:val="24"/>
          <w:rFonts w:hint="eastAsia" w:ascii="仿宋_GB2312" w:eastAsia="仿宋_GB2312" w:cs="仿宋_GB2312"/>
          <w:b w:val="0"/>
          <w:bCs/>
          <w:color w:val="000000"/>
          <w:sz w:val="32"/>
          <w:szCs w:val="32"/>
          <w:lang w:val="en-US" w:eastAsia="zh-CN"/>
        </w:rPr>
        <w:t>208</w:t>
      </w:r>
      <w:r>
        <w:rPr>
          <w:rStyle w:val="24"/>
          <w:rFonts w:hint="eastAsia" w:ascii="仿宋_GB2312" w:eastAsia="仿宋_GB2312" w:cs="仿宋_GB2312"/>
          <w:b w:val="0"/>
          <w:bCs/>
          <w:color w:val="000000"/>
          <w:sz w:val="32"/>
          <w:szCs w:val="32"/>
        </w:rPr>
        <w:t>）行政事业单位养老支出（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）机关事业单位基本养老保险缴费支出（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19.31</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6260E386">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3. 社会保障和就业（</w:t>
      </w:r>
      <w:r>
        <w:rPr>
          <w:rStyle w:val="24"/>
          <w:rFonts w:hint="eastAsia" w:ascii="仿宋_GB2312" w:eastAsia="仿宋_GB2312" w:cs="仿宋_GB2312"/>
          <w:b w:val="0"/>
          <w:bCs/>
          <w:color w:val="000000"/>
          <w:sz w:val="32"/>
          <w:szCs w:val="32"/>
          <w:lang w:val="en-US" w:eastAsia="zh-CN"/>
        </w:rPr>
        <w:t>208</w:t>
      </w:r>
      <w:r>
        <w:rPr>
          <w:rStyle w:val="24"/>
          <w:rFonts w:hint="eastAsia" w:ascii="仿宋_GB2312" w:eastAsia="仿宋_GB2312" w:cs="仿宋_GB2312"/>
          <w:b w:val="0"/>
          <w:bCs/>
          <w:color w:val="000000"/>
          <w:sz w:val="32"/>
          <w:szCs w:val="32"/>
        </w:rPr>
        <w:t>）行政事业单位养老支出（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）机关事业单位职业年金缴费支出（</w:t>
      </w:r>
      <w:r>
        <w:rPr>
          <w:rStyle w:val="24"/>
          <w:rFonts w:hint="eastAsia" w:ascii="仿宋_GB2312" w:eastAsia="仿宋_GB2312" w:cs="仿宋_GB2312"/>
          <w:b w:val="0"/>
          <w:bCs/>
          <w:color w:val="000000"/>
          <w:sz w:val="32"/>
          <w:szCs w:val="32"/>
          <w:lang w:val="en-US" w:eastAsia="zh-CN"/>
        </w:rPr>
        <w:t>06</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9.66</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5382F909">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4.</w:t>
      </w:r>
      <w:r>
        <w:rPr>
          <w:rFonts w:hint="eastAsia" w:ascii="仿宋_GB2312" w:eastAsia="仿宋_GB2312" w:cs="仿宋_GB2312"/>
          <w:color w:val="000000"/>
          <w:sz w:val="32"/>
          <w:szCs w:val="32"/>
        </w:rPr>
        <w:t xml:space="preserve"> </w:t>
      </w:r>
      <w:r>
        <w:rPr>
          <w:rStyle w:val="24"/>
          <w:rFonts w:hint="eastAsia" w:ascii="仿宋_GB2312" w:eastAsia="仿宋_GB2312" w:cs="仿宋_GB2312"/>
          <w:b w:val="0"/>
          <w:bCs/>
          <w:color w:val="000000"/>
          <w:sz w:val="32"/>
          <w:szCs w:val="32"/>
        </w:rPr>
        <w:t>卫生健康支出（</w:t>
      </w:r>
      <w:r>
        <w:rPr>
          <w:rStyle w:val="24"/>
          <w:rFonts w:hint="eastAsia" w:ascii="仿宋_GB2312" w:eastAsia="仿宋_GB2312" w:cs="仿宋_GB2312"/>
          <w:b w:val="0"/>
          <w:bCs/>
          <w:color w:val="000000"/>
          <w:sz w:val="32"/>
          <w:szCs w:val="32"/>
          <w:lang w:val="en-US" w:eastAsia="zh-CN"/>
        </w:rPr>
        <w:t>210</w:t>
      </w:r>
      <w:r>
        <w:rPr>
          <w:rStyle w:val="24"/>
          <w:rFonts w:hint="eastAsia" w:ascii="仿宋_GB2312" w:eastAsia="仿宋_GB2312" w:cs="仿宋_GB2312"/>
          <w:b w:val="0"/>
          <w:bCs/>
          <w:color w:val="000000"/>
          <w:sz w:val="32"/>
          <w:szCs w:val="32"/>
        </w:rPr>
        <w:t>）行政事业单位医疗（</w:t>
      </w:r>
      <w:r>
        <w:rPr>
          <w:rStyle w:val="24"/>
          <w:rFonts w:hint="eastAsia" w:ascii="仿宋_GB2312" w:eastAsia="仿宋_GB2312" w:cs="仿宋_GB2312"/>
          <w:b w:val="0"/>
          <w:bCs/>
          <w:color w:val="000000"/>
          <w:sz w:val="32"/>
          <w:szCs w:val="32"/>
          <w:lang w:val="en-US" w:eastAsia="zh-CN"/>
        </w:rPr>
        <w:t>11</w:t>
      </w:r>
      <w:r>
        <w:rPr>
          <w:rStyle w:val="24"/>
          <w:rFonts w:hint="eastAsia" w:ascii="仿宋_GB2312" w:eastAsia="仿宋_GB2312" w:cs="仿宋_GB2312"/>
          <w:b w:val="0"/>
          <w:bCs/>
          <w:color w:val="000000"/>
          <w:sz w:val="32"/>
          <w:szCs w:val="32"/>
        </w:rPr>
        <w:t>）行政单位医疗（</w:t>
      </w:r>
      <w:r>
        <w:rPr>
          <w:rStyle w:val="24"/>
          <w:rFonts w:hint="eastAsia" w:ascii="仿宋_GB2312" w:eastAsia="仿宋_GB2312" w:cs="仿宋_GB2312"/>
          <w:b w:val="0"/>
          <w:bCs/>
          <w:color w:val="000000"/>
          <w:sz w:val="32"/>
          <w:szCs w:val="32"/>
          <w:lang w:val="en-US" w:eastAsia="zh-CN"/>
        </w:rPr>
        <w:t>01</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12.76</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386B0F66">
      <w:pPr>
        <w:spacing w:line="600" w:lineRule="exact"/>
        <w:ind w:firstLine="640" w:firstLineChars="200"/>
        <w:rPr>
          <w:rFonts w:hint="eastAsia" w:ascii="仿宋_GB2312" w:eastAsia="仿宋_GB2312" w:cs="仿宋_GB2312"/>
          <w:color w:val="000000"/>
          <w:sz w:val="32"/>
          <w:szCs w:val="32"/>
        </w:rPr>
      </w:pPr>
      <w:r>
        <w:rPr>
          <w:rStyle w:val="24"/>
          <w:rFonts w:hint="eastAsia" w:ascii="仿宋_GB2312" w:eastAsia="仿宋_GB2312" w:cs="仿宋_GB2312"/>
          <w:b w:val="0"/>
          <w:bCs/>
          <w:color w:val="000000"/>
          <w:sz w:val="32"/>
          <w:szCs w:val="32"/>
        </w:rPr>
        <w:t xml:space="preserve">5. </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：支出决算</w:t>
      </w:r>
      <w:r>
        <w:rPr>
          <w:rFonts w:hint="eastAsia" w:ascii="仿宋_GB2312" w:eastAsia="仿宋_GB2312" w:cs="仿宋_GB2312"/>
          <w:color w:val="000000"/>
          <w:sz w:val="32"/>
          <w:szCs w:val="32"/>
          <w:lang w:eastAsia="zh-CN"/>
        </w:rPr>
        <w:t>数</w:t>
      </w:r>
      <w:r>
        <w:rPr>
          <w:rFonts w:hint="eastAsia" w:ascii="仿宋_GB2312" w:eastAsia="仿宋_GB2312" w:cs="仿宋_GB2312"/>
          <w:color w:val="000000"/>
          <w:sz w:val="32"/>
          <w:szCs w:val="32"/>
          <w:lang w:val="en-US" w:eastAsia="zh-CN"/>
        </w:rPr>
        <w:t>15.56</w:t>
      </w:r>
      <w:r>
        <w:rPr>
          <w:rFonts w:hint="eastAsia" w:ascii="仿宋_GB2312" w:eastAsia="仿宋_GB2312" w:cs="仿宋_GB2312"/>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74F4F335">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lang w:val="en-US" w:eastAsia="zh-CN"/>
        </w:rPr>
        <w:t>6</w:t>
      </w:r>
      <w:r>
        <w:rPr>
          <w:rStyle w:val="24"/>
          <w:rFonts w:hint="eastAsia" w:ascii="仿宋_GB2312" w:eastAsia="仿宋_GB2312" w:cs="仿宋_GB2312"/>
          <w:b w:val="0"/>
          <w:bCs/>
          <w:color w:val="000000"/>
          <w:sz w:val="32"/>
          <w:szCs w:val="32"/>
        </w:rPr>
        <w:t xml:space="preserve">. </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购房补贴</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：支出决算</w:t>
      </w:r>
      <w:r>
        <w:rPr>
          <w:rFonts w:hint="eastAsia" w:ascii="仿宋_GB2312" w:eastAsia="仿宋_GB2312" w:cs="仿宋_GB2312"/>
          <w:color w:val="000000"/>
          <w:sz w:val="32"/>
          <w:szCs w:val="32"/>
          <w:lang w:eastAsia="zh-CN"/>
        </w:rPr>
        <w:t>数</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4772F89E">
      <w:pPr>
        <w:tabs>
          <w:tab w:val="right" w:pos="8306"/>
        </w:tabs>
        <w:spacing w:line="600" w:lineRule="exact"/>
        <w:ind w:firstLine="640"/>
        <w:outlineLvl w:val="1"/>
        <w:rPr>
          <w:rStyle w:val="27"/>
        </w:rPr>
      </w:pPr>
      <w:bookmarkStart w:id="47" w:name="_Toc178176231"/>
      <w:bookmarkStart w:id="48" w:name="_Toc115101717"/>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44"/>
      <w:bookmarkEnd w:id="45"/>
      <w:bookmarkEnd w:id="46"/>
      <w:bookmarkEnd w:id="47"/>
      <w:bookmarkEnd w:id="48"/>
      <w:r>
        <w:rPr>
          <w:rStyle w:val="27"/>
          <w:rFonts w:ascii="黑体" w:eastAsia="黑体"/>
          <w:b w:val="0"/>
        </w:rPr>
        <w:tab/>
      </w:r>
    </w:p>
    <w:p w14:paraId="045AC6F3">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年一般公共预算财政拨款基本支出</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万元，其中：</w:t>
      </w:r>
    </w:p>
    <w:p w14:paraId="6FFF4BF2">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lang w:val="en-US" w:eastAsia="zh-CN"/>
        </w:rPr>
        <w:t>208.83</w:t>
      </w:r>
      <w:r>
        <w:rPr>
          <w:rFonts w:hint="eastAsia" w:asci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日常公用经费</w:t>
      </w:r>
      <w:r>
        <w:rPr>
          <w:rFonts w:hint="eastAsia" w:ascii="仿宋_GB2312" w:eastAsia="仿宋_GB2312" w:cs="仿宋_GB2312"/>
          <w:color w:val="000000"/>
          <w:sz w:val="32"/>
          <w:szCs w:val="32"/>
          <w:lang w:val="en-US" w:eastAsia="zh-CN"/>
        </w:rPr>
        <w:t>9.26</w:t>
      </w:r>
      <w:r>
        <w:rPr>
          <w:rFonts w:hint="eastAsia" w:asci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86EA31F">
      <w:pPr>
        <w:spacing w:line="600" w:lineRule="exact"/>
        <w:ind w:firstLine="640"/>
        <w:outlineLvl w:val="1"/>
        <w:rPr>
          <w:rStyle w:val="27"/>
          <w:rFonts w:ascii="黑体" w:eastAsia="黑体"/>
          <w:b w:val="0"/>
        </w:rPr>
      </w:pPr>
      <w:bookmarkStart w:id="49" w:name="_Toc15396609"/>
      <w:bookmarkStart w:id="50" w:name="_Toc79163619"/>
      <w:bookmarkStart w:id="51" w:name="_Toc178176232"/>
      <w:bookmarkStart w:id="52" w:name="_Toc15377215"/>
      <w:bookmarkStart w:id="53" w:name="_Toc115101718"/>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49"/>
      <w:bookmarkEnd w:id="50"/>
      <w:bookmarkEnd w:id="51"/>
      <w:bookmarkEnd w:id="52"/>
      <w:bookmarkEnd w:id="53"/>
    </w:p>
    <w:p w14:paraId="38204C35">
      <w:pPr>
        <w:spacing w:line="600" w:lineRule="exact"/>
        <w:ind w:firstLine="640"/>
        <w:outlineLvl w:val="2"/>
        <w:rPr>
          <w:rFonts w:hint="eastAsia" w:ascii="仿宋_GB2312" w:eastAsia="仿宋_GB2312" w:cs="仿宋_GB2312"/>
          <w:b/>
          <w:color w:val="000000"/>
          <w:sz w:val="32"/>
          <w:szCs w:val="32"/>
        </w:rPr>
      </w:pPr>
      <w:bookmarkStart w:id="54" w:name="_Toc79163620"/>
      <w:bookmarkStart w:id="55" w:name="_Toc178176233"/>
      <w:bookmarkStart w:id="56" w:name="_Toc15377216"/>
      <w:bookmarkStart w:id="57" w:name="_Toc115101719"/>
      <w:r>
        <w:rPr>
          <w:rFonts w:hint="eastAsia" w:ascii="仿宋_GB2312" w:eastAsia="仿宋_GB2312" w:cs="仿宋_GB2312"/>
          <w:b/>
          <w:color w:val="000000"/>
          <w:sz w:val="32"/>
          <w:szCs w:val="32"/>
        </w:rPr>
        <w:t>（一）“三公”经费财政拨款支出决算总体情况说明</w:t>
      </w:r>
      <w:bookmarkEnd w:id="54"/>
      <w:bookmarkEnd w:id="55"/>
      <w:bookmarkEnd w:id="56"/>
      <w:bookmarkEnd w:id="57"/>
    </w:p>
    <w:p w14:paraId="720537E5">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年“三公”经费财政拨款支出决算为</w:t>
      </w:r>
      <w:r>
        <w:rPr>
          <w:rFonts w:hint="eastAsia" w:ascii="仿宋_GB2312" w:eastAsia="仿宋_GB2312" w:cs="仿宋_GB2312"/>
          <w:color w:val="000000"/>
          <w:sz w:val="32"/>
          <w:szCs w:val="32"/>
          <w:lang w:val="en-US" w:eastAsia="zh-CN"/>
        </w:rPr>
        <w:t>2.22</w:t>
      </w:r>
      <w:r>
        <w:rPr>
          <w:rFonts w:hint="eastAsia" w:ascii="仿宋_GB2312" w:eastAsia="仿宋_GB2312" w:cs="仿宋_GB2312"/>
          <w:color w:val="000000"/>
          <w:sz w:val="32"/>
          <w:szCs w:val="32"/>
        </w:rPr>
        <w:t>万元，完成预算100%，较上年度减少</w:t>
      </w:r>
      <w:r>
        <w:rPr>
          <w:rFonts w:hint="eastAsia" w:ascii="仿宋_GB2312" w:eastAsia="仿宋_GB2312" w:cs="仿宋_GB2312"/>
          <w:color w:val="000000"/>
          <w:sz w:val="32"/>
          <w:szCs w:val="32"/>
          <w:lang w:val="en-US" w:eastAsia="zh-CN"/>
        </w:rPr>
        <w:t>1.12</w:t>
      </w:r>
      <w:r>
        <w:rPr>
          <w:rFonts w:hint="eastAsia" w:ascii="仿宋_GB2312" w:eastAsia="仿宋_GB2312" w:cs="仿宋_GB2312"/>
          <w:color w:val="000000"/>
          <w:sz w:val="32"/>
          <w:szCs w:val="32"/>
        </w:rPr>
        <w:t>万元,下降</w:t>
      </w:r>
      <w:r>
        <w:rPr>
          <w:rFonts w:hint="eastAsia" w:ascii="仿宋_GB2312" w:eastAsia="仿宋_GB2312" w:cs="仿宋_GB2312"/>
          <w:color w:val="000000"/>
          <w:sz w:val="32"/>
          <w:szCs w:val="32"/>
          <w:lang w:val="en-US" w:eastAsia="zh-CN"/>
        </w:rPr>
        <w:t>33.53</w:t>
      </w:r>
      <w:r>
        <w:rPr>
          <w:rFonts w:hint="eastAsia" w:ascii="仿宋_GB2312" w:eastAsia="仿宋_GB2312" w:cs="仿宋_GB2312"/>
          <w:color w:val="000000"/>
          <w:sz w:val="32"/>
          <w:szCs w:val="32"/>
        </w:rPr>
        <w:t>%,我馆认真贯彻落实中央八项规定及省委省政府十项规定要求，厉行节约，从严控制“三公”经费支出，做到全年实际支出与预算持平。</w:t>
      </w:r>
    </w:p>
    <w:p w14:paraId="01C2C3DA">
      <w:pPr>
        <w:spacing w:line="600" w:lineRule="exact"/>
        <w:ind w:firstLine="640"/>
        <w:outlineLvl w:val="2"/>
        <w:rPr>
          <w:rFonts w:hint="eastAsia" w:ascii="仿宋_GB2312" w:eastAsia="仿宋_GB2312" w:cs="仿宋_GB2312"/>
          <w:b/>
          <w:color w:val="000000"/>
          <w:sz w:val="32"/>
          <w:szCs w:val="32"/>
        </w:rPr>
      </w:pPr>
      <w:bookmarkStart w:id="58" w:name="_Toc15377217"/>
      <w:bookmarkStart w:id="59" w:name="_Toc115101720"/>
      <w:bookmarkStart w:id="60" w:name="_Toc178176234"/>
      <w:bookmarkStart w:id="61" w:name="_Toc79163621"/>
      <w:r>
        <w:rPr>
          <w:rFonts w:hint="eastAsia" w:ascii="仿宋_GB2312" w:eastAsia="仿宋_GB2312" w:cs="仿宋_GB2312"/>
          <w:b/>
          <w:color w:val="000000"/>
          <w:sz w:val="32"/>
          <w:szCs w:val="32"/>
        </w:rPr>
        <w:t>（二）“三公”经费财政拨款支出决算具体情况说明</w:t>
      </w:r>
      <w:bookmarkEnd w:id="58"/>
      <w:bookmarkEnd w:id="59"/>
      <w:bookmarkEnd w:id="60"/>
      <w:bookmarkEnd w:id="61"/>
    </w:p>
    <w:p w14:paraId="7CCBE114">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年“三公”经费财政拨款支出决算中，因公出国（境）费支出决算0万元；公务用车购置及运行维护费支出决算</w:t>
      </w:r>
      <w:r>
        <w:rPr>
          <w:rFonts w:hint="eastAsia" w:ascii="仿宋_GB2312" w:eastAsia="仿宋_GB2312" w:cs="仿宋_GB2312"/>
          <w:color w:val="000000"/>
          <w:sz w:val="32"/>
          <w:szCs w:val="32"/>
          <w:lang w:val="en-US" w:eastAsia="zh-CN"/>
        </w:rPr>
        <w:t>2.06</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92.79</w:t>
      </w:r>
      <w:r>
        <w:rPr>
          <w:rFonts w:hint="eastAsia" w:ascii="仿宋_GB2312" w:eastAsia="仿宋_GB2312" w:cs="仿宋_GB2312"/>
          <w:color w:val="000000"/>
          <w:sz w:val="32"/>
          <w:szCs w:val="32"/>
        </w:rPr>
        <w:t>%（其中公务用车购置费0万元，公务用车运行费</w:t>
      </w:r>
      <w:r>
        <w:rPr>
          <w:rFonts w:hint="eastAsia" w:ascii="仿宋_GB2312" w:eastAsia="仿宋_GB2312" w:cs="仿宋_GB2312"/>
          <w:color w:val="000000"/>
          <w:sz w:val="32"/>
          <w:szCs w:val="32"/>
          <w:lang w:val="en-US" w:eastAsia="zh-CN"/>
        </w:rPr>
        <w:t>2.06</w:t>
      </w:r>
      <w:r>
        <w:rPr>
          <w:rFonts w:hint="eastAsia" w:ascii="仿宋_GB2312" w:eastAsia="仿宋_GB2312" w:cs="仿宋_GB2312"/>
          <w:color w:val="000000"/>
          <w:sz w:val="32"/>
          <w:szCs w:val="32"/>
        </w:rPr>
        <w:t>万元）；公务接待费支出决算0.1</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7.21</w:t>
      </w:r>
      <w:r>
        <w:rPr>
          <w:rFonts w:hint="eastAsia" w:ascii="仿宋_GB2312" w:eastAsia="仿宋_GB2312" w:cs="仿宋_GB2312"/>
          <w:color w:val="000000"/>
          <w:sz w:val="32"/>
          <w:szCs w:val="32"/>
        </w:rPr>
        <w:t>%。具体情况如下：</w:t>
      </w:r>
    </w:p>
    <w:p w14:paraId="02C94667">
      <w:pPr>
        <w:ind w:firstLine="641"/>
        <w:rPr>
          <w:rFonts w:hint="eastAsia" w:ascii="仿宋_GB2312" w:eastAsia="仿宋_GB2312" w:cs="仿宋_GB2312"/>
          <w:color w:val="000000"/>
          <w:sz w:val="32"/>
          <w:szCs w:val="32"/>
        </w:rPr>
      </w:pPr>
      <w:r>
        <w:rPr>
          <w:rFonts w:hint="eastAsia" w:ascii="仿宋_GB2312" w:eastAsia="仿宋_GB2312" w:cs="仿宋_GB2312"/>
          <w:color w:val="000000"/>
          <w:sz w:val="32"/>
          <w:szCs w:val="32"/>
        </w:rPr>
        <w:drawing>
          <wp:inline distT="0" distB="0" distL="0" distR="0">
            <wp:extent cx="2807970" cy="1562100"/>
            <wp:effectExtent l="0" t="0" r="0" b="0"/>
            <wp:docPr id="7"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847A21">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1.因公出国（境）经费支出0万元</w:t>
      </w:r>
      <w:r>
        <w:rPr>
          <w:rStyle w:val="24"/>
          <w:rFonts w:hint="eastAsia" w:ascii="仿宋_GB2312" w:eastAsia="仿宋_GB2312" w:cs="仿宋_GB2312"/>
          <w:b w:val="0"/>
          <w:bCs/>
          <w:color w:val="000000"/>
          <w:sz w:val="32"/>
          <w:szCs w:val="32"/>
        </w:rPr>
        <w:t>。</w:t>
      </w:r>
    </w:p>
    <w:p w14:paraId="212ED104">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2.公务用车购置及运行维护费支出</w:t>
      </w:r>
      <w:r>
        <w:rPr>
          <w:rFonts w:hint="eastAsia" w:ascii="仿宋_GB2312" w:eastAsia="仿宋_GB2312" w:cs="仿宋_GB2312"/>
          <w:b w:val="0"/>
          <w:bCs/>
          <w:color w:val="000000"/>
          <w:sz w:val="32"/>
          <w:szCs w:val="32"/>
          <w:lang w:val="en-US" w:eastAsia="zh-CN"/>
        </w:rPr>
        <w:t>2.06</w:t>
      </w:r>
      <w:r>
        <w:rPr>
          <w:rFonts w:hint="eastAsia" w:ascii="仿宋_GB2312" w:eastAsia="仿宋_GB2312" w:cs="仿宋_GB2312"/>
          <w:b w:val="0"/>
          <w:bCs/>
          <w:color w:val="000000"/>
          <w:sz w:val="32"/>
          <w:szCs w:val="32"/>
        </w:rPr>
        <w:t>万元,</w:t>
      </w:r>
      <w:r>
        <w:rPr>
          <w:rStyle w:val="24"/>
          <w:rFonts w:hint="eastAsia" w:ascii="仿宋_GB2312" w:eastAsia="仿宋_GB2312" w:cs="仿宋_GB2312"/>
          <w:b w:val="0"/>
          <w:bCs/>
          <w:color w:val="000000"/>
          <w:sz w:val="32"/>
          <w:szCs w:val="32"/>
        </w:rPr>
        <w:t>完成预算100%。</w:t>
      </w:r>
      <w:r>
        <w:rPr>
          <w:rFonts w:hint="eastAsia" w:ascii="仿宋_GB2312" w:eastAsia="仿宋_GB2312" w:cs="仿宋_GB2312"/>
          <w:b w:val="0"/>
          <w:bCs/>
          <w:color w:val="000000"/>
          <w:sz w:val="32"/>
          <w:szCs w:val="32"/>
        </w:rPr>
        <w:t>公务用车购置及运行维护费支出决算比202</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年减少</w:t>
      </w:r>
      <w:r>
        <w:rPr>
          <w:rFonts w:hint="eastAsia" w:ascii="仿宋_GB2312" w:eastAsia="仿宋_GB2312" w:cs="仿宋_GB2312"/>
          <w:b w:val="0"/>
          <w:bCs/>
          <w:color w:val="000000"/>
          <w:sz w:val="32"/>
          <w:szCs w:val="32"/>
          <w:lang w:val="en-US" w:eastAsia="zh-CN"/>
        </w:rPr>
        <w:t>1.14</w:t>
      </w:r>
      <w:r>
        <w:rPr>
          <w:rFonts w:hint="eastAsia" w:ascii="仿宋_GB2312" w:eastAsia="仿宋_GB2312" w:cs="仿宋_GB2312"/>
          <w:b w:val="0"/>
          <w:bCs/>
          <w:color w:val="000000"/>
          <w:sz w:val="32"/>
          <w:szCs w:val="32"/>
        </w:rPr>
        <w:t>万元，减少</w:t>
      </w:r>
      <w:r>
        <w:rPr>
          <w:rFonts w:hint="eastAsia" w:ascii="仿宋_GB2312" w:eastAsia="仿宋_GB2312" w:cs="仿宋_GB2312"/>
          <w:b w:val="0"/>
          <w:bCs/>
          <w:color w:val="000000"/>
          <w:sz w:val="32"/>
          <w:szCs w:val="32"/>
          <w:lang w:val="en-US" w:eastAsia="zh-CN"/>
        </w:rPr>
        <w:t>35.62</w:t>
      </w:r>
      <w:r>
        <w:rPr>
          <w:rFonts w:hint="eastAsia" w:ascii="仿宋_GB2312" w:eastAsia="仿宋_GB2312" w:cs="仿宋_GB2312"/>
          <w:b w:val="0"/>
          <w:bCs/>
          <w:color w:val="000000"/>
          <w:sz w:val="32"/>
          <w:szCs w:val="32"/>
        </w:rPr>
        <w:t>%。主要原因是档案工作指导、下乡减少。</w:t>
      </w:r>
    </w:p>
    <w:p w14:paraId="1B1A37A4">
      <w:pPr>
        <w:spacing w:line="600" w:lineRule="exact"/>
        <w:ind w:firstLine="640" w:firstLineChars="20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其中：公务用车购置支出0万元。截至202</w:t>
      </w:r>
      <w:r>
        <w:rPr>
          <w:rFonts w:hint="eastAsia" w:ascii="仿宋_GB2312" w:eastAsia="仿宋_GB2312" w:cs="仿宋_GB2312"/>
          <w:b w:val="0"/>
          <w:bCs/>
          <w:color w:val="000000"/>
          <w:sz w:val="32"/>
          <w:szCs w:val="32"/>
          <w:lang w:val="en-US" w:eastAsia="zh-CN"/>
        </w:rPr>
        <w:t>4</w:t>
      </w:r>
      <w:r>
        <w:rPr>
          <w:rFonts w:hint="eastAsia" w:ascii="仿宋_GB2312" w:eastAsia="仿宋_GB2312" w:cs="仿宋_GB2312"/>
          <w:b w:val="0"/>
          <w:bCs/>
          <w:color w:val="000000"/>
          <w:sz w:val="32"/>
          <w:szCs w:val="32"/>
        </w:rPr>
        <w:t>年12月底，单位有公务用车1辆，其中越野车1辆。公务用车运行维护费支出</w:t>
      </w:r>
      <w:r>
        <w:rPr>
          <w:rFonts w:hint="eastAsia" w:ascii="仿宋_GB2312" w:eastAsia="仿宋_GB2312" w:cs="仿宋_GB2312"/>
          <w:b w:val="0"/>
          <w:bCs/>
          <w:color w:val="000000"/>
          <w:sz w:val="32"/>
          <w:szCs w:val="32"/>
          <w:lang w:val="en-US" w:eastAsia="zh-CN"/>
        </w:rPr>
        <w:t>2.06</w:t>
      </w:r>
      <w:r>
        <w:rPr>
          <w:rFonts w:hint="eastAsia" w:ascii="仿宋_GB2312" w:eastAsia="仿宋_GB2312" w:cs="仿宋_GB2312"/>
          <w:b w:val="0"/>
          <w:bCs/>
          <w:color w:val="000000"/>
          <w:sz w:val="32"/>
          <w:szCs w:val="32"/>
        </w:rPr>
        <w:t>万元。主要用于档案工作指导、下乡等所需的公务用车燃料费、维修费、过路过桥费、保险费等支出。</w:t>
      </w:r>
    </w:p>
    <w:p w14:paraId="33E09A28">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3.公务接待费支出0.1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w:t>
      </w:r>
      <w:r>
        <w:rPr>
          <w:rStyle w:val="24"/>
          <w:rFonts w:hint="eastAsia" w:ascii="仿宋_GB2312" w:eastAsia="仿宋_GB2312" w:cs="仿宋_GB2312"/>
          <w:b w:val="0"/>
          <w:bCs/>
          <w:color w:val="000000"/>
          <w:sz w:val="32"/>
          <w:szCs w:val="32"/>
        </w:rPr>
        <w:t>完成预算100%。</w:t>
      </w:r>
      <w:r>
        <w:rPr>
          <w:rFonts w:hint="eastAsia" w:ascii="仿宋_GB2312" w:eastAsia="仿宋_GB2312" w:cs="仿宋_GB2312"/>
          <w:b w:val="0"/>
          <w:bCs/>
          <w:color w:val="000000"/>
          <w:sz w:val="32"/>
          <w:szCs w:val="32"/>
        </w:rPr>
        <w:t>公务接待费支出决算比202</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年</w:t>
      </w:r>
      <w:r>
        <w:rPr>
          <w:rFonts w:hint="eastAsia" w:ascii="仿宋_GB2312" w:eastAsia="仿宋_GB2312" w:cs="仿宋_GB2312"/>
          <w:b w:val="0"/>
          <w:bCs/>
          <w:color w:val="000000"/>
          <w:sz w:val="32"/>
          <w:szCs w:val="32"/>
          <w:lang w:eastAsia="zh-CN"/>
        </w:rPr>
        <w:t>增加</w:t>
      </w:r>
      <w:r>
        <w:rPr>
          <w:rFonts w:hint="eastAsia" w:ascii="仿宋_GB2312" w:eastAsia="仿宋_GB2312" w:cs="仿宋_GB2312"/>
          <w:b w:val="0"/>
          <w:bCs/>
          <w:color w:val="000000"/>
          <w:sz w:val="32"/>
          <w:szCs w:val="32"/>
        </w:rPr>
        <w:t>0.0</w:t>
      </w:r>
      <w:r>
        <w:rPr>
          <w:rFonts w:hint="eastAsia" w:ascii="仿宋_GB2312" w:eastAsia="仿宋_GB2312" w:cs="仿宋_GB2312"/>
          <w:b w:val="0"/>
          <w:bCs/>
          <w:color w:val="000000"/>
          <w:sz w:val="32"/>
          <w:szCs w:val="32"/>
          <w:lang w:val="en-US" w:eastAsia="zh-CN"/>
        </w:rPr>
        <w:t>2</w:t>
      </w:r>
      <w:r>
        <w:rPr>
          <w:rFonts w:hint="eastAsia" w:ascii="仿宋_GB2312" w:eastAsia="仿宋_GB2312" w:cs="仿宋_GB2312"/>
          <w:b w:val="0"/>
          <w:bCs/>
          <w:color w:val="000000"/>
          <w:sz w:val="32"/>
          <w:szCs w:val="32"/>
        </w:rPr>
        <w:t>万元，</w:t>
      </w:r>
      <w:r>
        <w:rPr>
          <w:rFonts w:hint="eastAsia" w:ascii="仿宋_GB2312" w:eastAsia="仿宋_GB2312" w:cs="仿宋_GB2312"/>
          <w:b w:val="0"/>
          <w:bCs/>
          <w:color w:val="000000"/>
          <w:sz w:val="32"/>
          <w:szCs w:val="32"/>
          <w:lang w:eastAsia="zh-CN"/>
        </w:rPr>
        <w:t>增加</w:t>
      </w:r>
      <w:r>
        <w:rPr>
          <w:rFonts w:hint="eastAsia" w:ascii="仿宋_GB2312" w:eastAsia="仿宋_GB2312" w:cs="仿宋_GB2312"/>
          <w:b w:val="0"/>
          <w:bCs/>
          <w:color w:val="000000"/>
          <w:sz w:val="32"/>
          <w:szCs w:val="32"/>
          <w:lang w:val="en-US" w:eastAsia="zh-CN"/>
        </w:rPr>
        <w:t>14.28</w:t>
      </w:r>
      <w:r>
        <w:rPr>
          <w:rFonts w:hint="eastAsia" w:ascii="仿宋_GB2312" w:eastAsia="仿宋_GB2312" w:cs="仿宋_GB2312"/>
          <w:b w:val="0"/>
          <w:bCs/>
          <w:color w:val="000000"/>
          <w:sz w:val="32"/>
          <w:szCs w:val="32"/>
        </w:rPr>
        <w:t>%。其中：国内公务接待支出0.1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万元，主要用于馆际交流开支用餐费。国内公务接待2批次，1</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人次（不包括陪同人员），共计支出0.1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w:t>
      </w:r>
    </w:p>
    <w:p w14:paraId="036E4CBC">
      <w:pPr>
        <w:spacing w:line="600" w:lineRule="exact"/>
        <w:ind w:firstLine="640"/>
        <w:outlineLvl w:val="1"/>
        <w:rPr>
          <w:rStyle w:val="27"/>
          <w:rFonts w:ascii="黑体" w:eastAsia="黑体"/>
        </w:rPr>
      </w:pPr>
      <w:bookmarkStart w:id="62" w:name="_Toc15396610"/>
      <w:bookmarkStart w:id="63" w:name="_Toc79163622"/>
      <w:bookmarkStart w:id="64" w:name="_Toc178176235"/>
      <w:bookmarkStart w:id="65" w:name="_Toc15377218"/>
      <w:bookmarkStart w:id="66" w:name="_Toc115101721"/>
      <w:r>
        <w:rPr>
          <w:rFonts w:hint="eastAsia" w:ascii="黑体" w:eastAsia="黑体"/>
          <w:color w:val="000000"/>
          <w:sz w:val="32"/>
          <w:szCs w:val="32"/>
        </w:rPr>
        <w:t>八、</w:t>
      </w:r>
      <w:r>
        <w:rPr>
          <w:rStyle w:val="27"/>
          <w:rFonts w:hint="eastAsia" w:ascii="黑体" w:eastAsia="黑体"/>
          <w:b w:val="0"/>
        </w:rPr>
        <w:t>政府性基金预算支出决算情况说明</w:t>
      </w:r>
      <w:bookmarkEnd w:id="62"/>
      <w:bookmarkEnd w:id="63"/>
      <w:bookmarkEnd w:id="64"/>
      <w:bookmarkEnd w:id="65"/>
      <w:bookmarkEnd w:id="66"/>
    </w:p>
    <w:p w14:paraId="1B432D17">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年政府性基金预算拨款支出0万元。</w:t>
      </w:r>
    </w:p>
    <w:p w14:paraId="581FB00D">
      <w:pPr>
        <w:numPr>
          <w:ilvl w:val="0"/>
          <w:numId w:val="2"/>
        </w:numPr>
        <w:spacing w:line="600" w:lineRule="exact"/>
        <w:ind w:left="0" w:firstLine="640"/>
        <w:outlineLvl w:val="1"/>
        <w:rPr>
          <w:rStyle w:val="27"/>
          <w:rFonts w:ascii="黑体" w:eastAsia="黑体"/>
          <w:b w:val="0"/>
        </w:rPr>
      </w:pPr>
      <w:bookmarkStart w:id="67" w:name="_Toc178176236"/>
      <w:bookmarkStart w:id="68" w:name="_Toc15377219"/>
      <w:bookmarkStart w:id="69" w:name="_Toc115101722"/>
      <w:bookmarkStart w:id="70" w:name="_Toc15396611"/>
      <w:bookmarkStart w:id="71" w:name="_Toc79163623"/>
      <w:r>
        <w:rPr>
          <w:rStyle w:val="27"/>
          <w:rFonts w:hint="eastAsia" w:ascii="黑体" w:eastAsia="黑体"/>
          <w:b w:val="0"/>
        </w:rPr>
        <w:t>国有资本经营预算支出决算情况说明</w:t>
      </w:r>
      <w:bookmarkEnd w:id="67"/>
      <w:bookmarkEnd w:id="68"/>
      <w:bookmarkEnd w:id="69"/>
      <w:bookmarkEnd w:id="70"/>
      <w:bookmarkEnd w:id="71"/>
    </w:p>
    <w:p w14:paraId="27F594A1">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ascii="仿宋_GB2312" w:eastAsia="仿宋_GB2312"/>
          <w:color w:val="000000"/>
          <w:sz w:val="32"/>
          <w:szCs w:val="32"/>
        </w:rPr>
        <w:t>年</w:t>
      </w:r>
      <w:r>
        <w:rPr>
          <w:rFonts w:hint="eastAsia" w:ascii="仿宋_GB2312" w:eastAsia="仿宋_GB2312"/>
          <w:color w:val="000000"/>
          <w:sz w:val="32"/>
          <w:szCs w:val="32"/>
        </w:rPr>
        <w:t>国有资本经营预算拨款支出0万元。</w:t>
      </w:r>
    </w:p>
    <w:p w14:paraId="61844338">
      <w:pPr>
        <w:spacing w:line="600" w:lineRule="exact"/>
        <w:ind w:firstLine="800" w:firstLineChars="250"/>
        <w:outlineLvl w:val="1"/>
        <w:rPr>
          <w:rStyle w:val="27"/>
          <w:rFonts w:ascii="黑体" w:eastAsia="黑体"/>
        </w:rPr>
      </w:pPr>
      <w:bookmarkStart w:id="72" w:name="_Toc79163624"/>
      <w:bookmarkStart w:id="73" w:name="_Toc178176237"/>
      <w:bookmarkStart w:id="74" w:name="_Toc15377221"/>
      <w:bookmarkStart w:id="75" w:name="_Toc115101723"/>
      <w:bookmarkStart w:id="76" w:name="_Toc15396612"/>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72"/>
      <w:bookmarkEnd w:id="73"/>
      <w:bookmarkEnd w:id="74"/>
      <w:bookmarkEnd w:id="75"/>
      <w:bookmarkEnd w:id="76"/>
    </w:p>
    <w:p w14:paraId="2C37DB1E">
      <w:pPr>
        <w:spacing w:line="600" w:lineRule="exact"/>
        <w:ind w:firstLine="643" w:firstLineChars="200"/>
        <w:outlineLvl w:val="2"/>
        <w:rPr>
          <w:rFonts w:hint="eastAsia" w:ascii="仿宋_GB2312" w:eastAsia="仿宋_GB2312" w:cs="仿宋_GB2312"/>
          <w:color w:val="000000"/>
          <w:sz w:val="32"/>
          <w:szCs w:val="32"/>
        </w:rPr>
      </w:pPr>
      <w:bookmarkStart w:id="77" w:name="_Toc115101724"/>
      <w:bookmarkStart w:id="78" w:name="_Toc79163625"/>
      <w:bookmarkStart w:id="79" w:name="_Toc178176238"/>
      <w:bookmarkStart w:id="80" w:name="_Toc15377222"/>
      <w:r>
        <w:rPr>
          <w:rFonts w:hint="eastAsia" w:ascii="仿宋_GB2312" w:eastAsia="仿宋_GB2312" w:cs="仿宋_GB2312"/>
          <w:b/>
          <w:color w:val="000000"/>
          <w:sz w:val="32"/>
          <w:szCs w:val="32"/>
        </w:rPr>
        <w:t>（一）机关运行经费支出情况</w:t>
      </w:r>
      <w:bookmarkEnd w:id="77"/>
      <w:bookmarkEnd w:id="78"/>
      <w:bookmarkEnd w:id="79"/>
      <w:bookmarkEnd w:id="80"/>
    </w:p>
    <w:p w14:paraId="38A7136C">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年，四川省阿坝州茂县档案馆202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年度部门决算机关运行经费支出</w:t>
      </w:r>
      <w:r>
        <w:rPr>
          <w:rFonts w:hint="eastAsia" w:ascii="仿宋_GB2312" w:eastAsia="仿宋_GB2312" w:cs="仿宋_GB2312"/>
          <w:color w:val="000000"/>
          <w:sz w:val="32"/>
          <w:szCs w:val="32"/>
          <w:lang w:val="en-US" w:eastAsia="zh-CN"/>
        </w:rPr>
        <w:t>9.26</w:t>
      </w:r>
      <w:r>
        <w:rPr>
          <w:rFonts w:hint="eastAsia" w:ascii="仿宋_GB2312" w:eastAsia="仿宋_GB2312" w:cs="仿宋_GB2312"/>
          <w:color w:val="000000"/>
          <w:sz w:val="32"/>
          <w:szCs w:val="32"/>
        </w:rPr>
        <w:t>万元，比202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1.76</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15.97</w:t>
      </w:r>
      <w:r>
        <w:rPr>
          <w:rFonts w:hint="eastAsia" w:ascii="仿宋_GB2312" w:eastAsia="仿宋_GB2312" w:cs="仿宋_GB2312"/>
          <w:color w:val="000000"/>
          <w:sz w:val="32"/>
          <w:szCs w:val="32"/>
        </w:rPr>
        <w:t>%。主要原因是</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公务用车</w:t>
      </w:r>
      <w:r>
        <w:rPr>
          <w:rFonts w:hint="eastAsia" w:ascii="仿宋_GB2312" w:eastAsia="仿宋_GB2312" w:cs="仿宋_GB2312"/>
          <w:color w:val="000000"/>
          <w:sz w:val="32"/>
          <w:szCs w:val="32"/>
        </w:rPr>
        <w:t>费用</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rPr>
        <w:t>。</w:t>
      </w:r>
    </w:p>
    <w:p w14:paraId="1ADE58EF">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1" w:name="_Toc15377223"/>
      <w:bookmarkStart w:id="82" w:name="_Toc178176239"/>
      <w:bookmarkStart w:id="83" w:name="_Toc115101725"/>
      <w:bookmarkStart w:id="84" w:name="_Toc79163626"/>
      <w:r>
        <w:rPr>
          <w:rFonts w:hint="eastAsia" w:ascii="仿宋_GB2312" w:eastAsia="仿宋_GB2312" w:cs="仿宋_GB2312"/>
          <w:b/>
          <w:color w:val="000000"/>
          <w:sz w:val="32"/>
          <w:szCs w:val="32"/>
        </w:rPr>
        <w:t>（二）政府采购支出情况</w:t>
      </w:r>
      <w:bookmarkEnd w:id="81"/>
      <w:bookmarkEnd w:id="82"/>
      <w:bookmarkEnd w:id="83"/>
      <w:bookmarkEnd w:id="84"/>
    </w:p>
    <w:p w14:paraId="1443F85F">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年，档案馆政府采购支出总额</w:t>
      </w:r>
      <w:r>
        <w:rPr>
          <w:rFonts w:hint="eastAsia" w:ascii="仿宋_GB2312" w:eastAsia="仿宋_GB2312" w:cs="仿宋_GB2312"/>
          <w:color w:val="000000"/>
          <w:sz w:val="32"/>
          <w:szCs w:val="32"/>
          <w:lang w:val="en-US" w:eastAsia="zh-CN"/>
        </w:rPr>
        <w:t>265.89</w:t>
      </w:r>
      <w:r>
        <w:rPr>
          <w:rFonts w:hint="eastAsia" w:ascii="仿宋_GB2312" w:eastAsia="仿宋_GB2312" w:cs="仿宋_GB2312"/>
          <w:color w:val="000000"/>
          <w:sz w:val="32"/>
          <w:szCs w:val="32"/>
        </w:rPr>
        <w:t>万元。</w:t>
      </w:r>
    </w:p>
    <w:p w14:paraId="3A95DF2A">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5" w:name="_Toc115101726"/>
      <w:bookmarkStart w:id="86" w:name="_Toc79163627"/>
      <w:bookmarkStart w:id="87" w:name="_Toc15377224"/>
      <w:bookmarkStart w:id="88" w:name="_Toc178176240"/>
      <w:r>
        <w:rPr>
          <w:rFonts w:hint="eastAsia" w:ascii="仿宋_GB2312" w:eastAsia="仿宋_GB2312" w:cs="仿宋_GB2312"/>
          <w:b/>
          <w:color w:val="000000"/>
          <w:sz w:val="32"/>
          <w:szCs w:val="32"/>
        </w:rPr>
        <w:t>（三）国有资产占有使用情况</w:t>
      </w:r>
      <w:bookmarkEnd w:id="85"/>
      <w:bookmarkEnd w:id="86"/>
      <w:bookmarkEnd w:id="87"/>
      <w:bookmarkEnd w:id="88"/>
    </w:p>
    <w:p w14:paraId="611BEF33">
      <w:pPr>
        <w:autoSpaceDE w:val="0"/>
        <w:autoSpaceDN w:val="0"/>
        <w:adjustRightInd w:val="0"/>
        <w:spacing w:line="600" w:lineRule="exact"/>
        <w:ind w:firstLine="640" w:firstLineChars="200"/>
        <w:jc w:val="left"/>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年12月31日，档案馆共有车辆1辆，其中：其他用车1辆，其他用车主要是用于档案业务指导及下乡等工作。</w:t>
      </w:r>
    </w:p>
    <w:p w14:paraId="2C61E98D">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9" w:name="_Toc79163628"/>
      <w:bookmarkStart w:id="90" w:name="_Toc115101727"/>
      <w:bookmarkStart w:id="91" w:name="_Toc178176241"/>
      <w:r>
        <w:rPr>
          <w:rFonts w:hint="eastAsia" w:ascii="仿宋_GB2312" w:eastAsia="仿宋_GB2312" w:cs="仿宋_GB2312"/>
          <w:b/>
          <w:color w:val="000000"/>
          <w:sz w:val="32"/>
          <w:szCs w:val="32"/>
        </w:rPr>
        <w:t>（四）预算绩效管理情况</w:t>
      </w:r>
      <w:bookmarkEnd w:id="89"/>
      <w:bookmarkEnd w:id="90"/>
      <w:bookmarkEnd w:id="91"/>
    </w:p>
    <w:p w14:paraId="73237938">
      <w:pPr>
        <w:pStyle w:val="17"/>
        <w:ind w:left="0" w:leftChars="0" w:firstLine="640" w:firstLineChars="200"/>
        <w:jc w:val="both"/>
        <w:rPr>
          <w:rFonts w:hint="eastAsia" w:ascii="仿宋_GB2312" w:eastAsia="仿宋_GB2312" w:cs="仿宋_GB2312"/>
          <w:lang w:val="en-US" w:eastAsia="zh-CN"/>
        </w:rPr>
      </w:pPr>
      <w:r>
        <w:rPr>
          <w:rFonts w:hint="eastAsia" w:ascii="仿宋_GB2312" w:eastAsia="仿宋_GB2312" w:cs="仿宋_GB2312"/>
          <w:color w:val="000000"/>
          <w:sz w:val="32"/>
          <w:szCs w:val="32"/>
          <w:lang w:eastAsia="zh-CN"/>
        </w:rPr>
        <w:t>根据预算绩效管理要求，本单位在</w:t>
      </w:r>
      <w:r>
        <w:rPr>
          <w:rFonts w:hint="eastAsia" w:ascii="仿宋_GB2312" w:eastAsia="仿宋_GB2312" w:cs="仿宋_GB2312"/>
          <w:color w:val="000000"/>
          <w:sz w:val="32"/>
          <w:szCs w:val="32"/>
          <w:lang w:val="en-US" w:eastAsia="zh-CN"/>
        </w:rPr>
        <w:t>2024年度预算编制阶段，组织对数字档案馆建设项目和全州重点档案抢救和保护经费专项预算项目等2个项目开展了预算事前绩效评估，对2个项目编制了绩效目标，预算执行过程中对2个项目开展绩效监控，组织对2个项目开展绩效自评，绩效自评见第四部分附件。</w:t>
      </w:r>
    </w:p>
    <w:p w14:paraId="13D1D59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A641978">
      <w:pPr>
        <w:numPr>
          <w:ilvl w:val="0"/>
          <w:numId w:val="3"/>
        </w:numPr>
        <w:spacing w:line="600" w:lineRule="exact"/>
        <w:ind w:left="0" w:firstLine="660" w:firstLineChars="150"/>
        <w:jc w:val="center"/>
        <w:outlineLvl w:val="0"/>
        <w:rPr>
          <w:rStyle w:val="26"/>
          <w:rFonts w:ascii="黑体" w:eastAsia="黑体"/>
          <w:b w:val="0"/>
        </w:rPr>
      </w:pPr>
      <w:bookmarkStart w:id="92" w:name="_Toc15377225"/>
      <w:bookmarkStart w:id="93" w:name="_Toc178176242"/>
      <w:bookmarkStart w:id="94" w:name="_Toc15396613"/>
      <w:bookmarkStart w:id="95" w:name="_Toc115101728"/>
      <w:bookmarkStart w:id="96" w:name="_Toc79163629"/>
      <w:r>
        <w:rPr>
          <w:rFonts w:hint="eastAsia" w:ascii="黑体" w:eastAsia="黑体"/>
          <w:color w:val="000000"/>
          <w:sz w:val="44"/>
          <w:szCs w:val="44"/>
        </w:rPr>
        <w:t>名</w:t>
      </w:r>
      <w:r>
        <w:rPr>
          <w:rStyle w:val="26"/>
          <w:rFonts w:hint="eastAsia" w:ascii="黑体" w:eastAsia="黑体"/>
          <w:b w:val="0"/>
        </w:rPr>
        <w:t>词解释</w:t>
      </w:r>
      <w:bookmarkEnd w:id="92"/>
      <w:bookmarkEnd w:id="93"/>
      <w:bookmarkEnd w:id="94"/>
      <w:bookmarkEnd w:id="95"/>
      <w:bookmarkEnd w:id="96"/>
    </w:p>
    <w:p w14:paraId="074C67B5">
      <w:pPr>
        <w:spacing w:line="600" w:lineRule="exact"/>
        <w:jc w:val="left"/>
        <w:rPr>
          <w:rFonts w:ascii="宋体"/>
          <w:b/>
          <w:color w:val="000000"/>
          <w:sz w:val="44"/>
          <w:szCs w:val="44"/>
        </w:rPr>
      </w:pPr>
    </w:p>
    <w:p w14:paraId="7DEF4C72">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14:paraId="59CD8C15">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2.事业收入：指事业单位开展专业业务活动及辅助活动取得的收入。如…（二级预算单位事业收入情况）等。</w:t>
      </w:r>
    </w:p>
    <w:p w14:paraId="6FAD62BA">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3.经营收入：指事业单位在专业业务活动及其辅助活动之外开展非独立核算经营活动取得的收入。如…（二级预算单位经营收入情况）等。</w:t>
      </w:r>
    </w:p>
    <w:p w14:paraId="3095D97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4.其他收入：指单位取得的除上述收入以外的各项收入。主要是…（收入类型）等。 </w:t>
      </w:r>
    </w:p>
    <w:p w14:paraId="4660065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5.使用非财政拨款结余：指事业单位使用以前年度积累的非财政拨款结余弥补当年收支差额的金额。 </w:t>
      </w:r>
    </w:p>
    <w:p w14:paraId="5B536FB3">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6.年初结转和结余：指以前年度尚未完成、结转到本年按有关规定继续使用的资金。 </w:t>
      </w:r>
    </w:p>
    <w:p w14:paraId="5453D545">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7.结余分配：指事业单位按照会计制度规定缴纳的所得税、提取的专用结余以及转入非财政拨款结余的金额等。</w:t>
      </w:r>
    </w:p>
    <w:p w14:paraId="0891317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14:paraId="66108DAC">
      <w:pPr>
        <w:spacing w:line="576" w:lineRule="exact"/>
        <w:ind w:firstLine="640" w:firstLineChars="200"/>
        <w:rPr>
          <w:rFonts w:hint="eastAsia" w:ascii="仿宋_GB2312" w:eastAsia="仿宋_GB2312" w:cs="仿宋_GB2312"/>
          <w:color w:val="000000"/>
          <w:sz w:val="32"/>
          <w:szCs w:val="32"/>
        </w:rPr>
      </w:pPr>
      <w:bookmarkStart w:id="97" w:name="_Toc79163630"/>
      <w:bookmarkStart w:id="98" w:name="_Toc15396614"/>
      <w:bookmarkStart w:id="99" w:name="_Toc15377226"/>
      <w:r>
        <w:rPr>
          <w:rFonts w:hint="eastAsia" w:ascii="仿宋_GB2312" w:eastAsia="仿宋_GB2312" w:cs="仿宋_GB2312"/>
          <w:color w:val="000000"/>
          <w:sz w:val="32"/>
          <w:szCs w:val="32"/>
        </w:rPr>
        <w:t>9.一般公共服务（</w:t>
      </w:r>
      <w:r>
        <w:rPr>
          <w:rFonts w:hint="eastAsia" w:ascii="仿宋_GB2312" w:eastAsia="仿宋_GB2312" w:cs="仿宋_GB2312"/>
          <w:color w:val="000000"/>
          <w:sz w:val="32"/>
          <w:szCs w:val="32"/>
          <w:lang w:val="en-US" w:eastAsia="zh-CN"/>
        </w:rPr>
        <w:t>201</w:t>
      </w:r>
      <w:r>
        <w:rPr>
          <w:rFonts w:hint="eastAsia" w:ascii="仿宋_GB2312" w:eastAsia="仿宋_GB2312" w:cs="仿宋_GB2312"/>
          <w:color w:val="000000"/>
          <w:sz w:val="32"/>
          <w:szCs w:val="32"/>
        </w:rPr>
        <w:t>）档案事务（</w:t>
      </w:r>
      <w:r>
        <w:rPr>
          <w:rFonts w:hint="eastAsia" w:ascii="仿宋_GB2312" w:eastAsia="仿宋_GB2312" w:cs="仿宋_GB2312"/>
          <w:color w:val="000000"/>
          <w:sz w:val="32"/>
          <w:szCs w:val="32"/>
          <w:lang w:val="en-US" w:eastAsia="zh-CN"/>
        </w:rPr>
        <w:t>26</w:t>
      </w:r>
      <w:r>
        <w:rPr>
          <w:rFonts w:hint="eastAsia" w:ascii="仿宋_GB2312" w:eastAsia="仿宋_GB2312" w:cs="仿宋_GB2312"/>
          <w:color w:val="000000"/>
          <w:sz w:val="32"/>
          <w:szCs w:val="32"/>
        </w:rPr>
        <w:t>）行政运行（</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Fonts w:hint="eastAsia" w:ascii="仿宋_GB2312" w:eastAsia="仿宋_GB2312" w:cs="仿宋_GB2312"/>
          <w:sz w:val="32"/>
          <w:szCs w:val="32"/>
        </w:rPr>
        <w:t>指档案馆工作人员工资和公务开支。</w:t>
      </w:r>
    </w:p>
    <w:p w14:paraId="6A163363">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10.社会保障和就业（</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）行政事业单位离退休（</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 机关事业单位基本养老保险缴费支出（</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）：指养老保险。</w:t>
      </w:r>
    </w:p>
    <w:p w14:paraId="2386A444">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11.社会保障和就业（</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）行政事业单位离退休（</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）机关事业单位职业年金缴费支出（</w:t>
      </w:r>
      <w:r>
        <w:rPr>
          <w:rFonts w:hint="eastAsia" w:ascii="仿宋_GB2312" w:eastAsia="仿宋_GB2312" w:cs="仿宋_GB2312"/>
          <w:color w:val="000000"/>
          <w:sz w:val="32"/>
          <w:szCs w:val="32"/>
          <w:lang w:val="en-US" w:eastAsia="zh-CN"/>
        </w:rPr>
        <w:t>06</w:t>
      </w:r>
      <w:r>
        <w:rPr>
          <w:rFonts w:hint="eastAsia" w:ascii="仿宋_GB2312" w:eastAsia="仿宋_GB2312" w:cs="仿宋_GB2312"/>
          <w:color w:val="000000"/>
          <w:sz w:val="32"/>
          <w:szCs w:val="32"/>
        </w:rPr>
        <w:t>）：职业年金。</w:t>
      </w:r>
    </w:p>
    <w:p w14:paraId="0D66E6CA">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12.卫生健康支出（</w:t>
      </w:r>
      <w:r>
        <w:rPr>
          <w:rFonts w:hint="eastAsia" w:ascii="仿宋_GB2312" w:eastAsia="仿宋_GB2312" w:cs="仿宋_GB2312"/>
          <w:color w:val="000000"/>
          <w:sz w:val="32"/>
          <w:szCs w:val="32"/>
          <w:lang w:val="en-US" w:eastAsia="zh-CN"/>
        </w:rPr>
        <w:t>210</w:t>
      </w:r>
      <w:r>
        <w:rPr>
          <w:rFonts w:hint="eastAsia" w:ascii="仿宋_GB2312" w:eastAsia="仿宋_GB2312" w:cs="仿宋_GB2312"/>
          <w:color w:val="000000"/>
          <w:sz w:val="32"/>
          <w:szCs w:val="32"/>
        </w:rPr>
        <w:t>）行政事业单位医疗（</w:t>
      </w: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）行政单位医疗（</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）：指行政单位医疗。</w:t>
      </w:r>
    </w:p>
    <w:p w14:paraId="2BB132F1">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13.住房保障支出（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）：指住房公积金。</w:t>
      </w:r>
    </w:p>
    <w:p w14:paraId="67F39959">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14.基本支出：指为保障机构正常运转、完成日常工作任务而发生的人员支出和公用支出。</w:t>
      </w:r>
    </w:p>
    <w:p w14:paraId="78806C32">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15.项目支出：指在基本支出之外为完成特定行政任务和事业发展目标所发生的支出。</w:t>
      </w:r>
    </w:p>
    <w:p w14:paraId="5F2136AF">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16.经营支出：指事业单位在专业业务活动及其辅助活动之外开展非独立核算经营活动发生的支出。</w:t>
      </w:r>
    </w:p>
    <w:p w14:paraId="6AF2E330">
      <w:pPr>
        <w:pStyle w:val="31"/>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98310E1">
      <w:pPr>
        <w:pStyle w:val="31"/>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903D716">
      <w:pPr>
        <w:spacing w:line="600" w:lineRule="exact"/>
        <w:jc w:val="center"/>
        <w:outlineLvl w:val="0"/>
        <w:rPr>
          <w:rFonts w:ascii="黑体" w:eastAsia="黑体"/>
          <w:color w:val="000000"/>
          <w:sz w:val="44"/>
          <w:szCs w:val="44"/>
        </w:rPr>
      </w:pPr>
    </w:p>
    <w:p w14:paraId="60232BF8">
      <w:pPr>
        <w:spacing w:line="600" w:lineRule="exact"/>
        <w:jc w:val="center"/>
        <w:outlineLvl w:val="0"/>
        <w:rPr>
          <w:rFonts w:ascii="黑体" w:eastAsia="黑体"/>
          <w:color w:val="000000"/>
          <w:sz w:val="44"/>
          <w:szCs w:val="44"/>
        </w:rPr>
      </w:pPr>
    </w:p>
    <w:p w14:paraId="7FED165B">
      <w:pPr>
        <w:spacing w:line="600" w:lineRule="exact"/>
        <w:jc w:val="center"/>
        <w:outlineLvl w:val="0"/>
        <w:rPr>
          <w:rFonts w:ascii="黑体" w:eastAsia="黑体"/>
          <w:color w:val="000000"/>
          <w:sz w:val="44"/>
          <w:szCs w:val="44"/>
        </w:rPr>
      </w:pPr>
    </w:p>
    <w:p w14:paraId="38850012">
      <w:pPr>
        <w:spacing w:line="600" w:lineRule="exact"/>
        <w:jc w:val="center"/>
        <w:outlineLvl w:val="0"/>
        <w:rPr>
          <w:rFonts w:ascii="黑体" w:eastAsia="黑体"/>
          <w:color w:val="000000"/>
          <w:sz w:val="44"/>
          <w:szCs w:val="44"/>
        </w:rPr>
      </w:pPr>
    </w:p>
    <w:p w14:paraId="01BEAED5">
      <w:pPr>
        <w:spacing w:line="600" w:lineRule="exact"/>
        <w:jc w:val="center"/>
        <w:outlineLvl w:val="0"/>
        <w:rPr>
          <w:rFonts w:ascii="黑体" w:eastAsia="黑体"/>
          <w:color w:val="000000"/>
          <w:sz w:val="44"/>
          <w:szCs w:val="44"/>
        </w:rPr>
      </w:pPr>
    </w:p>
    <w:p w14:paraId="3B0960FD">
      <w:pPr>
        <w:spacing w:line="600" w:lineRule="exact"/>
        <w:jc w:val="center"/>
        <w:outlineLvl w:val="0"/>
        <w:rPr>
          <w:rFonts w:ascii="黑体" w:eastAsia="黑体"/>
          <w:color w:val="000000"/>
          <w:sz w:val="44"/>
          <w:szCs w:val="44"/>
        </w:rPr>
      </w:pPr>
    </w:p>
    <w:p w14:paraId="089D8F3E">
      <w:pPr>
        <w:spacing w:line="600" w:lineRule="exact"/>
        <w:jc w:val="center"/>
        <w:outlineLvl w:val="0"/>
        <w:rPr>
          <w:rFonts w:ascii="黑体" w:eastAsia="黑体"/>
          <w:color w:val="000000"/>
          <w:sz w:val="44"/>
          <w:szCs w:val="44"/>
        </w:rPr>
      </w:pPr>
    </w:p>
    <w:p w14:paraId="231E739E">
      <w:pPr>
        <w:spacing w:line="600" w:lineRule="exact"/>
        <w:jc w:val="center"/>
        <w:outlineLvl w:val="0"/>
        <w:rPr>
          <w:rFonts w:ascii="黑体" w:eastAsia="黑体"/>
          <w:color w:val="000000"/>
          <w:sz w:val="44"/>
          <w:szCs w:val="44"/>
        </w:rPr>
      </w:pPr>
    </w:p>
    <w:p w14:paraId="080043A1">
      <w:pPr>
        <w:spacing w:line="600" w:lineRule="exact"/>
        <w:jc w:val="center"/>
        <w:outlineLvl w:val="0"/>
        <w:rPr>
          <w:rFonts w:ascii="黑体" w:eastAsia="黑体"/>
          <w:color w:val="000000"/>
          <w:sz w:val="44"/>
          <w:szCs w:val="44"/>
        </w:rPr>
      </w:pPr>
    </w:p>
    <w:p w14:paraId="38A8E684">
      <w:pPr>
        <w:spacing w:line="600" w:lineRule="exact"/>
        <w:jc w:val="center"/>
        <w:outlineLvl w:val="0"/>
        <w:rPr>
          <w:rFonts w:ascii="黑体" w:eastAsia="黑体"/>
          <w:color w:val="000000"/>
          <w:sz w:val="44"/>
          <w:szCs w:val="44"/>
        </w:rPr>
      </w:pPr>
    </w:p>
    <w:p w14:paraId="78D7C9C1">
      <w:pPr>
        <w:spacing w:line="600" w:lineRule="exact"/>
        <w:jc w:val="center"/>
        <w:outlineLvl w:val="0"/>
        <w:rPr>
          <w:rFonts w:ascii="黑体" w:eastAsia="黑体"/>
          <w:color w:val="000000"/>
          <w:sz w:val="44"/>
          <w:szCs w:val="44"/>
        </w:rPr>
      </w:pPr>
    </w:p>
    <w:p w14:paraId="4BA2276F">
      <w:pPr>
        <w:spacing w:line="600" w:lineRule="exact"/>
        <w:jc w:val="center"/>
        <w:outlineLvl w:val="0"/>
        <w:rPr>
          <w:rFonts w:ascii="黑体" w:eastAsia="黑体"/>
          <w:color w:val="000000"/>
          <w:sz w:val="44"/>
          <w:szCs w:val="44"/>
        </w:rPr>
      </w:pPr>
    </w:p>
    <w:p w14:paraId="6F8629CB">
      <w:pPr>
        <w:spacing w:line="600" w:lineRule="exact"/>
        <w:jc w:val="center"/>
        <w:outlineLvl w:val="0"/>
        <w:rPr>
          <w:rFonts w:ascii="黑体" w:eastAsia="黑体"/>
          <w:color w:val="000000"/>
          <w:sz w:val="44"/>
          <w:szCs w:val="44"/>
        </w:rPr>
      </w:pPr>
    </w:p>
    <w:p w14:paraId="660C93A1">
      <w:pPr>
        <w:spacing w:line="600" w:lineRule="exact"/>
        <w:jc w:val="center"/>
        <w:outlineLvl w:val="0"/>
        <w:rPr>
          <w:rFonts w:ascii="黑体" w:eastAsia="黑体"/>
          <w:color w:val="000000"/>
          <w:sz w:val="44"/>
          <w:szCs w:val="44"/>
        </w:rPr>
      </w:pPr>
    </w:p>
    <w:p w14:paraId="007C17C4">
      <w:pPr>
        <w:spacing w:line="600" w:lineRule="exact"/>
        <w:jc w:val="center"/>
        <w:outlineLvl w:val="0"/>
        <w:rPr>
          <w:rFonts w:ascii="黑体" w:eastAsia="黑体"/>
          <w:color w:val="000000"/>
          <w:sz w:val="44"/>
          <w:szCs w:val="44"/>
        </w:rPr>
      </w:pPr>
    </w:p>
    <w:p w14:paraId="292166FA">
      <w:pPr>
        <w:spacing w:line="600" w:lineRule="exact"/>
        <w:jc w:val="center"/>
        <w:outlineLvl w:val="0"/>
        <w:rPr>
          <w:rFonts w:ascii="黑体" w:eastAsia="黑体"/>
          <w:color w:val="000000"/>
          <w:sz w:val="44"/>
          <w:szCs w:val="44"/>
        </w:rPr>
      </w:pPr>
    </w:p>
    <w:p w14:paraId="11FF9418">
      <w:pPr>
        <w:spacing w:line="600" w:lineRule="exact"/>
        <w:jc w:val="center"/>
        <w:outlineLvl w:val="0"/>
        <w:rPr>
          <w:rFonts w:ascii="黑体" w:eastAsia="黑体"/>
          <w:color w:val="000000"/>
          <w:sz w:val="44"/>
          <w:szCs w:val="44"/>
        </w:rPr>
      </w:pPr>
    </w:p>
    <w:p w14:paraId="168632A8">
      <w:pPr>
        <w:spacing w:line="600" w:lineRule="exact"/>
        <w:jc w:val="center"/>
        <w:outlineLvl w:val="0"/>
        <w:rPr>
          <w:rFonts w:ascii="黑体" w:eastAsia="黑体"/>
          <w:color w:val="000000"/>
          <w:sz w:val="44"/>
          <w:szCs w:val="44"/>
        </w:rPr>
      </w:pPr>
    </w:p>
    <w:p w14:paraId="2B55E544">
      <w:pPr>
        <w:spacing w:line="600" w:lineRule="exact"/>
        <w:jc w:val="center"/>
        <w:outlineLvl w:val="0"/>
        <w:rPr>
          <w:rFonts w:ascii="黑体" w:eastAsia="黑体"/>
          <w:color w:val="000000"/>
          <w:sz w:val="44"/>
          <w:szCs w:val="44"/>
        </w:rPr>
      </w:pPr>
    </w:p>
    <w:p w14:paraId="72090157">
      <w:pPr>
        <w:spacing w:line="600" w:lineRule="exact"/>
        <w:jc w:val="center"/>
        <w:outlineLvl w:val="0"/>
        <w:rPr>
          <w:rFonts w:ascii="黑体" w:eastAsia="黑体"/>
          <w:color w:val="000000"/>
          <w:sz w:val="44"/>
          <w:szCs w:val="44"/>
        </w:rPr>
      </w:pPr>
    </w:p>
    <w:p w14:paraId="31DC82A3">
      <w:pPr>
        <w:spacing w:line="600" w:lineRule="exact"/>
        <w:jc w:val="center"/>
        <w:outlineLvl w:val="0"/>
        <w:rPr>
          <w:rFonts w:ascii="黑体" w:eastAsia="黑体"/>
          <w:color w:val="000000"/>
          <w:sz w:val="44"/>
          <w:szCs w:val="44"/>
        </w:rPr>
      </w:pPr>
    </w:p>
    <w:p w14:paraId="5729187D">
      <w:pPr>
        <w:spacing w:line="600" w:lineRule="exact"/>
        <w:jc w:val="center"/>
        <w:outlineLvl w:val="0"/>
        <w:rPr>
          <w:rFonts w:ascii="黑体" w:eastAsia="黑体"/>
          <w:color w:val="000000"/>
          <w:sz w:val="44"/>
          <w:szCs w:val="44"/>
        </w:rPr>
      </w:pPr>
    </w:p>
    <w:p w14:paraId="54DC854A">
      <w:pPr>
        <w:spacing w:line="600" w:lineRule="exact"/>
        <w:jc w:val="center"/>
        <w:outlineLvl w:val="0"/>
        <w:rPr>
          <w:rStyle w:val="26"/>
          <w:rFonts w:ascii="黑体" w:eastAsia="黑体"/>
          <w:b w:val="0"/>
        </w:rPr>
      </w:pPr>
      <w:bookmarkStart w:id="100" w:name="_Toc178176243"/>
      <w:bookmarkStart w:id="101" w:name="_Toc115101729"/>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bookmarkEnd w:id="97"/>
      <w:bookmarkEnd w:id="98"/>
      <w:bookmarkEnd w:id="100"/>
      <w:bookmarkEnd w:id="101"/>
    </w:p>
    <w:p w14:paraId="7B157349">
      <w:pPr>
        <w:spacing w:line="600" w:lineRule="exact"/>
        <w:jc w:val="left"/>
        <w:outlineLvl w:val="0"/>
        <w:rPr>
          <w:rFonts w:ascii="方正小标宋简体" w:eastAsia="方正小标宋简体" w:cs="方正小标宋简体"/>
          <w:sz w:val="32"/>
          <w:szCs w:val="32"/>
        </w:rPr>
      </w:pPr>
      <w:bookmarkStart w:id="102" w:name="_Toc79163631"/>
      <w:bookmarkStart w:id="103" w:name="_Toc178176244"/>
      <w:bookmarkStart w:id="104" w:name="_Toc115101730"/>
      <w:r>
        <w:rPr>
          <w:rFonts w:hint="eastAsia" w:ascii="黑体" w:eastAsia="黑体" w:cs="黑体"/>
          <w:sz w:val="32"/>
          <w:szCs w:val="32"/>
        </w:rPr>
        <w:t>附件</w:t>
      </w:r>
      <w:r>
        <w:rPr>
          <w:rFonts w:ascii="黑体" w:eastAsia="黑体" w:cs="黑体"/>
          <w:sz w:val="32"/>
          <w:szCs w:val="32"/>
        </w:rPr>
        <w:t>1</w:t>
      </w:r>
      <w:bookmarkEnd w:id="102"/>
      <w:bookmarkEnd w:id="103"/>
      <w:bookmarkEnd w:id="104"/>
    </w:p>
    <w:p w14:paraId="07C692BE">
      <w:pPr>
        <w:spacing w:line="580" w:lineRule="exact"/>
        <w:jc w:val="center"/>
        <w:rPr>
          <w:rFonts w:ascii="方正小标宋简体" w:eastAsia="方正小标宋简体" w:cs="方正小标宋简体"/>
          <w:sz w:val="44"/>
          <w:szCs w:val="44"/>
        </w:rPr>
      </w:pPr>
    </w:p>
    <w:p w14:paraId="619167DB">
      <w:pPr>
        <w:widowControl/>
        <w:spacing w:line="578" w:lineRule="exact"/>
        <w:contextualSpacing/>
        <w:jc w:val="center"/>
        <w:rPr>
          <w:szCs w:val="32"/>
          <w:shd w:val="clear" w:color="auto" w:fill="FFFFFF"/>
        </w:rPr>
      </w:pPr>
      <w:bookmarkStart w:id="105" w:name="_Toc178176245"/>
      <w:r>
        <w:rPr>
          <w:rFonts w:hint="eastAsia" w:eastAsia="方正小标宋简体"/>
          <w:bCs/>
          <w:sz w:val="44"/>
          <w:szCs w:val="44"/>
          <w:shd w:val="clear" w:color="auto" w:fill="FFFFFF"/>
          <w:lang w:eastAsia="zh-CN"/>
        </w:rPr>
        <w:t>档案馆</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3AFDFD72">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695C5D9">
      <w:pPr>
        <w:widowControl/>
        <w:adjustRightInd w:val="0"/>
        <w:snapToGrid w:val="0"/>
        <w:spacing w:line="578" w:lineRule="exact"/>
        <w:ind w:firstLine="643" w:firstLineChars="200"/>
        <w:contextualSpacing/>
        <w:jc w:val="left"/>
        <w:rPr>
          <w:rFonts w:hint="eastAsia" w:ascii="黑体" w:eastAsia="黑体" w:cs="黑体"/>
          <w:b/>
          <w:bCs/>
          <w:sz w:val="32"/>
          <w:szCs w:val="32"/>
        </w:rPr>
      </w:pPr>
      <w:r>
        <w:rPr>
          <w:rFonts w:hint="eastAsia" w:ascii="黑体" w:eastAsia="黑体" w:cs="黑体"/>
          <w:b/>
          <w:bCs/>
          <w:color w:val="000000"/>
          <w:kern w:val="0"/>
          <w:sz w:val="32"/>
          <w:szCs w:val="32"/>
          <w:shd w:val="clear" w:color="auto" w:fill="FFFFFF"/>
          <w:lang w:val="zh-CN"/>
        </w:rPr>
        <w:t>一、档案馆基本情况</w:t>
      </w:r>
    </w:p>
    <w:p w14:paraId="49E49311">
      <w:pPr>
        <w:widowControl/>
        <w:adjustRightInd w:val="0"/>
        <w:snapToGrid w:val="0"/>
        <w:spacing w:line="576" w:lineRule="exact"/>
        <w:ind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（一）机构组成</w:t>
      </w:r>
    </w:p>
    <w:p w14:paraId="03480D4C">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lang w:val="zh-CN"/>
        </w:rPr>
        <w:t>茂县档案馆成立于</w:t>
      </w:r>
      <w:r>
        <w:rPr>
          <w:rFonts w:hint="eastAsia" w:ascii="仿宋_GB2312" w:eastAsia="仿宋_GB2312" w:cs="仿宋_GB2312"/>
          <w:color w:val="000000"/>
          <w:kern w:val="0"/>
          <w:sz w:val="32"/>
          <w:szCs w:val="32"/>
          <w:shd w:val="clear" w:color="auto" w:fill="FFFFFF"/>
        </w:rPr>
        <w:t>1959年1月，1980年4月成立档案局。档案局和档案馆合署办公。1987年，县档案局（馆）划属县政府直属事业单位，作为政府职能部门主管全县档案事业。2011年12月，县档案局列为参照公务员管理单位，编制11人。</w:t>
      </w:r>
      <w:r>
        <w:rPr>
          <w:rFonts w:hint="eastAsia" w:ascii="仿宋_GB2312" w:eastAsia="仿宋_GB2312" w:cs="仿宋_GB2312"/>
          <w:color w:val="000000"/>
          <w:kern w:val="0"/>
          <w:sz w:val="32"/>
          <w:szCs w:val="32"/>
          <w:shd w:val="clear" w:color="auto" w:fill="FFFFFF"/>
          <w:lang w:val="zh-CN"/>
        </w:rPr>
        <w:t>根据《茂县人民政府办公室关于印发茂县档案局职能配置内设机构和人员编制方案的通知》（茂府办</w:t>
      </w:r>
      <w:r>
        <w:rPr>
          <w:rFonts w:hint="eastAsia" w:ascii="宋体" w:eastAsia="宋体" w:cs="宋体"/>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rPr>
        <w:t>1998</w:t>
      </w:r>
      <w:r>
        <w:rPr>
          <w:rFonts w:hint="eastAsia" w:ascii="宋体" w:eastAsia="宋体" w:cs="宋体"/>
          <w:color w:val="000000"/>
          <w:kern w:val="0"/>
          <w:sz w:val="32"/>
          <w:szCs w:val="32"/>
          <w:shd w:val="clear" w:color="auto" w:fill="FFFFFF"/>
        </w:rPr>
        <w:t>〕</w:t>
      </w:r>
      <w:r>
        <w:rPr>
          <w:rFonts w:hint="eastAsia" w:ascii="仿宋_GB2312" w:eastAsia="仿宋_GB2312" w:cs="仿宋_GB2312"/>
          <w:color w:val="000000"/>
          <w:kern w:val="0"/>
          <w:sz w:val="32"/>
          <w:szCs w:val="32"/>
          <w:shd w:val="clear" w:color="auto" w:fill="FFFFFF"/>
        </w:rPr>
        <w:t>25号</w:t>
      </w:r>
      <w:r>
        <w:rPr>
          <w:rFonts w:hint="eastAsia" w:ascii="仿宋_GB2312" w:eastAsia="仿宋_GB2312" w:cs="仿宋_GB2312"/>
          <w:color w:val="000000"/>
          <w:kern w:val="0"/>
          <w:sz w:val="32"/>
          <w:szCs w:val="32"/>
          <w:shd w:val="clear" w:color="auto" w:fill="FFFFFF"/>
          <w:lang w:val="zh-CN"/>
        </w:rPr>
        <w:t>），我馆内设业务指导股、馆务股和办公室。2019年3月机构改革，档案局（馆）分开设立，档案局同县委办合并挂牌，档案馆沿用以前的编制和人员，馆内仍然设立业务指导股、馆务股和办公室。</w:t>
      </w:r>
    </w:p>
    <w:p w14:paraId="559376CE">
      <w:pPr>
        <w:widowControl/>
        <w:adjustRightInd w:val="0"/>
        <w:snapToGrid w:val="0"/>
        <w:spacing w:line="578" w:lineRule="exact"/>
        <w:ind w:firstLine="643" w:firstLineChars="200"/>
        <w:contextualSpacing/>
        <w:jc w:val="left"/>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（二）机构职能</w:t>
      </w:r>
    </w:p>
    <w:p w14:paraId="2777FC2F">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贯彻执行《中华人民共和国档案法》以及党和国家有关档案工作的方针、政策，按照统一领导、分级管理的原则对全县档案工作实行统筹规划、宏观管理，制定全县档案事业发展规划并组织实施。</w:t>
      </w:r>
    </w:p>
    <w:p w14:paraId="62C4C7AE">
      <w:pPr>
        <w:numPr>
          <w:ilvl w:val="0"/>
          <w:numId w:val="4"/>
        </w:numPr>
        <w:spacing w:line="600" w:lineRule="exact"/>
        <w:ind w:left="0" w:firstLine="643" w:firstLineChars="20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人员概况</w:t>
      </w:r>
    </w:p>
    <w:p w14:paraId="16412147">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sz w:val="32"/>
          <w:szCs w:val="32"/>
        </w:rPr>
        <w:t>截至202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年末，</w:t>
      </w:r>
      <w:r>
        <w:rPr>
          <w:rFonts w:hint="eastAsia" w:ascii="仿宋_GB2312" w:eastAsia="仿宋_GB2312" w:cs="仿宋_GB2312"/>
          <w:color w:val="000000"/>
          <w:kern w:val="0"/>
          <w:sz w:val="32"/>
          <w:szCs w:val="32"/>
          <w:shd w:val="clear" w:color="auto" w:fill="FFFFFF"/>
          <w:lang w:val="zh-CN"/>
        </w:rPr>
        <w:t>茂县档案馆参照公务员编制</w:t>
      </w:r>
      <w:r>
        <w:rPr>
          <w:rFonts w:hint="eastAsia"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lang w:val="en-US" w:eastAsia="zh-CN"/>
        </w:rPr>
        <w:t>1</w:t>
      </w:r>
      <w:r>
        <w:rPr>
          <w:rFonts w:hint="eastAsia" w:ascii="仿宋_GB2312" w:eastAsia="仿宋_GB2312" w:cs="仿宋_GB2312"/>
          <w:color w:val="000000"/>
          <w:kern w:val="0"/>
          <w:sz w:val="32"/>
          <w:szCs w:val="32"/>
          <w:shd w:val="clear" w:color="auto" w:fill="FFFFFF"/>
        </w:rPr>
        <w:t>人，</w:t>
      </w:r>
      <w:r>
        <w:rPr>
          <w:rFonts w:hint="eastAsia" w:ascii="仿宋_GB2312" w:eastAsia="仿宋_GB2312" w:cs="仿宋_GB2312"/>
          <w:color w:val="000000"/>
          <w:kern w:val="0"/>
          <w:sz w:val="32"/>
          <w:szCs w:val="32"/>
          <w:shd w:val="clear" w:color="auto" w:fill="FFFFFF"/>
          <w:lang w:eastAsia="zh-CN"/>
        </w:rPr>
        <w:t>年末实有人数</w:t>
      </w:r>
      <w:r>
        <w:rPr>
          <w:rFonts w:hint="eastAsia" w:ascii="仿宋_GB2312" w:eastAsia="仿宋_GB2312" w:cs="仿宋_GB2312"/>
          <w:color w:val="000000"/>
          <w:kern w:val="0"/>
          <w:sz w:val="32"/>
          <w:szCs w:val="32"/>
          <w:shd w:val="clear" w:color="auto" w:fill="FFFFFF"/>
          <w:lang w:val="en-US" w:eastAsia="zh-CN"/>
        </w:rPr>
        <w:t>9人，</w:t>
      </w:r>
      <w:r>
        <w:rPr>
          <w:rFonts w:hint="eastAsia" w:ascii="仿宋_GB2312" w:eastAsia="仿宋_GB2312" w:cs="仿宋_GB2312"/>
          <w:color w:val="000000"/>
          <w:kern w:val="0"/>
          <w:sz w:val="32"/>
          <w:szCs w:val="32"/>
          <w:shd w:val="clear" w:color="auto" w:fill="FFFFFF"/>
        </w:rPr>
        <w:t>其中馆长1名，副馆长1名，</w:t>
      </w:r>
      <w:r>
        <w:rPr>
          <w:rFonts w:hint="eastAsia" w:ascii="仿宋_GB2312" w:eastAsia="仿宋_GB2312" w:cs="仿宋_GB2312"/>
          <w:color w:val="000000"/>
          <w:kern w:val="0"/>
          <w:sz w:val="32"/>
          <w:szCs w:val="32"/>
          <w:shd w:val="clear" w:color="auto" w:fill="FFFFFF"/>
          <w:lang w:eastAsia="zh-CN"/>
        </w:rPr>
        <w:t>一级主任科员</w:t>
      </w:r>
      <w:r>
        <w:rPr>
          <w:rFonts w:hint="eastAsia" w:ascii="仿宋_GB2312" w:eastAsia="仿宋_GB2312" w:cs="仿宋_GB2312"/>
          <w:color w:val="000000"/>
          <w:kern w:val="0"/>
          <w:sz w:val="32"/>
          <w:szCs w:val="32"/>
          <w:shd w:val="clear" w:color="auto" w:fill="FFFFFF"/>
          <w:lang w:val="en-US" w:eastAsia="zh-CN"/>
        </w:rPr>
        <w:t>2名，</w:t>
      </w:r>
      <w:r>
        <w:rPr>
          <w:rFonts w:hint="eastAsia" w:ascii="仿宋_GB2312" w:eastAsia="仿宋_GB2312" w:cs="仿宋_GB2312"/>
          <w:color w:val="000000"/>
          <w:kern w:val="0"/>
          <w:sz w:val="32"/>
          <w:szCs w:val="32"/>
          <w:shd w:val="clear" w:color="auto" w:fill="FFFFFF"/>
        </w:rPr>
        <w:t>二级主任科员</w:t>
      </w:r>
      <w:r>
        <w:rPr>
          <w:rFonts w:hint="eastAsia" w:ascii="仿宋_GB2312" w:eastAsia="仿宋_GB2312" w:cs="仿宋_GB2312"/>
          <w:color w:val="000000"/>
          <w:kern w:val="0"/>
          <w:sz w:val="32"/>
          <w:szCs w:val="32"/>
          <w:shd w:val="clear" w:color="auto" w:fill="FFFFFF"/>
          <w:lang w:val="en-US" w:eastAsia="zh-CN"/>
        </w:rPr>
        <w:t>1</w:t>
      </w:r>
      <w:r>
        <w:rPr>
          <w:rFonts w:hint="eastAsia" w:ascii="仿宋_GB2312" w:eastAsia="仿宋_GB2312" w:cs="仿宋_GB2312"/>
          <w:color w:val="000000"/>
          <w:kern w:val="0"/>
          <w:sz w:val="32"/>
          <w:szCs w:val="32"/>
          <w:shd w:val="clear" w:color="auto" w:fill="FFFFFF"/>
        </w:rPr>
        <w:t>名，三级主任科员</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名，</w:t>
      </w:r>
      <w:r>
        <w:rPr>
          <w:rFonts w:hint="eastAsia" w:ascii="仿宋_GB2312" w:eastAsia="仿宋_GB2312" w:cs="仿宋_GB2312"/>
          <w:color w:val="000000"/>
          <w:kern w:val="0"/>
          <w:sz w:val="32"/>
          <w:szCs w:val="32"/>
          <w:shd w:val="clear" w:color="auto" w:fill="FFFFFF"/>
          <w:lang w:eastAsia="zh-CN"/>
        </w:rPr>
        <w:t>四</w:t>
      </w:r>
      <w:r>
        <w:rPr>
          <w:rFonts w:hint="eastAsia" w:ascii="仿宋_GB2312" w:eastAsia="仿宋_GB2312" w:cs="仿宋_GB2312"/>
          <w:color w:val="000000"/>
          <w:kern w:val="0"/>
          <w:sz w:val="32"/>
          <w:szCs w:val="32"/>
          <w:shd w:val="clear" w:color="auto" w:fill="FFFFFF"/>
        </w:rPr>
        <w:t>级</w:t>
      </w:r>
      <w:r>
        <w:rPr>
          <w:rFonts w:hint="eastAsia" w:ascii="仿宋_GB2312" w:eastAsia="仿宋_GB2312" w:cs="仿宋_GB2312"/>
          <w:color w:val="000000"/>
          <w:kern w:val="0"/>
          <w:sz w:val="32"/>
          <w:szCs w:val="32"/>
          <w:shd w:val="clear" w:color="auto" w:fill="FFFFFF"/>
          <w:lang w:eastAsia="zh-CN"/>
        </w:rPr>
        <w:t>主任</w:t>
      </w:r>
      <w:r>
        <w:rPr>
          <w:rFonts w:hint="eastAsia" w:ascii="仿宋_GB2312" w:eastAsia="仿宋_GB2312" w:cs="仿宋_GB2312"/>
          <w:color w:val="000000"/>
          <w:kern w:val="0"/>
          <w:sz w:val="32"/>
          <w:szCs w:val="32"/>
          <w:shd w:val="clear" w:color="auto" w:fill="FFFFFF"/>
        </w:rPr>
        <w:t>科员1名，驾驶员1名。</w:t>
      </w:r>
    </w:p>
    <w:p w14:paraId="3AA88098">
      <w:pPr>
        <w:widowControl/>
        <w:adjustRightInd w:val="0"/>
        <w:snapToGrid w:val="0"/>
        <w:spacing w:line="578" w:lineRule="exact"/>
        <w:ind w:firstLine="643" w:firstLineChars="200"/>
        <w:contextualSpacing/>
        <w:jc w:val="left"/>
        <w:rPr>
          <w:rFonts w:hint="eastAsia" w:ascii="黑体" w:eastAsia="黑体" w:cs="黑体"/>
          <w:b/>
          <w:bCs/>
          <w:color w:val="000000"/>
          <w:kern w:val="0"/>
          <w:sz w:val="32"/>
          <w:szCs w:val="32"/>
          <w:shd w:val="clear" w:color="auto" w:fill="FFFFFF"/>
        </w:rPr>
      </w:pPr>
      <w:r>
        <w:rPr>
          <w:rFonts w:hint="eastAsia" w:ascii="黑体" w:eastAsia="黑体" w:cs="黑体"/>
          <w:b/>
          <w:bCs/>
          <w:color w:val="000000"/>
          <w:kern w:val="0"/>
          <w:sz w:val="32"/>
          <w:szCs w:val="32"/>
          <w:shd w:val="clear" w:color="auto" w:fill="FFFFFF"/>
        </w:rPr>
        <w:t>二、部门资金收支情况</w:t>
      </w:r>
    </w:p>
    <w:p w14:paraId="0344A6DE">
      <w:pPr>
        <w:widowControl/>
        <w:adjustRightInd w:val="0"/>
        <w:snapToGrid w:val="0"/>
        <w:spacing w:line="576" w:lineRule="exact"/>
        <w:ind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（一）收入情况</w:t>
      </w:r>
    </w:p>
    <w:p w14:paraId="4707FE85">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年本部门财政拨款收入决算总额为</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万元，其中：当年财政拨款收入</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万元,均为一般公共预算财政拨款。</w:t>
      </w:r>
    </w:p>
    <w:p w14:paraId="76C5D584">
      <w:pPr>
        <w:widowControl/>
        <w:numPr>
          <w:ilvl w:val="0"/>
          <w:numId w:val="5"/>
        </w:numPr>
        <w:adjustRightInd w:val="0"/>
        <w:snapToGrid w:val="0"/>
        <w:spacing w:line="576" w:lineRule="exact"/>
        <w:ind w:left="0"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支出情况</w:t>
      </w:r>
    </w:p>
    <w:p w14:paraId="5A0484C9">
      <w:pPr>
        <w:widowControl/>
        <w:adjustRightInd w:val="0"/>
        <w:snapToGrid w:val="0"/>
        <w:spacing w:line="576" w:lineRule="exact"/>
        <w:ind w:left="0"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年本部门财政拨款支出决算总额</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万元。其中按功能分类，一般公共服务支出</w:t>
      </w:r>
      <w:r>
        <w:rPr>
          <w:rFonts w:hint="eastAsia" w:ascii="仿宋_GB2312" w:eastAsia="仿宋_GB2312" w:cs="仿宋_GB2312"/>
          <w:color w:val="000000"/>
          <w:kern w:val="0"/>
          <w:sz w:val="32"/>
          <w:szCs w:val="32"/>
          <w:shd w:val="clear" w:color="auto" w:fill="FFFFFF"/>
          <w:lang w:val="en-US" w:eastAsia="zh-CN"/>
        </w:rPr>
        <w:t>289.78</w:t>
      </w:r>
      <w:r>
        <w:rPr>
          <w:rFonts w:hint="eastAsia" w:ascii="仿宋_GB2312" w:eastAsia="仿宋_GB2312" w:cs="仿宋_GB2312"/>
          <w:color w:val="000000"/>
          <w:kern w:val="0"/>
          <w:sz w:val="32"/>
          <w:szCs w:val="32"/>
          <w:shd w:val="clear" w:color="auto" w:fill="FFFFFF"/>
        </w:rPr>
        <w:t>万元、社会保障和就业支出</w:t>
      </w:r>
      <w:r>
        <w:rPr>
          <w:rFonts w:hint="eastAsia" w:ascii="仿宋_GB2312" w:eastAsia="仿宋_GB2312" w:cs="仿宋_GB2312"/>
          <w:color w:val="000000"/>
          <w:kern w:val="0"/>
          <w:sz w:val="32"/>
          <w:szCs w:val="32"/>
          <w:shd w:val="clear" w:color="auto" w:fill="FFFFFF"/>
          <w:lang w:val="en-US" w:eastAsia="zh-CN"/>
        </w:rPr>
        <w:t>28.97</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卫生健康</w:t>
      </w:r>
      <w:r>
        <w:rPr>
          <w:rFonts w:hint="eastAsia" w:ascii="仿宋_GB2312" w:eastAsia="仿宋_GB2312" w:cs="仿宋_GB2312"/>
          <w:color w:val="000000"/>
          <w:kern w:val="0"/>
          <w:sz w:val="32"/>
          <w:szCs w:val="32"/>
          <w:shd w:val="clear" w:color="auto" w:fill="FFFFFF"/>
        </w:rPr>
        <w:t>支出</w:t>
      </w:r>
      <w:r>
        <w:rPr>
          <w:rFonts w:hint="eastAsia" w:ascii="仿宋_GB2312" w:eastAsia="仿宋_GB2312" w:cs="仿宋_GB2312"/>
          <w:color w:val="000000"/>
          <w:kern w:val="0"/>
          <w:sz w:val="32"/>
          <w:szCs w:val="32"/>
          <w:shd w:val="clear" w:color="auto" w:fill="FFFFFF"/>
          <w:lang w:val="en-US" w:eastAsia="zh-CN"/>
        </w:rPr>
        <w:t>12.76</w:t>
      </w:r>
      <w:r>
        <w:rPr>
          <w:rFonts w:hint="eastAsia" w:ascii="仿宋_GB2312" w:eastAsia="仿宋_GB2312" w:cs="仿宋_GB2312"/>
          <w:color w:val="000000"/>
          <w:kern w:val="0"/>
          <w:sz w:val="32"/>
          <w:szCs w:val="32"/>
          <w:shd w:val="clear" w:color="auto" w:fill="FFFFFF"/>
        </w:rPr>
        <w:t>万元、住房保障支出</w:t>
      </w:r>
      <w:r>
        <w:rPr>
          <w:rFonts w:hint="eastAsia" w:ascii="仿宋_GB2312" w:eastAsia="仿宋_GB2312" w:cs="仿宋_GB2312"/>
          <w:color w:val="000000"/>
          <w:kern w:val="0"/>
          <w:sz w:val="32"/>
          <w:szCs w:val="32"/>
          <w:shd w:val="clear" w:color="auto" w:fill="FFFFFF"/>
          <w:lang w:val="en-US" w:eastAsia="zh-CN"/>
        </w:rPr>
        <w:t>16.55</w:t>
      </w:r>
      <w:r>
        <w:rPr>
          <w:rFonts w:hint="eastAsia" w:ascii="仿宋_GB2312" w:eastAsia="仿宋_GB2312" w:cs="仿宋_GB2312"/>
          <w:color w:val="000000"/>
          <w:kern w:val="0"/>
          <w:sz w:val="32"/>
          <w:szCs w:val="32"/>
          <w:shd w:val="clear" w:color="auto" w:fill="FFFFFF"/>
        </w:rPr>
        <w:t>万元；按支出性质分类，基本支出</w:t>
      </w:r>
      <w:r>
        <w:rPr>
          <w:rFonts w:hint="eastAsia" w:ascii="仿宋_GB2312" w:eastAsia="仿宋_GB2312" w:cs="仿宋_GB2312"/>
          <w:color w:val="000000"/>
          <w:kern w:val="0"/>
          <w:sz w:val="32"/>
          <w:szCs w:val="32"/>
          <w:shd w:val="clear" w:color="auto" w:fill="FFFFFF"/>
          <w:lang w:val="en-US" w:eastAsia="zh-CN"/>
        </w:rPr>
        <w:t>218.09</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、项目支出</w:t>
      </w:r>
      <w:r>
        <w:rPr>
          <w:rFonts w:hint="eastAsia" w:ascii="仿宋_GB2312" w:eastAsia="仿宋_GB2312" w:cs="仿宋_GB2312"/>
          <w:color w:val="000000"/>
          <w:kern w:val="0"/>
          <w:sz w:val="32"/>
          <w:szCs w:val="32"/>
          <w:shd w:val="clear" w:color="auto" w:fill="FFFFFF"/>
          <w:lang w:val="en-US" w:eastAsia="zh-CN"/>
        </w:rPr>
        <w:t>129.97万元</w:t>
      </w:r>
      <w:r>
        <w:rPr>
          <w:rFonts w:hint="eastAsia" w:ascii="仿宋_GB2312" w:eastAsia="仿宋_GB2312" w:cs="仿宋_GB2312"/>
          <w:color w:val="000000"/>
          <w:kern w:val="0"/>
          <w:sz w:val="32"/>
          <w:szCs w:val="32"/>
          <w:shd w:val="clear" w:color="auto" w:fill="FFFFFF"/>
        </w:rPr>
        <w:t>；按经济分类，工资福利支出</w:t>
      </w:r>
      <w:r>
        <w:rPr>
          <w:rFonts w:hint="eastAsia" w:ascii="仿宋_GB2312" w:eastAsia="仿宋_GB2312" w:cs="仿宋_GB2312"/>
          <w:color w:val="000000"/>
          <w:kern w:val="0"/>
          <w:sz w:val="32"/>
          <w:szCs w:val="32"/>
          <w:shd w:val="clear" w:color="auto" w:fill="FFFFFF"/>
          <w:lang w:val="en-US" w:eastAsia="zh-CN"/>
        </w:rPr>
        <w:t>201.29</w:t>
      </w:r>
      <w:r>
        <w:rPr>
          <w:rFonts w:hint="eastAsia" w:ascii="仿宋_GB2312" w:eastAsia="仿宋_GB2312" w:cs="仿宋_GB2312"/>
          <w:color w:val="000000"/>
          <w:kern w:val="0"/>
          <w:sz w:val="32"/>
          <w:szCs w:val="32"/>
          <w:shd w:val="clear" w:color="auto" w:fill="FFFFFF"/>
        </w:rPr>
        <w:t>万元，商品服务支出</w:t>
      </w:r>
      <w:r>
        <w:rPr>
          <w:rFonts w:hint="eastAsia" w:ascii="仿宋_GB2312" w:eastAsia="仿宋_GB2312" w:cs="仿宋_GB2312"/>
          <w:color w:val="000000"/>
          <w:kern w:val="0"/>
          <w:sz w:val="32"/>
          <w:szCs w:val="32"/>
          <w:shd w:val="clear" w:color="auto" w:fill="FFFFFF"/>
          <w:lang w:val="en-US" w:eastAsia="zh-CN"/>
        </w:rPr>
        <w:t>9.26</w:t>
      </w:r>
      <w:r>
        <w:rPr>
          <w:rFonts w:hint="eastAsia" w:ascii="仿宋_GB2312" w:eastAsia="仿宋_GB2312" w:cs="仿宋_GB2312"/>
          <w:color w:val="000000"/>
          <w:kern w:val="0"/>
          <w:sz w:val="32"/>
          <w:szCs w:val="32"/>
          <w:shd w:val="clear" w:color="auto" w:fill="FFFFFF"/>
        </w:rPr>
        <w:t>万元，个人及家庭补助支出</w:t>
      </w:r>
      <w:r>
        <w:rPr>
          <w:rFonts w:hint="eastAsia" w:ascii="仿宋_GB2312" w:eastAsia="仿宋_GB2312" w:cs="仿宋_GB2312"/>
          <w:color w:val="000000"/>
          <w:kern w:val="0"/>
          <w:sz w:val="32"/>
          <w:szCs w:val="32"/>
          <w:shd w:val="clear" w:color="auto" w:fill="FFFFFF"/>
          <w:lang w:val="en-US" w:eastAsia="zh-CN"/>
        </w:rPr>
        <w:t>7.54</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，资本性支出</w:t>
      </w:r>
      <w:r>
        <w:rPr>
          <w:rFonts w:hint="eastAsia" w:ascii="仿宋_GB2312" w:eastAsia="仿宋_GB2312" w:cs="仿宋_GB2312"/>
          <w:color w:val="000000"/>
          <w:kern w:val="0"/>
          <w:sz w:val="32"/>
          <w:szCs w:val="32"/>
          <w:shd w:val="clear" w:color="auto" w:fill="FFFFFF"/>
          <w:lang w:val="en-US" w:eastAsia="zh-CN"/>
        </w:rPr>
        <w:t>129.97万元</w:t>
      </w:r>
      <w:r>
        <w:rPr>
          <w:rFonts w:hint="eastAsia" w:ascii="仿宋_GB2312" w:eastAsia="仿宋_GB2312" w:cs="仿宋_GB2312"/>
          <w:color w:val="000000"/>
          <w:kern w:val="0"/>
          <w:sz w:val="32"/>
          <w:szCs w:val="32"/>
          <w:shd w:val="clear" w:color="auto" w:fill="FFFFFF"/>
        </w:rPr>
        <w:t>。</w:t>
      </w:r>
    </w:p>
    <w:p w14:paraId="381D54D7">
      <w:pPr>
        <w:widowControl/>
        <w:numPr>
          <w:ilvl w:val="0"/>
          <w:numId w:val="5"/>
        </w:numPr>
        <w:adjustRightInd w:val="0"/>
        <w:snapToGrid w:val="0"/>
        <w:spacing w:line="578" w:lineRule="exact"/>
        <w:ind w:left="0" w:firstLine="720"/>
        <w:contextualSpacing/>
        <w:jc w:val="left"/>
        <w:rPr>
          <w:rFonts w:hint="eastAsia" w:ascii="仿宋_GB2312" w:eastAsia="仿宋_GB2312" w:cs="仿宋_GB2312"/>
          <w:b/>
          <w:sz w:val="32"/>
          <w:szCs w:val="32"/>
        </w:rPr>
      </w:pPr>
      <w:r>
        <w:rPr>
          <w:rFonts w:hint="eastAsia" w:ascii="仿宋_GB2312" w:eastAsia="仿宋_GB2312" w:cs="仿宋_GB2312"/>
          <w:b/>
          <w:sz w:val="32"/>
          <w:szCs w:val="32"/>
        </w:rPr>
        <w:t>结余分配和结转结余情况</w:t>
      </w:r>
    </w:p>
    <w:p w14:paraId="5C6533B9">
      <w:pPr>
        <w:widowControl/>
        <w:adjustRightInd w:val="0"/>
        <w:snapToGrid w:val="0"/>
        <w:spacing w:line="578" w:lineRule="exact"/>
        <w:ind w:firstLine="640" w:firstLineChars="200"/>
        <w:contextualSpacing/>
        <w:jc w:val="left"/>
        <w:rPr>
          <w:rFonts w:ascii="仿宋_GB2312" w:eastAsia="仿宋_GB2312" w:cs="仿宋_GB2312"/>
          <w:color w:val="000000"/>
          <w:kern w:val="0"/>
          <w:sz w:val="32"/>
          <w:szCs w:val="32"/>
          <w:shd w:val="clear" w:color="auto" w:fill="FFFFFF"/>
          <w:lang w:val="en-US" w:eastAsia="zh-CN"/>
        </w:rPr>
      </w:pPr>
      <w:r>
        <w:rPr>
          <w:rFonts w:hint="eastAsia" w:ascii="仿宋_GB2312" w:eastAsia="仿宋_GB2312" w:cs="仿宋_GB2312"/>
          <w:color w:val="000000"/>
          <w:kern w:val="0"/>
          <w:sz w:val="32"/>
          <w:szCs w:val="32"/>
          <w:shd w:val="clear" w:color="auto" w:fill="FFFFFF"/>
          <w:lang w:val="en-US" w:eastAsia="zh-CN"/>
        </w:rPr>
        <w:t>2024年度茂县档案馆无决算报表结转结余情况。</w:t>
      </w:r>
    </w:p>
    <w:p w14:paraId="5F35A825">
      <w:pPr>
        <w:widowControl/>
        <w:adjustRightInd w:val="0"/>
        <w:snapToGrid w:val="0"/>
        <w:spacing w:line="578" w:lineRule="exact"/>
        <w:ind w:firstLine="643" w:firstLineChars="200"/>
        <w:contextualSpacing/>
        <w:jc w:val="left"/>
        <w:rPr>
          <w:rFonts w:hint="eastAsia" w:ascii="黑体" w:eastAsia="黑体" w:cs="黑体"/>
          <w:b/>
          <w:bCs/>
          <w:color w:val="000000"/>
          <w:kern w:val="0"/>
          <w:sz w:val="32"/>
          <w:szCs w:val="32"/>
          <w:shd w:val="clear" w:color="auto" w:fill="FFFFFF"/>
        </w:rPr>
      </w:pPr>
      <w:r>
        <w:rPr>
          <w:rFonts w:hint="eastAsia" w:ascii="黑体" w:eastAsia="黑体" w:cs="黑体"/>
          <w:b/>
          <w:bCs/>
          <w:color w:val="000000"/>
          <w:kern w:val="0"/>
          <w:sz w:val="32"/>
          <w:szCs w:val="32"/>
          <w:shd w:val="clear" w:color="auto" w:fill="FFFFFF"/>
        </w:rPr>
        <w:t>三、部门预算绩效分析</w:t>
      </w:r>
    </w:p>
    <w:p w14:paraId="4309909D">
      <w:pPr>
        <w:adjustRightInd w:val="0"/>
        <w:snapToGrid w:val="0"/>
        <w:spacing w:line="578" w:lineRule="exact"/>
        <w:ind w:firstLine="643" w:firstLineChars="200"/>
        <w:contextualSpacing/>
        <w:jc w:val="left"/>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（一）部门预算总体绩效分析</w:t>
      </w:r>
    </w:p>
    <w:p w14:paraId="4740E0F6">
      <w:pPr>
        <w:widowControl/>
        <w:adjustRightInd w:val="0"/>
        <w:snapToGrid w:val="0"/>
        <w:spacing w:line="578" w:lineRule="exact"/>
        <w:ind w:left="0" w:firstLine="640" w:firstLineChars="200"/>
        <w:contextualSpacing/>
        <w:jc w:val="left"/>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严格按照相关财务规定要求，加强财务管理。</w:t>
      </w: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lang w:eastAsia="zh-CN"/>
        </w:rPr>
        <w:t>在规定的时间之内报送绩效管理相关工作，报送资料齐全。</w:t>
      </w:r>
      <w:r>
        <w:rPr>
          <w:rFonts w:hint="eastAsia" w:ascii="仿宋_GB2312" w:eastAsia="仿宋_GB2312" w:cs="仿宋_GB2312"/>
          <w:b/>
          <w:bCs/>
          <w:sz w:val="32"/>
          <w:szCs w:val="32"/>
          <w:lang w:eastAsia="zh-CN"/>
        </w:rPr>
        <w:t>二是</w:t>
      </w:r>
      <w:r>
        <w:rPr>
          <w:rFonts w:hint="eastAsia" w:ascii="仿宋_GB2312" w:eastAsia="仿宋_GB2312" w:cs="仿宋_GB2312"/>
          <w:sz w:val="32"/>
          <w:szCs w:val="32"/>
          <w:lang w:eastAsia="zh-CN"/>
        </w:rPr>
        <w:t>在编制预算时，按时填报部门整体支出、项目支出绩效目标申报表。绩效目标申报表目标设置要合理，要符合项目特点，描述清晰明确，要填报新增重大政策、重大项目目标申报表。</w:t>
      </w:r>
      <w:r>
        <w:rPr>
          <w:rFonts w:hint="eastAsia" w:ascii="仿宋_GB2312" w:eastAsia="仿宋_GB2312" w:cs="仿宋_GB2312"/>
          <w:b/>
          <w:bCs/>
          <w:sz w:val="32"/>
          <w:szCs w:val="32"/>
          <w:lang w:eastAsia="zh-CN"/>
        </w:rPr>
        <w:t>三是</w:t>
      </w:r>
      <w:r>
        <w:rPr>
          <w:rFonts w:hint="eastAsia" w:ascii="仿宋_GB2312" w:eastAsia="仿宋_GB2312" w:cs="仿宋_GB2312"/>
          <w:sz w:val="32"/>
          <w:szCs w:val="32"/>
          <w:lang w:eastAsia="zh-CN"/>
        </w:rPr>
        <w:t>对预算执行中进行有效绩效跟踪监控。</w:t>
      </w:r>
      <w:r>
        <w:rPr>
          <w:rFonts w:hint="eastAsia" w:ascii="仿宋_GB2312" w:eastAsia="仿宋_GB2312" w:cs="仿宋_GB2312"/>
          <w:b/>
          <w:bCs/>
          <w:sz w:val="32"/>
          <w:szCs w:val="32"/>
          <w:lang w:eastAsia="zh-CN"/>
        </w:rPr>
        <w:t>四是</w:t>
      </w:r>
      <w:r>
        <w:rPr>
          <w:rFonts w:hint="eastAsia" w:ascii="仿宋_GB2312" w:eastAsia="仿宋_GB2312" w:cs="仿宋_GB2312"/>
          <w:sz w:val="32"/>
          <w:szCs w:val="32"/>
          <w:lang w:eastAsia="zh-CN"/>
        </w:rPr>
        <w:t>认真开展项目支出、财政政策、部门整体支出事后绩效自评工作。</w:t>
      </w:r>
      <w:r>
        <w:rPr>
          <w:rFonts w:hint="eastAsia" w:ascii="仿宋_GB2312" w:eastAsia="仿宋_GB2312" w:cs="仿宋_GB2312"/>
          <w:b/>
          <w:bCs/>
          <w:sz w:val="32"/>
          <w:szCs w:val="32"/>
          <w:lang w:eastAsia="zh-CN"/>
        </w:rPr>
        <w:t>五是</w:t>
      </w:r>
      <w:r>
        <w:rPr>
          <w:rFonts w:hint="eastAsia" w:ascii="仿宋_GB2312" w:eastAsia="仿宋_GB2312" w:cs="仿宋_GB2312"/>
          <w:sz w:val="32"/>
          <w:szCs w:val="32"/>
          <w:lang w:eastAsia="zh-CN"/>
        </w:rPr>
        <w:t>及时整改绩效评价存在的问题，并及时报送整改报告。</w:t>
      </w:r>
    </w:p>
    <w:p w14:paraId="6FE0A855">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lang w:val="zh-CN" w:eastAsia="zh-CN"/>
        </w:rPr>
        <w:t>履职效能。</w:t>
      </w:r>
      <w:r>
        <w:rPr>
          <w:rFonts w:hint="eastAsia" w:ascii="仿宋_GB2312" w:eastAsia="仿宋_GB2312" w:cs="仿宋_GB2312"/>
          <w:sz w:val="32"/>
          <w:szCs w:val="32"/>
          <w:lang w:val="zh-CN" w:eastAsia="zh-CN"/>
        </w:rPr>
        <w:t>针对部门整体绩效目标中选定3-5个核心职能目标，我们进行了全面的绩效分析。通过对比实际完成情况与预设目标，整体目标完成率达到</w:t>
      </w:r>
      <w:r>
        <w:rPr>
          <w:rFonts w:hint="eastAsia" w:ascii="仿宋_GB2312" w:eastAsia="仿宋_GB2312" w:cs="仿宋_GB2312"/>
          <w:sz w:val="32"/>
          <w:szCs w:val="32"/>
          <w:lang w:val="en-US" w:eastAsia="zh-CN"/>
        </w:rPr>
        <w:t>100%，超过预期目标。</w:t>
      </w:r>
    </w:p>
    <w:p w14:paraId="5B470F0A">
      <w:pPr>
        <w:widowControl/>
        <w:adjustRightInd w:val="0"/>
        <w:snapToGrid w:val="0"/>
        <w:spacing w:line="578" w:lineRule="exact"/>
        <w:ind w:left="0" w:firstLine="643" w:firstLineChars="200"/>
        <w:contextualSpacing/>
        <w:jc w:val="left"/>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eastAsia="zh-CN"/>
        </w:rPr>
        <w:t>预算管理。</w:t>
      </w:r>
      <w:r>
        <w:rPr>
          <w:rFonts w:hint="eastAsia" w:ascii="仿宋_GB2312" w:eastAsia="仿宋_GB2312" w:cs="仿宋_GB2312"/>
          <w:sz w:val="32"/>
          <w:szCs w:val="32"/>
          <w:lang w:val="zh-CN" w:eastAsia="zh-CN"/>
        </w:rPr>
        <w:t>在预算管理方面，我们重点分析了预算编制质量，预算编制质量得到了显著提升、支出执行进度符合预期，预算年终结余控制在合理范围内，未出现大额结余或超支情况。同时，我们严格执行一般性支出控制政策，有效降低了非必要支出</w:t>
      </w:r>
      <w:r>
        <w:rPr>
          <w:rFonts w:hint="eastAsia" w:ascii="仿宋_GB2312" w:eastAsia="仿宋_GB2312" w:cs="仿宋_GB2312"/>
          <w:color w:val="000000"/>
          <w:kern w:val="0"/>
          <w:sz w:val="32"/>
          <w:szCs w:val="32"/>
          <w:shd w:val="clear" w:color="auto" w:fill="FFFFFF"/>
          <w:lang w:val="zh-CN"/>
        </w:rPr>
        <w:t>。</w:t>
      </w:r>
    </w:p>
    <w:p w14:paraId="3E696840">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3.</w:t>
      </w:r>
      <w:r>
        <w:rPr>
          <w:rFonts w:hint="eastAsia" w:ascii="仿宋_GB2312" w:eastAsia="仿宋_GB2312" w:cs="仿宋_GB2312"/>
          <w:b/>
          <w:bCs/>
          <w:sz w:val="32"/>
          <w:szCs w:val="32"/>
          <w:lang w:val="zh-CN" w:eastAsia="zh-CN"/>
        </w:rPr>
        <w:t>财务管理。</w:t>
      </w:r>
      <w:r>
        <w:rPr>
          <w:rFonts w:hint="eastAsia" w:ascii="仿宋_GB2312" w:eastAsia="仿宋_GB2312" w:cs="仿宋_GB2312"/>
          <w:sz w:val="32"/>
          <w:szCs w:val="32"/>
          <w:lang w:val="zh-CN" w:eastAsia="zh-CN"/>
        </w:rPr>
        <w:t>围绕财务管理制度、财务岗位设置以及资金使用等方面进行了规范，并严格执行了绩效分析。通过这一系列措施，确保了财务管理的科学性和规范性。财务管理制度的完善和绩效分析的实施，有助于提升资金使用的效率和透明度，减少不必要的支出，确保财务健康。</w:t>
      </w:r>
    </w:p>
    <w:p w14:paraId="4FDB3E7E">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eastAsia="zh-CN"/>
        </w:rPr>
        <w:t>资产管理。</w:t>
      </w:r>
      <w:r>
        <w:rPr>
          <w:rFonts w:hint="eastAsia" w:ascii="仿宋_GB2312" w:eastAsia="仿宋_GB2312" w:cs="仿宋_GB2312"/>
          <w:sz w:val="32"/>
          <w:szCs w:val="32"/>
          <w:lang w:val="zh-CN" w:eastAsia="zh-CN"/>
        </w:rPr>
        <w:t>围绕资产变化率、资产利用率和资产盘活率进行了绩效分析。这些指标直接关联到资产的运营效率和价值实现。通过绩效分析，能够及时了解资产的使用情况和价值变化，从而采取相应措施提高资产利用率和盘活率。这有助于优化资产配置，提升整体资产价值。</w:t>
      </w:r>
    </w:p>
    <w:p w14:paraId="5D0A887B">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highlight w:val="none"/>
          <w:lang w:eastAsia="zh-CN"/>
        </w:rPr>
      </w:pPr>
      <w:r>
        <w:rPr>
          <w:rFonts w:hint="eastAsia" w:ascii="仿宋_GB2312" w:eastAsia="仿宋_GB2312" w:cs="仿宋_GB2312"/>
          <w:b/>
          <w:bCs/>
          <w:sz w:val="32"/>
          <w:szCs w:val="32"/>
          <w:highlight w:val="none"/>
          <w:lang w:val="en-US" w:eastAsia="zh-CN"/>
        </w:rPr>
        <w:t>5.</w:t>
      </w:r>
      <w:r>
        <w:rPr>
          <w:rFonts w:hint="eastAsia" w:ascii="仿宋_GB2312" w:eastAsia="仿宋_GB2312" w:cs="仿宋_GB2312"/>
          <w:b/>
          <w:bCs/>
          <w:sz w:val="32"/>
          <w:szCs w:val="32"/>
          <w:highlight w:val="none"/>
          <w:lang w:val="zh-CN" w:eastAsia="zh-CN"/>
        </w:rPr>
        <w:t>采购管理。</w:t>
      </w:r>
      <w:r>
        <w:rPr>
          <w:rFonts w:hint="eastAsia" w:ascii="仿宋_GB2312" w:eastAsia="仿宋_GB2312" w:cs="仿宋_GB2312"/>
          <w:sz w:val="32"/>
          <w:szCs w:val="32"/>
          <w:highlight w:val="none"/>
          <w:lang w:val="zh-CN" w:eastAsia="zh-CN"/>
        </w:rPr>
        <w:t>提高效率和节约资金，通过整合采购项目线上、线下流转审核程序，优化采购流程，实现全流程电子化，加强采购预算编制、采购活动组织、政策功能落实等内容的审核，严格防范采购项目增加隐形债务风险。此外，通过开展专项整治，全面提升采购治理水平，规范采购代理机构行为，强化采购监督管理水平，确保采购活动的透明度和效率。</w:t>
      </w:r>
    </w:p>
    <w:p w14:paraId="4D1A035A">
      <w:pPr>
        <w:adjustRightInd w:val="0"/>
        <w:snapToGrid w:val="0"/>
        <w:spacing w:line="578" w:lineRule="exact"/>
        <w:ind w:left="0" w:firstLine="643" w:firstLineChars="200"/>
        <w:contextualSpacing/>
        <w:jc w:val="left"/>
        <w:rPr>
          <w:rFonts w:hint="eastAsia" w:ascii="仿宋_GB2312" w:eastAsia="仿宋_GB2312" w:cs="仿宋_GB2312"/>
          <w:sz w:val="32"/>
          <w:szCs w:val="32"/>
          <w:lang w:val="en-US" w:eastAsia="zh-CN"/>
        </w:rPr>
      </w:pPr>
      <w:r>
        <w:rPr>
          <w:rFonts w:hint="eastAsia" w:ascii="仿宋_GB2312" w:eastAsia="仿宋_GB2312" w:cs="仿宋_GB2312"/>
          <w:b/>
          <w:bCs/>
          <w:color w:val="000000"/>
          <w:kern w:val="0"/>
          <w:sz w:val="32"/>
          <w:szCs w:val="32"/>
          <w:shd w:val="clear" w:color="auto" w:fill="FFFFFF"/>
          <w:lang w:val="zh-CN"/>
        </w:rPr>
        <w:t>（二）部门预算项目绩效分析</w:t>
      </w:r>
    </w:p>
    <w:p w14:paraId="7600FF38">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highlight w:val="none"/>
          <w:shd w:val="clear" w:color="auto" w:fill="FFFFFF"/>
          <w:lang w:val="zh-CN"/>
        </w:rPr>
      </w:pPr>
      <w:r>
        <w:rPr>
          <w:rFonts w:hint="eastAsia" w:ascii="仿宋_GB2312" w:eastAsia="仿宋_GB2312" w:cs="仿宋_GB2312"/>
          <w:b/>
          <w:bCs/>
          <w:color w:val="000000"/>
          <w:kern w:val="0"/>
          <w:sz w:val="32"/>
          <w:szCs w:val="32"/>
          <w:highlight w:val="none"/>
          <w:shd w:val="clear" w:color="auto" w:fill="FFFFFF"/>
        </w:rPr>
        <w:t>常年项目绩效分析。</w:t>
      </w:r>
      <w:r>
        <w:rPr>
          <w:rFonts w:hint="eastAsia" w:ascii="仿宋_GB2312" w:eastAsia="仿宋_GB2312" w:cs="仿宋_GB2312"/>
          <w:color w:val="000000"/>
          <w:kern w:val="0"/>
          <w:sz w:val="32"/>
          <w:szCs w:val="32"/>
          <w:highlight w:val="none"/>
          <w:shd w:val="clear" w:color="auto" w:fill="FFFFFF"/>
          <w:lang w:val="zh-CN"/>
        </w:rPr>
        <w:t>该类项目总数</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个，涉及预算总金额</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万元，其中：预算结余率大于</w:t>
      </w:r>
      <w:r>
        <w:rPr>
          <w:rFonts w:hint="eastAsia" w:ascii="仿宋_GB2312" w:eastAsia="仿宋_GB2312" w:cs="仿宋_GB2312"/>
          <w:color w:val="000000"/>
          <w:kern w:val="0"/>
          <w:sz w:val="32"/>
          <w:szCs w:val="32"/>
          <w:highlight w:val="none"/>
          <w:shd w:val="clear" w:color="auto" w:fill="FFFFFF"/>
        </w:rPr>
        <w:t>10%</w:t>
      </w:r>
      <w:r>
        <w:rPr>
          <w:rFonts w:hint="eastAsia" w:ascii="仿宋_GB2312" w:eastAsia="仿宋_GB2312" w:cs="仿宋_GB2312"/>
          <w:color w:val="000000"/>
          <w:kern w:val="0"/>
          <w:sz w:val="32"/>
          <w:szCs w:val="32"/>
          <w:highlight w:val="none"/>
          <w:shd w:val="clear" w:color="auto" w:fill="FFFFFF"/>
          <w:lang w:val="zh-CN"/>
        </w:rPr>
        <w:t>的项目共计</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w:t>
      </w:r>
    </w:p>
    <w:p w14:paraId="2AD4406F">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highlight w:val="none"/>
          <w:shd w:val="clear" w:color="auto" w:fill="FFFFFF"/>
          <w:lang w:val="en-US" w:eastAsia="zh-CN"/>
        </w:rPr>
      </w:pPr>
      <w:r>
        <w:rPr>
          <w:rFonts w:hint="eastAsia" w:ascii="仿宋_GB2312" w:eastAsia="仿宋_GB2312" w:cs="仿宋_GB2312"/>
          <w:b/>
          <w:bCs/>
          <w:color w:val="000000"/>
          <w:kern w:val="0"/>
          <w:sz w:val="32"/>
          <w:szCs w:val="32"/>
          <w:highlight w:val="none"/>
          <w:shd w:val="clear" w:color="auto" w:fill="FFFFFF"/>
        </w:rPr>
        <w:t>阶段（一次性）项目绩效分析。</w:t>
      </w:r>
      <w:r>
        <w:rPr>
          <w:rFonts w:hint="eastAsia" w:ascii="仿宋_GB2312" w:eastAsia="仿宋_GB2312" w:cs="仿宋_GB2312"/>
          <w:color w:val="000000"/>
          <w:kern w:val="0"/>
          <w:sz w:val="32"/>
          <w:szCs w:val="32"/>
          <w:highlight w:val="none"/>
          <w:shd w:val="clear" w:color="auto" w:fill="FFFFFF"/>
          <w:lang w:val="zh-CN"/>
        </w:rPr>
        <w:t>该类项目总数</w:t>
      </w:r>
      <w:r>
        <w:rPr>
          <w:rFonts w:hint="eastAsia" w:ascii="仿宋_GB2312" w:eastAsia="仿宋_GB2312" w:cs="仿宋_GB2312"/>
          <w:color w:val="000000"/>
          <w:kern w:val="0"/>
          <w:sz w:val="32"/>
          <w:szCs w:val="32"/>
          <w:highlight w:val="none"/>
          <w:shd w:val="clear" w:color="auto" w:fill="FFFFFF"/>
          <w:lang w:val="en-US" w:eastAsia="zh-CN"/>
        </w:rPr>
        <w:t>2</w:t>
      </w:r>
      <w:r>
        <w:rPr>
          <w:rFonts w:hint="eastAsia" w:ascii="仿宋_GB2312" w:eastAsia="仿宋_GB2312" w:cs="仿宋_GB2312"/>
          <w:color w:val="000000"/>
          <w:kern w:val="0"/>
          <w:sz w:val="32"/>
          <w:szCs w:val="32"/>
          <w:highlight w:val="none"/>
          <w:shd w:val="clear" w:color="auto" w:fill="FFFFFF"/>
          <w:lang w:val="zh-CN"/>
        </w:rPr>
        <w:t>个，涉及预算总金额</w:t>
      </w:r>
      <w:r>
        <w:rPr>
          <w:rFonts w:hint="eastAsia" w:ascii="仿宋_GB2312" w:eastAsia="仿宋_GB2312" w:cs="仿宋_GB2312"/>
          <w:color w:val="000000"/>
          <w:kern w:val="0"/>
          <w:sz w:val="32"/>
          <w:szCs w:val="32"/>
          <w:highlight w:val="none"/>
          <w:shd w:val="clear" w:color="auto" w:fill="FFFFFF"/>
          <w:lang w:val="en-US" w:eastAsia="zh-CN"/>
        </w:rPr>
        <w:t>129.97</w:t>
      </w:r>
      <w:r>
        <w:rPr>
          <w:rFonts w:hint="eastAsia" w:ascii="仿宋_GB2312" w:eastAsia="仿宋_GB2312" w:cs="仿宋_GB2312"/>
          <w:color w:val="000000"/>
          <w:kern w:val="0"/>
          <w:sz w:val="32"/>
          <w:szCs w:val="32"/>
          <w:highlight w:val="none"/>
          <w:shd w:val="clear" w:color="auto" w:fill="FFFFFF"/>
          <w:lang w:val="zh-CN"/>
        </w:rPr>
        <w:t>万元，1—1</w:t>
      </w:r>
      <w:r>
        <w:rPr>
          <w:rFonts w:hint="eastAsia" w:ascii="仿宋_GB2312" w:eastAsia="仿宋_GB2312" w:cs="仿宋_GB2312"/>
          <w:color w:val="000000"/>
          <w:kern w:val="0"/>
          <w:sz w:val="32"/>
          <w:szCs w:val="32"/>
          <w:highlight w:val="none"/>
          <w:shd w:val="clear" w:color="auto" w:fill="FFFFFF"/>
        </w:rPr>
        <w:t>2</w:t>
      </w:r>
      <w:r>
        <w:rPr>
          <w:rFonts w:hint="eastAsia" w:ascii="仿宋_GB2312" w:eastAsia="仿宋_GB2312" w:cs="仿宋_GB2312"/>
          <w:color w:val="000000"/>
          <w:kern w:val="0"/>
          <w:sz w:val="32"/>
          <w:szCs w:val="32"/>
          <w:highlight w:val="none"/>
          <w:shd w:val="clear" w:color="auto" w:fill="FFFFFF"/>
          <w:lang w:val="zh-CN"/>
        </w:rPr>
        <w:t>月预算执行总体进度为</w:t>
      </w:r>
      <w:r>
        <w:rPr>
          <w:rFonts w:hint="eastAsia" w:ascii="仿宋_GB2312" w:eastAsia="仿宋_GB2312" w:cs="仿宋_GB2312"/>
          <w:color w:val="000000"/>
          <w:kern w:val="0"/>
          <w:sz w:val="32"/>
          <w:szCs w:val="32"/>
          <w:highlight w:val="none"/>
          <w:shd w:val="clear" w:color="auto" w:fill="FFFFFF"/>
          <w:lang w:val="en-US" w:eastAsia="zh-CN"/>
        </w:rPr>
        <w:t>100</w:t>
      </w:r>
      <w:r>
        <w:rPr>
          <w:rFonts w:hint="eastAsia" w:ascii="仿宋_GB2312" w:eastAsia="仿宋_GB2312" w:cs="仿宋_GB2312"/>
          <w:color w:val="000000"/>
          <w:kern w:val="0"/>
          <w:sz w:val="32"/>
          <w:szCs w:val="32"/>
          <w:highlight w:val="none"/>
          <w:shd w:val="clear" w:color="auto" w:fill="FFFFFF"/>
        </w:rPr>
        <w:t xml:space="preserve"> </w:t>
      </w:r>
      <w:r>
        <w:rPr>
          <w:rFonts w:hint="eastAsia" w:ascii="仿宋_GB2312" w:eastAsia="仿宋_GB2312" w:cs="仿宋_GB2312"/>
          <w:color w:val="000000"/>
          <w:kern w:val="0"/>
          <w:sz w:val="32"/>
          <w:szCs w:val="32"/>
          <w:highlight w:val="none"/>
          <w:shd w:val="clear" w:color="auto" w:fill="FFFFFF"/>
          <w:lang w:val="zh-CN"/>
        </w:rPr>
        <w:t>%，其中：预算结余率大于</w:t>
      </w:r>
      <w:r>
        <w:rPr>
          <w:rFonts w:hint="eastAsia" w:ascii="仿宋_GB2312" w:eastAsia="仿宋_GB2312" w:cs="仿宋_GB2312"/>
          <w:color w:val="000000"/>
          <w:kern w:val="0"/>
          <w:sz w:val="32"/>
          <w:szCs w:val="32"/>
          <w:highlight w:val="none"/>
          <w:shd w:val="clear" w:color="auto" w:fill="FFFFFF"/>
        </w:rPr>
        <w:t>10%</w:t>
      </w:r>
      <w:r>
        <w:rPr>
          <w:rFonts w:hint="eastAsia" w:ascii="仿宋_GB2312" w:eastAsia="仿宋_GB2312" w:cs="仿宋_GB2312"/>
          <w:color w:val="000000"/>
          <w:kern w:val="0"/>
          <w:sz w:val="32"/>
          <w:szCs w:val="32"/>
          <w:highlight w:val="none"/>
          <w:shd w:val="clear" w:color="auto" w:fill="FFFFFF"/>
          <w:lang w:val="zh-CN"/>
        </w:rPr>
        <w:t>的项目共计</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w:t>
      </w:r>
    </w:p>
    <w:p w14:paraId="51FC1971">
      <w:pPr>
        <w:adjustRightInd w:val="0"/>
        <w:snapToGrid w:val="0"/>
        <w:spacing w:line="578" w:lineRule="exact"/>
        <w:ind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lang w:val="zh-CN" w:eastAsia="zh-CN"/>
        </w:rPr>
        <w:t>项目决策。</w:t>
      </w:r>
      <w:r>
        <w:rPr>
          <w:rFonts w:hint="eastAsia" w:ascii="仿宋_GB2312" w:eastAsia="仿宋_GB2312" w:cs="仿宋_GB2312"/>
          <w:sz w:val="32"/>
          <w:szCs w:val="32"/>
          <w:lang w:val="zh-CN" w:eastAsia="zh-CN"/>
        </w:rPr>
        <w:t>在项目启动之前，通过一系列科学、合理的规划来确定项目的可行性和必要性。决策程序市场调研、风险评估、资源评估、技术可行性分析等，目标设置具体、可衡量、可达成、相关性强、时限明确。这些目标将成为项目执行过程中的指导方向，也是后续绩效评估的基准。一旦项目决策通过，项目将被正式纳入管理系统中。进行初步的绩效分析，以评估项目预期成果与资源投入之间的匹配度，以及项目可能带来的长期效益。有助于进一步细化项目计划，确保项目资源得到合理分配，并为后续的项目执行和监控奠定基础。</w:t>
      </w:r>
    </w:p>
    <w:p w14:paraId="250840A6">
      <w:pPr>
        <w:adjustRightInd w:val="0"/>
        <w:snapToGrid w:val="0"/>
        <w:spacing w:line="578" w:lineRule="exact"/>
        <w:ind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2.项目执行</w:t>
      </w:r>
      <w:r>
        <w:rPr>
          <w:rFonts w:hint="eastAsia" w:ascii="仿宋_GB2312" w:eastAsia="仿宋_GB2312" w:cs="仿宋_GB2312"/>
          <w:b/>
          <w:bCs/>
          <w:sz w:val="32"/>
          <w:szCs w:val="32"/>
          <w:lang w:val="zh-CN" w:eastAsia="zh-CN"/>
        </w:rPr>
        <w:t>。一是</w:t>
      </w:r>
      <w:r>
        <w:rPr>
          <w:rFonts w:hint="eastAsia" w:ascii="仿宋_GB2312" w:eastAsia="仿宋_GB2312" w:cs="仿宋_GB2312"/>
          <w:sz w:val="32"/>
          <w:szCs w:val="32"/>
          <w:lang w:val="zh-CN" w:eastAsia="zh-CN"/>
        </w:rPr>
        <w:t>项目启动之初，基于详细的项目计划制定科学合理的资金预算，明确各项开支的预期额度及时间安排。预算编制完成后，经过严格的审批流程，确保预算的合理性和可行性。</w:t>
      </w:r>
      <w:r>
        <w:rPr>
          <w:rFonts w:hint="eastAsia" w:ascii="仿宋_GB2312" w:eastAsia="仿宋_GB2312" w:cs="仿宋_GB2312"/>
          <w:b/>
          <w:bCs/>
          <w:sz w:val="32"/>
          <w:szCs w:val="32"/>
          <w:lang w:val="zh-CN" w:eastAsia="zh-CN"/>
        </w:rPr>
        <w:t>二是</w:t>
      </w:r>
      <w:r>
        <w:rPr>
          <w:rFonts w:hint="eastAsia" w:ascii="仿宋_GB2312" w:eastAsia="仿宋_GB2312" w:cs="仿宋_GB2312"/>
          <w:sz w:val="32"/>
          <w:szCs w:val="32"/>
          <w:lang w:val="zh-CN" w:eastAsia="zh-CN"/>
        </w:rPr>
        <w:t>项目实施过程中，建立有效的资金监控系统，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eastAsia="仿宋_GB2312" w:cs="仿宋_GB2312"/>
          <w:b/>
          <w:bCs/>
          <w:sz w:val="32"/>
          <w:szCs w:val="32"/>
          <w:lang w:val="zh-CN" w:eastAsia="zh-CN"/>
        </w:rPr>
        <w:t>三是</w:t>
      </w:r>
      <w:r>
        <w:rPr>
          <w:rFonts w:hint="eastAsia" w:ascii="仿宋_GB2312" w:eastAsia="仿宋_GB2312" w:cs="仿宋_GB2312"/>
          <w:sz w:val="32"/>
          <w:szCs w:val="32"/>
          <w:lang w:val="zh-CN" w:eastAsia="zh-CN"/>
        </w:rPr>
        <w:t>项目执行过程中建立完善的变更管理机制，明确变更申请、评估、审批及实施的流程确保项目有序进行。</w:t>
      </w:r>
    </w:p>
    <w:p w14:paraId="07632A59">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b/>
          <w:bCs/>
          <w:sz w:val="32"/>
          <w:szCs w:val="32"/>
          <w:lang w:val="en-US" w:eastAsia="zh-CN"/>
        </w:rPr>
        <w:t>3.</w:t>
      </w:r>
      <w:r>
        <w:rPr>
          <w:rFonts w:hint="eastAsia" w:ascii="仿宋_GB2312" w:eastAsia="仿宋_GB2312" w:cs="仿宋_GB2312"/>
          <w:b/>
          <w:bCs/>
          <w:sz w:val="32"/>
          <w:szCs w:val="32"/>
          <w:lang w:val="zh-CN" w:eastAsia="zh-CN"/>
        </w:rPr>
        <w:t>目标实现。</w:t>
      </w:r>
      <w:r>
        <w:rPr>
          <w:rFonts w:hint="eastAsia" w:ascii="仿宋_GB2312" w:eastAsia="仿宋_GB2312" w:cs="仿宋_GB2312"/>
          <w:sz w:val="32"/>
          <w:szCs w:val="32"/>
          <w:lang w:val="zh-CN" w:eastAsia="zh-CN"/>
        </w:rPr>
        <w:t>明确项目的总体目标及具体可量化的子目标。目标清晰、具体、可衡量并与项目愿景和组织战略紧密相连。明确的目标为项目执行提供方向，也为后续的绩效分析奠定了基础。在项目执行过程中，定期跟踪各项目标的完成情况。通过收集项目数据、进度报告，对比分析实际完成情况与计划目标的差距。当发现实际完成情况与计划目标存在偏差时，进行深入的目标偏离分析。</w:t>
      </w:r>
    </w:p>
    <w:p w14:paraId="04008C8C">
      <w:pPr>
        <w:widowControl/>
        <w:adjustRightInd w:val="0"/>
        <w:snapToGrid w:val="0"/>
        <w:spacing w:line="578" w:lineRule="exact"/>
        <w:ind w:firstLine="643" w:firstLineChars="200"/>
        <w:contextualSpacing/>
        <w:jc w:val="left"/>
        <w:rPr>
          <w:rFonts w:hint="eastAsia" w:ascii="仿宋_GB2312" w:eastAsia="仿宋_GB2312" w:cs="仿宋_GB2312"/>
          <w:b/>
          <w:bCs/>
          <w:sz w:val="32"/>
          <w:szCs w:val="32"/>
          <w:lang w:val="zh-CN"/>
        </w:rPr>
      </w:pPr>
      <w:r>
        <w:rPr>
          <w:rFonts w:hint="eastAsia" w:ascii="仿宋_GB2312" w:eastAsia="仿宋_GB2312" w:cs="仿宋_GB2312"/>
          <w:b/>
          <w:bCs/>
          <w:color w:val="000000"/>
          <w:kern w:val="0"/>
          <w:sz w:val="32"/>
          <w:szCs w:val="32"/>
          <w:shd w:val="clear" w:color="auto" w:fill="FFFFFF"/>
          <w:lang w:val="zh-CN"/>
        </w:rPr>
        <w:t>（三）</w:t>
      </w:r>
      <w:r>
        <w:rPr>
          <w:rFonts w:hint="eastAsia" w:ascii="仿宋_GB2312" w:eastAsia="仿宋_GB2312" w:cs="仿宋_GB2312"/>
          <w:b/>
          <w:bCs/>
          <w:sz w:val="32"/>
          <w:szCs w:val="32"/>
          <w:lang w:val="zh-CN"/>
        </w:rPr>
        <w:t>绩效结果应用情况</w:t>
      </w:r>
    </w:p>
    <w:p w14:paraId="5BAE1ABB">
      <w:pPr>
        <w:snapToGrid w:val="0"/>
        <w:spacing w:line="600" w:lineRule="exact"/>
        <w:ind w:left="0" w:firstLine="643" w:firstLineChars="200"/>
        <w:rPr>
          <w:rFonts w:hint="eastAsia" w:ascii="仿宋_GB2312" w:eastAsia="仿宋_GB2312" w:cs="仿宋_GB2312"/>
          <w:b/>
          <w:sz w:val="32"/>
          <w:szCs w:val="32"/>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lang w:eastAsia="zh-CN"/>
        </w:rPr>
        <w:t>绩效自评结果将作为以后年度</w:t>
      </w:r>
      <w:r>
        <w:rPr>
          <w:rFonts w:hint="eastAsia" w:ascii="仿宋_GB2312" w:eastAsia="仿宋_GB2312" w:cs="仿宋_GB2312"/>
          <w:sz w:val="32"/>
          <w:szCs w:val="32"/>
          <w:lang w:val="en-US" w:eastAsia="zh-CN"/>
        </w:rPr>
        <w:t>项目立项和经费支持的重要依据，也作为财政部门对单位项目预算的重要参考。</w:t>
      </w: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lang w:val="en-US" w:eastAsia="zh-CN"/>
        </w:rPr>
        <w:t>绩效自评结果公开将按照财政部门的统一要求，对绩效评价情况予以公开。</w:t>
      </w:r>
    </w:p>
    <w:p w14:paraId="5AC6949E">
      <w:pPr>
        <w:widowControl/>
        <w:adjustRightInd w:val="0"/>
        <w:snapToGrid w:val="0"/>
        <w:spacing w:line="578" w:lineRule="exact"/>
        <w:ind w:firstLine="640" w:firstLineChars="200"/>
        <w:contextualSpacing/>
        <w:jc w:val="left"/>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14:paraId="56D208CD">
      <w:pPr>
        <w:widowControl/>
        <w:adjustRightInd w:val="0"/>
        <w:snapToGrid w:val="0"/>
        <w:spacing w:line="576" w:lineRule="exact"/>
        <w:ind w:firstLine="643" w:firstLineChars="200"/>
        <w:contextualSpacing/>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b/>
          <w:bCs/>
          <w:color w:val="000000"/>
          <w:kern w:val="0"/>
          <w:sz w:val="32"/>
          <w:szCs w:val="32"/>
          <w:shd w:val="clear" w:color="auto" w:fill="FFFFFF"/>
          <w:lang w:val="zh-CN"/>
        </w:rPr>
        <w:t>（一）评价结论。</w:t>
      </w:r>
      <w:r>
        <w:rPr>
          <w:rFonts w:hint="eastAsia" w:ascii="仿宋_GB2312" w:eastAsia="仿宋_GB2312" w:cs="仿宋_GB2312"/>
          <w:sz w:val="32"/>
          <w:szCs w:val="32"/>
          <w:lang w:val="zh-CN" w:eastAsia="zh-CN"/>
        </w:rPr>
        <w:t>档案馆</w:t>
      </w:r>
      <w:r>
        <w:rPr>
          <w:rFonts w:hint="eastAsia" w:ascii="仿宋_GB2312" w:eastAsia="仿宋_GB2312" w:cs="仿宋_GB2312"/>
          <w:sz w:val="32"/>
          <w:szCs w:val="32"/>
          <w:lang w:val="en-US" w:eastAsia="zh-CN"/>
        </w:rPr>
        <w:t>认真做好年度财政资金的预算编制工作，在资金使用和管理方面，进一步强化资金统筹，优化结构，明确开支范围，细化资金用途，</w:t>
      </w:r>
      <w:r>
        <w:rPr>
          <w:rFonts w:hint="eastAsia" w:ascii="仿宋_GB2312" w:eastAsia="仿宋_GB2312" w:cs="仿宋_GB2312"/>
          <w:color w:val="000000"/>
          <w:kern w:val="0"/>
          <w:sz w:val="32"/>
          <w:szCs w:val="32"/>
          <w:shd w:val="clear" w:color="auto" w:fill="FFFFFF"/>
          <w:lang w:val="zh-CN"/>
        </w:rPr>
        <w:t>坚持为人民服务宗旨，提升档案服务功能；坚持以市场经济为导向，提升企业市场竞争力；坚持稳中求进的工作基调，推进档案馆综合改革发展，取得了较好的成效。</w:t>
      </w: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lang w:val="zh-CN"/>
        </w:rPr>
        <w:t>年茂县档案馆整体支出绩效评价自查自评结果良好</w:t>
      </w:r>
      <w:r>
        <w:rPr>
          <w:rFonts w:hint="eastAsia" w:ascii="仿宋_GB2312" w:eastAsia="仿宋_GB2312" w:cs="仿宋_GB2312"/>
          <w:color w:val="000000"/>
          <w:kern w:val="0"/>
          <w:sz w:val="32"/>
          <w:szCs w:val="32"/>
          <w:shd w:val="clear" w:color="auto" w:fill="FFFFFF"/>
          <w:lang w:val="en-US" w:eastAsia="zh-CN"/>
        </w:rPr>
        <w:t>。</w:t>
      </w:r>
      <w:r>
        <w:rPr>
          <w:rFonts w:hint="eastAsia" w:ascii="仿宋_GB2312" w:eastAsia="仿宋_GB2312" w:cs="仿宋_GB2312"/>
          <w:sz w:val="32"/>
          <w:szCs w:val="32"/>
          <w:lang w:val="en-US" w:eastAsia="zh-CN"/>
        </w:rPr>
        <w:t>整体上完成了年初设定的绩效目标，保障了单位的正常运转，降低了运行成本，促进了社会和谐稳定，充分发挥了财政资金的经济效益、社会效益。</w:t>
      </w:r>
    </w:p>
    <w:p w14:paraId="33576D03">
      <w:pPr>
        <w:widowControl/>
        <w:adjustRightInd w:val="0"/>
        <w:snapToGrid w:val="0"/>
        <w:spacing w:line="578" w:lineRule="exact"/>
        <w:ind w:firstLine="643" w:firstLineChars="200"/>
        <w:contextualSpacing/>
        <w:jc w:val="left"/>
        <w:rPr>
          <w:rFonts w:hint="eastAsia" w:ascii="仿宋_GB2312" w:eastAsia="仿宋_GB2312" w:cs="仿宋_GB2312"/>
          <w:w w:val="95"/>
          <w:kern w:val="0"/>
          <w:sz w:val="32"/>
          <w:szCs w:val="32"/>
        </w:rPr>
      </w:pPr>
      <w:r>
        <w:rPr>
          <w:rFonts w:hint="eastAsia" w:ascii="仿宋_GB2312" w:eastAsia="仿宋_GB2312" w:cs="仿宋_GB2312"/>
          <w:b/>
          <w:bCs/>
          <w:color w:val="000000"/>
          <w:kern w:val="0"/>
          <w:sz w:val="32"/>
          <w:szCs w:val="32"/>
          <w:shd w:val="clear" w:color="auto" w:fill="FFFFFF"/>
          <w:lang w:val="zh-CN"/>
        </w:rPr>
        <w:t>（二）存在问题。</w:t>
      </w:r>
      <w:r>
        <w:rPr>
          <w:rFonts w:hint="eastAsia" w:ascii="仿宋_GB2312" w:eastAsia="仿宋_GB2312" w:cs="仿宋_GB2312"/>
          <w:w w:val="95"/>
          <w:kern w:val="0"/>
          <w:sz w:val="32"/>
          <w:szCs w:val="32"/>
        </w:rPr>
        <w:t>预算绩效观念不深入，思想认识有误区。对预算绩效管理的认知不到位，存在“两轻两重”的惯性思维，重视资金分配而忽视资金使用效率。专业人员匮乏，规范管理有盲点。预算绩效管理工作需要具备专业素养和实战经验的人力资源，但</w:t>
      </w:r>
      <w:r>
        <w:rPr>
          <w:rFonts w:hint="eastAsia" w:ascii="仿宋_GB2312" w:eastAsia="仿宋_GB2312" w:cs="仿宋_GB2312"/>
          <w:w w:val="95"/>
          <w:kern w:val="0"/>
          <w:sz w:val="32"/>
          <w:szCs w:val="32"/>
          <w:lang w:eastAsia="zh-CN"/>
        </w:rPr>
        <w:t>我馆</w:t>
      </w:r>
      <w:r>
        <w:rPr>
          <w:rFonts w:hint="eastAsia" w:ascii="仿宋_GB2312" w:eastAsia="仿宋_GB2312" w:cs="仿宋_GB2312"/>
          <w:w w:val="95"/>
          <w:kern w:val="0"/>
          <w:sz w:val="32"/>
          <w:szCs w:val="32"/>
        </w:rPr>
        <w:t>专业人员的缺乏导致管理存在盲点。</w:t>
      </w:r>
    </w:p>
    <w:p w14:paraId="3E2F9F7C">
      <w:pPr>
        <w:spacing w:line="578" w:lineRule="exact"/>
        <w:ind w:firstLine="643" w:firstLineChars="200"/>
        <w:contextualSpacing/>
        <w:rPr>
          <w:rFonts w:hint="eastAsia" w:ascii="仿宋_GB2312" w:eastAsia="仿宋_GB2312" w:cs="仿宋_GB2312"/>
          <w:w w:val="95"/>
          <w:kern w:val="0"/>
          <w:sz w:val="32"/>
          <w:szCs w:val="32"/>
        </w:rPr>
      </w:pPr>
      <w:r>
        <w:rPr>
          <w:rFonts w:hint="eastAsia" w:ascii="仿宋_GB2312" w:eastAsia="仿宋_GB2312" w:cs="仿宋_GB2312"/>
          <w:b/>
          <w:bCs/>
          <w:color w:val="000000"/>
          <w:kern w:val="0"/>
          <w:sz w:val="32"/>
          <w:szCs w:val="32"/>
          <w:shd w:val="clear" w:color="auto" w:fill="FFFFFF"/>
          <w:lang w:val="zh-CN"/>
        </w:rPr>
        <w:t>（三）改进建议。</w:t>
      </w:r>
      <w:r>
        <w:rPr>
          <w:rFonts w:hint="eastAsia" w:ascii="仿宋_GB2312" w:eastAsia="仿宋_GB2312" w:cs="仿宋_GB2312"/>
          <w:w w:val="95"/>
          <w:kern w:val="0"/>
          <w:sz w:val="32"/>
          <w:szCs w:val="32"/>
        </w:rPr>
        <w:t>加强宣传教育，通过召开会议、举办业务讲座等多种形式，提高</w:t>
      </w:r>
      <w:r>
        <w:rPr>
          <w:rFonts w:hint="eastAsia" w:ascii="仿宋_GB2312" w:eastAsia="仿宋_GB2312" w:cs="仿宋_GB2312"/>
          <w:w w:val="95"/>
          <w:kern w:val="0"/>
          <w:sz w:val="32"/>
          <w:szCs w:val="32"/>
          <w:lang w:eastAsia="zh-CN"/>
        </w:rPr>
        <w:t>我馆</w:t>
      </w:r>
      <w:r>
        <w:rPr>
          <w:rFonts w:hint="eastAsia" w:ascii="仿宋_GB2312" w:eastAsia="仿宋_GB2312" w:cs="仿宋_GB2312"/>
          <w:w w:val="95"/>
          <w:kern w:val="0"/>
          <w:sz w:val="32"/>
          <w:szCs w:val="32"/>
        </w:rPr>
        <w:t>领导和财务人员</w:t>
      </w:r>
      <w:r>
        <w:rPr>
          <w:rFonts w:hint="eastAsia" w:ascii="仿宋_GB2312" w:eastAsia="仿宋_GB2312" w:cs="仿宋_GB2312"/>
          <w:w w:val="95"/>
          <w:kern w:val="0"/>
          <w:sz w:val="32"/>
          <w:szCs w:val="32"/>
          <w:lang w:eastAsia="zh-CN"/>
        </w:rPr>
        <w:t>、项目人员</w:t>
      </w:r>
      <w:r>
        <w:rPr>
          <w:rFonts w:hint="eastAsia" w:ascii="仿宋_GB2312" w:eastAsia="仿宋_GB2312" w:cs="仿宋_GB2312"/>
          <w:w w:val="95"/>
          <w:kern w:val="0"/>
          <w:sz w:val="32"/>
          <w:szCs w:val="32"/>
        </w:rPr>
        <w:t>的预算绩效管理意识，确保绩效理念深入人心。提升专业能力，通过培训和教育，提高预算单位财务人员</w:t>
      </w:r>
      <w:r>
        <w:rPr>
          <w:rFonts w:hint="eastAsia" w:ascii="仿宋_GB2312" w:eastAsia="仿宋_GB2312" w:cs="仿宋_GB2312"/>
          <w:w w:val="95"/>
          <w:kern w:val="0"/>
          <w:sz w:val="32"/>
          <w:szCs w:val="32"/>
          <w:lang w:eastAsia="zh-CN"/>
        </w:rPr>
        <w:t>和项目人员</w:t>
      </w:r>
      <w:r>
        <w:rPr>
          <w:rFonts w:hint="eastAsia" w:ascii="仿宋_GB2312" w:eastAsia="仿宋_GB2312" w:cs="仿宋_GB2312"/>
          <w:w w:val="95"/>
          <w:kern w:val="0"/>
          <w:sz w:val="32"/>
          <w:szCs w:val="32"/>
        </w:rPr>
        <w:t>的专业素养，确保管理工作的高效执行。</w:t>
      </w:r>
    </w:p>
    <w:p w14:paraId="2B8CC830">
      <w:pPr>
        <w:spacing w:line="578"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kern w:val="0"/>
          <w:sz w:val="32"/>
          <w:szCs w:val="32"/>
          <w:shd w:val="clear" w:color="auto" w:fill="FFFFFF"/>
        </w:rPr>
        <w:t>附表：1.</w:t>
      </w:r>
      <w:r>
        <w:rPr>
          <w:rFonts w:hint="eastAsia" w:ascii="仿宋_GB2312" w:eastAsia="仿宋_GB2312" w:cs="仿宋_GB2312"/>
          <w:sz w:val="32"/>
          <w:szCs w:val="32"/>
        </w:rPr>
        <w:t>部门预算绩效自评打分表</w:t>
      </w:r>
    </w:p>
    <w:p w14:paraId="24BE5DE7">
      <w:pPr>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sz w:val="32"/>
          <w:szCs w:val="32"/>
        </w:rPr>
        <w:t>2.</w:t>
      </w:r>
      <w:r>
        <w:rPr>
          <w:rFonts w:hint="eastAsia" w:ascii="仿宋_GB2312" w:eastAsia="仿宋_GB2312" w:cs="仿宋_GB2312"/>
          <w:color w:val="000000"/>
          <w:kern w:val="0"/>
          <w:sz w:val="32"/>
          <w:szCs w:val="32"/>
          <w:shd w:val="clear" w:color="auto" w:fill="FFFFFF"/>
        </w:rPr>
        <w:t>部门整体绩效目标完成情况自评表</w:t>
      </w:r>
    </w:p>
    <w:p w14:paraId="7D9CDEF4">
      <w:pPr>
        <w:spacing w:line="578" w:lineRule="exact"/>
        <w:ind w:firstLine="1600" w:firstLineChars="500"/>
        <w:rPr>
          <w:rFonts w:hint="eastAsia" w:ascii="仿宋_GB2312" w:eastAsia="仿宋_GB2312" w:cs="仿宋_GB2312"/>
          <w:sz w:val="32"/>
          <w:szCs w:val="32"/>
        </w:rPr>
      </w:pPr>
      <w:r>
        <w:rPr>
          <w:rFonts w:hint="eastAsia" w:ascii="仿宋_GB2312" w:eastAsia="仿宋_GB2312" w:cs="仿宋_GB2312"/>
          <w:color w:val="000000"/>
          <w:kern w:val="0"/>
          <w:sz w:val="32"/>
          <w:szCs w:val="32"/>
          <w:shd w:val="clear" w:color="auto" w:fill="FFFFFF"/>
        </w:rPr>
        <w:t>3.</w:t>
      </w:r>
      <w:r>
        <w:rPr>
          <w:rFonts w:hint="eastAsia" w:ascii="仿宋_GB2312" w:eastAsia="仿宋_GB2312" w:cs="仿宋_GB2312"/>
          <w:sz w:val="32"/>
          <w:szCs w:val="32"/>
        </w:rPr>
        <w:t>部门预算项目支出绩效评价表（2024年度）</w:t>
      </w:r>
    </w:p>
    <w:p w14:paraId="6EF5BCD3">
      <w:pPr>
        <w:keepNext w:val="0"/>
        <w:keepLines w:val="0"/>
        <w:pageBreakBefore w:val="0"/>
        <w:widowControl w:val="0"/>
        <w:kinsoku/>
        <w:wordWrap/>
        <w:overflowPunct/>
        <w:topLinePunct w:val="0"/>
        <w:autoSpaceDE/>
        <w:autoSpaceDN/>
        <w:bidi w:val="0"/>
        <w:adjustRightInd/>
        <w:snapToGrid/>
        <w:spacing w:line="0" w:lineRule="atLeast"/>
        <w:jc w:val="left"/>
        <w:rPr>
          <w:rFonts w:hint="eastAsia" w:ascii="仿宋_GB2312" w:eastAsia="仿宋_GB2312" w:cs="仿宋_GB2312"/>
        </w:rPr>
      </w:pPr>
      <w:r>
        <w:rPr>
          <w:color w:val="000000"/>
          <w:kern w:val="0"/>
          <w:szCs w:val="32"/>
          <w:shd w:val="clear" w:color="auto" w:fill="FFFFFF"/>
        </w:rPr>
        <w:br w:type="page"/>
      </w:r>
      <w:r>
        <w:rPr>
          <w:rFonts w:hint="eastAsia" w:ascii="仿宋_GB2312" w:eastAsia="仿宋_GB2312" w:cs="仿宋_GB2312"/>
        </w:rPr>
        <w:t>附表1</w:t>
      </w:r>
    </w:p>
    <w:p w14:paraId="4CD645A0">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_GB2312" w:eastAsia="仿宋_GB2312" w:cs="仿宋_GB2312"/>
          <w:color w:val="000000"/>
          <w:kern w:val="0"/>
          <w:sz w:val="44"/>
          <w:szCs w:val="44"/>
        </w:rPr>
      </w:pPr>
      <w:r>
        <w:rPr>
          <w:rFonts w:hint="eastAsia" w:ascii="仿宋_GB2312" w:eastAsia="仿宋_GB2312" w:cs="仿宋_GB2312"/>
          <w:color w:val="000000"/>
          <w:kern w:val="0"/>
          <w:sz w:val="44"/>
          <w:szCs w:val="44"/>
        </w:rPr>
        <w:t>部门预算绩效自评打分表</w:t>
      </w:r>
    </w:p>
    <w:tbl>
      <w:tblPr>
        <w:tblStyle w:val="22"/>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14:paraId="4AC6A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C91B4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DECB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710DCAAE">
            <w:pPr>
              <w:widowControl/>
              <w:spacing w:line="240" w:lineRule="exact"/>
              <w:jc w:val="center"/>
              <w:textAlignment w:val="center"/>
              <w:rPr>
                <w:rFonts w:hint="eastAsia" w:ascii="仿宋_GB2312" w:eastAsia="仿宋_GB2312" w:cs="仿宋_GB2312"/>
                <w:color w:val="000000"/>
                <w:kern w:val="0"/>
                <w:sz w:val="24"/>
              </w:rPr>
            </w:pPr>
            <w:r>
              <w:rPr>
                <w:rFonts w:hint="eastAsia" w:ascii="仿宋_GB2312" w:eastAsia="仿宋_GB2312" w:cs="仿宋_GB2312"/>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A3FF975">
            <w:pPr>
              <w:widowControl/>
              <w:spacing w:line="240" w:lineRule="exact"/>
              <w:jc w:val="center"/>
              <w:textAlignment w:val="center"/>
              <w:rPr>
                <w:rFonts w:hint="eastAsia" w:ascii="仿宋_GB2312" w:eastAsia="仿宋_GB2312" w:cs="仿宋_GB2312"/>
                <w:color w:val="000000"/>
                <w:kern w:val="0"/>
                <w:sz w:val="24"/>
              </w:rPr>
            </w:pPr>
            <w:r>
              <w:rPr>
                <w:rFonts w:hint="eastAsia" w:ascii="仿宋_GB2312" w:eastAsia="仿宋_GB2312" w:cs="仿宋_GB2312"/>
                <w:color w:val="000000"/>
                <w:kern w:val="0"/>
                <w:sz w:val="24"/>
              </w:rPr>
              <w:t>备注</w:t>
            </w:r>
          </w:p>
        </w:tc>
      </w:tr>
      <w:tr w14:paraId="16F7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532D3D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05F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DD8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7A80">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指标</w:t>
            </w:r>
            <w:r>
              <w:rPr>
                <w:rFonts w:hint="eastAsia" w:ascii="仿宋_GB2312" w:eastAsia="仿宋_GB2312" w:cs="仿宋_GB2312"/>
                <w:color w:val="000000"/>
                <w:kern w:val="0"/>
                <w:sz w:val="24"/>
              </w:rPr>
              <w:br w:type="textWrapping"/>
            </w:r>
            <w:r>
              <w:rPr>
                <w:rFonts w:hint="eastAsia" w:ascii="仿宋_GB2312" w:eastAsia="仿宋_GB2312" w:cs="仿宋_GB2312"/>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6072"/>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ACFC5B2"/>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FCCE1B8"/>
        </w:tc>
      </w:tr>
      <w:tr w14:paraId="35FC8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33744">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总体绩效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1A1F">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履职效能</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338E">
            <w:pPr>
              <w:widowControl/>
              <w:spacing w:line="240" w:lineRule="exact"/>
              <w:jc w:val="center"/>
              <w:textAlignment w:val="center"/>
              <w:rPr>
                <w:rFonts w:hint="eastAsia" w:ascii="仿宋_GB2312" w:eastAsia="仿宋_GB2312" w:cs="仿宋_GB2312"/>
                <w:lang w:eastAsia="zh-CN"/>
              </w:rPr>
            </w:pPr>
            <w:r>
              <w:rPr>
                <w:rFonts w:hint="eastAsia" w:ascii="仿宋_GB2312" w:eastAsia="仿宋_GB2312" w:cs="仿宋_GB2312"/>
                <w:color w:val="000000"/>
                <w:kern w:val="0"/>
                <w:sz w:val="18"/>
                <w:szCs w:val="18"/>
                <w:lang w:eastAsia="zh-CN"/>
              </w:rPr>
              <w:t>工作效率</w:t>
            </w:r>
            <w:r>
              <w:rPr>
                <w:rFonts w:hint="eastAsia" w:ascii="仿宋_GB2312" w:eastAsia="仿宋_GB2312" w:cs="仿宋_GB2312"/>
                <w:color w:val="000000"/>
                <w:kern w:val="0"/>
                <w:sz w:val="18"/>
                <w:szCs w:val="18"/>
              </w:rPr>
              <w:t>履职效果</w:t>
            </w:r>
            <w:r>
              <w:rPr>
                <w:rFonts w:hint="eastAsia" w:ascii="仿宋_GB2312" w:eastAsia="仿宋_GB2312" w:cs="仿宋_GB2312"/>
                <w:color w:val="000000"/>
                <w:kern w:val="0"/>
                <w:sz w:val="18"/>
                <w:szCs w:val="18"/>
                <w:lang w:eastAsia="zh-CN"/>
              </w:rPr>
              <w:t>工作质量履职效果创新能力履职效果责任意识履职效果知识技能履职效果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6C02F4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45F">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375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5069">
            <w:pPr>
              <w:widowControl/>
              <w:spacing w:line="240" w:lineRule="exact"/>
              <w:jc w:val="left"/>
              <w:textAlignment w:val="center"/>
              <w:rPr>
                <w:rFonts w:hint="eastAsia" w:ascii="仿宋_GB2312" w:eastAsia="仿宋_GB2312" w:cs="仿宋_GB2312"/>
                <w:color w:val="000000"/>
                <w:kern w:val="0"/>
                <w:sz w:val="24"/>
              </w:rPr>
            </w:pPr>
          </w:p>
        </w:tc>
      </w:tr>
      <w:tr w14:paraId="5738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DFA20"/>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FD5F8">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预算管理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327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9D7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745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439F">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B1FA">
            <w:pPr>
              <w:widowControl/>
              <w:spacing w:line="240" w:lineRule="exact"/>
              <w:jc w:val="left"/>
              <w:textAlignment w:val="center"/>
              <w:rPr>
                <w:rFonts w:hint="eastAsia" w:ascii="仿宋_GB2312" w:eastAsia="仿宋_GB2312" w:cs="仿宋_GB2312"/>
                <w:color w:val="000000"/>
                <w:kern w:val="0"/>
                <w:sz w:val="24"/>
              </w:rPr>
            </w:pPr>
          </w:p>
        </w:tc>
      </w:tr>
      <w:tr w14:paraId="7DE7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E31E3"/>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399B"/>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0FA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440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8CA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C33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9D40">
            <w:pPr>
              <w:widowControl/>
              <w:spacing w:line="240" w:lineRule="exact"/>
              <w:jc w:val="left"/>
              <w:textAlignment w:val="center"/>
              <w:rPr>
                <w:rFonts w:hint="eastAsia" w:ascii="仿宋_GB2312" w:eastAsia="仿宋_GB2312" w:cs="仿宋_GB2312"/>
                <w:color w:val="000000"/>
                <w:kern w:val="0"/>
                <w:sz w:val="24"/>
              </w:rPr>
            </w:pPr>
          </w:p>
        </w:tc>
      </w:tr>
      <w:tr w14:paraId="1572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E0F73"/>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3FB4"/>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6AA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F9A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35D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1C9A">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F616">
            <w:pPr>
              <w:widowControl/>
              <w:spacing w:line="240" w:lineRule="exact"/>
              <w:jc w:val="left"/>
              <w:textAlignment w:val="center"/>
              <w:rPr>
                <w:rFonts w:hint="eastAsia" w:ascii="仿宋_GB2312" w:eastAsia="仿宋_GB2312" w:cs="仿宋_GB2312"/>
                <w:color w:val="000000"/>
                <w:kern w:val="0"/>
                <w:sz w:val="24"/>
              </w:rPr>
            </w:pPr>
          </w:p>
        </w:tc>
      </w:tr>
      <w:tr w14:paraId="708C5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35CD"/>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1DE3F"/>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FFC2">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EAC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B15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349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9916">
            <w:pPr>
              <w:widowControl/>
              <w:spacing w:line="240" w:lineRule="exact"/>
              <w:jc w:val="left"/>
              <w:textAlignment w:val="center"/>
              <w:rPr>
                <w:rFonts w:hint="eastAsia" w:ascii="仿宋_GB2312" w:eastAsia="仿宋_GB2312" w:cs="仿宋_GB2312"/>
                <w:color w:val="000000"/>
                <w:kern w:val="0"/>
                <w:sz w:val="24"/>
              </w:rPr>
            </w:pPr>
          </w:p>
        </w:tc>
      </w:tr>
      <w:tr w14:paraId="1503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52B4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1D27"/>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A30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075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615E">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E614">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B063">
            <w:pPr>
              <w:widowControl/>
              <w:spacing w:line="240" w:lineRule="exact"/>
              <w:jc w:val="left"/>
              <w:textAlignment w:val="center"/>
              <w:rPr>
                <w:rFonts w:hint="eastAsia" w:ascii="仿宋_GB2312" w:eastAsia="仿宋_GB2312" w:cs="仿宋_GB2312"/>
                <w:color w:val="000000"/>
                <w:kern w:val="0"/>
                <w:sz w:val="24"/>
              </w:rPr>
            </w:pPr>
          </w:p>
        </w:tc>
      </w:tr>
      <w:tr w14:paraId="39CE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16DEA"/>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DF1F9">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财务管理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DFF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9B3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A4D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41C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A360">
            <w:pPr>
              <w:widowControl/>
              <w:spacing w:line="240" w:lineRule="exact"/>
              <w:jc w:val="left"/>
              <w:textAlignment w:val="center"/>
              <w:rPr>
                <w:rFonts w:hint="eastAsia" w:ascii="仿宋_GB2312" w:eastAsia="仿宋_GB2312" w:cs="仿宋_GB2312"/>
                <w:color w:val="000000"/>
                <w:kern w:val="0"/>
                <w:sz w:val="24"/>
              </w:rPr>
            </w:pPr>
          </w:p>
        </w:tc>
      </w:tr>
      <w:tr w14:paraId="0D4A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26A4B"/>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C637F"/>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FF6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D32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7195">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A437">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5426">
            <w:pPr>
              <w:widowControl/>
              <w:spacing w:line="240" w:lineRule="exact"/>
              <w:jc w:val="left"/>
              <w:textAlignment w:val="center"/>
              <w:rPr>
                <w:rFonts w:hint="eastAsia" w:ascii="仿宋_GB2312" w:eastAsia="仿宋_GB2312" w:cs="仿宋_GB2312"/>
                <w:color w:val="000000"/>
                <w:kern w:val="0"/>
                <w:sz w:val="24"/>
              </w:rPr>
            </w:pPr>
          </w:p>
        </w:tc>
      </w:tr>
      <w:tr w14:paraId="3216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B4520"/>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6A72"/>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142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A6E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5BB5">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8A9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64DE">
            <w:pPr>
              <w:widowControl/>
              <w:spacing w:line="240" w:lineRule="exact"/>
              <w:jc w:val="left"/>
              <w:textAlignment w:val="center"/>
              <w:rPr>
                <w:rFonts w:hint="eastAsia" w:ascii="仿宋_GB2312" w:eastAsia="仿宋_GB2312" w:cs="仿宋_GB2312"/>
                <w:color w:val="000000"/>
                <w:kern w:val="0"/>
                <w:sz w:val="24"/>
              </w:rPr>
            </w:pPr>
          </w:p>
        </w:tc>
      </w:tr>
      <w:tr w14:paraId="18FA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7EB88"/>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AD224">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资产管理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E47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85B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69A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DA98">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7C55">
            <w:pPr>
              <w:widowControl/>
              <w:spacing w:line="240" w:lineRule="exact"/>
              <w:jc w:val="left"/>
              <w:textAlignment w:val="center"/>
              <w:rPr>
                <w:rFonts w:hint="eastAsia" w:ascii="仿宋_GB2312" w:eastAsia="仿宋_GB2312" w:cs="仿宋_GB2312"/>
                <w:color w:val="000000"/>
                <w:kern w:val="0"/>
                <w:sz w:val="24"/>
              </w:rPr>
            </w:pPr>
          </w:p>
        </w:tc>
      </w:tr>
      <w:tr w14:paraId="3435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D527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DC851"/>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848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F20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CD0E">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14F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6240">
            <w:pPr>
              <w:widowControl/>
              <w:spacing w:line="240" w:lineRule="exact"/>
              <w:jc w:val="left"/>
              <w:textAlignment w:val="center"/>
              <w:rPr>
                <w:rFonts w:hint="eastAsia" w:ascii="仿宋_GB2312" w:eastAsia="仿宋_GB2312" w:cs="仿宋_GB2312"/>
                <w:color w:val="000000"/>
                <w:kern w:val="0"/>
                <w:sz w:val="24"/>
              </w:rPr>
            </w:pPr>
          </w:p>
        </w:tc>
      </w:tr>
      <w:tr w14:paraId="4CB6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E57D5">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总体绩效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F616">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资产管理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1909">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861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1AE9">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7064">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56C9">
            <w:pPr>
              <w:widowControl/>
              <w:spacing w:line="240" w:lineRule="exact"/>
              <w:jc w:val="left"/>
              <w:textAlignment w:val="center"/>
              <w:rPr>
                <w:rFonts w:hint="eastAsia" w:ascii="仿宋_GB2312" w:eastAsia="仿宋_GB2312" w:cs="仿宋_GB2312"/>
                <w:color w:val="000000"/>
                <w:kern w:val="0"/>
                <w:sz w:val="24"/>
              </w:rPr>
            </w:pPr>
          </w:p>
        </w:tc>
      </w:tr>
      <w:tr w14:paraId="4FE4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320D"/>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8F4CF">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采购管理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9A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7CB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71B7">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FFCD">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3C99">
            <w:pPr>
              <w:widowControl/>
              <w:spacing w:line="240" w:lineRule="exact"/>
              <w:jc w:val="left"/>
              <w:textAlignment w:val="center"/>
              <w:rPr>
                <w:rFonts w:hint="eastAsia" w:ascii="仿宋_GB2312" w:eastAsia="仿宋_GB2312" w:cs="仿宋_GB2312"/>
                <w:color w:val="000000"/>
                <w:kern w:val="0"/>
                <w:sz w:val="24"/>
              </w:rPr>
            </w:pPr>
          </w:p>
        </w:tc>
      </w:tr>
      <w:tr w14:paraId="10D68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D412F"/>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7ECA1"/>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66F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1E4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30A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647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A4C5">
            <w:pPr>
              <w:widowControl/>
              <w:spacing w:line="240" w:lineRule="exact"/>
              <w:jc w:val="left"/>
              <w:textAlignment w:val="center"/>
              <w:rPr>
                <w:rFonts w:hint="eastAsia" w:ascii="仿宋_GB2312" w:eastAsia="仿宋_GB2312" w:cs="仿宋_GB2312"/>
                <w:color w:val="000000"/>
                <w:kern w:val="0"/>
                <w:sz w:val="24"/>
              </w:rPr>
            </w:pPr>
          </w:p>
        </w:tc>
      </w:tr>
      <w:tr w14:paraId="5D89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6576C">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5B6A2B8">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项目决策</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D2A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3DE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3A5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854B">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3957">
            <w:pPr>
              <w:widowControl/>
              <w:spacing w:line="240" w:lineRule="exact"/>
              <w:jc w:val="left"/>
              <w:textAlignment w:val="center"/>
              <w:rPr>
                <w:rFonts w:hint="eastAsia" w:ascii="仿宋_GB2312" w:eastAsia="仿宋_GB2312" w:cs="仿宋_GB2312"/>
                <w:color w:val="000000"/>
                <w:kern w:val="0"/>
                <w:sz w:val="24"/>
              </w:rPr>
            </w:pPr>
          </w:p>
        </w:tc>
      </w:tr>
      <w:tr w14:paraId="771C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6BA1"/>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5854C0B"/>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2F1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7FE0">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A822">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7235">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3B29">
            <w:pPr>
              <w:widowControl/>
              <w:spacing w:line="240" w:lineRule="exact"/>
              <w:jc w:val="left"/>
              <w:textAlignment w:val="center"/>
              <w:rPr>
                <w:rFonts w:hint="eastAsia" w:ascii="仿宋_GB2312" w:eastAsia="仿宋_GB2312" w:cs="仿宋_GB2312"/>
                <w:color w:val="000000"/>
                <w:kern w:val="0"/>
                <w:sz w:val="24"/>
              </w:rPr>
            </w:pPr>
          </w:p>
        </w:tc>
      </w:tr>
      <w:tr w14:paraId="2262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19A8"/>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96E11B5"/>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489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E0B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FD57">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2F33">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4C1F">
            <w:pPr>
              <w:widowControl/>
              <w:spacing w:line="240" w:lineRule="exact"/>
              <w:jc w:val="left"/>
              <w:textAlignment w:val="center"/>
              <w:rPr>
                <w:rFonts w:hint="eastAsia" w:ascii="仿宋_GB2312" w:eastAsia="仿宋_GB2312" w:cs="仿宋_GB2312"/>
                <w:color w:val="000000"/>
                <w:kern w:val="0"/>
                <w:sz w:val="24"/>
              </w:rPr>
            </w:pPr>
          </w:p>
        </w:tc>
      </w:tr>
      <w:tr w14:paraId="7B4E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F3BC"/>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64BE269">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项目执行</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D78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08E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417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CEEC">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E580">
            <w:pPr>
              <w:widowControl/>
              <w:spacing w:line="240" w:lineRule="exact"/>
              <w:jc w:val="left"/>
              <w:textAlignment w:val="center"/>
              <w:rPr>
                <w:rFonts w:hint="eastAsia" w:ascii="仿宋_GB2312" w:eastAsia="仿宋_GB2312" w:cs="仿宋_GB2312"/>
                <w:color w:val="000000"/>
                <w:kern w:val="0"/>
                <w:sz w:val="24"/>
              </w:rPr>
            </w:pPr>
          </w:p>
        </w:tc>
      </w:tr>
      <w:tr w14:paraId="018D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C6904"/>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E9B4FD8"/>
        </w:tc>
        <w:tc>
          <w:tcPr>
            <w:tcW w:w="1665" w:type="dxa"/>
            <w:tcBorders>
              <w:top w:val="single" w:color="000000" w:sz="4" w:space="0"/>
              <w:left w:val="single" w:color="000000" w:sz="4" w:space="0"/>
              <w:bottom w:val="nil"/>
              <w:right w:val="single" w:color="000000" w:sz="4" w:space="0"/>
            </w:tcBorders>
            <w:shd w:val="clear" w:color="auto" w:fill="auto"/>
            <w:vAlign w:val="center"/>
          </w:tcPr>
          <w:p w14:paraId="5767A6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B30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300B">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09FF">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03B1">
            <w:pPr>
              <w:widowControl/>
              <w:spacing w:line="240" w:lineRule="exact"/>
              <w:jc w:val="left"/>
              <w:textAlignment w:val="center"/>
              <w:rPr>
                <w:rFonts w:hint="eastAsia" w:ascii="仿宋_GB2312" w:eastAsia="仿宋_GB2312" w:cs="仿宋_GB2312"/>
                <w:color w:val="000000"/>
                <w:kern w:val="0"/>
                <w:sz w:val="24"/>
              </w:rPr>
            </w:pPr>
          </w:p>
        </w:tc>
      </w:tr>
      <w:tr w14:paraId="6DD8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0D85F"/>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33021D4"/>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204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4348">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A4FC">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5860">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4C1A">
            <w:pPr>
              <w:widowControl/>
              <w:spacing w:line="240" w:lineRule="exact"/>
              <w:jc w:val="left"/>
              <w:textAlignment w:val="center"/>
              <w:rPr>
                <w:rFonts w:hint="eastAsia" w:ascii="仿宋_GB2312" w:eastAsia="仿宋_GB2312" w:cs="仿宋_GB2312"/>
                <w:color w:val="000000"/>
                <w:kern w:val="0"/>
                <w:sz w:val="24"/>
              </w:rPr>
            </w:pPr>
          </w:p>
        </w:tc>
      </w:tr>
      <w:tr w14:paraId="5139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CC462"/>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60D31">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目标实现</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0A4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5C4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59A9">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2C07">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08E8">
            <w:pPr>
              <w:widowControl/>
              <w:spacing w:line="240" w:lineRule="exact"/>
              <w:jc w:val="left"/>
              <w:textAlignment w:val="center"/>
              <w:rPr>
                <w:rFonts w:hint="eastAsia" w:ascii="仿宋_GB2312" w:eastAsia="仿宋_GB2312" w:cs="仿宋_GB2312"/>
                <w:color w:val="000000"/>
                <w:kern w:val="0"/>
                <w:sz w:val="24"/>
              </w:rPr>
            </w:pPr>
          </w:p>
        </w:tc>
      </w:tr>
      <w:tr w14:paraId="75E8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9D95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0F1D2"/>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B38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EA4D">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B83B">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0911">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0071">
            <w:pPr>
              <w:widowControl/>
              <w:spacing w:line="240" w:lineRule="exact"/>
              <w:jc w:val="left"/>
              <w:textAlignment w:val="center"/>
              <w:rPr>
                <w:rFonts w:hint="eastAsia" w:ascii="仿宋_GB2312" w:eastAsia="仿宋_GB2312" w:cs="仿宋_GB2312"/>
                <w:color w:val="000000"/>
                <w:kern w:val="0"/>
                <w:sz w:val="24"/>
              </w:rPr>
            </w:pPr>
          </w:p>
        </w:tc>
      </w:tr>
      <w:tr w14:paraId="3B44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E2791"/>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FFB4D"/>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1CD2">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819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B09F">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217A">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E681">
            <w:pPr>
              <w:widowControl/>
              <w:spacing w:line="240" w:lineRule="exact"/>
              <w:jc w:val="left"/>
              <w:textAlignment w:val="center"/>
              <w:rPr>
                <w:rFonts w:hint="eastAsia" w:ascii="仿宋_GB2312" w:eastAsia="仿宋_GB2312" w:cs="仿宋_GB2312"/>
                <w:color w:val="000000"/>
                <w:kern w:val="0"/>
                <w:sz w:val="24"/>
              </w:rPr>
            </w:pPr>
          </w:p>
        </w:tc>
      </w:tr>
      <w:tr w14:paraId="3398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0BD1">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扣分项</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491F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97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DD9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45A1">
            <w:pPr>
              <w:widowControl/>
              <w:spacing w:line="240" w:lineRule="exact"/>
              <w:jc w:val="left"/>
              <w:textAlignment w:val="center"/>
              <w:rPr>
                <w:rFonts w:hint="eastAsia" w:ascii="仿宋_GB2312" w:eastAsia="仿宋_GB2312" w:cs="仿宋_GB2312"/>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2680">
            <w:pPr>
              <w:widowControl/>
              <w:spacing w:line="240" w:lineRule="exact"/>
              <w:jc w:val="left"/>
              <w:textAlignment w:val="center"/>
              <w:rPr>
                <w:rFonts w:hint="eastAsia" w:ascii="仿宋_GB2312" w:eastAsia="仿宋_GB2312" w:cs="仿宋_GB2312"/>
                <w:color w:val="000000"/>
                <w:kern w:val="0"/>
                <w:sz w:val="24"/>
              </w:rPr>
            </w:pPr>
          </w:p>
        </w:tc>
      </w:tr>
    </w:tbl>
    <w:p w14:paraId="4857B8EA">
      <w:pPr>
        <w:rPr>
          <w:rFonts w:hint="eastAsia" w:ascii="仿宋_GB2312" w:eastAsia="仿宋_GB2312" w:cs="仿宋_GB2312"/>
        </w:rPr>
      </w:pPr>
      <w:r>
        <w:rPr>
          <w:rFonts w:hint="eastAsia" w:ascii="仿宋_GB2312" w:eastAsia="仿宋_GB2312" w:cs="仿宋_GB2312"/>
        </w:rPr>
        <w:t>附表2</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605"/>
        <w:gridCol w:w="843"/>
        <w:gridCol w:w="3552"/>
        <w:gridCol w:w="743"/>
        <w:gridCol w:w="672"/>
        <w:gridCol w:w="742"/>
        <w:gridCol w:w="462"/>
      </w:tblGrid>
      <w:tr w14:paraId="2ABC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trHeight w:val="306" w:hRule="atLeast"/>
        </w:trPr>
        <w:tc>
          <w:tcPr>
            <w:gridSpan w:val="8"/>
            <w:tcBorders>
              <w:top w:val="nil"/>
              <w:left w:val="nil"/>
              <w:bottom w:val="nil"/>
              <w:right w:val="nil"/>
            </w:tcBorders>
            <w:shd w:val="clear" w:color="auto" w:fill="auto"/>
            <w:vAlign w:val="center"/>
          </w:tcPr>
          <w:p w14:paraId="6D079030">
            <w:pPr>
              <w:keepNext w:val="0"/>
              <w:keepLines w:val="0"/>
              <w:widowControl/>
              <w:suppressLineNumbers w:val="0"/>
              <w:jc w:val="center"/>
              <w:textAlignment w:val="center"/>
              <w:rPr>
                <w:rFonts w:hint="eastAsia" w:ascii="仿宋_GB2312" w:eastAsia="仿宋_GB2312" w:cs="仿宋_GB2312"/>
                <w:i w:val="0"/>
                <w:iCs w:val="0"/>
                <w:color w:val="000000"/>
                <w:sz w:val="30"/>
                <w:szCs w:val="30"/>
                <w:u w:val="none"/>
              </w:rPr>
            </w:pPr>
            <w:r>
              <w:rPr>
                <w:rFonts w:hint="eastAsia" w:ascii="仿宋_GB2312" w:eastAsia="仿宋_GB2312" w:cs="仿宋_GB2312"/>
                <w:i w:val="0"/>
                <w:iCs w:val="0"/>
                <w:color w:val="000000"/>
                <w:kern w:val="0"/>
                <w:sz w:val="30"/>
                <w:szCs w:val="30"/>
                <w:u w:val="none"/>
                <w:lang w:val="en-US" w:eastAsia="zh-CN"/>
              </w:rPr>
              <w:t>部门整体绩效目标完成情况自评表</w:t>
            </w:r>
          </w:p>
        </w:tc>
      </w:tr>
      <w:tr w14:paraId="1A04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trPr>
        <w:tc>
          <w:tcPr>
            <w:gridSpan w:val="8"/>
            <w:tcBorders>
              <w:top w:val="nil"/>
              <w:left w:val="nil"/>
              <w:bottom w:val="nil"/>
              <w:right w:val="nil"/>
            </w:tcBorders>
            <w:shd w:val="clear" w:color="auto" w:fill="auto"/>
            <w:vAlign w:val="center"/>
          </w:tcPr>
          <w:p w14:paraId="2784E61F">
            <w:pPr>
              <w:keepNext w:val="0"/>
              <w:keepLines w:val="0"/>
              <w:widowControl/>
              <w:suppressLineNumbers w:val="0"/>
              <w:jc w:val="center"/>
              <w:textAlignment w:val="center"/>
              <w:rPr>
                <w:rFonts w:hint="eastAsia" w:ascii="仿宋_GB2312" w:eastAsia="仿宋_GB2312" w:cs="仿宋_GB2312"/>
                <w:i w:val="0"/>
                <w:iCs w:val="0"/>
                <w:color w:val="000000"/>
                <w:sz w:val="18"/>
                <w:szCs w:val="18"/>
                <w:u w:val="none"/>
              </w:rPr>
            </w:pPr>
            <w:r>
              <w:rPr>
                <w:rFonts w:hint="eastAsia" w:ascii="仿宋_GB2312" w:eastAsia="仿宋_GB2312" w:cs="仿宋_GB2312"/>
                <w:i w:val="0"/>
                <w:iCs w:val="0"/>
                <w:color w:val="000000"/>
                <w:kern w:val="0"/>
                <w:sz w:val="18"/>
                <w:szCs w:val="18"/>
                <w:u w:val="none"/>
                <w:lang w:val="en-US" w:eastAsia="zh-CN"/>
              </w:rPr>
              <w:t>（2024年度）</w:t>
            </w:r>
          </w:p>
        </w:tc>
      </w:tr>
      <w:tr w14:paraId="7198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trPr>
        <w:tc>
          <w:tcPr>
            <w:gridSpan w:val="8"/>
            <w:tcBorders>
              <w:top w:val="nil"/>
              <w:left w:val="nil"/>
              <w:bottom w:val="single" w:color="000000" w:sz="4" w:space="0"/>
              <w:right w:val="nil"/>
            </w:tcBorders>
            <w:shd w:val="clear" w:color="auto" w:fill="auto"/>
            <w:vAlign w:val="center"/>
          </w:tcPr>
          <w:p w14:paraId="0F8B11EE">
            <w:pPr>
              <w:keepNext w:val="0"/>
              <w:keepLines w:val="0"/>
              <w:widowControl/>
              <w:suppressLineNumbers w:val="0"/>
              <w:jc w:val="right"/>
              <w:textAlignment w:val="center"/>
              <w:rPr>
                <w:rFonts w:hint="eastAsia" w:ascii="仿宋_GB2312" w:eastAsia="仿宋_GB2312" w:cs="仿宋_GB2312"/>
                <w:i w:val="0"/>
                <w:iCs w:val="0"/>
                <w:color w:val="000000"/>
                <w:sz w:val="18"/>
                <w:szCs w:val="18"/>
                <w:u w:val="none"/>
              </w:rPr>
            </w:pPr>
            <w:r>
              <w:rPr>
                <w:rFonts w:hint="eastAsia" w:ascii="仿宋_GB2312" w:eastAsia="仿宋_GB2312" w:cs="仿宋_GB2312"/>
                <w:i w:val="0"/>
                <w:iCs w:val="0"/>
                <w:color w:val="000000"/>
                <w:kern w:val="0"/>
                <w:sz w:val="18"/>
                <w:szCs w:val="18"/>
                <w:u w:val="none"/>
                <w:lang w:val="en-US" w:eastAsia="zh-CN"/>
              </w:rPr>
              <w:t>单位：万元</w:t>
            </w:r>
          </w:p>
        </w:tc>
      </w:tr>
      <w:tr w14:paraId="003C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0475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部门名称</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31FC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茂县档案馆本级</w:t>
            </w:r>
          </w:p>
        </w:tc>
      </w:tr>
      <w:tr w14:paraId="3DE6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BB25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年度部门整体支出预算</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8199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资金总额</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C0F79">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财政拨款</w:t>
            </w:r>
          </w:p>
        </w:tc>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8734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其他资金</w:t>
            </w:r>
          </w:p>
        </w:tc>
      </w:tr>
      <w:tr w14:paraId="595E7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4"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882F2"/>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84225">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lang w:val="en-US"/>
              </w:rPr>
            </w:pPr>
            <w:r>
              <w:rPr>
                <w:rFonts w:hint="eastAsia" w:ascii="仿宋_GB2312" w:eastAsia="仿宋_GB2312" w:cs="仿宋_GB2312"/>
                <w:i w:val="0"/>
                <w:iCs w:val="0"/>
                <w:color w:val="000000"/>
                <w:kern w:val="0"/>
                <w:sz w:val="15"/>
                <w:szCs w:val="15"/>
                <w:u w:val="none"/>
                <w:lang w:val="en-US" w:eastAsia="zh-CN"/>
              </w:rPr>
              <w:t>348.06</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EF206">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lang w:val="en-US"/>
              </w:rPr>
            </w:pPr>
            <w:r>
              <w:rPr>
                <w:rFonts w:hint="eastAsia" w:ascii="仿宋_GB2312" w:eastAsia="仿宋_GB2312" w:cs="仿宋_GB2312"/>
                <w:i w:val="0"/>
                <w:iCs w:val="0"/>
                <w:color w:val="000000"/>
                <w:kern w:val="0"/>
                <w:sz w:val="15"/>
                <w:szCs w:val="15"/>
                <w:u w:val="none"/>
                <w:lang w:val="en-US" w:eastAsia="zh-CN"/>
              </w:rPr>
              <w:t>348.06</w:t>
            </w:r>
          </w:p>
        </w:tc>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3B7E0">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0.00</w:t>
            </w:r>
          </w:p>
        </w:tc>
      </w:tr>
      <w:tr w14:paraId="6224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2D1A1F1">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年度总体目标</w:t>
            </w:r>
          </w:p>
        </w:tc>
        <w:tc>
          <w:tcPr>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072D2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贯彻执行《中华人民共和国档案法》以及党和国家有关档案工作的方针、政策、按照统一领导、分级管理的原则对全县档案工作实行统筹规划、宏观管理，制定全县档案事业发展规划并组织实施</w:t>
            </w:r>
          </w:p>
        </w:tc>
      </w:tr>
      <w:tr w14:paraId="3956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7A2B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年度主要任务</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AEFF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任务名称</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685AC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主要内容</w:t>
            </w:r>
          </w:p>
        </w:tc>
      </w:tr>
      <w:tr w14:paraId="69C7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0"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55B17"/>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8DFA0">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做好档案接收、利用、指导工作</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8E5971">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1.继续加大对单位文书档案和专项部门档案的指导、入馆工作。2.进一步加大对民生档案接收、专题编研工作。3.加强对馆藏档案的开放、利用和鉴定工作，更好地服务社会，服务民生。</w:t>
            </w:r>
          </w:p>
        </w:tc>
      </w:tr>
      <w:tr w14:paraId="4246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253D"/>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925B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做好档案行政执法工作</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B83CD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继续开展档案专项执法检查，促进档案工作正常、有序发展。</w:t>
            </w:r>
          </w:p>
        </w:tc>
      </w:tr>
      <w:tr w14:paraId="5679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1AB59"/>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490F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切实提高档案安全保障能力</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15C26">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为认真贯彻落实国家、省和州委、州政府关于“三防一安全”工作精神，抓好档案“十防”工作，确保档案资源的绝对安全。</w:t>
            </w:r>
          </w:p>
        </w:tc>
      </w:tr>
      <w:tr w14:paraId="6B41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6AEC"/>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F757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加强数字档案馆建设</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40043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做好数字档案馆建设试点工作。</w:t>
            </w:r>
          </w:p>
        </w:tc>
      </w:tr>
      <w:tr w14:paraId="4E19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8"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8AD0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年度绩效指标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F63768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一级指标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4916D81">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二级指标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B150DB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三级指标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59E7CF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绩效指标性质</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B12994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绩效指标值</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C80BDE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绩效度量单位</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70C6909">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权重</w:t>
            </w:r>
          </w:p>
        </w:tc>
      </w:tr>
      <w:tr w14:paraId="0C4EC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F3DD0"/>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52AA63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产出指标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462777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数量指标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745C1C0">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档案接收进馆</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119BB6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7B64F4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95</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470E31B">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卷</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20CFFE1">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40</w:t>
            </w:r>
          </w:p>
        </w:tc>
      </w:tr>
      <w:tr w14:paraId="438C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8"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3664"/>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12F798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效益指标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BCA24C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社会效益指标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8DA724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将社会上集体和个人散存的珍贵档案征集入馆保存，防止特色档案灭失和丢失，原样保存完好率达90%</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D881E09">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290A93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90</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FCA591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件</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982C83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10</w:t>
            </w:r>
          </w:p>
        </w:tc>
      </w:tr>
      <w:tr w14:paraId="11F38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5"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21B1"/>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9EE5B6D">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满意度指标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950A0B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服务对象满意度指标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2DE038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查阅利用馆藏档案，提升档案总水平</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4D9BEE9">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2CC2FA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95</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3A2711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次</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174A82F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50</w:t>
            </w:r>
          </w:p>
        </w:tc>
      </w:tr>
    </w:tbl>
    <w:p w14:paraId="0938A159">
      <w:pPr>
        <w:pStyle w:val="21"/>
        <w:ind w:left="0" w:leftChars="0" w:firstLine="0" w:firstLineChars="0"/>
        <w:rPr>
          <w:rFonts w:hint="eastAsia" w:ascii="仿宋_GB2312" w:eastAsia="仿宋_GB2312" w:cs="仿宋_GB2312"/>
          <w:sz w:val="24"/>
          <w:szCs w:val="24"/>
        </w:rPr>
      </w:pPr>
    </w:p>
    <w:p w14:paraId="293F620C">
      <w:pPr>
        <w:pStyle w:val="17"/>
        <w:rPr>
          <w:rFonts w:hint="eastAsia"/>
        </w:rPr>
      </w:pPr>
    </w:p>
    <w:p w14:paraId="5895D72F">
      <w:pPr>
        <w:spacing w:line="576" w:lineRule="exact"/>
        <w:jc w:val="left"/>
        <w:outlineLvl w:val="0"/>
        <w:rPr>
          <w:rFonts w:hint="eastAsia" w:ascii="仿宋_GB2312" w:eastAsia="仿宋_GB2312" w:cs="仿宋_GB2312"/>
          <w:sz w:val="32"/>
          <w:szCs w:val="32"/>
        </w:rPr>
      </w:pPr>
    </w:p>
    <w:p w14:paraId="46705852">
      <w:pPr>
        <w:pStyle w:val="41"/>
        <w:rPr>
          <w:rFonts w:hint="eastAsia" w:ascii="仿宋_GB2312" w:eastAsia="仿宋_GB2312" w:cs="仿宋_GB2312"/>
          <w:sz w:val="32"/>
          <w:szCs w:val="32"/>
        </w:rPr>
      </w:pPr>
    </w:p>
    <w:p w14:paraId="5FB1EAD4">
      <w:pPr>
        <w:rPr>
          <w:rFonts w:hint="eastAsia" w:ascii="仿宋_GB2312" w:eastAsia="仿宋_GB2312" w:cs="仿宋_GB2312"/>
          <w:sz w:val="32"/>
          <w:szCs w:val="32"/>
        </w:rPr>
      </w:pPr>
    </w:p>
    <w:p w14:paraId="3C4D5B2E">
      <w:pPr>
        <w:spacing w:line="576" w:lineRule="exact"/>
        <w:jc w:val="left"/>
        <w:outlineLvl w:val="0"/>
        <w:rPr>
          <w:rFonts w:hint="eastAsia" w:ascii="黑体" w:eastAsia="黑体" w:cs="黑体"/>
          <w:sz w:val="32"/>
          <w:szCs w:val="32"/>
        </w:rPr>
      </w:pPr>
    </w:p>
    <w:p w14:paraId="673CB787">
      <w:pPr>
        <w:spacing w:line="576" w:lineRule="exact"/>
        <w:jc w:val="left"/>
        <w:outlineLvl w:val="0"/>
        <w:rPr>
          <w:rFonts w:hint="eastAsia" w:ascii="黑体" w:eastAsia="黑体" w:cs="黑体"/>
          <w:sz w:val="32"/>
          <w:szCs w:val="32"/>
        </w:rPr>
      </w:pPr>
    </w:p>
    <w:p w14:paraId="61447E9D">
      <w:pPr>
        <w:spacing w:line="576" w:lineRule="exact"/>
        <w:jc w:val="left"/>
        <w:outlineLvl w:val="0"/>
        <w:rPr>
          <w:rFonts w:ascii="黑体" w:eastAsia="黑体" w:cs="黑体"/>
          <w:sz w:val="32"/>
          <w:szCs w:val="32"/>
        </w:rPr>
      </w:pPr>
      <w:r>
        <w:rPr>
          <w:rFonts w:hint="eastAsia" w:ascii="黑体" w:eastAsia="黑体" w:cs="黑体"/>
          <w:sz w:val="32"/>
          <w:szCs w:val="32"/>
        </w:rPr>
        <w:t>附件2</w:t>
      </w:r>
      <w:bookmarkEnd w:id="105"/>
    </w:p>
    <w:p w14:paraId="308DD778">
      <w:pPr>
        <w:pStyle w:val="40"/>
        <w:spacing w:line="578" w:lineRule="exact"/>
        <w:jc w:val="center"/>
        <w:rPr>
          <w:rFonts w:hint="eastAsia" w:ascii="方正小标宋简体" w:eastAsia="方正小标宋简体" w:cs="方正小标宋简体"/>
          <w:color w:val="auto"/>
          <w:kern w:val="2"/>
          <w:sz w:val="44"/>
          <w:szCs w:val="44"/>
          <w:lang w:val="en-US" w:eastAsia="zh-CN"/>
        </w:rPr>
      </w:pPr>
      <w:bookmarkStart w:id="106" w:name="_Toc79163635"/>
      <w:bookmarkStart w:id="107" w:name="_Toc15396618"/>
      <w:bookmarkStart w:id="108" w:name="_Toc115101732"/>
      <w:r>
        <w:rPr>
          <w:rFonts w:hint="eastAsia" w:ascii="方正小标宋简体" w:eastAsia="方正小标宋简体" w:cs="方正小标宋简体"/>
          <w:color w:val="auto"/>
          <w:kern w:val="2"/>
          <w:sz w:val="44"/>
          <w:szCs w:val="44"/>
          <w:lang w:val="en-US" w:eastAsia="zh-CN"/>
        </w:rPr>
        <w:t>数字档案馆建设项目</w:t>
      </w:r>
    </w:p>
    <w:p w14:paraId="369B971F">
      <w:pPr>
        <w:pStyle w:val="40"/>
        <w:spacing w:line="578" w:lineRule="exact"/>
        <w:jc w:val="center"/>
        <w:rPr>
          <w:rFonts w:ascii="方正小标宋简体" w:eastAsia="方正小标宋简体" w:cs="方正小标宋简体"/>
          <w:color w:val="auto"/>
          <w:kern w:val="2"/>
          <w:sz w:val="44"/>
          <w:szCs w:val="44"/>
          <w:lang w:val="en-US"/>
        </w:rPr>
      </w:pPr>
      <w:r>
        <w:rPr>
          <w:rFonts w:hint="eastAsia" w:ascii="方正小标宋简体" w:eastAsia="方正小标宋简体" w:cs="方正小标宋简体"/>
          <w:color w:val="auto"/>
          <w:kern w:val="2"/>
          <w:sz w:val="44"/>
          <w:szCs w:val="44"/>
          <w:lang w:val="en-US"/>
        </w:rPr>
        <w:t>专项预算项目绩效评价报告</w:t>
      </w:r>
    </w:p>
    <w:p w14:paraId="4EBDA7F3">
      <w:pPr>
        <w:pStyle w:val="40"/>
        <w:spacing w:line="578" w:lineRule="exact"/>
        <w:ind w:firstLine="640"/>
        <w:jc w:val="center"/>
        <w:rPr>
          <w:rFonts w:ascii="宋体"/>
          <w:color w:val="auto"/>
          <w:kern w:val="2"/>
          <w:sz w:val="32"/>
          <w:szCs w:val="32"/>
        </w:rPr>
      </w:pPr>
    </w:p>
    <w:p w14:paraId="4423358A">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一、</w:t>
      </w:r>
      <w:r>
        <w:rPr>
          <w:rFonts w:hint="eastAsia" w:ascii="黑体" w:eastAsia="黑体" w:cs="黑体"/>
          <w:sz w:val="32"/>
          <w:szCs w:val="32"/>
          <w:lang w:val="zh-CN"/>
        </w:rPr>
        <w:t>项目概况</w:t>
      </w:r>
    </w:p>
    <w:p w14:paraId="18A6D6CB">
      <w:pPr>
        <w:adjustRightInd w:val="0"/>
        <w:snapToGrid w:val="0"/>
        <w:spacing w:line="560" w:lineRule="exact"/>
        <w:ind w:firstLine="720"/>
        <w:rPr>
          <w:rFonts w:hint="eastAsia" w:ascii="仿宋_GB2312" w:eastAsia="仿宋_GB2312" w:cs="仿宋_GB2312"/>
          <w:color w:val="000000"/>
          <w:sz w:val="32"/>
          <w:szCs w:val="32"/>
          <w:shd w:val="clear" w:color="auto" w:fill="FFFFFF"/>
        </w:rPr>
      </w:pPr>
      <w:r>
        <w:rPr>
          <w:rFonts w:hint="eastAsia" w:ascii="仿宋_GB2312" w:eastAsia="仿宋_GB2312" w:cs="仿宋_GB2312"/>
          <w:b/>
          <w:sz w:val="32"/>
          <w:szCs w:val="32"/>
          <w:lang w:val="zh-CN"/>
        </w:rPr>
        <w:t>（一）设立背景及基本情况。</w:t>
      </w:r>
      <w:r>
        <w:rPr>
          <w:rFonts w:hint="eastAsia" w:ascii="仿宋_GB2312" w:eastAsia="仿宋_GB2312" w:cs="仿宋_GB2312"/>
          <w:color w:val="000000"/>
          <w:sz w:val="32"/>
          <w:szCs w:val="32"/>
          <w:shd w:val="clear" w:color="auto" w:fill="FFFFFF"/>
          <w:lang w:eastAsia="zh-CN"/>
        </w:rPr>
        <w:t>茂县档案馆于</w:t>
      </w:r>
      <w:r>
        <w:rPr>
          <w:rFonts w:hint="eastAsia" w:ascii="仿宋_GB2312" w:eastAsia="仿宋_GB2312" w:cs="仿宋_GB2312"/>
          <w:color w:val="000000"/>
          <w:sz w:val="32"/>
          <w:szCs w:val="32"/>
          <w:shd w:val="clear" w:color="auto" w:fill="FFFFFF"/>
          <w:lang w:val="en-US" w:eastAsia="zh-CN"/>
        </w:rPr>
        <w:t>2021年确定为数字档案馆试点单位，要求2025年前完成数字档案馆建设试点任务，通过省级及以上档案主管部门成果认定。目前，已完成机房改造，局域网布设，馆藏档案管理系统布设。</w:t>
      </w:r>
      <w:r>
        <w:rPr>
          <w:rFonts w:hint="eastAsia" w:ascii="仿宋_GB2312" w:eastAsia="仿宋_GB2312" w:cs="仿宋_GB2312"/>
          <w:b w:val="0"/>
          <w:bCs/>
          <w:color w:val="auto"/>
          <w:sz w:val="32"/>
          <w:szCs w:val="32"/>
          <w:highlight w:val="none"/>
          <w:u w:val="none"/>
          <w:lang w:val="zh-CN"/>
        </w:rPr>
        <w:t>在项目实施过程中严格按照管理办法使用资金，做到专款专用，严禁虚报、挤占、挪用，无违反规定的行为发生。</w:t>
      </w:r>
    </w:p>
    <w:p w14:paraId="302EA7DF">
      <w:pPr>
        <w:adjustRightInd w:val="0"/>
        <w:snapToGrid w:val="0"/>
        <w:spacing w:line="578" w:lineRule="exact"/>
        <w:ind w:firstLine="643" w:firstLineChars="200"/>
        <w:rPr>
          <w:rFonts w:hint="eastAsia" w:ascii="仿宋_GB2312" w:eastAsia="仿宋_GB2312" w:cs="仿宋_GB2312"/>
          <w:b/>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实施目的及支持方向。</w:t>
      </w:r>
      <w:r>
        <w:rPr>
          <w:rFonts w:hint="eastAsia" w:ascii="仿宋_GB2312" w:eastAsia="仿宋_GB2312" w:cs="仿宋_GB2312"/>
          <w:b w:val="0"/>
          <w:bCs/>
          <w:color w:val="auto"/>
          <w:sz w:val="32"/>
          <w:szCs w:val="32"/>
          <w:highlight w:val="none"/>
          <w:u w:val="none"/>
          <w:lang w:val="en-US" w:eastAsia="zh-CN"/>
        </w:rPr>
        <w:t xml:space="preserve">茂县档案馆馆藏量相对较大，为群众进行课题研究、落实政策、解决待遇提供了翔实的依据和佐证。但由于现有服务器设备采购年限长，档案系统存储设备老化，超过产品寿命，存在数据丢失风险，急需更新换代。专项资金按照“谁使用、谁负责”的原则，承担资金使用和管理责任。      </w:t>
      </w:r>
    </w:p>
    <w:p w14:paraId="27B5B86B">
      <w:pPr>
        <w:widowControl/>
        <w:adjustRightInd w:val="0"/>
        <w:snapToGrid w:val="0"/>
        <w:spacing w:line="578" w:lineRule="exact"/>
        <w:ind w:firstLine="643"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预算安排及分配管理</w:t>
      </w:r>
      <w:r>
        <w:rPr>
          <w:rFonts w:hint="eastAsia" w:ascii="仿宋_GB2312" w:eastAsia="仿宋_GB2312" w:cs="仿宋_GB2312"/>
          <w:b/>
          <w:sz w:val="32"/>
          <w:szCs w:val="32"/>
          <w:lang w:val="zh-CN"/>
        </w:rPr>
        <w:t>。</w:t>
      </w:r>
      <w:r>
        <w:rPr>
          <w:rFonts w:hint="eastAsia" w:ascii="仿宋_GB2312" w:eastAsia="仿宋_GB2312" w:cs="仿宋_GB2312"/>
          <w:b w:val="0"/>
          <w:bCs/>
          <w:color w:val="auto"/>
          <w:sz w:val="32"/>
          <w:szCs w:val="32"/>
          <w:highlight w:val="none"/>
          <w:u w:val="none"/>
          <w:lang w:val="zh-CN" w:eastAsia="zh-CN"/>
        </w:rPr>
        <w:t>预算安排资金</w:t>
      </w:r>
      <w:r>
        <w:rPr>
          <w:rFonts w:hint="eastAsia" w:ascii="仿宋_GB2312" w:eastAsia="仿宋_GB2312" w:cs="仿宋_GB2312"/>
          <w:b w:val="0"/>
          <w:bCs/>
          <w:color w:val="auto"/>
          <w:sz w:val="32"/>
          <w:szCs w:val="32"/>
          <w:highlight w:val="none"/>
          <w:u w:val="none"/>
          <w:lang w:val="en-US" w:eastAsia="zh-CN"/>
        </w:rPr>
        <w:t>266.70万元（省级资金120.00万元，县级配套146.70万元）全部由地方财政垫付。中标价为265.89万元，项目验收后支付257.91万元，预留3%质保金待数字档案馆测评后支付。省级120.00万元于2024年8月到账，于2024年10月归垫财政。</w:t>
      </w:r>
    </w:p>
    <w:p w14:paraId="631636ED">
      <w:pPr>
        <w:adjustRightInd w:val="0"/>
        <w:snapToGrid w:val="0"/>
        <w:spacing w:line="578" w:lineRule="exact"/>
        <w:ind w:firstLine="643" w:firstLineChars="200"/>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（四）项目绩效目标设置。</w:t>
      </w:r>
      <w:r>
        <w:rPr>
          <w:rFonts w:hint="eastAsia" w:ascii="仿宋_GB2312" w:eastAsia="仿宋_GB2312" w:cs="仿宋_GB2312"/>
          <w:kern w:val="0"/>
          <w:sz w:val="32"/>
          <w:szCs w:val="32"/>
          <w:shd w:val="clear" w:color="auto" w:fill="FFFFFF"/>
          <w:lang w:val="zh-CN"/>
        </w:rPr>
        <w:t>通过机房改造，配置国产化服务器及存储备份设备、关键网络设备、网络安全设施、终端设备、操作系统、数据库、中间件等软硬件设施设备。按照项目执行进度的要求，已执行并完成数字档案馆项目支付。</w:t>
      </w:r>
    </w:p>
    <w:p w14:paraId="427D5A7F">
      <w:pPr>
        <w:adjustRightInd w:val="0"/>
        <w:snapToGrid w:val="0"/>
        <w:spacing w:line="578" w:lineRule="exact"/>
        <w:ind w:firstLine="640" w:firstLineChars="200"/>
        <w:rPr>
          <w:rFonts w:hint="eastAsia" w:ascii="黑体" w:eastAsia="黑体" w:cs="黑体"/>
          <w:sz w:val="32"/>
          <w:szCs w:val="32"/>
        </w:rPr>
      </w:pPr>
      <w:r>
        <w:rPr>
          <w:rFonts w:hint="eastAsia" w:ascii="黑体" w:eastAsia="黑体" w:cs="黑体"/>
          <w:sz w:val="32"/>
          <w:szCs w:val="32"/>
        </w:rPr>
        <w:t>二、评价实施</w:t>
      </w:r>
    </w:p>
    <w:p w14:paraId="771EA533">
      <w:pPr>
        <w:spacing w:line="578" w:lineRule="exact"/>
        <w:ind w:firstLine="640"/>
        <w:rPr>
          <w:rFonts w:hint="eastAsia" w:ascii="仿宋_GB2312" w:eastAsia="仿宋_GB2312" w:cs="仿宋_GB2312"/>
          <w:sz w:val="32"/>
          <w:szCs w:val="32"/>
        </w:rPr>
      </w:pPr>
      <w:r>
        <w:rPr>
          <w:rFonts w:hint="eastAsia" w:ascii="仿宋_GB2312" w:eastAsia="仿宋_GB2312" w:cs="仿宋_GB2312"/>
          <w:b/>
          <w:sz w:val="32"/>
          <w:szCs w:val="32"/>
          <w:lang w:val="zh-CN"/>
        </w:rPr>
        <w:t>（一）评价目的。</w:t>
      </w:r>
      <w:r>
        <w:rPr>
          <w:rFonts w:hint="eastAsia" w:ascii="仿宋_GB2312" w:eastAsia="仿宋_GB2312" w:cs="仿宋_GB2312"/>
          <w:kern w:val="2"/>
          <w:sz w:val="32"/>
          <w:szCs w:val="32"/>
        </w:rPr>
        <w:t>本次对项目投入经济性的评估是在项目预算测算的基础上，按照厉行节约的要求，结合实际需求、相关费用标准及市场价格水平，重点对数量是否合理、投入是否经济、测算是否准确、测算过程是否详细、测算依据是否充分等方面进行了评估。评估认为，该项</w:t>
      </w:r>
      <w:r>
        <w:rPr>
          <w:rFonts w:hint="eastAsia" w:ascii="仿宋_GB2312" w:eastAsia="仿宋_GB2312" w:cs="仿宋_GB2312"/>
          <w:kern w:val="2"/>
          <w:sz w:val="32"/>
          <w:szCs w:val="32"/>
          <w:u w:val="none"/>
        </w:rPr>
        <w:t>目任务数量基本合理、测算过程较为详细、测算依据基本充分、有一定的经济性。</w:t>
      </w:r>
    </w:p>
    <w:p w14:paraId="029DD46A">
      <w:pPr>
        <w:spacing w:line="360" w:lineRule="auto"/>
        <w:ind w:firstLine="643" w:firstLineChars="200"/>
        <w:rPr>
          <w:rFonts w:hint="eastAsia" w:ascii="仿宋_GB2312" w:eastAsia="仿宋_GB2312" w:cs="仿宋_GB2312"/>
          <w:sz w:val="32"/>
          <w:szCs w:val="32"/>
          <w:lang w:eastAsia="zh-CN"/>
        </w:rPr>
      </w:pPr>
      <w:r>
        <w:rPr>
          <w:rFonts w:hint="eastAsia" w:ascii="仿宋_GB2312" w:eastAsia="仿宋_GB2312" w:cs="仿宋_GB2312"/>
          <w:b/>
          <w:sz w:val="32"/>
          <w:szCs w:val="32"/>
          <w:lang w:val="zh-CN"/>
        </w:rPr>
        <w:t>（二）预设问题及评价重点。</w:t>
      </w:r>
      <w:r>
        <w:rPr>
          <w:rFonts w:hint="eastAsia" w:ascii="仿宋_GB2312" w:eastAsia="仿宋_GB2312" w:cs="仿宋_GB2312"/>
          <w:b w:val="0"/>
          <w:bCs/>
          <w:color w:val="auto"/>
          <w:sz w:val="32"/>
          <w:szCs w:val="32"/>
          <w:highlight w:val="none"/>
          <w:u w:val="none"/>
          <w:lang w:val="zh-CN"/>
        </w:rPr>
        <w:t>对如何</w:t>
      </w:r>
      <w:r>
        <w:rPr>
          <w:rFonts w:hint="eastAsia" w:ascii="仿宋_GB2312" w:eastAsia="仿宋_GB2312" w:cs="仿宋_GB2312"/>
          <w:b w:val="0"/>
          <w:bCs/>
          <w:kern w:val="2"/>
          <w:sz w:val="32"/>
          <w:szCs w:val="32"/>
        </w:rPr>
        <w:t>提</w:t>
      </w:r>
      <w:r>
        <w:rPr>
          <w:rFonts w:hint="eastAsia" w:ascii="仿宋_GB2312" w:eastAsia="仿宋_GB2312" w:cs="仿宋_GB2312"/>
          <w:kern w:val="2"/>
          <w:sz w:val="32"/>
          <w:szCs w:val="32"/>
        </w:rPr>
        <w:t>高预算编制科学性、合理性，优化财政支出结构</w:t>
      </w:r>
      <w:r>
        <w:rPr>
          <w:rFonts w:hint="eastAsia" w:ascii="仿宋_GB2312" w:eastAsia="仿宋_GB2312" w:cs="仿宋_GB2312"/>
          <w:kern w:val="2"/>
          <w:sz w:val="32"/>
          <w:szCs w:val="32"/>
          <w:lang w:eastAsia="zh-CN"/>
        </w:rPr>
        <w:t>入手</w:t>
      </w:r>
      <w:r>
        <w:rPr>
          <w:rFonts w:hint="eastAsia" w:ascii="仿宋_GB2312" w:eastAsia="仿宋_GB2312" w:cs="仿宋_GB2312"/>
          <w:kern w:val="2"/>
          <w:sz w:val="32"/>
          <w:szCs w:val="32"/>
        </w:rPr>
        <w:t>，从源头上防控财政资源配置的低效无效，提高财政资源配置效率和财政资金使用效益。</w:t>
      </w:r>
    </w:p>
    <w:p w14:paraId="0CD6D1E8">
      <w:pPr>
        <w:adjustRightInd w:val="0"/>
        <w:snapToGrid w:val="0"/>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（三）评价选点。</w:t>
      </w:r>
      <w:r>
        <w:rPr>
          <w:rFonts w:hint="eastAsia" w:ascii="仿宋_GB2312" w:eastAsia="仿宋_GB2312" w:cs="仿宋_GB2312"/>
          <w:kern w:val="2"/>
          <w:sz w:val="32"/>
          <w:szCs w:val="32"/>
        </w:rPr>
        <w:t>按照有关规定和工作安排，我单位开展自行评估，收集被评估项目相关基础资料，并查阅资料、收集数据信息等</w:t>
      </w:r>
      <w:r>
        <w:rPr>
          <w:rFonts w:hint="eastAsia" w:ascii="仿宋_GB2312" w:eastAsia="仿宋_GB2312" w:cs="仿宋_GB2312"/>
          <w:kern w:val="2"/>
          <w:sz w:val="32"/>
          <w:szCs w:val="32"/>
          <w:lang w:val="en-US" w:eastAsia="zh-CN"/>
        </w:rPr>
        <w:t>，</w:t>
      </w:r>
      <w:r>
        <w:rPr>
          <w:rFonts w:hint="eastAsia" w:ascii="仿宋_GB2312" w:eastAsia="仿宋_GB2312" w:cs="仿宋_GB2312"/>
          <w:kern w:val="2"/>
          <w:sz w:val="32"/>
          <w:szCs w:val="32"/>
          <w:lang w:val="zh-CN" w:eastAsia="zh-CN"/>
        </w:rPr>
        <w:t>查看数字档案馆</w:t>
      </w:r>
      <w:r>
        <w:rPr>
          <w:rFonts w:hint="eastAsia" w:ascii="仿宋_GB2312" w:eastAsia="仿宋_GB2312" w:cs="仿宋_GB2312"/>
          <w:kern w:val="2"/>
          <w:sz w:val="32"/>
          <w:szCs w:val="32"/>
          <w:lang w:val="en-US" w:eastAsia="zh-CN"/>
        </w:rPr>
        <w:t>工作完成情况、完成时效、完成质量等</w:t>
      </w:r>
      <w:r>
        <w:rPr>
          <w:rFonts w:hint="eastAsia" w:ascii="仿宋_GB2312" w:eastAsia="仿宋_GB2312" w:cs="仿宋_GB2312"/>
          <w:kern w:val="2"/>
          <w:sz w:val="32"/>
          <w:szCs w:val="32"/>
        </w:rPr>
        <w:t>。</w:t>
      </w:r>
    </w:p>
    <w:p w14:paraId="590AB7E0">
      <w:pPr>
        <w:spacing w:line="578" w:lineRule="exact"/>
        <w:ind w:firstLine="64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（四）评价方法。</w:t>
      </w:r>
      <w:r>
        <w:rPr>
          <w:rFonts w:hint="eastAsia" w:ascii="仿宋_GB2312" w:eastAsia="仿宋_GB2312" w:cs="仿宋_GB2312"/>
          <w:b w:val="0"/>
          <w:bCs/>
          <w:color w:val="auto"/>
          <w:sz w:val="32"/>
          <w:szCs w:val="32"/>
          <w:highlight w:val="none"/>
          <w:u w:val="none"/>
          <w:lang w:val="zh-CN"/>
        </w:rPr>
        <w:t>根据项目情况和评价重点，</w:t>
      </w:r>
      <w:r>
        <w:rPr>
          <w:rFonts w:hint="eastAsia" w:ascii="仿宋_GB2312" w:eastAsia="仿宋_GB2312" w:cs="仿宋_GB2312"/>
          <w:b w:val="0"/>
          <w:bCs/>
          <w:color w:val="auto"/>
          <w:sz w:val="32"/>
          <w:szCs w:val="32"/>
          <w:highlight w:val="none"/>
          <w:u w:val="none"/>
          <w:lang w:val="zh-CN" w:eastAsia="zh-CN"/>
        </w:rPr>
        <w:t>主要采用</w:t>
      </w:r>
      <w:r>
        <w:rPr>
          <w:rFonts w:hint="eastAsia" w:ascii="仿宋_GB2312" w:eastAsia="仿宋_GB2312" w:cs="仿宋_GB2312"/>
          <w:b w:val="0"/>
          <w:bCs/>
          <w:color w:val="auto"/>
          <w:sz w:val="32"/>
          <w:szCs w:val="32"/>
          <w:highlight w:val="none"/>
          <w:u w:val="none"/>
          <w:lang w:val="zh-CN"/>
        </w:rPr>
        <w:t>单位自评法</w:t>
      </w:r>
      <w:r>
        <w:rPr>
          <w:rFonts w:hint="eastAsia" w:ascii="仿宋_GB2312" w:eastAsia="仿宋_GB2312" w:cs="仿宋_GB2312"/>
          <w:b w:val="0"/>
          <w:bCs/>
          <w:color w:val="auto"/>
          <w:sz w:val="32"/>
          <w:szCs w:val="32"/>
          <w:highlight w:val="none"/>
          <w:u w:val="none"/>
          <w:lang w:val="zh-CN" w:eastAsia="zh-CN"/>
        </w:rPr>
        <w:t>，结合评价内容，做到有计划、有安排。按照上级下达的项目支出绩效评价指标体系，针对建设内容、实施情况、资金兑现、财务管理、社会效益等做出自评。</w:t>
      </w:r>
    </w:p>
    <w:p w14:paraId="35A24B4B">
      <w:pPr>
        <w:adjustRightInd w:val="0"/>
        <w:snapToGrid w:val="0"/>
        <w:spacing w:line="578" w:lineRule="exact"/>
        <w:ind w:firstLine="643" w:firstLineChars="20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（五）评价组织。</w:t>
      </w:r>
      <w:r>
        <w:rPr>
          <w:rFonts w:hint="eastAsia" w:ascii="仿宋_GB2312" w:eastAsia="仿宋_GB2312" w:cs="仿宋_GB2312"/>
          <w:b w:val="0"/>
          <w:bCs/>
          <w:color w:val="auto"/>
          <w:sz w:val="32"/>
          <w:szCs w:val="32"/>
          <w:highlight w:val="none"/>
          <w:u w:val="none"/>
          <w:lang w:val="zh-CN" w:eastAsia="zh-CN"/>
        </w:rPr>
        <w:t>评价组人员由单位负责人、分管领导及业务股室负责人组成；单位负责人牵头负责，分管领导组织业务股室自行评价。</w:t>
      </w:r>
    </w:p>
    <w:p w14:paraId="58355EA9">
      <w:pPr>
        <w:adjustRightInd w:val="0"/>
        <w:snapToGrid w:val="0"/>
        <w:spacing w:line="578" w:lineRule="exact"/>
        <w:ind w:firstLine="640" w:firstLineChars="200"/>
        <w:rPr>
          <w:rFonts w:hint="eastAsia" w:ascii="仿宋_GB2312" w:eastAsia="仿宋_GB2312" w:cs="仿宋_GB2312"/>
          <w:sz w:val="32"/>
          <w:szCs w:val="32"/>
          <w:lang w:val="zh-CN"/>
        </w:rPr>
      </w:pPr>
      <w:r>
        <w:rPr>
          <w:rFonts w:hint="eastAsia" w:ascii="黑体" w:eastAsia="黑体" w:cs="黑体"/>
          <w:sz w:val="32"/>
          <w:szCs w:val="32"/>
        </w:rPr>
        <w:t>三、绩效分析</w:t>
      </w:r>
      <w:r>
        <w:rPr>
          <w:rFonts w:hint="eastAsia" w:ascii="仿宋_GB2312" w:eastAsia="仿宋_GB2312" w:cs="仿宋_GB2312"/>
          <w:sz w:val="32"/>
          <w:szCs w:val="32"/>
          <w:lang w:val="zh-CN"/>
        </w:rPr>
        <w:tab/>
      </w:r>
    </w:p>
    <w:p w14:paraId="5C07F3AD">
      <w:pPr>
        <w:spacing w:line="578" w:lineRule="exact"/>
        <w:ind w:firstLine="640"/>
        <w:rPr>
          <w:rFonts w:hint="eastAsia" w:ascii="仿宋_GB2312" w:eastAsia="仿宋_GB2312" w:cs="仿宋_GB2312"/>
          <w:b/>
          <w:sz w:val="32"/>
          <w:szCs w:val="32"/>
        </w:rPr>
      </w:pPr>
      <w:r>
        <w:rPr>
          <w:rFonts w:hint="eastAsia" w:ascii="仿宋_GB2312" w:eastAsia="仿宋_GB2312" w:cs="仿宋_GB2312"/>
          <w:b/>
          <w:sz w:val="32"/>
          <w:szCs w:val="32"/>
          <w:lang w:val="zh-CN"/>
        </w:rPr>
        <w:t>（一）</w:t>
      </w:r>
      <w:r>
        <w:rPr>
          <w:rFonts w:hint="eastAsia" w:ascii="仿宋_GB2312" w:eastAsia="仿宋_GB2312" w:cs="仿宋_GB2312"/>
          <w:b/>
          <w:sz w:val="32"/>
          <w:szCs w:val="32"/>
        </w:rPr>
        <w:t>通用指标</w:t>
      </w:r>
      <w:r>
        <w:rPr>
          <w:rFonts w:hint="eastAsia" w:ascii="仿宋_GB2312" w:eastAsia="仿宋_GB2312" w:cs="仿宋_GB2312"/>
          <w:b/>
          <w:bCs/>
          <w:color w:val="000000"/>
          <w:kern w:val="0"/>
          <w:sz w:val="32"/>
          <w:szCs w:val="32"/>
          <w:shd w:val="clear" w:color="auto" w:fill="FFFFFF"/>
          <w:lang w:val="zh-CN"/>
        </w:rPr>
        <w:t>绩效分析</w:t>
      </w:r>
    </w:p>
    <w:p w14:paraId="4992832C">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项目决策。</w:t>
      </w:r>
      <w:r>
        <w:rPr>
          <w:rFonts w:hint="eastAsia" w:ascii="仿宋_GB2312" w:eastAsia="仿宋_GB2312" w:cs="仿宋_GB2312"/>
          <w:color w:val="auto"/>
          <w:sz w:val="32"/>
          <w:szCs w:val="32"/>
          <w:lang w:val="zh-CN" w:eastAsia="zh-CN"/>
        </w:rPr>
        <w:t>按照省、州档案馆要求，实施项目申报、组织评审、提出方案、审批备案等程序确定。制定项目验收实施细则，组织开展验收工作，专项资金按照“谁使用、谁负责”的原则。</w:t>
      </w:r>
    </w:p>
    <w:p w14:paraId="3B9F9B20">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项目管理。</w:t>
      </w:r>
      <w:r>
        <w:rPr>
          <w:rFonts w:hint="eastAsia" w:ascii="仿宋_GB2312" w:eastAsia="仿宋_GB2312" w:cs="仿宋_GB2312"/>
          <w:kern w:val="2"/>
          <w:sz w:val="32"/>
          <w:szCs w:val="32"/>
          <w:lang w:eastAsia="zh-CN"/>
        </w:rPr>
        <w:t>该项目已</w:t>
      </w:r>
      <w:r>
        <w:rPr>
          <w:rFonts w:hint="eastAsia" w:ascii="仿宋_GB2312" w:eastAsia="仿宋_GB2312" w:cs="仿宋_GB2312"/>
          <w:kern w:val="2"/>
          <w:sz w:val="32"/>
          <w:szCs w:val="32"/>
        </w:rPr>
        <w:t>制定实施方案，组织机构健全，职责分工明确，有明确的工作程序，基础设施条件能够有效保障，资金能足额保证，具有相应的质量检查、验收等必要的控制措施或手段</w:t>
      </w:r>
      <w:r>
        <w:rPr>
          <w:rFonts w:hint="eastAsia" w:ascii="仿宋_GB2312" w:eastAsia="仿宋_GB2312" w:cs="仿宋_GB2312"/>
          <w:kern w:val="2"/>
          <w:sz w:val="32"/>
          <w:szCs w:val="32"/>
          <w:lang w:eastAsia="zh-CN"/>
        </w:rPr>
        <w:t>。</w:t>
      </w:r>
    </w:p>
    <w:p w14:paraId="20F88EC1">
      <w:pPr>
        <w:spacing w:line="240" w:lineRule="auto"/>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3.项目实施。</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1）根据省州档案馆要求进行公开招标。（2）根据茂县档案馆政府采购合同（货物类）内容组织实施。（3）组织现场验收。（4）拨付资金。（5）绩效评估，共计执行预算拨付资金257.91万元，占预算支出的97%。</w:t>
      </w:r>
    </w:p>
    <w:p w14:paraId="431B5AA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outlineLvl w:val="9"/>
        <w:rPr>
          <w:rFonts w:hint="eastAsia" w:ascii="仿宋_GB2312" w:eastAsia="仿宋_GB2312" w:cs="仿宋_GB2312"/>
          <w:color w:val="auto"/>
          <w:sz w:val="32"/>
          <w:szCs w:val="32"/>
          <w:lang w:eastAsia="zh-CN"/>
        </w:rPr>
      </w:pPr>
      <w:r>
        <w:rPr>
          <w:rFonts w:hint="eastAsia" w:ascii="仿宋_GB2312" w:eastAsia="仿宋_GB2312" w:cs="仿宋_GB2312"/>
          <w:sz w:val="32"/>
          <w:szCs w:val="32"/>
        </w:rPr>
        <w:t>4.项目结果。</w:t>
      </w:r>
      <w:r>
        <w:rPr>
          <w:rFonts w:hint="eastAsia" w:ascii="仿宋_GB2312" w:eastAsia="仿宋_GB2312" w:cs="仿宋_GB2312"/>
          <w:b w:val="0"/>
          <w:bCs/>
          <w:color w:val="000000"/>
          <w:kern w:val="0"/>
          <w:sz w:val="32"/>
          <w:szCs w:val="32"/>
          <w:lang w:val="en-US" w:eastAsia="zh-CN" w:bidi="ar-SA"/>
        </w:rPr>
        <w:t>保证了部门的正常运行和业务工作的正常开展，项目支出保障了重点工作的开展，绩效目标得到较好实现，绩效管理水平不断提高，绩效指标体系逐渐丰富和完善。</w:t>
      </w:r>
    </w:p>
    <w:p w14:paraId="16C9CFE8">
      <w:pPr>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专用指标</w:t>
      </w:r>
      <w:r>
        <w:rPr>
          <w:rFonts w:hint="eastAsia" w:ascii="仿宋_GB2312" w:eastAsia="仿宋_GB2312" w:cs="仿宋_GB2312"/>
          <w:b/>
          <w:bCs/>
          <w:color w:val="000000"/>
          <w:kern w:val="0"/>
          <w:sz w:val="32"/>
          <w:szCs w:val="32"/>
          <w:shd w:val="clear" w:color="auto" w:fill="FFFFFF"/>
          <w:lang w:val="zh-CN"/>
        </w:rPr>
        <w:t>绩效分析</w:t>
      </w:r>
    </w:p>
    <w:p w14:paraId="11767E5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1.产业发展。无</w:t>
      </w:r>
    </w:p>
    <w:p w14:paraId="58916E3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2.民生保障。通过坚持不懈的努力，数字档案馆建设将有利于确保数字档案永久存储与安全保管，有利于促进公共档案服务能力拓展和实现档案信息资源和社会共享。为各机关企事业单位、社会团体以及个人提供高效、快捷的档案利用服务，减少实体档案查阅利用中的繁琐过程，降低档案频繁进出库房的安全风险。</w:t>
      </w:r>
    </w:p>
    <w:p w14:paraId="6E2F485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3.基础设施。无</w:t>
      </w:r>
    </w:p>
    <w:p w14:paraId="304B02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4.行政运转。无</w:t>
      </w:r>
    </w:p>
    <w:p w14:paraId="10CF3336">
      <w:pPr>
        <w:spacing w:line="578" w:lineRule="exact"/>
        <w:ind w:firstLine="64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个性指标</w:t>
      </w:r>
      <w:r>
        <w:rPr>
          <w:rFonts w:hint="eastAsia" w:ascii="仿宋_GB2312" w:eastAsia="仿宋_GB2312" w:cs="仿宋_GB2312"/>
          <w:b/>
          <w:bCs/>
          <w:color w:val="000000"/>
          <w:kern w:val="0"/>
          <w:sz w:val="32"/>
          <w:szCs w:val="32"/>
          <w:shd w:val="clear" w:color="auto" w:fill="FFFFFF"/>
          <w:lang w:val="zh-CN"/>
        </w:rPr>
        <w:t>绩效分析</w:t>
      </w:r>
    </w:p>
    <w:p w14:paraId="0D2095ED">
      <w:pPr>
        <w:spacing w:line="578" w:lineRule="exact"/>
        <w:ind w:firstLine="640"/>
        <w:rPr>
          <w:rFonts w:hint="eastAsia" w:ascii="仿宋_GB2312" w:eastAsia="仿宋_GB2312" w:cs="仿宋_GB2312"/>
          <w:sz w:val="32"/>
          <w:szCs w:val="32"/>
        </w:rPr>
      </w:pPr>
      <w:r>
        <w:rPr>
          <w:rFonts w:hint="eastAsia" w:ascii="仿宋_GB2312" w:eastAsia="仿宋_GB2312" w:cs="仿宋_GB2312"/>
          <w:sz w:val="32"/>
          <w:szCs w:val="32"/>
          <w:lang w:val="zh-CN"/>
        </w:rPr>
        <w:t>档案数字化建设达到档案查阅利用方便、快捷，查阅利用档案人员满意度高的原则。</w:t>
      </w:r>
    </w:p>
    <w:p w14:paraId="1038D9F6">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四、评价结论</w:t>
      </w:r>
    </w:p>
    <w:p w14:paraId="2990511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i w:val="0"/>
          <w:iCs w:val="0"/>
          <w:caps w:val="0"/>
          <w:smallCaps w:val="0"/>
          <w:color w:val="000000"/>
          <w:spacing w:val="0"/>
          <w:sz w:val="32"/>
          <w:szCs w:val="32"/>
          <w:shd w:val="clear" w:color="auto" w:fill="FFFFFF"/>
        </w:rPr>
      </w:pPr>
      <w:r>
        <w:rPr>
          <w:rFonts w:hint="eastAsia" w:ascii="仿宋_GB2312" w:eastAsia="仿宋_GB2312" w:cs="仿宋_GB2312"/>
          <w:i w:val="0"/>
          <w:iCs w:val="0"/>
          <w:caps w:val="0"/>
          <w:smallCaps w:val="0"/>
          <w:color w:val="000000"/>
          <w:spacing w:val="0"/>
          <w:sz w:val="32"/>
          <w:szCs w:val="32"/>
          <w:shd w:val="clear" w:color="auto" w:fill="FFFFFF"/>
          <w:lang w:eastAsia="zh-CN"/>
        </w:rPr>
        <w:t>档案数字化建设</w:t>
      </w:r>
      <w:r>
        <w:rPr>
          <w:rFonts w:hint="eastAsia" w:ascii="仿宋_GB2312" w:eastAsia="仿宋_GB2312" w:cs="仿宋_GB2312"/>
          <w:i w:val="0"/>
          <w:iCs w:val="0"/>
          <w:caps w:val="0"/>
          <w:smallCaps w:val="0"/>
          <w:color w:val="000000"/>
          <w:spacing w:val="0"/>
          <w:sz w:val="32"/>
          <w:szCs w:val="32"/>
          <w:shd w:val="clear" w:color="auto" w:fill="FFFFFF"/>
        </w:rPr>
        <w:t>，预算执行率达到100%，全面完成年度绩效总体目标和各项绩效指标，有效发挥了财政资金的使用效率。</w:t>
      </w:r>
    </w:p>
    <w:p w14:paraId="7FC61DFE">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五、存在主要问题</w:t>
      </w:r>
    </w:p>
    <w:p w14:paraId="5281416A">
      <w:pPr>
        <w:pStyle w:val="6"/>
        <w:tabs>
          <w:tab w:val="left" w:pos="2160"/>
        </w:tabs>
        <w:spacing w:line="600" w:lineRule="exact"/>
        <w:ind w:firstLine="640" w:firstLineChars="200"/>
        <w:rPr>
          <w:rFonts w:ascii="仿宋_GB2312" w:eastAsia="仿宋_GB2312" w:cs="仿宋_GB2312"/>
          <w:kern w:val="2"/>
          <w:position w:val="0"/>
          <w:sz w:val="32"/>
          <w:szCs w:val="32"/>
          <w:lang w:val="en-US" w:eastAsia="zh-CN"/>
        </w:rPr>
      </w:pPr>
      <w:r>
        <w:rPr>
          <w:rFonts w:hint="eastAsia" w:cs="仿宋_GB2312"/>
          <w:kern w:val="2"/>
          <w:position w:val="0"/>
          <w:sz w:val="32"/>
          <w:szCs w:val="32"/>
          <w:lang w:val="en-US" w:eastAsia="zh-CN"/>
        </w:rPr>
        <w:t>2024年茂县档案馆无预算绩效自评发现的主要问题。</w:t>
      </w:r>
    </w:p>
    <w:p w14:paraId="42D848FE">
      <w:pPr>
        <w:pStyle w:val="6"/>
        <w:tabs>
          <w:tab w:val="left" w:pos="2160"/>
        </w:tabs>
        <w:spacing w:line="600" w:lineRule="exact"/>
        <w:ind w:firstLine="640" w:firstLineChars="200"/>
        <w:rPr>
          <w:rFonts w:hint="eastAsia" w:ascii="黑体" w:eastAsia="黑体" w:cs="黑体"/>
          <w:sz w:val="32"/>
          <w:szCs w:val="32"/>
          <w:lang w:val="zh-CN" w:eastAsia="zh-CN"/>
        </w:rPr>
      </w:pPr>
      <w:r>
        <w:rPr>
          <w:rFonts w:hint="eastAsia" w:ascii="黑体" w:eastAsia="黑体" w:cs="黑体"/>
          <w:sz w:val="32"/>
          <w:szCs w:val="32"/>
          <w:lang w:val="zh-CN" w:eastAsia="zh-CN"/>
        </w:rPr>
        <w:t>六、改进建议</w:t>
      </w:r>
    </w:p>
    <w:p w14:paraId="012FF6A8">
      <w:pPr>
        <w:tabs>
          <w:tab w:val="left" w:pos="1911"/>
        </w:tabs>
        <w:ind w:firstLine="640" w:firstLineChars="200"/>
        <w:jc w:val="left"/>
        <w:rPr>
          <w:rFonts w:hint="eastAsia" w:ascii="仿宋_GB2312" w:eastAsia="仿宋_GB2312" w:cs="仿宋_GB2312"/>
          <w:kern w:val="0"/>
          <w:sz w:val="32"/>
          <w:szCs w:val="32"/>
          <w:lang w:val="en-US" w:eastAsia="zh-CN"/>
        </w:rPr>
      </w:pPr>
      <w:bookmarkStart w:id="109" w:name="_Hlk110546638"/>
      <w:r>
        <w:rPr>
          <w:rFonts w:hint="eastAsia" w:ascii="仿宋_GB2312" w:eastAsia="仿宋_GB2312" w:cs="仿宋_GB2312"/>
          <w:kern w:val="0"/>
          <w:sz w:val="32"/>
          <w:szCs w:val="32"/>
          <w:lang w:val="en-US" w:eastAsia="zh-CN"/>
        </w:rPr>
        <w:t>2024年茂县档案馆无改进建议。</w:t>
      </w:r>
    </w:p>
    <w:p w14:paraId="32994AF1">
      <w:pPr>
        <w:snapToGrid w:val="0"/>
        <w:spacing w:line="578" w:lineRule="exact"/>
        <w:ind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附表：1.专项预算绩效自评打分表</w:t>
      </w:r>
    </w:p>
    <w:p w14:paraId="009182B2">
      <w:pPr>
        <w:snapToGrid w:val="0"/>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2.专项预算项目绩效目标完成情况自评表</w:t>
      </w:r>
    </w:p>
    <w:p w14:paraId="77F7499F">
      <w:pPr>
        <w:snapToGrid w:val="0"/>
        <w:spacing w:line="578" w:lineRule="exact"/>
        <w:ind w:firstLine="420" w:firstLineChars="200"/>
        <w:rPr>
          <w:rFonts w:hint="eastAsia" w:ascii="仿宋_GB2312" w:eastAsia="仿宋_GB2312" w:cs="仿宋_GB2312"/>
          <w:color w:val="000000"/>
          <w:kern w:val="0"/>
          <w:shd w:val="clear" w:color="auto" w:fill="FFFFFF"/>
          <w:lang w:val="zh-CN"/>
        </w:rPr>
      </w:pPr>
      <w:r>
        <w:rPr>
          <w:rFonts w:hint="eastAsia" w:ascii="仿宋_GB2312" w:eastAsia="仿宋_GB2312" w:cs="仿宋_GB2312"/>
          <w:color w:val="000000"/>
          <w:kern w:val="0"/>
          <w:shd w:val="clear" w:color="auto" w:fill="FFFFFF"/>
          <w:lang w:val="zh-CN"/>
        </w:rPr>
        <w:br w:type="page"/>
      </w:r>
    </w:p>
    <w:p w14:paraId="67E4063C">
      <w:pPr>
        <w:snapToGrid w:val="0"/>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1</w:t>
      </w:r>
    </w:p>
    <w:p w14:paraId="4616CF11">
      <w:pPr>
        <w:spacing w:line="578" w:lineRule="exact"/>
        <w:jc w:val="center"/>
        <w:rPr>
          <w:rFonts w:hint="eastAsia" w:ascii="仿宋_GB2312" w:eastAsia="仿宋_GB2312" w:cs="仿宋_GB2312"/>
          <w:sz w:val="40"/>
          <w:szCs w:val="40"/>
        </w:rPr>
      </w:pPr>
      <w:r>
        <w:rPr>
          <w:rFonts w:hint="eastAsia" w:ascii="仿宋_GB2312" w:eastAsia="仿宋_GB2312" w:cs="仿宋_GB2312"/>
          <w:sz w:val="40"/>
          <w:szCs w:val="40"/>
        </w:rPr>
        <w:t>专项预算绩效自评打分表</w:t>
      </w:r>
    </w:p>
    <w:tbl>
      <w:tblPr>
        <w:tblStyle w:val="22"/>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386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ign w:val="center"/>
          </w:tcPr>
          <w:p w14:paraId="381504C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ign w:val="center"/>
          </w:tcPr>
          <w:p w14:paraId="4C10026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指标解释</w:t>
            </w:r>
          </w:p>
        </w:tc>
        <w:tc>
          <w:tcPr>
            <w:tcW w:w="732" w:type="dxa"/>
            <w:vMerge w:val="restart"/>
            <w:tcBorders>
              <w:top w:val="single" w:color="000000" w:sz="4" w:space="0"/>
              <w:left w:val="single" w:color="000000" w:sz="4" w:space="0"/>
              <w:right w:val="single" w:color="000000" w:sz="4" w:space="0"/>
            </w:tcBorders>
            <w:noWrap/>
            <w:vAlign w:val="center"/>
          </w:tcPr>
          <w:p w14:paraId="44C0C068">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自评得分</w:t>
            </w:r>
          </w:p>
        </w:tc>
        <w:tc>
          <w:tcPr>
            <w:tcW w:w="468" w:type="dxa"/>
            <w:vMerge w:val="restart"/>
            <w:tcBorders>
              <w:top w:val="single" w:color="000000" w:sz="4" w:space="0"/>
              <w:left w:val="single" w:color="000000" w:sz="4" w:space="0"/>
              <w:right w:val="single" w:color="000000" w:sz="4" w:space="0"/>
            </w:tcBorders>
            <w:noWrap/>
            <w:vAlign w:val="center"/>
          </w:tcPr>
          <w:p w14:paraId="303BB95B">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w:t>
            </w:r>
          </w:p>
        </w:tc>
      </w:tr>
      <w:tr w14:paraId="49A6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B8674B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ign w:val="center"/>
          </w:tcPr>
          <w:p w14:paraId="611C81B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0CA07C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CF26E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ign w:val="center"/>
          </w:tcPr>
          <w:p w14:paraId="709B3726"/>
        </w:tc>
        <w:tc>
          <w:tcPr>
            <w:tcW w:w="732" w:type="dxa"/>
            <w:vMerge w:val="continue"/>
            <w:tcBorders>
              <w:left w:val="single" w:color="000000" w:sz="4" w:space="0"/>
              <w:bottom w:val="single" w:color="000000" w:sz="4" w:space="0"/>
              <w:right w:val="single" w:color="000000" w:sz="4" w:space="0"/>
            </w:tcBorders>
            <w:noWrap/>
            <w:vAlign w:val="center"/>
          </w:tcPr>
          <w:p w14:paraId="44305CDE"/>
        </w:tc>
        <w:tc>
          <w:tcPr>
            <w:tcW w:w="468" w:type="dxa"/>
            <w:vMerge w:val="continue"/>
            <w:tcBorders>
              <w:left w:val="single" w:color="000000" w:sz="4" w:space="0"/>
              <w:bottom w:val="single" w:color="000000" w:sz="4" w:space="0"/>
              <w:right w:val="single" w:color="000000" w:sz="4" w:space="0"/>
            </w:tcBorders>
            <w:noWrap/>
            <w:vAlign w:val="center"/>
          </w:tcPr>
          <w:p w14:paraId="39DAEBE9"/>
        </w:tc>
      </w:tr>
      <w:tr w14:paraId="43BB2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4472813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通用指标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9090CE8">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项目决策</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5F6CFA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决策程序</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40A257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0CB21D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044A558">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0E84946">
            <w:pPr>
              <w:widowControl/>
              <w:spacing w:line="240" w:lineRule="exact"/>
              <w:jc w:val="left"/>
              <w:textAlignment w:val="center"/>
              <w:rPr>
                <w:rFonts w:hint="eastAsia" w:ascii="仿宋_GB2312" w:eastAsia="仿宋_GB2312" w:cs="仿宋_GB2312"/>
                <w:color w:val="000000"/>
                <w:kern w:val="0"/>
                <w:sz w:val="24"/>
                <w:szCs w:val="24"/>
              </w:rPr>
            </w:pPr>
          </w:p>
        </w:tc>
      </w:tr>
      <w:tr w14:paraId="2C81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8568350"/>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9AC063"/>
        </w:tc>
        <w:tc>
          <w:tcPr>
            <w:tcW w:w="1355" w:type="dxa"/>
            <w:tcBorders>
              <w:top w:val="single" w:color="000000" w:sz="4" w:space="0"/>
              <w:left w:val="single" w:color="000000" w:sz="4" w:space="0"/>
              <w:bottom w:val="single" w:color="000000" w:sz="4" w:space="0"/>
              <w:right w:val="single" w:color="000000" w:sz="4" w:space="0"/>
            </w:tcBorders>
            <w:noWrap/>
            <w:vAlign w:val="center"/>
          </w:tcPr>
          <w:p w14:paraId="48926B6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规划论证</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7DC5B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DC8D7B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10EA18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B96F15C">
            <w:pPr>
              <w:widowControl/>
              <w:spacing w:line="240" w:lineRule="exact"/>
              <w:jc w:val="left"/>
              <w:textAlignment w:val="center"/>
              <w:rPr>
                <w:rFonts w:hint="eastAsia" w:ascii="仿宋_GB2312" w:eastAsia="仿宋_GB2312" w:cs="仿宋_GB2312"/>
                <w:color w:val="000000"/>
                <w:kern w:val="0"/>
                <w:sz w:val="24"/>
                <w:szCs w:val="24"/>
              </w:rPr>
            </w:pPr>
          </w:p>
        </w:tc>
      </w:tr>
      <w:tr w14:paraId="452A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F7F7FF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05C8A5E"/>
        </w:tc>
        <w:tc>
          <w:tcPr>
            <w:tcW w:w="1355" w:type="dxa"/>
            <w:tcBorders>
              <w:top w:val="single" w:color="000000" w:sz="4" w:space="0"/>
              <w:left w:val="single" w:color="000000" w:sz="4" w:space="0"/>
              <w:bottom w:val="single" w:color="000000" w:sz="4" w:space="0"/>
              <w:right w:val="single" w:color="000000" w:sz="4" w:space="0"/>
            </w:tcBorders>
            <w:noWrap/>
            <w:vAlign w:val="center"/>
          </w:tcPr>
          <w:p w14:paraId="011B56A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资金投向</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3A17A4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B96804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112C18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51C5A70">
            <w:pPr>
              <w:widowControl/>
              <w:spacing w:line="240" w:lineRule="exact"/>
              <w:jc w:val="left"/>
              <w:textAlignment w:val="center"/>
              <w:rPr>
                <w:rFonts w:hint="eastAsia" w:ascii="仿宋_GB2312" w:eastAsia="仿宋_GB2312" w:cs="仿宋_GB2312"/>
                <w:color w:val="000000"/>
                <w:kern w:val="0"/>
                <w:sz w:val="24"/>
                <w:szCs w:val="24"/>
              </w:rPr>
            </w:pPr>
          </w:p>
        </w:tc>
      </w:tr>
      <w:tr w14:paraId="231EF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D06C996"/>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21C392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项目管理</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EFE61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制度办法</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388AF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2</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DE35F5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870C955">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2</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D922ADF">
            <w:pPr>
              <w:widowControl/>
              <w:spacing w:line="240" w:lineRule="exact"/>
              <w:jc w:val="left"/>
              <w:textAlignment w:val="center"/>
              <w:rPr>
                <w:rFonts w:hint="eastAsia" w:ascii="仿宋_GB2312" w:eastAsia="仿宋_GB2312" w:cs="仿宋_GB2312"/>
                <w:color w:val="000000"/>
                <w:kern w:val="0"/>
                <w:sz w:val="24"/>
                <w:szCs w:val="24"/>
              </w:rPr>
            </w:pPr>
          </w:p>
        </w:tc>
      </w:tr>
      <w:tr w14:paraId="6097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C532207"/>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B6E6BFE"/>
        </w:tc>
        <w:tc>
          <w:tcPr>
            <w:tcW w:w="1355" w:type="dxa"/>
            <w:tcBorders>
              <w:top w:val="single" w:color="000000" w:sz="4" w:space="0"/>
              <w:left w:val="single" w:color="000000" w:sz="4" w:space="0"/>
              <w:bottom w:val="single" w:color="000000" w:sz="4" w:space="0"/>
              <w:right w:val="single" w:color="000000" w:sz="4" w:space="0"/>
            </w:tcBorders>
            <w:noWrap/>
            <w:vAlign w:val="center"/>
          </w:tcPr>
          <w:p w14:paraId="2B4E699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分配管理</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85EDE7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6E992F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D87DE3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111DF7D">
            <w:pPr>
              <w:widowControl/>
              <w:spacing w:line="240" w:lineRule="exact"/>
              <w:jc w:val="left"/>
              <w:textAlignment w:val="center"/>
              <w:rPr>
                <w:rFonts w:hint="eastAsia" w:ascii="仿宋_GB2312" w:eastAsia="仿宋_GB2312" w:cs="仿宋_GB2312"/>
                <w:color w:val="000000"/>
                <w:kern w:val="0"/>
                <w:sz w:val="24"/>
                <w:szCs w:val="24"/>
              </w:rPr>
            </w:pPr>
          </w:p>
        </w:tc>
      </w:tr>
      <w:tr w14:paraId="7428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FFF1B8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50B44D2"/>
        </w:tc>
        <w:tc>
          <w:tcPr>
            <w:tcW w:w="1355" w:type="dxa"/>
            <w:tcBorders>
              <w:top w:val="single" w:color="000000" w:sz="4" w:space="0"/>
              <w:left w:val="single" w:color="000000" w:sz="4" w:space="0"/>
              <w:bottom w:val="single" w:color="000000" w:sz="4" w:space="0"/>
              <w:right w:val="single" w:color="000000" w:sz="4" w:space="0"/>
            </w:tcBorders>
            <w:noWrap/>
            <w:vAlign w:val="center"/>
          </w:tcPr>
          <w:p w14:paraId="2AE47A3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绩效监管</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62022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14FD2A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99CFA2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59B6069">
            <w:pPr>
              <w:widowControl/>
              <w:spacing w:line="240" w:lineRule="exact"/>
              <w:jc w:val="left"/>
              <w:textAlignment w:val="center"/>
              <w:rPr>
                <w:rFonts w:hint="eastAsia" w:ascii="仿宋_GB2312" w:eastAsia="仿宋_GB2312" w:cs="仿宋_GB2312"/>
                <w:color w:val="000000"/>
                <w:kern w:val="0"/>
                <w:sz w:val="24"/>
                <w:szCs w:val="24"/>
              </w:rPr>
            </w:pPr>
          </w:p>
        </w:tc>
      </w:tr>
      <w:tr w14:paraId="0A9E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4CCD66"/>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5259BD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项目实施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9356DE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预算执行</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0BFD6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E76C63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964A824">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7F0C3D0">
            <w:pPr>
              <w:widowControl/>
              <w:spacing w:line="240" w:lineRule="exact"/>
              <w:jc w:val="left"/>
              <w:textAlignment w:val="center"/>
              <w:rPr>
                <w:rFonts w:hint="eastAsia" w:ascii="仿宋_GB2312" w:eastAsia="仿宋_GB2312" w:cs="仿宋_GB2312"/>
                <w:color w:val="000000"/>
                <w:kern w:val="0"/>
                <w:sz w:val="24"/>
                <w:szCs w:val="24"/>
              </w:rPr>
            </w:pPr>
          </w:p>
        </w:tc>
      </w:tr>
      <w:tr w14:paraId="3DAD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1165A58"/>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5CBF91E"/>
        </w:tc>
        <w:tc>
          <w:tcPr>
            <w:tcW w:w="1355" w:type="dxa"/>
            <w:tcBorders>
              <w:top w:val="single" w:color="000000" w:sz="4" w:space="0"/>
              <w:left w:val="single" w:color="000000" w:sz="4" w:space="0"/>
              <w:bottom w:val="single" w:color="000000" w:sz="4" w:space="0"/>
              <w:right w:val="single" w:color="000000" w:sz="4" w:space="0"/>
            </w:tcBorders>
            <w:noWrap/>
            <w:vAlign w:val="center"/>
          </w:tcPr>
          <w:p w14:paraId="1585D15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98313E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9BF92D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BEB81C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27CD0D8">
            <w:pPr>
              <w:widowControl/>
              <w:spacing w:line="240" w:lineRule="exact"/>
              <w:jc w:val="left"/>
              <w:textAlignment w:val="center"/>
              <w:rPr>
                <w:rFonts w:hint="eastAsia" w:ascii="仿宋_GB2312" w:eastAsia="仿宋_GB2312" w:cs="仿宋_GB2312"/>
                <w:color w:val="000000"/>
                <w:kern w:val="0"/>
                <w:sz w:val="24"/>
                <w:szCs w:val="24"/>
              </w:rPr>
            </w:pPr>
          </w:p>
        </w:tc>
      </w:tr>
      <w:tr w14:paraId="0F89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E8B263D"/>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23FB48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项目结果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C7BAC8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目标完成</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13A18E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1BA538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05364DC">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6CBBCFA">
            <w:pPr>
              <w:widowControl/>
              <w:spacing w:line="240" w:lineRule="exact"/>
              <w:jc w:val="left"/>
              <w:textAlignment w:val="center"/>
              <w:rPr>
                <w:rFonts w:hint="eastAsia" w:ascii="仿宋_GB2312" w:eastAsia="仿宋_GB2312" w:cs="仿宋_GB2312"/>
                <w:color w:val="000000"/>
                <w:kern w:val="0"/>
                <w:sz w:val="24"/>
                <w:szCs w:val="24"/>
              </w:rPr>
            </w:pPr>
          </w:p>
        </w:tc>
      </w:tr>
      <w:tr w14:paraId="2F7E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E0A849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85029AD"/>
        </w:tc>
        <w:tc>
          <w:tcPr>
            <w:tcW w:w="1355" w:type="dxa"/>
            <w:tcBorders>
              <w:top w:val="single" w:color="000000" w:sz="4" w:space="0"/>
              <w:left w:val="single" w:color="000000" w:sz="4" w:space="0"/>
              <w:bottom w:val="single" w:color="000000" w:sz="4" w:space="0"/>
              <w:right w:val="single" w:color="000000" w:sz="4" w:space="0"/>
            </w:tcBorders>
            <w:noWrap/>
            <w:vAlign w:val="center"/>
          </w:tcPr>
          <w:p w14:paraId="4E3A91A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完成时效</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7002AD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7DEEEC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A4C643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8370CA2">
            <w:pPr>
              <w:widowControl/>
              <w:spacing w:line="240" w:lineRule="exact"/>
              <w:jc w:val="left"/>
              <w:textAlignment w:val="center"/>
              <w:rPr>
                <w:rFonts w:hint="eastAsia" w:ascii="仿宋_GB2312" w:eastAsia="仿宋_GB2312" w:cs="仿宋_GB2312"/>
                <w:color w:val="000000"/>
                <w:kern w:val="0"/>
                <w:sz w:val="24"/>
                <w:szCs w:val="24"/>
              </w:rPr>
            </w:pPr>
          </w:p>
        </w:tc>
      </w:tr>
      <w:tr w14:paraId="3B5F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21D5B61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B0D3CC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产业发展</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3A002D0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符合性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BDF3D7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31DA18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60D17A9">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1B76E39">
            <w:pPr>
              <w:widowControl/>
              <w:spacing w:line="240" w:lineRule="exact"/>
              <w:jc w:val="left"/>
              <w:textAlignment w:val="center"/>
              <w:rPr>
                <w:rFonts w:hint="eastAsia" w:ascii="仿宋_GB2312" w:eastAsia="仿宋_GB2312" w:cs="仿宋_GB2312"/>
                <w:color w:val="000000"/>
                <w:kern w:val="0"/>
                <w:sz w:val="24"/>
                <w:szCs w:val="24"/>
              </w:rPr>
            </w:pPr>
          </w:p>
        </w:tc>
      </w:tr>
      <w:tr w14:paraId="3075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A371E6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A7DA82C"/>
        </w:tc>
        <w:tc>
          <w:tcPr>
            <w:tcW w:w="1355" w:type="dxa"/>
            <w:tcBorders>
              <w:top w:val="single" w:color="000000" w:sz="4" w:space="0"/>
              <w:left w:val="single" w:color="000000" w:sz="4" w:space="0"/>
              <w:bottom w:val="single" w:color="000000" w:sz="4" w:space="0"/>
              <w:right w:val="single" w:color="000000" w:sz="4" w:space="0"/>
            </w:tcBorders>
            <w:noWrap/>
            <w:vAlign w:val="center"/>
          </w:tcPr>
          <w:p w14:paraId="3CD391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成长性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F2E85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B9845CB">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E9E622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A7FAB15">
            <w:pPr>
              <w:widowControl/>
              <w:spacing w:line="240" w:lineRule="exact"/>
              <w:jc w:val="left"/>
              <w:textAlignment w:val="center"/>
              <w:rPr>
                <w:rFonts w:hint="eastAsia" w:ascii="仿宋_GB2312" w:eastAsia="仿宋_GB2312" w:cs="仿宋_GB2312"/>
                <w:color w:val="000000"/>
                <w:kern w:val="0"/>
                <w:sz w:val="24"/>
                <w:szCs w:val="24"/>
              </w:rPr>
            </w:pPr>
          </w:p>
        </w:tc>
      </w:tr>
      <w:tr w14:paraId="56FD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6FB96A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B9B7F15"/>
        </w:tc>
        <w:tc>
          <w:tcPr>
            <w:tcW w:w="1355" w:type="dxa"/>
            <w:tcBorders>
              <w:top w:val="single" w:color="000000" w:sz="4" w:space="0"/>
              <w:left w:val="single" w:color="000000" w:sz="4" w:space="0"/>
              <w:bottom w:val="single" w:color="000000" w:sz="4" w:space="0"/>
              <w:right w:val="single" w:color="000000" w:sz="4" w:space="0"/>
            </w:tcBorders>
            <w:noWrap/>
            <w:vAlign w:val="center"/>
          </w:tcPr>
          <w:p w14:paraId="000100C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经济性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8A291C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4B319C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0336766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EB63727">
            <w:pPr>
              <w:widowControl/>
              <w:spacing w:line="240" w:lineRule="exact"/>
              <w:jc w:val="left"/>
              <w:textAlignment w:val="center"/>
              <w:rPr>
                <w:rFonts w:hint="eastAsia" w:ascii="仿宋_GB2312" w:eastAsia="仿宋_GB2312" w:cs="仿宋_GB2312"/>
                <w:color w:val="000000"/>
                <w:kern w:val="0"/>
                <w:sz w:val="24"/>
                <w:szCs w:val="24"/>
              </w:rPr>
            </w:pPr>
          </w:p>
        </w:tc>
      </w:tr>
      <w:tr w14:paraId="3BE45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2E5E5C3"/>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4D258B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民生保障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A8B59D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区域均衡性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049A50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392792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85B3BED">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2C1D801">
            <w:pPr>
              <w:widowControl/>
              <w:spacing w:line="240" w:lineRule="exact"/>
              <w:jc w:val="left"/>
              <w:textAlignment w:val="center"/>
              <w:rPr>
                <w:rFonts w:hint="eastAsia" w:ascii="仿宋_GB2312" w:eastAsia="仿宋_GB2312" w:cs="仿宋_GB2312"/>
                <w:color w:val="000000"/>
                <w:kern w:val="0"/>
                <w:sz w:val="24"/>
                <w:szCs w:val="24"/>
              </w:rPr>
            </w:pPr>
          </w:p>
        </w:tc>
      </w:tr>
      <w:tr w14:paraId="3627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55F730"/>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C28AC5B"/>
        </w:tc>
        <w:tc>
          <w:tcPr>
            <w:tcW w:w="1355" w:type="dxa"/>
            <w:tcBorders>
              <w:top w:val="single" w:color="000000" w:sz="4" w:space="0"/>
              <w:left w:val="single" w:color="000000" w:sz="4" w:space="0"/>
              <w:bottom w:val="single" w:color="000000" w:sz="4" w:space="0"/>
              <w:right w:val="single" w:color="000000" w:sz="4" w:space="0"/>
            </w:tcBorders>
            <w:noWrap/>
            <w:vAlign w:val="center"/>
          </w:tcPr>
          <w:p w14:paraId="01198EA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对象精准性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2A0AB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08E393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0E3CA8C">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3560B7A">
            <w:pPr>
              <w:widowControl/>
              <w:spacing w:line="240" w:lineRule="exact"/>
              <w:jc w:val="left"/>
              <w:textAlignment w:val="center"/>
              <w:rPr>
                <w:rFonts w:hint="eastAsia" w:ascii="仿宋_GB2312" w:eastAsia="仿宋_GB2312" w:cs="仿宋_GB2312"/>
                <w:color w:val="000000"/>
                <w:kern w:val="0"/>
                <w:sz w:val="24"/>
                <w:szCs w:val="24"/>
              </w:rPr>
            </w:pPr>
          </w:p>
        </w:tc>
      </w:tr>
      <w:tr w14:paraId="1823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EB45C54"/>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B07BA65"/>
        </w:tc>
        <w:tc>
          <w:tcPr>
            <w:tcW w:w="1355" w:type="dxa"/>
            <w:tcBorders>
              <w:top w:val="single" w:color="000000" w:sz="4" w:space="0"/>
              <w:left w:val="single" w:color="000000" w:sz="4" w:space="0"/>
              <w:bottom w:val="single" w:color="000000" w:sz="4" w:space="0"/>
              <w:right w:val="single" w:color="000000" w:sz="4" w:space="0"/>
            </w:tcBorders>
            <w:noWrap/>
            <w:vAlign w:val="center"/>
          </w:tcPr>
          <w:p w14:paraId="53F5B47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B3FC21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3D7B1A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86FA108">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AC73735">
            <w:pPr>
              <w:widowControl/>
              <w:spacing w:line="240" w:lineRule="exact"/>
              <w:jc w:val="left"/>
              <w:textAlignment w:val="center"/>
              <w:rPr>
                <w:rFonts w:hint="eastAsia" w:ascii="仿宋_GB2312" w:eastAsia="仿宋_GB2312" w:cs="仿宋_GB2312"/>
                <w:color w:val="000000"/>
                <w:kern w:val="0"/>
                <w:sz w:val="24"/>
                <w:szCs w:val="24"/>
              </w:rPr>
            </w:pPr>
          </w:p>
        </w:tc>
      </w:tr>
      <w:tr w14:paraId="2D8B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A7151F3"/>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EA05871"/>
        </w:tc>
        <w:tc>
          <w:tcPr>
            <w:tcW w:w="1355" w:type="dxa"/>
            <w:tcBorders>
              <w:top w:val="single" w:color="000000" w:sz="4" w:space="0"/>
              <w:left w:val="single" w:color="000000" w:sz="4" w:space="0"/>
              <w:bottom w:val="single" w:color="000000" w:sz="4" w:space="0"/>
              <w:right w:val="single" w:color="000000" w:sz="4" w:space="0"/>
            </w:tcBorders>
            <w:noWrap/>
            <w:vAlign w:val="center"/>
          </w:tcPr>
          <w:p w14:paraId="30D0551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群众满意度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49644C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1CCE65F">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65B983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3D3BAF5">
            <w:pPr>
              <w:widowControl/>
              <w:spacing w:line="240" w:lineRule="exact"/>
              <w:jc w:val="left"/>
              <w:textAlignment w:val="center"/>
              <w:rPr>
                <w:rFonts w:hint="eastAsia" w:ascii="仿宋_GB2312" w:eastAsia="仿宋_GB2312" w:cs="仿宋_GB2312"/>
                <w:color w:val="000000"/>
                <w:kern w:val="0"/>
                <w:sz w:val="24"/>
                <w:szCs w:val="24"/>
              </w:rPr>
            </w:pPr>
          </w:p>
        </w:tc>
      </w:tr>
      <w:tr w14:paraId="3543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06E47B"/>
        </w:tc>
        <w:tc>
          <w:tcPr>
            <w:tcW w:w="765" w:type="dxa"/>
            <w:vMerge w:val="restart"/>
            <w:tcBorders>
              <w:top w:val="single" w:color="000000" w:sz="4" w:space="0"/>
              <w:left w:val="single" w:color="000000" w:sz="4" w:space="0"/>
              <w:bottom w:val="single" w:color="000000" w:sz="4" w:space="0"/>
              <w:right w:val="single" w:color="000000" w:sz="4" w:space="0"/>
            </w:tcBorders>
            <w:noWrap/>
            <w:vAlign w:val="center"/>
          </w:tcPr>
          <w:p w14:paraId="2938D4C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基础</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设施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6850049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在建</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292AF9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工程进度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14F38D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6E1ECE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BF2E947">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5A400AE">
            <w:pPr>
              <w:widowControl/>
              <w:spacing w:line="240" w:lineRule="exact"/>
              <w:jc w:val="left"/>
              <w:textAlignment w:val="center"/>
              <w:rPr>
                <w:rFonts w:hint="eastAsia" w:ascii="仿宋_GB2312" w:eastAsia="仿宋_GB2312" w:cs="仿宋_GB2312"/>
                <w:color w:val="000000"/>
                <w:kern w:val="0"/>
                <w:sz w:val="24"/>
                <w:szCs w:val="24"/>
              </w:rPr>
            </w:pPr>
          </w:p>
        </w:tc>
      </w:tr>
      <w:tr w14:paraId="4EB71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028925"/>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56CB5F8D"/>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246CF79"/>
        </w:tc>
        <w:tc>
          <w:tcPr>
            <w:tcW w:w="1355" w:type="dxa"/>
            <w:tcBorders>
              <w:top w:val="single" w:color="000000" w:sz="4" w:space="0"/>
              <w:left w:val="single" w:color="000000" w:sz="4" w:space="0"/>
              <w:bottom w:val="single" w:color="000000" w:sz="4" w:space="0"/>
              <w:right w:val="single" w:color="000000" w:sz="4" w:space="0"/>
            </w:tcBorders>
            <w:noWrap/>
            <w:vAlign w:val="center"/>
          </w:tcPr>
          <w:p w14:paraId="26A381E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资金拨付</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F8087C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0B39C5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E5AB299">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6B80495">
            <w:pPr>
              <w:widowControl/>
              <w:spacing w:line="240" w:lineRule="exact"/>
              <w:jc w:val="left"/>
              <w:textAlignment w:val="center"/>
              <w:rPr>
                <w:rFonts w:hint="eastAsia" w:ascii="仿宋_GB2312" w:eastAsia="仿宋_GB2312" w:cs="仿宋_GB2312"/>
                <w:color w:val="000000"/>
                <w:kern w:val="0"/>
                <w:sz w:val="24"/>
                <w:szCs w:val="24"/>
              </w:rPr>
            </w:pPr>
          </w:p>
        </w:tc>
      </w:tr>
      <w:tr w14:paraId="7D1E9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E5350D5"/>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45C949E"/>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57C1D2F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建成</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64D1319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F9F3E3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879785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F992C2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9278005">
            <w:pPr>
              <w:widowControl/>
              <w:spacing w:line="240" w:lineRule="exact"/>
              <w:jc w:val="left"/>
              <w:textAlignment w:val="center"/>
              <w:rPr>
                <w:rFonts w:hint="eastAsia" w:ascii="仿宋_GB2312" w:eastAsia="仿宋_GB2312" w:cs="仿宋_GB2312"/>
                <w:color w:val="000000"/>
                <w:kern w:val="0"/>
                <w:sz w:val="24"/>
                <w:szCs w:val="24"/>
              </w:rPr>
            </w:pPr>
          </w:p>
        </w:tc>
      </w:tr>
      <w:tr w14:paraId="5738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0723E0"/>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5DC4FC4E"/>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6373DC32"/>
        </w:tc>
        <w:tc>
          <w:tcPr>
            <w:tcW w:w="1355" w:type="dxa"/>
            <w:tcBorders>
              <w:top w:val="single" w:color="000000" w:sz="4" w:space="0"/>
              <w:left w:val="single" w:color="000000" w:sz="4" w:space="0"/>
              <w:bottom w:val="single" w:color="000000" w:sz="4" w:space="0"/>
              <w:right w:val="single" w:color="000000" w:sz="4" w:space="0"/>
            </w:tcBorders>
            <w:noWrap/>
            <w:vAlign w:val="center"/>
          </w:tcPr>
          <w:p w14:paraId="7468F4A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功能实现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724D61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946E9B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F3B2AC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FB0B0E1">
            <w:pPr>
              <w:widowControl/>
              <w:spacing w:line="240" w:lineRule="exact"/>
              <w:jc w:val="left"/>
              <w:textAlignment w:val="center"/>
              <w:rPr>
                <w:rFonts w:hint="eastAsia" w:ascii="仿宋_GB2312" w:eastAsia="仿宋_GB2312" w:cs="仿宋_GB2312"/>
                <w:color w:val="000000"/>
                <w:kern w:val="0"/>
                <w:sz w:val="24"/>
                <w:szCs w:val="24"/>
              </w:rPr>
            </w:pPr>
          </w:p>
        </w:tc>
      </w:tr>
      <w:tr w14:paraId="198F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265F1C0"/>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0DA83F90"/>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8F53F00"/>
        </w:tc>
        <w:tc>
          <w:tcPr>
            <w:tcW w:w="1355" w:type="dxa"/>
            <w:tcBorders>
              <w:top w:val="single" w:color="000000" w:sz="4" w:space="0"/>
              <w:left w:val="single" w:color="000000" w:sz="4" w:space="0"/>
              <w:bottom w:val="single" w:color="000000" w:sz="4" w:space="0"/>
              <w:right w:val="single" w:color="000000" w:sz="4" w:space="0"/>
            </w:tcBorders>
            <w:noWrap/>
            <w:vAlign w:val="center"/>
          </w:tcPr>
          <w:p w14:paraId="26C931E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后续管护</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59F8F4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45EC85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A8CAE0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3EE86FB">
            <w:pPr>
              <w:widowControl/>
              <w:spacing w:line="240" w:lineRule="exact"/>
              <w:jc w:val="left"/>
              <w:textAlignment w:val="center"/>
              <w:rPr>
                <w:rFonts w:hint="eastAsia" w:ascii="仿宋_GB2312" w:eastAsia="仿宋_GB2312" w:cs="仿宋_GB2312"/>
                <w:color w:val="000000"/>
                <w:kern w:val="0"/>
                <w:sz w:val="24"/>
                <w:szCs w:val="24"/>
              </w:rPr>
            </w:pPr>
          </w:p>
        </w:tc>
      </w:tr>
      <w:tr w14:paraId="507F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1DAB277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3CE310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行政运转</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nil"/>
              <w:left w:val="single" w:color="000000" w:sz="4" w:space="0"/>
              <w:bottom w:val="single" w:color="000000" w:sz="4" w:space="0"/>
              <w:right w:val="single" w:color="000000" w:sz="4" w:space="0"/>
            </w:tcBorders>
            <w:noWrap/>
            <w:vAlign w:val="center"/>
          </w:tcPr>
          <w:p w14:paraId="54BE46B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用途合规性</w:t>
            </w:r>
          </w:p>
        </w:tc>
        <w:tc>
          <w:tcPr>
            <w:tcW w:w="696" w:type="dxa"/>
            <w:tcBorders>
              <w:top w:val="nil"/>
              <w:left w:val="single" w:color="000000" w:sz="4" w:space="0"/>
              <w:bottom w:val="single" w:color="000000" w:sz="4" w:space="0"/>
              <w:right w:val="single" w:color="000000" w:sz="4" w:space="0"/>
            </w:tcBorders>
            <w:noWrap/>
            <w:vAlign w:val="center"/>
          </w:tcPr>
          <w:p w14:paraId="2B2CF17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nil"/>
              <w:left w:val="single" w:color="000000" w:sz="4" w:space="0"/>
              <w:bottom w:val="single" w:color="000000" w:sz="4" w:space="0"/>
              <w:right w:val="single" w:color="000000" w:sz="4" w:space="0"/>
            </w:tcBorders>
            <w:noWrap/>
            <w:vAlign w:val="center"/>
          </w:tcPr>
          <w:p w14:paraId="59FA7EB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ign w:val="center"/>
          </w:tcPr>
          <w:p w14:paraId="3E8DA12F">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nil"/>
              <w:left w:val="single" w:color="000000" w:sz="4" w:space="0"/>
              <w:bottom w:val="single" w:color="000000" w:sz="4" w:space="0"/>
              <w:right w:val="single" w:color="000000" w:sz="4" w:space="0"/>
            </w:tcBorders>
            <w:noWrap/>
            <w:vAlign w:val="center"/>
          </w:tcPr>
          <w:p w14:paraId="5811C12E">
            <w:pPr>
              <w:widowControl/>
              <w:spacing w:line="240" w:lineRule="exact"/>
              <w:jc w:val="left"/>
              <w:textAlignment w:val="center"/>
              <w:rPr>
                <w:rFonts w:hint="eastAsia" w:ascii="仿宋_GB2312" w:eastAsia="仿宋_GB2312" w:cs="仿宋_GB2312"/>
                <w:color w:val="000000"/>
                <w:kern w:val="0"/>
                <w:sz w:val="24"/>
                <w:szCs w:val="24"/>
              </w:rPr>
            </w:pPr>
          </w:p>
        </w:tc>
      </w:tr>
      <w:tr w14:paraId="7D85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D6DB7A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CC92B9B"/>
        </w:tc>
        <w:tc>
          <w:tcPr>
            <w:tcW w:w="1355" w:type="dxa"/>
            <w:tcBorders>
              <w:top w:val="nil"/>
              <w:left w:val="single" w:color="000000" w:sz="4" w:space="0"/>
              <w:bottom w:val="single" w:color="000000" w:sz="4" w:space="0"/>
              <w:right w:val="single" w:color="000000" w:sz="4" w:space="0"/>
            </w:tcBorders>
            <w:noWrap/>
            <w:vAlign w:val="center"/>
          </w:tcPr>
          <w:p w14:paraId="0C9DDB8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程序合规性</w:t>
            </w:r>
          </w:p>
        </w:tc>
        <w:tc>
          <w:tcPr>
            <w:tcW w:w="696" w:type="dxa"/>
            <w:tcBorders>
              <w:top w:val="nil"/>
              <w:left w:val="single" w:color="000000" w:sz="4" w:space="0"/>
              <w:bottom w:val="single" w:color="000000" w:sz="4" w:space="0"/>
              <w:right w:val="single" w:color="000000" w:sz="4" w:space="0"/>
            </w:tcBorders>
            <w:noWrap/>
            <w:vAlign w:val="center"/>
          </w:tcPr>
          <w:p w14:paraId="3259879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C0C6A04">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34B4A6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AC6C368">
            <w:pPr>
              <w:widowControl/>
              <w:spacing w:line="240" w:lineRule="exact"/>
              <w:jc w:val="left"/>
              <w:textAlignment w:val="center"/>
              <w:rPr>
                <w:rFonts w:hint="eastAsia" w:ascii="仿宋_GB2312" w:eastAsia="仿宋_GB2312" w:cs="仿宋_GB2312"/>
                <w:color w:val="000000"/>
                <w:kern w:val="0"/>
                <w:sz w:val="24"/>
                <w:szCs w:val="24"/>
              </w:rPr>
            </w:pPr>
          </w:p>
        </w:tc>
      </w:tr>
      <w:tr w14:paraId="0A92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B49E1D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8FDA0F3"/>
        </w:tc>
        <w:tc>
          <w:tcPr>
            <w:tcW w:w="1355" w:type="dxa"/>
            <w:tcBorders>
              <w:top w:val="nil"/>
              <w:left w:val="single" w:color="000000" w:sz="4" w:space="0"/>
              <w:bottom w:val="single" w:color="000000" w:sz="4" w:space="0"/>
              <w:right w:val="single" w:color="000000" w:sz="4" w:space="0"/>
            </w:tcBorders>
            <w:noWrap/>
            <w:vAlign w:val="center"/>
          </w:tcPr>
          <w:p w14:paraId="6CBFBF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标准合规性</w:t>
            </w:r>
          </w:p>
        </w:tc>
        <w:tc>
          <w:tcPr>
            <w:tcW w:w="696" w:type="dxa"/>
            <w:tcBorders>
              <w:top w:val="nil"/>
              <w:left w:val="single" w:color="000000" w:sz="4" w:space="0"/>
              <w:bottom w:val="single" w:color="000000" w:sz="4" w:space="0"/>
              <w:right w:val="single" w:color="000000" w:sz="4" w:space="0"/>
            </w:tcBorders>
            <w:noWrap/>
            <w:vAlign w:val="center"/>
          </w:tcPr>
          <w:p w14:paraId="703371D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3FF91B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519C80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3D10B4F">
            <w:pPr>
              <w:widowControl/>
              <w:spacing w:line="240" w:lineRule="exact"/>
              <w:jc w:val="left"/>
              <w:textAlignment w:val="center"/>
              <w:rPr>
                <w:rFonts w:hint="eastAsia" w:ascii="仿宋_GB2312" w:eastAsia="仿宋_GB2312" w:cs="仿宋_GB2312"/>
                <w:color w:val="000000"/>
                <w:kern w:val="0"/>
                <w:sz w:val="24"/>
                <w:szCs w:val="24"/>
              </w:rPr>
            </w:pPr>
          </w:p>
        </w:tc>
      </w:tr>
      <w:tr w14:paraId="1202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12571E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个性指标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（16分）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FBDE0C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质量指标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E2F1FEE">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000000" w:sz="4" w:space="0"/>
              <w:left w:val="single" w:color="000000" w:sz="4" w:space="0"/>
              <w:bottom w:val="single" w:color="auto" w:sz="4" w:space="0"/>
              <w:right w:val="single" w:color="000000" w:sz="4" w:space="0"/>
            </w:tcBorders>
            <w:noWrap/>
            <w:vAlign w:val="center"/>
          </w:tcPr>
          <w:p w14:paraId="66CEFD5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数字档案馆建设</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AA68DD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D008A54">
            <w:pPr>
              <w:widowControl/>
              <w:spacing w:line="240" w:lineRule="exact"/>
              <w:jc w:val="left"/>
              <w:textAlignment w:val="center"/>
              <w:rPr>
                <w:rFonts w:hint="eastAsia" w:ascii="仿宋_GB2312" w:eastAsia="仿宋_GB2312" w:cs="仿宋_GB2312"/>
                <w:color w:val="000000"/>
                <w:kern w:val="0"/>
                <w:sz w:val="24"/>
                <w:szCs w:val="24"/>
              </w:rPr>
            </w:pPr>
          </w:p>
        </w:tc>
      </w:tr>
      <w:tr w14:paraId="1C88A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1E40E393"/>
        </w:tc>
        <w:tc>
          <w:tcPr>
            <w:tcW w:w="1355" w:type="dxa"/>
            <w:tcBorders>
              <w:top w:val="single" w:color="000000" w:sz="4" w:space="0"/>
              <w:left w:val="single" w:color="000000" w:sz="4" w:space="0"/>
              <w:bottom w:val="single" w:color="000000" w:sz="4" w:space="0"/>
              <w:right w:val="single" w:color="000000" w:sz="4" w:space="0"/>
            </w:tcBorders>
            <w:noWrap/>
            <w:vAlign w:val="center"/>
          </w:tcPr>
          <w:p w14:paraId="47D8BAB1">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社会效益指标</w:t>
            </w:r>
          </w:p>
        </w:tc>
        <w:tc>
          <w:tcPr>
            <w:tcW w:w="696" w:type="dxa"/>
            <w:tcBorders>
              <w:top w:val="single" w:color="000000" w:sz="4" w:space="0"/>
              <w:left w:val="single" w:color="000000" w:sz="4" w:space="0"/>
              <w:bottom w:val="single" w:color="auto" w:sz="4" w:space="0"/>
              <w:right w:val="single" w:color="000000" w:sz="4" w:space="0"/>
            </w:tcBorders>
            <w:noWrap/>
            <w:vAlign w:val="center"/>
          </w:tcPr>
          <w:p w14:paraId="4E0C1E71">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4254BEF1">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档案查阅利用方便、快捷</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1D9BAC1">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9C2392A">
            <w:pPr>
              <w:widowControl/>
              <w:spacing w:line="240" w:lineRule="exact"/>
              <w:jc w:val="left"/>
              <w:rPr>
                <w:rFonts w:hint="eastAsia" w:ascii="仿宋_GB2312" w:eastAsia="仿宋_GB2312" w:cs="仿宋_GB2312"/>
                <w:color w:val="000000"/>
                <w:sz w:val="24"/>
                <w:szCs w:val="24"/>
              </w:rPr>
            </w:pPr>
          </w:p>
        </w:tc>
      </w:tr>
      <w:tr w14:paraId="6974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01B959A0"/>
        </w:tc>
        <w:tc>
          <w:tcPr>
            <w:tcW w:w="1355" w:type="dxa"/>
            <w:tcBorders>
              <w:top w:val="single" w:color="000000" w:sz="4" w:space="0"/>
              <w:left w:val="single" w:color="000000" w:sz="4" w:space="0"/>
              <w:bottom w:val="single" w:color="000000" w:sz="4" w:space="0"/>
              <w:right w:val="single" w:color="000000" w:sz="4" w:space="0"/>
            </w:tcBorders>
            <w:noWrap/>
            <w:vAlign w:val="center"/>
          </w:tcPr>
          <w:p w14:paraId="479C4D7F">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服务对象满意度指标</w:t>
            </w:r>
          </w:p>
        </w:tc>
        <w:tc>
          <w:tcPr>
            <w:tcW w:w="696" w:type="dxa"/>
            <w:tcBorders>
              <w:top w:val="single" w:color="auto" w:sz="4" w:space="0"/>
              <w:left w:val="single" w:color="000000" w:sz="4" w:space="0"/>
              <w:bottom w:val="single" w:color="000000" w:sz="4" w:space="0"/>
              <w:right w:val="single" w:color="000000" w:sz="4" w:space="0"/>
            </w:tcBorders>
            <w:noWrap/>
            <w:vAlign w:val="center"/>
          </w:tcPr>
          <w:p w14:paraId="706FF591">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4</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57FC490B">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查阅利用档案人员满意</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66BF89A">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427043F">
            <w:pPr>
              <w:widowControl/>
              <w:spacing w:line="240" w:lineRule="exact"/>
              <w:jc w:val="left"/>
              <w:rPr>
                <w:rFonts w:hint="eastAsia" w:ascii="仿宋_GB2312" w:eastAsia="仿宋_GB2312" w:cs="仿宋_GB2312"/>
                <w:color w:val="000000"/>
                <w:sz w:val="24"/>
                <w:szCs w:val="24"/>
              </w:rPr>
            </w:pPr>
          </w:p>
        </w:tc>
      </w:tr>
      <w:tr w14:paraId="5B0E4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ign w:val="center"/>
          </w:tcPr>
          <w:p w14:paraId="4674078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扣分项</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4E3848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部门配合度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575FC1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w:t>
            </w:r>
          </w:p>
        </w:tc>
        <w:tc>
          <w:tcPr>
            <w:tcW w:w="5340" w:type="dxa"/>
            <w:tcBorders>
              <w:top w:val="single" w:color="auto" w:sz="4" w:space="0"/>
              <w:left w:val="single" w:color="000000" w:sz="4" w:space="0"/>
              <w:bottom w:val="single" w:color="000000" w:sz="4" w:space="0"/>
              <w:right w:val="single" w:color="000000" w:sz="4" w:space="0"/>
            </w:tcBorders>
            <w:noWrap/>
            <w:vAlign w:val="center"/>
          </w:tcPr>
          <w:p w14:paraId="1D62FD4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34A9C2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48F4AB2">
            <w:pPr>
              <w:widowControl/>
              <w:spacing w:line="240" w:lineRule="exact"/>
              <w:jc w:val="left"/>
              <w:textAlignment w:val="center"/>
              <w:rPr>
                <w:rFonts w:hint="eastAsia" w:ascii="仿宋_GB2312" w:eastAsia="仿宋_GB2312" w:cs="仿宋_GB2312"/>
                <w:color w:val="000000"/>
                <w:kern w:val="0"/>
                <w:sz w:val="24"/>
                <w:szCs w:val="24"/>
              </w:rPr>
            </w:pPr>
          </w:p>
        </w:tc>
      </w:tr>
    </w:tbl>
    <w:p w14:paraId="4AB25DD0">
      <w:pPr>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br w:type="page"/>
      </w: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2</w:t>
      </w:r>
    </w:p>
    <w:tbl>
      <w:tblPr>
        <w:tblStyle w:val="22"/>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282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03B001A">
            <w:pPr>
              <w:widowControl/>
              <w:spacing w:line="600" w:lineRule="exact"/>
              <w:jc w:val="center"/>
              <w:textAlignment w:val="center"/>
              <w:rPr>
                <w:rFonts w:hint="eastAsia" w:ascii="仿宋_GB2312" w:eastAsia="仿宋_GB2312" w:cs="仿宋_GB2312"/>
                <w:color w:val="000000"/>
                <w:sz w:val="30"/>
                <w:szCs w:val="30"/>
              </w:rPr>
            </w:pPr>
            <w:r>
              <w:rPr>
                <w:rFonts w:hint="eastAsia" w:ascii="仿宋_GB2312" w:eastAsia="仿宋_GB2312" w:cs="仿宋_GB2312"/>
                <w:color w:val="000000"/>
                <w:kern w:val="0"/>
                <w:sz w:val="40"/>
                <w:szCs w:val="40"/>
              </w:rPr>
              <w:t>专项预算项目绩效目标完成情况自评表</w:t>
            </w:r>
          </w:p>
        </w:tc>
      </w:tr>
      <w:tr w14:paraId="29E0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B24AB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9EBAE">
            <w:pPr>
              <w:spacing w:line="300" w:lineRule="exac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数字档案馆建设项目</w:t>
            </w:r>
          </w:p>
        </w:tc>
      </w:tr>
      <w:tr w14:paraId="5037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C0361">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0079D">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茂县档案馆</w:t>
            </w:r>
          </w:p>
        </w:tc>
      </w:tr>
      <w:tr w14:paraId="0C8F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B7E93B">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96A370">
            <w:pPr>
              <w:spacing w:line="300" w:lineRule="exact"/>
              <w:jc w:val="lef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四川省档案事业发展专项资金</w:t>
            </w:r>
          </w:p>
        </w:tc>
      </w:tr>
      <w:tr w14:paraId="5862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15DF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BE35D">
            <w:pPr>
              <w:widowControl/>
              <w:spacing w:line="300" w:lineRule="exact"/>
              <w:jc w:val="left"/>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中长期规划（名称、文号，仅指</w:t>
            </w:r>
          </w:p>
          <w:p w14:paraId="27E69E33">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82AFC3">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lang w:eastAsia="zh-CN"/>
              </w:rPr>
              <w:t>四川省档案事业发展专项资金</w:t>
            </w:r>
          </w:p>
        </w:tc>
      </w:tr>
      <w:tr w14:paraId="5A98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764D0"/>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77368">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CCCCD">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茂财预往</w:t>
            </w:r>
            <w:r>
              <w:rPr>
                <w:rFonts w:hint="eastAsia" w:ascii="仿宋_GB2312" w:eastAsia="仿宋_GB2312" w:cs="仿宋_GB2312"/>
                <w:color w:val="000000"/>
                <w:sz w:val="24"/>
                <w:szCs w:val="24"/>
                <w:lang w:val="en-US" w:eastAsia="zh-CN"/>
              </w:rPr>
              <w:t>[2024]00177号</w:t>
            </w:r>
          </w:p>
        </w:tc>
      </w:tr>
      <w:tr w14:paraId="4E51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C356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68D07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E4A5">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12C0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0A94">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sym w:font="Wingdings 2" w:char="0052"/>
            </w:r>
            <w:r>
              <w:rPr>
                <w:rFonts w:hint="eastAsia" w:ascii="仿宋_GB2312" w:eastAsia="仿宋_GB2312" w:cs="仿宋_GB2312"/>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5B66">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因素法与项目法相结合</w:t>
            </w:r>
          </w:p>
        </w:tc>
      </w:tr>
      <w:tr w14:paraId="75201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31022"/>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8276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5F3461">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shd w:val="clear" w:color="auto" w:fill="FFFFFF"/>
                <w:lang w:eastAsia="zh-CN"/>
              </w:rPr>
              <w:t>茂县档案馆于</w:t>
            </w:r>
            <w:r>
              <w:rPr>
                <w:rFonts w:hint="eastAsia" w:ascii="仿宋_GB2312" w:eastAsia="仿宋_GB2312" w:cs="仿宋_GB2312"/>
                <w:color w:val="000000"/>
                <w:sz w:val="24"/>
                <w:szCs w:val="24"/>
                <w:shd w:val="clear" w:color="auto" w:fill="FFFFFF"/>
                <w:lang w:val="en-US" w:eastAsia="zh-CN"/>
              </w:rPr>
              <w:t>2021年确定为数字档案馆试点单位，要求2025年前完成数字档案馆建设试点任务，通过省级及以上档案主管部门成果认定。目前，已完成机房改造，局域网布设，馆藏档案管理系统布设。</w:t>
            </w:r>
          </w:p>
        </w:tc>
      </w:tr>
      <w:tr w14:paraId="0E16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393CD"/>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2231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30A22">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数字档案馆建设项目。</w:t>
            </w:r>
          </w:p>
        </w:tc>
      </w:tr>
      <w:tr w14:paraId="192D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31989"/>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CAE95">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CA0E71">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rPr>
              <w:t>1、落实有关财政资金管理，确保项目按照有关规定用款</w:t>
            </w:r>
          </w:p>
          <w:p w14:paraId="6962C7E0">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lang w:val="en-US" w:eastAsia="zh-CN"/>
              </w:rPr>
              <w:t>2、</w:t>
            </w:r>
            <w:r>
              <w:rPr>
                <w:rFonts w:hint="eastAsia" w:ascii="仿宋_GB2312" w:eastAsia="仿宋_GB2312" w:cs="仿宋_GB2312"/>
                <w:i w:val="0"/>
                <w:color w:val="000000"/>
                <w:sz w:val="24"/>
                <w:szCs w:val="24"/>
                <w:u w:val="none"/>
              </w:rPr>
              <w:t>落实项目内控制度，按照要求编制项目绩效管理评价</w:t>
            </w:r>
          </w:p>
          <w:p w14:paraId="1B07A40D">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rPr>
              <w:t>3、严格执行有关规定，实现项目的质量和效率</w:t>
            </w:r>
          </w:p>
        </w:tc>
      </w:tr>
      <w:tr w14:paraId="25AC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CCAF"/>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1A04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AC637">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lang w:val="en-US" w:eastAsia="zh-CN"/>
              </w:rPr>
              <w:t>2023年——2024年</w:t>
            </w:r>
          </w:p>
        </w:tc>
      </w:tr>
      <w:tr w14:paraId="0F87F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EE349">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项目资金</w:t>
            </w:r>
          </w:p>
          <w:p w14:paraId="74510B6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3F66E">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9A1E66">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257.91万元</w:t>
            </w:r>
          </w:p>
        </w:tc>
      </w:tr>
      <w:tr w14:paraId="0964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3628"/>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BD314">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11C3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257.91万元</w:t>
            </w:r>
          </w:p>
        </w:tc>
      </w:tr>
      <w:tr w14:paraId="2564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DCB9"/>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E2CF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B50EF3">
            <w:pPr>
              <w:spacing w:line="300" w:lineRule="exact"/>
              <w:jc w:val="right"/>
              <w:rPr>
                <w:rFonts w:hint="eastAsia" w:ascii="仿宋_GB2312" w:eastAsia="仿宋_GB2312" w:cs="仿宋_GB2312"/>
                <w:color w:val="000000"/>
                <w:sz w:val="24"/>
                <w:szCs w:val="24"/>
              </w:rPr>
            </w:pPr>
          </w:p>
        </w:tc>
      </w:tr>
      <w:tr w14:paraId="438B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BDD3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4B308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年度目标</w:t>
            </w:r>
          </w:p>
        </w:tc>
      </w:tr>
      <w:tr w14:paraId="629E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D51B2"/>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4E0A20">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档案馆数字化建设机房维护、库房倒库</w:t>
            </w:r>
          </w:p>
        </w:tc>
      </w:tr>
      <w:tr w14:paraId="641C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76F475C9">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75646B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EDCFC7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5E3FB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2A4A1EE">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49307A0">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DC588">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3D1BA6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54D56CE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实际完成指标值</w:t>
            </w:r>
          </w:p>
        </w:tc>
      </w:tr>
      <w:tr w14:paraId="0E5E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455E3AB"/>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A4B860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04619BFB">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数量指标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4594258">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8051D1F">
            <w:pPr>
              <w:spacing w:line="300" w:lineRule="exact"/>
              <w:jc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0CDFEE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0DCE4348">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373B239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AB492E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25F5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9426773"/>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AFA5CD7">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4A53896D">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社会效益</w:t>
            </w:r>
          </w:p>
          <w:p w14:paraId="3B376A9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AC43E95">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档案查阅利用方便、快捷</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2AA311FA">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60FDA834">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32E37FFE">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49BBA027">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74407D4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5C54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3C76069"/>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E51EC46">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满意度</w:t>
            </w:r>
          </w:p>
          <w:p w14:paraId="457E6F10">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31270B99">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服务对象</w:t>
            </w:r>
          </w:p>
          <w:p w14:paraId="2F88FEA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满意度指标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5D21E511">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查阅利用档案人员满意</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59B27713">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50E05B5">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48FFC36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人</w:t>
            </w:r>
            <w:r>
              <w:rPr>
                <w:rFonts w:hint="eastAsia" w:ascii="仿宋_GB2312" w:eastAsia="仿宋_GB2312" w:cs="仿宋_GB2312"/>
                <w:color w:val="000000"/>
                <w:sz w:val="24"/>
                <w:szCs w:val="24"/>
                <w:lang w:val="en-US" w:eastAsia="zh-CN"/>
              </w:rPr>
              <w:t>/次</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6B1867E4">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2B76AD45">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bl>
    <w:p w14:paraId="25EEE14E">
      <w:pPr>
        <w:pStyle w:val="21"/>
        <w:spacing w:after="0" w:line="578" w:lineRule="exact"/>
        <w:ind w:left="0" w:leftChars="0"/>
        <w:rPr>
          <w:rFonts w:ascii="黑体" w:eastAsia="黑体" w:cs="黑体"/>
          <w:sz w:val="24"/>
          <w:szCs w:val="24"/>
        </w:rPr>
      </w:pPr>
    </w:p>
    <w:p w14:paraId="4310E884">
      <w:pPr>
        <w:pStyle w:val="17"/>
        <w:rPr>
          <w:lang w:val="en-US" w:eastAsia="zh-CN"/>
        </w:rPr>
      </w:pPr>
    </w:p>
    <w:p w14:paraId="32F22DC9">
      <w:pPr>
        <w:rPr>
          <w:lang w:val="en-US" w:eastAsia="zh-CN"/>
        </w:rPr>
      </w:pPr>
    </w:p>
    <w:p w14:paraId="10DAEEBD">
      <w:pPr>
        <w:pStyle w:val="17"/>
        <w:rPr>
          <w:lang w:val="en-US" w:eastAsia="zh-CN"/>
        </w:rPr>
      </w:pPr>
    </w:p>
    <w:p w14:paraId="42ED3E68">
      <w:pPr>
        <w:rPr>
          <w:lang w:val="en-US" w:eastAsia="zh-CN"/>
        </w:rPr>
      </w:pPr>
    </w:p>
    <w:p w14:paraId="1B79C44F">
      <w:pPr>
        <w:pStyle w:val="17"/>
        <w:rPr>
          <w:lang w:val="en-US" w:eastAsia="zh-CN"/>
        </w:rPr>
      </w:pPr>
    </w:p>
    <w:bookmarkEnd w:id="109"/>
    <w:p w14:paraId="7A1B2859">
      <w:pPr>
        <w:pStyle w:val="40"/>
        <w:spacing w:line="578" w:lineRule="exact"/>
        <w:jc w:val="left"/>
        <w:rPr>
          <w:rFonts w:ascii="黑体" w:eastAsia="黑体" w:cs="黑体"/>
          <w:sz w:val="32"/>
          <w:szCs w:val="32"/>
        </w:rPr>
      </w:pPr>
      <w:r>
        <w:rPr>
          <w:rFonts w:hint="eastAsia" w:ascii="黑体" w:eastAsia="黑体" w:cs="黑体"/>
          <w:sz w:val="32"/>
          <w:szCs w:val="32"/>
        </w:rPr>
        <w:t>附件3</w:t>
      </w:r>
    </w:p>
    <w:p w14:paraId="2C295111">
      <w:pPr>
        <w:pStyle w:val="40"/>
        <w:spacing w:line="578" w:lineRule="exact"/>
        <w:jc w:val="center"/>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全州重点档案抢救和保护项目</w:t>
      </w:r>
    </w:p>
    <w:p w14:paraId="13D28FFE">
      <w:pPr>
        <w:pStyle w:val="40"/>
        <w:spacing w:line="578" w:lineRule="exact"/>
        <w:jc w:val="center"/>
        <w:rPr>
          <w:rFonts w:ascii="方正小标宋简体" w:eastAsia="方正小标宋简体" w:cs="方正小标宋简体"/>
          <w:color w:val="auto"/>
          <w:kern w:val="2"/>
          <w:sz w:val="44"/>
          <w:szCs w:val="44"/>
          <w:lang w:val="en-US"/>
        </w:rPr>
      </w:pPr>
      <w:r>
        <w:rPr>
          <w:rFonts w:hint="eastAsia" w:ascii="方正小标宋简体" w:eastAsia="方正小标宋简体" w:cs="方正小标宋简体"/>
          <w:color w:val="auto"/>
          <w:kern w:val="2"/>
          <w:sz w:val="44"/>
          <w:szCs w:val="44"/>
          <w:lang w:val="en-US"/>
        </w:rPr>
        <w:t>专项预算绩效</w:t>
      </w:r>
      <w:r>
        <w:rPr>
          <w:rFonts w:hint="eastAsia" w:ascii="方正小标宋简体" w:eastAsia="方正小标宋简体" w:cs="方正小标宋简体"/>
          <w:color w:val="auto"/>
          <w:kern w:val="2"/>
          <w:sz w:val="44"/>
          <w:szCs w:val="44"/>
          <w:lang w:val="en-US" w:eastAsia="zh-CN"/>
        </w:rPr>
        <w:t>自评</w:t>
      </w:r>
      <w:r>
        <w:rPr>
          <w:rFonts w:hint="eastAsia" w:ascii="方正小标宋简体" w:eastAsia="方正小标宋简体" w:cs="方正小标宋简体"/>
          <w:color w:val="auto"/>
          <w:kern w:val="2"/>
          <w:sz w:val="44"/>
          <w:szCs w:val="44"/>
          <w:lang w:val="en-US"/>
        </w:rPr>
        <w:t>报告</w:t>
      </w:r>
    </w:p>
    <w:p w14:paraId="378CC56F">
      <w:pPr>
        <w:pStyle w:val="40"/>
        <w:spacing w:line="578" w:lineRule="exact"/>
        <w:ind w:firstLine="640"/>
        <w:jc w:val="center"/>
        <w:rPr>
          <w:rFonts w:ascii="宋体"/>
          <w:color w:val="auto"/>
          <w:kern w:val="2"/>
          <w:sz w:val="32"/>
          <w:szCs w:val="32"/>
        </w:rPr>
      </w:pPr>
    </w:p>
    <w:p w14:paraId="2514CD45">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一、</w:t>
      </w:r>
      <w:r>
        <w:rPr>
          <w:rFonts w:hint="eastAsia" w:ascii="黑体" w:eastAsia="黑体" w:cs="黑体"/>
          <w:sz w:val="32"/>
          <w:szCs w:val="32"/>
          <w:lang w:val="zh-CN"/>
        </w:rPr>
        <w:t>项目概况</w:t>
      </w:r>
    </w:p>
    <w:p w14:paraId="40B5B220">
      <w:pPr>
        <w:adjustRightInd w:val="0"/>
        <w:snapToGrid w:val="0"/>
        <w:spacing w:line="560" w:lineRule="exact"/>
        <w:ind w:firstLine="720"/>
        <w:rPr>
          <w:rFonts w:hint="eastAsia" w:ascii="仿宋_GB2312" w:eastAsia="仿宋_GB2312" w:cs="仿宋_GB2312"/>
          <w:color w:val="000000"/>
          <w:sz w:val="32"/>
          <w:szCs w:val="32"/>
          <w:shd w:val="clear" w:color="auto" w:fill="FFFFFF"/>
        </w:rPr>
      </w:pPr>
      <w:r>
        <w:rPr>
          <w:rFonts w:hint="eastAsia" w:ascii="仿宋_GB2312" w:eastAsia="仿宋_GB2312" w:cs="仿宋_GB2312"/>
          <w:b/>
          <w:sz w:val="32"/>
          <w:szCs w:val="32"/>
          <w:lang w:val="zh-CN"/>
        </w:rPr>
        <w:t>（一）设立背景及基本情况。</w:t>
      </w:r>
      <w:r>
        <w:rPr>
          <w:rFonts w:hint="eastAsia" w:ascii="仿宋_GB2312" w:eastAsia="仿宋_GB2312" w:cs="仿宋_GB2312"/>
          <w:color w:val="000000"/>
          <w:sz w:val="32"/>
          <w:szCs w:val="32"/>
          <w:shd w:val="clear" w:color="auto" w:fill="FFFFFF"/>
        </w:rPr>
        <w:t>根据《中华人民共和国档案法》及党和国家有关档案工作的方针、政策，统筹规划全县各乡镇、部门、企事业单位档案工作，依法收集、整理全县重要档案资料，消除不安全因素，开展保管保护工作，保证其完整与安全，开展馆藏档案</w:t>
      </w:r>
      <w:r>
        <w:rPr>
          <w:rFonts w:hint="eastAsia" w:ascii="仿宋_GB2312" w:eastAsia="仿宋_GB2312" w:cs="仿宋_GB2312"/>
          <w:color w:val="000000"/>
          <w:sz w:val="32"/>
          <w:szCs w:val="32"/>
          <w:shd w:val="clear" w:color="auto" w:fill="FFFFFF"/>
          <w:lang w:eastAsia="zh-CN"/>
        </w:rPr>
        <w:t>数字</w:t>
      </w:r>
      <w:r>
        <w:rPr>
          <w:rFonts w:hint="eastAsia" w:ascii="仿宋_GB2312" w:eastAsia="仿宋_GB2312" w:cs="仿宋_GB2312"/>
          <w:color w:val="000000"/>
          <w:sz w:val="32"/>
          <w:szCs w:val="32"/>
          <w:shd w:val="clear" w:color="auto" w:fill="FFFFFF"/>
        </w:rPr>
        <w:t>资源</w:t>
      </w:r>
      <w:r>
        <w:rPr>
          <w:rFonts w:hint="eastAsia" w:ascii="仿宋_GB2312" w:eastAsia="仿宋_GB2312" w:cs="仿宋_GB2312"/>
          <w:color w:val="000000"/>
          <w:sz w:val="32"/>
          <w:szCs w:val="32"/>
          <w:shd w:val="clear" w:color="auto" w:fill="FFFFFF"/>
          <w:lang w:eastAsia="zh-CN"/>
        </w:rPr>
        <w:t>质检及整理</w:t>
      </w:r>
      <w:r>
        <w:rPr>
          <w:rFonts w:hint="eastAsia" w:ascii="仿宋_GB2312" w:eastAsia="仿宋_GB2312" w:cs="仿宋_GB2312"/>
          <w:color w:val="000000"/>
          <w:sz w:val="32"/>
          <w:szCs w:val="32"/>
          <w:shd w:val="clear" w:color="auto" w:fill="FFFFFF"/>
        </w:rPr>
        <w:t>。</w:t>
      </w:r>
      <w:r>
        <w:rPr>
          <w:rFonts w:hint="eastAsia" w:ascii="仿宋_GB2312" w:eastAsia="仿宋_GB2312" w:cs="仿宋_GB2312"/>
          <w:b w:val="0"/>
          <w:bCs/>
          <w:color w:val="auto"/>
          <w:sz w:val="32"/>
          <w:szCs w:val="32"/>
          <w:highlight w:val="none"/>
          <w:u w:val="none"/>
          <w:lang w:val="zh-CN"/>
        </w:rPr>
        <w:t>在项目实施过程中严格按照管理办法使用资金，做到专款专用，严禁虚报、挤占、挪用，无违反规定的行为发生。</w:t>
      </w:r>
    </w:p>
    <w:p w14:paraId="49CF6DED">
      <w:pPr>
        <w:adjustRightInd w:val="0"/>
        <w:snapToGrid w:val="0"/>
        <w:spacing w:line="578" w:lineRule="exact"/>
        <w:ind w:firstLine="643" w:firstLineChars="200"/>
        <w:rPr>
          <w:rFonts w:hint="eastAsia" w:ascii="仿宋_GB2312" w:eastAsia="仿宋_GB2312" w:cs="仿宋_GB2312"/>
          <w:b/>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实施目的及支持方向。</w:t>
      </w:r>
      <w:r>
        <w:rPr>
          <w:rFonts w:hint="eastAsia" w:ascii="仿宋_GB2312" w:eastAsia="仿宋_GB2312" w:cs="仿宋_GB2312"/>
          <w:b w:val="0"/>
          <w:bCs/>
          <w:color w:val="auto"/>
          <w:sz w:val="32"/>
          <w:szCs w:val="32"/>
          <w:highlight w:val="none"/>
          <w:u w:val="none"/>
          <w:lang w:val="en-US" w:eastAsia="zh-CN"/>
        </w:rPr>
        <w:t xml:space="preserve">全州重点档案抢救和保护项目包括档案抢救、保护、移库、现代化管理。专项资金按照“谁使用、谁负责”的原则，承担资金使用和管理责任。      </w:t>
      </w:r>
    </w:p>
    <w:p w14:paraId="0AF0EE8A">
      <w:pPr>
        <w:widowControl/>
        <w:adjustRightInd w:val="0"/>
        <w:snapToGrid w:val="0"/>
        <w:spacing w:line="578" w:lineRule="exact"/>
        <w:ind w:firstLine="643"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预算安排及分配管理</w:t>
      </w:r>
      <w:r>
        <w:rPr>
          <w:rFonts w:hint="eastAsia" w:ascii="仿宋_GB2312" w:eastAsia="仿宋_GB2312" w:cs="仿宋_GB2312"/>
          <w:b/>
          <w:sz w:val="32"/>
          <w:szCs w:val="32"/>
          <w:lang w:val="zh-CN"/>
        </w:rPr>
        <w:t>。</w:t>
      </w:r>
      <w:r>
        <w:rPr>
          <w:rFonts w:hint="eastAsia" w:ascii="仿宋_GB2312" w:eastAsia="仿宋_GB2312" w:cs="仿宋_GB2312"/>
          <w:b w:val="0"/>
          <w:bCs/>
          <w:color w:val="auto"/>
          <w:sz w:val="32"/>
          <w:szCs w:val="32"/>
          <w:highlight w:val="none"/>
          <w:u w:val="none"/>
          <w:lang w:val="zh-CN" w:eastAsia="zh-CN"/>
        </w:rPr>
        <w:t>根据省、州专项资金预算文件通知，</w:t>
      </w:r>
      <w:r>
        <w:rPr>
          <w:rFonts w:hint="eastAsia" w:ascii="仿宋_GB2312" w:eastAsia="仿宋_GB2312" w:cs="仿宋_GB2312"/>
          <w:b w:val="0"/>
          <w:bCs/>
          <w:color w:val="auto"/>
          <w:sz w:val="32"/>
          <w:szCs w:val="32"/>
          <w:highlight w:val="none"/>
          <w:u w:val="none"/>
          <w:lang w:val="en-US" w:eastAsia="zh-CN"/>
        </w:rPr>
        <w:t>9.97万元全部用于档案整理和数据质检等。</w:t>
      </w:r>
    </w:p>
    <w:p w14:paraId="7D1FF5BE">
      <w:pPr>
        <w:adjustRightInd w:val="0"/>
        <w:snapToGrid w:val="0"/>
        <w:spacing w:line="578" w:lineRule="exact"/>
        <w:ind w:firstLine="643" w:firstLineChars="200"/>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（四）项目绩效目标设置。</w:t>
      </w:r>
      <w:r>
        <w:rPr>
          <w:rFonts w:hint="eastAsia" w:ascii="仿宋_GB2312" w:eastAsia="仿宋_GB2312" w:cs="仿宋_GB2312"/>
          <w:kern w:val="0"/>
          <w:sz w:val="32"/>
          <w:szCs w:val="32"/>
          <w:shd w:val="clear" w:color="auto" w:fill="FFFFFF"/>
          <w:lang w:val="zh-CN"/>
        </w:rPr>
        <w:t>按照项目执行进度的要求，已执行并完成该项目支付。</w:t>
      </w:r>
    </w:p>
    <w:p w14:paraId="4CCF1F50">
      <w:pPr>
        <w:adjustRightInd w:val="0"/>
        <w:snapToGrid w:val="0"/>
        <w:spacing w:line="578" w:lineRule="exact"/>
        <w:ind w:firstLine="640" w:firstLineChars="200"/>
        <w:rPr>
          <w:rFonts w:hint="eastAsia" w:ascii="黑体" w:eastAsia="黑体" w:cs="黑体"/>
          <w:sz w:val="32"/>
          <w:szCs w:val="32"/>
        </w:rPr>
      </w:pPr>
      <w:r>
        <w:rPr>
          <w:rFonts w:hint="eastAsia" w:ascii="黑体" w:eastAsia="黑体" w:cs="黑体"/>
          <w:sz w:val="32"/>
          <w:szCs w:val="32"/>
        </w:rPr>
        <w:t>二、评价实施</w:t>
      </w:r>
    </w:p>
    <w:p w14:paraId="3E16F930">
      <w:pPr>
        <w:spacing w:line="578" w:lineRule="exact"/>
        <w:ind w:firstLine="640"/>
        <w:rPr>
          <w:rFonts w:hint="eastAsia" w:ascii="仿宋_GB2312" w:eastAsia="仿宋_GB2312" w:cs="仿宋_GB2312"/>
          <w:sz w:val="32"/>
          <w:szCs w:val="32"/>
        </w:rPr>
      </w:pPr>
      <w:r>
        <w:rPr>
          <w:rFonts w:hint="eastAsia" w:ascii="仿宋_GB2312" w:eastAsia="仿宋_GB2312" w:cs="仿宋_GB2312"/>
          <w:b/>
          <w:sz w:val="32"/>
          <w:szCs w:val="32"/>
          <w:lang w:val="zh-CN"/>
        </w:rPr>
        <w:t>（一）评价目的。</w:t>
      </w:r>
      <w:r>
        <w:rPr>
          <w:rFonts w:hint="eastAsia" w:ascii="仿宋_GB2312" w:eastAsia="仿宋_GB2312" w:cs="仿宋_GB2312"/>
          <w:kern w:val="2"/>
          <w:sz w:val="32"/>
          <w:szCs w:val="32"/>
        </w:rPr>
        <w:t>本次对项目投入经济性的评估是在项目预算测算的基础上，按照厉行节约的要求，结合实际需求、相关费用标准及市场价格水平，重点对数量是否合理、投入是否经济、测算是否准确、测算过程是否详细、测算依据是否充分等方面进行了评估。评估认为，该项</w:t>
      </w:r>
      <w:r>
        <w:rPr>
          <w:rFonts w:hint="eastAsia" w:ascii="仿宋_GB2312" w:eastAsia="仿宋_GB2312" w:cs="仿宋_GB2312"/>
          <w:kern w:val="2"/>
          <w:sz w:val="32"/>
          <w:szCs w:val="32"/>
          <w:u w:val="none"/>
        </w:rPr>
        <w:t>目任务数量基本合理、测算过程较为详细、测算依据基本充分、有一定的经济性。</w:t>
      </w:r>
    </w:p>
    <w:p w14:paraId="1EB078EB">
      <w:pPr>
        <w:spacing w:line="360" w:lineRule="auto"/>
        <w:ind w:firstLine="643" w:firstLineChars="200"/>
        <w:rPr>
          <w:rFonts w:hint="eastAsia" w:ascii="仿宋_GB2312" w:eastAsia="仿宋_GB2312" w:cs="仿宋_GB2312"/>
          <w:sz w:val="32"/>
          <w:szCs w:val="32"/>
          <w:lang w:eastAsia="zh-CN"/>
        </w:rPr>
      </w:pPr>
      <w:r>
        <w:rPr>
          <w:rFonts w:hint="eastAsia" w:ascii="仿宋_GB2312" w:eastAsia="仿宋_GB2312" w:cs="仿宋_GB2312"/>
          <w:b/>
          <w:sz w:val="32"/>
          <w:szCs w:val="32"/>
          <w:lang w:val="zh-CN"/>
        </w:rPr>
        <w:t>（二）预设问题及评价重点。</w:t>
      </w:r>
      <w:r>
        <w:rPr>
          <w:rFonts w:hint="eastAsia" w:ascii="仿宋_GB2312" w:eastAsia="仿宋_GB2312" w:cs="仿宋_GB2312"/>
          <w:b w:val="0"/>
          <w:bCs/>
          <w:color w:val="auto"/>
          <w:sz w:val="32"/>
          <w:szCs w:val="32"/>
          <w:highlight w:val="none"/>
          <w:u w:val="none"/>
          <w:lang w:val="zh-CN"/>
        </w:rPr>
        <w:t>对如何</w:t>
      </w:r>
      <w:r>
        <w:rPr>
          <w:rFonts w:hint="eastAsia" w:ascii="仿宋_GB2312" w:eastAsia="仿宋_GB2312" w:cs="仿宋_GB2312"/>
          <w:b w:val="0"/>
          <w:bCs/>
          <w:kern w:val="2"/>
          <w:sz w:val="32"/>
          <w:szCs w:val="32"/>
        </w:rPr>
        <w:t>提</w:t>
      </w:r>
      <w:r>
        <w:rPr>
          <w:rFonts w:hint="eastAsia" w:ascii="仿宋_GB2312" w:eastAsia="仿宋_GB2312" w:cs="仿宋_GB2312"/>
          <w:kern w:val="2"/>
          <w:sz w:val="32"/>
          <w:szCs w:val="32"/>
        </w:rPr>
        <w:t>高预算编制科学性、合理性，优化财政支出结构</w:t>
      </w:r>
      <w:r>
        <w:rPr>
          <w:rFonts w:hint="eastAsia" w:ascii="仿宋_GB2312" w:eastAsia="仿宋_GB2312" w:cs="仿宋_GB2312"/>
          <w:kern w:val="2"/>
          <w:sz w:val="32"/>
          <w:szCs w:val="32"/>
          <w:lang w:eastAsia="zh-CN"/>
        </w:rPr>
        <w:t>入手</w:t>
      </w:r>
      <w:r>
        <w:rPr>
          <w:rFonts w:hint="eastAsia" w:ascii="仿宋_GB2312" w:eastAsia="仿宋_GB2312" w:cs="仿宋_GB2312"/>
          <w:kern w:val="2"/>
          <w:sz w:val="32"/>
          <w:szCs w:val="32"/>
        </w:rPr>
        <w:t>，从源头上防控财政资源配置的低效无效，提高财政资源配置效率和财政资金使用效益。</w:t>
      </w:r>
    </w:p>
    <w:p w14:paraId="712A5119">
      <w:pPr>
        <w:adjustRightInd w:val="0"/>
        <w:snapToGrid w:val="0"/>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（三）评价选点。</w:t>
      </w:r>
      <w:r>
        <w:rPr>
          <w:rFonts w:hint="eastAsia" w:ascii="仿宋_GB2312" w:eastAsia="仿宋_GB2312" w:cs="仿宋_GB2312"/>
          <w:kern w:val="2"/>
          <w:sz w:val="32"/>
          <w:szCs w:val="32"/>
        </w:rPr>
        <w:t>按照有关规定和工作安排，我单位开展自行评估，收集被评估项目相关基础资料，并查阅资料、收集数据信息等</w:t>
      </w:r>
      <w:r>
        <w:rPr>
          <w:rFonts w:hint="eastAsia" w:ascii="仿宋_GB2312" w:eastAsia="仿宋_GB2312" w:cs="仿宋_GB2312"/>
          <w:kern w:val="2"/>
          <w:sz w:val="32"/>
          <w:szCs w:val="32"/>
          <w:lang w:val="en-US" w:eastAsia="zh-CN"/>
        </w:rPr>
        <w:t>，</w:t>
      </w:r>
      <w:r>
        <w:rPr>
          <w:rFonts w:hint="eastAsia" w:ascii="仿宋_GB2312" w:eastAsia="仿宋_GB2312" w:cs="仿宋_GB2312"/>
          <w:kern w:val="2"/>
          <w:sz w:val="32"/>
          <w:szCs w:val="32"/>
          <w:lang w:val="zh-CN" w:eastAsia="zh-CN"/>
        </w:rPr>
        <w:t>查看数字资源质检、整理等</w:t>
      </w:r>
      <w:r>
        <w:rPr>
          <w:rFonts w:hint="eastAsia" w:ascii="仿宋_GB2312" w:eastAsia="仿宋_GB2312" w:cs="仿宋_GB2312"/>
          <w:kern w:val="2"/>
          <w:sz w:val="32"/>
          <w:szCs w:val="32"/>
          <w:lang w:val="en-US" w:eastAsia="zh-CN"/>
        </w:rPr>
        <w:t>工作完成情况、完成时效、完成质量等</w:t>
      </w:r>
      <w:r>
        <w:rPr>
          <w:rFonts w:hint="eastAsia" w:ascii="仿宋_GB2312" w:eastAsia="仿宋_GB2312" w:cs="仿宋_GB2312"/>
          <w:kern w:val="2"/>
          <w:sz w:val="32"/>
          <w:szCs w:val="32"/>
        </w:rPr>
        <w:t>。</w:t>
      </w:r>
    </w:p>
    <w:p w14:paraId="1E90BEB3">
      <w:pPr>
        <w:spacing w:line="578" w:lineRule="exact"/>
        <w:ind w:firstLine="64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（四）评价方法。</w:t>
      </w:r>
      <w:r>
        <w:rPr>
          <w:rFonts w:hint="eastAsia" w:ascii="仿宋_GB2312" w:eastAsia="仿宋_GB2312" w:cs="仿宋_GB2312"/>
          <w:b w:val="0"/>
          <w:bCs/>
          <w:color w:val="auto"/>
          <w:sz w:val="32"/>
          <w:szCs w:val="32"/>
          <w:highlight w:val="none"/>
          <w:u w:val="none"/>
          <w:lang w:val="zh-CN"/>
        </w:rPr>
        <w:t>根据项目情况和评价重点，</w:t>
      </w:r>
      <w:r>
        <w:rPr>
          <w:rFonts w:hint="eastAsia" w:ascii="仿宋_GB2312" w:eastAsia="仿宋_GB2312" w:cs="仿宋_GB2312"/>
          <w:b w:val="0"/>
          <w:bCs/>
          <w:color w:val="auto"/>
          <w:sz w:val="32"/>
          <w:szCs w:val="32"/>
          <w:highlight w:val="none"/>
          <w:u w:val="none"/>
          <w:lang w:val="zh-CN" w:eastAsia="zh-CN"/>
        </w:rPr>
        <w:t>主要采用</w:t>
      </w:r>
      <w:r>
        <w:rPr>
          <w:rFonts w:hint="eastAsia" w:ascii="仿宋_GB2312" w:eastAsia="仿宋_GB2312" w:cs="仿宋_GB2312"/>
          <w:b w:val="0"/>
          <w:bCs/>
          <w:color w:val="auto"/>
          <w:sz w:val="32"/>
          <w:szCs w:val="32"/>
          <w:highlight w:val="none"/>
          <w:u w:val="none"/>
          <w:lang w:val="zh-CN"/>
        </w:rPr>
        <w:t>单位自评法</w:t>
      </w:r>
      <w:r>
        <w:rPr>
          <w:rFonts w:hint="eastAsia" w:ascii="仿宋_GB2312" w:eastAsia="仿宋_GB2312" w:cs="仿宋_GB2312"/>
          <w:b w:val="0"/>
          <w:bCs/>
          <w:color w:val="auto"/>
          <w:sz w:val="32"/>
          <w:szCs w:val="32"/>
          <w:highlight w:val="none"/>
          <w:u w:val="none"/>
          <w:lang w:val="zh-CN" w:eastAsia="zh-CN"/>
        </w:rPr>
        <w:t>，结合评价内容，做到有计划、有安排。按照上级下达的项目支出绩效评价指标体系，针对建设内容、实施情况、资金兑现、财务管理、社会效益等做出自评。</w:t>
      </w:r>
    </w:p>
    <w:p w14:paraId="68B5F294">
      <w:pPr>
        <w:adjustRightInd w:val="0"/>
        <w:snapToGrid w:val="0"/>
        <w:spacing w:line="578" w:lineRule="exact"/>
        <w:ind w:firstLine="643" w:firstLineChars="20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（五）评价组织。</w:t>
      </w:r>
      <w:r>
        <w:rPr>
          <w:rFonts w:hint="eastAsia" w:ascii="仿宋_GB2312" w:eastAsia="仿宋_GB2312" w:cs="仿宋_GB2312"/>
          <w:b w:val="0"/>
          <w:bCs/>
          <w:color w:val="auto"/>
          <w:sz w:val="32"/>
          <w:szCs w:val="32"/>
          <w:highlight w:val="none"/>
          <w:u w:val="none"/>
          <w:lang w:val="zh-CN" w:eastAsia="zh-CN"/>
        </w:rPr>
        <w:t>评价组人员由单位负责人、分管领导及业务股室负责人组成；单位负责人牵头负责，分管领导组织业务股室自行评价。</w:t>
      </w:r>
    </w:p>
    <w:p w14:paraId="6FC124E9">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三、绩效分析</w:t>
      </w:r>
      <w:r>
        <w:rPr>
          <w:rFonts w:hint="eastAsia" w:ascii="黑体" w:eastAsia="黑体" w:cs="黑体"/>
          <w:sz w:val="32"/>
          <w:szCs w:val="32"/>
          <w:lang w:val="zh-CN"/>
        </w:rPr>
        <w:tab/>
      </w:r>
    </w:p>
    <w:p w14:paraId="011AFABF">
      <w:pPr>
        <w:spacing w:line="578" w:lineRule="exact"/>
        <w:ind w:firstLine="640"/>
        <w:rPr>
          <w:rFonts w:hint="eastAsia" w:ascii="仿宋_GB2312" w:eastAsia="仿宋_GB2312" w:cs="仿宋_GB2312"/>
          <w:b/>
          <w:sz w:val="32"/>
          <w:szCs w:val="32"/>
        </w:rPr>
      </w:pPr>
      <w:r>
        <w:rPr>
          <w:rFonts w:hint="eastAsia" w:ascii="仿宋_GB2312" w:eastAsia="仿宋_GB2312" w:cs="仿宋_GB2312"/>
          <w:b/>
          <w:sz w:val="32"/>
          <w:szCs w:val="32"/>
          <w:lang w:val="zh-CN"/>
        </w:rPr>
        <w:t>（一）</w:t>
      </w:r>
      <w:r>
        <w:rPr>
          <w:rFonts w:hint="eastAsia" w:ascii="仿宋_GB2312" w:eastAsia="仿宋_GB2312" w:cs="仿宋_GB2312"/>
          <w:b/>
          <w:sz w:val="32"/>
          <w:szCs w:val="32"/>
        </w:rPr>
        <w:t>通用指标</w:t>
      </w:r>
      <w:r>
        <w:rPr>
          <w:rFonts w:hint="eastAsia" w:ascii="仿宋_GB2312" w:eastAsia="仿宋_GB2312" w:cs="仿宋_GB2312"/>
          <w:b/>
          <w:bCs/>
          <w:color w:val="000000"/>
          <w:kern w:val="0"/>
          <w:sz w:val="32"/>
          <w:szCs w:val="32"/>
          <w:shd w:val="clear" w:color="auto" w:fill="FFFFFF"/>
          <w:lang w:val="zh-CN"/>
        </w:rPr>
        <w:t>绩效分析</w:t>
      </w:r>
    </w:p>
    <w:p w14:paraId="01EE7D22">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项目决策。</w:t>
      </w:r>
      <w:r>
        <w:rPr>
          <w:rFonts w:hint="eastAsia" w:ascii="仿宋_GB2312" w:eastAsia="仿宋_GB2312" w:cs="仿宋_GB2312"/>
          <w:color w:val="auto"/>
          <w:sz w:val="32"/>
          <w:szCs w:val="32"/>
          <w:lang w:val="zh-CN" w:eastAsia="zh-CN"/>
        </w:rPr>
        <w:t>按照省、州档案馆要求，实施项目申报、组织评审、提出方案、审批备案等程序确定。制定项目验收实施细则，组织开展验收工作，专项资金按照“谁使用、谁负责”的原则。</w:t>
      </w:r>
    </w:p>
    <w:p w14:paraId="7103BFE7">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项目管理。</w:t>
      </w:r>
      <w:r>
        <w:rPr>
          <w:rFonts w:hint="eastAsia" w:ascii="仿宋_GB2312" w:eastAsia="仿宋_GB2312" w:cs="仿宋_GB2312"/>
          <w:kern w:val="2"/>
          <w:sz w:val="32"/>
          <w:szCs w:val="32"/>
          <w:lang w:eastAsia="zh-CN"/>
        </w:rPr>
        <w:t>该项目已</w:t>
      </w:r>
      <w:r>
        <w:rPr>
          <w:rFonts w:hint="eastAsia" w:ascii="仿宋_GB2312" w:eastAsia="仿宋_GB2312" w:cs="仿宋_GB2312"/>
          <w:kern w:val="2"/>
          <w:sz w:val="32"/>
          <w:szCs w:val="32"/>
        </w:rPr>
        <w:t>制定实施方案，组织机构健全，职责分工明确，有明确的工作程序，基础设施条件能够有效保障，资金能足额保证，具有相应的质量检查、验收等必要的控制措施或手段</w:t>
      </w:r>
      <w:r>
        <w:rPr>
          <w:rFonts w:hint="eastAsia" w:ascii="仿宋_GB2312" w:eastAsia="仿宋_GB2312" w:cs="仿宋_GB2312"/>
          <w:kern w:val="2"/>
          <w:sz w:val="32"/>
          <w:szCs w:val="32"/>
          <w:lang w:eastAsia="zh-CN"/>
        </w:rPr>
        <w:t>。</w:t>
      </w:r>
    </w:p>
    <w:p w14:paraId="63169D6C">
      <w:pPr>
        <w:spacing w:line="240" w:lineRule="auto"/>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3.项目实施。</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1）根据省州档案馆要求进行比选询价中标。（2）根据茂县档案馆档案整理和数据质检项目合同内容组织实施。（3）组织现场验收。（4）拨付资金。（5）绩效评估，共计执行预算拨付资金9.97万元，占预算支出的100%。</w:t>
      </w:r>
    </w:p>
    <w:p w14:paraId="6861DAC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outlineLvl w:val="9"/>
        <w:rPr>
          <w:rFonts w:hint="eastAsia" w:ascii="仿宋_GB2312" w:eastAsia="仿宋_GB2312" w:cs="仿宋_GB2312"/>
          <w:color w:val="auto"/>
          <w:sz w:val="32"/>
          <w:szCs w:val="32"/>
          <w:lang w:eastAsia="zh-CN"/>
        </w:rPr>
      </w:pPr>
      <w:r>
        <w:rPr>
          <w:rFonts w:hint="eastAsia" w:ascii="仿宋_GB2312" w:eastAsia="仿宋_GB2312" w:cs="仿宋_GB2312"/>
          <w:sz w:val="32"/>
          <w:szCs w:val="32"/>
        </w:rPr>
        <w:t>4.项目结果。</w:t>
      </w:r>
      <w:r>
        <w:rPr>
          <w:rFonts w:hint="eastAsia" w:ascii="仿宋_GB2312" w:eastAsia="仿宋_GB2312" w:cs="仿宋_GB2312"/>
          <w:b w:val="0"/>
          <w:bCs/>
          <w:color w:val="000000"/>
          <w:kern w:val="0"/>
          <w:sz w:val="32"/>
          <w:szCs w:val="32"/>
          <w:lang w:val="en-US" w:eastAsia="zh-CN" w:bidi="ar-SA"/>
        </w:rPr>
        <w:t>保证了部门的正常运行和业务工作的正常开展，项目支出保障了重点工作的开展，绩效目标得到较好实现，绩效管理水平不断提高，绩效指标体系逐渐丰富和完善。</w:t>
      </w:r>
    </w:p>
    <w:p w14:paraId="729F0DA7">
      <w:pPr>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专用指标</w:t>
      </w:r>
      <w:r>
        <w:rPr>
          <w:rFonts w:hint="eastAsia" w:ascii="仿宋_GB2312" w:eastAsia="仿宋_GB2312" w:cs="仿宋_GB2312"/>
          <w:b/>
          <w:bCs/>
          <w:color w:val="000000"/>
          <w:kern w:val="0"/>
          <w:sz w:val="32"/>
          <w:szCs w:val="32"/>
          <w:shd w:val="clear" w:color="auto" w:fill="FFFFFF"/>
          <w:lang w:val="zh-CN"/>
        </w:rPr>
        <w:t>绩效分析</w:t>
      </w:r>
    </w:p>
    <w:p w14:paraId="621FC20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1.产业发展。无</w:t>
      </w:r>
    </w:p>
    <w:p w14:paraId="58A8CB8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2.民生保障。档案数字资源质检、整理，保证了数字资源的准确性、完整性，使档案馆数字化查阅、利用方便、快捷，查阅利用人员满意。</w:t>
      </w:r>
    </w:p>
    <w:p w14:paraId="09CDF89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3.基础设施。无</w:t>
      </w:r>
    </w:p>
    <w:p w14:paraId="7DEF386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4.行政运转。无</w:t>
      </w:r>
    </w:p>
    <w:p w14:paraId="640ED8D9">
      <w:pPr>
        <w:spacing w:line="578" w:lineRule="exact"/>
        <w:ind w:firstLine="64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个性指标</w:t>
      </w:r>
      <w:r>
        <w:rPr>
          <w:rFonts w:hint="eastAsia" w:ascii="仿宋_GB2312" w:eastAsia="仿宋_GB2312" w:cs="仿宋_GB2312"/>
          <w:b/>
          <w:bCs/>
          <w:color w:val="000000"/>
          <w:kern w:val="0"/>
          <w:sz w:val="32"/>
          <w:szCs w:val="32"/>
          <w:shd w:val="clear" w:color="auto" w:fill="FFFFFF"/>
          <w:lang w:val="zh-CN"/>
        </w:rPr>
        <w:t>绩效分析</w:t>
      </w:r>
    </w:p>
    <w:p w14:paraId="3410695A">
      <w:pPr>
        <w:spacing w:line="578" w:lineRule="exact"/>
        <w:ind w:firstLine="640"/>
        <w:rPr>
          <w:rFonts w:hint="eastAsia" w:ascii="仿宋_GB2312" w:eastAsia="仿宋_GB2312" w:cs="仿宋_GB2312"/>
          <w:sz w:val="32"/>
          <w:szCs w:val="32"/>
        </w:rPr>
      </w:pPr>
      <w:r>
        <w:rPr>
          <w:rFonts w:hint="eastAsia" w:ascii="仿宋_GB2312" w:eastAsia="仿宋_GB2312" w:cs="仿宋_GB2312"/>
          <w:sz w:val="32"/>
          <w:szCs w:val="32"/>
          <w:lang w:val="zh-CN"/>
        </w:rPr>
        <w:t>档案数字化建设达到档案查阅利用方便、快捷，查阅利用档案人员满意度高的原则。</w:t>
      </w:r>
    </w:p>
    <w:p w14:paraId="0B04AE07">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四、评价结论</w:t>
      </w:r>
    </w:p>
    <w:p w14:paraId="0005EEAE">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i w:val="0"/>
          <w:iCs w:val="0"/>
          <w:caps w:val="0"/>
          <w:smallCaps w:val="0"/>
          <w:color w:val="000000"/>
          <w:spacing w:val="0"/>
          <w:sz w:val="32"/>
          <w:szCs w:val="32"/>
          <w:shd w:val="clear" w:color="auto" w:fill="FFFFFF"/>
        </w:rPr>
      </w:pPr>
      <w:r>
        <w:rPr>
          <w:rFonts w:hint="eastAsia" w:ascii="仿宋_GB2312" w:eastAsia="仿宋_GB2312" w:cs="仿宋_GB2312"/>
          <w:i w:val="0"/>
          <w:iCs w:val="0"/>
          <w:caps w:val="0"/>
          <w:smallCaps w:val="0"/>
          <w:color w:val="000000"/>
          <w:spacing w:val="0"/>
          <w:sz w:val="32"/>
          <w:szCs w:val="32"/>
          <w:shd w:val="clear" w:color="auto" w:fill="FFFFFF"/>
          <w:lang w:eastAsia="zh-CN"/>
        </w:rPr>
        <w:t>档案数字资源质检与整理</w:t>
      </w:r>
      <w:r>
        <w:rPr>
          <w:rFonts w:hint="eastAsia" w:ascii="仿宋_GB2312" w:eastAsia="仿宋_GB2312" w:cs="仿宋_GB2312"/>
          <w:i w:val="0"/>
          <w:iCs w:val="0"/>
          <w:caps w:val="0"/>
          <w:smallCaps w:val="0"/>
          <w:color w:val="000000"/>
          <w:spacing w:val="0"/>
          <w:sz w:val="32"/>
          <w:szCs w:val="32"/>
          <w:shd w:val="clear" w:color="auto" w:fill="FFFFFF"/>
        </w:rPr>
        <w:t>，预算执行率达到100%，全面完成年度绩效总体目标和各项绩效指标，有效发挥了财政资金的使用效率。</w:t>
      </w:r>
    </w:p>
    <w:p w14:paraId="3C5832A6">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五、存在主要问题</w:t>
      </w:r>
    </w:p>
    <w:p w14:paraId="50EF88DC">
      <w:pPr>
        <w:pStyle w:val="6"/>
        <w:tabs>
          <w:tab w:val="left" w:pos="2160"/>
        </w:tabs>
        <w:spacing w:line="600" w:lineRule="exact"/>
        <w:ind w:firstLine="640" w:firstLineChars="200"/>
        <w:rPr>
          <w:rFonts w:ascii="仿宋_GB2312" w:eastAsia="仿宋_GB2312" w:cs="仿宋_GB2312"/>
          <w:kern w:val="2"/>
          <w:position w:val="0"/>
          <w:sz w:val="32"/>
          <w:szCs w:val="32"/>
          <w:lang w:val="en-US" w:eastAsia="zh-CN"/>
        </w:rPr>
      </w:pPr>
      <w:r>
        <w:rPr>
          <w:rFonts w:hint="eastAsia" w:cs="仿宋_GB2312"/>
          <w:kern w:val="2"/>
          <w:position w:val="0"/>
          <w:sz w:val="32"/>
          <w:szCs w:val="32"/>
          <w:lang w:val="en-US" w:eastAsia="zh-CN"/>
        </w:rPr>
        <w:t>2024年茂县档案馆无预算绩效自评发现的主要问题。</w:t>
      </w:r>
    </w:p>
    <w:p w14:paraId="61201D58">
      <w:pPr>
        <w:pStyle w:val="6"/>
        <w:tabs>
          <w:tab w:val="left" w:pos="2160"/>
        </w:tabs>
        <w:spacing w:line="600" w:lineRule="exact"/>
        <w:ind w:firstLine="640" w:firstLineChars="200"/>
        <w:rPr>
          <w:rFonts w:hint="eastAsia" w:ascii="黑体" w:eastAsia="黑体" w:cs="黑体"/>
          <w:sz w:val="32"/>
          <w:szCs w:val="32"/>
          <w:lang w:val="zh-CN" w:eastAsia="zh-CN"/>
        </w:rPr>
      </w:pPr>
      <w:r>
        <w:rPr>
          <w:rFonts w:hint="eastAsia" w:ascii="黑体" w:eastAsia="黑体" w:cs="黑体"/>
          <w:sz w:val="32"/>
          <w:szCs w:val="32"/>
          <w:lang w:val="zh-CN" w:eastAsia="zh-CN"/>
        </w:rPr>
        <w:t>六、改进建议</w:t>
      </w:r>
    </w:p>
    <w:p w14:paraId="4A52A64A">
      <w:pPr>
        <w:tabs>
          <w:tab w:val="left" w:pos="1911"/>
        </w:tabs>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2024年茂县档案馆无改进建议。</w:t>
      </w:r>
    </w:p>
    <w:p w14:paraId="42B39670">
      <w:pPr>
        <w:snapToGrid w:val="0"/>
        <w:spacing w:line="578" w:lineRule="exact"/>
        <w:ind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附表：1.专项预算绩效自评打分表</w:t>
      </w:r>
    </w:p>
    <w:p w14:paraId="6AD00126">
      <w:pPr>
        <w:snapToGrid w:val="0"/>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2.专项预算项目绩效目标完成情况自评表</w:t>
      </w:r>
    </w:p>
    <w:p w14:paraId="3FBDE4D1">
      <w:pPr>
        <w:snapToGrid w:val="0"/>
        <w:spacing w:line="578" w:lineRule="exact"/>
        <w:ind w:firstLine="640" w:firstLineChars="200"/>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br w:type="page"/>
      </w:r>
    </w:p>
    <w:p w14:paraId="03A82544">
      <w:pPr>
        <w:snapToGrid w:val="0"/>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1</w:t>
      </w:r>
    </w:p>
    <w:p w14:paraId="6CDE60B6">
      <w:pPr>
        <w:spacing w:line="578" w:lineRule="exact"/>
        <w:jc w:val="center"/>
        <w:rPr>
          <w:rFonts w:hint="eastAsia" w:ascii="仿宋_GB2312" w:eastAsia="仿宋_GB2312" w:cs="仿宋_GB2312"/>
          <w:sz w:val="40"/>
          <w:szCs w:val="40"/>
        </w:rPr>
      </w:pPr>
      <w:r>
        <w:rPr>
          <w:rFonts w:hint="eastAsia" w:ascii="仿宋_GB2312" w:eastAsia="仿宋_GB2312" w:cs="仿宋_GB2312"/>
          <w:sz w:val="40"/>
          <w:szCs w:val="40"/>
        </w:rPr>
        <w:t>专项预算绩效自评打分表</w:t>
      </w:r>
    </w:p>
    <w:tbl>
      <w:tblPr>
        <w:tblStyle w:val="22"/>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6D2C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ign w:val="center"/>
          </w:tcPr>
          <w:p w14:paraId="3D2BEBF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ign w:val="center"/>
          </w:tcPr>
          <w:p w14:paraId="1298343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指标解释</w:t>
            </w:r>
          </w:p>
        </w:tc>
        <w:tc>
          <w:tcPr>
            <w:tcW w:w="732" w:type="dxa"/>
            <w:vMerge w:val="restart"/>
            <w:tcBorders>
              <w:top w:val="single" w:color="000000" w:sz="4" w:space="0"/>
              <w:left w:val="single" w:color="000000" w:sz="4" w:space="0"/>
              <w:right w:val="single" w:color="000000" w:sz="4" w:space="0"/>
            </w:tcBorders>
            <w:noWrap/>
            <w:vAlign w:val="center"/>
          </w:tcPr>
          <w:p w14:paraId="4CECBDB6">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自评得分</w:t>
            </w:r>
          </w:p>
        </w:tc>
        <w:tc>
          <w:tcPr>
            <w:tcW w:w="468" w:type="dxa"/>
            <w:vMerge w:val="restart"/>
            <w:tcBorders>
              <w:top w:val="single" w:color="000000" w:sz="4" w:space="0"/>
              <w:left w:val="single" w:color="000000" w:sz="4" w:space="0"/>
              <w:right w:val="single" w:color="000000" w:sz="4" w:space="0"/>
            </w:tcBorders>
            <w:noWrap/>
            <w:vAlign w:val="center"/>
          </w:tcPr>
          <w:p w14:paraId="020225E1">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w:t>
            </w:r>
          </w:p>
        </w:tc>
      </w:tr>
      <w:tr w14:paraId="379D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65AF810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ign w:val="center"/>
          </w:tcPr>
          <w:p w14:paraId="75CA4C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0E64DC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6536F6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ign w:val="center"/>
          </w:tcPr>
          <w:p w14:paraId="43224ECF"/>
        </w:tc>
        <w:tc>
          <w:tcPr>
            <w:tcW w:w="732" w:type="dxa"/>
            <w:vMerge w:val="continue"/>
            <w:tcBorders>
              <w:left w:val="single" w:color="000000" w:sz="4" w:space="0"/>
              <w:bottom w:val="single" w:color="000000" w:sz="4" w:space="0"/>
              <w:right w:val="single" w:color="000000" w:sz="4" w:space="0"/>
            </w:tcBorders>
            <w:noWrap/>
            <w:vAlign w:val="center"/>
          </w:tcPr>
          <w:p w14:paraId="0F1C05D7"/>
        </w:tc>
        <w:tc>
          <w:tcPr>
            <w:tcW w:w="468" w:type="dxa"/>
            <w:vMerge w:val="continue"/>
            <w:tcBorders>
              <w:left w:val="single" w:color="000000" w:sz="4" w:space="0"/>
              <w:bottom w:val="single" w:color="000000" w:sz="4" w:space="0"/>
              <w:right w:val="single" w:color="000000" w:sz="4" w:space="0"/>
            </w:tcBorders>
            <w:noWrap/>
            <w:vAlign w:val="center"/>
          </w:tcPr>
          <w:p w14:paraId="4D72F9D8"/>
        </w:tc>
      </w:tr>
      <w:tr w14:paraId="1904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3EC3BC0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通用指标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CBCBAB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项目决策</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7094258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决策程序</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3873C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C46934">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4AEBC9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95A1ADC">
            <w:pPr>
              <w:widowControl/>
              <w:spacing w:line="240" w:lineRule="exact"/>
              <w:jc w:val="left"/>
              <w:textAlignment w:val="center"/>
              <w:rPr>
                <w:rFonts w:hint="eastAsia" w:ascii="仿宋_GB2312" w:eastAsia="仿宋_GB2312" w:cs="仿宋_GB2312"/>
                <w:color w:val="000000"/>
                <w:kern w:val="0"/>
                <w:sz w:val="24"/>
                <w:szCs w:val="24"/>
              </w:rPr>
            </w:pPr>
          </w:p>
        </w:tc>
      </w:tr>
      <w:tr w14:paraId="7262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3492EFF"/>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24CF2E8"/>
        </w:tc>
        <w:tc>
          <w:tcPr>
            <w:tcW w:w="1355" w:type="dxa"/>
            <w:tcBorders>
              <w:top w:val="single" w:color="000000" w:sz="4" w:space="0"/>
              <w:left w:val="single" w:color="000000" w:sz="4" w:space="0"/>
              <w:bottom w:val="single" w:color="000000" w:sz="4" w:space="0"/>
              <w:right w:val="single" w:color="000000" w:sz="4" w:space="0"/>
            </w:tcBorders>
            <w:noWrap/>
            <w:vAlign w:val="center"/>
          </w:tcPr>
          <w:p w14:paraId="70E714E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规划论证</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4CA6C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46EAB7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4ECDDB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3BD7956">
            <w:pPr>
              <w:widowControl/>
              <w:spacing w:line="240" w:lineRule="exact"/>
              <w:jc w:val="left"/>
              <w:textAlignment w:val="center"/>
              <w:rPr>
                <w:rFonts w:hint="eastAsia" w:ascii="仿宋_GB2312" w:eastAsia="仿宋_GB2312" w:cs="仿宋_GB2312"/>
                <w:color w:val="000000"/>
                <w:kern w:val="0"/>
                <w:sz w:val="24"/>
                <w:szCs w:val="24"/>
              </w:rPr>
            </w:pPr>
          </w:p>
        </w:tc>
      </w:tr>
      <w:tr w14:paraId="38F17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EA09B45"/>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7CBCA81"/>
        </w:tc>
        <w:tc>
          <w:tcPr>
            <w:tcW w:w="1355" w:type="dxa"/>
            <w:tcBorders>
              <w:top w:val="single" w:color="000000" w:sz="4" w:space="0"/>
              <w:left w:val="single" w:color="000000" w:sz="4" w:space="0"/>
              <w:bottom w:val="single" w:color="000000" w:sz="4" w:space="0"/>
              <w:right w:val="single" w:color="000000" w:sz="4" w:space="0"/>
            </w:tcBorders>
            <w:noWrap/>
            <w:vAlign w:val="center"/>
          </w:tcPr>
          <w:p w14:paraId="4D6A8B7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资金投向</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D1B1D6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D0091D5">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7A3644E">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A29C502">
            <w:pPr>
              <w:widowControl/>
              <w:spacing w:line="240" w:lineRule="exact"/>
              <w:jc w:val="left"/>
              <w:textAlignment w:val="center"/>
              <w:rPr>
                <w:rFonts w:hint="eastAsia" w:ascii="仿宋_GB2312" w:eastAsia="仿宋_GB2312" w:cs="仿宋_GB2312"/>
                <w:color w:val="000000"/>
                <w:kern w:val="0"/>
                <w:sz w:val="24"/>
                <w:szCs w:val="24"/>
              </w:rPr>
            </w:pPr>
          </w:p>
        </w:tc>
      </w:tr>
      <w:tr w14:paraId="350E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FFE931B"/>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74422C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项目管理</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95C8EC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制度办法</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BB53FF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2</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9FF26FB">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41DF63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2</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99434CE">
            <w:pPr>
              <w:widowControl/>
              <w:spacing w:line="240" w:lineRule="exact"/>
              <w:jc w:val="left"/>
              <w:textAlignment w:val="center"/>
              <w:rPr>
                <w:rFonts w:hint="eastAsia" w:ascii="仿宋_GB2312" w:eastAsia="仿宋_GB2312" w:cs="仿宋_GB2312"/>
                <w:color w:val="000000"/>
                <w:kern w:val="0"/>
                <w:sz w:val="24"/>
                <w:szCs w:val="24"/>
              </w:rPr>
            </w:pPr>
          </w:p>
        </w:tc>
      </w:tr>
      <w:tr w14:paraId="2907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245E22D"/>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FF580D7"/>
        </w:tc>
        <w:tc>
          <w:tcPr>
            <w:tcW w:w="1355" w:type="dxa"/>
            <w:tcBorders>
              <w:top w:val="single" w:color="000000" w:sz="4" w:space="0"/>
              <w:left w:val="single" w:color="000000" w:sz="4" w:space="0"/>
              <w:bottom w:val="single" w:color="000000" w:sz="4" w:space="0"/>
              <w:right w:val="single" w:color="000000" w:sz="4" w:space="0"/>
            </w:tcBorders>
            <w:noWrap/>
            <w:vAlign w:val="center"/>
          </w:tcPr>
          <w:p w14:paraId="486A6B5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分配管理</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AF313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127D0E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C15E499">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6551D66">
            <w:pPr>
              <w:widowControl/>
              <w:spacing w:line="240" w:lineRule="exact"/>
              <w:jc w:val="left"/>
              <w:textAlignment w:val="center"/>
              <w:rPr>
                <w:rFonts w:hint="eastAsia" w:ascii="仿宋_GB2312" w:eastAsia="仿宋_GB2312" w:cs="仿宋_GB2312"/>
                <w:color w:val="000000"/>
                <w:kern w:val="0"/>
                <w:sz w:val="24"/>
                <w:szCs w:val="24"/>
              </w:rPr>
            </w:pPr>
          </w:p>
        </w:tc>
      </w:tr>
      <w:tr w14:paraId="3DC9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98D72EE"/>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A3AE463"/>
        </w:tc>
        <w:tc>
          <w:tcPr>
            <w:tcW w:w="1355" w:type="dxa"/>
            <w:tcBorders>
              <w:top w:val="single" w:color="000000" w:sz="4" w:space="0"/>
              <w:left w:val="single" w:color="000000" w:sz="4" w:space="0"/>
              <w:bottom w:val="single" w:color="000000" w:sz="4" w:space="0"/>
              <w:right w:val="single" w:color="000000" w:sz="4" w:space="0"/>
            </w:tcBorders>
            <w:noWrap/>
            <w:vAlign w:val="center"/>
          </w:tcPr>
          <w:p w14:paraId="07B8354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绩效监管</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D36DFB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C5551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5850BFA">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F108F35">
            <w:pPr>
              <w:widowControl/>
              <w:spacing w:line="240" w:lineRule="exact"/>
              <w:jc w:val="left"/>
              <w:textAlignment w:val="center"/>
              <w:rPr>
                <w:rFonts w:hint="eastAsia" w:ascii="仿宋_GB2312" w:eastAsia="仿宋_GB2312" w:cs="仿宋_GB2312"/>
                <w:color w:val="000000"/>
                <w:kern w:val="0"/>
                <w:sz w:val="24"/>
                <w:szCs w:val="24"/>
              </w:rPr>
            </w:pPr>
          </w:p>
        </w:tc>
      </w:tr>
      <w:tr w14:paraId="6DEB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82D8FAC"/>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3255C5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项目实施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093667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预算执行</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16DBCC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17FF00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0F1ADE6">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6219F74">
            <w:pPr>
              <w:widowControl/>
              <w:spacing w:line="240" w:lineRule="exact"/>
              <w:jc w:val="left"/>
              <w:textAlignment w:val="center"/>
              <w:rPr>
                <w:rFonts w:hint="eastAsia" w:ascii="仿宋_GB2312" w:eastAsia="仿宋_GB2312" w:cs="仿宋_GB2312"/>
                <w:color w:val="000000"/>
                <w:kern w:val="0"/>
                <w:sz w:val="24"/>
                <w:szCs w:val="24"/>
              </w:rPr>
            </w:pPr>
          </w:p>
        </w:tc>
      </w:tr>
      <w:tr w14:paraId="66B1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3CA341D"/>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376C6D7"/>
        </w:tc>
        <w:tc>
          <w:tcPr>
            <w:tcW w:w="1355" w:type="dxa"/>
            <w:tcBorders>
              <w:top w:val="single" w:color="000000" w:sz="4" w:space="0"/>
              <w:left w:val="single" w:color="000000" w:sz="4" w:space="0"/>
              <w:bottom w:val="single" w:color="000000" w:sz="4" w:space="0"/>
              <w:right w:val="single" w:color="000000" w:sz="4" w:space="0"/>
            </w:tcBorders>
            <w:noWrap/>
            <w:vAlign w:val="center"/>
          </w:tcPr>
          <w:p w14:paraId="63344E7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0FCFC1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7F5250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74DBC9B">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60D4B1E">
            <w:pPr>
              <w:widowControl/>
              <w:spacing w:line="240" w:lineRule="exact"/>
              <w:jc w:val="left"/>
              <w:textAlignment w:val="center"/>
              <w:rPr>
                <w:rFonts w:hint="eastAsia" w:ascii="仿宋_GB2312" w:eastAsia="仿宋_GB2312" w:cs="仿宋_GB2312"/>
                <w:color w:val="000000"/>
                <w:kern w:val="0"/>
                <w:sz w:val="24"/>
                <w:szCs w:val="24"/>
              </w:rPr>
            </w:pPr>
          </w:p>
        </w:tc>
      </w:tr>
      <w:tr w14:paraId="5886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F8D37A3"/>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90D804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项目结果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4D70841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目标完成</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DB4F9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15C028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F38DB0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230FD65">
            <w:pPr>
              <w:widowControl/>
              <w:spacing w:line="240" w:lineRule="exact"/>
              <w:jc w:val="left"/>
              <w:textAlignment w:val="center"/>
              <w:rPr>
                <w:rFonts w:hint="eastAsia" w:ascii="仿宋_GB2312" w:eastAsia="仿宋_GB2312" w:cs="仿宋_GB2312"/>
                <w:color w:val="000000"/>
                <w:kern w:val="0"/>
                <w:sz w:val="24"/>
                <w:szCs w:val="24"/>
              </w:rPr>
            </w:pPr>
          </w:p>
        </w:tc>
      </w:tr>
      <w:tr w14:paraId="24AB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4497177"/>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CBD5A0A"/>
        </w:tc>
        <w:tc>
          <w:tcPr>
            <w:tcW w:w="1355" w:type="dxa"/>
            <w:tcBorders>
              <w:top w:val="single" w:color="000000" w:sz="4" w:space="0"/>
              <w:left w:val="single" w:color="000000" w:sz="4" w:space="0"/>
              <w:bottom w:val="single" w:color="000000" w:sz="4" w:space="0"/>
              <w:right w:val="single" w:color="000000" w:sz="4" w:space="0"/>
            </w:tcBorders>
            <w:noWrap/>
            <w:vAlign w:val="center"/>
          </w:tcPr>
          <w:p w14:paraId="44B6B58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完成时效</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AF14F2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996D2C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726FD6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4B8E112">
            <w:pPr>
              <w:widowControl/>
              <w:spacing w:line="240" w:lineRule="exact"/>
              <w:jc w:val="left"/>
              <w:textAlignment w:val="center"/>
              <w:rPr>
                <w:rFonts w:hint="eastAsia" w:ascii="仿宋_GB2312" w:eastAsia="仿宋_GB2312" w:cs="仿宋_GB2312"/>
                <w:color w:val="000000"/>
                <w:kern w:val="0"/>
                <w:sz w:val="24"/>
                <w:szCs w:val="24"/>
              </w:rPr>
            </w:pPr>
          </w:p>
        </w:tc>
      </w:tr>
      <w:tr w14:paraId="689A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0602F964">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C4C6A27">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产业发展</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520FCE0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符合性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30251D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967DCA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AE17C1">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4116670E">
            <w:pPr>
              <w:widowControl/>
              <w:spacing w:line="240" w:lineRule="exact"/>
              <w:jc w:val="left"/>
              <w:textAlignment w:val="center"/>
              <w:rPr>
                <w:rFonts w:hint="eastAsia" w:ascii="仿宋_GB2312" w:eastAsia="仿宋_GB2312" w:cs="仿宋_GB2312"/>
                <w:color w:val="000000"/>
                <w:kern w:val="0"/>
                <w:sz w:val="24"/>
                <w:szCs w:val="24"/>
              </w:rPr>
            </w:pPr>
          </w:p>
        </w:tc>
      </w:tr>
      <w:tr w14:paraId="36A6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0ED6DCF"/>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15627DA"/>
        </w:tc>
        <w:tc>
          <w:tcPr>
            <w:tcW w:w="1355" w:type="dxa"/>
            <w:tcBorders>
              <w:top w:val="single" w:color="000000" w:sz="4" w:space="0"/>
              <w:left w:val="single" w:color="000000" w:sz="4" w:space="0"/>
              <w:bottom w:val="single" w:color="000000" w:sz="4" w:space="0"/>
              <w:right w:val="single" w:color="000000" w:sz="4" w:space="0"/>
            </w:tcBorders>
            <w:noWrap/>
            <w:vAlign w:val="center"/>
          </w:tcPr>
          <w:p w14:paraId="0177F4B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成长性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48A1B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4F9D6BF">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A13E5E5">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9883DD0">
            <w:pPr>
              <w:widowControl/>
              <w:spacing w:line="240" w:lineRule="exact"/>
              <w:jc w:val="left"/>
              <w:textAlignment w:val="center"/>
              <w:rPr>
                <w:rFonts w:hint="eastAsia" w:ascii="仿宋_GB2312" w:eastAsia="仿宋_GB2312" w:cs="仿宋_GB2312"/>
                <w:color w:val="000000"/>
                <w:kern w:val="0"/>
                <w:sz w:val="24"/>
                <w:szCs w:val="24"/>
              </w:rPr>
            </w:pPr>
          </w:p>
        </w:tc>
      </w:tr>
      <w:tr w14:paraId="0895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70B092B"/>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C85C955"/>
        </w:tc>
        <w:tc>
          <w:tcPr>
            <w:tcW w:w="1355" w:type="dxa"/>
            <w:tcBorders>
              <w:top w:val="single" w:color="000000" w:sz="4" w:space="0"/>
              <w:left w:val="single" w:color="000000" w:sz="4" w:space="0"/>
              <w:bottom w:val="single" w:color="000000" w:sz="4" w:space="0"/>
              <w:right w:val="single" w:color="000000" w:sz="4" w:space="0"/>
            </w:tcBorders>
            <w:noWrap/>
            <w:vAlign w:val="center"/>
          </w:tcPr>
          <w:p w14:paraId="4BD6A29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经济性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B7FAE8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7D3292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5251DA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076668B">
            <w:pPr>
              <w:widowControl/>
              <w:spacing w:line="240" w:lineRule="exact"/>
              <w:jc w:val="left"/>
              <w:textAlignment w:val="center"/>
              <w:rPr>
                <w:rFonts w:hint="eastAsia" w:ascii="仿宋_GB2312" w:eastAsia="仿宋_GB2312" w:cs="仿宋_GB2312"/>
                <w:color w:val="000000"/>
                <w:kern w:val="0"/>
                <w:sz w:val="24"/>
                <w:szCs w:val="24"/>
              </w:rPr>
            </w:pPr>
          </w:p>
        </w:tc>
      </w:tr>
      <w:tr w14:paraId="2849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01CEAC0"/>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1C6E29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民生保障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733425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区域均衡性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2125C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5979E7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2CBD8B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EBB77F8">
            <w:pPr>
              <w:widowControl/>
              <w:spacing w:line="240" w:lineRule="exact"/>
              <w:jc w:val="left"/>
              <w:textAlignment w:val="center"/>
              <w:rPr>
                <w:rFonts w:hint="eastAsia" w:ascii="仿宋_GB2312" w:eastAsia="仿宋_GB2312" w:cs="仿宋_GB2312"/>
                <w:color w:val="000000"/>
                <w:kern w:val="0"/>
                <w:sz w:val="24"/>
                <w:szCs w:val="24"/>
              </w:rPr>
            </w:pPr>
          </w:p>
        </w:tc>
      </w:tr>
      <w:tr w14:paraId="75B8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35DF05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FF8D8EC"/>
        </w:tc>
        <w:tc>
          <w:tcPr>
            <w:tcW w:w="1355" w:type="dxa"/>
            <w:tcBorders>
              <w:top w:val="single" w:color="000000" w:sz="4" w:space="0"/>
              <w:left w:val="single" w:color="000000" w:sz="4" w:space="0"/>
              <w:bottom w:val="single" w:color="000000" w:sz="4" w:space="0"/>
              <w:right w:val="single" w:color="000000" w:sz="4" w:space="0"/>
            </w:tcBorders>
            <w:noWrap/>
            <w:vAlign w:val="center"/>
          </w:tcPr>
          <w:p w14:paraId="574A03B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对象精准性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E68E11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24AF3C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822151B">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A526FB1">
            <w:pPr>
              <w:widowControl/>
              <w:spacing w:line="240" w:lineRule="exact"/>
              <w:jc w:val="left"/>
              <w:textAlignment w:val="center"/>
              <w:rPr>
                <w:rFonts w:hint="eastAsia" w:ascii="仿宋_GB2312" w:eastAsia="仿宋_GB2312" w:cs="仿宋_GB2312"/>
                <w:color w:val="000000"/>
                <w:kern w:val="0"/>
                <w:sz w:val="24"/>
                <w:szCs w:val="24"/>
              </w:rPr>
            </w:pPr>
          </w:p>
        </w:tc>
      </w:tr>
      <w:tr w14:paraId="4FC8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947E8C"/>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0E0AC47"/>
        </w:tc>
        <w:tc>
          <w:tcPr>
            <w:tcW w:w="1355" w:type="dxa"/>
            <w:tcBorders>
              <w:top w:val="single" w:color="000000" w:sz="4" w:space="0"/>
              <w:left w:val="single" w:color="000000" w:sz="4" w:space="0"/>
              <w:bottom w:val="single" w:color="000000" w:sz="4" w:space="0"/>
              <w:right w:val="single" w:color="000000" w:sz="4" w:space="0"/>
            </w:tcBorders>
            <w:noWrap/>
            <w:vAlign w:val="center"/>
          </w:tcPr>
          <w:p w14:paraId="4B35E9F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146BE1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4B5F7F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EA9F36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11AD27B">
            <w:pPr>
              <w:widowControl/>
              <w:spacing w:line="240" w:lineRule="exact"/>
              <w:jc w:val="left"/>
              <w:textAlignment w:val="center"/>
              <w:rPr>
                <w:rFonts w:hint="eastAsia" w:ascii="仿宋_GB2312" w:eastAsia="仿宋_GB2312" w:cs="仿宋_GB2312"/>
                <w:color w:val="000000"/>
                <w:kern w:val="0"/>
                <w:sz w:val="24"/>
                <w:szCs w:val="24"/>
              </w:rPr>
            </w:pPr>
          </w:p>
        </w:tc>
      </w:tr>
      <w:tr w14:paraId="21E0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297E6C2"/>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2BEFFE0"/>
        </w:tc>
        <w:tc>
          <w:tcPr>
            <w:tcW w:w="1355" w:type="dxa"/>
            <w:tcBorders>
              <w:top w:val="single" w:color="000000" w:sz="4" w:space="0"/>
              <w:left w:val="single" w:color="000000" w:sz="4" w:space="0"/>
              <w:bottom w:val="single" w:color="000000" w:sz="4" w:space="0"/>
              <w:right w:val="single" w:color="000000" w:sz="4" w:space="0"/>
            </w:tcBorders>
            <w:noWrap/>
            <w:vAlign w:val="center"/>
          </w:tcPr>
          <w:p w14:paraId="0AAD0F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群众满意度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604113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C985EC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A9D1D9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47C73BB">
            <w:pPr>
              <w:widowControl/>
              <w:spacing w:line="240" w:lineRule="exact"/>
              <w:jc w:val="left"/>
              <w:textAlignment w:val="center"/>
              <w:rPr>
                <w:rFonts w:hint="eastAsia" w:ascii="仿宋_GB2312" w:eastAsia="仿宋_GB2312" w:cs="仿宋_GB2312"/>
                <w:color w:val="000000"/>
                <w:kern w:val="0"/>
                <w:sz w:val="24"/>
                <w:szCs w:val="24"/>
              </w:rPr>
            </w:pPr>
          </w:p>
        </w:tc>
      </w:tr>
      <w:tr w14:paraId="45D1D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F3500E3"/>
        </w:tc>
        <w:tc>
          <w:tcPr>
            <w:tcW w:w="765" w:type="dxa"/>
            <w:vMerge w:val="restart"/>
            <w:tcBorders>
              <w:top w:val="single" w:color="000000" w:sz="4" w:space="0"/>
              <w:left w:val="single" w:color="000000" w:sz="4" w:space="0"/>
              <w:bottom w:val="single" w:color="000000" w:sz="4" w:space="0"/>
              <w:right w:val="single" w:color="000000" w:sz="4" w:space="0"/>
            </w:tcBorders>
            <w:noWrap/>
            <w:vAlign w:val="center"/>
          </w:tcPr>
          <w:p w14:paraId="7F21B4F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基础</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设施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7EF5286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在建</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74FE330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工程进度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0EF27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94732B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D45157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FF4893D">
            <w:pPr>
              <w:widowControl/>
              <w:spacing w:line="240" w:lineRule="exact"/>
              <w:jc w:val="left"/>
              <w:textAlignment w:val="center"/>
              <w:rPr>
                <w:rFonts w:hint="eastAsia" w:ascii="仿宋_GB2312" w:eastAsia="仿宋_GB2312" w:cs="仿宋_GB2312"/>
                <w:color w:val="000000"/>
                <w:kern w:val="0"/>
                <w:sz w:val="24"/>
                <w:szCs w:val="24"/>
              </w:rPr>
            </w:pPr>
          </w:p>
        </w:tc>
      </w:tr>
      <w:tr w14:paraId="32DD2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5C9329A"/>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62C75211"/>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5B6810BE"/>
        </w:tc>
        <w:tc>
          <w:tcPr>
            <w:tcW w:w="1355" w:type="dxa"/>
            <w:tcBorders>
              <w:top w:val="single" w:color="000000" w:sz="4" w:space="0"/>
              <w:left w:val="single" w:color="000000" w:sz="4" w:space="0"/>
              <w:bottom w:val="single" w:color="000000" w:sz="4" w:space="0"/>
              <w:right w:val="single" w:color="000000" w:sz="4" w:space="0"/>
            </w:tcBorders>
            <w:noWrap/>
            <w:vAlign w:val="center"/>
          </w:tcPr>
          <w:p w14:paraId="292B93A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资金拨付</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1EAC7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BD8159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C519B6">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7ADE69A">
            <w:pPr>
              <w:widowControl/>
              <w:spacing w:line="240" w:lineRule="exact"/>
              <w:jc w:val="left"/>
              <w:textAlignment w:val="center"/>
              <w:rPr>
                <w:rFonts w:hint="eastAsia" w:ascii="仿宋_GB2312" w:eastAsia="仿宋_GB2312" w:cs="仿宋_GB2312"/>
                <w:color w:val="000000"/>
                <w:kern w:val="0"/>
                <w:sz w:val="24"/>
                <w:szCs w:val="24"/>
              </w:rPr>
            </w:pPr>
          </w:p>
        </w:tc>
      </w:tr>
      <w:tr w14:paraId="29AAD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B442C28"/>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3D077864"/>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293009E3">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建成</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F9357A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6A18CB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B3C760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D5FC9E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8F9E584">
            <w:pPr>
              <w:widowControl/>
              <w:spacing w:line="240" w:lineRule="exact"/>
              <w:jc w:val="left"/>
              <w:textAlignment w:val="center"/>
              <w:rPr>
                <w:rFonts w:hint="eastAsia" w:ascii="仿宋_GB2312" w:eastAsia="仿宋_GB2312" w:cs="仿宋_GB2312"/>
                <w:color w:val="000000"/>
                <w:kern w:val="0"/>
                <w:sz w:val="24"/>
                <w:szCs w:val="24"/>
              </w:rPr>
            </w:pPr>
          </w:p>
        </w:tc>
      </w:tr>
      <w:tr w14:paraId="4457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8D6037D"/>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88DB1CC"/>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62C3D244"/>
        </w:tc>
        <w:tc>
          <w:tcPr>
            <w:tcW w:w="1355" w:type="dxa"/>
            <w:tcBorders>
              <w:top w:val="single" w:color="000000" w:sz="4" w:space="0"/>
              <w:left w:val="single" w:color="000000" w:sz="4" w:space="0"/>
              <w:bottom w:val="single" w:color="000000" w:sz="4" w:space="0"/>
              <w:right w:val="single" w:color="000000" w:sz="4" w:space="0"/>
            </w:tcBorders>
            <w:noWrap/>
            <w:vAlign w:val="center"/>
          </w:tcPr>
          <w:p w14:paraId="017776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功能实现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33EB04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715E0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2F7AEA8">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5DD0CDE">
            <w:pPr>
              <w:widowControl/>
              <w:spacing w:line="240" w:lineRule="exact"/>
              <w:jc w:val="left"/>
              <w:textAlignment w:val="center"/>
              <w:rPr>
                <w:rFonts w:hint="eastAsia" w:ascii="仿宋_GB2312" w:eastAsia="仿宋_GB2312" w:cs="仿宋_GB2312"/>
                <w:color w:val="000000"/>
                <w:kern w:val="0"/>
                <w:sz w:val="24"/>
                <w:szCs w:val="24"/>
              </w:rPr>
            </w:pPr>
          </w:p>
        </w:tc>
      </w:tr>
      <w:tr w14:paraId="2A42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CABD327"/>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52F8670"/>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07B685E"/>
        </w:tc>
        <w:tc>
          <w:tcPr>
            <w:tcW w:w="1355" w:type="dxa"/>
            <w:tcBorders>
              <w:top w:val="single" w:color="000000" w:sz="4" w:space="0"/>
              <w:left w:val="single" w:color="000000" w:sz="4" w:space="0"/>
              <w:bottom w:val="single" w:color="000000" w:sz="4" w:space="0"/>
              <w:right w:val="single" w:color="000000" w:sz="4" w:space="0"/>
            </w:tcBorders>
            <w:noWrap/>
            <w:vAlign w:val="center"/>
          </w:tcPr>
          <w:p w14:paraId="0997507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后续管护</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6D32D3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CA6BAB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14AFDE">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10F3920">
            <w:pPr>
              <w:widowControl/>
              <w:spacing w:line="240" w:lineRule="exact"/>
              <w:jc w:val="left"/>
              <w:textAlignment w:val="center"/>
              <w:rPr>
                <w:rFonts w:hint="eastAsia" w:ascii="仿宋_GB2312" w:eastAsia="仿宋_GB2312" w:cs="仿宋_GB2312"/>
                <w:color w:val="000000"/>
                <w:kern w:val="0"/>
                <w:sz w:val="24"/>
                <w:szCs w:val="24"/>
              </w:rPr>
            </w:pPr>
          </w:p>
        </w:tc>
      </w:tr>
      <w:tr w14:paraId="4A51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4E9E632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5874CB8">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行政运转</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nil"/>
              <w:left w:val="single" w:color="000000" w:sz="4" w:space="0"/>
              <w:bottom w:val="single" w:color="000000" w:sz="4" w:space="0"/>
              <w:right w:val="single" w:color="000000" w:sz="4" w:space="0"/>
            </w:tcBorders>
            <w:noWrap/>
            <w:vAlign w:val="center"/>
          </w:tcPr>
          <w:p w14:paraId="3733B02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用途合规性</w:t>
            </w:r>
          </w:p>
        </w:tc>
        <w:tc>
          <w:tcPr>
            <w:tcW w:w="696" w:type="dxa"/>
            <w:tcBorders>
              <w:top w:val="nil"/>
              <w:left w:val="single" w:color="000000" w:sz="4" w:space="0"/>
              <w:bottom w:val="single" w:color="000000" w:sz="4" w:space="0"/>
              <w:right w:val="single" w:color="000000" w:sz="4" w:space="0"/>
            </w:tcBorders>
            <w:noWrap/>
            <w:vAlign w:val="center"/>
          </w:tcPr>
          <w:p w14:paraId="52E4E0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nil"/>
              <w:left w:val="single" w:color="000000" w:sz="4" w:space="0"/>
              <w:bottom w:val="single" w:color="000000" w:sz="4" w:space="0"/>
              <w:right w:val="single" w:color="000000" w:sz="4" w:space="0"/>
            </w:tcBorders>
            <w:noWrap/>
            <w:vAlign w:val="center"/>
          </w:tcPr>
          <w:p w14:paraId="3F921935">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ign w:val="center"/>
          </w:tcPr>
          <w:p w14:paraId="7F74ADC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nil"/>
              <w:left w:val="single" w:color="000000" w:sz="4" w:space="0"/>
              <w:bottom w:val="single" w:color="000000" w:sz="4" w:space="0"/>
              <w:right w:val="single" w:color="000000" w:sz="4" w:space="0"/>
            </w:tcBorders>
            <w:noWrap/>
            <w:vAlign w:val="center"/>
          </w:tcPr>
          <w:p w14:paraId="02376545">
            <w:pPr>
              <w:widowControl/>
              <w:spacing w:line="240" w:lineRule="exact"/>
              <w:jc w:val="left"/>
              <w:textAlignment w:val="center"/>
              <w:rPr>
                <w:rFonts w:hint="eastAsia" w:ascii="仿宋_GB2312" w:eastAsia="仿宋_GB2312" w:cs="仿宋_GB2312"/>
                <w:color w:val="000000"/>
                <w:kern w:val="0"/>
                <w:sz w:val="24"/>
                <w:szCs w:val="24"/>
              </w:rPr>
            </w:pPr>
          </w:p>
        </w:tc>
      </w:tr>
      <w:tr w14:paraId="38AD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206E663"/>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B1CBAA6"/>
        </w:tc>
        <w:tc>
          <w:tcPr>
            <w:tcW w:w="1355" w:type="dxa"/>
            <w:tcBorders>
              <w:top w:val="nil"/>
              <w:left w:val="single" w:color="000000" w:sz="4" w:space="0"/>
              <w:bottom w:val="single" w:color="000000" w:sz="4" w:space="0"/>
              <w:right w:val="single" w:color="000000" w:sz="4" w:space="0"/>
            </w:tcBorders>
            <w:noWrap/>
            <w:vAlign w:val="center"/>
          </w:tcPr>
          <w:p w14:paraId="76D3408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程序合规性</w:t>
            </w:r>
          </w:p>
        </w:tc>
        <w:tc>
          <w:tcPr>
            <w:tcW w:w="696" w:type="dxa"/>
            <w:tcBorders>
              <w:top w:val="nil"/>
              <w:left w:val="single" w:color="000000" w:sz="4" w:space="0"/>
              <w:bottom w:val="single" w:color="000000" w:sz="4" w:space="0"/>
              <w:right w:val="single" w:color="000000" w:sz="4" w:space="0"/>
            </w:tcBorders>
            <w:noWrap/>
            <w:vAlign w:val="center"/>
          </w:tcPr>
          <w:p w14:paraId="0AEE73B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059DB1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0EB63F1">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C7A2D02">
            <w:pPr>
              <w:widowControl/>
              <w:spacing w:line="240" w:lineRule="exact"/>
              <w:jc w:val="left"/>
              <w:textAlignment w:val="center"/>
              <w:rPr>
                <w:rFonts w:hint="eastAsia" w:ascii="仿宋_GB2312" w:eastAsia="仿宋_GB2312" w:cs="仿宋_GB2312"/>
                <w:color w:val="000000"/>
                <w:kern w:val="0"/>
                <w:sz w:val="24"/>
                <w:szCs w:val="24"/>
              </w:rPr>
            </w:pPr>
          </w:p>
        </w:tc>
      </w:tr>
      <w:tr w14:paraId="2433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20CF26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A5698A8"/>
        </w:tc>
        <w:tc>
          <w:tcPr>
            <w:tcW w:w="1355" w:type="dxa"/>
            <w:tcBorders>
              <w:top w:val="nil"/>
              <w:left w:val="single" w:color="000000" w:sz="4" w:space="0"/>
              <w:bottom w:val="single" w:color="000000" w:sz="4" w:space="0"/>
              <w:right w:val="single" w:color="000000" w:sz="4" w:space="0"/>
            </w:tcBorders>
            <w:noWrap/>
            <w:vAlign w:val="center"/>
          </w:tcPr>
          <w:p w14:paraId="4C1E662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标准合规性</w:t>
            </w:r>
          </w:p>
        </w:tc>
        <w:tc>
          <w:tcPr>
            <w:tcW w:w="696" w:type="dxa"/>
            <w:tcBorders>
              <w:top w:val="nil"/>
              <w:left w:val="single" w:color="000000" w:sz="4" w:space="0"/>
              <w:bottom w:val="single" w:color="000000" w:sz="4" w:space="0"/>
              <w:right w:val="single" w:color="000000" w:sz="4" w:space="0"/>
            </w:tcBorders>
            <w:noWrap/>
            <w:vAlign w:val="center"/>
          </w:tcPr>
          <w:p w14:paraId="094BF5E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189815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37934D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FEC05F4">
            <w:pPr>
              <w:widowControl/>
              <w:spacing w:line="240" w:lineRule="exact"/>
              <w:jc w:val="left"/>
              <w:textAlignment w:val="center"/>
              <w:rPr>
                <w:rFonts w:hint="eastAsia" w:ascii="仿宋_GB2312" w:eastAsia="仿宋_GB2312" w:cs="仿宋_GB2312"/>
                <w:color w:val="000000"/>
                <w:kern w:val="0"/>
                <w:sz w:val="24"/>
                <w:szCs w:val="24"/>
              </w:rPr>
            </w:pPr>
          </w:p>
        </w:tc>
      </w:tr>
      <w:tr w14:paraId="1367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3FA633A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个性指标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（16分）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5FB557E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质量指标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36597F9">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000000" w:sz="4" w:space="0"/>
              <w:left w:val="single" w:color="000000" w:sz="4" w:space="0"/>
              <w:bottom w:val="single" w:color="auto" w:sz="4" w:space="0"/>
              <w:right w:val="single" w:color="000000" w:sz="4" w:space="0"/>
            </w:tcBorders>
            <w:noWrap/>
            <w:vAlign w:val="center"/>
          </w:tcPr>
          <w:p w14:paraId="79FE0ADE">
            <w:pPr>
              <w:widowControl/>
              <w:spacing w:line="240" w:lineRule="exact"/>
              <w:jc w:val="lef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重点档案抢救和保护</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22B5DDD">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3167972">
            <w:pPr>
              <w:widowControl/>
              <w:spacing w:line="240" w:lineRule="exact"/>
              <w:jc w:val="left"/>
              <w:textAlignment w:val="center"/>
              <w:rPr>
                <w:rFonts w:hint="eastAsia" w:ascii="仿宋_GB2312" w:eastAsia="仿宋_GB2312" w:cs="仿宋_GB2312"/>
                <w:color w:val="000000"/>
                <w:kern w:val="0"/>
                <w:sz w:val="24"/>
                <w:szCs w:val="24"/>
              </w:rPr>
            </w:pPr>
          </w:p>
        </w:tc>
      </w:tr>
      <w:tr w14:paraId="56396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2AE9A3E9"/>
        </w:tc>
        <w:tc>
          <w:tcPr>
            <w:tcW w:w="1355" w:type="dxa"/>
            <w:tcBorders>
              <w:top w:val="single" w:color="000000" w:sz="4" w:space="0"/>
              <w:left w:val="single" w:color="000000" w:sz="4" w:space="0"/>
              <w:bottom w:val="single" w:color="000000" w:sz="4" w:space="0"/>
              <w:right w:val="single" w:color="000000" w:sz="4" w:space="0"/>
            </w:tcBorders>
            <w:noWrap/>
            <w:vAlign w:val="center"/>
          </w:tcPr>
          <w:p w14:paraId="652CC33B">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社会效益指标</w:t>
            </w:r>
          </w:p>
        </w:tc>
        <w:tc>
          <w:tcPr>
            <w:tcW w:w="696" w:type="dxa"/>
            <w:tcBorders>
              <w:top w:val="single" w:color="000000" w:sz="4" w:space="0"/>
              <w:left w:val="single" w:color="000000" w:sz="4" w:space="0"/>
              <w:bottom w:val="single" w:color="auto" w:sz="4" w:space="0"/>
              <w:right w:val="single" w:color="000000" w:sz="4" w:space="0"/>
            </w:tcBorders>
            <w:noWrap/>
            <w:vAlign w:val="center"/>
          </w:tcPr>
          <w:p w14:paraId="0121C796">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7B2B2695">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档案查阅利用方便、快捷</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86F276E">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A73761D">
            <w:pPr>
              <w:widowControl/>
              <w:spacing w:line="240" w:lineRule="exact"/>
              <w:jc w:val="left"/>
              <w:rPr>
                <w:rFonts w:hint="eastAsia" w:ascii="仿宋_GB2312" w:eastAsia="仿宋_GB2312" w:cs="仿宋_GB2312"/>
                <w:color w:val="000000"/>
                <w:sz w:val="24"/>
                <w:szCs w:val="24"/>
              </w:rPr>
            </w:pPr>
          </w:p>
        </w:tc>
      </w:tr>
      <w:tr w14:paraId="65CF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7C7B0724"/>
        </w:tc>
        <w:tc>
          <w:tcPr>
            <w:tcW w:w="1355" w:type="dxa"/>
            <w:tcBorders>
              <w:top w:val="single" w:color="000000" w:sz="4" w:space="0"/>
              <w:left w:val="single" w:color="000000" w:sz="4" w:space="0"/>
              <w:bottom w:val="single" w:color="000000" w:sz="4" w:space="0"/>
              <w:right w:val="single" w:color="000000" w:sz="4" w:space="0"/>
            </w:tcBorders>
            <w:noWrap/>
            <w:vAlign w:val="center"/>
          </w:tcPr>
          <w:p w14:paraId="4E4012A5">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服务对象满意度指标</w:t>
            </w:r>
          </w:p>
        </w:tc>
        <w:tc>
          <w:tcPr>
            <w:tcW w:w="696" w:type="dxa"/>
            <w:tcBorders>
              <w:top w:val="single" w:color="auto" w:sz="4" w:space="0"/>
              <w:left w:val="single" w:color="000000" w:sz="4" w:space="0"/>
              <w:bottom w:val="single" w:color="000000" w:sz="4" w:space="0"/>
              <w:right w:val="single" w:color="000000" w:sz="4" w:space="0"/>
            </w:tcBorders>
            <w:noWrap/>
            <w:vAlign w:val="center"/>
          </w:tcPr>
          <w:p w14:paraId="00D0F513">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4</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5B9D2E4D">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查阅利用档案人员满意</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AEB37E9">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13559FD">
            <w:pPr>
              <w:widowControl/>
              <w:spacing w:line="240" w:lineRule="exact"/>
              <w:jc w:val="left"/>
              <w:rPr>
                <w:rFonts w:hint="eastAsia" w:ascii="仿宋_GB2312" w:eastAsia="仿宋_GB2312" w:cs="仿宋_GB2312"/>
                <w:color w:val="000000"/>
                <w:sz w:val="24"/>
                <w:szCs w:val="24"/>
              </w:rPr>
            </w:pPr>
          </w:p>
        </w:tc>
      </w:tr>
      <w:tr w14:paraId="4E19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ign w:val="center"/>
          </w:tcPr>
          <w:p w14:paraId="735909E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扣分项</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A24C0D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部门配合度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3FFC04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w:t>
            </w:r>
          </w:p>
        </w:tc>
        <w:tc>
          <w:tcPr>
            <w:tcW w:w="5340" w:type="dxa"/>
            <w:tcBorders>
              <w:top w:val="single" w:color="auto" w:sz="4" w:space="0"/>
              <w:left w:val="single" w:color="000000" w:sz="4" w:space="0"/>
              <w:bottom w:val="single" w:color="000000" w:sz="4" w:space="0"/>
              <w:right w:val="single" w:color="000000" w:sz="4" w:space="0"/>
            </w:tcBorders>
            <w:noWrap/>
            <w:vAlign w:val="center"/>
          </w:tcPr>
          <w:p w14:paraId="6CE705C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30D13E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DA90979">
            <w:pPr>
              <w:widowControl/>
              <w:spacing w:line="240" w:lineRule="exact"/>
              <w:jc w:val="left"/>
              <w:textAlignment w:val="center"/>
              <w:rPr>
                <w:rFonts w:hint="eastAsia" w:ascii="仿宋_GB2312" w:eastAsia="仿宋_GB2312" w:cs="仿宋_GB2312"/>
                <w:color w:val="000000"/>
                <w:kern w:val="0"/>
                <w:sz w:val="24"/>
                <w:szCs w:val="24"/>
              </w:rPr>
            </w:pPr>
          </w:p>
        </w:tc>
      </w:tr>
    </w:tbl>
    <w:p w14:paraId="2A7B7E3C">
      <w:pPr>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br w:type="page"/>
      </w: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2</w:t>
      </w:r>
    </w:p>
    <w:tbl>
      <w:tblPr>
        <w:tblStyle w:val="22"/>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2CC4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B502E80">
            <w:pPr>
              <w:widowControl/>
              <w:spacing w:line="600" w:lineRule="exact"/>
              <w:jc w:val="center"/>
              <w:textAlignment w:val="center"/>
              <w:rPr>
                <w:rFonts w:hint="eastAsia" w:ascii="仿宋_GB2312" w:eastAsia="仿宋_GB2312" w:cs="仿宋_GB2312"/>
                <w:color w:val="000000"/>
                <w:sz w:val="30"/>
                <w:szCs w:val="30"/>
              </w:rPr>
            </w:pPr>
            <w:r>
              <w:rPr>
                <w:rFonts w:hint="eastAsia" w:ascii="仿宋_GB2312" w:eastAsia="仿宋_GB2312" w:cs="仿宋_GB2312"/>
                <w:color w:val="000000"/>
                <w:kern w:val="0"/>
                <w:sz w:val="40"/>
                <w:szCs w:val="40"/>
              </w:rPr>
              <w:t>专项预算项目绩效目标完成情况自评表</w:t>
            </w:r>
          </w:p>
        </w:tc>
      </w:tr>
      <w:tr w14:paraId="0762A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6388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9CD49">
            <w:pPr>
              <w:spacing w:line="300" w:lineRule="exac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全州重点档案抢救和保护经费项目</w:t>
            </w:r>
          </w:p>
        </w:tc>
      </w:tr>
      <w:tr w14:paraId="3083D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C43E4">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2E7C87">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茂县档案馆</w:t>
            </w:r>
          </w:p>
        </w:tc>
      </w:tr>
      <w:tr w14:paraId="3026C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0BEED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45CCBF">
            <w:pPr>
              <w:spacing w:line="300" w:lineRule="exact"/>
              <w:jc w:val="left"/>
              <w:rPr>
                <w:rFonts w:hint="eastAsia" w:ascii="仿宋_GB2312" w:eastAsia="仿宋_GB2312" w:cs="仿宋_GB2312"/>
                <w:color w:val="000000"/>
                <w:sz w:val="24"/>
                <w:szCs w:val="24"/>
                <w:lang w:eastAsia="zh-CN"/>
              </w:rPr>
            </w:pPr>
          </w:p>
        </w:tc>
      </w:tr>
      <w:tr w14:paraId="03090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0C764">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25FA4">
            <w:pPr>
              <w:widowControl/>
              <w:spacing w:line="300" w:lineRule="exact"/>
              <w:jc w:val="left"/>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中长期规划（名称、文号，仅指</w:t>
            </w:r>
          </w:p>
          <w:p w14:paraId="41112CE8">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979121">
            <w:pPr>
              <w:spacing w:line="300" w:lineRule="exact"/>
              <w:jc w:val="left"/>
              <w:rPr>
                <w:rFonts w:hint="eastAsia" w:ascii="仿宋_GB2312" w:eastAsia="仿宋_GB2312" w:cs="仿宋_GB2312"/>
                <w:color w:val="000000"/>
                <w:sz w:val="24"/>
                <w:szCs w:val="24"/>
              </w:rPr>
            </w:pPr>
          </w:p>
        </w:tc>
      </w:tr>
      <w:tr w14:paraId="471E2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5CC26"/>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70B5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89033E">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茂财教</w:t>
            </w:r>
            <w:r>
              <w:rPr>
                <w:rFonts w:hint="eastAsia" w:ascii="仿宋_GB2312" w:eastAsia="仿宋_GB2312" w:cs="仿宋_GB2312"/>
                <w:color w:val="000000"/>
                <w:sz w:val="24"/>
                <w:szCs w:val="24"/>
                <w:lang w:val="en-US" w:eastAsia="zh-CN"/>
              </w:rPr>
              <w:t>[2024]45号</w:t>
            </w:r>
          </w:p>
        </w:tc>
      </w:tr>
      <w:tr w14:paraId="6186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1697"/>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ECFC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5D1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9211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C15B">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sym w:font="Wingdings 2" w:char="0052"/>
            </w:r>
            <w:r>
              <w:rPr>
                <w:rFonts w:hint="eastAsia" w:ascii="仿宋_GB2312" w:eastAsia="仿宋_GB2312" w:cs="仿宋_GB2312"/>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5FB8">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因素法与项目法相结合</w:t>
            </w:r>
          </w:p>
        </w:tc>
      </w:tr>
      <w:tr w14:paraId="5219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22A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45F9D">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E134E">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shd w:val="clear" w:color="auto" w:fill="FFFFFF"/>
              </w:rPr>
              <w:t>根据《中华人民共和国档案法》及党和国家有关档案工作的方针、政策，统筹规划全县各乡镇、部门、企事业单位档案工作，依法收集、整理全县重要档案资料，消除不安全因素，开展保管保护工作，保证其完整与安全，开展馆藏档案</w:t>
            </w:r>
            <w:r>
              <w:rPr>
                <w:rFonts w:hint="eastAsia" w:ascii="仿宋_GB2312" w:eastAsia="仿宋_GB2312" w:cs="仿宋_GB2312"/>
                <w:color w:val="000000"/>
                <w:sz w:val="24"/>
                <w:szCs w:val="24"/>
                <w:shd w:val="clear" w:color="auto" w:fill="FFFFFF"/>
                <w:lang w:eastAsia="zh-CN"/>
              </w:rPr>
              <w:t>数字</w:t>
            </w:r>
            <w:r>
              <w:rPr>
                <w:rFonts w:hint="eastAsia" w:ascii="仿宋_GB2312" w:eastAsia="仿宋_GB2312" w:cs="仿宋_GB2312"/>
                <w:color w:val="000000"/>
                <w:sz w:val="24"/>
                <w:szCs w:val="24"/>
                <w:shd w:val="clear" w:color="auto" w:fill="FFFFFF"/>
              </w:rPr>
              <w:t>资源</w:t>
            </w:r>
            <w:r>
              <w:rPr>
                <w:rFonts w:hint="eastAsia" w:ascii="仿宋_GB2312" w:eastAsia="仿宋_GB2312" w:cs="仿宋_GB2312"/>
                <w:color w:val="000000"/>
                <w:sz w:val="24"/>
                <w:szCs w:val="24"/>
                <w:shd w:val="clear" w:color="auto" w:fill="FFFFFF"/>
                <w:lang w:eastAsia="zh-CN"/>
              </w:rPr>
              <w:t>质检及整理</w:t>
            </w:r>
            <w:r>
              <w:rPr>
                <w:rFonts w:hint="eastAsia" w:ascii="仿宋_GB2312" w:eastAsia="仿宋_GB2312" w:cs="仿宋_GB2312"/>
                <w:color w:val="000000"/>
                <w:sz w:val="24"/>
                <w:szCs w:val="24"/>
                <w:shd w:val="clear" w:color="auto" w:fill="FFFFFF"/>
              </w:rPr>
              <w:t>。</w:t>
            </w:r>
          </w:p>
        </w:tc>
      </w:tr>
      <w:tr w14:paraId="1C097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64E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95BD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3A69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全州重点档案抢救和保护项目。</w:t>
            </w:r>
          </w:p>
        </w:tc>
      </w:tr>
      <w:tr w14:paraId="5EDE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2397"/>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D18B3">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87ADCA">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rPr>
              <w:t>1、落实有关财政资金管理，确保项目按照有关规定用款</w:t>
            </w:r>
          </w:p>
          <w:p w14:paraId="543B805C">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lang w:val="en-US" w:eastAsia="zh-CN"/>
              </w:rPr>
              <w:t>2、</w:t>
            </w:r>
            <w:r>
              <w:rPr>
                <w:rFonts w:hint="eastAsia" w:ascii="仿宋_GB2312" w:eastAsia="仿宋_GB2312" w:cs="仿宋_GB2312"/>
                <w:i w:val="0"/>
                <w:color w:val="000000"/>
                <w:sz w:val="24"/>
                <w:szCs w:val="24"/>
                <w:u w:val="none"/>
              </w:rPr>
              <w:t>落实项目内控制度，按照要求编制项目绩效管理评价</w:t>
            </w:r>
          </w:p>
          <w:p w14:paraId="6F3B9E7C">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rPr>
              <w:t>3、严格执行有关规定，实现项目的质量和效率</w:t>
            </w:r>
          </w:p>
        </w:tc>
      </w:tr>
      <w:tr w14:paraId="5C96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DD148"/>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4DFBE">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8B9D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lang w:val="en-US" w:eastAsia="zh-CN"/>
              </w:rPr>
              <w:t>2024年</w:t>
            </w:r>
          </w:p>
        </w:tc>
      </w:tr>
      <w:tr w14:paraId="06ED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CC471">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项目资金</w:t>
            </w:r>
          </w:p>
          <w:p w14:paraId="5579C1AD">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F04C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0E39A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9.97万元</w:t>
            </w:r>
          </w:p>
        </w:tc>
      </w:tr>
      <w:tr w14:paraId="64DBB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6D11"/>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76F4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7C2CFE">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9.97万元</w:t>
            </w:r>
          </w:p>
        </w:tc>
      </w:tr>
      <w:tr w14:paraId="184C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C08BD"/>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3D952">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E52AC">
            <w:pPr>
              <w:spacing w:line="300" w:lineRule="exact"/>
              <w:jc w:val="right"/>
              <w:rPr>
                <w:rFonts w:hint="eastAsia" w:ascii="仿宋_GB2312" w:eastAsia="仿宋_GB2312" w:cs="仿宋_GB2312"/>
                <w:color w:val="000000"/>
                <w:sz w:val="24"/>
                <w:szCs w:val="24"/>
              </w:rPr>
            </w:pPr>
          </w:p>
        </w:tc>
      </w:tr>
      <w:tr w14:paraId="2B01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7194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65BCBE">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年度目标</w:t>
            </w:r>
          </w:p>
        </w:tc>
      </w:tr>
      <w:tr w14:paraId="7CBB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2D643"/>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1E634D">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档案馆数字化建设机房维护、库房倒库</w:t>
            </w:r>
          </w:p>
        </w:tc>
      </w:tr>
      <w:tr w14:paraId="71C3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0375DCC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0D8C2EF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6A1C3A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F0BC68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10A1B5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83840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AB279D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036561A">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EECBBD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实际完成指标值</w:t>
            </w:r>
          </w:p>
        </w:tc>
      </w:tr>
      <w:tr w14:paraId="3E00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EFDFA57"/>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800C67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0CCE32C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数量指标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F81B8B1">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全州重点档案捨和保护</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3BBA5F62">
            <w:pPr>
              <w:spacing w:line="300" w:lineRule="exact"/>
              <w:jc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3DB0D3C7">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0DE8DDAE">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5AF682E5">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1872BA3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23B3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F695A15"/>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6B7D0F8">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5662CD94">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社会效益</w:t>
            </w:r>
          </w:p>
          <w:p w14:paraId="2585131D">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46ABB8E">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档案查阅利用方便、快捷</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0482D3F9">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677D2D1">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6583FF3B">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25A4842E">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2D0AB32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7BFA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86223E8"/>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28E6CC8">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满意度</w:t>
            </w:r>
          </w:p>
          <w:p w14:paraId="72B56D3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0555052">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服务对象</w:t>
            </w:r>
          </w:p>
          <w:p w14:paraId="3A17EC6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满意度指标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C667F83">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查阅利用档案人员满意</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AC444E4">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4958C2F">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42B8224D">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人</w:t>
            </w:r>
            <w:r>
              <w:rPr>
                <w:rFonts w:hint="eastAsia" w:ascii="仿宋_GB2312" w:eastAsia="仿宋_GB2312" w:cs="仿宋_GB2312"/>
                <w:color w:val="000000"/>
                <w:sz w:val="24"/>
                <w:szCs w:val="24"/>
                <w:lang w:val="en-US" w:eastAsia="zh-CN"/>
              </w:rPr>
              <w:t>/次</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4DF74A5C">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5D4FF5C">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bl>
    <w:p w14:paraId="191C7E5F">
      <w:pPr>
        <w:pStyle w:val="21"/>
        <w:spacing w:after="0" w:line="578" w:lineRule="exact"/>
        <w:ind w:left="0" w:leftChars="0"/>
        <w:rPr>
          <w:rFonts w:hint="eastAsia" w:ascii="仿宋_GB2312" w:eastAsia="仿宋_GB2312" w:cs="仿宋_GB2312"/>
          <w:sz w:val="24"/>
          <w:szCs w:val="24"/>
        </w:rPr>
      </w:pPr>
    </w:p>
    <w:p w14:paraId="4AA285BD">
      <w:pPr>
        <w:pStyle w:val="21"/>
        <w:spacing w:after="0" w:line="578" w:lineRule="exact"/>
        <w:ind w:left="0" w:leftChars="0"/>
        <w:rPr>
          <w:rFonts w:ascii="黑体" w:eastAsia="黑体" w:cs="黑体"/>
          <w:sz w:val="24"/>
          <w:szCs w:val="24"/>
        </w:rPr>
      </w:pPr>
    </w:p>
    <w:p w14:paraId="73A7D577">
      <w:pPr>
        <w:pStyle w:val="41"/>
        <w:rPr>
          <w:rFonts w:hint="eastAsia"/>
          <w:lang w:val="en-US" w:eastAsia="zh-CN"/>
        </w:rPr>
      </w:pPr>
    </w:p>
    <w:p w14:paraId="0A3E52E2">
      <w:pPr>
        <w:spacing w:line="576" w:lineRule="exact"/>
        <w:jc w:val="left"/>
        <w:outlineLvl w:val="0"/>
        <w:rPr>
          <w:rFonts w:hint="eastAsia" w:ascii="国标仿宋" w:eastAsia="国标仿宋" w:cs="国标仿宋"/>
          <w:sz w:val="32"/>
          <w:szCs w:val="32"/>
        </w:rPr>
      </w:pPr>
    </w:p>
    <w:bookmarkEnd w:id="99"/>
    <w:bookmarkEnd w:id="106"/>
    <w:bookmarkEnd w:id="107"/>
    <w:bookmarkEnd w:id="108"/>
    <w:p w14:paraId="2FCADC72"/>
    <w:p w14:paraId="108A21A7">
      <w:pPr>
        <w:widowControl/>
        <w:jc w:val="center"/>
        <w:rPr>
          <w:rFonts w:ascii="仿宋" w:eastAsia="仿宋"/>
        </w:rPr>
      </w:pPr>
      <w:r>
        <w:rPr>
          <w:rFonts w:hint="eastAsia" w:ascii="黑体" w:eastAsia="黑体"/>
          <w:sz w:val="44"/>
          <w:szCs w:val="44"/>
        </w:rPr>
        <w:t>第</w:t>
      </w:r>
      <w:r>
        <w:rPr>
          <w:rStyle w:val="26"/>
          <w:rFonts w:hint="eastAsia" w:ascii="黑体" w:eastAsia="黑体"/>
        </w:rPr>
        <w:t>五部分 附表</w:t>
      </w:r>
    </w:p>
    <w:p w14:paraId="03B33F56">
      <w:pPr>
        <w:pStyle w:val="3"/>
        <w:rPr>
          <w:rFonts w:ascii="仿宋" w:eastAsia="仿宋"/>
        </w:rPr>
      </w:pPr>
      <w:bookmarkStart w:id="110" w:name="_Toc178176246"/>
      <w:r>
        <w:rPr>
          <w:rFonts w:hint="eastAsia" w:ascii="仿宋" w:eastAsia="仿宋"/>
          <w:b w:val="0"/>
        </w:rPr>
        <w:t>一、收</w:t>
      </w:r>
      <w:r>
        <w:rPr>
          <w:rStyle w:val="27"/>
          <w:rFonts w:hint="eastAsia" w:ascii="仿宋" w:eastAsia="仿宋"/>
          <w:b/>
          <w:bCs/>
        </w:rPr>
        <w:t>入支出决算总表</w:t>
      </w:r>
      <w:bookmarkEnd w:id="110"/>
    </w:p>
    <w:p w14:paraId="643F5573">
      <w:pPr>
        <w:pStyle w:val="3"/>
        <w:rPr>
          <w:rFonts w:ascii="仿宋" w:eastAsia="仿宋"/>
        </w:rPr>
      </w:pPr>
      <w:bookmarkStart w:id="111" w:name="_Toc178176247"/>
      <w:r>
        <w:rPr>
          <w:rFonts w:hint="eastAsia" w:ascii="仿宋" w:eastAsia="仿宋"/>
          <w:b w:val="0"/>
        </w:rPr>
        <w:t>二、收</w:t>
      </w:r>
      <w:r>
        <w:rPr>
          <w:rStyle w:val="27"/>
          <w:rFonts w:hint="eastAsia" w:ascii="仿宋" w:eastAsia="仿宋"/>
          <w:b/>
          <w:bCs/>
        </w:rPr>
        <w:t>入决算表</w:t>
      </w:r>
      <w:bookmarkEnd w:id="111"/>
    </w:p>
    <w:p w14:paraId="3CDED551">
      <w:pPr>
        <w:pStyle w:val="3"/>
        <w:rPr>
          <w:rFonts w:ascii="仿宋" w:eastAsia="仿宋"/>
        </w:rPr>
      </w:pPr>
      <w:bookmarkStart w:id="112" w:name="_Toc178176248"/>
      <w:r>
        <w:rPr>
          <w:rStyle w:val="27"/>
          <w:rFonts w:hint="eastAsia" w:ascii="仿宋" w:eastAsia="仿宋"/>
          <w:b/>
          <w:bCs/>
        </w:rPr>
        <w:t>三、</w:t>
      </w:r>
      <w:r>
        <w:rPr>
          <w:rFonts w:hint="eastAsia" w:ascii="仿宋" w:eastAsia="仿宋"/>
          <w:b w:val="0"/>
        </w:rPr>
        <w:t>支</w:t>
      </w:r>
      <w:r>
        <w:rPr>
          <w:rStyle w:val="27"/>
          <w:rFonts w:hint="eastAsia" w:ascii="仿宋" w:eastAsia="仿宋"/>
          <w:b/>
          <w:bCs/>
        </w:rPr>
        <w:t>出决算表</w:t>
      </w:r>
      <w:bookmarkEnd w:id="112"/>
    </w:p>
    <w:p w14:paraId="1E4C2285">
      <w:pPr>
        <w:pStyle w:val="3"/>
        <w:rPr>
          <w:rFonts w:ascii="仿宋" w:eastAsia="仿宋"/>
          <w:b w:val="0"/>
        </w:rPr>
      </w:pPr>
      <w:bookmarkStart w:id="113" w:name="_Toc178176249"/>
      <w:r>
        <w:rPr>
          <w:rStyle w:val="27"/>
          <w:rFonts w:hint="eastAsia" w:ascii="仿宋" w:eastAsia="仿宋"/>
          <w:b/>
          <w:bCs/>
        </w:rPr>
        <w:t>四、</w:t>
      </w:r>
      <w:r>
        <w:rPr>
          <w:rFonts w:hint="eastAsia" w:ascii="仿宋" w:eastAsia="仿宋"/>
          <w:b w:val="0"/>
        </w:rPr>
        <w:t>财</w:t>
      </w:r>
      <w:r>
        <w:rPr>
          <w:rStyle w:val="27"/>
          <w:rFonts w:hint="eastAsia" w:ascii="仿宋" w:eastAsia="仿宋"/>
          <w:b/>
          <w:bCs/>
        </w:rPr>
        <w:t>政拨款收入支出决算总表</w:t>
      </w:r>
      <w:bookmarkEnd w:id="113"/>
    </w:p>
    <w:p w14:paraId="1B113F9B">
      <w:pPr>
        <w:pStyle w:val="3"/>
        <w:rPr>
          <w:rStyle w:val="27"/>
          <w:rFonts w:ascii="仿宋" w:eastAsia="仿宋"/>
          <w:b/>
          <w:bCs/>
        </w:rPr>
      </w:pPr>
      <w:bookmarkStart w:id="114" w:name="_Toc178176250"/>
      <w:r>
        <w:rPr>
          <w:rStyle w:val="27"/>
          <w:rFonts w:hint="eastAsia" w:ascii="仿宋" w:eastAsia="仿宋"/>
          <w:b/>
          <w:bCs/>
        </w:rPr>
        <w:t>五、</w:t>
      </w:r>
      <w:r>
        <w:rPr>
          <w:rFonts w:hint="eastAsia" w:ascii="仿宋" w:eastAsia="仿宋"/>
          <w:b w:val="0"/>
        </w:rPr>
        <w:t>财</w:t>
      </w:r>
      <w:r>
        <w:rPr>
          <w:rStyle w:val="27"/>
          <w:rFonts w:hint="eastAsia" w:ascii="仿宋" w:eastAsia="仿宋"/>
          <w:b/>
          <w:bCs/>
        </w:rPr>
        <w:t>政拨款支出决算明细表</w:t>
      </w:r>
      <w:bookmarkEnd w:id="114"/>
    </w:p>
    <w:p w14:paraId="12B0E5E8">
      <w:pPr>
        <w:pStyle w:val="3"/>
        <w:rPr>
          <w:rFonts w:ascii="仿宋" w:eastAsia="仿宋"/>
        </w:rPr>
      </w:pPr>
      <w:bookmarkStart w:id="115" w:name="_Toc178176251"/>
      <w:r>
        <w:rPr>
          <w:rStyle w:val="27"/>
          <w:rFonts w:hint="eastAsia" w:ascii="仿宋" w:eastAsia="仿宋"/>
          <w:b/>
          <w:bCs/>
        </w:rPr>
        <w:t>六、</w:t>
      </w:r>
      <w:r>
        <w:rPr>
          <w:rFonts w:hint="eastAsia" w:ascii="仿宋" w:eastAsia="仿宋"/>
          <w:b w:val="0"/>
        </w:rPr>
        <w:t>一</w:t>
      </w:r>
      <w:r>
        <w:rPr>
          <w:rStyle w:val="27"/>
          <w:rFonts w:hint="eastAsia" w:ascii="仿宋" w:eastAsia="仿宋"/>
          <w:b/>
          <w:bCs/>
        </w:rPr>
        <w:t>般公共预算财政拨款支出决算表</w:t>
      </w:r>
      <w:bookmarkEnd w:id="115"/>
    </w:p>
    <w:p w14:paraId="54AFB4C8">
      <w:pPr>
        <w:pStyle w:val="3"/>
        <w:rPr>
          <w:rFonts w:ascii="仿宋" w:eastAsia="仿宋"/>
        </w:rPr>
      </w:pPr>
      <w:bookmarkStart w:id="116" w:name="_Toc178176252"/>
      <w:r>
        <w:rPr>
          <w:rStyle w:val="27"/>
          <w:rFonts w:hint="eastAsia" w:ascii="仿宋" w:eastAsia="仿宋"/>
          <w:b/>
          <w:bCs/>
        </w:rPr>
        <w:t>七、</w:t>
      </w:r>
      <w:r>
        <w:rPr>
          <w:rFonts w:hint="eastAsia" w:ascii="仿宋" w:eastAsia="仿宋"/>
          <w:b w:val="0"/>
        </w:rPr>
        <w:t>一</w:t>
      </w:r>
      <w:r>
        <w:rPr>
          <w:rStyle w:val="27"/>
          <w:rFonts w:hint="eastAsia" w:ascii="仿宋" w:eastAsia="仿宋"/>
          <w:b/>
          <w:bCs/>
        </w:rPr>
        <w:t>般公共预算财政拨款支出决算明细表</w:t>
      </w:r>
      <w:bookmarkEnd w:id="116"/>
    </w:p>
    <w:p w14:paraId="32B509EA">
      <w:pPr>
        <w:pStyle w:val="3"/>
        <w:rPr>
          <w:rFonts w:ascii="仿宋" w:eastAsia="仿宋"/>
        </w:rPr>
      </w:pPr>
      <w:bookmarkStart w:id="117" w:name="_Toc178176253"/>
      <w:r>
        <w:rPr>
          <w:rStyle w:val="27"/>
          <w:rFonts w:hint="eastAsia" w:ascii="仿宋" w:eastAsia="仿宋"/>
          <w:b/>
          <w:bCs/>
        </w:rPr>
        <w:t>八、</w:t>
      </w:r>
      <w:r>
        <w:rPr>
          <w:rFonts w:hint="eastAsia" w:ascii="仿宋" w:eastAsia="仿宋"/>
          <w:b w:val="0"/>
        </w:rPr>
        <w:t>一</w:t>
      </w:r>
      <w:r>
        <w:rPr>
          <w:rStyle w:val="27"/>
          <w:rFonts w:hint="eastAsia" w:ascii="仿宋" w:eastAsia="仿宋"/>
          <w:b/>
          <w:bCs/>
        </w:rPr>
        <w:t>般公共预算财政拨款基本支出决算表</w:t>
      </w:r>
      <w:bookmarkEnd w:id="117"/>
    </w:p>
    <w:p w14:paraId="1B701753">
      <w:pPr>
        <w:pStyle w:val="3"/>
        <w:rPr>
          <w:rFonts w:ascii="仿宋" w:eastAsia="仿宋"/>
        </w:rPr>
      </w:pPr>
      <w:bookmarkStart w:id="118" w:name="_Toc178176254"/>
      <w:r>
        <w:rPr>
          <w:rStyle w:val="27"/>
          <w:rFonts w:hint="eastAsia" w:ascii="仿宋" w:eastAsia="仿宋"/>
          <w:b/>
          <w:bCs/>
        </w:rPr>
        <w:t>九、</w:t>
      </w:r>
      <w:r>
        <w:rPr>
          <w:rFonts w:hint="eastAsia" w:ascii="仿宋" w:eastAsia="仿宋"/>
          <w:b w:val="0"/>
        </w:rPr>
        <w:t>一</w:t>
      </w:r>
      <w:r>
        <w:rPr>
          <w:rStyle w:val="27"/>
          <w:rFonts w:hint="eastAsia" w:ascii="仿宋" w:eastAsia="仿宋"/>
          <w:b/>
          <w:bCs/>
        </w:rPr>
        <w:t>般公共预算财政拨款项目支出决算表</w:t>
      </w:r>
      <w:bookmarkEnd w:id="118"/>
    </w:p>
    <w:p w14:paraId="5268EBF7">
      <w:pPr>
        <w:pStyle w:val="3"/>
        <w:rPr>
          <w:rFonts w:ascii="仿宋" w:eastAsia="仿宋"/>
        </w:rPr>
      </w:pPr>
      <w:bookmarkStart w:id="119" w:name="_Toc178176255"/>
      <w:r>
        <w:rPr>
          <w:rStyle w:val="27"/>
          <w:rFonts w:hint="eastAsia" w:ascii="仿宋" w:eastAsia="仿宋"/>
          <w:b/>
          <w:bCs/>
        </w:rPr>
        <w:t>十、</w:t>
      </w:r>
      <w:r>
        <w:rPr>
          <w:rFonts w:hint="eastAsia" w:ascii="仿宋" w:eastAsia="仿宋"/>
          <w:b w:val="0"/>
        </w:rPr>
        <w:t>政</w:t>
      </w:r>
      <w:r>
        <w:rPr>
          <w:rStyle w:val="27"/>
          <w:rFonts w:hint="eastAsia" w:ascii="仿宋" w:eastAsia="仿宋"/>
          <w:b/>
          <w:bCs/>
        </w:rPr>
        <w:t>府性基金预算财政拨款收入支出决算表</w:t>
      </w:r>
      <w:bookmarkEnd w:id="119"/>
    </w:p>
    <w:p w14:paraId="1AA98421">
      <w:pPr>
        <w:pStyle w:val="3"/>
        <w:rPr>
          <w:rFonts w:ascii="仿宋" w:eastAsia="仿宋"/>
        </w:rPr>
      </w:pPr>
      <w:bookmarkStart w:id="120" w:name="_Toc178176256"/>
      <w:r>
        <w:rPr>
          <w:rStyle w:val="27"/>
          <w:rFonts w:hint="eastAsia" w:ascii="仿宋" w:eastAsia="仿宋"/>
          <w:b/>
          <w:bCs/>
        </w:rPr>
        <w:t>十一、</w:t>
      </w:r>
      <w:r>
        <w:rPr>
          <w:rFonts w:hint="eastAsia" w:ascii="仿宋" w:eastAsia="仿宋"/>
          <w:b w:val="0"/>
        </w:rPr>
        <w:t>国</w:t>
      </w:r>
      <w:r>
        <w:rPr>
          <w:rStyle w:val="27"/>
          <w:rFonts w:hint="eastAsia" w:ascii="仿宋" w:eastAsia="仿宋"/>
          <w:b/>
          <w:bCs/>
        </w:rPr>
        <w:t>有资本经营预算财政拨款收入支出决算表</w:t>
      </w:r>
      <w:bookmarkEnd w:id="120"/>
    </w:p>
    <w:p w14:paraId="4C9D07EE">
      <w:pPr>
        <w:pStyle w:val="3"/>
        <w:rPr>
          <w:rFonts w:ascii="仿宋" w:eastAsia="仿宋"/>
        </w:rPr>
      </w:pPr>
      <w:bookmarkStart w:id="121" w:name="_Toc178176257"/>
      <w:r>
        <w:rPr>
          <w:rStyle w:val="27"/>
          <w:rFonts w:hint="eastAsia" w:ascii="仿宋" w:eastAsia="仿宋"/>
          <w:b/>
          <w:bCs/>
        </w:rPr>
        <w:t>十二、国有资本经营预算财政拨款支出决算表</w:t>
      </w:r>
      <w:bookmarkEnd w:id="121"/>
    </w:p>
    <w:p w14:paraId="47929372">
      <w:pPr>
        <w:pStyle w:val="3"/>
        <w:rPr>
          <w:rStyle w:val="27"/>
          <w:rFonts w:ascii="仿宋" w:eastAsia="仿宋"/>
          <w:b/>
          <w:bCs/>
        </w:rPr>
      </w:pPr>
      <w:bookmarkStart w:id="122" w:name="_Toc178176258"/>
      <w:r>
        <w:rPr>
          <w:rStyle w:val="27"/>
          <w:rFonts w:hint="eastAsia" w:ascii="仿宋" w:eastAsia="仿宋"/>
          <w:b/>
          <w:bCs/>
        </w:rPr>
        <w:t>十三、财政拨款“三公”经费支出决算表</w:t>
      </w:r>
      <w:bookmarkEnd w:id="122"/>
    </w:p>
    <w:p w14:paraId="609BCCED"/>
    <w:p w14:paraId="285FED05"/>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宋体"/>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Lucida Sans">
    <w:panose1 w:val="020B0602030504020204"/>
    <w:charset w:val="01"/>
    <w:family w:val="auto"/>
    <w:pitch w:val="default"/>
    <w:sig w:usb0="00000003" w:usb1="00000000" w:usb2="00000000" w:usb3="00000000" w:csb0="20000001" w:csb1="00000000"/>
  </w:font>
  <w:font w:name="Wingdings 2">
    <w:panose1 w:val="05020102010507070707"/>
    <w:charset w:val="02"/>
    <w:family w:val="roman"/>
    <w:pitch w:val="default"/>
    <w:sig w:usb0="00000000" w:usb1="00000000" w:usb2="00000000" w:usb3="00000000" w:csb0="80000000" w:csb1="00000000"/>
  </w:font>
  <w:font w:name="国标仿宋">
    <w:altName w:val="仿宋"/>
    <w:panose1 w:val="02000500000000000000"/>
    <w:charset w:val="86"/>
    <w:family w:val="auto"/>
    <w:pitch w:val="default"/>
    <w:sig w:usb0="00000000" w:usb1="00000000" w:usb2="00000016" w:usb3="00000000" w:csb0="00060007"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FCF0">
    <w:pPr>
      <w:pStyle w:val="12"/>
      <w:jc w:val="center"/>
    </w:pPr>
    <w:r>
      <w:fldChar w:fldCharType="begin"/>
    </w:r>
    <w:r>
      <w:instrText xml:space="preserve">PAGE   \* MERGEFORMAT</w:instrText>
    </w:r>
    <w:r>
      <w:fldChar w:fldCharType="separate"/>
    </w:r>
    <w:r>
      <w:rPr>
        <w:lang w:val="zh-CN"/>
      </w:rPr>
      <w:t>2</w:t>
    </w:r>
    <w:r>
      <w:fldChar w:fldCharType="end"/>
    </w:r>
  </w:p>
  <w:p w14:paraId="4E4B4E4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A6C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1429D"/>
    <w:multiLevelType w:val="singleLevel"/>
    <w:tmpl w:val="B9A1429D"/>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FE189D6"/>
    <w:multiLevelType w:val="singleLevel"/>
    <w:tmpl w:val="3FE189D6"/>
    <w:lvl w:ilvl="0" w:tentative="0">
      <w:start w:val="3"/>
      <w:numFmt w:val="chineseCounting"/>
      <w:suff w:val="nothing"/>
      <w:lvlText w:val="（%1）"/>
      <w:lvlJc w:val="left"/>
      <w:pPr>
        <w:ind w:left="0" w:firstLine="0"/>
      </w:pPr>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E09270A"/>
    <w:rsid w:val="718D57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7"/>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23">
    <w:name w:val="Default Paragraph Fon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next w:val="1"/>
    <w:qFormat/>
    <w:uiPriority w:val="0"/>
    <w:pPr>
      <w:spacing w:before="30" w:beforeLines="30"/>
    </w:pPr>
    <w:rPr>
      <w:rFonts w:ascii="仿宋_GB2312" w:eastAsia="仿宋_GB2312"/>
      <w:kern w:val="0"/>
      <w:sz w:val="24"/>
      <w:szCs w:val="20"/>
    </w:rPr>
  </w:style>
  <w:style w:type="paragraph" w:styleId="7">
    <w:name w:val="Body Text Indent"/>
    <w:basedOn w:val="1"/>
    <w:qFormat/>
    <w:uiPriority w:val="0"/>
    <w:pPr>
      <w:spacing w:after="120"/>
      <w:ind w:left="200" w:leftChars="200"/>
    </w:pPr>
  </w:style>
  <w:style w:type="paragraph" w:styleId="8">
    <w:name w:val="toc 5"/>
    <w:basedOn w:val="1"/>
    <w:next w:val="1"/>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able of figures"/>
    <w:basedOn w:val="1"/>
    <w:next w:val="1"/>
    <w:qFormat/>
    <w:uiPriority w:val="0"/>
    <w:pPr>
      <w:ind w:left="400" w:leftChars="200" w:hanging="200" w:hangingChars="200"/>
    </w:pPr>
    <w:rPr>
      <w:sz w:val="32"/>
      <w:szCs w:val="21"/>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widowControl/>
      <w:spacing w:before="100" w:beforeAutospacing="1" w:after="100" w:afterAutospacing="1"/>
      <w:jc w:val="left"/>
    </w:pPr>
    <w:rPr>
      <w:rFonts w:ascii="宋体" w:cs="宋体"/>
      <w:kern w:val="0"/>
      <w:sz w:val="24"/>
    </w:rPr>
  </w:style>
  <w:style w:type="paragraph" w:styleId="21">
    <w:name w:val="Body Text First Indent 2"/>
    <w:basedOn w:val="7"/>
    <w:qFormat/>
    <w:uiPriority w:val="0"/>
    <w:pPr>
      <w:widowControl w:val="0"/>
      <w:suppressAutoHyphens/>
      <w:ind w:firstLine="200" w:firstLineChars="200"/>
    </w:pPr>
    <w:rPr>
      <w:rFonts w:ascii="Calibri" w:hAnsi="Calibri"/>
    </w:rPr>
  </w:style>
  <w:style w:type="character" w:styleId="24">
    <w:name w:val="Strong"/>
    <w:basedOn w:val="23"/>
    <w:qFormat/>
    <w:uiPriority w:val="0"/>
    <w:rPr>
      <w:rFonts w:cs="Times New Roman"/>
      <w:b/>
    </w:rPr>
  </w:style>
  <w:style w:type="character" w:styleId="25">
    <w:name w:val="Hyperlink"/>
    <w:basedOn w:val="23"/>
    <w:qFormat/>
    <w:uiPriority w:val="0"/>
    <w:rPr>
      <w:rFonts w:cs="Times New Roman"/>
      <w:color w:val="0000FF"/>
      <w:u w:val="single"/>
    </w:rPr>
  </w:style>
  <w:style w:type="character" w:customStyle="1" w:styleId="26">
    <w:name w:val="heading 1 Char"/>
    <w:basedOn w:val="23"/>
    <w:link w:val="2"/>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3"/>
    <w:uiPriority w:val="0"/>
    <w:rPr>
      <w:rFonts w:ascii="Cambria" w:hAnsi="Cambria" w:eastAsia="宋体" w:cs="Times New Roman"/>
      <w:b/>
      <w:bCs/>
      <w:kern w:val="2"/>
      <w:sz w:val="32"/>
      <w:szCs w:val="32"/>
      <w:lang w:val="en-US" w:eastAsia="zh-CN" w:bidi="ar-SA"/>
    </w:rPr>
  </w:style>
  <w:style w:type="character" w:customStyle="1" w:styleId="28">
    <w:name w:val="Body Text Char"/>
    <w:basedOn w:val="23"/>
    <w:qFormat/>
    <w:uiPriority w:val="0"/>
    <w:rPr>
      <w:rFonts w:ascii="Times New Roman" w:hAnsi="Times New Roman" w:cs="Times New Roman"/>
      <w:sz w:val="24"/>
      <w:szCs w:val="24"/>
    </w:rPr>
  </w:style>
  <w:style w:type="character" w:customStyle="1" w:styleId="29">
    <w:name w:val="Footer Char"/>
    <w:basedOn w:val="23"/>
    <w:qFormat/>
    <w:uiPriority w:val="0"/>
    <w:rPr>
      <w:rFonts w:ascii="Times New Roman" w:hAnsi="Times New Roman" w:cs="Times New Roman"/>
      <w:sz w:val="18"/>
      <w:szCs w:val="18"/>
    </w:rPr>
  </w:style>
  <w:style w:type="character" w:customStyle="1" w:styleId="30">
    <w:name w:val="Header Char"/>
    <w:basedOn w:val="23"/>
    <w:uiPriority w:val="0"/>
    <w:rPr>
      <w:rFonts w:ascii="Times New Roman" w:hAnsi="Times New Roman" w:cs="Times New Roman"/>
      <w:sz w:val="18"/>
      <w:szCs w:val="18"/>
    </w:rPr>
  </w:style>
  <w:style w:type="paragraph" w:customStyle="1" w:styleId="3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uiPriority w:val="0"/>
    <w:pPr>
      <w:ind w:firstLine="200" w:firstLineChars="200"/>
    </w:pPr>
  </w:style>
  <w:style w:type="paragraph" w:customStyle="1" w:styleId="33">
    <w:name w:val="TOC 标题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标题2"/>
    <w:basedOn w:val="2"/>
    <w:next w:val="1"/>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6">
    <w:name w:val="WPSOffice手动目录 1"/>
    <w:uiPriority w:val="0"/>
    <w:rPr>
      <w:rFonts w:ascii="Times New Roman" w:hAnsi="Times New Roman" w:eastAsia="宋体" w:cs="Times New Roman"/>
      <w:sz w:val="20"/>
      <w:szCs w:val="20"/>
      <w:lang w:val="en-US" w:eastAsia="zh-CN" w:bidi="ar-SA"/>
    </w:rPr>
  </w:style>
  <w:style w:type="paragraph" w:customStyle="1" w:styleId="37">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38">
    <w:name w:val="WPSOffice手动目录 3"/>
    <w:uiPriority w:val="0"/>
    <w:pPr>
      <w:ind w:left="400" w:leftChars="400"/>
    </w:pPr>
    <w:rPr>
      <w:rFonts w:ascii="Times New Roman" w:hAnsi="Times New Roman" w:eastAsia="宋体" w:cs="Times New Roman"/>
      <w:sz w:val="20"/>
      <w:szCs w:val="20"/>
      <w:lang w:val="en-US" w:eastAsia="zh-CN" w:bidi="ar-SA"/>
    </w:rPr>
  </w:style>
  <w:style w:type="character" w:customStyle="1" w:styleId="39">
    <w:name w:val="bjh-p"/>
    <w:qFormat/>
    <w:uiPriority w:val="0"/>
  </w:style>
  <w:style w:type="paragraph" w:customStyle="1" w:styleId="40">
    <w:name w:val="四号正文"/>
    <w:basedOn w:val="1"/>
    <w:uiPriority w:val="0"/>
    <w:pPr>
      <w:spacing w:line="360" w:lineRule="auto"/>
    </w:pPr>
    <w:rPr>
      <w:rFonts w:ascii="??" w:hAnsi="??"/>
      <w:color w:val="000000"/>
      <w:kern w:val="0"/>
      <w:sz w:val="28"/>
      <w:szCs w:val="21"/>
      <w:lang w:val="zh-CN"/>
    </w:rPr>
  </w:style>
  <w:style w:type="paragraph" w:customStyle="1" w:styleId="41">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列1</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2024</c:v>
                </c:pt>
                <c:pt idx="1">
                  <c:v>2023</c:v>
                </c:pt>
              </c:numCache>
            </c:numRef>
          </c:cat>
          <c:val>
            <c:numRef>
              <c:f>'Sheet1'!$B$2:$B$3</c:f>
              <c:numCache>
                <c:formatCode>General</c:formatCode>
                <c:ptCount val="2"/>
                <c:pt idx="0">
                  <c:v>348.06</c:v>
                </c:pt>
                <c:pt idx="1">
                  <c:v>228.6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cca6b63b-d8b5-4caf-8a4f-1bca5e090445}"/>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348.06</a:t>
            </a:r>
            <a:endParaRPr lang="zh-CN"/>
          </a:p>
        </c:rich>
      </c:tx>
      <c:layout>
        <c:manualLayout>
          <c:xMode val="edge"/>
          <c:yMode val="edge"/>
          <c:x val="0.5969224"/>
          <c:y val="0.82997584"/>
        </c:manualLayout>
      </c:layout>
      <c:overlay val="0"/>
      <c:spPr>
        <a:noFill/>
        <a:ln>
          <a:noFill/>
        </a:ln>
      </c:spPr>
    </c:title>
    <c:autoTitleDeleted val="0"/>
    <c:plotArea>
      <c:layout/>
      <c:pieChart>
        <c:varyColors val="1"/>
        <c:ser>
          <c:idx val="0"/>
          <c:order val="0"/>
          <c:tx>
            <c:strRef>
              <c:f>'Sheet1 (2)'!$B$1</c:f>
              <c:strCache>
                <c:ptCount val="1"/>
                <c:pt idx="0">
                  <c:v>348.06</c:v>
                </c:pt>
              </c:strCache>
            </c:strRef>
          </c:tx>
          <c:spPr>
            <a:ln>
              <a:noFill/>
            </a:ln>
          </c:spPr>
          <c:explosion val="0"/>
          <c:dPt>
            <c:idx val="0"/>
            <c:bubble3D val="0"/>
            <c:spPr>
              <a:solidFill>
                <a:srgbClr val="4F81BD"/>
              </a:solidFill>
              <a:ln w="6350">
                <a:solidFill>
                  <a:srgbClr val="FFFFFF"/>
                </a:solidFill>
                <a:prstDash val="solid"/>
              </a:ln>
            </c:spPr>
          </c:dPt>
          <c:dLbls>
            <c:dLbl>
              <c:idx val="0"/>
              <c:layout/>
              <c:numFmt formatCode="General"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panose="02010600030101010101" charset="-122"/>
                      <a:cs typeface="Lucida Sans" panose="020B0602030504020204"/>
                    </a:defRPr>
                  </a:pPr>
                </a:p>
              </c:txPr>
              <c:dLblPos val="outEnd"/>
              <c:showLegendKey val="0"/>
              <c:showVal val="0"/>
              <c:showCatName val="1"/>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panose="02010600030101010101" charset="-122"/>
                    <a:cs typeface="Lucida Sans" panose="020B0602030504020204"/>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numRef>
              <c:f>'Sheet1 (2)'!$A$2</c:f>
              <c:numCache>
                <c:formatCode>General</c:formatCode>
                <c:ptCount val="1"/>
                <c:pt idx="0">
                  <c:v>2024</c:v>
                </c:pt>
              </c:numCache>
            </c:numRef>
          </c:cat>
          <c:val>
            <c:numRef>
              <c:f>Sheet1 (2)!$B$2</c:f>
              <c:numCache>
                <c:formatCode>General</c:formatCode>
                <c:ptCount val="1"/>
                <c:pt idx="0">
                  <c:v>100</c:v>
                </c:pt>
              </c:numCache>
            </c:numRef>
          </c:val>
        </c:ser>
        <c:dLbls>
          <c:showLegendKey val="0"/>
          <c:showVal val="0"/>
          <c:showCatName val="1"/>
          <c:showSerName val="0"/>
          <c:showPercent val="0"/>
          <c:showBubbleSize val="0"/>
          <c:showLeaderLines val="1"/>
        </c:dLbls>
        <c:firstSliceAng val="0"/>
      </c:pieChart>
      <c:spPr>
        <a:noFill/>
        <a:ln>
          <a:noFill/>
        </a:ln>
      </c:spPr>
    </c:plotArea>
    <c:plotVisOnly val="1"/>
    <c:dispBlanksAs val="gap"/>
    <c:showDLblsOverMax val="0"/>
    <c:extLst>
      <c:ext uri="{0b15fc19-7d7d-44ad-8c2d-2c3a37ce22c3}">
        <chartProps xmlns="https://web.wps.cn/et/2018/main" chartId="{6f65062c-7f69-4d66-b1bf-61d6004fd5b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列1</a:t>
            </a:r>
            <a:endParaRPr lang="zh-CN"/>
          </a:p>
        </c:rich>
      </c:tx>
      <c:layout/>
      <c:overlay val="0"/>
      <c:spPr>
        <a:noFill/>
        <a:ln>
          <a:noFill/>
        </a:ln>
      </c:spPr>
    </c:title>
    <c:autoTitleDeleted val="0"/>
    <c:plotArea>
      <c:layout/>
      <c:pieChart>
        <c:varyColors val="1"/>
        <c:ser>
          <c:idx val="0"/>
          <c:order val="0"/>
          <c:tx>
            <c:strRef>
              <c:f>'Sheet1 (3)'!$B$1</c:f>
              <c:strCache>
                <c:ptCount val="1"/>
                <c:pt idx="0">
                  <c:v>列1</c:v>
                </c:pt>
              </c:strCache>
            </c:strRef>
          </c:tx>
          <c:spPr>
            <a:ln>
              <a:noFill/>
            </a:ln>
          </c:spPr>
          <c:explosion val="0"/>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62.66</c:v>
                </c:pt>
                <c:pt idx="1">
                  <c:v>37.34</c:v>
                </c:pt>
              </c:numCache>
            </c:numRef>
          </c:val>
        </c:ser>
        <c:dLbls>
          <c:showLegendKey val="0"/>
          <c:showVal val="0"/>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01ec6971-9df7-4e44-b9af-2a3dc850c39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 (4)'!$B$1</c:f>
              <c:strCache>
                <c:ptCount val="1"/>
                <c:pt idx="0">
                  <c:v>2017</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2023</c:v>
                </c:pt>
                <c:pt idx="1">
                  <c:v>2024</c:v>
                </c:pt>
              </c:numCache>
            </c:numRef>
          </c:cat>
          <c:val>
            <c:numRef>
              <c:f>'Sheet1 (4)'!$B$2:$B$3</c:f>
              <c:numCache>
                <c:formatCode>General</c:formatCode>
                <c:ptCount val="2"/>
                <c:pt idx="0">
                  <c:v>228.6</c:v>
                </c:pt>
                <c:pt idx="1">
                  <c:v>348.06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b40d6dd1-4a67-41aa-8831-a2042d501c0a}"/>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 (5)'!$B$1</c:f>
              <c:strCache>
                <c:ptCount val="1"/>
                <c:pt idx="0">
                  <c:v>支出</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pt idx="0">
                  <c:v>2023</c:v>
                </c:pt>
                <c:pt idx="1">
                  <c:v>2024</c:v>
                </c:pt>
              </c:numCache>
            </c:numRef>
          </c:cat>
          <c:val>
            <c:numRef>
              <c:f>'Sheet1 (5)'!$B$2:$B$3</c:f>
              <c:numCache>
                <c:formatCode>General</c:formatCode>
                <c:ptCount val="2"/>
                <c:pt idx="0">
                  <c:v>228.6</c:v>
                </c:pt>
                <c:pt idx="1">
                  <c:v>348.06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709fe745-2a0f-4d20-8e82-cfb6e3c52449}"/>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销售额</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Lbls>
            <c:numFmt formatCode="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医疗卫生与计划生育</c:v>
                </c:pt>
                <c:pt idx="3">
                  <c:v>住房保障</c:v>
                </c:pt>
              </c:strCache>
            </c:strRef>
          </c:cat>
          <c:val>
            <c:numRef>
              <c:f>'Sheet1 (6)'!$B$2:$B$5</c:f>
              <c:numCache>
                <c:formatCode>0%</c:formatCode>
                <c:ptCount val="4"/>
                <c:pt idx="0">
                  <c:v>0.8326</c:v>
                </c:pt>
                <c:pt idx="1">
                  <c:v>0.0832</c:v>
                </c:pt>
                <c:pt idx="2">
                  <c:v>0.0367</c:v>
                </c:pt>
                <c:pt idx="3">
                  <c:v>0.0475</c:v>
                </c:pt>
              </c:numCache>
            </c:numRef>
          </c:val>
        </c:ser>
        <c:dLbls>
          <c:showLegendKey val="0"/>
          <c:showVal val="1"/>
          <c:showCatName val="0"/>
          <c:showSerName val="0"/>
          <c:showPercent val="0"/>
          <c:showBubbleSize val="0"/>
          <c:showLeaderLines val="1"/>
        </c:dLbls>
        <c:firstSliceAng val="15"/>
      </c:pieChart>
      <c:spPr>
        <a:noFill/>
        <a:ln>
          <a:noFill/>
        </a:ln>
      </c:spPr>
    </c:plotArea>
    <c:legend>
      <c:legendPos val="r"/>
      <c:layout>
        <c:manualLayout>
          <c:xMode val="edge"/>
          <c:yMode val="edge"/>
          <c:x val="0.58720344"/>
          <c:y val="0.056317657"/>
          <c:w val="0.41279656"/>
          <c:h val="0.94141877"/>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f69e87eb-9934-4742-943e-11a478afa42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销售额</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Lbls>
            <c:numFmt formatCode="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(7)'!$A$2:$A$3</c:f>
              <c:strCache>
                <c:ptCount val="2"/>
                <c:pt idx="0">
                  <c:v>公务接待费</c:v>
                </c:pt>
                <c:pt idx="1">
                  <c:v>公务用车</c:v>
                </c:pt>
              </c:strCache>
            </c:strRef>
          </c:cat>
          <c:val>
            <c:numRef>
              <c:f>'Sheet1 (7)'!$B$2:$B$3</c:f>
              <c:numCache>
                <c:formatCode>0%</c:formatCode>
                <c:ptCount val="2"/>
                <c:pt idx="0">
                  <c:v>0.0721</c:v>
                </c:pt>
                <c:pt idx="1">
                  <c:v>0.9279</c:v>
                </c:pt>
              </c:numCache>
            </c:numRef>
          </c:val>
        </c:ser>
        <c:dLbls>
          <c:showLegendKey val="0"/>
          <c:showVal val="1"/>
          <c:showCatName val="0"/>
          <c:showSerName val="0"/>
          <c:showPercent val="0"/>
          <c:showBubbleSize val="0"/>
          <c:showLeaderLines val="1"/>
        </c:dLbls>
        <c:firstSliceAng val="15"/>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c3bc80f2-6383-4bb0-a77b-7fbba9e67dd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7991</Words>
  <Characters>8767</Characters>
  <Lines>1509</Lines>
  <Paragraphs>812</Paragraphs>
  <TotalTime>7</TotalTime>
  <ScaleCrop>false</ScaleCrop>
  <LinksUpToDate>false</LinksUpToDate>
  <CharactersWithSpaces>8827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2021-08-09T09:38:00Z</dcterms:created>
  <dc:creator>曹颖</dc:creator>
  <cp:lastModifiedBy>WPS_1585448258</cp:lastModifiedBy>
  <cp:lastPrinted>2024-09-29T17:36:00Z</cp:lastPrinted>
  <dcterms:modified xsi:type="dcterms:W3CDTF">2025-09-19T02:59:33Z</dcterms:modified>
  <dc:title>阿坝州部门决算说明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F9242F61B8ED4CBF8A69A8B016B513D1</vt:lpwstr>
  </property>
  <property fmtid="{D5CDD505-2E9C-101B-9397-08002B2CF9AE}" pid="4" name="KSOTemplateDocerSaveRecord">
    <vt:lpwstr>eyJoZGlkIjoiM2ZiODY4NWY2MTMyNjBhMmI1NzM2YmM2ZmU3MTUzYjYiLCJ1c2VySWQiOiI5MjkxMzQ1MTUifQ==</vt:lpwstr>
  </property>
</Properties>
</file>