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44"/>
          <w:szCs w:val="44"/>
        </w:rPr>
      </w:pPr>
      <w:bookmarkStart w:id="0" w:name="_Toc15306267"/>
    </w:p>
    <w:p>
      <w:pPr>
        <w:adjustRightInd w:val="0"/>
        <w:snapToGrid w:val="0"/>
        <w:spacing w:line="360" w:lineRule="auto"/>
        <w:jc w:val="center"/>
        <w:outlineLvl w:val="0"/>
        <w:rPr>
          <w:rFonts w:ascii="方正小标宋简体" w:hAnsi="宋体" w:eastAsia="方正小标宋简体"/>
          <w:color w:val="000000"/>
          <w:sz w:val="56"/>
          <w:szCs w:val="56"/>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8441"/>
      <w:bookmarkStart w:id="2" w:name="_Toc15377425"/>
      <w:bookmarkStart w:id="3" w:name="_Toc15396475"/>
      <w:bookmarkStart w:id="4" w:name="_Toc15396597"/>
      <w:bookmarkStart w:id="5" w:name="_Toc15377193"/>
      <w:r>
        <w:rPr>
          <w:rFonts w:hint="eastAsia" w:ascii="方正小标宋简体" w:hAnsi="宋体" w:eastAsia="方正小标宋简体"/>
          <w:color w:val="000000"/>
          <w:sz w:val="44"/>
          <w:szCs w:val="44"/>
        </w:rPr>
        <w:t>2019年度</w:t>
      </w:r>
      <w:bookmarkEnd w:id="1"/>
      <w:bookmarkEnd w:id="2"/>
      <w:bookmarkEnd w:id="3"/>
      <w:bookmarkEnd w:id="4"/>
      <w:bookmarkEnd w:id="5"/>
      <w:bookmarkStart w:id="6" w:name="_Toc15396598"/>
      <w:bookmarkStart w:id="7" w:name="_Toc15378442"/>
      <w:bookmarkStart w:id="8" w:name="_Toc15377426"/>
      <w:bookmarkStart w:id="9" w:name="_Toc15377194"/>
      <w:bookmarkStart w:id="10" w:name="_Toc15396476"/>
    </w:p>
    <w:p>
      <w:pPr>
        <w:adjustRightInd w:val="0"/>
        <w:snapToGrid w:val="0"/>
        <w:spacing w:line="360" w:lineRule="auto"/>
        <w:jc w:val="center"/>
        <w:outlineLvl w:val="0"/>
        <w:rPr>
          <w:rFonts w:hint="eastAsia" w:ascii="方正小标宋简体" w:hAnsi="宋体" w:eastAsia="方正小标宋简体"/>
          <w:color w:val="000000"/>
          <w:sz w:val="44"/>
          <w:szCs w:val="44"/>
        </w:rPr>
      </w:pPr>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rPr>
        <w:t>阿坝州茂县凤仪镇人民政府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jc w:val="center"/>
        <w:outlineLvl w:val="0"/>
        <w:rPr>
          <w:rFonts w:ascii="方正小标宋简体" w:hAnsi="宋体" w:eastAsia="方正小标宋简体"/>
          <w:color w:val="000000"/>
          <w:sz w:val="36"/>
          <w:szCs w:val="36"/>
        </w:rPr>
      </w:pPr>
    </w:p>
    <w:p>
      <w:pPr>
        <w:adjustRightInd w:val="0"/>
        <w:snapToGrid w:val="0"/>
        <w:spacing w:line="360" w:lineRule="auto"/>
        <w:outlineLvl w:val="0"/>
        <w:rPr>
          <w:rFonts w:ascii="方正小标宋简体" w:hAnsi="宋体" w:eastAsia="方正小标宋简体"/>
          <w:color w:val="000000"/>
          <w:sz w:val="32"/>
          <w:szCs w:val="32"/>
        </w:rPr>
      </w:pPr>
    </w:p>
    <w:p>
      <w:pPr>
        <w:adjustRightInd w:val="0"/>
        <w:snapToGrid w:val="0"/>
        <w:spacing w:line="360" w:lineRule="auto"/>
        <w:ind w:firstLine="640" w:firstLineChars="200"/>
        <w:outlineLvl w:val="0"/>
        <w:rPr>
          <w:rFonts w:ascii="仿宋_GB2312" w:hAnsi="宋体" w:eastAsia="仿宋_GB2312"/>
          <w:color w:val="000000"/>
          <w:sz w:val="32"/>
          <w:szCs w:val="32"/>
        </w:rPr>
      </w:pPr>
      <w:r>
        <w:rPr>
          <w:rFonts w:hint="eastAsia" w:ascii="仿宋_GB2312" w:hAnsi="宋体" w:eastAsia="仿宋_GB2312"/>
          <w:color w:val="000000"/>
          <w:sz w:val="32"/>
          <w:szCs w:val="32"/>
        </w:rPr>
        <w:t>保密审查情况：</w:t>
      </w:r>
    </w:p>
    <w:p>
      <w:pPr>
        <w:adjustRightInd w:val="0"/>
        <w:snapToGrid w:val="0"/>
        <w:spacing w:line="360" w:lineRule="auto"/>
        <w:ind w:firstLine="640" w:firstLineChars="200"/>
        <w:jc w:val="left"/>
        <w:outlineLvl w:val="0"/>
        <w:rPr>
          <w:rFonts w:ascii="仿宋_GB2312" w:hAnsi="宋体" w:eastAsia="仿宋_GB2312"/>
          <w:color w:val="000000"/>
          <w:sz w:val="32"/>
          <w:szCs w:val="32"/>
        </w:rPr>
      </w:pPr>
      <w:r>
        <w:rPr>
          <w:rFonts w:hint="eastAsia" w:ascii="仿宋_GB2312" w:hAnsi="宋体" w:eastAsia="仿宋_GB2312"/>
          <w:color w:val="000000"/>
          <w:sz w:val="32"/>
          <w:szCs w:val="32"/>
        </w:rPr>
        <w:t>部门主要负责人审签情况：</w:t>
      </w:r>
    </w:p>
    <w:p>
      <w:pPr>
        <w:adjustRightInd w:val="0"/>
        <w:snapToGrid w:val="0"/>
        <w:spacing w:line="360" w:lineRule="auto"/>
        <w:ind w:firstLine="720" w:firstLineChars="200"/>
        <w:jc w:val="center"/>
        <w:outlineLvl w:val="0"/>
        <w:rPr>
          <w:rFonts w:ascii="仿宋_GB2312" w:hAnsi="宋体" w:eastAsia="仿宋_GB2312"/>
          <w:color w:val="000000"/>
          <w:sz w:val="36"/>
          <w:szCs w:val="36"/>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录</w:t>
      </w: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Pr>
        <w:pStyle w:val="10"/>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5"/>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5"/>
          <w:rFonts w:hint="eastAsia" w:ascii="仿宋_GB2312" w:hAnsi="仿宋_GB2312" w:eastAsia="仿宋_GB2312" w:cs="仿宋_GB2312"/>
          <w:sz w:val="32"/>
          <w:szCs w:val="32"/>
        </w:rPr>
        <w:t>第二部分 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5"/>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5"/>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5"/>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5"/>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5"/>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_Toc15396607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5"/>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5"/>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5"/>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5"/>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5"/>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18</w:t>
      </w:r>
      <w:r>
        <w:rPr>
          <w:rFonts w:hint="eastAsia" w:ascii="仿宋_GB2312" w:hAnsi="仿宋_GB2312" w:eastAsia="仿宋_GB2312" w:cs="仿宋_GB2312"/>
          <w:sz w:val="32"/>
          <w:szCs w:val="32"/>
        </w:rPr>
        <w:fldChar w:fldCharType="end"/>
      </w:r>
    </w:p>
    <w:p>
      <w:pPr>
        <w:pStyle w:val="10"/>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5"/>
          <w:rFonts w:hint="eastAsia" w:ascii="仿宋_GB2312" w:hAnsi="仿宋_GB2312" w:eastAsia="仿宋_GB2312" w:cs="仿宋_GB2312"/>
          <w:kern w:val="44"/>
          <w:sz w:val="32"/>
          <w:szCs w:val="32"/>
        </w:rPr>
        <w:t>第三部分</w:t>
      </w:r>
      <w:r>
        <w:rPr>
          <w:rStyle w:val="15"/>
          <w:rFonts w:hint="eastAsia" w:ascii="仿宋_GB2312" w:hAnsi="仿宋_GB2312" w:eastAsia="仿宋_GB2312" w:cs="仿宋_GB2312"/>
          <w:sz w:val="32"/>
          <w:szCs w:val="32"/>
        </w:rPr>
        <w:t xml:space="preserve"> 名</w:t>
      </w:r>
      <w:r>
        <w:rPr>
          <w:rStyle w:val="15"/>
          <w:rFonts w:hint="eastAsia" w:ascii="仿宋_GB2312" w:hAnsi="仿宋_GB2312" w:eastAsia="仿宋_GB2312" w:cs="仿宋_GB2312"/>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spacing w:line="600" w:lineRule="exact"/>
        <w:jc w:val="both"/>
        <w:outlineLvl w:val="0"/>
        <w:rPr>
          <w:rFonts w:hint="eastAsia" w:ascii="仿宋_GB2312" w:hAnsi="仿宋_GB2312" w:eastAsia="仿宋_GB2312" w:cs="仿宋_GB2312"/>
          <w:sz w:val="32"/>
          <w:szCs w:val="32"/>
        </w:rPr>
      </w:pPr>
      <w:r>
        <w:rPr>
          <w:rStyle w:val="15"/>
          <w:rFonts w:hint="eastAsia" w:ascii="仿宋_GB2312" w:hAnsi="仿宋_GB2312" w:eastAsia="仿宋_GB2312" w:cs="仿宋_GB2312"/>
          <w:kern w:val="2"/>
          <w:sz w:val="32"/>
          <w:szCs w:val="32"/>
          <w:lang w:val="en-US" w:eastAsia="zh-CN" w:bidi="ar-SA"/>
        </w:rPr>
        <w:fldChar w:fldCharType="begin"/>
      </w:r>
      <w:r>
        <w:rPr>
          <w:rStyle w:val="15"/>
          <w:rFonts w:hint="eastAsia" w:ascii="仿宋_GB2312" w:hAnsi="仿宋_GB2312" w:eastAsia="仿宋_GB2312" w:cs="仿宋_GB2312"/>
          <w:kern w:val="2"/>
          <w:sz w:val="32"/>
          <w:szCs w:val="32"/>
          <w:lang w:val="en-US" w:eastAsia="zh-CN" w:bidi="ar-SA"/>
        </w:rPr>
        <w:instrText xml:space="preserve"> HYPERLINK \l "_Toc15396614" </w:instrText>
      </w:r>
      <w:r>
        <w:rPr>
          <w:rStyle w:val="15"/>
          <w:rFonts w:hint="eastAsia" w:ascii="仿宋_GB2312" w:hAnsi="仿宋_GB2312" w:eastAsia="仿宋_GB2312" w:cs="仿宋_GB2312"/>
          <w:kern w:val="2"/>
          <w:sz w:val="32"/>
          <w:szCs w:val="32"/>
          <w:lang w:val="en-US" w:eastAsia="zh-CN" w:bidi="ar-SA"/>
        </w:rPr>
        <w:fldChar w:fldCharType="separate"/>
      </w:r>
      <w:r>
        <w:rPr>
          <w:rStyle w:val="15"/>
          <w:rFonts w:hint="eastAsia" w:ascii="仿宋_GB2312" w:hAnsi="仿宋_GB2312" w:eastAsia="仿宋_GB2312" w:cs="仿宋_GB2312"/>
          <w:kern w:val="2"/>
          <w:sz w:val="32"/>
          <w:szCs w:val="32"/>
          <w:lang w:val="en-US" w:eastAsia="zh-CN" w:bidi="ar-SA"/>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_Toc15396613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spacing w:line="600" w:lineRule="exact"/>
        <w:jc w:val="both"/>
        <w:outlineLvl w:val="0"/>
        <w:rPr>
          <w:rStyle w:val="15"/>
          <w:rFonts w:hint="eastAsia" w:ascii="仿宋_GB2312" w:hAnsi="仿宋_GB2312" w:eastAsia="仿宋_GB2312" w:cs="仿宋_GB2312"/>
          <w:kern w:val="2"/>
          <w:sz w:val="32"/>
          <w:szCs w:val="32"/>
          <w:lang w:val="en-US" w:eastAsia="zh-CN" w:bidi="ar-SA"/>
        </w:rPr>
      </w:pPr>
      <w:r>
        <w:rPr>
          <w:rStyle w:val="15"/>
          <w:rFonts w:hint="eastAsia" w:ascii="仿宋_GB2312" w:hAnsi="仿宋_GB2312" w:eastAsia="仿宋_GB2312" w:cs="仿宋_GB2312"/>
          <w:spacing w:val="-23"/>
          <w:kern w:val="2"/>
          <w:sz w:val="32"/>
          <w:szCs w:val="32"/>
          <w:lang w:val="en-US" w:eastAsia="zh-CN" w:bidi="ar-SA"/>
        </w:rPr>
        <w:t>茂县凤仪镇人民政府2019年部门整体支出绩效评价报告</w:t>
      </w:r>
      <w:r>
        <w:rPr>
          <w:rFonts w:hint="eastAsia" w:ascii="仿宋_GB2312" w:hAnsi="仿宋_GB2312" w:eastAsia="仿宋_GB2312" w:cs="仿宋_GB2312"/>
          <w:sz w:val="32"/>
          <w:szCs w:val="32"/>
          <w:lang w:val="en-US" w:eastAsia="zh-CN"/>
        </w:rPr>
        <w:t>...............................................</w:t>
      </w:r>
      <w:r>
        <w:rPr>
          <w:rStyle w:val="15"/>
          <w:rFonts w:hint="eastAsia" w:ascii="仿宋_GB2312" w:hAnsi="仿宋_GB2312" w:eastAsia="仿宋_GB2312" w:cs="仿宋_GB2312"/>
          <w:kern w:val="2"/>
          <w:sz w:val="32"/>
          <w:szCs w:val="32"/>
          <w:lang w:val="en-US" w:eastAsia="zh-CN" w:bidi="ar-SA"/>
        </w:rPr>
        <w:fldChar w:fldCharType="begin"/>
      </w:r>
      <w:r>
        <w:rPr>
          <w:rStyle w:val="15"/>
          <w:rFonts w:hint="eastAsia" w:ascii="仿宋_GB2312" w:hAnsi="仿宋_GB2312" w:eastAsia="仿宋_GB2312" w:cs="仿宋_GB2312"/>
          <w:kern w:val="2"/>
          <w:sz w:val="32"/>
          <w:szCs w:val="32"/>
          <w:lang w:val="en-US" w:eastAsia="zh-CN" w:bidi="ar-SA"/>
        </w:rPr>
        <w:instrText xml:space="preserve"> PAGEREF _Toc15396614 \h </w:instrText>
      </w:r>
      <w:r>
        <w:rPr>
          <w:rStyle w:val="15"/>
          <w:rFonts w:hint="eastAsia" w:ascii="仿宋_GB2312" w:hAnsi="仿宋_GB2312" w:eastAsia="仿宋_GB2312" w:cs="仿宋_GB2312"/>
          <w:kern w:val="2"/>
          <w:sz w:val="32"/>
          <w:szCs w:val="32"/>
          <w:lang w:val="en-US" w:eastAsia="zh-CN" w:bidi="ar-SA"/>
        </w:rPr>
        <w:fldChar w:fldCharType="separate"/>
      </w:r>
      <w:r>
        <w:rPr>
          <w:rStyle w:val="15"/>
          <w:rFonts w:hint="eastAsia" w:ascii="仿宋_GB2312" w:hAnsi="仿宋_GB2312" w:eastAsia="仿宋_GB2312" w:cs="仿宋_GB2312"/>
          <w:kern w:val="2"/>
          <w:sz w:val="32"/>
          <w:szCs w:val="32"/>
          <w:lang w:val="en-US" w:eastAsia="zh-CN" w:bidi="ar-SA"/>
        </w:rPr>
        <w:t>35</w:t>
      </w:r>
      <w:r>
        <w:rPr>
          <w:rStyle w:val="15"/>
          <w:rFonts w:hint="eastAsia" w:ascii="仿宋_GB2312" w:hAnsi="仿宋_GB2312" w:eastAsia="仿宋_GB2312" w:cs="仿宋_GB2312"/>
          <w:kern w:val="2"/>
          <w:sz w:val="32"/>
          <w:szCs w:val="32"/>
          <w:lang w:val="en-US" w:eastAsia="zh-CN" w:bidi="ar-SA"/>
        </w:rPr>
        <w:fldChar w:fldCharType="end"/>
      </w:r>
      <w:r>
        <w:rPr>
          <w:rStyle w:val="15"/>
          <w:rFonts w:hint="eastAsia" w:ascii="仿宋_GB2312" w:hAnsi="仿宋_GB2312" w:eastAsia="仿宋_GB2312" w:cs="仿宋_GB2312"/>
          <w:kern w:val="2"/>
          <w:sz w:val="32"/>
          <w:szCs w:val="32"/>
          <w:lang w:val="en-US" w:eastAsia="zh-CN" w:bidi="ar-SA"/>
        </w:rPr>
        <w:fldChar w:fldCharType="end"/>
      </w:r>
    </w:p>
    <w:p>
      <w:pPr>
        <w:pStyle w:val="10"/>
        <w:rPr>
          <w:rFonts w:ascii="仿宋_GB2312" w:hAnsi="仿宋_GB2312" w:eastAsia="仿宋_GB2312" w:cs="仿宋_GB2312"/>
          <w:sz w:val="32"/>
          <w:szCs w:val="32"/>
        </w:rPr>
      </w:pPr>
      <w:r>
        <w:fldChar w:fldCharType="begin"/>
      </w:r>
      <w:r>
        <w:instrText xml:space="preserve"> HYPERLINK \l "_Toc15396618" </w:instrText>
      </w:r>
      <w: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_GB2312" w:eastAsia="仿宋_GB2312" w:cs="仿宋_GB2312"/>
          <w:sz w:val="32"/>
          <w:szCs w:val="32"/>
        </w:rPr>
        <w:t>政府性基金预算财政拨款“三公”经费支出决算表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pStyle w:val="11"/>
        <w:jc w:val="center"/>
        <w:rPr>
          <w:rFonts w:ascii="仿宋" w:hAnsi="仿宋" w:eastAsia="仿宋"/>
          <w:sz w:val="24"/>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40</w:t>
      </w:r>
      <w:r>
        <w:rPr>
          <w:rFonts w:hint="eastAsia" w:ascii="仿宋_GB2312" w:hAnsi="仿宋_GB2312" w:eastAsia="仿宋_GB2312" w:cs="仿宋_GB2312"/>
          <w:sz w:val="32"/>
          <w:szCs w:val="32"/>
        </w:rPr>
        <w:fldChar w:fldCharType="end"/>
      </w:r>
    </w:p>
    <w:p>
      <w:pPr>
        <w:widowControl/>
        <w:jc w:val="center"/>
        <w:rPr>
          <w:rFonts w:ascii="仿宋" w:hAnsi="仿宋" w:eastAsia="仿宋"/>
          <w:color w:val="000000"/>
          <w:sz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96599"/>
      <w:bookmarkStart w:id="13" w:name="_Toc15377196"/>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both"/>
        <w:rPr>
          <w:rFonts w:ascii="黑体" w:hAnsi="黑体" w:eastAsia="黑体"/>
        </w:rPr>
      </w:pPr>
    </w:p>
    <w:p>
      <w:pPr>
        <w:widowControl/>
        <w:rPr>
          <w:rFonts w:ascii="黑体" w:hAnsi="黑体" w:eastAsia="黑体"/>
        </w:rPr>
      </w:pPr>
    </w:p>
    <w:p>
      <w:pPr>
        <w:adjustRightInd w:val="0"/>
        <w:snapToGrid w:val="0"/>
        <w:spacing w:line="360" w:lineRule="auto"/>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rPr>
        <w:t>部门概况</w:t>
      </w:r>
      <w:bookmarkEnd w:id="12"/>
      <w:bookmarkEnd w:id="13"/>
    </w:p>
    <w:p>
      <w:pPr>
        <w:pStyle w:val="3"/>
        <w:spacing w:line="415" w:lineRule="auto"/>
        <w:ind w:firstLine="640" w:firstLineChars="200"/>
        <w:rPr>
          <w:rFonts w:ascii="仿宋" w:hAnsi="仿宋" w:eastAsia="仿宋" w:cs="Times New Roman"/>
          <w:b w:val="0"/>
          <w:bCs w:val="0"/>
          <w:color w:val="000000"/>
        </w:rPr>
      </w:pPr>
      <w:bookmarkStart w:id="14" w:name="_Toc15396600"/>
      <w:bookmarkStart w:id="15" w:name="_Toc15377197"/>
      <w:r>
        <w:rPr>
          <w:rFonts w:hint="eastAsia" w:ascii="黑体" w:hAnsi="黑体" w:eastAsia="黑体" w:cs="黑体"/>
          <w:b w:val="0"/>
          <w:bCs w:val="0"/>
          <w:color w:val="000000"/>
        </w:rPr>
        <w:t>一、基</w:t>
      </w:r>
      <w:r>
        <w:rPr>
          <w:rStyle w:val="25"/>
          <w:rFonts w:hint="eastAsia" w:ascii="黑体" w:hAnsi="黑体" w:eastAsia="黑体" w:cs="黑体"/>
          <w:b w:val="0"/>
          <w:bCs w:val="0"/>
        </w:rPr>
        <w:t>本职能及主要工作</w:t>
      </w:r>
      <w:bookmarkEnd w:id="14"/>
      <w:bookmarkEnd w:id="15"/>
      <w:bookmarkStart w:id="16" w:name="_Toc15377198"/>
      <w:bookmarkStart w:id="17" w:name="_Toc15378445"/>
    </w:p>
    <w:p>
      <w:pPr>
        <w:spacing w:line="600" w:lineRule="exact"/>
        <w:ind w:firstLine="643" w:firstLineChars="200"/>
        <w:outlineLvl w:val="1"/>
        <w:rPr>
          <w:rFonts w:ascii="楷体" w:hAnsi="楷体" w:eastAsia="楷体" w:cs="楷体"/>
          <w:b/>
          <w:bCs/>
          <w:color w:val="000000"/>
          <w:sz w:val="32"/>
          <w:szCs w:val="32"/>
        </w:rPr>
      </w:pPr>
      <w:r>
        <w:rPr>
          <w:rFonts w:hint="eastAsia" w:ascii="楷体" w:hAnsi="楷体" w:eastAsia="楷体" w:cs="楷体"/>
          <w:b/>
          <w:bCs/>
          <w:color w:val="000000"/>
          <w:sz w:val="32"/>
          <w:szCs w:val="32"/>
        </w:rPr>
        <w:t>（一）基本职能</w:t>
      </w:r>
      <w:bookmarkEnd w:id="16"/>
      <w:bookmarkEnd w:id="17"/>
      <w:bookmarkStart w:id="18" w:name="_Toc15378446"/>
      <w:bookmarkStart w:id="19" w:name="_Toc15377199"/>
    </w:p>
    <w:p>
      <w:pPr>
        <w:pStyle w:val="5"/>
        <w:adjustRightInd w:val="0"/>
        <w:snapToGrid w:val="0"/>
        <w:spacing w:beforeLines="0" w:line="576" w:lineRule="exact"/>
        <w:ind w:firstLine="640" w:firstLineChars="200"/>
        <w:rPr>
          <w:color w:val="000000"/>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（二）2019年重点工作完成情况</w:t>
      </w:r>
      <w:bookmarkEnd w:id="18"/>
      <w:bookmarkEnd w:id="19"/>
    </w:p>
    <w:p>
      <w:pPr>
        <w:spacing w:line="558" w:lineRule="exact"/>
        <w:ind w:firstLine="640" w:firstLineChars="200"/>
        <w:rPr>
          <w:rFonts w:ascii="仿宋_GB2312" w:eastAsia="仿宋_GB2312"/>
          <w:sz w:val="32"/>
          <w:szCs w:val="32"/>
        </w:rPr>
      </w:pPr>
      <w:bookmarkStart w:id="20" w:name="_Toc15377200"/>
      <w:bookmarkStart w:id="21" w:name="_Toc15396601"/>
      <w:r>
        <w:rPr>
          <w:rFonts w:hint="eastAsia" w:ascii="仿宋_GB2312" w:eastAsia="仿宋_GB2312"/>
          <w:sz w:val="32"/>
          <w:szCs w:val="32"/>
        </w:rPr>
        <w:t>1.抓好惠民政策落实。一是民政工作。动态调整低保人员556人；农村低保新增1户,取消1户2人；特困人员供养工作调查统计纳入9户。完成2所日间照料中心建设。完成8户残疾人无障碍改造，建档立卡残疾人发展生产2人，为142名低保残疾人发放残疾人困难生活补贴12万余元。二是养老保险工作。全镇已参加城乡居保6750人。三是就业工作。协助县就业局成功开展了8次招聘会，发放招聘信息宣传单22420余份。四是医疗保险工作。全镇参保覆盖征缴人数达22159人，基金征缴突破300万元。</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2.抓好教育文化卫生工作。一是教育文化。继续深化教育体制改革，巩固“两基”成果，做好义务教育均衡发展的工作，抓好“控辍保学”、外来务工人员子女、留守儿童、残疾儿童、贫困儿童等弱势群体接受义务教育工作。二是丰富群众文化生活，组织开展大型文体活动3次，完成农村电影数字化公益放映120场次，为23个村居配置图书47449册。三是完成流动人口监测入户调查100户，流动人口抽样调查40户，新申请农村家庭奖励扶助36人，征收社会抚养费274余人，少生快富资料申报户数达400余户。</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3.持续用力做好脱贫攻坚工作。一是核实贫困户基础信息及帮扶信息，更新帮扶责任人6人，完成31户贫困户住房、饮水、产业及脱贫成效图片共计155张图片采集工作。二是完成教育扶贫基金申请并发放共23名，共计44500元。全镇30户贫困户与县电子商务中心签订农产品销售协议。实施“点亮乡村、健康饮水”公益事业活动，实施了太阳能路灯、及净水器项目；三是水电移民后期直补发放人员共5名，每季度人均150元，合计2250元。</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4.抓好农业农村工作。一是发放农村实用技术宣传资料、禁用农药资料等7000余份；与20个村签订农产品质量安全等安全责任书；检查各村农资销售点28次；向15个村发放杀虫灯445盏，发放黄板128200张；二是清理2个村5个大棚房，占非耕地面积58亩；在13个村布置燃放点22个，组织发放防控冰雹烟花164组；完成全镇20个村3个居委会的集体资产清理工作；完成全镇4106户、11375亩的耕地地力保护补贴工作，兑现补贴65.29万元。三是顺利完成2019年春季防疫和秋季防疫工作；开展村兽防员业务知识与现场技能培训10余次；牛羊猪禽疾病出诊80余次；严抓非洲猪瘟防控工作，发放消毒药物580余瓶，宣传资料1300余份；全覆盖排查累计31921户（场）67258头次无疑似病例。四是加强林业管护，强化林政资源管理。督导全镇240800亩集体林及87440余亩国有林巡护工作；宣传护林防火相关政策260余次，粘贴护林防火标语420余条；协助森林公安办理林业案件8起；五是狠抓河长制工作，对甘清至吉鱼段河道进行重点巡护和清理16次，共清理清运各类垃圾废弃物42吨，安排专职巡护人员3名。清理九环线店招店牌97块，清理清运各类垃圾废弃物65吨。</w:t>
      </w:r>
    </w:p>
    <w:p>
      <w:pPr>
        <w:ind w:firstLine="640" w:firstLineChars="200"/>
        <w:rPr>
          <w:rFonts w:ascii="仿宋_GB2312" w:eastAsia="仿宋_GB2312"/>
          <w:sz w:val="32"/>
          <w:szCs w:val="32"/>
        </w:rPr>
      </w:pPr>
      <w:r>
        <w:rPr>
          <w:rFonts w:hint="eastAsia" w:ascii="仿宋_GB2312" w:eastAsia="仿宋_GB2312"/>
          <w:sz w:val="32"/>
          <w:szCs w:val="32"/>
        </w:rPr>
        <w:t>5.有序推进项目工作。一是2019年县财政下达财政项目资金1170万，项目68个，目前已全部完成。二是县财政下达交通类财政统筹整合资金610.61万，涉及项目23个，其中已全部完成。三是拆除危旧房屋12栋，拆除面积1285平方米，完成房屋主体建设11户，完成改造片区内19宗宅基的测绘工作。</w:t>
      </w:r>
    </w:p>
    <w:p>
      <w:pPr>
        <w:spacing w:line="558" w:lineRule="exact"/>
        <w:ind w:firstLine="640" w:firstLineChars="200"/>
        <w:rPr>
          <w:rFonts w:ascii="仿宋_GB2312" w:eastAsia="仿宋_GB2312"/>
          <w:sz w:val="32"/>
          <w:szCs w:val="32"/>
        </w:rPr>
      </w:pPr>
      <w:r>
        <w:rPr>
          <w:rFonts w:hint="eastAsia" w:ascii="仿宋_GB2312" w:eastAsia="仿宋_GB2312"/>
          <w:sz w:val="32"/>
          <w:szCs w:val="32"/>
        </w:rPr>
        <w:t xml:space="preserve">6.强化责任担当，维护社会和谐稳定。加强社会治安综合治加大信访调解力度，加强法治政府建设，加强安全生产工作，抓好民族宗教工作。 </w:t>
      </w:r>
    </w:p>
    <w:p>
      <w:pPr>
        <w:pStyle w:val="3"/>
        <w:ind w:firstLine="640" w:firstLineChars="200"/>
        <w:rPr>
          <w:rStyle w:val="25"/>
          <w:rFonts w:cs="Times New Roman"/>
          <w:b w:val="0"/>
          <w:bCs w:val="0"/>
        </w:rPr>
      </w:pPr>
      <w:r>
        <w:rPr>
          <w:rFonts w:hint="eastAsia" w:ascii="黑体" w:eastAsia="黑体" w:cs="黑体"/>
          <w:b w:val="0"/>
          <w:bCs w:val="0"/>
          <w:color w:val="000000"/>
        </w:rPr>
        <w:t>二、</w:t>
      </w:r>
      <w:r>
        <w:rPr>
          <w:rFonts w:hint="eastAsia" w:ascii="黑体" w:hAnsi="黑体" w:eastAsia="黑体" w:cs="黑体"/>
          <w:b w:val="0"/>
          <w:bCs w:val="0"/>
          <w:color w:val="000000"/>
        </w:rPr>
        <w:t>机</w:t>
      </w:r>
      <w:r>
        <w:rPr>
          <w:rStyle w:val="25"/>
          <w:rFonts w:hint="eastAsia" w:ascii="黑体" w:hAnsi="黑体" w:eastAsia="黑体" w:cs="黑体"/>
          <w:b w:val="0"/>
          <w:bCs w:val="0"/>
        </w:rPr>
        <w:t>构设置</w:t>
      </w:r>
      <w:bookmarkEnd w:id="20"/>
      <w:bookmarkEnd w:id="21"/>
    </w:p>
    <w:p>
      <w:pPr>
        <w:ind w:firstLine="640" w:firstLineChars="200"/>
        <w:rPr>
          <w:rFonts w:ascii="仿宋" w:hAnsi="仿宋" w:eastAsia="仿宋" w:cs="仿宋"/>
          <w:sz w:val="32"/>
          <w:szCs w:val="32"/>
        </w:rPr>
      </w:pPr>
      <w:r>
        <w:rPr>
          <w:rFonts w:hint="eastAsia" w:ascii="仿宋_GB2312" w:eastAsia="仿宋_GB2312"/>
          <w:sz w:val="32"/>
          <w:szCs w:val="32"/>
        </w:rPr>
        <w:t>茂县凤仪镇人民政府属一级单位，下属二级单位0个，其中行政单位0个，参照公务员法管理的事业单位</w:t>
      </w:r>
      <w:r>
        <w:rPr>
          <w:rFonts w:ascii="仿宋_GB2312" w:eastAsia="仿宋_GB2312"/>
          <w:sz w:val="32"/>
          <w:szCs w:val="32"/>
        </w:rPr>
        <w:t>0</w:t>
      </w:r>
      <w:r>
        <w:rPr>
          <w:rFonts w:hint="eastAsia" w:ascii="仿宋_GB2312" w:eastAsia="仿宋_GB2312"/>
          <w:sz w:val="32"/>
          <w:szCs w:val="32"/>
        </w:rPr>
        <w:t>个，其他事业单位0个。其中内设机构14个，（1）茂县凤仪镇党政办公室，（2）茂县凤仪镇党建办公室，（3）维护稳定办公室，（4）经济发展和乡村振兴办公室，（5）社会事务和应急管理办公室，（6）综合行政执法办公室（7）财经审查工作</w:t>
      </w:r>
      <w:r>
        <w:rPr>
          <w:rFonts w:hint="eastAsia" w:ascii="仿宋_GB2312" w:hAnsi="仿宋" w:eastAsia="仿宋_GB2312"/>
          <w:color w:val="000000"/>
          <w:sz w:val="32"/>
          <w:szCs w:val="32"/>
        </w:rPr>
        <w:t>办公室，（8）生态环境办公室，（9）村镇规划建设管理办公室，</w:t>
      </w:r>
      <w:r>
        <w:rPr>
          <w:rFonts w:hint="eastAsia" w:ascii="仿宋_GB2312" w:eastAsia="仿宋_GB2312"/>
          <w:color w:val="000000"/>
          <w:sz w:val="32"/>
          <w:szCs w:val="32"/>
        </w:rPr>
        <w:t>（10）便民服务中心，（11）经济发展服务中心，（12）农业农村服务中心，（13）综合文化服务中心，（14）城乡融合发展中心。</w:t>
      </w:r>
    </w:p>
    <w:p>
      <w:pPr>
        <w:pStyle w:val="5"/>
        <w:adjustRightInd w:val="0"/>
        <w:snapToGrid w:val="0"/>
        <w:spacing w:beforeLines="0" w:line="576" w:lineRule="atLeast"/>
        <w:ind w:firstLine="640" w:firstLineChars="200"/>
        <w:outlineLvl w:val="2"/>
        <w:rPr>
          <w:rFonts w:ascii="仿宋" w:hAnsi="仿宋" w:eastAsia="仿宋" w:cs="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widowControl/>
        <w:spacing w:line="576" w:lineRule="exact"/>
        <w:jc w:val="left"/>
        <w:rPr>
          <w:rFonts w:ascii="仿宋" w:hAnsi="仿宋" w:eastAsia="仿宋"/>
          <w:sz w:val="32"/>
          <w:szCs w:val="32"/>
        </w:rPr>
      </w:pPr>
    </w:p>
    <w:p>
      <w:pPr>
        <w:rPr>
          <w:rFonts w:ascii="仿宋" w:hAnsi="仿宋" w:eastAsia="仿宋"/>
          <w:sz w:val="32"/>
          <w:szCs w:val="32"/>
        </w:rPr>
      </w:pPr>
    </w:p>
    <w:p>
      <w:pPr>
        <w:adjustRightInd w:val="0"/>
        <w:snapToGrid w:val="0"/>
        <w:spacing w:line="360" w:lineRule="auto"/>
        <w:jc w:val="center"/>
        <w:outlineLvl w:val="0"/>
        <w:rPr>
          <w:rStyle w:val="24"/>
          <w:rFonts w:ascii="黑体" w:hAnsi="黑体" w:eastAsia="黑体"/>
          <w:b w:val="0"/>
          <w:bCs w:val="0"/>
        </w:rPr>
      </w:pPr>
      <w:bookmarkStart w:id="22" w:name="_Toc15396602"/>
      <w:bookmarkStart w:id="23" w:name="_Toc15377204"/>
      <w:r>
        <w:rPr>
          <w:rStyle w:val="24"/>
          <w:rFonts w:hint="eastAsia" w:ascii="方正小标宋简体" w:hAnsi="方正小标宋简体" w:eastAsia="方正小标宋简体" w:cs="方正小标宋简体"/>
          <w:b w:val="0"/>
          <w:bCs w:val="0"/>
        </w:rPr>
        <w:t>第二部分 2019年度部门决算情况说明</w:t>
      </w:r>
      <w:bookmarkEnd w:id="22"/>
      <w:bookmarkEnd w:id="23"/>
      <w:bookmarkStart w:id="24" w:name="_Toc15377205"/>
      <w:bookmarkStart w:id="25" w:name="_Toc15396603"/>
    </w:p>
    <w:p>
      <w:pPr>
        <w:adjustRightInd w:val="0"/>
        <w:snapToGrid w:val="0"/>
        <w:spacing w:line="360" w:lineRule="auto"/>
        <w:ind w:firstLine="640" w:firstLineChars="200"/>
        <w:outlineLvl w:val="0"/>
        <w:rPr>
          <w:rFonts w:ascii="黑体" w:hAnsi="黑体" w:eastAsia="黑体"/>
          <w:b w:val="0"/>
          <w:bCs w:val="0"/>
          <w:kern w:val="44"/>
          <w:sz w:val="32"/>
          <w:szCs w:val="32"/>
        </w:rPr>
      </w:pPr>
      <w:r>
        <w:rPr>
          <w:rStyle w:val="25"/>
          <w:rFonts w:hint="eastAsia" w:ascii="黑体" w:hAnsi="黑体" w:eastAsia="黑体" w:cs="黑体"/>
          <w:b w:val="0"/>
          <w:bCs w:val="0"/>
        </w:rPr>
        <w:t>一、收入支出决算总体情况说明</w:t>
      </w:r>
      <w:bookmarkEnd w:id="24"/>
      <w:bookmarkEnd w:id="25"/>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年度收、支总计</w:t>
      </w:r>
      <w:r>
        <w:rPr>
          <w:rFonts w:ascii="仿宋" w:hAnsi="仿宋" w:eastAsia="仿宋" w:cs="仿宋"/>
          <w:color w:val="000000"/>
          <w:sz w:val="32"/>
          <w:szCs w:val="32"/>
        </w:rPr>
        <w:t>3316.76</w:t>
      </w:r>
      <w:r>
        <w:rPr>
          <w:rFonts w:hint="eastAsia" w:ascii="仿宋" w:hAnsi="仿宋" w:eastAsia="仿宋" w:cs="仿宋"/>
          <w:color w:val="000000"/>
          <w:sz w:val="32"/>
          <w:szCs w:val="32"/>
        </w:rPr>
        <w:t>万元，与</w:t>
      </w:r>
      <w:r>
        <w:rPr>
          <w:rFonts w:ascii="仿宋" w:hAnsi="仿宋" w:eastAsia="仿宋" w:cs="仿宋"/>
          <w:color w:val="000000"/>
          <w:sz w:val="32"/>
          <w:szCs w:val="32"/>
        </w:rPr>
        <w:t>2018</w:t>
      </w:r>
      <w:r>
        <w:rPr>
          <w:rFonts w:hint="eastAsia" w:ascii="仿宋" w:hAnsi="仿宋" w:eastAsia="仿宋" w:cs="仿宋"/>
          <w:color w:val="000000"/>
          <w:sz w:val="32"/>
          <w:szCs w:val="32"/>
        </w:rPr>
        <w:t>年相比，收入减少1187.16万元，下降35.79</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rPr>
      </w:pPr>
      <w:r>
        <w:rPr>
          <w:rFonts w:hint="eastAsia" w:ascii="宋体"/>
          <w:kern w:val="0"/>
          <w:sz w:val="24"/>
        </w:rPr>
        <w:drawing>
          <wp:inline distT="0" distB="0" distL="0" distR="0">
            <wp:extent cx="4918710" cy="2941955"/>
            <wp:effectExtent l="19050" t="0" r="1524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w:t>
      </w:r>
    </w:p>
    <w:p>
      <w:pPr>
        <w:adjustRightInd w:val="0"/>
        <w:snapToGrid w:val="0"/>
        <w:spacing w:line="360" w:lineRule="auto"/>
        <w:ind w:firstLine="640" w:firstLineChars="200"/>
        <w:outlineLvl w:val="0"/>
        <w:rPr>
          <w:rStyle w:val="25"/>
          <w:rFonts w:hint="eastAsia" w:ascii="黑体" w:hAnsi="黑体" w:eastAsia="黑体" w:cs="黑体"/>
          <w:b w:val="0"/>
          <w:bCs w:val="0"/>
        </w:rPr>
      </w:pPr>
      <w:bookmarkStart w:id="26" w:name="_Toc15377206"/>
      <w:bookmarkStart w:id="27" w:name="_Toc15396604"/>
      <w:r>
        <w:rPr>
          <w:rStyle w:val="25"/>
          <w:rFonts w:hint="eastAsia" w:ascii="黑体" w:hAnsi="黑体" w:eastAsia="黑体" w:cs="黑体"/>
          <w:b w:val="0"/>
          <w:bCs w:val="0"/>
        </w:rPr>
        <w:t>二、收入决算情况说明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年本年收入合计3005.86万元，其中：一般公共预算财政拨款收入2650.16万元，占88.17</w:t>
      </w:r>
      <w:r>
        <w:rPr>
          <w:rFonts w:ascii="仿宋" w:hAnsi="仿宋" w:eastAsia="仿宋" w:cs="仿宋"/>
          <w:color w:val="000000"/>
          <w:sz w:val="32"/>
          <w:szCs w:val="32"/>
        </w:rPr>
        <w:t>%</w:t>
      </w:r>
      <w:r>
        <w:rPr>
          <w:rFonts w:hint="eastAsia" w:ascii="仿宋" w:hAnsi="仿宋" w:eastAsia="仿宋" w:cs="仿宋"/>
          <w:color w:val="000000"/>
          <w:sz w:val="32"/>
          <w:szCs w:val="32"/>
        </w:rPr>
        <w:t>；政府性基金预算财政拨款收入355.7万元，占11.83</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jc w:val="center"/>
        <w:rPr>
          <w:rFonts w:ascii="宋体"/>
          <w:kern w:val="0"/>
          <w:sz w:val="24"/>
        </w:rPr>
      </w:pPr>
      <w:r>
        <w:rPr>
          <w:rFonts w:ascii="宋体"/>
          <w:kern w:val="0"/>
          <w:sz w:val="24"/>
        </w:rPr>
        <w:drawing>
          <wp:inline distT="0" distB="0" distL="0" distR="0">
            <wp:extent cx="4826635" cy="2694940"/>
            <wp:effectExtent l="19050" t="0" r="11540" b="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w:t>
      </w:r>
    </w:p>
    <w:p>
      <w:pPr>
        <w:adjustRightInd w:val="0"/>
        <w:snapToGrid w:val="0"/>
        <w:spacing w:line="360" w:lineRule="auto"/>
        <w:ind w:firstLine="640" w:firstLineChars="200"/>
        <w:outlineLvl w:val="0"/>
        <w:rPr>
          <w:rStyle w:val="25"/>
          <w:rFonts w:hint="eastAsia" w:ascii="黑体" w:hAnsi="黑体" w:eastAsia="黑体" w:cs="黑体"/>
          <w:b w:val="0"/>
          <w:bCs w:val="0"/>
        </w:rPr>
      </w:pPr>
      <w:bookmarkStart w:id="28" w:name="_Toc15377207"/>
      <w:bookmarkStart w:id="29" w:name="_Toc15396605"/>
      <w:r>
        <w:rPr>
          <w:rStyle w:val="25"/>
          <w:rFonts w:hint="eastAsia" w:ascii="黑体" w:hAnsi="黑体" w:eastAsia="黑体" w:cs="黑体"/>
          <w:b w:val="0"/>
          <w:bCs w:val="0"/>
        </w:rPr>
        <w:t>三、支出决算情况说明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s="仿宋"/>
          <w:color w:val="000000"/>
          <w:sz w:val="32"/>
          <w:szCs w:val="32"/>
        </w:rPr>
        <w:t>2019</w:t>
      </w:r>
      <w:r>
        <w:rPr>
          <w:rFonts w:hint="eastAsia" w:ascii="仿宋" w:hAnsi="仿宋" w:eastAsia="仿宋" w:cs="仿宋"/>
          <w:color w:val="000000"/>
          <w:sz w:val="32"/>
          <w:szCs w:val="32"/>
        </w:rPr>
        <w:t>年本年支出合计2674.25万元，其中：基本支出959.11万元，占35.86</w:t>
      </w:r>
      <w:r>
        <w:rPr>
          <w:rFonts w:ascii="仿宋" w:hAnsi="仿宋" w:eastAsia="仿宋" w:cs="仿宋"/>
          <w:color w:val="000000"/>
          <w:sz w:val="32"/>
          <w:szCs w:val="32"/>
        </w:rPr>
        <w:t>%</w:t>
      </w:r>
      <w:r>
        <w:rPr>
          <w:rFonts w:hint="eastAsia" w:ascii="仿宋" w:hAnsi="仿宋" w:eastAsia="仿宋" w:cs="仿宋"/>
          <w:color w:val="000000"/>
          <w:sz w:val="32"/>
          <w:szCs w:val="32"/>
        </w:rPr>
        <w:t>；项目支出1715.14万元，占64.14</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jc w:val="center"/>
        <w:rPr>
          <w:rFonts w:ascii="宋体"/>
          <w:kern w:val="0"/>
          <w:sz w:val="24"/>
        </w:rPr>
      </w:pPr>
      <w:r>
        <w:rPr>
          <w:rFonts w:hint="eastAsia" w:ascii="宋体"/>
          <w:kern w:val="0"/>
          <w:sz w:val="24"/>
        </w:rPr>
        <w:drawing>
          <wp:inline distT="0" distB="0" distL="0" distR="0">
            <wp:extent cx="5274310" cy="3076575"/>
            <wp:effectExtent l="19050" t="0" r="21590" b="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jc w:val="center"/>
        <w:rPr>
          <w:rFonts w:ascii="仿宋" w:hAnsi="仿宋" w:eastAsia="仿宋" w:cs="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bookmarkStart w:id="30" w:name="_Toc15396606"/>
      <w:bookmarkStart w:id="31" w:name="_Toc15377208"/>
    </w:p>
    <w:p>
      <w:pPr>
        <w:pStyle w:val="23"/>
        <w:spacing w:line="600" w:lineRule="exact"/>
        <w:ind w:left="640" w:firstLine="0" w:firstLineChars="0"/>
        <w:outlineLvl w:val="1"/>
        <w:rPr>
          <w:rFonts w:ascii="黑体" w:hAnsi="黑体" w:eastAsia="黑体" w:cs="黑体"/>
          <w:color w:val="000000"/>
          <w:sz w:val="32"/>
          <w:szCs w:val="32"/>
        </w:rPr>
      </w:pPr>
      <w:r>
        <w:rPr>
          <w:rFonts w:hint="eastAsia" w:ascii="黑体" w:hAnsi="黑体" w:eastAsia="黑体" w:cs="黑体"/>
          <w:color w:val="000000"/>
          <w:sz w:val="32"/>
          <w:szCs w:val="32"/>
        </w:rPr>
        <w:t>四、财政拨款收入支出决算总体情况说明</w:t>
      </w:r>
      <w:bookmarkEnd w:id="30"/>
      <w:bookmarkEnd w:id="31"/>
    </w:p>
    <w:p>
      <w:pPr>
        <w:spacing w:line="600" w:lineRule="exact"/>
        <w:ind w:firstLine="640" w:firstLineChars="20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年财政拨款</w:t>
      </w:r>
      <w:r>
        <w:rPr>
          <w:rFonts w:hint="eastAsia" w:ascii="仿宋_GB2312" w:hAnsi="仿宋_GB2312" w:eastAsia="仿宋_GB2312" w:cs="仿宋_GB2312"/>
          <w:sz w:val="32"/>
          <w:szCs w:val="32"/>
        </w:rPr>
        <w:t>收、支</w:t>
      </w:r>
      <w:r>
        <w:rPr>
          <w:rFonts w:hint="eastAsia" w:ascii="仿宋" w:hAnsi="仿宋" w:eastAsia="仿宋" w:cs="仿宋"/>
          <w:color w:val="000000"/>
          <w:sz w:val="32"/>
          <w:szCs w:val="32"/>
        </w:rPr>
        <w:t>总计</w:t>
      </w:r>
      <w:r>
        <w:rPr>
          <w:rFonts w:ascii="仿宋" w:hAnsi="仿宋" w:eastAsia="仿宋" w:cs="仿宋"/>
          <w:color w:val="000000"/>
          <w:sz w:val="32"/>
          <w:szCs w:val="32"/>
        </w:rPr>
        <w:t>3316.77</w:t>
      </w:r>
      <w:r>
        <w:rPr>
          <w:rFonts w:hint="eastAsia" w:ascii="仿宋" w:hAnsi="仿宋" w:eastAsia="仿宋" w:cs="仿宋"/>
          <w:color w:val="000000"/>
          <w:sz w:val="32"/>
          <w:szCs w:val="32"/>
        </w:rPr>
        <w:t>，万元，与</w:t>
      </w:r>
      <w:r>
        <w:rPr>
          <w:rFonts w:ascii="仿宋" w:hAnsi="仿宋" w:eastAsia="仿宋" w:cs="仿宋"/>
          <w:color w:val="000000"/>
          <w:sz w:val="32"/>
          <w:szCs w:val="32"/>
        </w:rPr>
        <w:t>2018</w:t>
      </w:r>
      <w:r>
        <w:rPr>
          <w:rFonts w:hint="eastAsia" w:ascii="仿宋" w:hAnsi="仿宋" w:eastAsia="仿宋" w:cs="仿宋"/>
          <w:color w:val="000000"/>
          <w:sz w:val="32"/>
          <w:szCs w:val="32"/>
        </w:rPr>
        <w:t>年相比收入减少1036.43万元，下降26.63</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rPr>
      </w:pPr>
      <w:r>
        <w:rPr>
          <w:rFonts w:ascii="宋体"/>
          <w:kern w:val="0"/>
          <w:sz w:val="24"/>
        </w:rPr>
        <w:drawing>
          <wp:inline distT="0" distB="0" distL="0" distR="0">
            <wp:extent cx="5274310" cy="3076575"/>
            <wp:effectExtent l="19050" t="0" r="21590" b="0"/>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adjustRightInd w:val="0"/>
        <w:snapToGrid w:val="0"/>
        <w:spacing w:line="360" w:lineRule="auto"/>
        <w:ind w:firstLine="640" w:firstLineChars="200"/>
        <w:outlineLvl w:val="0"/>
        <w:rPr>
          <w:rFonts w:ascii="宋体"/>
          <w:kern w:val="0"/>
          <w:sz w:val="24"/>
        </w:rPr>
      </w:pPr>
      <w:r>
        <w:rPr>
          <w:rFonts w:hint="eastAsia" w:ascii="仿宋" w:hAnsi="仿宋" w:eastAsia="仿宋" w:cs="仿宋"/>
          <w:color w:val="000000"/>
          <w:sz w:val="32"/>
          <w:szCs w:val="32"/>
        </w:rPr>
        <w:t>（图</w:t>
      </w:r>
      <w:r>
        <w:rPr>
          <w:rFonts w:ascii="仿宋" w:hAnsi="仿宋" w:eastAsia="仿宋" w:cs="仿宋"/>
          <w:color w:val="000000"/>
          <w:sz w:val="32"/>
          <w:szCs w:val="32"/>
        </w:rPr>
        <w:t>4</w:t>
      </w:r>
      <w:r>
        <w:rPr>
          <w:rFonts w:hint="eastAsia" w:ascii="仿宋" w:hAnsi="仿宋" w:eastAsia="仿宋" w:cs="仿宋"/>
          <w:color w:val="000000"/>
          <w:sz w:val="32"/>
          <w:szCs w:val="32"/>
        </w:rPr>
        <w:t>：财政拨款收、支决算总计变动情况）</w:t>
      </w:r>
    </w:p>
    <w:p>
      <w:pPr>
        <w:pStyle w:val="3"/>
        <w:ind w:firstLine="640" w:firstLineChars="200"/>
        <w:rPr>
          <w:rFonts w:ascii="仿宋" w:hAnsi="仿宋" w:eastAsia="仿宋" w:cs="Times New Roman"/>
          <w:b w:val="0"/>
          <w:color w:val="000000"/>
        </w:rPr>
      </w:pPr>
      <w:bookmarkStart w:id="32" w:name="_Toc15396607"/>
      <w:bookmarkStart w:id="33" w:name="_Toc15377209"/>
      <w:r>
        <w:rPr>
          <w:rFonts w:hint="eastAsia" w:ascii="黑体" w:hAnsi="黑体" w:eastAsia="黑体" w:cs="黑体"/>
          <w:b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spacing w:line="600" w:lineRule="exact"/>
        <w:ind w:firstLine="643" w:firstLineChars="200"/>
        <w:outlineLvl w:val="1"/>
        <w:rPr>
          <w:rFonts w:ascii="楷体" w:hAnsi="楷体" w:eastAsia="楷体" w:cs="楷体"/>
          <w:color w:val="000000"/>
          <w:sz w:val="32"/>
          <w:szCs w:val="32"/>
        </w:rPr>
      </w:pPr>
      <w:r>
        <w:rPr>
          <w:rFonts w:hint="eastAsia" w:ascii="楷体" w:hAnsi="楷体" w:eastAsia="楷体" w:cs="楷体"/>
          <w:b/>
          <w:bCs/>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2299.32</w:t>
      </w:r>
      <w:r>
        <w:rPr>
          <w:rFonts w:hint="eastAsia" w:ascii="仿宋" w:hAnsi="仿宋" w:eastAsia="仿宋" w:cs="仿宋"/>
          <w:color w:val="000000"/>
          <w:sz w:val="32"/>
          <w:szCs w:val="32"/>
        </w:rPr>
        <w:t>万元，占本年支出合计的86</w:t>
      </w:r>
      <w:r>
        <w:rPr>
          <w:rFonts w:ascii="仿宋" w:hAnsi="仿宋" w:eastAsia="仿宋" w:cs="仿宋"/>
          <w:color w:val="000000"/>
          <w:sz w:val="32"/>
          <w:szCs w:val="32"/>
        </w:rPr>
        <w:t>%</w:t>
      </w:r>
      <w:r>
        <w:rPr>
          <w:rFonts w:hint="eastAsia" w:ascii="仿宋" w:hAnsi="仿宋" w:eastAsia="仿宋" w:cs="仿宋"/>
          <w:color w:val="000000"/>
          <w:sz w:val="32"/>
          <w:szCs w:val="32"/>
        </w:rPr>
        <w:t>。与</w:t>
      </w:r>
      <w:r>
        <w:rPr>
          <w:rFonts w:ascii="仿宋" w:hAnsi="仿宋" w:eastAsia="仿宋" w:cs="仿宋"/>
          <w:color w:val="000000"/>
          <w:sz w:val="32"/>
          <w:szCs w:val="32"/>
        </w:rPr>
        <w:t>2018</w:t>
      </w:r>
      <w:r>
        <w:rPr>
          <w:rFonts w:hint="eastAsia" w:ascii="仿宋" w:hAnsi="仿宋" w:eastAsia="仿宋" w:cs="仿宋"/>
          <w:color w:val="000000"/>
          <w:sz w:val="32"/>
          <w:szCs w:val="32"/>
        </w:rPr>
        <w:t>年相比，一般公共预算财政拨款减少1453.1万元，下降63.2</w:t>
      </w:r>
      <w:r>
        <w:rPr>
          <w:rFonts w:ascii="仿宋" w:hAnsi="仿宋" w:eastAsia="仿宋" w:cs="仿宋"/>
          <w:color w:val="000000"/>
          <w:sz w:val="32"/>
          <w:szCs w:val="32"/>
        </w:rPr>
        <w:t>%</w:t>
      </w:r>
      <w:r>
        <w:rPr>
          <w:rFonts w:hint="eastAsia" w:ascii="仿宋" w:hAnsi="仿宋" w:eastAsia="仿宋" w:cs="仿宋"/>
          <w:color w:val="000000"/>
          <w:sz w:val="32"/>
          <w:szCs w:val="32"/>
        </w:rPr>
        <w:t>。主要变动原因是项目资金减少。</w:t>
      </w: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w:t>
      </w:r>
    </w:p>
    <w:p>
      <w:pPr>
        <w:spacing w:line="600" w:lineRule="exact"/>
        <w:ind w:firstLine="643" w:firstLineChars="200"/>
        <w:outlineLvl w:val="1"/>
        <w:rPr>
          <w:rFonts w:hint="eastAsia" w:ascii="楷体" w:hAnsi="楷体" w:eastAsia="楷体" w:cs="楷体"/>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p>
    <w:p>
      <w:pPr>
        <w:spacing w:line="600" w:lineRule="exact"/>
        <w:ind w:firstLine="640"/>
        <w:rPr>
          <w:rFonts w:ascii="仿宋" w:hAnsi="仿宋" w:eastAsia="仿宋" w:cs="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年一般公共预算财政拨款支出</w:t>
      </w:r>
      <w:r>
        <w:rPr>
          <w:rFonts w:ascii="仿宋" w:hAnsi="仿宋" w:eastAsia="仿宋" w:cs="仿宋"/>
          <w:color w:val="000000"/>
          <w:sz w:val="32"/>
          <w:szCs w:val="32"/>
        </w:rPr>
        <w:t>2299.31</w:t>
      </w:r>
      <w:r>
        <w:rPr>
          <w:rFonts w:hint="eastAsia" w:ascii="仿宋" w:hAnsi="仿宋" w:eastAsia="仿宋" w:cs="仿宋"/>
          <w:color w:val="000000"/>
          <w:sz w:val="32"/>
          <w:szCs w:val="32"/>
        </w:rPr>
        <w:t>万元，主要用于以下方面</w:t>
      </w:r>
      <w:r>
        <w:rPr>
          <w:rFonts w:ascii="仿宋" w:hAnsi="仿宋" w:eastAsia="仿宋" w:cs="仿宋"/>
          <w:color w:val="000000"/>
          <w:sz w:val="32"/>
          <w:szCs w:val="32"/>
        </w:rPr>
        <w:t>:</w:t>
      </w:r>
      <w:r>
        <w:rPr>
          <w:rFonts w:hint="eastAsia" w:ascii="仿宋" w:hAnsi="仿宋" w:eastAsia="仿宋" w:cs="仿宋"/>
          <w:b/>
          <w:bCs/>
          <w:color w:val="000000"/>
          <w:sz w:val="32"/>
          <w:szCs w:val="32"/>
        </w:rPr>
        <w:t>一般公共服务（类）</w:t>
      </w:r>
      <w:r>
        <w:rPr>
          <w:rFonts w:hint="eastAsia" w:ascii="仿宋" w:hAnsi="仿宋" w:eastAsia="仿宋" w:cs="仿宋"/>
          <w:color w:val="000000"/>
          <w:sz w:val="32"/>
          <w:szCs w:val="32"/>
        </w:rPr>
        <w:t>支出</w:t>
      </w:r>
      <w:r>
        <w:rPr>
          <w:rFonts w:ascii="仿宋" w:hAnsi="仿宋" w:eastAsia="仿宋" w:cs="仿宋"/>
          <w:color w:val="000000"/>
          <w:sz w:val="32"/>
          <w:szCs w:val="32"/>
        </w:rPr>
        <w:t>605.6</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万元，占26.34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国防支出（类）</w:t>
      </w:r>
      <w:r>
        <w:rPr>
          <w:rFonts w:hint="eastAsia" w:ascii="仿宋" w:hAnsi="仿宋" w:eastAsia="仿宋" w:cs="仿宋"/>
          <w:color w:val="000000"/>
          <w:sz w:val="32"/>
          <w:szCs w:val="32"/>
        </w:rPr>
        <w:t>支出</w:t>
      </w:r>
      <w:r>
        <w:rPr>
          <w:rFonts w:ascii="仿宋" w:hAnsi="仿宋" w:eastAsia="仿宋" w:cs="仿宋"/>
          <w:color w:val="000000"/>
          <w:sz w:val="32"/>
          <w:szCs w:val="32"/>
        </w:rPr>
        <w:t>2.92</w:t>
      </w:r>
      <w:r>
        <w:rPr>
          <w:rFonts w:hint="eastAsia" w:ascii="仿宋" w:hAnsi="仿宋" w:eastAsia="仿宋" w:cs="仿宋"/>
          <w:color w:val="000000"/>
          <w:sz w:val="32"/>
          <w:szCs w:val="32"/>
        </w:rPr>
        <w:t>万元，占</w:t>
      </w:r>
      <w:r>
        <w:rPr>
          <w:rFonts w:ascii="仿宋" w:hAnsi="仿宋" w:eastAsia="仿宋" w:cs="仿宋"/>
          <w:color w:val="000000"/>
          <w:sz w:val="32"/>
          <w:szCs w:val="32"/>
        </w:rPr>
        <w:t>0.</w:t>
      </w:r>
      <w:r>
        <w:rPr>
          <w:rFonts w:hint="eastAsia" w:ascii="仿宋" w:hAnsi="仿宋" w:eastAsia="仿宋" w:cs="仿宋"/>
          <w:color w:val="000000"/>
          <w:sz w:val="32"/>
          <w:szCs w:val="32"/>
        </w:rPr>
        <w:t>1</w:t>
      </w:r>
      <w:r>
        <w:rPr>
          <w:rFonts w:ascii="仿宋" w:hAnsi="仿宋" w:eastAsia="仿宋" w:cs="仿宋"/>
          <w:color w:val="000000"/>
          <w:sz w:val="32"/>
          <w:szCs w:val="32"/>
        </w:rPr>
        <w:t>3%</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公共安全支出（类）</w:t>
      </w:r>
      <w:r>
        <w:rPr>
          <w:rFonts w:hint="eastAsia" w:ascii="仿宋" w:hAnsi="仿宋" w:eastAsia="仿宋" w:cs="仿宋"/>
          <w:color w:val="000000"/>
          <w:sz w:val="32"/>
          <w:szCs w:val="32"/>
        </w:rPr>
        <w:t>支出</w:t>
      </w:r>
      <w:r>
        <w:rPr>
          <w:rFonts w:ascii="仿宋" w:hAnsi="仿宋" w:eastAsia="仿宋" w:cs="仿宋"/>
          <w:color w:val="000000"/>
          <w:sz w:val="32"/>
          <w:szCs w:val="32"/>
        </w:rPr>
        <w:t>1.13</w:t>
      </w:r>
      <w:r>
        <w:rPr>
          <w:rFonts w:hint="eastAsia" w:ascii="仿宋" w:hAnsi="仿宋" w:eastAsia="仿宋" w:cs="仿宋"/>
          <w:color w:val="000000"/>
          <w:sz w:val="32"/>
          <w:szCs w:val="32"/>
        </w:rPr>
        <w:t>万元，占</w:t>
      </w:r>
      <w:r>
        <w:rPr>
          <w:rFonts w:ascii="仿宋" w:hAnsi="仿宋" w:eastAsia="仿宋" w:cs="仿宋"/>
          <w:color w:val="000000"/>
          <w:sz w:val="32"/>
          <w:szCs w:val="32"/>
        </w:rPr>
        <w:t>0.0</w:t>
      </w:r>
      <w:r>
        <w:rPr>
          <w:rFonts w:hint="eastAsia" w:ascii="仿宋" w:hAnsi="仿宋" w:eastAsia="仿宋" w:cs="仿宋"/>
          <w:color w:val="000000"/>
          <w:sz w:val="32"/>
          <w:szCs w:val="32"/>
        </w:rPr>
        <w:t>5</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社会保障和就业（类）</w:t>
      </w:r>
      <w:r>
        <w:rPr>
          <w:rFonts w:hint="eastAsia" w:ascii="仿宋" w:hAnsi="仿宋" w:eastAsia="仿宋" w:cs="仿宋"/>
          <w:color w:val="000000"/>
          <w:sz w:val="32"/>
          <w:szCs w:val="32"/>
        </w:rPr>
        <w:t>支出</w:t>
      </w:r>
      <w:r>
        <w:rPr>
          <w:rFonts w:ascii="仿宋" w:hAnsi="仿宋" w:eastAsia="仿宋" w:cs="仿宋"/>
          <w:color w:val="000000"/>
          <w:sz w:val="32"/>
          <w:szCs w:val="32"/>
        </w:rPr>
        <w:t>190.07</w:t>
      </w:r>
      <w:r>
        <w:rPr>
          <w:rFonts w:hint="eastAsia" w:ascii="仿宋" w:hAnsi="仿宋" w:eastAsia="仿宋" w:cs="仿宋"/>
          <w:color w:val="000000"/>
          <w:sz w:val="32"/>
          <w:szCs w:val="32"/>
        </w:rPr>
        <w:t>万元，占8.27</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卫生健康支出（类）</w:t>
      </w:r>
      <w:r>
        <w:rPr>
          <w:rFonts w:hint="eastAsia" w:ascii="仿宋" w:hAnsi="仿宋" w:eastAsia="仿宋" w:cs="仿宋"/>
          <w:color w:val="000000"/>
          <w:sz w:val="32"/>
          <w:szCs w:val="32"/>
        </w:rPr>
        <w:t>支出</w:t>
      </w:r>
      <w:r>
        <w:rPr>
          <w:rFonts w:ascii="仿宋" w:hAnsi="仿宋" w:eastAsia="仿宋" w:cs="仿宋"/>
          <w:color w:val="000000"/>
          <w:sz w:val="32"/>
          <w:szCs w:val="32"/>
        </w:rPr>
        <w:t>49.11</w:t>
      </w:r>
      <w:r>
        <w:rPr>
          <w:rFonts w:hint="eastAsia" w:ascii="仿宋" w:hAnsi="仿宋" w:eastAsia="仿宋" w:cs="仿宋"/>
          <w:color w:val="000000"/>
          <w:sz w:val="32"/>
          <w:szCs w:val="32"/>
        </w:rPr>
        <w:t>万元，占2.14</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城乡社区支出（类）</w:t>
      </w:r>
      <w:r>
        <w:rPr>
          <w:rFonts w:hint="eastAsia" w:ascii="仿宋" w:hAnsi="仿宋" w:eastAsia="仿宋" w:cs="仿宋"/>
          <w:bCs/>
          <w:color w:val="000000"/>
          <w:sz w:val="32"/>
          <w:szCs w:val="32"/>
        </w:rPr>
        <w:t>支出</w:t>
      </w:r>
      <w:r>
        <w:rPr>
          <w:rFonts w:ascii="仿宋" w:hAnsi="仿宋" w:eastAsia="仿宋" w:cs="仿宋"/>
          <w:bCs/>
          <w:color w:val="000000"/>
          <w:sz w:val="32"/>
          <w:szCs w:val="32"/>
        </w:rPr>
        <w:t>108.06</w:t>
      </w:r>
      <w:r>
        <w:rPr>
          <w:rFonts w:hint="eastAsia" w:ascii="仿宋" w:hAnsi="仿宋" w:eastAsia="仿宋" w:cs="仿宋"/>
          <w:bCs/>
          <w:color w:val="000000"/>
          <w:sz w:val="32"/>
          <w:szCs w:val="32"/>
        </w:rPr>
        <w:t>万元，占4.7%；</w:t>
      </w:r>
      <w:r>
        <w:rPr>
          <w:rFonts w:hint="eastAsia" w:ascii="仿宋" w:hAnsi="仿宋" w:eastAsia="仿宋" w:cs="仿宋"/>
          <w:b/>
          <w:bCs/>
          <w:color w:val="000000"/>
          <w:sz w:val="32"/>
          <w:szCs w:val="32"/>
        </w:rPr>
        <w:t>农林水支出（类）</w:t>
      </w:r>
      <w:r>
        <w:rPr>
          <w:rFonts w:hint="eastAsia" w:ascii="仿宋" w:hAnsi="仿宋" w:eastAsia="仿宋" w:cs="仿宋"/>
          <w:color w:val="000000"/>
          <w:sz w:val="32"/>
          <w:szCs w:val="32"/>
        </w:rPr>
        <w:t>支出</w:t>
      </w:r>
      <w:r>
        <w:rPr>
          <w:rFonts w:ascii="仿宋" w:hAnsi="仿宋" w:eastAsia="仿宋" w:cs="仿宋"/>
          <w:color w:val="000000"/>
          <w:sz w:val="32"/>
          <w:szCs w:val="32"/>
        </w:rPr>
        <w:t>1006.84</w:t>
      </w:r>
      <w:r>
        <w:rPr>
          <w:rFonts w:hint="eastAsia" w:ascii="仿宋" w:hAnsi="仿宋" w:eastAsia="仿宋" w:cs="仿宋"/>
          <w:color w:val="000000"/>
          <w:sz w:val="32"/>
          <w:szCs w:val="32"/>
        </w:rPr>
        <w:t>万元，占43.79</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住房保障（类）</w:t>
      </w:r>
      <w:r>
        <w:rPr>
          <w:rFonts w:hint="eastAsia" w:ascii="仿宋" w:hAnsi="仿宋" w:eastAsia="仿宋" w:cs="仿宋"/>
          <w:color w:val="000000"/>
          <w:sz w:val="32"/>
          <w:szCs w:val="32"/>
        </w:rPr>
        <w:t>支出</w:t>
      </w:r>
      <w:r>
        <w:rPr>
          <w:rFonts w:ascii="仿宋" w:hAnsi="仿宋" w:eastAsia="仿宋" w:cs="仿宋"/>
          <w:color w:val="000000"/>
          <w:sz w:val="32"/>
          <w:szCs w:val="32"/>
        </w:rPr>
        <w:t>68.25</w:t>
      </w:r>
      <w:r>
        <w:rPr>
          <w:rFonts w:hint="eastAsia" w:ascii="仿宋" w:hAnsi="仿宋" w:eastAsia="仿宋" w:cs="仿宋"/>
          <w:color w:val="000000"/>
          <w:sz w:val="32"/>
          <w:szCs w:val="32"/>
        </w:rPr>
        <w:t>万元，占2.97</w:t>
      </w:r>
      <w:r>
        <w:rPr>
          <w:rFonts w:ascii="仿宋" w:hAnsi="仿宋" w:eastAsia="仿宋" w:cs="仿宋"/>
          <w:color w:val="000000"/>
          <w:sz w:val="32"/>
          <w:szCs w:val="32"/>
        </w:rPr>
        <w:t>%</w:t>
      </w:r>
      <w:r>
        <w:rPr>
          <w:rFonts w:hint="eastAsia" w:ascii="仿宋" w:hAnsi="仿宋" w:eastAsia="仿宋" w:cs="仿宋"/>
          <w:color w:val="000000"/>
          <w:sz w:val="32"/>
          <w:szCs w:val="32"/>
        </w:rPr>
        <w:t>；</w:t>
      </w:r>
      <w:r>
        <w:rPr>
          <w:rFonts w:hint="eastAsia" w:ascii="仿宋" w:hAnsi="仿宋" w:eastAsia="仿宋" w:cs="仿宋"/>
          <w:b/>
          <w:bCs/>
          <w:color w:val="000000"/>
          <w:sz w:val="32"/>
          <w:szCs w:val="32"/>
        </w:rPr>
        <w:t>其他支出（类）</w:t>
      </w:r>
      <w:r>
        <w:rPr>
          <w:rFonts w:hint="eastAsia" w:ascii="仿宋" w:hAnsi="仿宋" w:eastAsia="仿宋" w:cs="仿宋"/>
          <w:color w:val="000000"/>
          <w:sz w:val="32"/>
          <w:szCs w:val="32"/>
        </w:rPr>
        <w:t>支出</w:t>
      </w:r>
      <w:r>
        <w:rPr>
          <w:rFonts w:ascii="仿宋" w:hAnsi="仿宋" w:eastAsia="仿宋" w:cs="仿宋"/>
          <w:color w:val="000000"/>
          <w:sz w:val="32"/>
          <w:szCs w:val="32"/>
        </w:rPr>
        <w:t>267.33</w:t>
      </w:r>
      <w:r>
        <w:rPr>
          <w:rFonts w:hint="eastAsia" w:ascii="仿宋" w:hAnsi="仿宋" w:eastAsia="仿宋" w:cs="仿宋"/>
          <w:color w:val="000000"/>
          <w:sz w:val="32"/>
          <w:szCs w:val="32"/>
        </w:rPr>
        <w:t>万元，占11.63</w:t>
      </w:r>
      <w:r>
        <w:rPr>
          <w:rFonts w:ascii="仿宋" w:hAnsi="仿宋" w:eastAsia="仿宋" w:cs="仿宋"/>
          <w:color w:val="000000"/>
          <w:sz w:val="32"/>
          <w:szCs w:val="32"/>
        </w:rPr>
        <w:t>%</w:t>
      </w:r>
      <w:r>
        <w:rPr>
          <w:rFonts w:hint="eastAsia" w:ascii="仿宋" w:hAnsi="仿宋" w:eastAsia="仿宋" w:cs="仿宋"/>
          <w:color w:val="000000"/>
          <w:sz w:val="32"/>
          <w:szCs w:val="32"/>
        </w:rPr>
        <w:t>。</w:t>
      </w:r>
    </w:p>
    <w:p>
      <w:pPr>
        <w:widowControl/>
        <w:rPr>
          <w:rFonts w:ascii="宋体"/>
          <w:kern w:val="0"/>
          <w:sz w:val="24"/>
        </w:rPr>
      </w:pPr>
    </w:p>
    <w:p>
      <w:pPr>
        <w:widowControl/>
        <w:jc w:val="center"/>
        <w:rPr>
          <w:rFonts w:ascii="宋体"/>
          <w:kern w:val="0"/>
          <w:sz w:val="24"/>
        </w:rPr>
      </w:pPr>
      <w:r>
        <w:rPr>
          <w:rFonts w:ascii="宋体"/>
          <w:kern w:val="0"/>
          <w:sz w:val="24"/>
        </w:rPr>
        <w:drawing>
          <wp:inline distT="0" distB="0" distL="0" distR="0">
            <wp:extent cx="5274310" cy="3076575"/>
            <wp:effectExtent l="19050" t="0" r="21590" b="0"/>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w:t>
      </w:r>
    </w:p>
    <w:p>
      <w:pPr>
        <w:spacing w:line="600" w:lineRule="exact"/>
        <w:ind w:firstLine="643" w:firstLineChars="200"/>
        <w:outlineLvl w:val="1"/>
        <w:rPr>
          <w:rFonts w:hint="eastAsia" w:ascii="楷体" w:hAnsi="楷体" w:eastAsia="楷体" w:cs="楷体"/>
          <w:b/>
          <w:bCs/>
          <w:color w:val="000000"/>
          <w:sz w:val="32"/>
          <w:szCs w:val="32"/>
        </w:rPr>
      </w:pPr>
      <w:bookmarkStart w:id="36" w:name="_Toc15377212"/>
      <w:r>
        <w:rPr>
          <w:rFonts w:hint="eastAsia" w:ascii="楷体" w:hAnsi="楷体" w:eastAsia="楷体" w:cs="楷体"/>
          <w:b/>
          <w:bCs/>
          <w:color w:val="000000"/>
          <w:sz w:val="32"/>
          <w:szCs w:val="32"/>
        </w:rPr>
        <w:t>（三）一般公共预算财政拨款支出决算具体情况</w:t>
      </w:r>
      <w:bookmarkEnd w:id="36"/>
    </w:p>
    <w:p>
      <w:pPr>
        <w:spacing w:line="600" w:lineRule="exact"/>
        <w:ind w:firstLine="643" w:firstLineChars="200"/>
        <w:outlineLvl w:val="2"/>
        <w:rPr>
          <w:rStyle w:val="14"/>
          <w:rFonts w:ascii="仿宋" w:hAnsi="仿宋" w:eastAsia="仿宋" w:cs="仿宋"/>
          <w:color w:val="000000"/>
          <w:sz w:val="32"/>
          <w:szCs w:val="32"/>
        </w:rPr>
      </w:pPr>
      <w:bookmarkStart w:id="37" w:name="_Toc15377444"/>
      <w:bookmarkStart w:id="38" w:name="_Toc15377213"/>
      <w:bookmarkStart w:id="39" w:name="_Toc15378460"/>
      <w:r>
        <w:rPr>
          <w:rFonts w:ascii="仿宋" w:hAnsi="仿宋" w:eastAsia="仿宋" w:cs="仿宋"/>
          <w:b/>
          <w:bCs/>
          <w:color w:val="000000"/>
          <w:sz w:val="32"/>
          <w:szCs w:val="32"/>
        </w:rPr>
        <w:t>2019</w:t>
      </w:r>
      <w:r>
        <w:rPr>
          <w:rFonts w:hint="eastAsia" w:ascii="仿宋" w:hAnsi="仿宋" w:eastAsia="仿宋" w:cs="仿宋"/>
          <w:b/>
          <w:bCs/>
          <w:color w:val="000000"/>
          <w:sz w:val="32"/>
          <w:szCs w:val="32"/>
        </w:rPr>
        <w:t>年一般公共预算支出决算数为</w:t>
      </w:r>
      <w:r>
        <w:rPr>
          <w:rFonts w:ascii="仿宋" w:hAnsi="仿宋" w:eastAsia="仿宋" w:cs="仿宋"/>
          <w:color w:val="000000"/>
          <w:sz w:val="32"/>
          <w:szCs w:val="32"/>
        </w:rPr>
        <w:t>2299.31</w:t>
      </w:r>
      <w:r>
        <w:rPr>
          <w:rFonts w:hint="eastAsia" w:ascii="仿宋" w:hAnsi="仿宋" w:eastAsia="仿宋" w:cs="仿宋"/>
          <w:b/>
          <w:bCs/>
          <w:color w:val="000000"/>
          <w:sz w:val="32"/>
          <w:szCs w:val="32"/>
        </w:rPr>
        <w:t>万元</w:t>
      </w:r>
      <w:r>
        <w:rPr>
          <w:rFonts w:hint="eastAsia" w:ascii="仿宋" w:hAnsi="仿宋" w:eastAsia="仿宋" w:cs="仿宋"/>
          <w:color w:val="000000"/>
          <w:sz w:val="32"/>
          <w:szCs w:val="32"/>
        </w:rPr>
        <w:t>，</w:t>
      </w:r>
      <w:r>
        <w:rPr>
          <w:rStyle w:val="14"/>
          <w:rFonts w:hint="eastAsia" w:ascii="仿宋" w:hAnsi="仿宋" w:eastAsia="仿宋" w:cs="仿宋"/>
          <w:color w:val="000000"/>
          <w:sz w:val="32"/>
          <w:szCs w:val="32"/>
        </w:rPr>
        <w:t>完成预算78.16%。其中：</w:t>
      </w:r>
      <w:bookmarkEnd w:id="37"/>
      <w:bookmarkEnd w:id="38"/>
      <w:bookmarkEnd w:id="39"/>
    </w:p>
    <w:p>
      <w:pPr>
        <w:widowControl/>
        <w:tabs>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1.</w:t>
      </w:r>
      <w:r>
        <w:rPr>
          <w:rStyle w:val="14"/>
          <w:rFonts w:hint="eastAsia" w:ascii="仿宋_GB2312" w:hAnsi="仿宋_GB2312" w:eastAsia="仿宋_GB2312" w:cs="仿宋_GB2312"/>
          <w:b w:val="0"/>
          <w:bCs/>
          <w:color w:val="000000"/>
          <w:sz w:val="32"/>
          <w:szCs w:val="32"/>
        </w:rPr>
        <w:t>一</w:t>
      </w:r>
      <w:r>
        <w:rPr>
          <w:rStyle w:val="14"/>
          <w:rFonts w:hint="eastAsia" w:ascii="仿宋_GB2312" w:hAnsi="仿宋_GB2312" w:eastAsia="仿宋_GB2312" w:cs="仿宋_GB2312"/>
          <w:bCs/>
          <w:color w:val="000000"/>
          <w:sz w:val="32"/>
          <w:szCs w:val="32"/>
        </w:rPr>
        <w:t>般公共服务（类）人大事务（款）行政运行（项）</w:t>
      </w:r>
      <w:r>
        <w:rPr>
          <w:rFonts w:hint="eastAsia" w:ascii="仿宋_GB2312" w:hAnsi="Arial" w:eastAsia="仿宋_GB2312" w:cs="仿宋_GB2312"/>
          <w:color w:val="000000"/>
          <w:kern w:val="0"/>
          <w:sz w:val="32"/>
          <w:szCs w:val="32"/>
        </w:rPr>
        <w:t>：2019年决算数为0.64万元，完成预算的100%，决算数等于预算数。</w:t>
      </w:r>
    </w:p>
    <w:p>
      <w:pPr>
        <w:widowControl/>
        <w:tabs>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一般公共服务（类）人大事务（款）人大会议（项）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年决算数为1.2万元，完成预算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3.</w:t>
      </w:r>
      <w:r>
        <w:rPr>
          <w:rStyle w:val="14"/>
          <w:rFonts w:hint="eastAsia" w:ascii="仿宋_GB2312" w:hAnsi="仿宋_GB2312" w:eastAsia="仿宋_GB2312" w:cs="仿宋_GB2312"/>
          <w:bCs/>
          <w:color w:val="000000"/>
          <w:sz w:val="32"/>
          <w:szCs w:val="32"/>
        </w:rPr>
        <w:t>一般公共服务（类）人大事务（款）代表工作（项）</w:t>
      </w:r>
      <w:r>
        <w:rPr>
          <w:rFonts w:hint="eastAsia" w:ascii="仿宋_GB2312" w:hAnsi="Arial" w:eastAsia="仿宋_GB2312" w:cs="仿宋_GB2312"/>
          <w:color w:val="000000"/>
          <w:kern w:val="0"/>
          <w:sz w:val="32"/>
          <w:szCs w:val="32"/>
        </w:rPr>
        <w:t>：2019年决算数为2.72万元，完成预算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olor w:val="000000"/>
          <w:kern w:val="0"/>
          <w:sz w:val="32"/>
          <w:szCs w:val="32"/>
        </w:rPr>
      </w:pPr>
      <w:r>
        <w:rPr>
          <w:rFonts w:hint="eastAsia" w:ascii="仿宋_GB2312" w:hAnsi="Arial" w:eastAsia="仿宋_GB2312" w:cs="仿宋_GB2312"/>
          <w:color w:val="000000"/>
          <w:kern w:val="0"/>
          <w:sz w:val="32"/>
          <w:szCs w:val="32"/>
        </w:rPr>
        <w:t>4</w:t>
      </w:r>
      <w:r>
        <w:rPr>
          <w:rFonts w:hint="eastAsia" w:ascii="仿宋_GB2312" w:hAnsi="Arial" w:eastAsia="仿宋_GB2312" w:cs="仿宋_GB2312"/>
          <w:color w:val="000000"/>
          <w:kern w:val="0"/>
          <w:sz w:val="32"/>
          <w:szCs w:val="32"/>
          <w:lang w:val="en-US" w:eastAsia="zh-CN"/>
        </w:rPr>
        <w:t>.</w:t>
      </w:r>
      <w:r>
        <w:rPr>
          <w:rStyle w:val="14"/>
          <w:rFonts w:hint="eastAsia" w:ascii="仿宋_GB2312" w:hAnsi="仿宋_GB2312" w:eastAsia="仿宋_GB2312" w:cs="仿宋_GB2312"/>
          <w:bCs/>
          <w:color w:val="000000"/>
          <w:sz w:val="32"/>
          <w:szCs w:val="32"/>
        </w:rPr>
        <w:t>一般公共服务（类）政府办公厅（室）及相关机构事务（款）行政运行（项）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年决算数为496.99万元，完成预算98.68</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，决算数小于预算数的原因是凤仪镇网格员工资未支付完成，结转下年继续使用。</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Style w:val="14"/>
          <w:rFonts w:hint="eastAsia" w:ascii="仿宋_GB2312" w:hAnsi="仿宋_GB2312" w:eastAsia="仿宋_GB2312" w:cs="仿宋_GB2312"/>
          <w:bCs/>
          <w:color w:val="000000"/>
          <w:sz w:val="32"/>
          <w:szCs w:val="32"/>
        </w:rPr>
        <w:t>5</w:t>
      </w:r>
      <w:r>
        <w:rPr>
          <w:rStyle w:val="14"/>
          <w:rFonts w:hint="eastAsia" w:ascii="仿宋_GB2312" w:hAnsi="仿宋_GB2312" w:eastAsia="仿宋_GB2312" w:cs="仿宋_GB2312"/>
          <w:bCs/>
          <w:color w:val="000000"/>
          <w:sz w:val="32"/>
          <w:szCs w:val="32"/>
          <w:lang w:val="en-US" w:eastAsia="zh-CN"/>
        </w:rPr>
        <w:t>.</w:t>
      </w:r>
      <w:r>
        <w:rPr>
          <w:rStyle w:val="14"/>
          <w:rFonts w:hint="eastAsia" w:ascii="仿宋_GB2312" w:hAnsi="仿宋_GB2312" w:eastAsia="仿宋_GB2312" w:cs="仿宋_GB2312"/>
          <w:bCs/>
          <w:color w:val="000000"/>
          <w:sz w:val="32"/>
          <w:szCs w:val="32"/>
        </w:rPr>
        <w:t>一般公共服务（类）政府办公厅（室）及相关机构事务（款）</w:t>
      </w:r>
      <w:r>
        <w:rPr>
          <w:rStyle w:val="14"/>
          <w:rFonts w:hint="eastAsia" w:ascii="仿宋_GB2312" w:hAnsi="仿宋_GB2312" w:eastAsia="仿宋_GB2312"/>
          <w:bCs/>
          <w:sz w:val="32"/>
          <w:szCs w:val="32"/>
        </w:rPr>
        <w:t>一般行政管理事务（项）</w:t>
      </w:r>
      <w:r>
        <w:rPr>
          <w:rFonts w:hint="eastAsia" w:ascii="仿宋_GB2312" w:hAnsi="Arial" w:eastAsia="仿宋_GB2312" w:cs="仿宋_GB2312"/>
          <w:color w:val="000000"/>
          <w:kern w:val="0"/>
          <w:sz w:val="32"/>
          <w:szCs w:val="32"/>
        </w:rPr>
        <w:t>：2019年决算数为12.00万元，完成预算74.67%，决算数小于预算数的原因是项目资金未支付完成，结转下年继续使用。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6</w:t>
      </w:r>
      <w:r>
        <w:rPr>
          <w:rFonts w:hint="eastAsia" w:ascii="仿宋_GB2312" w:hAnsi="Arial" w:eastAsia="仿宋_GB2312" w:cs="仿宋_GB2312"/>
          <w:b/>
          <w:color w:val="000000"/>
          <w:kern w:val="0"/>
          <w:sz w:val="32"/>
          <w:szCs w:val="32"/>
          <w:lang w:val="en-US" w:eastAsia="zh-CN"/>
        </w:rPr>
        <w:t>.</w:t>
      </w:r>
      <w:r>
        <w:rPr>
          <w:rStyle w:val="14"/>
          <w:rFonts w:hint="eastAsia" w:ascii="仿宋_GB2312" w:hAnsi="仿宋_GB2312" w:eastAsia="仿宋_GB2312" w:cs="仿宋_GB2312"/>
          <w:bCs/>
          <w:color w:val="000000"/>
          <w:sz w:val="32"/>
          <w:szCs w:val="32"/>
        </w:rPr>
        <w:t>一般公共服务（类）政府办公厅（室）及相关机构事务（款）</w:t>
      </w:r>
      <w:r>
        <w:rPr>
          <w:rFonts w:hint="eastAsia" w:ascii="仿宋_GB2312" w:hAnsi="Arial" w:eastAsia="仿宋_GB2312" w:cs="仿宋_GB2312"/>
          <w:b/>
          <w:color w:val="000000"/>
          <w:kern w:val="0"/>
          <w:sz w:val="32"/>
          <w:szCs w:val="32"/>
        </w:rPr>
        <w:t>其他政府办公厅（室）及相关机构事务支出（项）：</w:t>
      </w:r>
      <w:r>
        <w:rPr>
          <w:rFonts w:hint="eastAsia" w:ascii="仿宋_GB2312" w:hAnsi="Arial" w:eastAsia="仿宋_GB2312" w:cs="仿宋_GB2312"/>
          <w:color w:val="000000"/>
          <w:kern w:val="0"/>
          <w:sz w:val="32"/>
          <w:szCs w:val="32"/>
        </w:rPr>
        <w:t>2019年决算数为4.05万元，完成预算100.00%，决算数等于预算数。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7</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一般公共服务（类）财政事务（款）事业运行（项）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8.</w:t>
      </w:r>
      <w:r>
        <w:rPr>
          <w:rFonts w:hint="eastAsia" w:ascii="仿宋_GB2312" w:hAnsi="Arial" w:eastAsia="仿宋_GB2312" w:cs="仿宋_GB2312"/>
          <w:color w:val="000000"/>
          <w:kern w:val="0"/>
          <w:sz w:val="32"/>
          <w:szCs w:val="32"/>
        </w:rPr>
        <w:t>12万元，完成预算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8</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一般公共服务（类）党委办公厅（室）及相关机构事务（款）行政运行（项）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年决算数为79.89万元，完成预算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9.</w:t>
      </w:r>
      <w:r>
        <w:rPr>
          <w:rStyle w:val="14"/>
          <w:rFonts w:hint="eastAsia" w:ascii="仿宋_GB2312" w:hAnsi="仿宋_GB2312" w:eastAsia="仿宋_GB2312" w:cs="仿宋_GB2312"/>
          <w:bCs/>
          <w:color w:val="000000"/>
          <w:sz w:val="32"/>
          <w:szCs w:val="32"/>
        </w:rPr>
        <w:t>国防支出（类）国防动员（款）民兵（项）</w:t>
      </w:r>
      <w:r>
        <w:rPr>
          <w:rFonts w:hint="eastAsia" w:ascii="仿宋_GB2312" w:hAnsi="Arial" w:eastAsia="仿宋_GB2312" w:cs="仿宋_GB2312"/>
          <w:color w:val="000000"/>
          <w:kern w:val="0"/>
          <w:sz w:val="32"/>
          <w:szCs w:val="32"/>
        </w:rPr>
        <w:t>：2019年决算数为</w:t>
      </w:r>
      <w:r>
        <w:rPr>
          <w:rFonts w:ascii="仿宋_GB2312" w:hAnsi="Arial" w:eastAsia="仿宋_GB2312" w:cs="仿宋_GB2312"/>
          <w:color w:val="000000"/>
          <w:kern w:val="0"/>
          <w:sz w:val="32"/>
          <w:szCs w:val="32"/>
        </w:rPr>
        <w:t>2.92</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10</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公共安全（类）公安（款）一般行政管理事务</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项</w:t>
      </w:r>
      <w:r>
        <w:rPr>
          <w:rFonts w:ascii="仿宋_GB2312" w:hAnsi="Arial" w:eastAsia="仿宋_GB2312" w:cs="仿宋_GB2312"/>
          <w:b/>
          <w:color w:val="000000"/>
          <w:kern w:val="0"/>
          <w:sz w:val="32"/>
          <w:szCs w:val="32"/>
        </w:rPr>
        <w:t>)</w:t>
      </w:r>
      <w:r>
        <w:rPr>
          <w:rFonts w:hint="eastAsia" w:ascii="仿宋_GB2312" w:hAnsi="宋体" w:eastAsia="仿宋_GB2312" w:cs="仿宋_GB2312"/>
          <w:b/>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hint="eastAsia" w:ascii="仿宋_GB2312" w:hAnsi="Arial" w:eastAsia="仿宋_GB2312" w:cs="仿宋_GB2312"/>
          <w:color w:val="auto"/>
          <w:kern w:val="0"/>
          <w:sz w:val="32"/>
          <w:szCs w:val="32"/>
          <w:lang w:val="en-US" w:eastAsia="zh-CN"/>
        </w:rPr>
        <w:t>1.13</w:t>
      </w:r>
      <w:r>
        <w:rPr>
          <w:rFonts w:hint="eastAsia" w:ascii="仿宋_GB2312" w:hAnsi="Arial" w:eastAsia="仿宋_GB2312" w:cs="仿宋_GB2312"/>
          <w:color w:val="auto"/>
          <w:kern w:val="0"/>
          <w:sz w:val="32"/>
          <w:szCs w:val="32"/>
        </w:rPr>
        <w:t>万元，完成预算41.31</w:t>
      </w:r>
      <w:r>
        <w:rPr>
          <w:rFonts w:ascii="仿宋_GB2312" w:hAnsi="Arial" w:eastAsia="仿宋_GB2312" w:cs="仿宋_GB2312"/>
          <w:color w:val="auto"/>
          <w:kern w:val="0"/>
          <w:sz w:val="32"/>
          <w:szCs w:val="32"/>
        </w:rPr>
        <w:t>%</w:t>
      </w:r>
      <w:r>
        <w:rPr>
          <w:rFonts w:hint="eastAsia" w:ascii="仿宋_GB2312" w:hAnsi="Arial" w:eastAsia="仿宋_GB2312" w:cs="仿宋_GB2312"/>
          <w:color w:val="auto"/>
          <w:kern w:val="0"/>
          <w:sz w:val="32"/>
          <w:szCs w:val="32"/>
        </w:rPr>
        <w:t>，决</w:t>
      </w:r>
      <w:r>
        <w:rPr>
          <w:rFonts w:hint="eastAsia" w:ascii="仿宋_GB2312" w:hAnsi="Arial" w:eastAsia="仿宋_GB2312" w:cs="仿宋_GB2312"/>
          <w:color w:val="000000"/>
          <w:kern w:val="0"/>
          <w:sz w:val="32"/>
          <w:szCs w:val="32"/>
        </w:rPr>
        <w:t>算数小于预算数的原因是资金未支付完成，结转下年继续使用。</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11.</w:t>
      </w:r>
      <w:r>
        <w:rPr>
          <w:rStyle w:val="14"/>
          <w:rFonts w:hint="eastAsia" w:ascii="仿宋_GB2312" w:hAnsi="仿宋_GB2312" w:eastAsia="仿宋_GB2312" w:cs="仿宋_GB2312"/>
          <w:bCs/>
          <w:color w:val="000000"/>
          <w:sz w:val="32"/>
          <w:szCs w:val="32"/>
        </w:rPr>
        <w:t>社会保障和就业（类）民政管理事务（款）</w:t>
      </w:r>
      <w:r>
        <w:rPr>
          <w:rFonts w:hint="eastAsia" w:ascii="仿宋_GB2312" w:hAnsi="Arial" w:eastAsia="仿宋_GB2312" w:cs="仿宋_GB2312"/>
          <w:b/>
          <w:color w:val="000000"/>
          <w:kern w:val="0"/>
          <w:sz w:val="32"/>
          <w:szCs w:val="32"/>
        </w:rPr>
        <w:t>基层政权和社区建设</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项)</w:t>
      </w:r>
      <w:r>
        <w:rPr>
          <w:rFonts w:hint="eastAsia" w:ascii="仿宋_GB2312" w:hAnsi="宋体" w:eastAsia="仿宋_GB2312" w:cs="仿宋_GB2312"/>
          <w:b/>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33.02</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12.</w:t>
      </w:r>
      <w:r>
        <w:rPr>
          <w:rStyle w:val="14"/>
          <w:rFonts w:hint="eastAsia" w:ascii="仿宋_GB2312" w:hAnsi="仿宋_GB2312" w:eastAsia="仿宋_GB2312" w:cs="仿宋_GB2312"/>
          <w:bCs/>
          <w:color w:val="000000"/>
          <w:sz w:val="32"/>
          <w:szCs w:val="32"/>
        </w:rPr>
        <w:t>社会保障和就业（类）行政事业单位离退休（款）机关事业单位基本养老保险缴费支出（项）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63.98</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13.</w:t>
      </w:r>
      <w:r>
        <w:rPr>
          <w:rStyle w:val="14"/>
          <w:rFonts w:hint="eastAsia" w:ascii="仿宋_GB2312" w:hAnsi="仿宋_GB2312" w:eastAsia="仿宋_GB2312" w:cs="仿宋_GB2312"/>
          <w:bCs/>
          <w:color w:val="000000"/>
          <w:sz w:val="32"/>
          <w:szCs w:val="32"/>
        </w:rPr>
        <w:t>社会保障和就业（类）行政事业单位离退休（款）机关事业单位职业年金缴费支出（项）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29.53</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1</w:t>
      </w:r>
      <w:r>
        <w:rPr>
          <w:rFonts w:hint="eastAsia" w:ascii="仿宋_GB2312" w:hAnsi="Arial" w:eastAsia="仿宋_GB2312" w:cs="仿宋_GB2312"/>
          <w:b/>
          <w:color w:val="000000"/>
          <w:kern w:val="0"/>
          <w:sz w:val="32"/>
          <w:szCs w:val="32"/>
        </w:rPr>
        <w:t>4</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 w:val="0"/>
          <w:bCs/>
          <w:color w:val="000000"/>
          <w:sz w:val="32"/>
          <w:szCs w:val="32"/>
        </w:rPr>
        <w:t>社会</w:t>
      </w:r>
      <w:r>
        <w:rPr>
          <w:rStyle w:val="14"/>
          <w:rFonts w:hint="eastAsia" w:ascii="仿宋_GB2312" w:hAnsi="仿宋_GB2312" w:eastAsia="仿宋_GB2312" w:cs="仿宋_GB2312"/>
          <w:bCs/>
          <w:color w:val="000000"/>
          <w:sz w:val="32"/>
          <w:szCs w:val="32"/>
        </w:rPr>
        <w:t>保障和就业（类）社会福利（款）老年福利（项）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8.57</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ascii="仿宋_GB2312" w:hAnsi="Arial" w:eastAsia="仿宋_GB2312" w:cs="仿宋_GB2312"/>
          <w:b/>
          <w:color w:val="000000"/>
          <w:kern w:val="0"/>
          <w:sz w:val="32"/>
          <w:szCs w:val="32"/>
        </w:rPr>
        <w:t>1</w:t>
      </w:r>
      <w:r>
        <w:rPr>
          <w:rFonts w:hint="eastAsia" w:ascii="仿宋_GB2312" w:hAnsi="Arial" w:eastAsia="仿宋_GB2312" w:cs="仿宋_GB2312"/>
          <w:b/>
          <w:color w:val="000000"/>
          <w:kern w:val="0"/>
          <w:sz w:val="32"/>
          <w:szCs w:val="32"/>
        </w:rPr>
        <w:t>5</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社会保障和就业（类）社会福利（款）其他社会福利支出（项）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52.96</w:t>
      </w:r>
      <w:r>
        <w:rPr>
          <w:rFonts w:hint="eastAsia" w:ascii="仿宋_GB2312" w:hAnsi="Arial" w:eastAsia="仿宋_GB2312" w:cs="仿宋_GB2312"/>
          <w:color w:val="000000"/>
          <w:kern w:val="0"/>
          <w:sz w:val="32"/>
          <w:szCs w:val="32"/>
        </w:rPr>
        <w:t>万元，完成预算86.74</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，决算数小于预算数的原因是资金未支付完成，结转下年继续使用。</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16.</w:t>
      </w:r>
      <w:r>
        <w:rPr>
          <w:rStyle w:val="14"/>
          <w:rFonts w:hint="eastAsia" w:ascii="仿宋_GB2312" w:hAnsi="仿宋_GB2312" w:eastAsia="仿宋_GB2312" w:cs="仿宋_GB2312"/>
          <w:bCs/>
          <w:color w:val="000000"/>
          <w:sz w:val="32"/>
          <w:szCs w:val="32"/>
        </w:rPr>
        <w:t>社会保障和就业（类）退役军人管理事务（款）拥军优属（项）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年决算数为2.00万元，完成预算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ascii="仿宋_GB2312" w:hAnsi="Arial" w:eastAsia="仿宋_GB2312" w:cs="仿宋_GB2312"/>
          <w:b/>
          <w:color w:val="000000"/>
          <w:kern w:val="0"/>
          <w:sz w:val="32"/>
          <w:szCs w:val="32"/>
        </w:rPr>
        <w:t>1</w:t>
      </w:r>
      <w:r>
        <w:rPr>
          <w:rFonts w:hint="eastAsia" w:ascii="仿宋_GB2312" w:hAnsi="Arial" w:eastAsia="仿宋_GB2312" w:cs="仿宋_GB2312"/>
          <w:b/>
          <w:color w:val="000000"/>
          <w:kern w:val="0"/>
          <w:sz w:val="32"/>
          <w:szCs w:val="32"/>
        </w:rPr>
        <w:t>7</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卫生健康（类）行政事业单位医疗（款）行政单位医疗（项）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49.11</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18.城乡社区支出（类）其他城乡社区支出（款）其他城乡社区支出（项）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108.06</w:t>
      </w:r>
      <w:r>
        <w:rPr>
          <w:rFonts w:hint="eastAsia" w:ascii="仿宋_GB2312" w:hAnsi="Arial" w:eastAsia="仿宋_GB2312" w:cs="仿宋_GB2312"/>
          <w:color w:val="000000"/>
          <w:kern w:val="0"/>
          <w:sz w:val="32"/>
          <w:szCs w:val="32"/>
        </w:rPr>
        <w:t>万元，完成预算15.44</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19</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农林水支出（类）农业（款）事业运行（项）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162.59</w:t>
      </w:r>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ascii="仿宋_GB2312" w:hAnsi="Arial" w:eastAsia="仿宋_GB2312" w:cs="仿宋_GB2312"/>
          <w:b/>
          <w:color w:val="000000"/>
          <w:kern w:val="0"/>
          <w:sz w:val="32"/>
          <w:szCs w:val="32"/>
        </w:rPr>
        <w:t>2</w:t>
      </w:r>
      <w:r>
        <w:rPr>
          <w:rFonts w:hint="eastAsia" w:ascii="仿宋_GB2312" w:hAnsi="Arial" w:eastAsia="仿宋_GB2312" w:cs="仿宋_GB2312"/>
          <w:b/>
          <w:color w:val="000000"/>
          <w:kern w:val="0"/>
          <w:sz w:val="32"/>
          <w:szCs w:val="32"/>
        </w:rPr>
        <w:t>0</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农林水支出（类）农业（款）</w:t>
      </w:r>
      <w:r>
        <w:rPr>
          <w:rFonts w:hint="eastAsia" w:ascii="仿宋_GB2312" w:hAnsi="Arial" w:eastAsia="仿宋_GB2312" w:cs="仿宋_GB2312"/>
          <w:color w:val="000000"/>
          <w:kern w:val="0"/>
          <w:sz w:val="32"/>
          <w:szCs w:val="32"/>
        </w:rPr>
        <w:t>对</w:t>
      </w:r>
      <w:r>
        <w:rPr>
          <w:rFonts w:hint="eastAsia" w:ascii="仿宋_GB2312" w:hAnsi="Arial" w:eastAsia="仿宋_GB2312" w:cs="仿宋_GB2312"/>
          <w:b/>
          <w:color w:val="000000"/>
          <w:kern w:val="0"/>
          <w:sz w:val="32"/>
          <w:szCs w:val="32"/>
        </w:rPr>
        <w:t>高校毕业生到基层任职补助</w:t>
      </w:r>
      <w:r>
        <w:rPr>
          <w:rFonts w:ascii="仿宋_GB2312" w:hAnsi="Arial" w:eastAsia="仿宋_GB2312" w:cs="仿宋_GB2312"/>
          <w:b/>
          <w:color w:val="000000"/>
          <w:kern w:val="0"/>
          <w:sz w:val="32"/>
          <w:szCs w:val="32"/>
        </w:rPr>
        <w:t>(</w:t>
      </w:r>
      <w:r>
        <w:rPr>
          <w:rFonts w:hint="eastAsia" w:ascii="仿宋_GB2312" w:hAnsi="Arial" w:eastAsia="仿宋_GB2312" w:cs="仿宋_GB2312"/>
          <w:b/>
          <w:color w:val="000000"/>
          <w:kern w:val="0"/>
          <w:sz w:val="32"/>
          <w:szCs w:val="32"/>
        </w:rPr>
        <w:t>项</w:t>
      </w:r>
      <w:r>
        <w:rPr>
          <w:rFonts w:ascii="仿宋_GB2312" w:hAnsi="Arial" w:eastAsia="仿宋_GB2312" w:cs="仿宋_GB2312"/>
          <w:b/>
          <w:color w:val="000000"/>
          <w:kern w:val="0"/>
          <w:sz w:val="32"/>
          <w:szCs w:val="32"/>
        </w:rPr>
        <w:t>)</w:t>
      </w:r>
      <w:r>
        <w:rPr>
          <w:rFonts w:hint="eastAsia" w:ascii="仿宋_GB2312" w:hAnsi="宋体" w:eastAsia="仿宋_GB2312" w:cs="仿宋_GB2312"/>
          <w:b/>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年决算数为4.83万元，完成预算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21</w:t>
      </w:r>
      <w:r>
        <w:rPr>
          <w:rFonts w:ascii="仿宋_GB2312" w:hAnsi="Arial" w:eastAsia="仿宋_GB2312" w:cs="仿宋_GB2312"/>
          <w:color w:val="000000"/>
          <w:kern w:val="0"/>
          <w:sz w:val="32"/>
          <w:szCs w:val="32"/>
        </w:rPr>
        <w:t>.</w:t>
      </w:r>
      <w:r>
        <w:rPr>
          <w:rStyle w:val="14"/>
          <w:rFonts w:hint="eastAsia" w:ascii="仿宋_GB2312" w:hAnsi="仿宋_GB2312" w:eastAsia="仿宋_GB2312" w:cs="仿宋_GB2312"/>
          <w:bCs/>
          <w:color w:val="000000"/>
          <w:sz w:val="32"/>
          <w:szCs w:val="32"/>
        </w:rPr>
        <w:t>农林水支出（类）农业（款）其他农业支出（项）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年决算数为24.00万元，完成预算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22.</w:t>
      </w:r>
      <w:r>
        <w:rPr>
          <w:rStyle w:val="14"/>
          <w:rFonts w:hint="eastAsia" w:ascii="仿宋_GB2312" w:hAnsi="仿宋_GB2312" w:eastAsia="仿宋_GB2312" w:cs="仿宋_GB2312"/>
          <w:bCs/>
          <w:color w:val="000000"/>
          <w:sz w:val="32"/>
          <w:szCs w:val="32"/>
        </w:rPr>
        <w:t>农林水支出（类）扶贫（款）</w:t>
      </w:r>
      <w:r>
        <w:rPr>
          <w:rFonts w:hint="eastAsia" w:ascii="仿宋_GB2312" w:hAnsi="Arial" w:eastAsia="仿宋_GB2312" w:cs="仿宋_GB2312"/>
          <w:b/>
          <w:color w:val="000000"/>
          <w:kern w:val="0"/>
          <w:sz w:val="32"/>
          <w:szCs w:val="32"/>
        </w:rPr>
        <w:t>农村基础设施建设（项）</w:t>
      </w:r>
      <w:r>
        <w:rPr>
          <w:rFonts w:hint="eastAsia" w:ascii="仿宋_GB2312" w:hAnsi="Arial"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年决算数为270.52万元，完成预算96.96</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，决算数小于预算数的原因是项目资金未支付完成，结转下年继续使用。</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ascii="仿宋_GB2312" w:hAnsi="Arial" w:eastAsia="仿宋_GB2312" w:cs="仿宋_GB2312"/>
          <w:b/>
          <w:color w:val="000000"/>
          <w:kern w:val="0"/>
          <w:sz w:val="32"/>
          <w:szCs w:val="32"/>
        </w:rPr>
        <w:t>2</w:t>
      </w:r>
      <w:r>
        <w:rPr>
          <w:rFonts w:hint="eastAsia" w:ascii="仿宋_GB2312" w:hAnsi="Arial" w:eastAsia="仿宋_GB2312" w:cs="仿宋_GB2312"/>
          <w:b/>
          <w:color w:val="000000"/>
          <w:kern w:val="0"/>
          <w:sz w:val="32"/>
          <w:szCs w:val="32"/>
        </w:rPr>
        <w:t>3</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 w:val="0"/>
          <w:bCs/>
          <w:color w:val="000000"/>
          <w:sz w:val="32"/>
          <w:szCs w:val="32"/>
        </w:rPr>
        <w:t>农</w:t>
      </w:r>
      <w:r>
        <w:rPr>
          <w:rStyle w:val="14"/>
          <w:rFonts w:hint="eastAsia" w:ascii="仿宋_GB2312" w:hAnsi="仿宋_GB2312" w:eastAsia="仿宋_GB2312" w:cs="仿宋_GB2312"/>
          <w:bCs/>
          <w:color w:val="000000"/>
          <w:sz w:val="32"/>
          <w:szCs w:val="32"/>
        </w:rPr>
        <w:t>林水支出（类）扶贫（款）其他扶贫支出（项）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年决算数为70.05万元，完成预算99.7</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，决算数小于预算数的原因项目资金未支付完成，结转下年继续使用。</w:t>
      </w:r>
    </w:p>
    <w:p>
      <w:pPr>
        <w:widowControl/>
        <w:tabs>
          <w:tab w:val="left" w:pos="675"/>
          <w:tab w:val="left" w:pos="5501"/>
          <w:tab w:val="left" w:pos="6629"/>
          <w:tab w:val="left" w:pos="7089"/>
          <w:tab w:val="left" w:pos="8989"/>
          <w:tab w:val="left" w:pos="10669"/>
        </w:tabs>
        <w:ind w:left="96" w:firstLine="640" w:firstLineChars="200"/>
        <w:rPr>
          <w:rFonts w:ascii="仿宋_GB2312" w:hAnsi="Arial" w:eastAsia="仿宋_GB2312" w:cs="仿宋_GB2312"/>
          <w:color w:val="000000"/>
          <w:kern w:val="0"/>
          <w:sz w:val="32"/>
          <w:szCs w:val="32"/>
        </w:rPr>
      </w:pPr>
      <w:r>
        <w:rPr>
          <w:rFonts w:ascii="仿宋_GB2312" w:hAnsi="Arial" w:eastAsia="仿宋_GB2312" w:cs="仿宋_GB2312"/>
          <w:color w:val="000000"/>
          <w:kern w:val="0"/>
          <w:sz w:val="32"/>
          <w:szCs w:val="32"/>
        </w:rPr>
        <w:t>2</w:t>
      </w:r>
      <w:r>
        <w:rPr>
          <w:rFonts w:hint="eastAsia" w:ascii="仿宋_GB2312" w:hAnsi="Arial" w:eastAsia="仿宋_GB2312" w:cs="仿宋_GB2312"/>
          <w:color w:val="000000"/>
          <w:kern w:val="0"/>
          <w:sz w:val="32"/>
          <w:szCs w:val="32"/>
        </w:rPr>
        <w:t>4</w:t>
      </w:r>
      <w:r>
        <w:rPr>
          <w:rFonts w:ascii="仿宋_GB2312" w:hAnsi="Arial" w:eastAsia="仿宋_GB2312" w:cs="仿宋_GB2312"/>
          <w:color w:val="000000"/>
          <w:kern w:val="0"/>
          <w:sz w:val="32"/>
          <w:szCs w:val="32"/>
        </w:rPr>
        <w:t>.</w:t>
      </w:r>
      <w:r>
        <w:rPr>
          <w:rStyle w:val="14"/>
          <w:rFonts w:hint="eastAsia" w:ascii="仿宋_GB2312" w:hAnsi="仿宋_GB2312" w:eastAsia="仿宋_GB2312" w:cs="仿宋_GB2312"/>
          <w:bCs/>
          <w:color w:val="000000"/>
          <w:sz w:val="32"/>
          <w:szCs w:val="32"/>
        </w:rPr>
        <w:t>农林水支出（类）农村综合改革（款）对村民委员会和村党支部的支出（项）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年决算数为473.35万元，完成预算96.84</w:t>
      </w:r>
      <w:r>
        <w:rPr>
          <w:rFonts w:ascii="仿宋_GB2312" w:hAnsi="Arial" w:eastAsia="仿宋_GB2312" w:cs="仿宋_GB2312"/>
          <w:color w:val="000000"/>
          <w:kern w:val="0"/>
          <w:sz w:val="32"/>
          <w:szCs w:val="32"/>
        </w:rPr>
        <w:t>%</w:t>
      </w:r>
      <w:r>
        <w:rPr>
          <w:rFonts w:hint="eastAsia" w:ascii="仿宋_GB2312" w:hAnsi="Arial" w:eastAsia="仿宋_GB2312" w:cs="仿宋_GB2312"/>
          <w:color w:val="000000"/>
          <w:kern w:val="0"/>
          <w:sz w:val="32"/>
          <w:szCs w:val="32"/>
        </w:rPr>
        <w:t>，决算数小于预算数的原因项目资金未支付完成，结转下年继续使用。</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25</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农林水支出（类）农业（款）其他农业支出（项）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年决算数为1.5万元，完成预算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26</w:t>
      </w:r>
      <w:r>
        <w:rPr>
          <w:rFonts w:ascii="仿宋_GB2312" w:hAnsi="Arial" w:eastAsia="仿宋_GB2312" w:cs="仿宋_GB2312"/>
          <w:b/>
          <w:color w:val="000000"/>
          <w:kern w:val="0"/>
          <w:sz w:val="32"/>
          <w:szCs w:val="32"/>
        </w:rPr>
        <w:t>.</w:t>
      </w:r>
      <w:r>
        <w:rPr>
          <w:rStyle w:val="14"/>
          <w:rFonts w:hint="eastAsia" w:ascii="仿宋_GB2312" w:hAnsi="仿宋_GB2312" w:eastAsia="仿宋_GB2312" w:cs="仿宋_GB2312"/>
          <w:bCs/>
          <w:color w:val="000000"/>
          <w:sz w:val="32"/>
          <w:szCs w:val="32"/>
        </w:rPr>
        <w:t>住房保障支出（类）住房改革支出（款）住房公积金（项）</w:t>
      </w:r>
      <w:r>
        <w:rPr>
          <w:rFonts w:hint="eastAsia" w:ascii="仿宋_GB2312" w:hAnsi="宋体" w:eastAsia="仿宋_GB2312" w:cs="仿宋_GB2312"/>
          <w:color w:val="000000"/>
          <w:kern w:val="0"/>
          <w:sz w:val="32"/>
          <w:szCs w:val="32"/>
        </w:rPr>
        <w:t>：</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w:t>
      </w:r>
      <w:bookmarkStart w:id="69" w:name="_GoBack"/>
      <w:r>
        <w:rPr>
          <w:rFonts w:hint="eastAsia" w:ascii="仿宋_GB2312" w:hAnsi="Arial" w:eastAsia="仿宋_GB2312" w:cs="仿宋_GB2312"/>
          <w:color w:val="auto"/>
          <w:kern w:val="0"/>
          <w:sz w:val="32"/>
          <w:szCs w:val="32"/>
          <w:lang w:val="en-US" w:eastAsia="zh-CN"/>
        </w:rPr>
        <w:t>67.24</w:t>
      </w:r>
      <w:bookmarkEnd w:id="69"/>
      <w:r>
        <w:rPr>
          <w:rFonts w:hint="eastAsia" w:ascii="仿宋_GB2312" w:hAnsi="Arial" w:eastAsia="仿宋_GB2312" w:cs="仿宋_GB2312"/>
          <w:color w:val="000000"/>
          <w:kern w:val="0"/>
          <w:sz w:val="32"/>
          <w:szCs w:val="32"/>
        </w:rPr>
        <w:t>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s="仿宋_GB2312"/>
          <w:color w:val="000000"/>
          <w:kern w:val="0"/>
          <w:sz w:val="32"/>
          <w:szCs w:val="32"/>
        </w:rPr>
      </w:pPr>
      <w:r>
        <w:rPr>
          <w:rFonts w:hint="eastAsia" w:ascii="仿宋_GB2312" w:hAnsi="Arial" w:eastAsia="仿宋_GB2312" w:cs="仿宋_GB2312"/>
          <w:b/>
          <w:color w:val="000000"/>
          <w:kern w:val="0"/>
          <w:sz w:val="32"/>
          <w:szCs w:val="32"/>
        </w:rPr>
        <w:t>27.</w:t>
      </w:r>
      <w:r>
        <w:rPr>
          <w:rStyle w:val="14"/>
          <w:rFonts w:hint="eastAsia" w:ascii="仿宋_GB2312" w:hAnsi="仿宋_GB2312" w:eastAsia="仿宋_GB2312" w:cs="仿宋_GB2312"/>
          <w:bCs/>
          <w:color w:val="000000"/>
          <w:sz w:val="32"/>
          <w:szCs w:val="32"/>
        </w:rPr>
        <w:t>住房保障支出（类）住房改革支出（款）购房补贴（项）:</w:t>
      </w:r>
      <w:r>
        <w:rPr>
          <w:rFonts w:ascii="仿宋_GB2312" w:hAnsi="Arial" w:eastAsia="仿宋_GB2312" w:cs="仿宋_GB2312"/>
          <w:color w:val="000000"/>
          <w:kern w:val="0"/>
          <w:sz w:val="32"/>
          <w:szCs w:val="32"/>
        </w:rPr>
        <w:t>2019</w:t>
      </w:r>
      <w:r>
        <w:rPr>
          <w:rFonts w:hint="eastAsia" w:ascii="仿宋_GB2312" w:hAnsi="Arial" w:eastAsia="仿宋_GB2312" w:cs="仿宋_GB2312"/>
          <w:color w:val="000000"/>
          <w:kern w:val="0"/>
          <w:sz w:val="32"/>
          <w:szCs w:val="32"/>
        </w:rPr>
        <w:t>年决算数为1.02万元，完成预算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Fonts w:ascii="仿宋_GB2312" w:hAnsi="Arial" w:eastAsia="仿宋_GB2312"/>
          <w:color w:val="000000"/>
          <w:kern w:val="0"/>
          <w:sz w:val="32"/>
          <w:szCs w:val="32"/>
        </w:rPr>
      </w:pPr>
      <w:r>
        <w:rPr>
          <w:rFonts w:hint="eastAsia" w:ascii="仿宋_GB2312" w:hAnsi="Arial" w:eastAsia="仿宋_GB2312" w:cs="仿宋_GB2312"/>
          <w:b/>
          <w:color w:val="000000"/>
          <w:kern w:val="0"/>
          <w:sz w:val="32"/>
          <w:szCs w:val="32"/>
        </w:rPr>
        <w:t>28</w:t>
      </w:r>
      <w:r>
        <w:rPr>
          <w:rFonts w:ascii="仿宋_GB2312" w:hAnsi="Arial" w:eastAsia="仿宋_GB2312" w:cs="仿宋_GB2312"/>
          <w:color w:val="000000"/>
          <w:kern w:val="0"/>
          <w:sz w:val="32"/>
          <w:szCs w:val="32"/>
        </w:rPr>
        <w:t>.</w:t>
      </w:r>
      <w:r>
        <w:rPr>
          <w:rStyle w:val="14"/>
          <w:rFonts w:hint="eastAsia" w:ascii="仿宋_GB2312" w:hAnsi="仿宋_GB2312" w:eastAsia="仿宋_GB2312" w:cs="仿宋_GB2312"/>
          <w:bCs/>
          <w:color w:val="000000"/>
          <w:sz w:val="32"/>
          <w:szCs w:val="32"/>
        </w:rPr>
        <w:t>其他支出（类）其他支出（款）其他支出（项）：</w:t>
      </w:r>
      <w:r>
        <w:rPr>
          <w:rFonts w:ascii="仿宋_GB2312" w:hAnsi="Arial" w:eastAsia="仿宋_GB2312" w:cs="仿宋_GB2312"/>
          <w:color w:val="000000"/>
          <w:kern w:val="0"/>
          <w:sz w:val="32"/>
          <w:szCs w:val="32"/>
        </w:rPr>
        <w:t>2018</w:t>
      </w:r>
      <w:r>
        <w:rPr>
          <w:rFonts w:hint="eastAsia" w:ascii="仿宋_GB2312" w:hAnsi="Arial" w:eastAsia="仿宋_GB2312" w:cs="仿宋_GB2312"/>
          <w:color w:val="000000"/>
          <w:kern w:val="0"/>
          <w:sz w:val="32"/>
          <w:szCs w:val="32"/>
        </w:rPr>
        <w:t>年决算数为</w:t>
      </w:r>
      <w:r>
        <w:rPr>
          <w:rFonts w:ascii="仿宋_GB2312" w:hAnsi="Arial" w:eastAsia="仿宋_GB2312" w:cs="仿宋_GB2312"/>
          <w:color w:val="000000"/>
          <w:kern w:val="0"/>
          <w:sz w:val="32"/>
          <w:szCs w:val="32"/>
        </w:rPr>
        <w:t>267.33</w:t>
      </w:r>
      <w:r>
        <w:rPr>
          <w:rFonts w:hint="eastAsia" w:ascii="仿宋_GB2312" w:hAnsi="Arial" w:eastAsia="仿宋_GB2312" w:cs="仿宋_GB2312"/>
          <w:color w:val="000000"/>
          <w:kern w:val="0"/>
          <w:sz w:val="32"/>
          <w:szCs w:val="32"/>
        </w:rPr>
        <w:t>万元，</w:t>
      </w:r>
      <w:bookmarkStart w:id="40" w:name="_Toc15377214"/>
      <w:bookmarkStart w:id="41" w:name="_Toc15396608"/>
      <w:r>
        <w:rPr>
          <w:rFonts w:hint="eastAsia" w:ascii="仿宋_GB2312" w:hAnsi="Arial" w:eastAsia="仿宋_GB2312" w:cs="仿宋_GB2312"/>
          <w:color w:val="000000"/>
          <w:kern w:val="0"/>
          <w:sz w:val="32"/>
          <w:szCs w:val="32"/>
        </w:rPr>
        <w:t>完成预算</w:t>
      </w:r>
      <w:r>
        <w:rPr>
          <w:rFonts w:ascii="仿宋_GB2312" w:hAnsi="Arial" w:eastAsia="仿宋_GB2312" w:cs="仿宋_GB2312"/>
          <w:color w:val="000000"/>
          <w:kern w:val="0"/>
          <w:sz w:val="32"/>
          <w:szCs w:val="32"/>
        </w:rPr>
        <w:t>100%</w:t>
      </w:r>
      <w:r>
        <w:rPr>
          <w:rFonts w:hint="eastAsia" w:ascii="仿宋_GB2312" w:hAnsi="Arial" w:eastAsia="仿宋_GB2312" w:cs="仿宋_GB2312"/>
          <w:color w:val="000000"/>
          <w:kern w:val="0"/>
          <w:sz w:val="32"/>
          <w:szCs w:val="32"/>
        </w:rPr>
        <w:t>，决算数等于预算数。</w:t>
      </w:r>
    </w:p>
    <w:p>
      <w:pPr>
        <w:widowControl/>
        <w:tabs>
          <w:tab w:val="left" w:pos="675"/>
          <w:tab w:val="left" w:pos="5501"/>
          <w:tab w:val="left" w:pos="6629"/>
          <w:tab w:val="left" w:pos="7089"/>
          <w:tab w:val="left" w:pos="8989"/>
          <w:tab w:val="left" w:pos="10669"/>
        </w:tabs>
        <w:ind w:left="96" w:firstLine="643" w:firstLineChars="200"/>
        <w:rPr>
          <w:rStyle w:val="25"/>
          <w:rFonts w:ascii="黑体" w:hAnsi="黑体" w:eastAsia="黑体"/>
          <w:b w:val="0"/>
        </w:rPr>
      </w:pPr>
      <w:r>
        <w:rPr>
          <w:rStyle w:val="25"/>
          <w:rFonts w:hint="eastAsia" w:ascii="黑体" w:hAnsi="黑体" w:eastAsia="黑体" w:cs="黑体"/>
        </w:rPr>
        <w:t>六、一般公共预算财政拨款基本支出决算情况说明</w:t>
      </w:r>
      <w:bookmarkEnd w:id="40"/>
      <w:bookmarkEnd w:id="41"/>
    </w:p>
    <w:p>
      <w:pPr>
        <w:spacing w:line="600" w:lineRule="exact"/>
        <w:ind w:firstLine="645"/>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年一般公共预算财政拨款基本支出959.11万元，其中：</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人员经费903.13万元，主要包括：基本工资、津贴补贴、奖金、绩效工资、机关事业单位基本养老保险缴费、职业年金缴费、职工基本医疗保险缴费；其他社会保障缴费、抚恤金、生活补助、医疗费、住房公积金。</w:t>
      </w:r>
    </w:p>
    <w:p>
      <w:pPr>
        <w:spacing w:line="600" w:lineRule="exact"/>
        <w:ind w:firstLine="645"/>
        <w:rPr>
          <w:rFonts w:ascii="仿宋" w:hAnsi="仿宋" w:eastAsia="仿宋"/>
          <w:color w:val="000000"/>
          <w:sz w:val="32"/>
          <w:szCs w:val="32"/>
        </w:rPr>
      </w:pPr>
      <w:r>
        <w:rPr>
          <w:rFonts w:hint="eastAsia" w:ascii="仿宋" w:hAnsi="仿宋" w:eastAsia="仿宋" w:cs="仿宋"/>
          <w:color w:val="000000"/>
          <w:sz w:val="32"/>
          <w:szCs w:val="32"/>
        </w:rPr>
        <w:t>公用经费55.98万元，主要包括：办公费、水费、电费、邮电费、差旅费、维修（护）费、培训费、劳务费、公务用车运行维护费。</w:t>
      </w:r>
    </w:p>
    <w:p>
      <w:pPr>
        <w:pStyle w:val="3"/>
        <w:ind w:firstLine="640" w:firstLineChars="200"/>
        <w:rPr>
          <w:rStyle w:val="25"/>
          <w:rFonts w:ascii="黑体" w:hAnsi="黑体" w:eastAsia="黑体" w:cs="Times New Roman"/>
          <w:b w:val="0"/>
          <w:bCs w:val="0"/>
        </w:rPr>
      </w:pPr>
      <w:bookmarkStart w:id="42" w:name="_Toc15396609"/>
      <w:bookmarkStart w:id="43" w:name="_Toc15377215"/>
      <w:r>
        <w:rPr>
          <w:rStyle w:val="25"/>
          <w:rFonts w:hint="eastAsia" w:ascii="黑体" w:hAnsi="黑体" w:eastAsia="黑体" w:cs="黑体"/>
          <w:b w:val="0"/>
          <w:bCs w:val="0"/>
        </w:rPr>
        <w:t>七、“三公”经费财政拨款支出决算情况说明</w:t>
      </w:r>
      <w:bookmarkEnd w:id="42"/>
      <w:bookmarkEnd w:id="43"/>
    </w:p>
    <w:p>
      <w:pPr>
        <w:spacing w:line="600" w:lineRule="exact"/>
        <w:ind w:firstLine="643" w:firstLineChars="200"/>
        <w:outlineLvl w:val="1"/>
        <w:rPr>
          <w:rFonts w:ascii="楷体" w:hAnsi="楷体" w:eastAsia="楷体" w:cs="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600" w:lineRule="exact"/>
        <w:ind w:firstLine="640"/>
        <w:rPr>
          <w:rFonts w:ascii="仿宋_GB2312" w:eastAsia="仿宋_GB2312"/>
          <w:b/>
          <w:bCs/>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年“三公”经费财政拨款支出决算为6.41万元，完成预算100</w:t>
      </w:r>
      <w:r>
        <w:rPr>
          <w:rFonts w:ascii="仿宋" w:hAnsi="仿宋" w:eastAsia="仿宋" w:cs="仿宋"/>
          <w:color w:val="000000"/>
          <w:sz w:val="32"/>
          <w:szCs w:val="32"/>
        </w:rPr>
        <w:t>%</w:t>
      </w:r>
      <w:r>
        <w:rPr>
          <w:rFonts w:hint="eastAsia" w:ascii="仿宋" w:hAnsi="仿宋" w:eastAsia="仿宋" w:cs="仿宋"/>
          <w:color w:val="000000"/>
          <w:sz w:val="32"/>
          <w:szCs w:val="32"/>
        </w:rPr>
        <w:t>，决算数与预算数持平。</w:t>
      </w:r>
    </w:p>
    <w:p>
      <w:pPr>
        <w:spacing w:line="600" w:lineRule="exact"/>
        <w:ind w:firstLine="643" w:firstLineChars="200"/>
        <w:outlineLvl w:val="1"/>
        <w:rPr>
          <w:rFonts w:hint="eastAsia" w:ascii="楷体" w:hAnsi="楷体" w:eastAsia="楷体" w:cs="楷体"/>
          <w:b/>
          <w:bCs/>
          <w:color w:val="000000"/>
          <w:sz w:val="32"/>
          <w:szCs w:val="32"/>
        </w:rPr>
      </w:pPr>
      <w:bookmarkStart w:id="45" w:name="_Toc15377217"/>
      <w:r>
        <w:rPr>
          <w:rFonts w:hint="eastAsia" w:ascii="楷体" w:hAnsi="楷体" w:eastAsia="楷体" w:cs="楷体"/>
          <w:b/>
          <w:bCs/>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s="仿宋"/>
          <w:color w:val="000000"/>
          <w:sz w:val="32"/>
          <w:szCs w:val="32"/>
        </w:rPr>
        <w:t>2019</w:t>
      </w:r>
      <w:r>
        <w:rPr>
          <w:rFonts w:hint="eastAsia" w:ascii="仿宋" w:hAnsi="仿宋" w:eastAsia="仿宋" w:cs="仿宋"/>
          <w:color w:val="000000"/>
          <w:sz w:val="32"/>
          <w:szCs w:val="32"/>
        </w:rPr>
        <w:t>年“三公”经费财政拨款支出决算中，因公出国（境）费支出决算</w:t>
      </w:r>
      <w:r>
        <w:rPr>
          <w:rFonts w:ascii="仿宋" w:hAnsi="仿宋" w:eastAsia="仿宋" w:cs="仿宋"/>
          <w:color w:val="000000"/>
          <w:sz w:val="32"/>
          <w:szCs w:val="32"/>
        </w:rPr>
        <w:t>0.00</w:t>
      </w:r>
      <w:r>
        <w:rPr>
          <w:rFonts w:hint="eastAsia" w:ascii="仿宋" w:hAnsi="仿宋" w:eastAsia="仿宋" w:cs="仿宋"/>
          <w:color w:val="000000"/>
          <w:sz w:val="32"/>
          <w:szCs w:val="32"/>
        </w:rPr>
        <w:t>万元，占</w:t>
      </w:r>
      <w:r>
        <w:rPr>
          <w:rFonts w:ascii="仿宋" w:hAnsi="仿宋" w:eastAsia="仿宋" w:cs="仿宋"/>
          <w:color w:val="000000"/>
          <w:sz w:val="32"/>
          <w:szCs w:val="32"/>
        </w:rPr>
        <w:t>0.00%</w:t>
      </w:r>
      <w:r>
        <w:rPr>
          <w:rFonts w:hint="eastAsia" w:ascii="仿宋" w:hAnsi="仿宋" w:eastAsia="仿宋" w:cs="仿宋"/>
          <w:color w:val="000000"/>
          <w:sz w:val="32"/>
          <w:szCs w:val="32"/>
        </w:rPr>
        <w:t>；公务用车购置及运行维护费支出决算6.41万元，占</w:t>
      </w:r>
      <w:r>
        <w:rPr>
          <w:rFonts w:ascii="仿宋" w:hAnsi="仿宋" w:eastAsia="仿宋" w:cs="仿宋"/>
          <w:color w:val="000000"/>
          <w:sz w:val="32"/>
          <w:szCs w:val="32"/>
        </w:rPr>
        <w:t>100%</w:t>
      </w:r>
      <w:r>
        <w:rPr>
          <w:rFonts w:hint="eastAsia" w:ascii="仿宋" w:hAnsi="仿宋" w:eastAsia="仿宋" w:cs="仿宋"/>
          <w:color w:val="000000"/>
          <w:sz w:val="32"/>
          <w:szCs w:val="32"/>
        </w:rPr>
        <w:t>；公务接待费支出决算</w:t>
      </w:r>
      <w:r>
        <w:rPr>
          <w:rFonts w:ascii="仿宋" w:hAnsi="仿宋" w:eastAsia="仿宋" w:cs="仿宋"/>
          <w:color w:val="000000"/>
          <w:sz w:val="32"/>
          <w:szCs w:val="32"/>
        </w:rPr>
        <w:t>0.00</w:t>
      </w:r>
      <w:r>
        <w:rPr>
          <w:rFonts w:hint="eastAsia" w:ascii="仿宋" w:hAnsi="仿宋" w:eastAsia="仿宋" w:cs="仿宋"/>
          <w:color w:val="000000"/>
          <w:sz w:val="32"/>
          <w:szCs w:val="32"/>
        </w:rPr>
        <w:t>万元，占</w:t>
      </w:r>
      <w:r>
        <w:rPr>
          <w:rFonts w:ascii="仿宋" w:hAnsi="仿宋" w:eastAsia="仿宋" w:cs="仿宋"/>
          <w:color w:val="000000"/>
          <w:sz w:val="32"/>
          <w:szCs w:val="32"/>
        </w:rPr>
        <w:t>0.00%</w:t>
      </w:r>
      <w:r>
        <w:rPr>
          <w:rFonts w:hint="eastAsia" w:ascii="仿宋" w:hAnsi="仿宋" w:eastAsia="仿宋" w:cs="仿宋"/>
          <w:color w:val="000000"/>
          <w:sz w:val="32"/>
          <w:szCs w:val="32"/>
        </w:rPr>
        <w:t>。具体情况如下：</w:t>
      </w:r>
    </w:p>
    <w:p>
      <w:pPr>
        <w:widowControl/>
        <w:jc w:val="center"/>
        <w:rPr>
          <w:rFonts w:ascii="宋体"/>
          <w:kern w:val="0"/>
          <w:sz w:val="24"/>
        </w:rPr>
      </w:pPr>
      <w:r>
        <w:rPr>
          <w:rFonts w:ascii="宋体"/>
          <w:kern w:val="0"/>
          <w:sz w:val="24"/>
        </w:rPr>
        <w:drawing>
          <wp:inline distT="0" distB="0" distL="0" distR="0">
            <wp:extent cx="3864610" cy="2266315"/>
            <wp:effectExtent l="1905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srcRect/>
                    <a:stretch>
                      <a:fillRect/>
                    </a:stretch>
                  </pic:blipFill>
                  <pic:spPr>
                    <a:xfrm>
                      <a:off x="0" y="0"/>
                      <a:ext cx="3864610" cy="2266315"/>
                    </a:xfrm>
                    <a:prstGeom prst="rect">
                      <a:avLst/>
                    </a:prstGeom>
                    <a:noFill/>
                    <a:ln w="9525">
                      <a:noFill/>
                      <a:miter lim="800000"/>
                      <a:headEnd/>
                      <a:tailEnd/>
                    </a:ln>
                  </pic:spPr>
                </pic:pic>
              </a:graphicData>
            </a:graphic>
          </wp:inline>
        </w:drawing>
      </w:r>
    </w:p>
    <w:p>
      <w:pPr>
        <w:spacing w:line="600" w:lineRule="exact"/>
        <w:jc w:val="center"/>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8</w:t>
      </w:r>
      <w:r>
        <w:rPr>
          <w:rFonts w:hint="eastAsia" w:ascii="仿宋" w:hAnsi="仿宋" w:eastAsia="仿宋" w:cs="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1.</w:t>
      </w:r>
      <w:r>
        <w:rPr>
          <w:rFonts w:hint="eastAsia" w:ascii="仿宋_GB2312" w:eastAsia="仿宋_GB2312" w:cs="仿宋_GB2312"/>
          <w:b/>
          <w:bCs/>
          <w:color w:val="000000"/>
          <w:sz w:val="32"/>
          <w:szCs w:val="32"/>
        </w:rPr>
        <w:t>因公出国（境）经费支出</w:t>
      </w:r>
      <w:r>
        <w:rPr>
          <w:rFonts w:ascii="仿宋_GB2312" w:eastAsia="仿宋_GB2312" w:cs="仿宋_GB2312"/>
          <w:color w:val="000000"/>
          <w:sz w:val="32"/>
          <w:szCs w:val="32"/>
        </w:rPr>
        <w:t>0.00</w:t>
      </w:r>
      <w:r>
        <w:rPr>
          <w:rFonts w:hint="eastAsia" w:ascii="仿宋_GB2312" w:eastAsia="仿宋_GB2312" w:cs="仿宋_GB2312"/>
          <w:color w:val="000000"/>
          <w:sz w:val="32"/>
          <w:szCs w:val="32"/>
        </w:rPr>
        <w:t>万元</w:t>
      </w:r>
      <w:r>
        <w:rPr>
          <w:rStyle w:val="14"/>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全年安排因公出国（境）团组</w:t>
      </w:r>
      <w:r>
        <w:rPr>
          <w:rFonts w:ascii="仿宋_GB2312" w:eastAsia="仿宋_GB2312" w:cs="仿宋_GB2312"/>
          <w:color w:val="000000"/>
          <w:sz w:val="32"/>
          <w:szCs w:val="32"/>
        </w:rPr>
        <w:t>0</w:t>
      </w:r>
      <w:r>
        <w:rPr>
          <w:rFonts w:hint="eastAsia" w:ascii="仿宋_GB2312" w:eastAsia="仿宋_GB2312" w:cs="仿宋_GB2312"/>
          <w:color w:val="000000"/>
          <w:sz w:val="32"/>
          <w:szCs w:val="32"/>
        </w:rPr>
        <w:t>次，出国（境）</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w:t>
      </w:r>
    </w:p>
    <w:p>
      <w:pPr>
        <w:spacing w:line="600" w:lineRule="exact"/>
        <w:ind w:firstLine="640"/>
        <w:rPr>
          <w:rFonts w:ascii="仿宋_GB2312" w:eastAsia="仿宋_GB2312"/>
          <w:b/>
          <w:bCs/>
          <w:color w:val="000000"/>
          <w:sz w:val="32"/>
          <w:szCs w:val="32"/>
        </w:rPr>
      </w:pPr>
      <w:r>
        <w:rPr>
          <w:rFonts w:ascii="仿宋_GB2312" w:eastAsia="仿宋_GB2312" w:cs="仿宋_GB2312"/>
          <w:b/>
          <w:bCs/>
          <w:color w:val="000000"/>
          <w:sz w:val="32"/>
          <w:szCs w:val="32"/>
        </w:rPr>
        <w:t>2.</w:t>
      </w:r>
      <w:r>
        <w:rPr>
          <w:rFonts w:hint="eastAsia" w:ascii="仿宋_GB2312" w:eastAsia="仿宋_GB2312" w:cs="仿宋_GB2312"/>
          <w:b/>
          <w:bCs/>
          <w:color w:val="000000"/>
          <w:sz w:val="32"/>
          <w:szCs w:val="32"/>
        </w:rPr>
        <w:t>公务用车购置及运行维护费支出</w:t>
      </w:r>
      <w:r>
        <w:rPr>
          <w:rFonts w:hint="eastAsia" w:ascii="仿宋_GB2312" w:eastAsia="仿宋_GB2312" w:cs="仿宋_GB2312"/>
          <w:color w:val="000000"/>
          <w:sz w:val="32"/>
          <w:szCs w:val="32"/>
        </w:rPr>
        <w:t>6.41万元</w:t>
      </w:r>
      <w:r>
        <w:rPr>
          <w:rFonts w:ascii="仿宋_GB2312" w:eastAsia="仿宋_GB2312" w:cs="仿宋_GB2312"/>
          <w:color w:val="000000"/>
          <w:sz w:val="32"/>
          <w:szCs w:val="32"/>
        </w:rPr>
        <w:t>,</w:t>
      </w:r>
      <w:r>
        <w:rPr>
          <w:rStyle w:val="14"/>
          <w:rFonts w:hint="eastAsia" w:ascii="仿宋" w:hAnsi="仿宋" w:eastAsia="仿宋" w:cs="仿宋"/>
          <w:b w:val="0"/>
          <w:color w:val="000000"/>
          <w:sz w:val="32"/>
          <w:szCs w:val="32"/>
        </w:rPr>
        <w:t>完成预算</w:t>
      </w:r>
      <w:r>
        <w:rPr>
          <w:rFonts w:hint="eastAsia" w:ascii="仿宋" w:hAnsi="仿宋" w:eastAsia="仿宋" w:cs="仿宋"/>
          <w:color w:val="000000"/>
          <w:sz w:val="32"/>
          <w:szCs w:val="32"/>
        </w:rPr>
        <w:t>100</w:t>
      </w:r>
      <w:r>
        <w:rPr>
          <w:rStyle w:val="14"/>
          <w:rFonts w:ascii="仿宋" w:hAnsi="仿宋" w:eastAsia="仿宋" w:cs="仿宋"/>
          <w:b w:val="0"/>
          <w:color w:val="000000"/>
          <w:sz w:val="32"/>
          <w:szCs w:val="32"/>
        </w:rPr>
        <w:t>%</w:t>
      </w:r>
      <w:r>
        <w:rPr>
          <w:rStyle w:val="14"/>
          <w:rFonts w:hint="eastAsia" w:ascii="仿宋" w:hAnsi="仿宋" w:eastAsia="仿宋" w:cs="仿宋"/>
          <w:b w:val="0"/>
          <w:color w:val="000000"/>
          <w:sz w:val="32"/>
          <w:szCs w:val="32"/>
        </w:rPr>
        <w:t>。</w:t>
      </w:r>
      <w:r>
        <w:rPr>
          <w:rFonts w:hint="eastAsia" w:ascii="仿宋_GB2312" w:eastAsia="仿宋_GB2312" w:cs="仿宋_GB2312"/>
          <w:color w:val="000000"/>
          <w:sz w:val="32"/>
          <w:szCs w:val="32"/>
        </w:rPr>
        <w:t>公务用车购置及运行维护费支出决算比</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年增加0.51万元，增长8.64</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。主要原因是我镇公务用车多，维修费用高，辖区面积大，公务用车使用多。</w:t>
      </w:r>
    </w:p>
    <w:p>
      <w:pPr>
        <w:spacing w:line="600" w:lineRule="exact"/>
        <w:ind w:firstLine="640" w:firstLineChars="200"/>
        <w:rPr>
          <w:rFonts w:ascii="仿宋_GB2312" w:eastAsia="仿宋_GB2312"/>
          <w:b/>
          <w:bCs/>
          <w:color w:val="000000"/>
          <w:sz w:val="32"/>
          <w:szCs w:val="32"/>
        </w:rPr>
      </w:pPr>
      <w:r>
        <w:rPr>
          <w:rFonts w:hint="eastAsia" w:ascii="仿宋_GB2312" w:eastAsia="仿宋_GB2312" w:cs="仿宋_GB2312"/>
          <w:color w:val="000000"/>
          <w:sz w:val="32"/>
          <w:szCs w:val="32"/>
        </w:rPr>
        <w:t>其中：</w:t>
      </w:r>
      <w:r>
        <w:rPr>
          <w:rFonts w:hint="eastAsia" w:ascii="仿宋_GB2312" w:eastAsia="仿宋_GB2312" w:cs="仿宋_GB2312"/>
          <w:b/>
          <w:bCs/>
          <w:color w:val="000000"/>
          <w:sz w:val="32"/>
          <w:szCs w:val="32"/>
        </w:rPr>
        <w:t>公务用车购置支出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万元。全年按规定更新购置公务用车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辆。截至</w:t>
      </w:r>
      <w:r>
        <w:rPr>
          <w:rFonts w:ascii="仿宋_GB2312" w:eastAsia="仿宋_GB2312" w:cs="仿宋_GB2312"/>
          <w:color w:val="000000"/>
          <w:sz w:val="32"/>
          <w:szCs w:val="32"/>
        </w:rPr>
        <w:t>2019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月底，单位共有公务用车1辆，其中：轿车</w:t>
      </w:r>
      <w:r>
        <w:rPr>
          <w:rFonts w:ascii="仿宋_GB2312" w:eastAsia="仿宋_GB2312" w:cs="仿宋_GB2312"/>
          <w:color w:val="000000"/>
          <w:sz w:val="32"/>
          <w:szCs w:val="32"/>
        </w:rPr>
        <w:t>1</w:t>
      </w:r>
      <w:r>
        <w:rPr>
          <w:rFonts w:hint="eastAsia" w:ascii="仿宋_GB2312" w:eastAsia="仿宋_GB2312" w:cs="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cs="仿宋_GB2312"/>
          <w:b/>
          <w:bCs/>
          <w:color w:val="000000"/>
          <w:sz w:val="32"/>
          <w:szCs w:val="32"/>
        </w:rPr>
        <w:t>公务用车运行维护费支出</w:t>
      </w:r>
      <w:r>
        <w:rPr>
          <w:rFonts w:hint="eastAsia" w:ascii="仿宋_GB2312" w:eastAsia="仿宋_GB2312" w:cs="仿宋_GB2312"/>
          <w:color w:val="000000"/>
          <w:sz w:val="32"/>
          <w:szCs w:val="32"/>
        </w:rPr>
        <w:t>6.41万元。主要用于我镇在各村开展工作所需的公务用车燃料费、维修费、过路过桥费、保险费等支出。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cs="仿宋_GB2312"/>
          <w:b/>
          <w:bCs/>
          <w:color w:val="000000"/>
          <w:sz w:val="32"/>
          <w:szCs w:val="32"/>
        </w:rPr>
        <w:t>3.</w:t>
      </w:r>
      <w:r>
        <w:rPr>
          <w:rFonts w:hint="eastAsia" w:ascii="仿宋_GB2312" w:eastAsia="仿宋_GB2312" w:cs="仿宋_GB2312"/>
          <w:b/>
          <w:bCs/>
          <w:color w:val="000000"/>
          <w:sz w:val="32"/>
          <w:szCs w:val="32"/>
        </w:rPr>
        <w:t>公务接待费支出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4"/>
          <w:rFonts w:hint="eastAsia" w:ascii="仿宋" w:hAnsi="仿宋" w:eastAsia="仿宋" w:cs="仿宋"/>
          <w:b w:val="0"/>
          <w:color w:val="000000"/>
          <w:sz w:val="32"/>
          <w:szCs w:val="32"/>
        </w:rPr>
        <w:t>。</w:t>
      </w:r>
    </w:p>
    <w:p>
      <w:pPr>
        <w:pStyle w:val="3"/>
        <w:ind w:firstLine="640" w:firstLineChars="200"/>
        <w:rPr>
          <w:rStyle w:val="25"/>
          <w:rFonts w:ascii="仿宋" w:hAnsi="仿宋" w:eastAsia="仿宋" w:cs="Times New Roman"/>
          <w:b w:val="0"/>
          <w:bCs w:val="0"/>
          <w:color w:val="000000"/>
        </w:rPr>
      </w:pPr>
      <w:bookmarkStart w:id="46" w:name="_Toc15396610"/>
      <w:bookmarkStart w:id="47" w:name="_Toc15377218"/>
      <w:r>
        <w:rPr>
          <w:rFonts w:hint="eastAsia" w:asci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年政府性基金预算拨款支出</w:t>
      </w:r>
      <w:r>
        <w:rPr>
          <w:rFonts w:ascii="仿宋_GB2312" w:eastAsia="仿宋_GB2312" w:cs="仿宋_GB2312"/>
          <w:color w:val="000000"/>
          <w:sz w:val="32"/>
          <w:szCs w:val="32"/>
        </w:rPr>
        <w:t>374.93</w:t>
      </w:r>
      <w:r>
        <w:rPr>
          <w:rFonts w:hint="eastAsia" w:ascii="仿宋_GB2312" w:eastAsia="仿宋_GB2312" w:cs="仿宋_GB2312"/>
          <w:color w:val="000000"/>
          <w:sz w:val="32"/>
          <w:szCs w:val="32"/>
        </w:rPr>
        <w:t>万元。</w:t>
      </w:r>
    </w:p>
    <w:p>
      <w:pPr>
        <w:pStyle w:val="3"/>
        <w:ind w:firstLine="640" w:firstLineChars="200"/>
        <w:rPr>
          <w:rStyle w:val="25"/>
          <w:rFonts w:ascii="黑体" w:hAnsi="黑体" w:eastAsia="黑体" w:cs="Times New Roman"/>
          <w:b w:val="0"/>
          <w:bCs w:val="0"/>
        </w:rPr>
      </w:pPr>
      <w:bookmarkStart w:id="48" w:name="_Toc15396611"/>
      <w:bookmarkStart w:id="49" w:name="_Toc15377219"/>
      <w:r>
        <w:rPr>
          <w:rStyle w:val="25"/>
          <w:rFonts w:hint="eastAsia" w:ascii="黑体" w:hAnsi="黑体" w:eastAsia="黑体" w:cs="黑体"/>
          <w:b w:val="0"/>
          <w:bCs w:val="0"/>
        </w:rPr>
        <w:t>九、国有资本经营预算支出决算情况说明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s="仿宋_GB2312"/>
          <w:color w:val="000000"/>
          <w:sz w:val="32"/>
          <w:szCs w:val="32"/>
        </w:rPr>
        <w:t>2019</w:t>
      </w:r>
      <w:r>
        <w:rPr>
          <w:rFonts w:hint="eastAsia" w:ascii="仿宋_GB2312" w:eastAsia="仿宋_GB2312" w:cs="仿宋_GB2312"/>
          <w:color w:val="000000"/>
          <w:sz w:val="32"/>
          <w:szCs w:val="32"/>
        </w:rPr>
        <w:t>年国有资本经营预算拨款支出</w:t>
      </w:r>
      <w:r>
        <w:rPr>
          <w:rFonts w:ascii="仿宋_GB2312" w:eastAsia="仿宋_GB2312" w:cs="仿宋_GB2312"/>
          <w:color w:val="000000"/>
          <w:sz w:val="32"/>
          <w:szCs w:val="32"/>
        </w:rPr>
        <w:t>0.00</w:t>
      </w:r>
      <w:r>
        <w:rPr>
          <w:rFonts w:hint="eastAsia" w:ascii="仿宋_GB2312" w:eastAsia="仿宋_GB2312" w:cs="仿宋_GB2312"/>
          <w:color w:val="000000"/>
          <w:sz w:val="32"/>
          <w:szCs w:val="32"/>
        </w:rPr>
        <w:t>万元。</w:t>
      </w:r>
    </w:p>
    <w:p>
      <w:pPr>
        <w:pStyle w:val="3"/>
        <w:ind w:firstLine="640" w:firstLineChars="200"/>
        <w:rPr>
          <w:rStyle w:val="25"/>
          <w:rFonts w:ascii="黑体" w:hAnsi="黑体" w:eastAsia="黑体" w:cs="黑体"/>
          <w:b w:val="0"/>
          <w:bCs w:val="0"/>
        </w:rPr>
      </w:pPr>
      <w:r>
        <w:rPr>
          <w:rStyle w:val="25"/>
          <w:rFonts w:hint="eastAsia" w:ascii="黑体" w:hAnsi="黑体" w:eastAsia="黑体" w:cs="黑体"/>
          <w:b w:val="0"/>
          <w:bCs w:val="0"/>
        </w:rPr>
        <w:t>十、预算绩效情况说明</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（一）机关运行经费支出情况</w:t>
      </w:r>
    </w:p>
    <w:p>
      <w:pPr>
        <w:spacing w:line="600" w:lineRule="exact"/>
        <w:ind w:firstLine="640" w:firstLineChars="200"/>
        <w:rPr>
          <w:rFonts w:ascii="仿宋_GB2312" w:eastAsia="仿宋_GB2312" w:cs="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9年，茂县凤仪镇</w:t>
      </w:r>
      <w:r>
        <w:rPr>
          <w:rFonts w:hint="eastAsia" w:ascii="仿宋_GB2312" w:eastAsia="仿宋_GB2312"/>
          <w:color w:val="000000"/>
          <w:sz w:val="32"/>
          <w:szCs w:val="32"/>
          <w:lang w:eastAsia="zh-CN"/>
        </w:rPr>
        <w:t>人民政府</w:t>
      </w:r>
      <w:r>
        <w:rPr>
          <w:rFonts w:hint="eastAsia" w:ascii="仿宋_GB2312" w:eastAsia="仿宋_GB2312"/>
          <w:color w:val="000000"/>
          <w:sz w:val="32"/>
          <w:szCs w:val="32"/>
        </w:rPr>
        <w:t>机关运行经费支出55.98万元，比</w:t>
      </w:r>
      <w:r>
        <w:rPr>
          <w:rFonts w:ascii="仿宋_GB2312" w:eastAsia="仿宋_GB2312"/>
          <w:color w:val="000000"/>
          <w:sz w:val="32"/>
          <w:szCs w:val="32"/>
        </w:rPr>
        <w:t>201</w:t>
      </w:r>
      <w:r>
        <w:rPr>
          <w:rFonts w:hint="eastAsia" w:ascii="仿宋_GB2312" w:eastAsia="仿宋_GB2312"/>
          <w:color w:val="000000"/>
          <w:sz w:val="32"/>
          <w:szCs w:val="32"/>
        </w:rPr>
        <w:t>8年减少16.03万元，下降28.64</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s="仿宋_GB2312"/>
          <w:color w:val="000000"/>
          <w:sz w:val="32"/>
          <w:szCs w:val="32"/>
        </w:rPr>
        <w:t>办公经费开支减少。</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（二）政府采购支出情况</w:t>
      </w:r>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9年，茂县凤仪镇人民政府采购支出总额0万元，其中：政府采购货物支出0万元、政府采购工程支出0万元、政府采购服务支出0万元。</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（三）国有资产占有使用情况</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日，茂县凤仪镇人民政府共有车辆1辆，其中：主要领导干部用车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辆、其他用车1辆，</w:t>
      </w:r>
      <w:r>
        <w:rPr>
          <w:rFonts w:hint="eastAsia" w:ascii="仿宋_GB2312" w:eastAsia="仿宋_GB2312"/>
          <w:color w:val="000000" w:themeColor="text1"/>
          <w:sz w:val="32"/>
          <w:szCs w:val="32"/>
        </w:rPr>
        <w:t>其他用车主要是用于凤仪镇下村，出差用车。单价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spacing w:line="600" w:lineRule="exact"/>
        <w:ind w:firstLine="643"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（四）预算绩效管理情况</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个项目开展了预算事前绩效评估，对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个项目编制了绩效目标，预算执行过程中，选取</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个项目开展了绩效目标完成情况梳理填报。</w:t>
      </w:r>
    </w:p>
    <w:p>
      <w:pPr>
        <w:spacing w:line="576"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开展绩效自评，从评价情况来看我镇按照预算法按时完成预决算编制。在执行过程中有计划进行资金申报使用，完善资金管理及内部控制制度，确保资金安全，做到账款、账账、账实相符。为全镇经济和社会事业发展提供资金保障。本部门还自行组织了</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个项目绩效评价，从评价情况来看我镇的</w:t>
      </w:r>
      <w:r>
        <w:rPr>
          <w:rFonts w:hint="eastAsia" w:ascii="仿宋_GB2312" w:hAnsi="仿宋_GB2312" w:eastAsia="仿宋_GB2312" w:cs="仿宋_GB2312"/>
          <w:sz w:val="32"/>
          <w:szCs w:val="32"/>
          <w:lang w:val="zh-CN"/>
        </w:rPr>
        <w:t>生态环境，营造舒适宜居的生活环境，提升群众的生活质量。基础实施的建设让群众交通条件更便利，村民出行更加安全</w:t>
      </w:r>
      <w:r>
        <w:rPr>
          <w:rFonts w:hint="eastAsia" w:ascii="仿宋_GB2312" w:hAnsi="仿宋_GB2312" w:eastAsia="仿宋_GB2312" w:cs="仿宋_GB2312"/>
          <w:sz w:val="32"/>
          <w:szCs w:val="32"/>
        </w:rPr>
        <w:t>。</w:t>
      </w:r>
    </w:p>
    <w:p>
      <w:pPr>
        <w:spacing w:line="576" w:lineRule="exact"/>
        <w:ind w:firstLine="640" w:firstLineChars="200"/>
        <w:outlineLvl w:val="1"/>
        <w:rPr>
          <w:rStyle w:val="25"/>
          <w:rFonts w:ascii="楷体" w:hAnsi="楷体" w:eastAsia="楷体" w:cs="楷体"/>
          <w:b w:val="0"/>
          <w:bCs w:val="0"/>
        </w:rPr>
      </w:pPr>
      <w:r>
        <w:rPr>
          <w:rFonts w:hint="eastAsia" w:ascii="楷体" w:hAnsi="楷体" w:eastAsia="楷体" w:cs="楷体"/>
          <w:sz w:val="32"/>
          <w:szCs w:val="32"/>
        </w:rPr>
        <w:t>项目绩效目标完成情况</w:t>
      </w:r>
    </w:p>
    <w:p>
      <w:pPr>
        <w:pStyle w:val="31"/>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年度部门决算中反映“凤仪镇甘清村堡坎项目”“</w:t>
      </w:r>
      <w:r>
        <w:rPr>
          <w:rFonts w:hint="eastAsia" w:ascii="仿宋_GB2312" w:hAnsi="仿宋" w:eastAsia="仿宋_GB2312" w:cs="Times New Roman"/>
          <w:color w:val="auto"/>
          <w:kern w:val="2"/>
          <w:sz w:val="32"/>
          <w:szCs w:val="32"/>
          <w:lang w:val="zh-CN"/>
        </w:rPr>
        <w:t xml:space="preserve"> 宗渠村挡土墙项目</w:t>
      </w:r>
      <w:r>
        <w:rPr>
          <w:rFonts w:hint="eastAsia" w:ascii="仿宋_GB2312" w:hAnsi="仿宋_GB2312" w:eastAsia="仿宋_GB2312" w:cs="仿宋_GB2312"/>
          <w:sz w:val="32"/>
          <w:szCs w:val="32"/>
        </w:rPr>
        <w:t>”“</w:t>
      </w:r>
      <w:r>
        <w:t xml:space="preserve"> </w:t>
      </w:r>
      <w:r>
        <w:rPr>
          <w:rFonts w:hint="eastAsia" w:ascii="仿宋_GB2312" w:eastAsia="仿宋_GB2312" w:cs="仿宋_GB2312"/>
          <w:sz w:val="32"/>
          <w:szCs w:val="32"/>
        </w:rPr>
        <w:t>基层组织活动和公共服务运行经费</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南店村美丽新村建设资金”“</w:t>
      </w:r>
      <w:r>
        <w:rPr>
          <w:rFonts w:hint="eastAsia"/>
        </w:rPr>
        <w:t xml:space="preserve"> </w:t>
      </w:r>
      <w:r>
        <w:rPr>
          <w:rFonts w:hint="eastAsia" w:ascii="仿宋_GB2312" w:hAnsi="仿宋_GB2312" w:eastAsia="仿宋_GB2312" w:cs="仿宋_GB2312"/>
          <w:sz w:val="32"/>
          <w:szCs w:val="32"/>
        </w:rPr>
        <w:t>梨园桥梁建设项目”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个项目绩效目标实际完成情况。</w:t>
      </w:r>
    </w:p>
    <w:p>
      <w:pPr>
        <w:spacing w:line="600" w:lineRule="exact"/>
        <w:ind w:firstLine="640" w:firstLineChars="200"/>
        <w:outlineLvl w:val="1"/>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凤仪镇甘清村堡坎项目绩效目标完成情况综述。项目全年预算数4.8万元，执行数为4.56万元，完成预算的95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凤仪镇甘清村堡坎项目的实施能有效改善甘清村村民的生产生活质量，确保村民生命财产安全，促进村民增收致富。下一步改进措施：针对存在的问题，我镇要加强组织领导，强化督促检查，严格遵守各项财务管理制度，加快项目实施进度，确保各项工作任务的有序开展。</w:t>
      </w:r>
    </w:p>
    <w:p>
      <w:pPr>
        <w:adjustRightInd w:val="0"/>
        <w:snapToGrid w:val="0"/>
        <w:spacing w:line="560" w:lineRule="exact"/>
        <w:ind w:firstLine="72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宗渠村挡土墙项目绩效目标完成情况综述。项目全年预算数25.00万元，执行数为23.75万元，完成预算的95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凤仪镇宗渠村挡土墙项目的实施能有效改善宗渠村村民的生产生活质量，确保村民生命财产安全，促进村民增收致富。发现的主要问题：在实施项目过程中进度较慢。下一步改进措施：针对存在的问题，我镇要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项目绩效目标完成情况综述。项目全年预算数244.00万元，执行数为261.40万元</w:t>
      </w:r>
      <w:r>
        <w:rPr>
          <w:rFonts w:hint="eastAsia" w:ascii="仿宋_GB2312" w:eastAsia="仿宋_GB2312" w:cs="仿宋_GB2312"/>
          <w:color w:val="000000"/>
          <w:sz w:val="32"/>
          <w:szCs w:val="32"/>
        </w:rPr>
        <w:t>（包含上年结转资金），</w:t>
      </w:r>
      <w:r>
        <w:rPr>
          <w:rFonts w:hint="eastAsia" w:ascii="仿宋_GB2312" w:hAnsi="仿宋_GB2312" w:eastAsia="仿宋_GB2312" w:cs="仿宋_GB2312"/>
          <w:sz w:val="32"/>
          <w:szCs w:val="32"/>
        </w:rPr>
        <w:t>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eastAsia="仿宋_GB2312" w:cs="仿宋_GB2312"/>
          <w:color w:val="000000"/>
          <w:sz w:val="32"/>
          <w:szCs w:val="32"/>
        </w:rPr>
        <w:t>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djustRightInd w:val="0"/>
        <w:snapToGrid w:val="0"/>
        <w:spacing w:line="576" w:lineRule="exact"/>
        <w:ind w:firstLine="72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南店村美丽新村建设资金项目绩效目标完成情况综述。项目全年预算数</w:t>
      </w:r>
      <w:r>
        <w:rPr>
          <w:rFonts w:ascii="仿宋_GB2312" w:hAnsi="仿宋_GB2312" w:eastAsia="仿宋_GB2312" w:cs="仿宋_GB2312"/>
          <w:sz w:val="32"/>
          <w:szCs w:val="32"/>
        </w:rPr>
        <w:t>279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1万元，执行数为</w:t>
      </w:r>
      <w:r>
        <w:rPr>
          <w:rFonts w:ascii="仿宋_GB2312" w:hAnsi="仿宋_GB2312" w:eastAsia="仿宋_GB2312" w:cs="仿宋_GB2312"/>
          <w:sz w:val="32"/>
          <w:szCs w:val="32"/>
        </w:rPr>
        <w:t>270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2万元，完成预算的96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96</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使南店村风貌得到了提升，文化广场的修建丰富了群众的业余文化生活。发现的主要问题项目实施进度慢。下一步改进措施：针对存在的问题，我镇要加强组织领导，强化督促检查，加快项目实施进度，确保各项工作任务的有序开展。</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梨园桥梁建设项项目绩效目标完成情况综述。项目全年预算数</w:t>
      </w:r>
      <w:r>
        <w:rPr>
          <w:rFonts w:ascii="仿宋_GB2312" w:hAnsi="仿宋_GB2312" w:eastAsia="仿宋_GB2312" w:cs="仿宋_GB2312"/>
          <w:sz w:val="32"/>
          <w:szCs w:val="32"/>
        </w:rPr>
        <w:t>700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0万元，执行数为</w:t>
      </w:r>
      <w:r>
        <w:rPr>
          <w:rFonts w:ascii="仿宋_GB2312" w:hAnsi="仿宋_GB2312" w:cs="仿宋_GB2312"/>
          <w:sz w:val="32"/>
          <w:szCs w:val="32"/>
        </w:rPr>
        <w:t>108</w:t>
      </w:r>
      <w:r>
        <w:rPr>
          <w:rFonts w:hint="eastAsia" w:ascii="仿宋_GB2312" w:hAnsi="仿宋_GB2312" w:cs="仿宋_GB2312"/>
          <w:sz w:val="32"/>
          <w:szCs w:val="32"/>
        </w:rPr>
        <w:t>.</w:t>
      </w:r>
      <w:r>
        <w:rPr>
          <w:rFonts w:ascii="仿宋_GB2312" w:hAnsi="仿宋_GB2312" w:cs="仿宋_GB2312"/>
          <w:sz w:val="32"/>
          <w:szCs w:val="32"/>
        </w:rPr>
        <w:t>06</w:t>
      </w:r>
      <w:r>
        <w:rPr>
          <w:rFonts w:hint="eastAsia" w:ascii="仿宋_GB2312" w:hAnsi="仿宋_GB2312" w:eastAsia="仿宋_GB2312" w:cs="仿宋_GB2312"/>
          <w:sz w:val="32"/>
          <w:szCs w:val="32"/>
        </w:rPr>
        <w:t>万元，完成预算的15.44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方便梨园村群众出行，利于梨园村农副产品的运输，促进群众增收致富。发现的主要问题项目进度慢。下一步改进措施：针对存在的问题，我镇要加强组织领导，加快项目实施进度，确保各项工作任务的有序开展。</w:t>
      </w:r>
    </w:p>
    <w:p>
      <w:pPr>
        <w:ind w:firstLine="640" w:firstLineChars="200"/>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黑体" w:hAnsi="黑体" w:eastAsia="黑体" w:cs="黑体"/>
                <w:color w:val="000000"/>
                <w:kern w:val="0"/>
                <w:sz w:val="36"/>
                <w:szCs w:val="36"/>
              </w:rPr>
            </w:pPr>
          </w:p>
          <w:p>
            <w:pPr>
              <w:widowControl/>
              <w:jc w:val="center"/>
              <w:textAlignment w:val="center"/>
              <w:rPr>
                <w:rFonts w:ascii="黑体" w:hAnsi="黑体" w:eastAsia="黑体" w:cs="黑体"/>
                <w:color w:val="000000"/>
                <w:kern w:val="0"/>
                <w:sz w:val="36"/>
                <w:szCs w:val="36"/>
              </w:rPr>
            </w:pPr>
          </w:p>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凤仪镇甘清村堡坎项目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甘青村新建浆砌堡坎200立方米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甘青村新建浆砌堡坎200立方米</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甘青村新建浆砌堡坎200立方米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项目验收合格率，人居环境得到提升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甘青村新建浆砌堡坎200立方米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4.8万元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4.56万元</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经济效益</w:t>
            </w:r>
          </w:p>
          <w:p>
            <w:pPr>
              <w:widowControl/>
              <w:textAlignment w:val="center"/>
              <w:rPr>
                <w:rFonts w:ascii="宋体" w:hAnsi="宋体" w:cs="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促进村民增收致富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促进村民增收致富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促进村民增收致富</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有效改善甘清村村民的生产生活质量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有效改善甘清村村民的生产生活质量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有效改善甘清村村民的生产生活质量</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bl>
    <w:p>
      <w:pPr>
        <w:spacing w:line="600" w:lineRule="exact"/>
        <w:outlineLvl w:val="1"/>
        <w:rPr>
          <w:rFonts w:ascii="仿宋" w:hAnsi="仿宋" w:eastAsia="仿宋"/>
          <w:b/>
          <w:bCs/>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4"/>
              </w:rPr>
            </w:pPr>
            <w:r>
              <w:rPr>
                <w:rFonts w:hint="eastAsia" w:ascii="宋体" w:hAnsi="宋体" w:cs="宋体"/>
                <w:color w:val="000000"/>
                <w:kern w:val="0"/>
                <w:sz w:val="24"/>
              </w:rPr>
              <w:t>宗渠村挡土墙项目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25.</w:t>
            </w:r>
            <w:r>
              <w:rPr>
                <w:rFonts w:ascii="宋体" w:cs="宋体"/>
                <w:color w:val="000000"/>
                <w:sz w:val="24"/>
              </w:rPr>
              <w:t>00</w:t>
            </w:r>
            <w:r>
              <w:rPr>
                <w:rFonts w:hint="eastAsia" w:ascii="宋体" w:hAnsi="宋体" w:cs="宋体"/>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23.75万元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8"/>
                <w:szCs w:val="28"/>
              </w:rPr>
            </w:pPr>
            <w:r>
              <w:rPr>
                <w:rFonts w:hint="eastAsia" w:ascii="宋体" w:hAnsi="宋体" w:cs="宋体"/>
                <w:color w:val="000000"/>
                <w:sz w:val="24"/>
              </w:rPr>
              <w:t>25.00万元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23.75万元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修建C20混凝土挡墙长50m，底宽1.2m，顶宽0.8m，高4.5m（其中基础埋深1.5m），同时基础开挖+清除坡体松散岩土体约1000立方米。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修建C20混凝土挡墙长50m，底宽1.2m，顶宽0.8m，高4.5m（其中基础埋深1.5m），同时基础开挖+清除坡体松散岩土体约1000立方米。</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宗渠村挡土墙项目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25</w:t>
            </w:r>
            <w:r>
              <w:rPr>
                <w:rFonts w:ascii="宋体" w:hAnsi="宋体" w:cs="宋体"/>
                <w:color w:val="000000"/>
                <w:sz w:val="24"/>
              </w:rPr>
              <w:t>.00</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w:t>
            </w:r>
            <w:r>
              <w:rPr>
                <w:rFonts w:ascii="宋体" w:hAnsi="宋体" w:cs="宋体"/>
                <w:color w:val="000000"/>
                <w:sz w:val="24"/>
              </w:rPr>
              <w:t>.</w:t>
            </w:r>
            <w:r>
              <w:rPr>
                <w:rFonts w:hint="eastAsia" w:ascii="宋体" w:hAnsi="宋体" w:cs="宋体"/>
                <w:color w:val="000000"/>
                <w:sz w:val="24"/>
              </w:rPr>
              <w:t>75万元</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95</w:t>
            </w:r>
            <w:r>
              <w:rPr>
                <w:rFonts w:ascii="宋体" w:hAnsi="宋体" w:cs="宋体"/>
                <w:color w:val="000000"/>
                <w:sz w:val="24"/>
              </w:rPr>
              <w:t>%</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宗渠村挡土墙项目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25.00万元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23.75万元</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改善宗渠村村民的生产生活质量，确保村民生命财产安全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改善宗渠村村民的生产生活质量，确保村民生命财产安全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改善宗渠村村民的生产生活质量，确保村民生命财产安全</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完善宗渠村基础设施，促进群众增收致富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完善宗渠村基础设施，促进群众增收致富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完善宗渠村基础设施，促进群众增收致富</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18"/>
                <w:szCs w:val="18"/>
              </w:rPr>
            </w:pPr>
            <w:r>
              <w:rPr>
                <w:rFonts w:hint="eastAsia" w:ascii="宋体" w:hAnsi="宋体" w:cs="宋体"/>
                <w:color w:val="000000"/>
                <w:sz w:val="24"/>
              </w:rPr>
              <w:t>基层组织活动和公共服务运行经费项目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244.00万元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261.40万元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 w:hAnsi="仿宋" w:eastAsia="仿宋"/>
                <w:color w:val="000000"/>
                <w:sz w:val="28"/>
                <w:szCs w:val="28"/>
              </w:rPr>
            </w:pPr>
            <w:r>
              <w:rPr>
                <w:rFonts w:hint="eastAsia" w:ascii="宋体" w:hAnsi="宋体" w:cs="宋体"/>
                <w:color w:val="000000"/>
                <w:sz w:val="24"/>
              </w:rPr>
              <w:t>244.00万元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261.40万元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Layout w:type="fixed"/>
          <w:tblCellMar>
            <w:top w:w="0" w:type="dxa"/>
            <w:left w:w="0" w:type="dxa"/>
            <w:bottom w:w="0" w:type="dxa"/>
            <w:right w:w="0" w:type="dxa"/>
          </w:tblCellMar>
        </w:tblPrEx>
        <w:trPr>
          <w:trHeight w:val="334"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49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凤仪镇20个村3个社区保洁员工资，人蓄饮水、灌溉沟渠等管护及办公经费支出，组织活动经费支出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凤仪镇20个村3个社区保洁员工资，人蓄饮水、灌溉沟渠等管护及办公经费支出，组织活动经费支出</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保洁员工资，人蓄饮水、灌溉沟渠等管护及办公经费支出，组织活动经费支出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240.00万元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261.40万元（含2019年结转资金）</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100</w:t>
            </w:r>
            <w:r>
              <w:rPr>
                <w:rFonts w:ascii="宋体" w:hAnsi="宋体" w:cs="宋体"/>
                <w:color w:val="000000"/>
                <w:sz w:val="24"/>
              </w:rPr>
              <w:t>%</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保洁员工资，人蓄饮水、灌溉沟渠等管护及办公经费支出，组织活动经费支出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240.00万元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261.40万元（含2019年结转资金）</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推动各村的基础设施维护</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推动各村的基础设施维护</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提升村两委会的办公条件，满足了人民群众不断增长的生活需求，提高人居生活质量，为村民的生产、生活提供了良好的条件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提升村两委会的办公条件，满足了人民群众不断增长的生活需求，提高人居生活质量，为村民的生产、生活提供了良好的条件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提升村两委会的办公条件，满足了人民群众不断增长的生活需求，提高人居生活质量，为村民的生产、生活提供了良好的条件</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完善各村基础设施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完善各村基础设施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完善各村基础设施</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bl>
    <w:p>
      <w:pPr>
        <w:spacing w:line="600" w:lineRule="exact"/>
        <w:outlineLvl w:val="1"/>
        <w:rPr>
          <w:rFonts w:ascii="仿宋" w:hAnsi="仿宋" w:eastAsia="仿宋"/>
          <w:b/>
          <w:bCs/>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 xml:space="preserve">(2019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18"/>
                <w:szCs w:val="18"/>
              </w:rPr>
            </w:pPr>
            <w:r>
              <w:rPr>
                <w:rFonts w:hint="eastAsia" w:ascii="宋体" w:hAnsi="宋体" w:cs="宋体"/>
                <w:color w:val="000000"/>
                <w:kern w:val="0"/>
                <w:sz w:val="24"/>
              </w:rPr>
              <w:t>南店村美丽新村建设资金项目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w:t>
            </w:r>
            <w:r>
              <w:rPr>
                <w:rFonts w:ascii="宋体" w:hAns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color w:val="000000"/>
                <w:sz w:val="24"/>
              </w:rPr>
              <w:t>南店村农户房屋风貌改造，环境卫生整治，新建花台，堡坎，新建文化广场。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color w:val="000000"/>
                <w:sz w:val="24"/>
              </w:rPr>
              <w:t>南店村农户房屋风貌改造，环境卫生整治，新建花台，堡坎，新建文化广场。</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南店村美丽新村建设资金项目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w:t>
            </w:r>
            <w:r>
              <w:rPr>
                <w:rFonts w:hint="eastAsia" w:ascii="宋体" w:hAnsi="宋体" w:cs="宋体"/>
                <w:color w:val="000000"/>
                <w:sz w:val="24"/>
              </w:rPr>
              <w:t>万元</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96</w:t>
            </w:r>
            <w:r>
              <w:rPr>
                <w:rFonts w:ascii="宋体" w:hAnsi="宋体" w:cs="宋体"/>
                <w:color w:val="000000"/>
                <w:sz w:val="24"/>
              </w:rPr>
              <w:t>.</w:t>
            </w:r>
            <w:r>
              <w:rPr>
                <w:rFonts w:hint="eastAsia" w:ascii="宋体" w:hAnsi="宋体" w:cs="宋体"/>
                <w:color w:val="000000"/>
                <w:sz w:val="24"/>
              </w:rPr>
              <w:t>96</w:t>
            </w:r>
            <w:r>
              <w:rPr>
                <w:rFonts w:ascii="宋体" w:hAnsi="宋体" w:cs="宋体"/>
                <w:color w:val="000000"/>
                <w:sz w:val="24"/>
              </w:rPr>
              <w:t>%</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kern w:val="0"/>
                <w:sz w:val="24"/>
              </w:rPr>
              <w:t>南店村美丽新村建设资金项目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279</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1</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270</w:t>
            </w:r>
            <w:r>
              <w:rPr>
                <w:rFonts w:hint="eastAsia" w:ascii="宋体" w:hAnsi="宋体" w:cs="宋体"/>
                <w:color w:val="000000"/>
                <w:kern w:val="0"/>
                <w:sz w:val="24"/>
              </w:rPr>
              <w:t>.</w:t>
            </w:r>
            <w:r>
              <w:rPr>
                <w:rFonts w:ascii="宋体" w:hAnsi="宋体" w:cs="宋体"/>
                <w:color w:val="000000"/>
                <w:kern w:val="0"/>
                <w:sz w:val="24"/>
              </w:rPr>
              <w:t>5</w:t>
            </w:r>
            <w:r>
              <w:rPr>
                <w:rFonts w:hint="eastAsia" w:ascii="宋体" w:hAnsi="宋体" w:cs="宋体"/>
                <w:color w:val="000000"/>
                <w:kern w:val="0"/>
                <w:sz w:val="24"/>
              </w:rPr>
              <w:t>2</w:t>
            </w:r>
            <w:r>
              <w:rPr>
                <w:rFonts w:hint="eastAsia" w:ascii="宋体" w:hAnsi="宋体" w:cs="宋体"/>
                <w:color w:val="000000"/>
                <w:sz w:val="24"/>
              </w:rPr>
              <w:t>万元</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促进群众增收致富</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使南店村风貌得到了提升，美化了环境，文化广场的修建丰富了群众的业余文化生活。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使南店村风貌得到了提升，美化了环境，文化广场的修建丰富了群众的业余文化生活。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使南店村风貌得到了提升，美化了环境，文化广场的修建丰富了群众的业余文化生活。</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美化村内环境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美化村内环境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美化村内环境</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完善南店村基础设施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完善南店村基础设施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完善南店村基础设施</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r>
        <w:tblPrEx>
          <w:tblLayout w:type="fixed"/>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18"/>
                <w:szCs w:val="18"/>
              </w:rPr>
            </w:pPr>
            <w:r>
              <w:rPr>
                <w:rFonts w:hint="eastAsia" w:ascii="宋体" w:hAnsi="宋体" w:cs="宋体"/>
                <w:color w:val="000000"/>
                <w:sz w:val="24"/>
              </w:rPr>
              <w:t>梨园桥梁建设项项目</w:t>
            </w:r>
          </w:p>
        </w:tc>
      </w:tr>
      <w:tr>
        <w:tblPrEx>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茂县凤仪镇人民政府</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700</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kern w:val="0"/>
                <w:sz w:val="24"/>
              </w:rPr>
              <w:t>万元</w:t>
            </w:r>
          </w:p>
        </w:tc>
      </w:tr>
      <w:tr>
        <w:tblPrEx>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700</w:t>
            </w:r>
            <w:r>
              <w:rPr>
                <w:rFonts w:hint="eastAsia" w:ascii="宋体" w:hAnsi="宋体" w:cs="宋体"/>
                <w:color w:val="000000"/>
                <w:kern w:val="0"/>
                <w:sz w:val="24"/>
              </w:rPr>
              <w:t>.</w:t>
            </w:r>
            <w:r>
              <w:rPr>
                <w:rFonts w:ascii="宋体" w:hAnsi="宋体" w:cs="宋体"/>
                <w:color w:val="000000"/>
                <w:kern w:val="0"/>
                <w:sz w:val="24"/>
              </w:rPr>
              <w:t>0</w:t>
            </w:r>
            <w:r>
              <w:rPr>
                <w:rFonts w:hint="eastAsia" w:ascii="宋体" w:hAnsi="宋体" w:cs="宋体"/>
                <w:color w:val="000000"/>
                <w:kern w:val="0"/>
                <w:sz w:val="24"/>
              </w:rPr>
              <w:t>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其中</w:t>
            </w:r>
            <w:r>
              <w:rPr>
                <w:rFonts w:ascii="宋体" w:hAns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kern w:val="0"/>
                <w:sz w:val="24"/>
              </w:rPr>
              <w:t>万元</w:t>
            </w:r>
          </w:p>
        </w:tc>
      </w:tr>
      <w:tr>
        <w:tblPrEx>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lang w:eastAsia="zh-CN"/>
              </w:rPr>
              <w:t>其他资金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color w:val="000000"/>
                <w:sz w:val="24"/>
              </w:rPr>
            </w:pPr>
            <w:r>
              <w:rPr>
                <w:rFonts w:ascii="宋体" w:cs="宋体"/>
                <w:color w:val="000000"/>
                <w:sz w:val="24"/>
              </w:rPr>
              <w:t>0</w:t>
            </w:r>
          </w:p>
        </w:tc>
      </w:tr>
      <w:tr>
        <w:tblPrEx>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实际完成目标</w:t>
            </w:r>
          </w:p>
        </w:tc>
      </w:tr>
      <w:tr>
        <w:tblPrEx>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新建梨园村桥梁一座</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80" w:firstLineChars="200"/>
              <w:jc w:val="left"/>
              <w:textAlignment w:val="center"/>
              <w:rPr>
                <w:rFonts w:ascii="宋体"/>
                <w:color w:val="000000"/>
                <w:sz w:val="24"/>
              </w:rPr>
            </w:pPr>
            <w:r>
              <w:rPr>
                <w:rFonts w:hint="eastAsia" w:ascii="宋体" w:hAnsi="宋体" w:cs="宋体"/>
                <w:color w:val="000000"/>
                <w:sz w:val="24"/>
              </w:rPr>
              <w:t>完成项目的15.44%</w:t>
            </w:r>
          </w:p>
        </w:tc>
      </w:tr>
      <w:tr>
        <w:tblPrEx>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新建梨园村桥梁一座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700</w:t>
            </w:r>
            <w:r>
              <w:rPr>
                <w:rFonts w:ascii="宋体" w:hAnsi="宋体" w:cs="宋体"/>
                <w:color w:val="000000"/>
                <w:sz w:val="24"/>
              </w:rPr>
              <w:t>.00</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sz w:val="24"/>
              </w:rPr>
              <w:t>万元</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15.44</w:t>
            </w:r>
            <w:r>
              <w:rPr>
                <w:rFonts w:ascii="宋体" w:hAnsi="宋体" w:cs="宋体"/>
                <w:color w:val="000000"/>
                <w:sz w:val="24"/>
              </w:rPr>
              <w:t>%</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新建梨园村桥梁一座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700</w:t>
            </w:r>
            <w:r>
              <w:rPr>
                <w:rFonts w:ascii="宋体" w:hAnsi="宋体" w:cs="宋体"/>
                <w:color w:val="000000"/>
                <w:sz w:val="24"/>
              </w:rPr>
              <w:t>.00</w:t>
            </w:r>
            <w:r>
              <w:rPr>
                <w:rFonts w:hint="eastAsia" w:ascii="宋体" w:hAnsi="宋体" w:cs="宋体"/>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108</w:t>
            </w:r>
            <w:r>
              <w:rPr>
                <w:rFonts w:hint="eastAsia" w:ascii="宋体" w:hAnsi="宋体" w:cs="宋体"/>
                <w:color w:val="000000"/>
                <w:kern w:val="0"/>
                <w:sz w:val="24"/>
              </w:rPr>
              <w:t>.</w:t>
            </w:r>
            <w:r>
              <w:rPr>
                <w:rFonts w:ascii="宋体" w:hAnsi="宋体" w:cs="宋体"/>
                <w:color w:val="000000"/>
                <w:kern w:val="0"/>
                <w:sz w:val="24"/>
              </w:rPr>
              <w:t>06</w:t>
            </w:r>
            <w:r>
              <w:rPr>
                <w:rFonts w:hint="eastAsia" w:ascii="宋体" w:hAnsi="宋体" w:cs="宋体"/>
                <w:color w:val="000000"/>
                <w:sz w:val="24"/>
              </w:rPr>
              <w:t>万元</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经济效益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利于梨园村农副产品的运输，促进群众增收致富。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利于梨园村农副产品的运输，促进群众增收致富。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利于梨园村农副产品的运输，促进群众增收致富。</w:t>
            </w:r>
          </w:p>
        </w:tc>
      </w:tr>
      <w:tr>
        <w:tblPrEx>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社会效益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方便梨园村群众出行，利于梨园村农副产品的运输</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方便梨园村群众出行，利于梨园村农副产品的运输</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方便梨园村群众出行，利于梨园村农副产品的运输</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生态效益</w:t>
            </w:r>
          </w:p>
          <w:p>
            <w:pPr>
              <w:widowControl/>
              <w:jc w:val="center"/>
              <w:textAlignment w:val="center"/>
              <w:rPr>
                <w:rFonts w:ascii="宋体"/>
                <w:color w:val="000000"/>
                <w:sz w:val="24"/>
              </w:rPr>
            </w:pPr>
            <w:r>
              <w:rPr>
                <w:rFonts w:hint="eastAsia" w:ascii="宋体" w:hAnsi="宋体" w:cs="宋体"/>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优化生态环境建设，提高环境质量</w:t>
            </w:r>
          </w:p>
        </w:tc>
      </w:tr>
      <w:tr>
        <w:tblPrEx>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完善梨园村基础设施</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color w:val="000000"/>
                <w:sz w:val="24"/>
              </w:rPr>
            </w:pPr>
            <w:r>
              <w:rPr>
                <w:rFonts w:hint="eastAsia" w:ascii="宋体" w:hAnsi="宋体" w:cs="宋体"/>
                <w:color w:val="000000"/>
                <w:sz w:val="24"/>
              </w:rPr>
              <w:t>完善梨园村基础设施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color w:val="000000"/>
                <w:sz w:val="24"/>
              </w:rPr>
            </w:pPr>
            <w:r>
              <w:rPr>
                <w:rFonts w:hint="eastAsia" w:ascii="宋体" w:hAnsi="宋体" w:cs="宋体"/>
                <w:color w:val="000000"/>
                <w:sz w:val="24"/>
              </w:rPr>
              <w:t>完善梨园村基础设施</w:t>
            </w:r>
          </w:p>
        </w:tc>
      </w:tr>
      <w:tr>
        <w:tblPrEx>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hint="eastAsia" w:ascii="宋体" w:hAnsi="宋体" w:cs="宋体"/>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color w:val="000000"/>
                <w:sz w:val="24"/>
              </w:rPr>
            </w:pPr>
            <w:r>
              <w:rPr>
                <w:rFonts w:ascii="宋体" w:hAnsi="宋体" w:cs="宋体"/>
                <w:color w:val="000000"/>
                <w:kern w:val="0"/>
                <w:sz w:val="24"/>
              </w:rPr>
              <w:t>100%</w:t>
            </w:r>
          </w:p>
        </w:tc>
      </w:tr>
    </w:tbl>
    <w:p>
      <w:pPr>
        <w:spacing w:line="600" w:lineRule="exact"/>
        <w:ind w:firstLine="640" w:firstLineChars="200"/>
        <w:outlineLvl w:val="1"/>
        <w:rPr>
          <w:rFonts w:ascii="楷体" w:hAnsi="楷体" w:eastAsia="楷体" w:cs="楷体"/>
          <w:sz w:val="32"/>
          <w:szCs w:val="32"/>
        </w:rPr>
      </w:pPr>
      <w:r>
        <w:rPr>
          <w:rFonts w:hint="eastAsia" w:ascii="楷体" w:hAnsi="楷体" w:eastAsia="楷体" w:cs="楷体"/>
          <w:sz w:val="32"/>
          <w:szCs w:val="32"/>
        </w:rPr>
        <w:t>2.部门开展绩效评价结果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年部门整体支出绩效评价情况开展自评，《茂县凤仪镇人民政府</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年部门整体支出绩效评价报告》见附件。</w:t>
      </w:r>
    </w:p>
    <w:p>
      <w:pPr>
        <w:pStyle w:val="31"/>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本单位自行组织对“凤仪镇甘清村堡坎项目”“</w:t>
      </w:r>
      <w:r>
        <w:rPr>
          <w:rFonts w:hint="eastAsia" w:ascii="仿宋_GB2312" w:hAnsi="仿宋" w:eastAsia="仿宋_GB2312" w:cs="Times New Roman"/>
          <w:color w:val="auto"/>
          <w:kern w:val="2"/>
          <w:sz w:val="32"/>
          <w:szCs w:val="32"/>
          <w:lang w:val="zh-CN"/>
        </w:rPr>
        <w:t xml:space="preserve"> 宗渠村挡土墙项目</w:t>
      </w:r>
      <w:r>
        <w:rPr>
          <w:rFonts w:hint="eastAsia" w:ascii="仿宋_GB2312" w:hAnsi="仿宋_GB2312" w:eastAsia="仿宋_GB2312" w:cs="仿宋_GB2312"/>
          <w:sz w:val="32"/>
          <w:szCs w:val="32"/>
        </w:rPr>
        <w:t>”“</w:t>
      </w:r>
      <w:r>
        <w:t xml:space="preserve"> </w:t>
      </w:r>
      <w:r>
        <w:rPr>
          <w:rFonts w:hint="eastAsia" w:ascii="仿宋_GB2312" w:eastAsia="仿宋_GB2312" w:cs="仿宋_GB2312"/>
          <w:sz w:val="32"/>
          <w:szCs w:val="32"/>
        </w:rPr>
        <w:t>基层组织活动和公共服务运行经费</w:t>
      </w:r>
      <w:r>
        <w:rPr>
          <w:rFonts w:hint="eastAsia" w:ascii="仿宋_GB2312" w:hAnsi="仿宋_GB2312" w:eastAsia="仿宋_GB2312" w:cs="仿宋_GB2312"/>
          <w:sz w:val="32"/>
          <w:szCs w:val="32"/>
        </w:rPr>
        <w:t>”“</w:t>
      </w:r>
      <w:r>
        <w:rPr>
          <w:rFonts w:hint="eastAsia"/>
        </w:rPr>
        <w:t xml:space="preserve"> </w:t>
      </w:r>
      <w:r>
        <w:rPr>
          <w:rFonts w:hint="eastAsia" w:ascii="仿宋_GB2312" w:hAnsi="仿宋_GB2312" w:eastAsia="仿宋_GB2312" w:cs="仿宋_GB2312"/>
          <w:sz w:val="32"/>
          <w:szCs w:val="32"/>
        </w:rPr>
        <w:t>南店村美丽新村建设资金”“</w:t>
      </w:r>
      <w:r>
        <w:rPr>
          <w:rFonts w:hint="eastAsia"/>
        </w:rPr>
        <w:t xml:space="preserve"> </w:t>
      </w:r>
      <w:r>
        <w:rPr>
          <w:rFonts w:hint="eastAsia" w:ascii="仿宋_GB2312" w:hAnsi="仿宋_GB2312" w:eastAsia="仿宋_GB2312" w:cs="仿宋_GB2312"/>
          <w:sz w:val="32"/>
          <w:szCs w:val="32"/>
        </w:rPr>
        <w:t>梨园桥梁建设项目”</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个项目的绩效评价。</w:t>
      </w: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p>
    <w:p>
      <w:pPr>
        <w:spacing w:line="600" w:lineRule="exact"/>
        <w:jc w:val="center"/>
        <w:outlineLvl w:val="0"/>
        <w:rPr>
          <w:rFonts w:ascii="方正小标宋简体" w:hAnsi="方正小标宋简体" w:eastAsia="方正小标宋简体" w:cs="方正小标宋简体"/>
          <w:kern w:val="44"/>
          <w:sz w:val="44"/>
          <w:szCs w:val="44"/>
        </w:rPr>
      </w:pPr>
      <w:bookmarkStart w:id="50" w:name="_Toc15377225"/>
      <w:bookmarkStart w:id="51" w:name="_Toc15396613"/>
      <w:r>
        <w:rPr>
          <w:rFonts w:hint="eastAsia" w:ascii="方正小标宋简体" w:hAnsi="方正小标宋简体" w:eastAsia="方正小标宋简体" w:cs="方正小标宋简体"/>
          <w:color w:val="000000"/>
          <w:sz w:val="44"/>
          <w:szCs w:val="44"/>
        </w:rPr>
        <w:t>第三部分 名</w:t>
      </w:r>
      <w:r>
        <w:rPr>
          <w:rStyle w:val="24"/>
          <w:rFonts w:hint="eastAsia" w:ascii="方正小标宋简体" w:hAnsi="方正小标宋简体" w:eastAsia="方正小标宋简体" w:cs="方正小标宋简体"/>
        </w:rPr>
        <w:t>词解释</w:t>
      </w:r>
      <w:bookmarkEnd w:id="50"/>
      <w:bookmarkEnd w:id="51"/>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76"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atLeast"/>
        <w:ind w:firstLine="640" w:firstLineChars="200"/>
        <w:rPr>
          <w:rStyle w:val="14"/>
          <w:rFonts w:ascii="仿宋_GB2312" w:hAnsi="仿宋_GB2312" w:eastAsia="仿宋_GB2312"/>
          <w:b w:val="0"/>
          <w:color w:val="0000FF"/>
          <w:sz w:val="32"/>
          <w:szCs w:val="32"/>
        </w:rPr>
      </w:pPr>
      <w:r>
        <w:rPr>
          <w:rStyle w:val="14"/>
          <w:rFonts w:ascii="仿宋_GB2312" w:hAnsi="仿宋_GB2312" w:eastAsia="仿宋_GB2312" w:cs="仿宋_GB2312"/>
          <w:b w:val="0"/>
          <w:color w:val="000000"/>
          <w:sz w:val="32"/>
          <w:szCs w:val="32"/>
        </w:rPr>
        <w:t>9.</w:t>
      </w:r>
      <w:r>
        <w:rPr>
          <w:rStyle w:val="14"/>
          <w:rFonts w:hint="eastAsia" w:ascii="仿宋_GB2312" w:hAnsi="仿宋_GB2312" w:eastAsia="仿宋_GB2312" w:cs="仿宋_GB2312"/>
          <w:b w:val="0"/>
          <w:color w:val="000000"/>
          <w:sz w:val="32"/>
          <w:szCs w:val="32"/>
        </w:rPr>
        <w:t>一般公共服务（类）人大事务（款）人大会议（项）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color w:val="0000FF"/>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10.</w:t>
      </w:r>
      <w:r>
        <w:rPr>
          <w:rStyle w:val="14"/>
          <w:rFonts w:hint="eastAsia" w:ascii="仿宋_GB2312" w:hAnsi="仿宋_GB2312" w:eastAsia="仿宋_GB2312" w:cs="仿宋_GB2312"/>
          <w:b w:val="0"/>
          <w:color w:val="000000"/>
          <w:sz w:val="32"/>
          <w:szCs w:val="32"/>
        </w:rPr>
        <w:t>一般公共服务（类）政府办公厅（室）及相关机构事务（款）行政运行（项）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11.</w:t>
      </w:r>
      <w:r>
        <w:rPr>
          <w:rStyle w:val="14"/>
          <w:rFonts w:hint="eastAsia" w:ascii="仿宋_GB2312" w:hAnsi="仿宋_GB2312" w:eastAsia="仿宋_GB2312" w:cs="仿宋_GB2312"/>
          <w:b w:val="0"/>
          <w:color w:val="000000"/>
          <w:sz w:val="32"/>
          <w:szCs w:val="32"/>
        </w:rPr>
        <w:t>一般公共服务（类）财政事务（款）事业运行（项）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12.</w:t>
      </w:r>
      <w:r>
        <w:rPr>
          <w:rStyle w:val="14"/>
          <w:rFonts w:hint="eastAsia" w:ascii="仿宋_GB2312" w:hAnsi="仿宋_GB2312" w:eastAsia="仿宋_GB2312" w:cs="仿宋_GB2312"/>
          <w:b w:val="0"/>
          <w:color w:val="000000"/>
          <w:sz w:val="32"/>
          <w:szCs w:val="32"/>
        </w:rPr>
        <w:t>一般公共服务（类）民族事务（款）其他民族事务支出（项）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13.</w:t>
      </w:r>
      <w:r>
        <w:rPr>
          <w:rStyle w:val="14"/>
          <w:rFonts w:hint="eastAsia" w:ascii="仿宋_GB2312" w:hAnsi="仿宋_GB2312" w:eastAsia="仿宋_GB2312" w:cs="仿宋_GB2312"/>
          <w:b w:val="0"/>
          <w:color w:val="000000"/>
          <w:sz w:val="32"/>
          <w:szCs w:val="32"/>
        </w:rPr>
        <w:t>一般公共服务（类）党委办公厅（室）及相关机构事务（款）行政运行（项）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14.</w:t>
      </w:r>
      <w:r>
        <w:rPr>
          <w:rStyle w:val="14"/>
          <w:rFonts w:hint="eastAsia" w:ascii="仿宋_GB2312" w:hAnsi="仿宋_GB2312" w:eastAsia="仿宋_GB2312" w:cs="仿宋_GB2312"/>
          <w:b w:val="0"/>
          <w:color w:val="000000"/>
          <w:sz w:val="32"/>
          <w:szCs w:val="32"/>
        </w:rPr>
        <w:t>国防支出（类）其他国防支出（款）其他国防支出（项）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w:t>
      </w:r>
      <w:r>
        <w:rPr>
          <w:rStyle w:val="14"/>
          <w:rFonts w:hint="eastAsia" w:ascii="仿宋_GB2312" w:hAnsi="仿宋_GB2312" w:eastAsia="仿宋_GB2312" w:cs="仿宋_GB2312"/>
          <w:b w:val="0"/>
          <w:color w:val="000000"/>
          <w:sz w:val="32"/>
          <w:szCs w:val="32"/>
        </w:rPr>
        <w:t>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社会保障和就业（类）社会福利（款）老年福利（项）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社会保障和就业（类）社会福利（款）其他社会福利支出（项）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医疗卫生与计划生育（类）基层医疗卫生机构（款）镇镇卫生院（项）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20</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21</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医疗卫生与计划生育（类）行政事业单位医疗（款）事业单位医疗（项）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22</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23</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农林水支出（类）农业（款）农业资源保护修复与利用（项）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24</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农林水支出（类）农业（款）其他农业支出（项）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农林水支出（类）扶贫（款）农村基础设施建设（项）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指用于农村贫困地区镇村道路、住房、基本农田、水利设施、人蓄饮水、生态环境保护等生产生活条件改善方面的支出。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农林水支出（类）农村综合改革（款）对村委会和村党支部的补助（项）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农林水支出（类）其他农林水支出（款）其他农林水支出（项）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color w:val="000000"/>
          <w:sz w:val="32"/>
          <w:szCs w:val="32"/>
        </w:rPr>
        <w:t>29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住房保障支出（类）住房改革支出（款）住房公积金（</w:t>
      </w:r>
      <w:r>
        <w:rPr>
          <w:rStyle w:val="14"/>
          <w:rFonts w:ascii="仿宋_GB2312" w:hAnsi="仿宋_GB2312" w:eastAsia="仿宋_GB2312" w:cs="仿宋_GB2312"/>
          <w:b w:val="0"/>
          <w:color w:val="000000"/>
          <w:sz w:val="32"/>
          <w:szCs w:val="32"/>
        </w:rPr>
        <w:t>01</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32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76" w:lineRule="exact"/>
        <w:ind w:firstLine="640" w:firstLineChars="200"/>
        <w:jc w:val="both"/>
        <w:rPr>
          <w:rFonts w:ascii="仿宋_GB2312" w:eastAsia="仿宋_GB2312"/>
          <w:sz w:val="32"/>
          <w:szCs w:val="32"/>
        </w:rPr>
      </w:pPr>
      <w:r>
        <w:rPr>
          <w:rFonts w:hint="eastAsia" w:ascii="仿宋_GB2312" w:eastAsia="仿宋_GB2312"/>
          <w:sz w:val="32"/>
          <w:szCs w:val="32"/>
        </w:rPr>
        <w:t>34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4"/>
          <w:rFonts w:hint="eastAsia" w:ascii="方正小标宋简体" w:hAnsi="方正小标宋简体" w:eastAsia="方正小标宋简体" w:cs="方正小标宋简体"/>
          <w:b/>
          <w:bCs/>
        </w:rPr>
      </w:pPr>
      <w:bookmarkStart w:id="52" w:name="_Toc15377226"/>
      <w:r>
        <w:rPr>
          <w:rFonts w:ascii="宋体"/>
          <w:b/>
          <w:bCs/>
          <w:color w:val="000000"/>
          <w:sz w:val="44"/>
          <w:szCs w:val="44"/>
        </w:rPr>
        <w:br w:type="page"/>
      </w:r>
      <w:bookmarkStart w:id="53" w:name="_Toc15396614"/>
      <w:r>
        <w:rPr>
          <w:rFonts w:hint="eastAsia" w:ascii="方正小标宋简体" w:hAnsi="方正小标宋简体" w:eastAsia="方正小标宋简体" w:cs="方正小标宋简体"/>
          <w:b/>
          <w:bCs/>
          <w:color w:val="000000"/>
          <w:sz w:val="44"/>
          <w:szCs w:val="44"/>
        </w:rPr>
        <w:t xml:space="preserve">第四部分 </w:t>
      </w:r>
      <w:r>
        <w:rPr>
          <w:rStyle w:val="24"/>
          <w:rFonts w:hint="eastAsia" w:ascii="方正小标宋简体" w:hAnsi="方正小标宋简体" w:eastAsia="方正小标宋简体" w:cs="方正小标宋简体"/>
          <w:b/>
          <w:bCs/>
        </w:rPr>
        <w:t>附件</w:t>
      </w:r>
      <w:bookmarkEnd w:id="53"/>
    </w:p>
    <w:p>
      <w:pPr>
        <w:spacing w:line="600" w:lineRule="exact"/>
        <w:jc w:val="center"/>
        <w:outlineLvl w:val="0"/>
        <w:rPr>
          <w:rStyle w:val="24"/>
          <w:rFonts w:hint="eastAsia" w:ascii="方正小标宋简体" w:hAnsi="方正小标宋简体" w:eastAsia="方正小标宋简体" w:cs="方正小标宋简体"/>
          <w:b/>
          <w:bCs/>
        </w:rPr>
      </w:pPr>
    </w:p>
    <w:p>
      <w:pPr>
        <w:spacing w:line="600" w:lineRule="exact"/>
        <w:jc w:val="center"/>
        <w:outlineLvl w:val="0"/>
        <w:rPr>
          <w:rFonts w:ascii="方正小标宋简体" w:hAnsi="方正小标宋简体" w:eastAsia="方正小标宋简体" w:cs="方正小标宋简体"/>
          <w:sz w:val="44"/>
          <w:szCs w:val="44"/>
        </w:rPr>
      </w:pPr>
      <w:bookmarkStart w:id="54" w:name="_Toc15396616"/>
      <w:r>
        <w:rPr>
          <w:rFonts w:hint="eastAsia" w:ascii="方正小标宋简体" w:hAnsi="方正小标宋简体" w:eastAsia="方正小标宋简体" w:cs="方正小标宋简体"/>
          <w:sz w:val="44"/>
          <w:szCs w:val="44"/>
        </w:rPr>
        <w:t>茂县凤仪镇人民政府</w:t>
      </w:r>
    </w:p>
    <w:p>
      <w:pPr>
        <w:spacing w:line="60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2019年部门整体支出绩效评价报告</w:t>
      </w:r>
      <w:bookmarkEnd w:id="54"/>
    </w:p>
    <w:p>
      <w:pPr>
        <w:spacing w:line="600" w:lineRule="exact"/>
        <w:jc w:val="center"/>
        <w:outlineLvl w:val="0"/>
        <w:rPr>
          <w:rFonts w:hint="eastAsia" w:ascii="方正小标宋简体" w:hAnsi="方正小标宋简体" w:eastAsia="方正小标宋简体" w:cs="方正小标宋简体"/>
          <w:sz w:val="44"/>
          <w:szCs w:val="44"/>
        </w:rPr>
      </w:pPr>
    </w:p>
    <w:p>
      <w:pPr>
        <w:pStyle w:val="3"/>
        <w:pageBreakBefore w:val="0"/>
        <w:kinsoku/>
        <w:wordWrap/>
        <w:overflowPunct/>
        <w:topLinePunct w:val="0"/>
        <w:autoSpaceDE/>
        <w:autoSpaceDN/>
        <w:bidi w:val="0"/>
        <w:spacing w:before="0" w:after="0" w:line="576" w:lineRule="exact"/>
        <w:ind w:firstLine="640" w:firstLineChars="200"/>
        <w:textAlignment w:val="auto"/>
        <w:rPr>
          <w:rFonts w:ascii="仿宋" w:hAnsi="仿宋" w:eastAsia="仿宋" w:cs="Times New Roman"/>
          <w:b w:val="0"/>
          <w:bCs w:val="0"/>
          <w:color w:val="000000"/>
        </w:rPr>
      </w:pPr>
      <w:r>
        <w:rPr>
          <w:rFonts w:hint="eastAsia" w:ascii="黑体" w:hAnsi="黑体" w:eastAsia="黑体" w:cs="黑体"/>
          <w:b w:val="0"/>
          <w:bCs w:val="0"/>
        </w:rPr>
        <w:t>一、部门（单位）概况</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ascii="楷体" w:hAnsi="楷体" w:eastAsia="楷体" w:cs="楷体"/>
          <w:b/>
          <w:bCs/>
          <w:sz w:val="32"/>
          <w:szCs w:val="32"/>
        </w:rPr>
      </w:pPr>
      <w:r>
        <w:rPr>
          <w:rFonts w:hint="eastAsia" w:ascii="楷体" w:hAnsi="楷体" w:eastAsia="楷体" w:cs="楷体"/>
          <w:b/>
          <w:bCs/>
          <w:sz w:val="32"/>
          <w:szCs w:val="32"/>
        </w:rPr>
        <w:t>（一）机构组成</w:t>
      </w:r>
    </w:p>
    <w:p>
      <w:pPr>
        <w:pStyle w:val="5"/>
        <w:pageBreakBefore w:val="0"/>
        <w:kinsoku/>
        <w:wordWrap/>
        <w:overflowPunct/>
        <w:topLinePunct w:val="0"/>
        <w:autoSpaceDE/>
        <w:autoSpaceDN/>
        <w:bidi w:val="0"/>
        <w:spacing w:beforeLines="0" w:line="576" w:lineRule="exact"/>
        <w:ind w:firstLine="640" w:firstLineChars="200"/>
        <w:textAlignment w:val="auto"/>
        <w:outlineLvl w:val="2"/>
        <w:rPr>
          <w:rFonts w:hAnsi="仿宋"/>
          <w:color w:val="000000"/>
          <w:kern w:val="2"/>
          <w:sz w:val="32"/>
          <w:szCs w:val="32"/>
        </w:rPr>
      </w:pPr>
      <w:r>
        <w:rPr>
          <w:rFonts w:hint="eastAsia" w:hAnsi="仿宋" w:cs="仿宋_GB2312"/>
          <w:color w:val="000000"/>
          <w:sz w:val="32"/>
          <w:szCs w:val="32"/>
          <w:shd w:val="clear" w:color="auto" w:fill="FFFFFF"/>
          <w:lang w:val="zh-CN"/>
        </w:rPr>
        <w:t>茂县凤仪镇人民政府内设机构</w:t>
      </w:r>
      <w:r>
        <w:rPr>
          <w:rFonts w:hint="eastAsia" w:hAnsi="仿宋" w:cs="仿宋_GB2312"/>
          <w:color w:val="000000"/>
          <w:sz w:val="32"/>
          <w:szCs w:val="32"/>
          <w:shd w:val="clear" w:color="auto" w:fill="FFFFFF"/>
        </w:rPr>
        <w:t>9</w:t>
      </w:r>
      <w:r>
        <w:rPr>
          <w:rFonts w:hint="eastAsia" w:hAnsi="仿宋" w:cs="仿宋_GB2312"/>
          <w:color w:val="000000"/>
          <w:sz w:val="32"/>
          <w:szCs w:val="32"/>
          <w:shd w:val="clear" w:color="auto" w:fill="FFFFFF"/>
          <w:lang w:eastAsia="zh-CN"/>
        </w:rPr>
        <w:t>个</w:t>
      </w:r>
      <w:r>
        <w:rPr>
          <w:rFonts w:hint="eastAsia" w:hAnsi="仿宋" w:cs="仿宋_GB2312"/>
          <w:color w:val="000000"/>
          <w:sz w:val="32"/>
          <w:szCs w:val="32"/>
          <w:shd w:val="clear" w:color="auto" w:fill="FFFFFF"/>
        </w:rPr>
        <w:t>办</w:t>
      </w:r>
      <w:r>
        <w:rPr>
          <w:rFonts w:hint="eastAsia" w:hAnsi="仿宋" w:cs="仿宋_GB2312"/>
          <w:color w:val="000000"/>
          <w:sz w:val="32"/>
          <w:szCs w:val="32"/>
          <w:shd w:val="clear" w:color="auto" w:fill="FFFFFF"/>
          <w:lang w:eastAsia="zh-CN"/>
        </w:rPr>
        <w:t>办公室</w:t>
      </w:r>
      <w:r>
        <w:rPr>
          <w:rFonts w:hint="eastAsia" w:hAnsi="仿宋_GB2312" w:cs="仿宋_GB2312"/>
          <w:sz w:val="32"/>
          <w:szCs w:val="32"/>
          <w:lang w:val="zh-CN"/>
        </w:rPr>
        <w:t>事业机构5个</w:t>
      </w:r>
      <w:r>
        <w:rPr>
          <w:rFonts w:hint="eastAsia" w:hAnsi="仿宋" w:cs="仿宋_GB2312"/>
          <w:color w:val="000000"/>
          <w:sz w:val="32"/>
          <w:szCs w:val="32"/>
          <w:shd w:val="clear" w:color="auto" w:fill="FFFFFF"/>
        </w:rPr>
        <w:t>，</w:t>
      </w:r>
      <w:r>
        <w:rPr>
          <w:rFonts w:hint="eastAsia" w:hAnsi="仿宋"/>
          <w:color w:val="000000"/>
          <w:kern w:val="2"/>
          <w:sz w:val="32"/>
          <w:szCs w:val="32"/>
        </w:rPr>
        <w:t>党政办公室、党建办公室、</w:t>
      </w:r>
      <w:r>
        <w:rPr>
          <w:rFonts w:hint="eastAsia"/>
          <w:color w:val="000000"/>
          <w:sz w:val="32"/>
          <w:szCs w:val="32"/>
        </w:rPr>
        <w:t>维护稳定</w:t>
      </w:r>
      <w:r>
        <w:rPr>
          <w:rFonts w:hint="eastAsia" w:hAnsi="仿宋"/>
          <w:color w:val="000000"/>
          <w:kern w:val="2"/>
          <w:sz w:val="32"/>
          <w:szCs w:val="32"/>
        </w:rPr>
        <w:t>办公室、</w:t>
      </w:r>
      <w:r>
        <w:rPr>
          <w:rFonts w:hint="eastAsia"/>
          <w:color w:val="000000"/>
          <w:sz w:val="32"/>
          <w:szCs w:val="32"/>
        </w:rPr>
        <w:t>经济发展和乡村振兴</w:t>
      </w:r>
      <w:r>
        <w:rPr>
          <w:rFonts w:hint="eastAsia" w:hAnsi="仿宋"/>
          <w:color w:val="000000"/>
          <w:kern w:val="2"/>
          <w:sz w:val="32"/>
          <w:szCs w:val="32"/>
        </w:rPr>
        <w:t>办公室、</w:t>
      </w:r>
      <w:r>
        <w:rPr>
          <w:rFonts w:hint="eastAsia"/>
          <w:color w:val="000000"/>
          <w:sz w:val="32"/>
          <w:szCs w:val="32"/>
        </w:rPr>
        <w:t>社会事务和应急管理</w:t>
      </w:r>
      <w:r>
        <w:rPr>
          <w:rFonts w:hint="eastAsia" w:hAnsi="仿宋"/>
          <w:color w:val="000000"/>
          <w:kern w:val="2"/>
          <w:sz w:val="32"/>
          <w:szCs w:val="32"/>
        </w:rPr>
        <w:t>办公室、</w:t>
      </w:r>
      <w:r>
        <w:rPr>
          <w:rFonts w:hint="eastAsia"/>
          <w:color w:val="000000"/>
          <w:sz w:val="32"/>
          <w:szCs w:val="32"/>
        </w:rPr>
        <w:t>综合行政执法</w:t>
      </w:r>
      <w:r>
        <w:rPr>
          <w:rFonts w:hint="eastAsia" w:hAnsi="仿宋"/>
          <w:color w:val="000000"/>
          <w:kern w:val="2"/>
          <w:sz w:val="32"/>
          <w:szCs w:val="32"/>
        </w:rPr>
        <w:t>办公室、</w:t>
      </w:r>
      <w:r>
        <w:rPr>
          <w:rFonts w:hint="eastAsia"/>
          <w:color w:val="000000"/>
          <w:sz w:val="32"/>
          <w:szCs w:val="32"/>
        </w:rPr>
        <w:t>财经审查工作</w:t>
      </w:r>
      <w:r>
        <w:rPr>
          <w:rFonts w:hint="eastAsia" w:hAnsi="仿宋"/>
          <w:color w:val="000000"/>
          <w:kern w:val="2"/>
          <w:sz w:val="32"/>
          <w:szCs w:val="32"/>
        </w:rPr>
        <w:t>办公室、生态环境办公室、村镇规划建设管理办公室、</w:t>
      </w:r>
      <w:r>
        <w:rPr>
          <w:rFonts w:hint="eastAsia"/>
          <w:color w:val="000000"/>
          <w:sz w:val="32"/>
          <w:szCs w:val="32"/>
        </w:rPr>
        <w:t>便民服务中心</w:t>
      </w:r>
      <w:r>
        <w:rPr>
          <w:rFonts w:hint="eastAsia" w:hAnsi="仿宋"/>
          <w:color w:val="000000"/>
          <w:kern w:val="2"/>
          <w:sz w:val="32"/>
          <w:szCs w:val="32"/>
        </w:rPr>
        <w:t>、</w:t>
      </w:r>
      <w:r>
        <w:rPr>
          <w:rFonts w:hint="eastAsia"/>
          <w:color w:val="000000"/>
          <w:sz w:val="32"/>
          <w:szCs w:val="32"/>
        </w:rPr>
        <w:t>经济发展服务中心</w:t>
      </w:r>
      <w:r>
        <w:rPr>
          <w:rFonts w:hint="eastAsia" w:hAnsi="仿宋"/>
          <w:color w:val="000000"/>
          <w:kern w:val="2"/>
          <w:sz w:val="32"/>
          <w:szCs w:val="32"/>
        </w:rPr>
        <w:t>、</w:t>
      </w:r>
      <w:r>
        <w:rPr>
          <w:rFonts w:hint="eastAsia"/>
          <w:color w:val="000000"/>
          <w:sz w:val="32"/>
          <w:szCs w:val="32"/>
        </w:rPr>
        <w:t>农业农村服务中心</w:t>
      </w:r>
      <w:r>
        <w:rPr>
          <w:rFonts w:hint="eastAsia" w:hAnsi="仿宋"/>
          <w:color w:val="000000"/>
          <w:kern w:val="2"/>
          <w:sz w:val="32"/>
          <w:szCs w:val="32"/>
        </w:rPr>
        <w:t>、</w:t>
      </w:r>
      <w:r>
        <w:rPr>
          <w:rFonts w:hint="eastAsia"/>
          <w:color w:val="000000"/>
          <w:sz w:val="32"/>
          <w:szCs w:val="32"/>
        </w:rPr>
        <w:t>综合文化服务中心</w:t>
      </w:r>
      <w:r>
        <w:rPr>
          <w:rFonts w:hint="eastAsia" w:hAnsi="仿宋"/>
          <w:color w:val="000000"/>
          <w:kern w:val="2"/>
          <w:sz w:val="32"/>
          <w:szCs w:val="32"/>
        </w:rPr>
        <w:t>、</w:t>
      </w:r>
      <w:r>
        <w:rPr>
          <w:rFonts w:hint="eastAsia"/>
          <w:color w:val="000000"/>
          <w:sz w:val="32"/>
          <w:szCs w:val="32"/>
        </w:rPr>
        <w:t>城乡融合发展中心</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（二）机构职能</w:t>
      </w:r>
    </w:p>
    <w:p>
      <w:pPr>
        <w:pStyle w:val="5"/>
        <w:pageBreakBefore w:val="0"/>
        <w:kinsoku/>
        <w:wordWrap/>
        <w:overflowPunct/>
        <w:topLinePunct w:val="0"/>
        <w:autoSpaceDE/>
        <w:autoSpaceDN/>
        <w:bidi w:val="0"/>
        <w:adjustRightInd w:val="0"/>
        <w:snapToGrid w:val="0"/>
        <w:spacing w:beforeLines="0" w:line="576" w:lineRule="exact"/>
        <w:ind w:firstLine="640" w:firstLineChars="200"/>
        <w:textAlignment w:val="auto"/>
        <w:rPr>
          <w:rFonts w:hAnsi="仿宋"/>
          <w:sz w:val="32"/>
          <w:szCs w:val="32"/>
        </w:rPr>
      </w:pPr>
      <w:r>
        <w:rPr>
          <w:rFonts w:hint="eastAsia" w:hAnsi="宋体"/>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（三）人员概况</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我单位2019年年末在职职工52人，其中行政34人</w:t>
      </w:r>
    </w:p>
    <w:p>
      <w:pPr>
        <w:pageBreakBefore w:val="0"/>
        <w:kinsoku/>
        <w:wordWrap/>
        <w:overflowPunct/>
        <w:topLinePunct w:val="0"/>
        <w:autoSpaceDE/>
        <w:autoSpaceDN/>
        <w:bidi w:val="0"/>
        <w:spacing w:line="576" w:lineRule="exact"/>
        <w:textAlignment w:val="auto"/>
        <w:rPr>
          <w:rFonts w:ascii="仿宋_GB2312" w:hAnsi="仿宋" w:eastAsia="仿宋_GB2312"/>
          <w:color w:val="000000"/>
          <w:sz w:val="32"/>
          <w:szCs w:val="32"/>
        </w:rPr>
      </w:pPr>
      <w:r>
        <w:rPr>
          <w:rFonts w:hint="eastAsia" w:ascii="仿宋_GB2312" w:hAnsi="仿宋" w:eastAsia="仿宋_GB2312"/>
          <w:color w:val="000000"/>
          <w:sz w:val="32"/>
          <w:szCs w:val="32"/>
        </w:rPr>
        <w:t>(含行政工勤7人)，事业18人。退休职工36人，遗嘱人员15人，大学生村官1人。</w:t>
      </w:r>
    </w:p>
    <w:p>
      <w:pPr>
        <w:pStyle w:val="3"/>
        <w:pageBreakBefore w:val="0"/>
        <w:kinsoku/>
        <w:wordWrap/>
        <w:overflowPunct/>
        <w:topLinePunct w:val="0"/>
        <w:autoSpaceDE/>
        <w:autoSpaceDN/>
        <w:bidi w:val="0"/>
        <w:spacing w:before="0" w:after="0" w:line="576" w:lineRule="exact"/>
        <w:ind w:firstLine="960" w:firstLineChars="300"/>
        <w:textAlignment w:val="auto"/>
        <w:rPr>
          <w:rFonts w:ascii="黑体" w:hAnsi="黑体" w:eastAsia="黑体" w:cs="Times New Roman"/>
          <w:b w:val="0"/>
          <w:bCs w:val="0"/>
        </w:rPr>
      </w:pPr>
      <w:r>
        <w:rPr>
          <w:rFonts w:hint="eastAsia" w:ascii="黑体" w:hAnsi="黑体" w:eastAsia="黑体" w:cs="黑体"/>
          <w:b w:val="0"/>
          <w:bCs w:val="0"/>
        </w:rPr>
        <w:t>二、部门财政资金收支情况</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ageBreakBefore w:val="0"/>
        <w:widowControl/>
        <w:kinsoku/>
        <w:wordWrap/>
        <w:overflowPunct/>
        <w:topLinePunct w:val="0"/>
        <w:autoSpaceDE/>
        <w:autoSpaceDN/>
        <w:bidi w:val="0"/>
        <w:adjustRightInd w:val="0"/>
        <w:snapToGrid w:val="0"/>
        <w:spacing w:line="576" w:lineRule="exact"/>
        <w:ind w:firstLine="640" w:firstLineChars="200"/>
        <w:textAlignment w:val="auto"/>
        <w:rPr>
          <w:rFonts w:ascii="仿宋_GB2312" w:hAnsi="仿宋" w:eastAsia="仿宋_GB2312"/>
          <w:sz w:val="32"/>
          <w:szCs w:val="32"/>
        </w:rPr>
      </w:pPr>
      <w:r>
        <w:rPr>
          <w:rFonts w:ascii="仿宋_GB2312" w:hAnsi="仿宋" w:eastAsia="仿宋_GB2312" w:cs="仿宋_GB2312"/>
          <w:sz w:val="32"/>
          <w:szCs w:val="32"/>
        </w:rPr>
        <w:t>201</w:t>
      </w:r>
      <w:r>
        <w:rPr>
          <w:rFonts w:hint="eastAsia" w:ascii="仿宋_GB2312" w:hAnsi="仿宋" w:eastAsia="仿宋_GB2312" w:cs="仿宋_GB2312"/>
          <w:sz w:val="32"/>
          <w:szCs w:val="32"/>
        </w:rPr>
        <w:t>9年收入</w:t>
      </w:r>
      <w:r>
        <w:rPr>
          <w:rFonts w:ascii="仿宋_GB2312" w:hAnsi="仿宋" w:eastAsia="仿宋_GB2312" w:cs="仿宋_GB2312"/>
          <w:sz w:val="32"/>
          <w:szCs w:val="32"/>
        </w:rPr>
        <w:t>3005</w:t>
      </w:r>
      <w:r>
        <w:rPr>
          <w:rFonts w:hint="eastAsia" w:ascii="仿宋_GB2312" w:hAnsi="仿宋" w:eastAsia="仿宋_GB2312" w:cs="仿宋_GB2312"/>
          <w:sz w:val="32"/>
          <w:szCs w:val="32"/>
        </w:rPr>
        <w:t>.</w:t>
      </w:r>
      <w:r>
        <w:rPr>
          <w:rFonts w:ascii="仿宋_GB2312" w:hAnsi="仿宋" w:eastAsia="仿宋_GB2312" w:cs="仿宋_GB2312"/>
          <w:sz w:val="32"/>
          <w:szCs w:val="32"/>
        </w:rPr>
        <w:t>8</w:t>
      </w:r>
      <w:r>
        <w:rPr>
          <w:rFonts w:hint="eastAsia" w:ascii="仿宋_GB2312" w:hAnsi="仿宋" w:eastAsia="仿宋_GB2312" w:cs="仿宋_GB2312"/>
          <w:sz w:val="32"/>
          <w:szCs w:val="32"/>
        </w:rPr>
        <w:t>6万元，其中：一般公共预算财政拨款收入</w:t>
      </w:r>
      <w:r>
        <w:rPr>
          <w:rFonts w:ascii="仿宋_GB2312" w:hAnsi="仿宋" w:eastAsia="仿宋_GB2312" w:cs="仿宋_GB2312"/>
          <w:sz w:val="32"/>
          <w:szCs w:val="32"/>
        </w:rPr>
        <w:t>2650.16</w:t>
      </w:r>
      <w:r>
        <w:rPr>
          <w:rFonts w:hint="eastAsia" w:ascii="仿宋_GB2312" w:hAnsi="仿宋" w:eastAsia="仿宋_GB2312" w:cs="仿宋_GB2312"/>
          <w:sz w:val="32"/>
          <w:szCs w:val="32"/>
        </w:rPr>
        <w:t>万元，政府性基金预算财政拨款</w:t>
      </w:r>
      <w:r>
        <w:rPr>
          <w:rFonts w:ascii="仿宋_GB2312" w:hAnsi="仿宋" w:eastAsia="仿宋_GB2312" w:cs="仿宋_GB2312"/>
          <w:sz w:val="32"/>
          <w:szCs w:val="32"/>
        </w:rPr>
        <w:t>355.7</w:t>
      </w:r>
      <w:r>
        <w:rPr>
          <w:rFonts w:hint="eastAsia" w:ascii="仿宋_GB2312" w:hAnsi="仿宋" w:eastAsia="仿宋_GB2312" w:cs="仿宋_GB2312"/>
          <w:sz w:val="32"/>
          <w:szCs w:val="32"/>
        </w:rPr>
        <w:t>0万元。</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（二）部门财政资金支出情况</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年凤仪镇人民政府支出总额为</w:t>
      </w:r>
      <w:r>
        <w:rPr>
          <w:rFonts w:ascii="仿宋_GB2312" w:hAnsi="仿宋" w:eastAsia="仿宋_GB2312" w:cs="仿宋_GB2312"/>
          <w:sz w:val="32"/>
          <w:szCs w:val="32"/>
        </w:rPr>
        <w:t>2674</w:t>
      </w: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5万</w:t>
      </w:r>
      <w:r>
        <w:rPr>
          <w:rFonts w:hint="eastAsia" w:ascii="仿宋_GB2312" w:hAnsi="仿宋" w:eastAsia="仿宋_GB2312" w:cs="仿宋_GB2312"/>
          <w:color w:val="000000"/>
          <w:kern w:val="0"/>
          <w:sz w:val="32"/>
          <w:szCs w:val="32"/>
        </w:rPr>
        <w:t>元，其中：当年财政基本支出</w:t>
      </w:r>
      <w:r>
        <w:rPr>
          <w:rFonts w:ascii="仿宋_GB2312" w:hAnsi="仿宋" w:eastAsia="仿宋_GB2312" w:cs="仿宋_GB2312"/>
          <w:sz w:val="32"/>
          <w:szCs w:val="32"/>
        </w:rPr>
        <w:t>959</w:t>
      </w:r>
      <w:r>
        <w:rPr>
          <w:rFonts w:hint="eastAsia" w:ascii="仿宋_GB2312" w:hAnsi="仿宋" w:eastAsia="仿宋_GB2312" w:cs="仿宋_GB2312"/>
          <w:sz w:val="32"/>
          <w:szCs w:val="32"/>
        </w:rPr>
        <w:t>.11</w:t>
      </w:r>
      <w:r>
        <w:rPr>
          <w:rFonts w:hint="eastAsia" w:ascii="仿宋_GB2312" w:hAnsi="仿宋" w:eastAsia="仿宋_GB2312" w:cs="仿宋_GB2312"/>
          <w:kern w:val="0"/>
          <w:sz w:val="32"/>
          <w:szCs w:val="32"/>
        </w:rPr>
        <w:t>万</w:t>
      </w:r>
      <w:r>
        <w:rPr>
          <w:rFonts w:hint="eastAsia" w:ascii="仿宋_GB2312" w:hAnsi="仿宋" w:eastAsia="仿宋_GB2312" w:cs="仿宋_GB2312"/>
          <w:color w:val="000000"/>
          <w:kern w:val="0"/>
          <w:sz w:val="32"/>
          <w:szCs w:val="32"/>
        </w:rPr>
        <w:t>元，项目支出</w:t>
      </w:r>
      <w:r>
        <w:rPr>
          <w:rFonts w:ascii="仿宋_GB2312" w:hAnsi="仿宋" w:eastAsia="仿宋_GB2312" w:cs="仿宋_GB2312"/>
          <w:color w:val="000000"/>
          <w:kern w:val="0"/>
          <w:sz w:val="32"/>
          <w:szCs w:val="32"/>
        </w:rPr>
        <w:t>1715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4万元。按功能分：一般公共服务</w:t>
      </w:r>
      <w:r>
        <w:rPr>
          <w:rFonts w:ascii="仿宋_GB2312" w:hAnsi="仿宋" w:eastAsia="仿宋_GB2312" w:cs="仿宋_GB2312"/>
          <w:color w:val="000000"/>
          <w:kern w:val="0"/>
          <w:sz w:val="32"/>
          <w:szCs w:val="32"/>
        </w:rPr>
        <w:t>605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6</w:t>
      </w:r>
      <w:r>
        <w:rPr>
          <w:rFonts w:hint="eastAsia" w:ascii="仿宋_GB2312" w:hAnsi="仿宋" w:eastAsia="仿宋_GB2312" w:cs="仿宋_GB2312"/>
          <w:color w:val="000000"/>
          <w:kern w:val="0"/>
          <w:sz w:val="32"/>
          <w:szCs w:val="32"/>
        </w:rPr>
        <w:t>1万元，国防支出</w:t>
      </w: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1万元，公共安全支出1.13万元，社会保障和就业</w:t>
      </w:r>
      <w:r>
        <w:rPr>
          <w:rFonts w:ascii="仿宋_GB2312" w:hAnsi="仿宋" w:eastAsia="仿宋_GB2312" w:cs="仿宋_GB2312"/>
          <w:color w:val="000000"/>
          <w:kern w:val="0"/>
          <w:sz w:val="32"/>
          <w:szCs w:val="32"/>
        </w:rPr>
        <w:t>190</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0</w:t>
      </w:r>
      <w:r>
        <w:rPr>
          <w:rFonts w:hint="eastAsia" w:ascii="仿宋_GB2312" w:hAnsi="仿宋" w:eastAsia="仿宋_GB2312" w:cs="仿宋_GB2312"/>
          <w:color w:val="000000"/>
          <w:kern w:val="0"/>
          <w:sz w:val="32"/>
          <w:szCs w:val="32"/>
        </w:rPr>
        <w:t>7万元，卫生健康支出49.11万元，城乡社区支出</w:t>
      </w:r>
      <w:r>
        <w:rPr>
          <w:rFonts w:ascii="仿宋_GB2312" w:hAnsi="仿宋" w:eastAsia="仿宋_GB2312" w:cs="仿宋_GB2312"/>
          <w:color w:val="000000"/>
          <w:kern w:val="0"/>
          <w:sz w:val="32"/>
          <w:szCs w:val="32"/>
        </w:rPr>
        <w:t>463</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7</w:t>
      </w:r>
      <w:r>
        <w:rPr>
          <w:rFonts w:hint="eastAsia" w:ascii="仿宋_GB2312" w:hAnsi="仿宋" w:eastAsia="仿宋_GB2312" w:cs="仿宋_GB2312"/>
          <w:color w:val="000000"/>
          <w:kern w:val="0"/>
          <w:sz w:val="32"/>
          <w:szCs w:val="32"/>
        </w:rPr>
        <w:t>6万元，农林水事务</w:t>
      </w:r>
      <w:r>
        <w:rPr>
          <w:rFonts w:ascii="仿宋_GB2312" w:hAnsi="仿宋" w:eastAsia="仿宋_GB2312" w:cs="仿宋_GB2312"/>
          <w:color w:val="000000"/>
          <w:kern w:val="0"/>
          <w:sz w:val="32"/>
          <w:szCs w:val="32"/>
        </w:rPr>
        <w:t>1006</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84</w:t>
      </w:r>
      <w:r>
        <w:rPr>
          <w:rFonts w:hint="eastAsia" w:ascii="仿宋_GB2312" w:hAnsi="仿宋" w:eastAsia="仿宋_GB2312" w:cs="仿宋_GB2312"/>
          <w:color w:val="000000"/>
          <w:kern w:val="0"/>
          <w:sz w:val="32"/>
          <w:szCs w:val="32"/>
        </w:rPr>
        <w:t>万元，住房保障支出</w:t>
      </w:r>
      <w:r>
        <w:rPr>
          <w:rFonts w:ascii="仿宋_GB2312" w:hAnsi="仿宋" w:eastAsia="仿宋_GB2312" w:cs="仿宋_GB2312"/>
          <w:color w:val="000000"/>
          <w:kern w:val="0"/>
          <w:sz w:val="32"/>
          <w:szCs w:val="32"/>
        </w:rPr>
        <w:t>68</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25</w:t>
      </w:r>
      <w:r>
        <w:rPr>
          <w:rFonts w:hint="eastAsia" w:ascii="仿宋_GB2312" w:hAnsi="仿宋" w:eastAsia="仿宋_GB2312" w:cs="仿宋_GB2312"/>
          <w:color w:val="000000"/>
          <w:kern w:val="0"/>
          <w:sz w:val="32"/>
          <w:szCs w:val="32"/>
        </w:rPr>
        <w:t>万元，其他支出</w:t>
      </w:r>
      <w:r>
        <w:rPr>
          <w:rFonts w:ascii="仿宋_GB2312" w:hAnsi="仿宋" w:eastAsia="仿宋_GB2312" w:cs="仿宋_GB2312"/>
          <w:color w:val="000000"/>
          <w:kern w:val="0"/>
          <w:sz w:val="32"/>
          <w:szCs w:val="32"/>
        </w:rPr>
        <w:t>286</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55</w:t>
      </w:r>
      <w:r>
        <w:rPr>
          <w:rFonts w:hint="eastAsia" w:ascii="仿宋_GB2312" w:hAnsi="仿宋" w:eastAsia="仿宋_GB2312" w:cs="仿宋_GB2312"/>
          <w:color w:val="000000"/>
          <w:kern w:val="0"/>
          <w:sz w:val="32"/>
          <w:szCs w:val="32"/>
        </w:rPr>
        <w:t>万元。</w:t>
      </w:r>
    </w:p>
    <w:p>
      <w:pPr>
        <w:pStyle w:val="3"/>
        <w:pageBreakBefore w:val="0"/>
        <w:numPr>
          <w:ilvl w:val="0"/>
          <w:numId w:val="1"/>
        </w:numPr>
        <w:kinsoku/>
        <w:wordWrap/>
        <w:overflowPunct/>
        <w:topLinePunct w:val="0"/>
        <w:autoSpaceDE/>
        <w:autoSpaceDN/>
        <w:bidi w:val="0"/>
        <w:spacing w:before="0" w:after="0" w:line="576" w:lineRule="exact"/>
        <w:ind w:firstLine="640" w:firstLineChars="200"/>
        <w:textAlignment w:val="auto"/>
        <w:rPr>
          <w:rFonts w:ascii="黑体" w:hAnsi="黑体" w:eastAsia="黑体" w:cs="黑体"/>
          <w:b w:val="0"/>
          <w:bCs w:val="0"/>
        </w:rPr>
      </w:pPr>
      <w:r>
        <w:rPr>
          <w:rFonts w:hint="eastAsia" w:ascii="黑体" w:hAnsi="黑体" w:eastAsia="黑体" w:cs="黑体"/>
          <w:b w:val="0"/>
          <w:bCs w:val="0"/>
        </w:rPr>
        <w:t>部门整体预算绩效管理情况</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（一）部门预算管理</w:t>
      </w:r>
    </w:p>
    <w:p>
      <w:pPr>
        <w:pageBreakBefore w:val="0"/>
        <w:widowControl/>
        <w:kinsoku/>
        <w:wordWrap/>
        <w:overflowPunct/>
        <w:topLinePunct w:val="0"/>
        <w:autoSpaceDE/>
        <w:autoSpaceDN/>
        <w:bidi w:val="0"/>
        <w:adjustRightInd w:val="0"/>
        <w:snapToGrid w:val="0"/>
        <w:spacing w:line="576" w:lineRule="exact"/>
        <w:ind w:firstLine="420" w:firstLineChars="200"/>
        <w:textAlignment w:val="auto"/>
        <w:rPr>
          <w:rFonts w:ascii="仿宋_GB2312" w:hAnsi="仿宋" w:eastAsia="仿宋_GB2312"/>
          <w:color w:val="000000"/>
          <w:kern w:val="0"/>
          <w:sz w:val="32"/>
          <w:szCs w:val="32"/>
          <w:shd w:val="clear" w:color="auto" w:fill="FFFFFF"/>
          <w:lang w:val="zh-CN"/>
        </w:rPr>
      </w:pPr>
      <w:r>
        <w:rPr>
          <w:rFonts w:ascii="仿宋_GB2312" w:eastAsia="仿宋_GB2312" w:cs="仿宋_GB2312"/>
        </w:rPr>
        <w:t xml:space="preserve"> </w:t>
      </w:r>
      <w:r>
        <w:rPr>
          <w:rFonts w:hint="eastAsia" w:ascii="仿宋_GB2312" w:hAnsi="仿宋"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 w:eastAsia="仿宋_GB2312" w:cs="仿宋_GB2312"/>
          <w:color w:val="000000"/>
          <w:kern w:val="0"/>
          <w:sz w:val="32"/>
          <w:szCs w:val="32"/>
          <w:shd w:val="clear" w:color="auto" w:fill="FFFFFF"/>
          <w:lang w:val="zh-CN"/>
        </w:rPr>
        <w:t>2019</w:t>
      </w:r>
      <w:r>
        <w:rPr>
          <w:rFonts w:hint="eastAsia" w:ascii="仿宋_GB2312" w:hAnsi="仿宋"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 w:eastAsia="仿宋_GB2312" w:cs="仿宋_GB2312"/>
          <w:color w:val="000000"/>
          <w:kern w:val="0"/>
          <w:sz w:val="32"/>
          <w:szCs w:val="32"/>
          <w:shd w:val="clear" w:color="auto" w:fill="FFFFFF"/>
          <w:lang w:val="zh-CN"/>
        </w:rPr>
        <w:t>2019</w:t>
      </w:r>
      <w:r>
        <w:rPr>
          <w:rFonts w:hint="eastAsia" w:ascii="仿宋_GB2312" w:hAnsi="仿宋"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宋体" w:eastAsia="仿宋_GB2312"/>
          <w:color w:val="000000"/>
          <w:kern w:val="0"/>
          <w:sz w:val="32"/>
          <w:szCs w:val="32"/>
          <w:shd w:val="clear" w:color="auto" w:fill="FFFFFF"/>
          <w:lang w:val="zh-CN"/>
        </w:rPr>
        <w:t> </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预算编制：我镇对</w:t>
      </w: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年部门支出进行预算：支出合计</w:t>
      </w:r>
      <w:r>
        <w:rPr>
          <w:rFonts w:hint="eastAsia" w:ascii="仿宋_GB2312" w:eastAsia="仿宋_GB2312"/>
          <w:sz w:val="32"/>
          <w:szCs w:val="32"/>
        </w:rPr>
        <w:t>990.83万元</w:t>
      </w:r>
      <w:r>
        <w:rPr>
          <w:rFonts w:hint="eastAsia" w:ascii="仿宋_GB2312" w:hAnsi="仿宋" w:eastAsia="仿宋_GB2312" w:cs="仿宋_GB2312"/>
          <w:color w:val="000000"/>
          <w:kern w:val="0"/>
          <w:sz w:val="32"/>
          <w:szCs w:val="32"/>
        </w:rPr>
        <w:t>。其中：</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基本支出</w:t>
      </w:r>
      <w:r>
        <w:rPr>
          <w:rFonts w:ascii="仿宋_GB2312" w:eastAsia="仿宋_GB2312"/>
          <w:sz w:val="32"/>
          <w:szCs w:val="32"/>
        </w:rPr>
        <w:t>689</w:t>
      </w:r>
      <w:r>
        <w:rPr>
          <w:rFonts w:hint="eastAsia" w:ascii="仿宋_GB2312" w:eastAsia="仿宋_GB2312"/>
          <w:sz w:val="32"/>
          <w:szCs w:val="32"/>
        </w:rPr>
        <w:t>.</w:t>
      </w:r>
      <w:r>
        <w:rPr>
          <w:rFonts w:ascii="仿宋_GB2312" w:eastAsia="仿宋_GB2312"/>
          <w:sz w:val="32"/>
          <w:szCs w:val="32"/>
        </w:rPr>
        <w:t>2</w:t>
      </w:r>
      <w:r>
        <w:rPr>
          <w:rFonts w:hint="eastAsia" w:ascii="仿宋_GB2312" w:eastAsia="仿宋_GB2312"/>
          <w:sz w:val="32"/>
          <w:szCs w:val="32"/>
        </w:rPr>
        <w:t>7</w:t>
      </w:r>
      <w:r>
        <w:rPr>
          <w:rFonts w:hint="eastAsia" w:ascii="仿宋_GB2312" w:hAnsi="仿宋" w:eastAsia="仿宋_GB2312" w:cs="仿宋_GB2312"/>
          <w:color w:val="000000"/>
          <w:kern w:val="0"/>
          <w:sz w:val="32"/>
          <w:szCs w:val="32"/>
        </w:rPr>
        <w:t>万元</w:t>
      </w:r>
    </w:p>
    <w:p>
      <w:pPr>
        <w:pageBreakBefore w:val="0"/>
        <w:widowControl/>
        <w:shd w:val="clear" w:color="auto" w:fill="FFFFFF"/>
        <w:kinsoku/>
        <w:wordWrap/>
        <w:overflowPunct/>
        <w:topLinePunct w:val="0"/>
        <w:autoSpaceDE/>
        <w:autoSpaceDN/>
        <w:bidi w:val="0"/>
        <w:spacing w:line="576" w:lineRule="exact"/>
        <w:ind w:firstLine="64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w:t>
      </w:r>
      <w:r>
        <w:rPr>
          <w:rFonts w:hint="eastAsia" w:ascii="仿宋_GB2312" w:hAnsi="仿宋" w:eastAsia="仿宋_GB2312" w:cs="仿宋_GB2312"/>
          <w:color w:val="000000"/>
          <w:kern w:val="0"/>
          <w:sz w:val="32"/>
          <w:szCs w:val="32"/>
        </w:rPr>
        <w:t>）工资福利性支出：</w:t>
      </w:r>
      <w:r>
        <w:rPr>
          <w:rFonts w:ascii="仿宋_GB2312" w:hAnsi="仿宋" w:eastAsia="仿宋_GB2312" w:cs="仿宋_GB2312"/>
          <w:color w:val="000000"/>
          <w:kern w:val="0"/>
          <w:sz w:val="32"/>
          <w:szCs w:val="32"/>
        </w:rPr>
        <w:t>642</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42</w:t>
      </w:r>
      <w:r>
        <w:rPr>
          <w:rFonts w:hint="eastAsia" w:ascii="仿宋_GB2312" w:hAnsi="仿宋" w:eastAsia="仿宋_GB2312" w:cs="仿宋_GB2312"/>
          <w:color w:val="000000"/>
          <w:kern w:val="0"/>
          <w:sz w:val="32"/>
          <w:szCs w:val="32"/>
        </w:rPr>
        <w:t>万元。</w:t>
      </w:r>
    </w:p>
    <w:p>
      <w:pPr>
        <w:pageBreakBefore w:val="0"/>
        <w:widowControl/>
        <w:shd w:val="clear" w:color="auto" w:fill="FFFFFF"/>
        <w:kinsoku/>
        <w:wordWrap/>
        <w:overflowPunct/>
        <w:topLinePunct w:val="0"/>
        <w:autoSpaceDE/>
        <w:autoSpaceDN/>
        <w:bidi w:val="0"/>
        <w:spacing w:line="576" w:lineRule="exact"/>
        <w:ind w:firstLine="64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2</w:t>
      </w:r>
      <w:r>
        <w:rPr>
          <w:rFonts w:hint="eastAsia" w:ascii="仿宋_GB2312" w:hAnsi="仿宋" w:eastAsia="仿宋_GB2312" w:cs="仿宋_GB2312"/>
          <w:color w:val="000000"/>
          <w:kern w:val="0"/>
          <w:sz w:val="32"/>
          <w:szCs w:val="32"/>
        </w:rPr>
        <w:t>）商品和服务支出</w:t>
      </w:r>
      <w:r>
        <w:rPr>
          <w:rFonts w:ascii="仿宋_GB2312" w:hAnsi="仿宋" w:eastAsia="仿宋_GB2312" w:cs="仿宋_GB2312"/>
          <w:color w:val="000000"/>
          <w:kern w:val="0"/>
          <w:sz w:val="32"/>
          <w:szCs w:val="32"/>
        </w:rPr>
        <w:t>46</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8</w:t>
      </w:r>
      <w:r>
        <w:rPr>
          <w:rFonts w:hint="eastAsia" w:ascii="仿宋_GB2312" w:hAnsi="仿宋" w:eastAsia="仿宋_GB2312" w:cs="仿宋_GB2312"/>
          <w:color w:val="000000"/>
          <w:kern w:val="0"/>
          <w:sz w:val="32"/>
          <w:szCs w:val="32"/>
        </w:rPr>
        <w:t>5万元，其中：公务接待费0.</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2万元；公务用车运行维护费</w:t>
      </w:r>
      <w:r>
        <w:rPr>
          <w:rFonts w:ascii="仿宋_GB2312" w:hAnsi="仿宋" w:eastAsia="仿宋_GB2312" w:cs="仿宋_GB2312"/>
          <w:color w:val="000000"/>
          <w:kern w:val="0"/>
          <w:sz w:val="32"/>
          <w:szCs w:val="32"/>
        </w:rPr>
        <w:t>4</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00</w:t>
      </w:r>
      <w:r>
        <w:rPr>
          <w:rFonts w:hint="eastAsia" w:ascii="仿宋_GB2312" w:hAnsi="仿宋" w:eastAsia="仿宋_GB2312" w:cs="仿宋_GB2312"/>
          <w:color w:val="000000"/>
          <w:kern w:val="0"/>
          <w:sz w:val="32"/>
          <w:szCs w:val="32"/>
        </w:rPr>
        <w:t>万元。</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3</w:t>
      </w:r>
      <w:r>
        <w:rPr>
          <w:rFonts w:hint="eastAsia" w:ascii="仿宋_GB2312" w:hAnsi="仿宋" w:eastAsia="仿宋_GB2312" w:cs="仿宋_GB2312"/>
          <w:color w:val="000000"/>
          <w:kern w:val="0"/>
          <w:sz w:val="32"/>
          <w:szCs w:val="32"/>
        </w:rPr>
        <w:t>）对个人和家庭的补助支出：11.34万元。</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s="仿宋_GB2312"/>
          <w:sz w:val="32"/>
          <w:szCs w:val="32"/>
        </w:rPr>
      </w:pPr>
      <w:r>
        <w:rPr>
          <w:rFonts w:ascii="仿宋_GB2312" w:hAnsi="仿宋" w:eastAsia="仿宋_GB2312" w:cs="仿宋_GB2312"/>
          <w:sz w:val="32"/>
          <w:szCs w:val="32"/>
        </w:rPr>
        <w:t>2.</w:t>
      </w:r>
      <w:r>
        <w:rPr>
          <w:rFonts w:hint="eastAsia" w:ascii="仿宋_GB2312" w:hAnsi="仿宋" w:eastAsia="仿宋_GB2312" w:cs="仿宋_GB2312"/>
          <w:sz w:val="32"/>
          <w:szCs w:val="32"/>
        </w:rPr>
        <w:t>项目支出301.56万元</w:t>
      </w:r>
    </w:p>
    <w:p>
      <w:pPr>
        <w:pageBreakBefore w:val="0"/>
        <w:kinsoku/>
        <w:wordWrap/>
        <w:overflowPunct/>
        <w:topLinePunct w:val="0"/>
        <w:autoSpaceDE/>
        <w:autoSpaceDN/>
        <w:bidi w:val="0"/>
        <w:snapToGrid w:val="0"/>
        <w:spacing w:line="576" w:lineRule="exact"/>
        <w:ind w:firstLine="640" w:firstLineChars="200"/>
        <w:textAlignment w:val="auto"/>
        <w:rPr>
          <w:rFonts w:ascii="仿宋_GB2312" w:hAnsi="仿宋" w:eastAsia="仿宋_GB2312"/>
          <w:sz w:val="32"/>
          <w:szCs w:val="32"/>
        </w:rPr>
      </w:pPr>
      <w:r>
        <w:rPr>
          <w:rFonts w:hint="eastAsia" w:ascii="仿宋_GB2312" w:hAnsi="仿宋" w:eastAsia="仿宋_GB2312" w:cs="仿宋_GB2312"/>
          <w:color w:val="000000"/>
          <w:kern w:val="0"/>
          <w:sz w:val="32"/>
          <w:szCs w:val="32"/>
        </w:rPr>
        <w:t>决算编制：</w:t>
      </w: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月对全年收支进行决算：本年收入</w:t>
      </w:r>
      <w:r>
        <w:rPr>
          <w:rFonts w:hint="eastAsia" w:ascii="仿宋_GB2312" w:hAnsi="仿宋" w:eastAsia="仿宋_GB2312" w:cs="仿宋_GB2312"/>
          <w:sz w:val="32"/>
          <w:szCs w:val="32"/>
        </w:rPr>
        <w:t>3005.86万元，其中：政府性基金预算财政拨款355.70万元。年初财政拨款结转和结余决算数</w:t>
      </w:r>
      <w:r>
        <w:rPr>
          <w:rFonts w:ascii="仿宋_GB2312" w:hAnsi="仿宋" w:eastAsia="仿宋_GB2312" w:cs="仿宋_GB2312"/>
          <w:sz w:val="32"/>
          <w:szCs w:val="32"/>
        </w:rPr>
        <w:t>310</w:t>
      </w:r>
      <w:r>
        <w:rPr>
          <w:rFonts w:hint="eastAsia" w:ascii="仿宋_GB2312" w:hAnsi="仿宋" w:eastAsia="仿宋_GB2312" w:cs="仿宋_GB2312"/>
          <w:sz w:val="32"/>
          <w:szCs w:val="32"/>
        </w:rPr>
        <w:t>.90万元</w:t>
      </w:r>
      <w:r>
        <w:rPr>
          <w:rFonts w:hint="eastAsia" w:ascii="仿宋_GB2312" w:hAnsi="仿宋" w:eastAsia="仿宋_GB2312" w:cs="仿宋_GB2312"/>
          <w:color w:val="000000"/>
          <w:kern w:val="0"/>
          <w:sz w:val="32"/>
          <w:szCs w:val="32"/>
        </w:rPr>
        <w:t>；本年支出</w:t>
      </w:r>
      <w:r>
        <w:rPr>
          <w:rFonts w:ascii="仿宋_GB2312" w:hAnsi="仿宋" w:eastAsia="仿宋_GB2312" w:cs="仿宋_GB2312"/>
          <w:sz w:val="32"/>
          <w:szCs w:val="32"/>
        </w:rPr>
        <w:t>2674</w:t>
      </w:r>
      <w:r>
        <w:rPr>
          <w:rFonts w:hint="eastAsia" w:ascii="仿宋_GB2312" w:hAnsi="仿宋" w:eastAsia="仿宋_GB2312" w:cs="仿宋_GB2312"/>
          <w:sz w:val="32"/>
          <w:szCs w:val="32"/>
        </w:rPr>
        <w:t>.</w:t>
      </w:r>
      <w:r>
        <w:rPr>
          <w:rFonts w:ascii="仿宋_GB2312" w:hAnsi="仿宋" w:eastAsia="仿宋_GB2312" w:cs="仿宋_GB2312"/>
          <w:sz w:val="32"/>
          <w:szCs w:val="32"/>
        </w:rPr>
        <w:t>2</w:t>
      </w:r>
      <w:r>
        <w:rPr>
          <w:rFonts w:hint="eastAsia" w:ascii="仿宋_GB2312" w:hAnsi="仿宋" w:eastAsia="仿宋_GB2312" w:cs="仿宋_GB2312"/>
          <w:sz w:val="32"/>
          <w:szCs w:val="32"/>
        </w:rPr>
        <w:t>3万元，年末结转和结余数为</w:t>
      </w:r>
      <w:r>
        <w:rPr>
          <w:rFonts w:ascii="仿宋_GB2312" w:hAnsi="仿宋" w:eastAsia="仿宋_GB2312" w:cs="仿宋_GB2312"/>
          <w:sz w:val="32"/>
          <w:szCs w:val="32"/>
        </w:rPr>
        <w:t>642</w:t>
      </w:r>
      <w:r>
        <w:rPr>
          <w:rFonts w:hint="eastAsia" w:ascii="仿宋_GB2312" w:hAnsi="仿宋" w:eastAsia="仿宋_GB2312" w:cs="仿宋_GB2312"/>
          <w:sz w:val="32"/>
          <w:szCs w:val="32"/>
        </w:rPr>
        <w:t>.</w:t>
      </w:r>
      <w:r>
        <w:rPr>
          <w:rFonts w:ascii="仿宋_GB2312" w:hAnsi="仿宋" w:eastAsia="仿宋_GB2312" w:cs="仿宋_GB2312"/>
          <w:sz w:val="32"/>
          <w:szCs w:val="32"/>
        </w:rPr>
        <w:t>5</w:t>
      </w:r>
      <w:r>
        <w:rPr>
          <w:rFonts w:hint="eastAsia" w:ascii="仿宋_GB2312" w:hAnsi="仿宋" w:eastAsia="仿宋_GB2312" w:cs="仿宋_GB2312"/>
          <w:sz w:val="32"/>
          <w:szCs w:val="32"/>
        </w:rPr>
        <w:t>3万元。</w:t>
      </w:r>
    </w:p>
    <w:p>
      <w:pPr>
        <w:pageBreakBefore w:val="0"/>
        <w:widowControl/>
        <w:kinsoku/>
        <w:wordWrap/>
        <w:overflowPunct/>
        <w:topLinePunct w:val="0"/>
        <w:autoSpaceDE/>
        <w:autoSpaceDN/>
        <w:bidi w:val="0"/>
        <w:adjustRightInd w:val="0"/>
        <w:snapToGrid w:val="0"/>
        <w:spacing w:line="576" w:lineRule="exact"/>
        <w:ind w:firstLine="640"/>
        <w:textAlignment w:val="auto"/>
        <w:rPr>
          <w:rFonts w:ascii="仿宋_GB2312" w:hAnsi="仿宋" w:eastAsia="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lang w:val="zh-CN"/>
        </w:rPr>
        <w:t>年初金财导入预算指标</w:t>
      </w:r>
      <w:r>
        <w:rPr>
          <w:rFonts w:hint="eastAsia" w:ascii="仿宋_GB2312" w:eastAsia="仿宋_GB2312"/>
          <w:sz w:val="32"/>
          <w:szCs w:val="32"/>
        </w:rPr>
        <w:t>990.83</w:t>
      </w:r>
      <w:r>
        <w:rPr>
          <w:rFonts w:hint="eastAsia" w:ascii="仿宋_GB2312" w:hAnsi="仿宋" w:eastAsia="仿宋_GB2312" w:cs="仿宋_GB2312"/>
          <w:color w:val="000000"/>
          <w:kern w:val="0"/>
          <w:sz w:val="32"/>
          <w:szCs w:val="32"/>
        </w:rPr>
        <w:t>万</w:t>
      </w:r>
      <w:r>
        <w:rPr>
          <w:rFonts w:hint="eastAsia" w:ascii="仿宋_GB2312" w:hAnsi="仿宋" w:eastAsia="仿宋_GB2312" w:cs="仿宋_GB2312"/>
          <w:color w:val="000000"/>
          <w:kern w:val="0"/>
          <w:sz w:val="32"/>
          <w:szCs w:val="32"/>
          <w:shd w:val="clear" w:color="auto" w:fill="FFFFFF"/>
        </w:rPr>
        <w:t>元。全年共安排预算指标</w:t>
      </w:r>
      <w:r>
        <w:rPr>
          <w:rFonts w:hint="eastAsia" w:ascii="仿宋_GB2312" w:eastAsia="仿宋_GB2312"/>
          <w:sz w:val="32"/>
          <w:szCs w:val="32"/>
        </w:rPr>
        <w:t>990.83</w:t>
      </w:r>
      <w:r>
        <w:rPr>
          <w:rFonts w:hint="eastAsia" w:ascii="仿宋_GB2312" w:hAnsi="仿宋" w:eastAsia="仿宋_GB2312" w:cs="仿宋_GB2312"/>
          <w:color w:val="000000"/>
          <w:kern w:val="0"/>
          <w:sz w:val="32"/>
          <w:szCs w:val="32"/>
        </w:rPr>
        <w:t>万</w:t>
      </w:r>
      <w:r>
        <w:rPr>
          <w:rFonts w:hint="eastAsia" w:ascii="仿宋_GB2312" w:hAnsi="仿宋" w:eastAsia="仿宋_GB2312" w:cs="仿宋_GB2312"/>
          <w:color w:val="000000"/>
          <w:kern w:val="0"/>
          <w:sz w:val="32"/>
          <w:szCs w:val="32"/>
          <w:shd w:val="clear" w:color="auto" w:fill="FFFFFF"/>
        </w:rPr>
        <w:t>元。具体如下：</w:t>
      </w:r>
    </w:p>
    <w:p>
      <w:pPr>
        <w:pageBreakBefore w:val="0"/>
        <w:widowControl/>
        <w:kinsoku/>
        <w:wordWrap/>
        <w:overflowPunct/>
        <w:topLinePunct w:val="0"/>
        <w:autoSpaceDE/>
        <w:autoSpaceDN/>
        <w:bidi w:val="0"/>
        <w:adjustRightInd w:val="0"/>
        <w:snapToGrid w:val="0"/>
        <w:spacing w:line="576" w:lineRule="exact"/>
        <w:ind w:firstLine="640" w:firstLineChars="200"/>
        <w:jc w:val="left"/>
        <w:textAlignment w:val="auto"/>
        <w:rPr>
          <w:rFonts w:ascii="仿宋_GB2312" w:hAnsi="仿宋" w:eastAsia="仿宋_GB2312" w:cs="仿宋_GB2312"/>
          <w:color w:val="000000"/>
          <w:kern w:val="0"/>
          <w:sz w:val="32"/>
          <w:szCs w:val="32"/>
          <w:shd w:val="clear" w:color="auto" w:fill="FFFFFF"/>
        </w:rPr>
      </w:pPr>
      <w:r>
        <w:rPr>
          <w:rFonts w:hint="eastAsia" w:ascii="仿宋_GB2312" w:hAnsi="仿宋" w:eastAsia="仿宋_GB2312" w:cs="仿宋_GB2312"/>
          <w:color w:val="000000"/>
          <w:kern w:val="0"/>
          <w:sz w:val="32"/>
          <w:szCs w:val="32"/>
          <w:shd w:val="clear" w:color="auto" w:fill="FFFFFF"/>
        </w:rPr>
        <w:t>1.</w:t>
      </w:r>
      <w:r>
        <w:rPr>
          <w:rFonts w:hint="eastAsia" w:ascii="仿宋_GB2312" w:hAnsi="仿宋" w:eastAsia="仿宋_GB2312" w:cs="仿宋_GB2312"/>
          <w:color w:val="000000"/>
          <w:kern w:val="0"/>
          <w:sz w:val="32"/>
          <w:szCs w:val="32"/>
          <w:shd w:val="clear" w:color="auto" w:fill="FFFFFF"/>
          <w:lang w:val="zh-CN"/>
        </w:rPr>
        <w:t>收入情况：</w:t>
      </w:r>
      <w:r>
        <w:rPr>
          <w:rFonts w:ascii="仿宋_GB2312" w:hAnsi="仿宋" w:eastAsia="仿宋_GB2312" w:cs="仿宋_GB2312"/>
          <w:color w:val="000000"/>
          <w:kern w:val="0"/>
          <w:sz w:val="32"/>
          <w:szCs w:val="32"/>
          <w:shd w:val="clear" w:color="auto" w:fill="FFFFFF"/>
        </w:rPr>
        <w:t>2019</w:t>
      </w:r>
      <w:r>
        <w:rPr>
          <w:rFonts w:hint="eastAsia" w:ascii="仿宋_GB2312" w:hAnsi="仿宋" w:eastAsia="仿宋_GB2312" w:cs="仿宋_GB2312"/>
          <w:color w:val="000000"/>
          <w:kern w:val="0"/>
          <w:sz w:val="32"/>
          <w:szCs w:val="32"/>
          <w:shd w:val="clear" w:color="auto" w:fill="FFFFFF"/>
        </w:rPr>
        <w:t>年我镇总收入为：</w:t>
      </w:r>
      <w:r>
        <w:rPr>
          <w:rFonts w:hint="eastAsia" w:ascii="仿宋_GB2312" w:eastAsia="仿宋_GB2312"/>
          <w:sz w:val="32"/>
          <w:szCs w:val="32"/>
        </w:rPr>
        <w:t>990.83</w:t>
      </w:r>
      <w:r>
        <w:rPr>
          <w:rFonts w:hint="eastAsia" w:ascii="仿宋_GB2312" w:hAnsi="仿宋" w:eastAsia="仿宋_GB2312" w:cs="仿宋_GB2312"/>
          <w:color w:val="000000"/>
          <w:kern w:val="0"/>
          <w:sz w:val="32"/>
          <w:szCs w:val="32"/>
          <w:shd w:val="clear" w:color="auto" w:fill="FFFFFF"/>
        </w:rPr>
        <w:t>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201</w:t>
      </w:r>
      <w:r>
        <w:rPr>
          <w:rFonts w:hint="eastAsia" w:ascii="仿宋_GB2312" w:hAnsi="仿宋" w:eastAsia="仿宋_GB2312" w:cs="仿宋_GB2312"/>
          <w:color w:val="000000"/>
          <w:kern w:val="0"/>
          <w:sz w:val="32"/>
          <w:szCs w:val="32"/>
          <w:shd w:val="clear" w:color="auto" w:fill="FFFFFF"/>
        </w:rPr>
        <w:t>一般公共服务收入</w:t>
      </w:r>
      <w:r>
        <w:rPr>
          <w:rFonts w:ascii="仿宋_GB2312" w:hAnsi="仿宋" w:eastAsia="仿宋_GB2312" w:cs="仿宋_GB2312"/>
          <w:color w:val="000000"/>
          <w:kern w:val="0"/>
          <w:sz w:val="32"/>
          <w:szCs w:val="32"/>
          <w:shd w:val="clear" w:color="auto" w:fill="FFFFFF"/>
        </w:rPr>
        <w:t>32</w:t>
      </w:r>
      <w:r>
        <w:rPr>
          <w:rFonts w:hint="eastAsia" w:ascii="仿宋_GB2312" w:hAnsi="仿宋" w:eastAsia="仿宋_GB2312" w:cs="仿宋_GB2312"/>
          <w:color w:val="000000"/>
          <w:kern w:val="0"/>
          <w:sz w:val="32"/>
          <w:szCs w:val="32"/>
          <w:shd w:val="clear" w:color="auto" w:fill="FFFFFF"/>
        </w:rPr>
        <w:t>4.</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208</w:t>
      </w:r>
      <w:r>
        <w:rPr>
          <w:rFonts w:hint="eastAsia" w:ascii="仿宋_GB2312" w:hAnsi="仿宋" w:eastAsia="仿宋_GB2312" w:cs="仿宋_GB2312"/>
          <w:color w:val="000000"/>
          <w:kern w:val="0"/>
          <w:sz w:val="32"/>
          <w:szCs w:val="32"/>
          <w:shd w:val="clear" w:color="auto" w:fill="FFFFFF"/>
        </w:rPr>
        <w:t>社会保障和就业收入</w:t>
      </w:r>
      <w:r>
        <w:rPr>
          <w:rFonts w:ascii="仿宋_GB2312" w:hAnsi="仿宋" w:eastAsia="仿宋_GB2312" w:cs="仿宋_GB2312"/>
          <w:color w:val="000000"/>
          <w:kern w:val="0"/>
          <w:sz w:val="32"/>
          <w:szCs w:val="32"/>
          <w:shd w:val="clear" w:color="auto" w:fill="FFFFFF"/>
        </w:rPr>
        <w:t>14</w:t>
      </w:r>
      <w:r>
        <w:rPr>
          <w:rFonts w:hint="eastAsia" w:ascii="仿宋_GB2312" w:hAnsi="仿宋" w:eastAsia="仿宋_GB2312" w:cs="仿宋_GB2312"/>
          <w:color w:val="000000"/>
          <w:kern w:val="0"/>
          <w:sz w:val="32"/>
          <w:szCs w:val="32"/>
          <w:shd w:val="clear" w:color="auto" w:fill="FFFFFF"/>
        </w:rPr>
        <w:t>6.</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1万元；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210</w:t>
      </w:r>
      <w:r>
        <w:rPr>
          <w:rFonts w:hint="eastAsia" w:ascii="仿宋_GB2312" w:hAnsi="仿宋" w:eastAsia="仿宋_GB2312" w:cs="仿宋_GB2312"/>
          <w:color w:val="000000"/>
          <w:kern w:val="0"/>
          <w:sz w:val="32"/>
          <w:szCs w:val="32"/>
          <w:shd w:val="clear" w:color="auto" w:fill="FFFFFF"/>
        </w:rPr>
        <w:t>卫生健康支出41.96万元；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213</w:t>
      </w:r>
      <w:r>
        <w:rPr>
          <w:rFonts w:hint="eastAsia" w:ascii="仿宋_GB2312" w:hAnsi="仿宋" w:eastAsia="仿宋_GB2312" w:cs="仿宋_GB2312"/>
          <w:color w:val="000000"/>
          <w:kern w:val="0"/>
          <w:sz w:val="32"/>
          <w:szCs w:val="32"/>
          <w:shd w:val="clear" w:color="auto" w:fill="FFFFFF"/>
        </w:rPr>
        <w:t>农林水收入416.88万元；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221</w:t>
      </w:r>
      <w:r>
        <w:rPr>
          <w:rFonts w:hint="eastAsia" w:ascii="仿宋_GB2312" w:hAnsi="仿宋" w:eastAsia="仿宋_GB2312" w:cs="仿宋_GB2312"/>
          <w:color w:val="000000"/>
          <w:kern w:val="0"/>
          <w:sz w:val="32"/>
          <w:szCs w:val="32"/>
          <w:shd w:val="clear" w:color="auto" w:fill="FFFFFF"/>
        </w:rPr>
        <w:t>住房保障收入</w:t>
      </w:r>
      <w:r>
        <w:rPr>
          <w:rFonts w:ascii="仿宋_GB2312" w:hAnsi="仿宋" w:eastAsia="仿宋_GB2312" w:cs="仿宋_GB2312"/>
          <w:color w:val="000000"/>
          <w:kern w:val="0"/>
          <w:sz w:val="32"/>
          <w:szCs w:val="32"/>
          <w:shd w:val="clear" w:color="auto" w:fill="FFFFFF"/>
        </w:rPr>
        <w:t>60</w:t>
      </w:r>
      <w:r>
        <w:rPr>
          <w:rFonts w:hint="eastAsia" w:ascii="仿宋_GB2312" w:hAnsi="仿宋" w:eastAsia="仿宋_GB2312" w:cs="仿宋_GB2312"/>
          <w:color w:val="000000"/>
          <w:kern w:val="0"/>
          <w:sz w:val="32"/>
          <w:szCs w:val="32"/>
          <w:shd w:val="clear" w:color="auto" w:fill="FFFFFF"/>
        </w:rPr>
        <w:t>.49万元。</w:t>
      </w:r>
    </w:p>
    <w:p>
      <w:pPr>
        <w:pageBreakBefore w:val="0"/>
        <w:widowControl/>
        <w:kinsoku/>
        <w:wordWrap/>
        <w:overflowPunct/>
        <w:topLinePunct w:val="0"/>
        <w:autoSpaceDE/>
        <w:autoSpaceDN/>
        <w:bidi w:val="0"/>
        <w:adjustRightInd w:val="0"/>
        <w:snapToGrid w:val="0"/>
        <w:spacing w:line="576" w:lineRule="exact"/>
        <w:ind w:firstLine="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w:t>
      </w:r>
      <w:r>
        <w:rPr>
          <w:rFonts w:hint="eastAsia" w:ascii="仿宋_GB2312" w:hAnsi="仿宋" w:eastAsia="仿宋_GB2312" w:cs="仿宋_GB2312"/>
          <w:color w:val="000000"/>
          <w:kern w:val="0"/>
          <w:sz w:val="32"/>
          <w:szCs w:val="32"/>
          <w:shd w:val="clear" w:color="auto" w:fill="FFFFFF"/>
        </w:rPr>
        <w:t>支出情况：</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201</w:t>
      </w:r>
      <w:r>
        <w:rPr>
          <w:rFonts w:hint="eastAsia" w:ascii="仿宋_GB2312" w:hAnsi="仿宋" w:eastAsia="仿宋_GB2312" w:cs="仿宋_GB2312"/>
          <w:color w:val="000000"/>
          <w:kern w:val="0"/>
          <w:sz w:val="32"/>
          <w:szCs w:val="32"/>
          <w:shd w:val="clear" w:color="auto" w:fill="FFFFFF"/>
        </w:rPr>
        <w:t>一般公共服务收入</w:t>
      </w:r>
      <w:r>
        <w:rPr>
          <w:rFonts w:ascii="仿宋_GB2312" w:hAnsi="仿宋" w:eastAsia="仿宋_GB2312" w:cs="仿宋_GB2312"/>
          <w:color w:val="000000"/>
          <w:kern w:val="0"/>
          <w:sz w:val="32"/>
          <w:szCs w:val="32"/>
          <w:shd w:val="clear" w:color="auto" w:fill="FFFFFF"/>
        </w:rPr>
        <w:t>32</w:t>
      </w:r>
      <w:r>
        <w:rPr>
          <w:rFonts w:hint="eastAsia" w:ascii="仿宋_GB2312" w:hAnsi="仿宋" w:eastAsia="仿宋_GB2312" w:cs="仿宋_GB2312"/>
          <w:color w:val="000000"/>
          <w:kern w:val="0"/>
          <w:sz w:val="32"/>
          <w:szCs w:val="32"/>
          <w:shd w:val="clear" w:color="auto" w:fill="FFFFFF"/>
        </w:rPr>
        <w:t>4.</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208</w:t>
      </w:r>
      <w:r>
        <w:rPr>
          <w:rFonts w:hint="eastAsia" w:ascii="仿宋_GB2312" w:hAnsi="仿宋" w:eastAsia="仿宋_GB2312" w:cs="仿宋_GB2312"/>
          <w:color w:val="000000"/>
          <w:kern w:val="0"/>
          <w:sz w:val="32"/>
          <w:szCs w:val="32"/>
          <w:shd w:val="clear" w:color="auto" w:fill="FFFFFF"/>
        </w:rPr>
        <w:t>社会保障和就业收入</w:t>
      </w:r>
      <w:r>
        <w:rPr>
          <w:rFonts w:ascii="仿宋_GB2312" w:hAnsi="仿宋" w:eastAsia="仿宋_GB2312" w:cs="仿宋_GB2312"/>
          <w:color w:val="000000"/>
          <w:kern w:val="0"/>
          <w:sz w:val="32"/>
          <w:szCs w:val="32"/>
          <w:shd w:val="clear" w:color="auto" w:fill="FFFFFF"/>
        </w:rPr>
        <w:t>14</w:t>
      </w:r>
      <w:r>
        <w:rPr>
          <w:rFonts w:hint="eastAsia" w:ascii="仿宋_GB2312" w:hAnsi="仿宋" w:eastAsia="仿宋_GB2312" w:cs="仿宋_GB2312"/>
          <w:color w:val="000000"/>
          <w:kern w:val="0"/>
          <w:sz w:val="32"/>
          <w:szCs w:val="32"/>
          <w:shd w:val="clear" w:color="auto" w:fill="FFFFFF"/>
        </w:rPr>
        <w:t>6.</w:t>
      </w:r>
      <w:r>
        <w:rPr>
          <w:rFonts w:ascii="仿宋_GB2312" w:hAnsi="仿宋" w:eastAsia="仿宋_GB2312" w:cs="仿宋_GB2312"/>
          <w:color w:val="000000"/>
          <w:kern w:val="0"/>
          <w:sz w:val="32"/>
          <w:szCs w:val="32"/>
          <w:shd w:val="clear" w:color="auto" w:fill="FFFFFF"/>
        </w:rPr>
        <w:t>7</w:t>
      </w:r>
      <w:r>
        <w:rPr>
          <w:rFonts w:hint="eastAsia" w:ascii="仿宋_GB2312" w:hAnsi="仿宋" w:eastAsia="仿宋_GB2312" w:cs="仿宋_GB2312"/>
          <w:color w:val="000000"/>
          <w:kern w:val="0"/>
          <w:sz w:val="32"/>
          <w:szCs w:val="32"/>
          <w:shd w:val="clear" w:color="auto" w:fill="FFFFFF"/>
        </w:rPr>
        <w:t>1万元；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210</w:t>
      </w:r>
      <w:r>
        <w:rPr>
          <w:rFonts w:hint="eastAsia" w:ascii="仿宋_GB2312" w:hAnsi="仿宋" w:eastAsia="仿宋_GB2312" w:cs="仿宋_GB2312"/>
          <w:color w:val="000000"/>
          <w:kern w:val="0"/>
          <w:sz w:val="32"/>
          <w:szCs w:val="32"/>
          <w:shd w:val="clear" w:color="auto" w:fill="FFFFFF"/>
        </w:rPr>
        <w:t>卫生健康支出41.96万元；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213</w:t>
      </w:r>
      <w:r>
        <w:rPr>
          <w:rFonts w:hint="eastAsia" w:ascii="仿宋_GB2312" w:hAnsi="仿宋" w:eastAsia="仿宋_GB2312" w:cs="仿宋_GB2312"/>
          <w:color w:val="000000"/>
          <w:kern w:val="0"/>
          <w:sz w:val="32"/>
          <w:szCs w:val="32"/>
          <w:shd w:val="clear" w:color="auto" w:fill="FFFFFF"/>
        </w:rPr>
        <w:t>农林水收入416.88万元；</w:t>
      </w:r>
    </w:p>
    <w:p>
      <w:pPr>
        <w:pageBreakBefore w:val="0"/>
        <w:widowControl/>
        <w:kinsoku/>
        <w:wordWrap/>
        <w:overflowPunct/>
        <w:topLinePunct w:val="0"/>
        <w:autoSpaceDE/>
        <w:autoSpaceDN/>
        <w:bidi w:val="0"/>
        <w:adjustRightInd w:val="0"/>
        <w:snapToGrid w:val="0"/>
        <w:spacing w:line="576" w:lineRule="exact"/>
        <w:ind w:left="640"/>
        <w:textAlignment w:val="auto"/>
        <w:rPr>
          <w:rFonts w:ascii="仿宋_GB2312" w:hAnsi="仿宋" w:eastAsia="仿宋_GB2312"/>
          <w:color w:val="000000"/>
          <w:kern w:val="0"/>
          <w:sz w:val="32"/>
          <w:szCs w:val="32"/>
          <w:shd w:val="clear" w:color="auto" w:fill="FFFFFF"/>
        </w:rPr>
      </w:pPr>
      <w:r>
        <w:rPr>
          <w:rFonts w:ascii="仿宋_GB2312" w:hAnsi="仿宋" w:eastAsia="仿宋_GB2312" w:cs="仿宋_GB2312"/>
          <w:color w:val="000000"/>
          <w:kern w:val="0"/>
          <w:sz w:val="32"/>
          <w:szCs w:val="32"/>
          <w:shd w:val="clear" w:color="auto" w:fill="FFFFFF"/>
        </w:rPr>
        <w:t>221</w:t>
      </w:r>
      <w:r>
        <w:rPr>
          <w:rFonts w:hint="eastAsia" w:ascii="仿宋_GB2312" w:hAnsi="仿宋" w:eastAsia="仿宋_GB2312" w:cs="仿宋_GB2312"/>
          <w:color w:val="000000"/>
          <w:kern w:val="0"/>
          <w:sz w:val="32"/>
          <w:szCs w:val="32"/>
          <w:shd w:val="clear" w:color="auto" w:fill="FFFFFF"/>
        </w:rPr>
        <w:t>住房保障收入</w:t>
      </w:r>
      <w:r>
        <w:rPr>
          <w:rFonts w:ascii="仿宋_GB2312" w:hAnsi="仿宋" w:eastAsia="仿宋_GB2312" w:cs="仿宋_GB2312"/>
          <w:color w:val="000000"/>
          <w:kern w:val="0"/>
          <w:sz w:val="32"/>
          <w:szCs w:val="32"/>
          <w:shd w:val="clear" w:color="auto" w:fill="FFFFFF"/>
        </w:rPr>
        <w:t>60</w:t>
      </w:r>
      <w:r>
        <w:rPr>
          <w:rFonts w:hint="eastAsia" w:ascii="仿宋_GB2312" w:hAnsi="仿宋" w:eastAsia="仿宋_GB2312" w:cs="仿宋_GB2312"/>
          <w:color w:val="000000"/>
          <w:kern w:val="0"/>
          <w:sz w:val="32"/>
          <w:szCs w:val="32"/>
          <w:shd w:val="clear" w:color="auto" w:fill="FFFFFF"/>
        </w:rPr>
        <w:t>.49万元。</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（二）专项预算管理</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rPr>
        <w:t>1.</w:t>
      </w:r>
      <w:r>
        <w:rPr>
          <w:rFonts w:hint="eastAsia" w:ascii="仿宋_GB2312" w:hAnsi="仿宋" w:eastAsia="仿宋_GB2312" w:cs="仿宋_GB2312"/>
          <w:color w:val="000000"/>
          <w:kern w:val="0"/>
          <w:sz w:val="32"/>
          <w:szCs w:val="32"/>
          <w:shd w:val="clear" w:color="auto" w:fill="FFFFFF"/>
          <w:lang w:val="zh-CN"/>
        </w:rPr>
        <w:t>资金绩效分配情况。我镇严格执行《茂县县级财政专项资金绩效分配管理暂行办法》进行绩效分配制度。</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2</w:t>
      </w:r>
      <w:r>
        <w:rPr>
          <w:rFonts w:hint="eastAsia" w:ascii="仿宋_GB2312" w:hAnsi="仿宋" w:eastAsia="仿宋_GB2312" w:cs="仿宋_GB2312"/>
          <w:color w:val="000000"/>
          <w:kern w:val="0"/>
          <w:sz w:val="32"/>
          <w:szCs w:val="32"/>
          <w:shd w:val="clear" w:color="auto" w:fill="FFFFFF"/>
          <w:lang w:val="zh-CN"/>
        </w:rPr>
        <w:t>）项目资金管理情况。</w:t>
      </w:r>
      <w:r>
        <w:rPr>
          <w:rFonts w:hint="eastAsia" w:ascii="仿宋_GB2312" w:hAnsi="仿宋" w:eastAsia="仿宋_GB2312" w:cs="仿宋_GB2312"/>
          <w:color w:val="000000"/>
          <w:sz w:val="32"/>
          <w:szCs w:val="32"/>
          <w:shd w:val="clear" w:color="auto" w:fill="FFFFFF"/>
        </w:rPr>
        <w:t>我镇项目资金管理严格按照用款计划，分月、季度执行，按照项目资金管理办法实行专款专用。</w:t>
      </w:r>
    </w:p>
    <w:p>
      <w:pPr>
        <w:pageBreakBefore w:val="0"/>
        <w:widowControl/>
        <w:kinsoku/>
        <w:wordWrap/>
        <w:overflowPunct/>
        <w:topLinePunct w:val="0"/>
        <w:autoSpaceDE/>
        <w:autoSpaceDN/>
        <w:bidi w:val="0"/>
        <w:adjustRightInd w:val="0"/>
        <w:snapToGrid w:val="0"/>
        <w:spacing w:line="576" w:lineRule="exact"/>
        <w:ind w:firstLine="720"/>
        <w:textAlignment w:val="auto"/>
        <w:rPr>
          <w:rFonts w:ascii="仿宋_GB2312" w:hAnsi="仿宋" w:eastAsia="仿宋_GB2312"/>
          <w:color w:val="000000"/>
          <w:kern w:val="0"/>
          <w:sz w:val="32"/>
          <w:szCs w:val="32"/>
          <w:shd w:val="clear" w:color="auto" w:fill="FFFFFF"/>
          <w:lang w:val="zh-CN"/>
        </w:rPr>
      </w:pPr>
      <w:r>
        <w:rPr>
          <w:rFonts w:hint="eastAsia" w:ascii="仿宋_GB2312" w:hAnsi="仿宋" w:eastAsia="仿宋_GB2312" w:cs="仿宋_GB2312"/>
          <w:color w:val="000000"/>
          <w:kern w:val="0"/>
          <w:sz w:val="32"/>
          <w:szCs w:val="32"/>
          <w:shd w:val="clear" w:color="auto" w:fill="FFFFFF"/>
          <w:lang w:val="zh-CN"/>
        </w:rPr>
        <w:t>（</w:t>
      </w:r>
      <w:r>
        <w:rPr>
          <w:rFonts w:ascii="仿宋_GB2312" w:hAnsi="仿宋" w:eastAsia="仿宋_GB2312" w:cs="仿宋_GB2312"/>
          <w:color w:val="000000"/>
          <w:kern w:val="0"/>
          <w:sz w:val="32"/>
          <w:szCs w:val="32"/>
          <w:shd w:val="clear" w:color="auto" w:fill="FFFFFF"/>
          <w:lang w:val="zh-CN"/>
        </w:rPr>
        <w:t>3</w:t>
      </w:r>
      <w:r>
        <w:rPr>
          <w:rFonts w:hint="eastAsia" w:ascii="仿宋_GB2312" w:hAnsi="仿宋" w:eastAsia="仿宋_GB2312" w:cs="仿宋_GB2312"/>
          <w:color w:val="000000"/>
          <w:kern w:val="0"/>
          <w:sz w:val="32"/>
          <w:szCs w:val="32"/>
          <w:shd w:val="clear" w:color="auto" w:fill="FFFFFF"/>
          <w:lang w:val="zh-CN"/>
        </w:rPr>
        <w:t>）绩效目标完成情况。</w:t>
      </w:r>
      <w:r>
        <w:rPr>
          <w:rFonts w:hint="eastAsia" w:ascii="仿宋_GB2312" w:hAnsi="仿宋" w:eastAsia="仿宋_GB2312" w:cs="仿宋_GB2312"/>
          <w:color w:val="000000"/>
          <w:sz w:val="32"/>
          <w:szCs w:val="32"/>
          <w:shd w:val="clear" w:color="auto" w:fill="FFFFFF"/>
        </w:rPr>
        <w:t>按照年初预算项目，实施完成后使全镇环境更优美、经济更稳定、社会更和谐，达到预期经济、社会目标。</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（三）结果应用情况</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color w:val="000000"/>
          <w:kern w:val="0"/>
          <w:sz w:val="32"/>
          <w:szCs w:val="32"/>
        </w:rPr>
      </w:pPr>
      <w:r>
        <w:rPr>
          <w:rFonts w:hint="eastAsia" w:ascii="仿宋_GB2312" w:hAnsi="仿宋" w:eastAsia="仿宋_GB2312" w:cs="仿宋_GB2312"/>
          <w:color w:val="000000"/>
          <w:kern w:val="0"/>
          <w:sz w:val="32"/>
          <w:szCs w:val="32"/>
        </w:rPr>
        <w:t>我镇按照县财政的要求，及时分月、分季度上报相应计划，待财政审核通过后，严格按计划执行，各季度执行情况良好。</w:t>
      </w:r>
    </w:p>
    <w:p>
      <w:pPr>
        <w:pageBreakBefore w:val="0"/>
        <w:widowControl/>
        <w:shd w:val="clear" w:color="auto" w:fill="FFFFFF"/>
        <w:kinsoku/>
        <w:wordWrap/>
        <w:overflowPunct/>
        <w:topLinePunct w:val="0"/>
        <w:autoSpaceDE/>
        <w:autoSpaceDN/>
        <w:bidi w:val="0"/>
        <w:spacing w:line="576" w:lineRule="exact"/>
        <w:ind w:firstLine="640" w:firstLineChars="200"/>
        <w:textAlignment w:val="auto"/>
        <w:rPr>
          <w:rFonts w:ascii="仿宋_GB2312" w:hAnsi="仿宋" w:eastAsia="仿宋_GB2312"/>
          <w:kern w:val="0"/>
          <w:sz w:val="32"/>
          <w:szCs w:val="32"/>
        </w:rPr>
      </w:pPr>
      <w:r>
        <w:rPr>
          <w:rFonts w:hint="eastAsia" w:ascii="仿宋_GB2312" w:hAnsi="仿宋" w:eastAsia="仿宋_GB2312" w:cs="仿宋_GB2312"/>
          <w:color w:val="000000"/>
          <w:kern w:val="0"/>
          <w:sz w:val="32"/>
          <w:szCs w:val="32"/>
        </w:rPr>
        <w:t>基本支出</w:t>
      </w:r>
      <w:r>
        <w:rPr>
          <w:rFonts w:ascii="仿宋_GB2312" w:hAnsi="仿宋" w:eastAsia="仿宋_GB2312" w:cs="仿宋_GB2312"/>
          <w:color w:val="000000"/>
          <w:kern w:val="0"/>
          <w:sz w:val="32"/>
          <w:szCs w:val="32"/>
        </w:rPr>
        <w:t>2019</w:t>
      </w:r>
      <w:r>
        <w:rPr>
          <w:rFonts w:hint="eastAsia" w:ascii="仿宋_GB2312" w:hAnsi="仿宋" w:eastAsia="仿宋_GB2312" w:cs="仿宋_GB2312"/>
          <w:color w:val="000000"/>
          <w:kern w:val="0"/>
          <w:sz w:val="32"/>
          <w:szCs w:val="32"/>
        </w:rPr>
        <w:t>年按月或季度进行申报，其中人员工资按月申报并直接支付，日常公用经费按季度进行申报并支付，截止</w:t>
      </w:r>
      <w:r>
        <w:rPr>
          <w:rFonts w:ascii="仿宋_GB2312" w:hAnsi="仿宋" w:eastAsia="仿宋_GB2312" w:cs="仿宋_GB2312"/>
          <w:color w:val="000000"/>
          <w:kern w:val="0"/>
          <w:sz w:val="32"/>
          <w:szCs w:val="32"/>
        </w:rPr>
        <w:t>6</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50%</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9</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75%</w:t>
      </w:r>
      <w:r>
        <w:rPr>
          <w:rFonts w:hint="eastAsia" w:ascii="仿宋_GB2312" w:hAnsi="仿宋" w:eastAsia="仿宋_GB2312" w:cs="仿宋_GB2312"/>
          <w:color w:val="000000"/>
          <w:kern w:val="0"/>
          <w:sz w:val="32"/>
          <w:szCs w:val="32"/>
        </w:rPr>
        <w:t>，</w:t>
      </w:r>
      <w:r>
        <w:rPr>
          <w:rFonts w:ascii="仿宋_GB2312" w:hAnsi="仿宋" w:eastAsia="仿宋_GB2312" w:cs="仿宋_GB2312"/>
          <w:color w:val="000000"/>
          <w:kern w:val="0"/>
          <w:sz w:val="32"/>
          <w:szCs w:val="32"/>
        </w:rPr>
        <w:t>12</w:t>
      </w:r>
      <w:r>
        <w:rPr>
          <w:rFonts w:hint="eastAsia" w:ascii="仿宋_GB2312" w:hAnsi="仿宋" w:eastAsia="仿宋_GB2312" w:cs="仿宋_GB2312"/>
          <w:color w:val="000000"/>
          <w:kern w:val="0"/>
          <w:sz w:val="32"/>
          <w:szCs w:val="32"/>
        </w:rPr>
        <w:t>月执行进度</w:t>
      </w:r>
      <w:r>
        <w:rPr>
          <w:rFonts w:ascii="仿宋_GB2312" w:hAnsi="仿宋" w:eastAsia="仿宋_GB2312" w:cs="仿宋_GB2312"/>
          <w:color w:val="000000"/>
          <w:kern w:val="0"/>
          <w:sz w:val="32"/>
          <w:szCs w:val="32"/>
        </w:rPr>
        <w:t>100%</w:t>
      </w:r>
      <w:r>
        <w:rPr>
          <w:rFonts w:hint="eastAsia" w:ascii="仿宋_GB2312" w:hAnsi="仿宋" w:eastAsia="仿宋_GB2312" w:cs="仿宋_GB2312"/>
          <w:color w:val="000000"/>
          <w:kern w:val="0"/>
          <w:sz w:val="32"/>
          <w:szCs w:val="32"/>
        </w:rPr>
        <w:t>。项目支出按</w:t>
      </w:r>
      <w:r>
        <w:rPr>
          <w:rFonts w:hint="eastAsia" w:ascii="仿宋_GB2312" w:hAnsi="仿宋" w:eastAsia="仿宋_GB2312" w:cs="仿宋_GB2312"/>
          <w:kern w:val="0"/>
          <w:sz w:val="32"/>
          <w:szCs w:val="32"/>
        </w:rPr>
        <w:t>月申报并直接支付，其中</w:t>
      </w:r>
      <w:r>
        <w:rPr>
          <w:rFonts w:ascii="仿宋_GB2312" w:hAnsi="仿宋" w:eastAsia="仿宋_GB2312" w:cs="仿宋_GB2312"/>
          <w:kern w:val="0"/>
          <w:sz w:val="32"/>
          <w:szCs w:val="32"/>
        </w:rPr>
        <w:t>1-6</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47%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1-9</w:t>
      </w:r>
      <w:r>
        <w:rPr>
          <w:rFonts w:hint="eastAsia" w:ascii="仿宋_GB2312" w:hAnsi="仿宋" w:eastAsia="仿宋_GB2312" w:cs="仿宋_GB2312"/>
          <w:kern w:val="0"/>
          <w:sz w:val="32"/>
          <w:szCs w:val="32"/>
        </w:rPr>
        <w:t>月执行进度数</w:t>
      </w:r>
      <w:r>
        <w:rPr>
          <w:rFonts w:ascii="仿宋_GB2312" w:hAnsi="仿宋" w:eastAsia="仿宋_GB2312" w:cs="仿宋_GB2312"/>
          <w:kern w:val="0"/>
          <w:sz w:val="32"/>
          <w:szCs w:val="32"/>
        </w:rPr>
        <w:t>67%</w:t>
      </w:r>
      <w:r>
        <w:rPr>
          <w:rFonts w:hint="eastAsia" w:ascii="仿宋_GB2312" w:hAnsi="仿宋" w:eastAsia="仿宋_GB2312" w:cs="仿宋_GB2312"/>
          <w:kern w:val="0"/>
          <w:sz w:val="32"/>
          <w:szCs w:val="32"/>
        </w:rPr>
        <w:t>，</w:t>
      </w:r>
      <w:r>
        <w:rPr>
          <w:rFonts w:ascii="仿宋_GB2312" w:hAnsi="仿宋" w:eastAsia="仿宋_GB2312" w:cs="仿宋_GB2312"/>
          <w:kern w:val="0"/>
          <w:sz w:val="32"/>
          <w:szCs w:val="32"/>
        </w:rPr>
        <w:t>1-12</w:t>
      </w:r>
      <w:r>
        <w:rPr>
          <w:rFonts w:hint="eastAsia" w:ascii="仿宋_GB2312" w:hAnsi="仿宋" w:eastAsia="仿宋_GB2312" w:cs="仿宋_GB2312"/>
          <w:kern w:val="0"/>
          <w:sz w:val="32"/>
          <w:szCs w:val="32"/>
        </w:rPr>
        <w:t>月执行进度</w:t>
      </w:r>
      <w:r>
        <w:rPr>
          <w:rFonts w:ascii="仿宋_GB2312" w:hAnsi="仿宋" w:eastAsia="仿宋_GB2312" w:cs="仿宋_GB2312"/>
          <w:kern w:val="0"/>
          <w:sz w:val="32"/>
          <w:szCs w:val="32"/>
        </w:rPr>
        <w:t>100%</w:t>
      </w:r>
      <w:r>
        <w:rPr>
          <w:rFonts w:hint="eastAsia" w:ascii="仿宋_GB2312" w:hAnsi="仿宋" w:eastAsia="仿宋_GB2312" w:cs="仿宋_GB2312"/>
          <w:kern w:val="0"/>
          <w:sz w:val="32"/>
          <w:szCs w:val="32"/>
        </w:rPr>
        <w:t>。</w:t>
      </w:r>
    </w:p>
    <w:p>
      <w:pPr>
        <w:pStyle w:val="3"/>
        <w:pageBreakBefore w:val="0"/>
        <w:kinsoku/>
        <w:wordWrap/>
        <w:overflowPunct/>
        <w:topLinePunct w:val="0"/>
        <w:autoSpaceDE/>
        <w:autoSpaceDN/>
        <w:bidi w:val="0"/>
        <w:spacing w:before="0" w:after="0" w:line="576" w:lineRule="exact"/>
        <w:ind w:firstLine="640" w:firstLineChars="200"/>
        <w:textAlignment w:val="auto"/>
        <w:rPr>
          <w:rFonts w:ascii="黑体" w:hAnsi="黑体" w:eastAsia="黑体" w:cs="Times New Roman"/>
          <w:b w:val="0"/>
          <w:bCs w:val="0"/>
        </w:rPr>
      </w:pPr>
      <w:r>
        <w:rPr>
          <w:rFonts w:hint="eastAsia" w:ascii="黑体" w:hAnsi="黑体" w:eastAsia="黑体" w:cs="黑体"/>
          <w:b w:val="0"/>
          <w:bCs w:val="0"/>
        </w:rPr>
        <w:t>四、评价结论及建议</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（一）评价结论</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（二）存在问题</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由于人员少，工作量大，对全镇经济和社会事业发展在资金安排、使用、核算上存在不很合理现象，导致预算经费科目与支出科目存在差异。</w:t>
      </w:r>
    </w:p>
    <w:p>
      <w:pPr>
        <w:pageBreakBefore w:val="0"/>
        <w:widowControl/>
        <w:kinsoku/>
        <w:wordWrap/>
        <w:overflowPunct/>
        <w:topLinePunct w:val="0"/>
        <w:autoSpaceDE/>
        <w:autoSpaceDN/>
        <w:bidi w:val="0"/>
        <w:adjustRightInd w:val="0"/>
        <w:snapToGrid w:val="0"/>
        <w:spacing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（三）改进建议</w:t>
      </w:r>
    </w:p>
    <w:p>
      <w:pPr>
        <w:pageBreakBefore w:val="0"/>
        <w:kinsoku/>
        <w:wordWrap/>
        <w:overflowPunct/>
        <w:topLinePunct w:val="0"/>
        <w:autoSpaceDE/>
        <w:autoSpaceDN/>
        <w:bidi w:val="0"/>
        <w:spacing w:line="576" w:lineRule="exact"/>
        <w:ind w:firstLine="640" w:firstLineChars="200"/>
        <w:textAlignment w:val="auto"/>
        <w:rPr>
          <w:rFonts w:ascii="仿宋" w:hAnsi="仿宋" w:eastAsia="仿宋"/>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在今后工作中，进一步提高工作效率，在合法、合规的前提下，合理安排和使用本镇资金，为全镇经济和社会事业发展更好地服好务</w:t>
      </w:r>
      <w:r>
        <w:rPr>
          <w:rFonts w:hint="eastAsia" w:ascii="仿宋" w:hAnsi="仿宋" w:eastAsia="仿宋" w:cs="仿宋"/>
          <w:color w:val="000000"/>
          <w:sz w:val="32"/>
          <w:szCs w:val="32"/>
          <w:shd w:val="clear" w:color="auto" w:fill="FFFFFF"/>
        </w:rPr>
        <w:t>。</w:t>
      </w:r>
    </w:p>
    <w:p>
      <w:pPr>
        <w:spacing w:line="580" w:lineRule="exact"/>
        <w:jc w:val="center"/>
        <w:rPr>
          <w:rFonts w:ascii="方正小标宋简体" w:hAnsi="方正小标宋简体" w:eastAsia="方正小标宋简体" w:cs="方正小标宋简体"/>
          <w:color w:val="000000"/>
          <w:sz w:val="44"/>
          <w:szCs w:val="44"/>
        </w:rPr>
      </w:pPr>
      <w:bookmarkStart w:id="55" w:name="_Toc15396618"/>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Fonts w:ascii="方正小标宋简体" w:hAnsi="方正小标宋简体" w:eastAsia="方正小标宋简体" w:cs="方正小标宋简体"/>
          <w:color w:val="000000"/>
          <w:sz w:val="44"/>
          <w:szCs w:val="44"/>
        </w:rPr>
      </w:pPr>
    </w:p>
    <w:p>
      <w:pPr>
        <w:spacing w:line="580" w:lineRule="exact"/>
        <w:jc w:val="center"/>
        <w:rPr>
          <w:rStyle w:val="24"/>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rPr>
        <w:t>五部分 附表</w:t>
      </w:r>
      <w:bookmarkEnd w:id="52"/>
      <w:bookmarkEnd w:id="55"/>
    </w:p>
    <w:p>
      <w:pPr>
        <w:pStyle w:val="3"/>
        <w:rPr>
          <w:rFonts w:ascii="仿宋_GB2312" w:hAnsi="仿宋_GB2312" w:eastAsia="仿宋_GB2312" w:cs="仿宋_GB2312"/>
          <w:color w:val="000000"/>
        </w:rPr>
      </w:pPr>
      <w:bookmarkStart w:id="56" w:name="_Toc15396619"/>
      <w:r>
        <w:rPr>
          <w:rFonts w:hint="eastAsia" w:ascii="仿宋_GB2312" w:hAnsi="仿宋_GB2312" w:eastAsia="仿宋_GB2312" w:cs="仿宋_GB2312"/>
          <w:b w:val="0"/>
          <w:bCs w:val="0"/>
          <w:color w:val="000000"/>
        </w:rPr>
        <w:t>一、收</w:t>
      </w:r>
      <w:r>
        <w:rPr>
          <w:rStyle w:val="25"/>
          <w:rFonts w:hint="eastAsia" w:ascii="仿宋_GB2312" w:hAnsi="仿宋_GB2312" w:eastAsia="仿宋_GB2312" w:cs="仿宋_GB2312"/>
          <w:b w:val="0"/>
          <w:bCs w:val="0"/>
        </w:rPr>
        <w:t>入支出决算总表</w:t>
      </w:r>
      <w:bookmarkEnd w:id="56"/>
    </w:p>
    <w:p>
      <w:pPr>
        <w:pStyle w:val="3"/>
        <w:rPr>
          <w:rFonts w:ascii="仿宋_GB2312" w:hAnsi="仿宋_GB2312" w:eastAsia="仿宋_GB2312" w:cs="仿宋_GB2312"/>
          <w:color w:val="000000"/>
        </w:rPr>
      </w:pPr>
      <w:bookmarkStart w:id="57" w:name="_Toc15396620"/>
      <w:r>
        <w:rPr>
          <w:rFonts w:hint="eastAsia" w:ascii="仿宋_GB2312" w:hAnsi="仿宋_GB2312" w:eastAsia="仿宋_GB2312" w:cs="仿宋_GB2312"/>
          <w:b w:val="0"/>
          <w:bCs w:val="0"/>
          <w:color w:val="000000"/>
        </w:rPr>
        <w:t>二、收</w:t>
      </w:r>
      <w:r>
        <w:rPr>
          <w:rStyle w:val="25"/>
          <w:rFonts w:hint="eastAsia" w:ascii="仿宋_GB2312" w:hAnsi="仿宋_GB2312" w:eastAsia="仿宋_GB2312" w:cs="仿宋_GB2312"/>
          <w:b w:val="0"/>
          <w:bCs w:val="0"/>
        </w:rPr>
        <w:t>入总表</w:t>
      </w:r>
      <w:bookmarkEnd w:id="57"/>
    </w:p>
    <w:p>
      <w:pPr>
        <w:pStyle w:val="3"/>
        <w:rPr>
          <w:rFonts w:ascii="仿宋_GB2312" w:hAnsi="仿宋_GB2312" w:eastAsia="仿宋_GB2312" w:cs="仿宋_GB2312"/>
          <w:color w:val="000000"/>
        </w:rPr>
      </w:pPr>
      <w:bookmarkStart w:id="58"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bCs w:val="0"/>
          <w:color w:val="000000"/>
        </w:rPr>
        <w:t>支</w:t>
      </w:r>
      <w:r>
        <w:rPr>
          <w:rStyle w:val="25"/>
          <w:rFonts w:hint="eastAsia" w:ascii="仿宋_GB2312" w:hAnsi="仿宋_GB2312" w:eastAsia="仿宋_GB2312" w:cs="仿宋_GB2312"/>
          <w:b w:val="0"/>
          <w:bCs w:val="0"/>
        </w:rPr>
        <w:t>出总表</w:t>
      </w:r>
      <w:bookmarkEnd w:id="58"/>
    </w:p>
    <w:p>
      <w:pPr>
        <w:pStyle w:val="3"/>
        <w:rPr>
          <w:rFonts w:ascii="仿宋_GB2312" w:hAnsi="仿宋_GB2312" w:eastAsia="仿宋_GB2312" w:cs="仿宋_GB2312"/>
          <w:b w:val="0"/>
          <w:bCs w:val="0"/>
          <w:color w:val="000000"/>
        </w:rPr>
      </w:pPr>
      <w:bookmarkStart w:id="59"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bCs w:val="0"/>
          <w:color w:val="000000"/>
        </w:rPr>
        <w:t>财</w:t>
      </w:r>
      <w:r>
        <w:rPr>
          <w:rStyle w:val="25"/>
          <w:rFonts w:hint="eastAsia" w:ascii="仿宋_GB2312" w:hAnsi="仿宋_GB2312" w:eastAsia="仿宋_GB2312" w:cs="仿宋_GB2312"/>
          <w:b w:val="0"/>
          <w:bCs w:val="0"/>
        </w:rPr>
        <w:t>政拨款收入支出决算总表</w:t>
      </w:r>
      <w:bookmarkEnd w:id="59"/>
    </w:p>
    <w:p>
      <w:pPr>
        <w:pStyle w:val="3"/>
        <w:rPr>
          <w:rFonts w:ascii="仿宋_GB2312" w:hAnsi="仿宋_GB2312" w:eastAsia="仿宋_GB2312" w:cs="仿宋_GB2312"/>
          <w:color w:val="000000"/>
        </w:rPr>
      </w:pPr>
      <w:bookmarkStart w:id="60"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bCs w:val="0"/>
          <w:color w:val="000000"/>
        </w:rPr>
        <w:t>财</w:t>
      </w:r>
      <w:r>
        <w:rPr>
          <w:rStyle w:val="25"/>
          <w:rFonts w:hint="eastAsia" w:ascii="仿宋_GB2312" w:hAnsi="仿宋_GB2312" w:eastAsia="仿宋_GB2312" w:cs="仿宋_GB2312"/>
          <w:b w:val="0"/>
          <w:bCs w:val="0"/>
        </w:rPr>
        <w:t>政拨款支出决算明细表（政府经济分类科目）</w:t>
      </w:r>
      <w:bookmarkEnd w:id="60"/>
    </w:p>
    <w:p>
      <w:pPr>
        <w:pStyle w:val="3"/>
        <w:rPr>
          <w:rFonts w:ascii="仿宋_GB2312" w:hAnsi="仿宋_GB2312" w:eastAsia="仿宋_GB2312" w:cs="仿宋_GB2312"/>
          <w:color w:val="000000"/>
        </w:rPr>
      </w:pPr>
      <w:bookmarkStart w:id="61"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般公共预算财政拨款支出决算表</w:t>
      </w:r>
      <w:bookmarkEnd w:id="61"/>
    </w:p>
    <w:p>
      <w:pPr>
        <w:pStyle w:val="3"/>
        <w:rPr>
          <w:rFonts w:ascii="仿宋_GB2312" w:hAnsi="仿宋_GB2312" w:eastAsia="仿宋_GB2312" w:cs="仿宋_GB2312"/>
          <w:color w:val="000000"/>
        </w:rPr>
      </w:pPr>
      <w:bookmarkStart w:id="62"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般公共预算财政拨款支出决算明细表</w:t>
      </w:r>
      <w:bookmarkEnd w:id="62"/>
    </w:p>
    <w:p>
      <w:pPr>
        <w:pStyle w:val="3"/>
        <w:rPr>
          <w:rFonts w:ascii="仿宋_GB2312" w:hAnsi="仿宋_GB2312" w:eastAsia="仿宋_GB2312" w:cs="仿宋_GB2312"/>
          <w:color w:val="000000"/>
        </w:rPr>
      </w:pPr>
      <w:bookmarkStart w:id="63"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般公共预算财政拨款基本支出决算表</w:t>
      </w:r>
      <w:bookmarkEnd w:id="63"/>
    </w:p>
    <w:p>
      <w:pPr>
        <w:pStyle w:val="3"/>
        <w:rPr>
          <w:rFonts w:ascii="仿宋_GB2312" w:hAnsi="仿宋_GB2312" w:eastAsia="仿宋_GB2312" w:cs="仿宋_GB2312"/>
          <w:color w:val="000000"/>
        </w:rPr>
      </w:pPr>
      <w:bookmarkStart w:id="64"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般公共预算财政拨款项目支出决算表</w:t>
      </w:r>
      <w:bookmarkEnd w:id="64"/>
    </w:p>
    <w:p>
      <w:pPr>
        <w:pStyle w:val="3"/>
        <w:rPr>
          <w:rFonts w:ascii="仿宋_GB2312" w:hAnsi="仿宋_GB2312" w:eastAsia="仿宋_GB2312" w:cs="仿宋_GB2312"/>
          <w:color w:val="000000"/>
        </w:rPr>
      </w:pPr>
      <w:bookmarkStart w:id="65"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bCs w:val="0"/>
          <w:color w:val="000000"/>
        </w:rPr>
        <w:t>一</w:t>
      </w:r>
      <w:r>
        <w:rPr>
          <w:rStyle w:val="25"/>
          <w:rFonts w:hint="eastAsia" w:ascii="仿宋_GB2312" w:hAnsi="仿宋_GB2312" w:eastAsia="仿宋_GB2312" w:cs="仿宋_GB2312"/>
          <w:b w:val="0"/>
          <w:bCs w:val="0"/>
        </w:rPr>
        <w:t>般公共预算财政拨款“三公”经费支出决算表</w:t>
      </w:r>
      <w:bookmarkEnd w:id="65"/>
    </w:p>
    <w:p>
      <w:pPr>
        <w:pStyle w:val="3"/>
        <w:rPr>
          <w:rFonts w:ascii="仿宋_GB2312" w:hAnsi="仿宋_GB2312" w:eastAsia="仿宋_GB2312" w:cs="仿宋_GB2312"/>
          <w:color w:val="000000"/>
        </w:rPr>
      </w:pPr>
      <w:bookmarkStart w:id="66" w:name="_Toc15396629"/>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bCs w:val="0"/>
          <w:color w:val="000000"/>
        </w:rPr>
        <w:t>政</w:t>
      </w:r>
      <w:r>
        <w:rPr>
          <w:rStyle w:val="25"/>
          <w:rFonts w:hint="eastAsia" w:ascii="仿宋_GB2312" w:hAnsi="仿宋_GB2312" w:eastAsia="仿宋_GB2312" w:cs="仿宋_GB2312"/>
          <w:b w:val="0"/>
          <w:bCs w:val="0"/>
        </w:rPr>
        <w:t>府性基金预算财政拨款收入支出决算表</w:t>
      </w:r>
      <w:bookmarkEnd w:id="66"/>
    </w:p>
    <w:p>
      <w:pPr>
        <w:pStyle w:val="3"/>
        <w:rPr>
          <w:rFonts w:ascii="仿宋_GB2312" w:hAnsi="仿宋_GB2312" w:eastAsia="仿宋_GB2312" w:cs="仿宋_GB2312"/>
          <w:color w:val="000000"/>
        </w:rPr>
      </w:pPr>
      <w:bookmarkStart w:id="67" w:name="_Toc15396630"/>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bCs w:val="0"/>
          <w:color w:val="000000"/>
        </w:rPr>
        <w:t>政</w:t>
      </w:r>
      <w:r>
        <w:rPr>
          <w:rStyle w:val="25"/>
          <w:rFonts w:hint="eastAsia" w:ascii="仿宋_GB2312" w:hAnsi="仿宋_GB2312" w:eastAsia="仿宋_GB2312" w:cs="仿宋_GB2312"/>
          <w:b w:val="0"/>
          <w:bCs w:val="0"/>
        </w:rPr>
        <w:t>府性基金预算财政拨款“三公”经费支出决算表</w:t>
      </w:r>
      <w:bookmarkEnd w:id="67"/>
    </w:p>
    <w:p>
      <w:pPr>
        <w:pStyle w:val="3"/>
        <w:rPr>
          <w:rStyle w:val="25"/>
          <w:rFonts w:ascii="仿宋_GB2312" w:hAnsi="仿宋_GB2312" w:eastAsia="仿宋_GB2312" w:cs="仿宋_GB2312"/>
          <w:b w:val="0"/>
          <w:bCs w:val="0"/>
        </w:rPr>
      </w:pPr>
      <w:bookmarkStart w:id="68" w:name="_Toc15396631"/>
      <w:r>
        <w:rPr>
          <w:rStyle w:val="25"/>
          <w:rFonts w:hint="eastAsia" w:ascii="仿宋_GB2312" w:hAnsi="仿宋_GB2312" w:eastAsia="仿宋_GB2312" w:cs="仿宋_GB2312"/>
          <w:b w:val="0"/>
          <w:bCs w:val="0"/>
        </w:rPr>
        <w:t>十三、</w:t>
      </w:r>
      <w:r>
        <w:rPr>
          <w:rFonts w:hint="eastAsia" w:ascii="仿宋_GB2312" w:hAnsi="仿宋_GB2312" w:eastAsia="仿宋_GB2312" w:cs="仿宋_GB2312"/>
          <w:b w:val="0"/>
          <w:bCs w:val="0"/>
          <w:color w:val="000000"/>
        </w:rPr>
        <w:t>国</w:t>
      </w:r>
      <w:r>
        <w:rPr>
          <w:rStyle w:val="25"/>
          <w:rFonts w:hint="eastAsia" w:ascii="仿宋_GB2312" w:hAnsi="仿宋_GB2312" w:eastAsia="仿宋_GB2312" w:cs="仿宋_GB2312"/>
          <w:b w:val="0"/>
          <w:bCs w:val="0"/>
        </w:rPr>
        <w:t>有资本经营预算支出决算表</w:t>
      </w:r>
      <w:bookmarkEnd w:id="68"/>
    </w:p>
    <w:p>
      <w:pPr>
        <w:rPr>
          <w:rFonts w:ascii="仿宋_GB2312" w:hAnsi="仿宋_GB2312" w:eastAsia="仿宋_GB2312" w:cs="仿宋_GB2312"/>
          <w:b/>
          <w:bCs/>
        </w:rPr>
      </w:pP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2FFF7"/>
    <w:multiLevelType w:val="singleLevel"/>
    <w:tmpl w:val="4E42FFF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266F4"/>
    <w:rsid w:val="00045ADF"/>
    <w:rsid w:val="000468DB"/>
    <w:rsid w:val="00057F25"/>
    <w:rsid w:val="0006487A"/>
    <w:rsid w:val="00065F8F"/>
    <w:rsid w:val="00070A43"/>
    <w:rsid w:val="000768F2"/>
    <w:rsid w:val="0008196D"/>
    <w:rsid w:val="0009184B"/>
    <w:rsid w:val="00094236"/>
    <w:rsid w:val="0009593C"/>
    <w:rsid w:val="00097322"/>
    <w:rsid w:val="000A6A92"/>
    <w:rsid w:val="000B047F"/>
    <w:rsid w:val="000B5923"/>
    <w:rsid w:val="000B5A48"/>
    <w:rsid w:val="000B6FF3"/>
    <w:rsid w:val="000C3467"/>
    <w:rsid w:val="000C3CA6"/>
    <w:rsid w:val="000C6EB7"/>
    <w:rsid w:val="000D1267"/>
    <w:rsid w:val="000D1D50"/>
    <w:rsid w:val="000D5782"/>
    <w:rsid w:val="000E58CD"/>
    <w:rsid w:val="000E6613"/>
    <w:rsid w:val="000E7119"/>
    <w:rsid w:val="00114E9B"/>
    <w:rsid w:val="00140FCD"/>
    <w:rsid w:val="00142216"/>
    <w:rsid w:val="00144D6A"/>
    <w:rsid w:val="0014729F"/>
    <w:rsid w:val="00157BAB"/>
    <w:rsid w:val="001654D1"/>
    <w:rsid w:val="00167608"/>
    <w:rsid w:val="00174518"/>
    <w:rsid w:val="0018106D"/>
    <w:rsid w:val="00185556"/>
    <w:rsid w:val="001877A7"/>
    <w:rsid w:val="00191536"/>
    <w:rsid w:val="00196687"/>
    <w:rsid w:val="00197CEB"/>
    <w:rsid w:val="001B2FD0"/>
    <w:rsid w:val="001B68DA"/>
    <w:rsid w:val="001B6BF9"/>
    <w:rsid w:val="001C0962"/>
    <w:rsid w:val="001D7531"/>
    <w:rsid w:val="001E737D"/>
    <w:rsid w:val="001F0592"/>
    <w:rsid w:val="001F4D1F"/>
    <w:rsid w:val="001F7506"/>
    <w:rsid w:val="002006CD"/>
    <w:rsid w:val="00202B36"/>
    <w:rsid w:val="00204B7A"/>
    <w:rsid w:val="00204CDE"/>
    <w:rsid w:val="002101F8"/>
    <w:rsid w:val="0021101A"/>
    <w:rsid w:val="0021615F"/>
    <w:rsid w:val="00220536"/>
    <w:rsid w:val="002245A0"/>
    <w:rsid w:val="00235629"/>
    <w:rsid w:val="00240FBE"/>
    <w:rsid w:val="00260C38"/>
    <w:rsid w:val="002616C0"/>
    <w:rsid w:val="0026505F"/>
    <w:rsid w:val="00265372"/>
    <w:rsid w:val="002662AA"/>
    <w:rsid w:val="00280496"/>
    <w:rsid w:val="002833CB"/>
    <w:rsid w:val="00286030"/>
    <w:rsid w:val="00294DC9"/>
    <w:rsid w:val="00295495"/>
    <w:rsid w:val="002A31DE"/>
    <w:rsid w:val="002B2613"/>
    <w:rsid w:val="002D19B0"/>
    <w:rsid w:val="002D6D05"/>
    <w:rsid w:val="002F1818"/>
    <w:rsid w:val="002F42DB"/>
    <w:rsid w:val="002F567B"/>
    <w:rsid w:val="003216A9"/>
    <w:rsid w:val="00321A1D"/>
    <w:rsid w:val="00324A43"/>
    <w:rsid w:val="00335A74"/>
    <w:rsid w:val="00344DDC"/>
    <w:rsid w:val="00362D25"/>
    <w:rsid w:val="0036561B"/>
    <w:rsid w:val="0037013F"/>
    <w:rsid w:val="00380C92"/>
    <w:rsid w:val="003A484F"/>
    <w:rsid w:val="003A4883"/>
    <w:rsid w:val="003B0BE0"/>
    <w:rsid w:val="003B0C1B"/>
    <w:rsid w:val="003B688C"/>
    <w:rsid w:val="003C0291"/>
    <w:rsid w:val="003C39AE"/>
    <w:rsid w:val="003C7B60"/>
    <w:rsid w:val="003D0C0F"/>
    <w:rsid w:val="003D1ED5"/>
    <w:rsid w:val="003D1FB2"/>
    <w:rsid w:val="003D42BB"/>
    <w:rsid w:val="003D64AF"/>
    <w:rsid w:val="003D66DA"/>
    <w:rsid w:val="003D79AC"/>
    <w:rsid w:val="003E1310"/>
    <w:rsid w:val="003E272D"/>
    <w:rsid w:val="003E5BAB"/>
    <w:rsid w:val="003E6F55"/>
    <w:rsid w:val="003F6619"/>
    <w:rsid w:val="003F7760"/>
    <w:rsid w:val="00406254"/>
    <w:rsid w:val="00416CD4"/>
    <w:rsid w:val="004223DE"/>
    <w:rsid w:val="00425114"/>
    <w:rsid w:val="00434489"/>
    <w:rsid w:val="00437085"/>
    <w:rsid w:val="00443880"/>
    <w:rsid w:val="004464F4"/>
    <w:rsid w:val="0046400A"/>
    <w:rsid w:val="00471401"/>
    <w:rsid w:val="00473F31"/>
    <w:rsid w:val="0048263A"/>
    <w:rsid w:val="00487E5D"/>
    <w:rsid w:val="004A711F"/>
    <w:rsid w:val="004B199D"/>
    <w:rsid w:val="004B4690"/>
    <w:rsid w:val="004C5A3E"/>
    <w:rsid w:val="004E0A2D"/>
    <w:rsid w:val="004E206B"/>
    <w:rsid w:val="004E2CC8"/>
    <w:rsid w:val="004E6DF7"/>
    <w:rsid w:val="004F0FBD"/>
    <w:rsid w:val="004F403E"/>
    <w:rsid w:val="004F778D"/>
    <w:rsid w:val="005043ED"/>
    <w:rsid w:val="00505A47"/>
    <w:rsid w:val="00512FDA"/>
    <w:rsid w:val="00520DA0"/>
    <w:rsid w:val="005664BB"/>
    <w:rsid w:val="00566FFA"/>
    <w:rsid w:val="00570FF6"/>
    <w:rsid w:val="0057481D"/>
    <w:rsid w:val="00575F0B"/>
    <w:rsid w:val="0058486E"/>
    <w:rsid w:val="00585B33"/>
    <w:rsid w:val="00587F9A"/>
    <w:rsid w:val="0059014D"/>
    <w:rsid w:val="0059446A"/>
    <w:rsid w:val="005976DF"/>
    <w:rsid w:val="005A4BB7"/>
    <w:rsid w:val="005B5C64"/>
    <w:rsid w:val="005C6BD0"/>
    <w:rsid w:val="005C6C4C"/>
    <w:rsid w:val="005D1C8B"/>
    <w:rsid w:val="005D468D"/>
    <w:rsid w:val="005D5CED"/>
    <w:rsid w:val="005F1A4C"/>
    <w:rsid w:val="00603DAF"/>
    <w:rsid w:val="00605688"/>
    <w:rsid w:val="006070AF"/>
    <w:rsid w:val="00607E6C"/>
    <w:rsid w:val="006101B1"/>
    <w:rsid w:val="00614E44"/>
    <w:rsid w:val="0062270A"/>
    <w:rsid w:val="00622830"/>
    <w:rsid w:val="00623DA0"/>
    <w:rsid w:val="00630AEF"/>
    <w:rsid w:val="006325F8"/>
    <w:rsid w:val="00633463"/>
    <w:rsid w:val="00634C9A"/>
    <w:rsid w:val="00641ADD"/>
    <w:rsid w:val="006440E4"/>
    <w:rsid w:val="0066343B"/>
    <w:rsid w:val="00664777"/>
    <w:rsid w:val="00671BD7"/>
    <w:rsid w:val="00671FCE"/>
    <w:rsid w:val="006748A4"/>
    <w:rsid w:val="00681A31"/>
    <w:rsid w:val="00683E73"/>
    <w:rsid w:val="006A3141"/>
    <w:rsid w:val="006A5E34"/>
    <w:rsid w:val="006B2422"/>
    <w:rsid w:val="006B2B9A"/>
    <w:rsid w:val="006C1937"/>
    <w:rsid w:val="006D3709"/>
    <w:rsid w:val="006D7695"/>
    <w:rsid w:val="006D7FC4"/>
    <w:rsid w:val="006F020C"/>
    <w:rsid w:val="006F038B"/>
    <w:rsid w:val="006F184C"/>
    <w:rsid w:val="007127B7"/>
    <w:rsid w:val="0071798E"/>
    <w:rsid w:val="007244A6"/>
    <w:rsid w:val="00727533"/>
    <w:rsid w:val="007416B6"/>
    <w:rsid w:val="00746F48"/>
    <w:rsid w:val="00752E3B"/>
    <w:rsid w:val="00753C1D"/>
    <w:rsid w:val="0075404D"/>
    <w:rsid w:val="0076182A"/>
    <w:rsid w:val="00767B7E"/>
    <w:rsid w:val="00774355"/>
    <w:rsid w:val="00776661"/>
    <w:rsid w:val="007770C3"/>
    <w:rsid w:val="00784D24"/>
    <w:rsid w:val="00785FBA"/>
    <w:rsid w:val="00786E4A"/>
    <w:rsid w:val="007875EB"/>
    <w:rsid w:val="007904ED"/>
    <w:rsid w:val="007930F8"/>
    <w:rsid w:val="0079426B"/>
    <w:rsid w:val="007D1682"/>
    <w:rsid w:val="007D312A"/>
    <w:rsid w:val="007D3F19"/>
    <w:rsid w:val="007D5EE8"/>
    <w:rsid w:val="007E23B0"/>
    <w:rsid w:val="007F1991"/>
    <w:rsid w:val="007F2C2F"/>
    <w:rsid w:val="007F46C3"/>
    <w:rsid w:val="007F55FC"/>
    <w:rsid w:val="007F5665"/>
    <w:rsid w:val="00800112"/>
    <w:rsid w:val="00813348"/>
    <w:rsid w:val="008253BB"/>
    <w:rsid w:val="00825547"/>
    <w:rsid w:val="00833962"/>
    <w:rsid w:val="00835570"/>
    <w:rsid w:val="0083706E"/>
    <w:rsid w:val="008408F6"/>
    <w:rsid w:val="00841A20"/>
    <w:rsid w:val="00841C4D"/>
    <w:rsid w:val="008423A5"/>
    <w:rsid w:val="00850625"/>
    <w:rsid w:val="00853718"/>
    <w:rsid w:val="00855221"/>
    <w:rsid w:val="00856096"/>
    <w:rsid w:val="00860645"/>
    <w:rsid w:val="00863EF1"/>
    <w:rsid w:val="00871F71"/>
    <w:rsid w:val="00872FD8"/>
    <w:rsid w:val="00885AF4"/>
    <w:rsid w:val="008939CD"/>
    <w:rsid w:val="008A60BE"/>
    <w:rsid w:val="008B1A4C"/>
    <w:rsid w:val="008B768C"/>
    <w:rsid w:val="008B7F34"/>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716A"/>
    <w:rsid w:val="0097099F"/>
    <w:rsid w:val="00971997"/>
    <w:rsid w:val="00971FFC"/>
    <w:rsid w:val="0098660A"/>
    <w:rsid w:val="009931C3"/>
    <w:rsid w:val="009A3926"/>
    <w:rsid w:val="009B2C43"/>
    <w:rsid w:val="009B4EAE"/>
    <w:rsid w:val="009B5FE5"/>
    <w:rsid w:val="009B654A"/>
    <w:rsid w:val="009B7573"/>
    <w:rsid w:val="009C123C"/>
    <w:rsid w:val="009C22F4"/>
    <w:rsid w:val="009C2E98"/>
    <w:rsid w:val="009C37FB"/>
    <w:rsid w:val="009C63A6"/>
    <w:rsid w:val="009D3447"/>
    <w:rsid w:val="009D4711"/>
    <w:rsid w:val="009F1185"/>
    <w:rsid w:val="009F18CD"/>
    <w:rsid w:val="009F2A13"/>
    <w:rsid w:val="009F7527"/>
    <w:rsid w:val="00A01370"/>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1813"/>
    <w:rsid w:val="00A93B00"/>
    <w:rsid w:val="00A93C21"/>
    <w:rsid w:val="00AB1DED"/>
    <w:rsid w:val="00AB2E07"/>
    <w:rsid w:val="00AB64C9"/>
    <w:rsid w:val="00AC3C6A"/>
    <w:rsid w:val="00AD0F83"/>
    <w:rsid w:val="00AD5620"/>
    <w:rsid w:val="00AD656B"/>
    <w:rsid w:val="00AD7C1B"/>
    <w:rsid w:val="00AE16BA"/>
    <w:rsid w:val="00AE1BD3"/>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579E"/>
    <w:rsid w:val="00B57DAF"/>
    <w:rsid w:val="00B77EA6"/>
    <w:rsid w:val="00B81598"/>
    <w:rsid w:val="00B83345"/>
    <w:rsid w:val="00B841F1"/>
    <w:rsid w:val="00B86909"/>
    <w:rsid w:val="00B944D6"/>
    <w:rsid w:val="00BB4DF0"/>
    <w:rsid w:val="00BC15EB"/>
    <w:rsid w:val="00BC289F"/>
    <w:rsid w:val="00BC2D50"/>
    <w:rsid w:val="00BC5361"/>
    <w:rsid w:val="00BC5460"/>
    <w:rsid w:val="00BC6B50"/>
    <w:rsid w:val="00BD0E25"/>
    <w:rsid w:val="00BF5BD6"/>
    <w:rsid w:val="00C03E31"/>
    <w:rsid w:val="00C27C75"/>
    <w:rsid w:val="00C30E69"/>
    <w:rsid w:val="00C33E72"/>
    <w:rsid w:val="00C354B2"/>
    <w:rsid w:val="00C35554"/>
    <w:rsid w:val="00C42709"/>
    <w:rsid w:val="00C533CC"/>
    <w:rsid w:val="00C5751C"/>
    <w:rsid w:val="00C61BFC"/>
    <w:rsid w:val="00C62B85"/>
    <w:rsid w:val="00C65438"/>
    <w:rsid w:val="00C91CBB"/>
    <w:rsid w:val="00CB0745"/>
    <w:rsid w:val="00CB4E70"/>
    <w:rsid w:val="00CC09B6"/>
    <w:rsid w:val="00CC1A16"/>
    <w:rsid w:val="00CC666F"/>
    <w:rsid w:val="00CD15DD"/>
    <w:rsid w:val="00CD1E3F"/>
    <w:rsid w:val="00CD53F2"/>
    <w:rsid w:val="00CE44F6"/>
    <w:rsid w:val="00CE49DA"/>
    <w:rsid w:val="00CE7B61"/>
    <w:rsid w:val="00CF73C9"/>
    <w:rsid w:val="00D00095"/>
    <w:rsid w:val="00D00A85"/>
    <w:rsid w:val="00D114F0"/>
    <w:rsid w:val="00D179F5"/>
    <w:rsid w:val="00D20620"/>
    <w:rsid w:val="00D2207C"/>
    <w:rsid w:val="00D254F7"/>
    <w:rsid w:val="00D26091"/>
    <w:rsid w:val="00D2685C"/>
    <w:rsid w:val="00D34E7C"/>
    <w:rsid w:val="00D35489"/>
    <w:rsid w:val="00D36AFE"/>
    <w:rsid w:val="00D51276"/>
    <w:rsid w:val="00D6201B"/>
    <w:rsid w:val="00D7035F"/>
    <w:rsid w:val="00DA634F"/>
    <w:rsid w:val="00DA65AC"/>
    <w:rsid w:val="00DB1913"/>
    <w:rsid w:val="00DC410D"/>
    <w:rsid w:val="00DC5A81"/>
    <w:rsid w:val="00DC68CA"/>
    <w:rsid w:val="00DC7CBA"/>
    <w:rsid w:val="00DD2ED3"/>
    <w:rsid w:val="00DD73B7"/>
    <w:rsid w:val="00DF28BC"/>
    <w:rsid w:val="00DF34B9"/>
    <w:rsid w:val="00DF3FF9"/>
    <w:rsid w:val="00DF7548"/>
    <w:rsid w:val="00E01053"/>
    <w:rsid w:val="00E07ACF"/>
    <w:rsid w:val="00E11705"/>
    <w:rsid w:val="00E22B1C"/>
    <w:rsid w:val="00E32E76"/>
    <w:rsid w:val="00E331A1"/>
    <w:rsid w:val="00E33202"/>
    <w:rsid w:val="00E336A9"/>
    <w:rsid w:val="00E472B1"/>
    <w:rsid w:val="00E50624"/>
    <w:rsid w:val="00E55C4E"/>
    <w:rsid w:val="00E568DF"/>
    <w:rsid w:val="00E56E8B"/>
    <w:rsid w:val="00E64269"/>
    <w:rsid w:val="00E66797"/>
    <w:rsid w:val="00E80F07"/>
    <w:rsid w:val="00E82267"/>
    <w:rsid w:val="00E82458"/>
    <w:rsid w:val="00E853CE"/>
    <w:rsid w:val="00E867B6"/>
    <w:rsid w:val="00E87F08"/>
    <w:rsid w:val="00EA010F"/>
    <w:rsid w:val="00ED1B63"/>
    <w:rsid w:val="00ED3C1F"/>
    <w:rsid w:val="00ED4085"/>
    <w:rsid w:val="00ED420E"/>
    <w:rsid w:val="00ED6FBE"/>
    <w:rsid w:val="00EE2F57"/>
    <w:rsid w:val="00EF4C34"/>
    <w:rsid w:val="00EF77C6"/>
    <w:rsid w:val="00F016B7"/>
    <w:rsid w:val="00F05438"/>
    <w:rsid w:val="00F1361C"/>
    <w:rsid w:val="00F15276"/>
    <w:rsid w:val="00F156F0"/>
    <w:rsid w:val="00F160C7"/>
    <w:rsid w:val="00F221F2"/>
    <w:rsid w:val="00F2408F"/>
    <w:rsid w:val="00F240E9"/>
    <w:rsid w:val="00F36D8F"/>
    <w:rsid w:val="00F417B1"/>
    <w:rsid w:val="00F41F81"/>
    <w:rsid w:val="00F423BC"/>
    <w:rsid w:val="00F45853"/>
    <w:rsid w:val="00F602DF"/>
    <w:rsid w:val="00F754A1"/>
    <w:rsid w:val="00F805BE"/>
    <w:rsid w:val="00F81FD9"/>
    <w:rsid w:val="00F841AA"/>
    <w:rsid w:val="00F84A94"/>
    <w:rsid w:val="00F87E96"/>
    <w:rsid w:val="00FA23E8"/>
    <w:rsid w:val="00FA7919"/>
    <w:rsid w:val="00FC1052"/>
    <w:rsid w:val="00FD3CC1"/>
    <w:rsid w:val="00FF1E02"/>
    <w:rsid w:val="00FF30B4"/>
    <w:rsid w:val="090D552B"/>
    <w:rsid w:val="10C055FF"/>
    <w:rsid w:val="16BB723D"/>
    <w:rsid w:val="22C9262E"/>
    <w:rsid w:val="240371BF"/>
    <w:rsid w:val="24091231"/>
    <w:rsid w:val="29FD04D3"/>
    <w:rsid w:val="319F7F4E"/>
    <w:rsid w:val="33A932E7"/>
    <w:rsid w:val="3F4109FB"/>
    <w:rsid w:val="40192BB8"/>
    <w:rsid w:val="41D31BCD"/>
    <w:rsid w:val="49BA3D3F"/>
    <w:rsid w:val="4ECE2238"/>
    <w:rsid w:val="5A654A55"/>
    <w:rsid w:val="68340A4B"/>
    <w:rsid w:val="72734D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9" w:semiHidden="0" w:name="heading 2"/>
    <w:lsdException w:qFormat="1"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iPriority="99" w:semiHidden="0" w:name="toc 2"/>
    <w:lsdException w:qFormat="1"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9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9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99"/>
    <w:pPr>
      <w:ind w:firstLine="420" w:firstLineChars="200"/>
    </w:pPr>
  </w:style>
  <w:style w:type="character" w:customStyle="1" w:styleId="24">
    <w:name w:val="标题 1 Char"/>
    <w:basedOn w:val="13"/>
    <w:link w:val="2"/>
    <w:qFormat/>
    <w:uiPriority w:val="99"/>
    <w:rPr>
      <w:rFonts w:ascii="Times New Roman" w:hAnsi="Times New Roman"/>
      <w:b/>
      <w:bCs/>
      <w:kern w:val="44"/>
      <w:sz w:val="44"/>
      <w:szCs w:val="44"/>
    </w:rPr>
  </w:style>
  <w:style w:type="character" w:customStyle="1" w:styleId="25">
    <w:name w:val="标题 2 Char"/>
    <w:basedOn w:val="13"/>
    <w:link w:val="3"/>
    <w:qFormat/>
    <w:uiPriority w:val="9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9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p0"/>
    <w:basedOn w:val="1"/>
    <w:qFormat/>
    <w:uiPriority w:val="99"/>
    <w:pPr>
      <w:widowControl/>
    </w:pPr>
    <w:rPr>
      <w:rFonts w:ascii="Calibri" w:hAnsi="Calibri" w:cs="Calibri"/>
      <w:kern w:val="0"/>
      <w:szCs w:val="21"/>
    </w:rPr>
  </w:style>
  <w:style w:type="paragraph" w:customStyle="1" w:styleId="31">
    <w:name w:val="四号正文"/>
    <w:basedOn w:val="1"/>
    <w:link w:val="32"/>
    <w:qFormat/>
    <w:uiPriority w:val="0"/>
    <w:pPr>
      <w:spacing w:line="360" w:lineRule="auto"/>
    </w:pPr>
    <w:rPr>
      <w:rFonts w:ascii="??" w:hAnsi="??" w:cs="宋体"/>
      <w:color w:val="000000"/>
      <w:kern w:val="0"/>
      <w:sz w:val="28"/>
      <w:szCs w:val="21"/>
    </w:rPr>
  </w:style>
  <w:style w:type="character" w:customStyle="1" w:styleId="32">
    <w:name w:val="四号正文 Char"/>
    <w:basedOn w:val="13"/>
    <w:link w:val="31"/>
    <w:qFormat/>
    <w:uiPriority w:val="0"/>
    <w:rPr>
      <w:rFonts w:ascii="??" w:hAnsi="??" w:cs="宋体"/>
      <w:color w:val="00000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收、支决算总计变动情况图</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4503.92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3316.76</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2018年收支总计</c:v>
                </c:pt>
                <c:pt idx="1">
                  <c:v>2019年收支总计</c:v>
                </c:pt>
              </c:strCache>
            </c:strRef>
          </c:cat>
          <c:val>
            <c:numRef>
              <c:f>Sheet1!$B$2:$B$3</c:f>
              <c:numCache>
                <c:formatCode>General</c:formatCode>
                <c:ptCount val="2"/>
                <c:pt idx="0">
                  <c:v>4503.92</c:v>
                </c:pt>
                <c:pt idx="1">
                  <c:v>3316.76</c:v>
                </c:pt>
              </c:numCache>
            </c:numRef>
          </c:val>
        </c:ser>
        <c:dLbls>
          <c:showLegendKey val="0"/>
          <c:showVal val="1"/>
          <c:showCatName val="0"/>
          <c:showSerName val="0"/>
          <c:showPercent val="0"/>
          <c:showBubbleSize val="0"/>
        </c:dLbls>
        <c:gapWidth val="150"/>
        <c:axId val="69189632"/>
        <c:axId val="69191168"/>
      </c:barChart>
      <c:catAx>
        <c:axId val="691896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91168"/>
        <c:crosses val="autoZero"/>
        <c:auto val="1"/>
        <c:lblAlgn val="ctr"/>
        <c:lblOffset val="100"/>
        <c:noMultiLvlLbl val="0"/>
      </c:catAx>
      <c:valAx>
        <c:axId val="691911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89632"/>
        <c:crosses val="autoZero"/>
        <c:crossBetween val="between"/>
      </c:valAx>
      <c:spPr>
        <a:noFill/>
        <a:ln w="25400">
          <a:noFill/>
        </a:ln>
      </c:spPr>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2650.16</c:v>
                </c:pt>
                <c:pt idx="1">
                  <c:v>355.7</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959.11</c:v>
                </c:pt>
                <c:pt idx="1">
                  <c:v>1715.14</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财政拨款收、支决算总计变动情况</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4353.2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3316.77</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2018年度</c:v>
                </c:pt>
                <c:pt idx="1">
                  <c:v>2019年度</c:v>
                </c:pt>
              </c:strCache>
            </c:strRef>
          </c:cat>
          <c:val>
            <c:numRef>
              <c:f>Sheet1!$B$2:$B$3</c:f>
              <c:numCache>
                <c:formatCode>General</c:formatCode>
                <c:ptCount val="2"/>
                <c:pt idx="0">
                  <c:v>4353.2</c:v>
                </c:pt>
                <c:pt idx="1">
                  <c:v>3316.77</c:v>
                </c:pt>
              </c:numCache>
            </c:numRef>
          </c:val>
        </c:ser>
        <c:dLbls>
          <c:showLegendKey val="0"/>
          <c:showVal val="1"/>
          <c:showCatName val="0"/>
          <c:showSerName val="0"/>
          <c:showPercent val="0"/>
          <c:showBubbleSize val="0"/>
        </c:dLbls>
        <c:gapWidth val="150"/>
        <c:axId val="85776640"/>
        <c:axId val="85794816"/>
      </c:barChart>
      <c:catAx>
        <c:axId val="8577664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94816"/>
        <c:crosses val="autoZero"/>
        <c:auto val="1"/>
        <c:lblAlgn val="ctr"/>
        <c:lblOffset val="100"/>
        <c:noMultiLvlLbl val="0"/>
      </c:catAx>
      <c:valAx>
        <c:axId val="857948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5776640"/>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3752.42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2299.32</a:t>
                    </a:r>
                    <a:r>
                      <a:rPr lang="zh-CN" altLang="en-US"/>
                      <a:t>万元</a:t>
                    </a:r>
                    <a:endParaRPr lang="en-US"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2018年一般公共预算财政拨款支出</c:v>
                </c:pt>
                <c:pt idx="1">
                  <c:v>2019年一般公共预算财政拨款支出</c:v>
                </c:pt>
              </c:strCache>
            </c:strRef>
          </c:cat>
          <c:val>
            <c:numRef>
              <c:f>Sheet1!$B$2:$B$3</c:f>
              <c:numCache>
                <c:formatCode>General</c:formatCode>
                <c:ptCount val="2"/>
                <c:pt idx="0">
                  <c:v>3752.42</c:v>
                </c:pt>
                <c:pt idx="1">
                  <c:v>2299.32</c:v>
                </c:pt>
              </c:numCache>
            </c:numRef>
          </c:val>
        </c:ser>
        <c:ser>
          <c:idx val="1"/>
          <c:order val="1"/>
          <c:tx>
            <c:strRef>
              <c:f>Sheet1!$C$1</c:f>
              <c:strCache>
                <c:ptCount val="1"/>
                <c:pt idx="0">
                  <c:v>系列 2</c:v>
                </c:pt>
              </c:strCache>
            </c:strRef>
          </c:tx>
          <c:invertIfNegative val="0"/>
          <c:dLbls>
            <c:delete val="1"/>
          </c:dLbls>
          <c:cat>
            <c:strRef>
              <c:f>Sheet1!$A$2:$A$3</c:f>
              <c:strCache>
                <c:ptCount val="2"/>
                <c:pt idx="0">
                  <c:v>2018年一般公共预算财政拨款支出</c:v>
                </c:pt>
                <c:pt idx="1">
                  <c:v>2019年一般公共预算财政拨款支出</c:v>
                </c:pt>
              </c:strCache>
            </c:strRef>
          </c:cat>
          <c:val>
            <c:numRef>
              <c:f>Sheet1!$C$2:$C$3</c:f>
            </c:numRef>
          </c:val>
        </c:ser>
        <c:ser>
          <c:idx val="2"/>
          <c:order val="2"/>
          <c:tx>
            <c:strRef>
              <c:f>Sheet1!$D$1</c:f>
              <c:strCache>
                <c:ptCount val="1"/>
                <c:pt idx="0">
                  <c:v>系列 3</c:v>
                </c:pt>
              </c:strCache>
            </c:strRef>
          </c:tx>
          <c:invertIfNegative val="0"/>
          <c:dLbls>
            <c:delete val="1"/>
          </c:dLbls>
          <c:cat>
            <c:strRef>
              <c:f>Sheet1!$A$2:$A$3</c:f>
              <c:strCache>
                <c:ptCount val="2"/>
                <c:pt idx="0">
                  <c:v>2018年一般公共预算财政拨款支出</c:v>
                </c:pt>
                <c:pt idx="1">
                  <c:v>2019年一般公共预算财政拨款支出</c:v>
                </c:pt>
              </c:strCache>
            </c:strRef>
          </c:cat>
          <c:val>
            <c:numRef>
              <c:f>Sheet1!$D$2:$D$3</c:f>
            </c:numRef>
          </c:val>
        </c:ser>
        <c:dLbls>
          <c:showLegendKey val="0"/>
          <c:showVal val="0"/>
          <c:showCatName val="0"/>
          <c:showSerName val="0"/>
          <c:showPercent val="0"/>
          <c:showBubbleSize val="0"/>
        </c:dLbls>
        <c:gapWidth val="150"/>
        <c:axId val="69170304"/>
        <c:axId val="69171840"/>
      </c:barChart>
      <c:catAx>
        <c:axId val="6917030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1840"/>
        <c:crosses val="autoZero"/>
        <c:auto val="1"/>
        <c:lblAlgn val="ctr"/>
        <c:lblOffset val="100"/>
        <c:noMultiLvlLbl val="0"/>
      </c:catAx>
      <c:valAx>
        <c:axId val="691718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6917030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Sheet1!$A$2:$A$10</c:f>
              <c:strCache>
                <c:ptCount val="9"/>
                <c:pt idx="0">
                  <c:v>一般公共服务支出</c:v>
                </c:pt>
                <c:pt idx="1">
                  <c:v>国防支出</c:v>
                </c:pt>
                <c:pt idx="2">
                  <c:v>公共安全支出</c:v>
                </c:pt>
                <c:pt idx="3">
                  <c:v>社会保障和就业支出</c:v>
                </c:pt>
                <c:pt idx="4">
                  <c:v>卫生健康支出</c:v>
                </c:pt>
                <c:pt idx="5">
                  <c:v>城乡社区支出</c:v>
                </c:pt>
                <c:pt idx="6">
                  <c:v>农林水支出</c:v>
                </c:pt>
                <c:pt idx="7">
                  <c:v>住房保障支出</c:v>
                </c:pt>
                <c:pt idx="8">
                  <c:v>其他支出</c:v>
                </c:pt>
              </c:strCache>
            </c:strRef>
          </c:cat>
          <c:val>
            <c:numRef>
              <c:f>Sheet1!$B$2:$B$10</c:f>
              <c:numCache>
                <c:formatCode>#,##0.00</c:formatCode>
                <c:ptCount val="9"/>
                <c:pt idx="0">
                  <c:v>605.6</c:v>
                </c:pt>
                <c:pt idx="1">
                  <c:v>2.92</c:v>
                </c:pt>
                <c:pt idx="2">
                  <c:v>1.12999999999999</c:v>
                </c:pt>
                <c:pt idx="3">
                  <c:v>190.07</c:v>
                </c:pt>
                <c:pt idx="4">
                  <c:v>49.11</c:v>
                </c:pt>
                <c:pt idx="5">
                  <c:v>108.06</c:v>
                </c:pt>
                <c:pt idx="6">
                  <c:v>1006.84</c:v>
                </c:pt>
                <c:pt idx="7">
                  <c:v>68.25</c:v>
                </c:pt>
                <c:pt idx="8">
                  <c:v>267.33</c:v>
                </c:pt>
              </c:numCache>
            </c:numRef>
          </c:val>
        </c:ser>
        <c:ser>
          <c:idx val="1"/>
          <c:order val="1"/>
          <c:tx>
            <c:strRef>
              <c:f>Sheet1!$C$1</c:f>
              <c:strCache>
                <c:ptCount val="1"/>
                <c:pt idx="0">
                  <c:v>列1</c:v>
                </c:pt>
              </c:strCache>
            </c:strRef>
          </c:tx>
          <c:explosion val="0"/>
          <c:dLbls>
            <c:delete val="1"/>
          </c:dLbls>
          <c:cat>
            <c:strRef>
              <c:f>Sheet1!$A$2:$A$10</c:f>
              <c:strCache>
                <c:ptCount val="9"/>
                <c:pt idx="0">
                  <c:v>一般公共服务支出</c:v>
                </c:pt>
                <c:pt idx="1">
                  <c:v>国防支出</c:v>
                </c:pt>
                <c:pt idx="2">
                  <c:v>公共安全支出</c:v>
                </c:pt>
                <c:pt idx="3">
                  <c:v>社会保障和就业支出</c:v>
                </c:pt>
                <c:pt idx="4">
                  <c:v>卫生健康支出</c:v>
                </c:pt>
                <c:pt idx="5">
                  <c:v>城乡社区支出</c:v>
                </c:pt>
                <c:pt idx="6">
                  <c:v>农林水支出</c:v>
                </c:pt>
                <c:pt idx="7">
                  <c:v>住房保障支出</c:v>
                </c:pt>
                <c:pt idx="8">
                  <c:v>其他支出</c:v>
                </c:pt>
              </c:strCache>
            </c:strRef>
          </c:cat>
          <c:val>
            <c:numRef>
              <c:f>Sheet1!$C$2:$C$10</c:f>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4A7FF8-444F-4F2B-A8FC-9ACFEA094D43}">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40</Pages>
  <Words>14209</Words>
  <Characters>3821</Characters>
  <Lines>31</Lines>
  <Paragraphs>35</Paragraphs>
  <TotalTime>25</TotalTime>
  <ScaleCrop>false</ScaleCrop>
  <LinksUpToDate>false</LinksUpToDate>
  <CharactersWithSpaces>17995</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2020-09-21T10:07:00Z</dcterms:created>
  <dc:creator>曹颖</dc:creator>
  <cp:lastModifiedBy>Augus</cp:lastModifiedBy>
  <cp:lastPrinted>2020-09-24T03:07:00Z</cp:lastPrinted>
  <dcterms:modified xsi:type="dcterms:W3CDTF">2021-06-04T09:00:15Z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