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b/>
          <w:sz w:val="72"/>
          <w:szCs w:val="72"/>
        </w:rPr>
      </w:pPr>
      <w:bookmarkStart w:id="0" w:name="_Toc15377193"/>
      <w:bookmarkStart w:id="1" w:name="_Toc15377425"/>
      <w:bookmarkStart w:id="2" w:name="_Toc15396475"/>
      <w:bookmarkStart w:id="3" w:name="_Toc15396597"/>
      <w:bookmarkStart w:id="4" w:name="_Toc15306267"/>
      <w:bookmarkStart w:id="5" w:name="_Toc15378441"/>
    </w:p>
    <w:p>
      <w:pPr>
        <w:pStyle w:val="6"/>
        <w:ind w:firstLine="0"/>
      </w:pPr>
    </w:p>
    <w:bookmarkEnd w:id="0"/>
    <w:bookmarkEnd w:id="1"/>
    <w:bookmarkEnd w:id="2"/>
    <w:bookmarkEnd w:id="3"/>
    <w:bookmarkEnd w:id="4"/>
    <w:bookmarkEnd w:id="5"/>
    <w:p>
      <w:pPr>
        <w:pStyle w:val="8"/>
        <w:spacing w:before="93"/>
        <w:jc w:val="center"/>
        <w:rPr>
          <w:rFonts w:ascii="方正小标宋简体" w:hAnsi="宋体" w:eastAsia="方正小标宋简体"/>
          <w:kern w:val="2"/>
          <w:sz w:val="44"/>
          <w:szCs w:val="44"/>
        </w:rPr>
      </w:pPr>
      <w:r>
        <w:rPr>
          <w:rFonts w:hint="eastAsia" w:ascii="方正小标宋简体" w:hAnsi="宋体" w:eastAsia="方正小标宋简体"/>
          <w:kern w:val="2"/>
          <w:sz w:val="44"/>
          <w:szCs w:val="44"/>
        </w:rPr>
        <w:t>2024年度四川省阿坝州茂县南新镇（行政）单位决算</w:t>
      </w:r>
    </w:p>
    <w:p>
      <w:pPr>
        <w:pStyle w:val="6"/>
      </w:pPr>
    </w:p>
    <w:p>
      <w:pPr>
        <w:pStyle w:val="6"/>
      </w:pPr>
    </w:p>
    <w:p>
      <w:pPr>
        <w:pStyle w:val="6"/>
      </w:pPr>
    </w:p>
    <w:p>
      <w:pPr>
        <w:pStyle w:val="6"/>
      </w:pPr>
    </w:p>
    <w:p>
      <w:pPr>
        <w:pStyle w:val="6"/>
      </w:pPr>
    </w:p>
    <w:p>
      <w:pPr>
        <w:pStyle w:val="6"/>
      </w:pPr>
    </w:p>
    <w:p>
      <w:pPr>
        <w:pStyle w:val="6"/>
      </w:pPr>
    </w:p>
    <w:p>
      <w:pPr>
        <w:pStyle w:val="6"/>
      </w:pPr>
    </w:p>
    <w:p>
      <w:pPr>
        <w:pStyle w:val="6"/>
        <w:tabs>
          <w:tab w:val="left" w:pos="3600"/>
        </w:tabs>
      </w:pPr>
      <w:r>
        <w:tab/>
      </w:r>
    </w:p>
    <w:p>
      <w:pPr>
        <w:pStyle w:val="6"/>
      </w:pPr>
    </w:p>
    <w:p>
      <w:pPr>
        <w:pStyle w:val="6"/>
      </w:pPr>
      <w:bookmarkStart w:id="83" w:name="_GoBack"/>
      <w:bookmarkEnd w:id="83"/>
    </w:p>
    <w:p>
      <w:pPr>
        <w:pStyle w:val="6"/>
      </w:pPr>
    </w:p>
    <w:p>
      <w:pPr>
        <w:pStyle w:val="6"/>
      </w:pPr>
    </w:p>
    <w:p>
      <w:pPr>
        <w:pStyle w:val="6"/>
        <w:jc w:val="center"/>
      </w:pPr>
    </w:p>
    <w:p>
      <w:pPr>
        <w:pStyle w:val="6"/>
      </w:pPr>
    </w:p>
    <w:p>
      <w:pPr>
        <w:pStyle w:val="6"/>
      </w:pPr>
    </w:p>
    <w:p>
      <w:pPr>
        <w:pStyle w:val="6"/>
      </w:pPr>
    </w:p>
    <w:p>
      <w:pPr>
        <w:pStyle w:val="6"/>
      </w:pPr>
    </w:p>
    <w:p>
      <w:pPr>
        <w:autoSpaceDE w:val="0"/>
        <w:autoSpaceDN w:val="0"/>
        <w:adjustRightInd w:val="0"/>
        <w:ind w:left="420" w:leftChars="200"/>
        <w:jc w:val="left"/>
        <w:rPr>
          <w:rFonts w:ascii="宋体"/>
          <w:sz w:val="32"/>
          <w:szCs w:val="32"/>
        </w:rPr>
      </w:pPr>
    </w:p>
    <w:p>
      <w:pPr>
        <w:widowControl/>
        <w:jc w:val="center"/>
        <w:rPr>
          <w:rFonts w:ascii="黑体" w:eastAsia="黑体"/>
          <w:color w:val="000000"/>
          <w:sz w:val="48"/>
          <w:szCs w:val="48"/>
        </w:rPr>
      </w:pPr>
      <w:r>
        <w:rPr>
          <w:rFonts w:ascii="方正小标宋简体" w:eastAsia="方正小标宋简体"/>
          <w:color w:val="000000"/>
          <w:sz w:val="36"/>
          <w:szCs w:val="36"/>
        </w:rPr>
        <w:br w:type="page"/>
      </w:r>
      <w:r>
        <w:rPr>
          <w:rFonts w:hint="eastAsia" w:ascii="黑体" w:eastAsia="黑体"/>
          <w:color w:val="000000"/>
          <w:sz w:val="48"/>
          <w:szCs w:val="48"/>
        </w:rPr>
        <w:t>目</w:t>
      </w:r>
      <w:r>
        <w:rPr>
          <w:rFonts w:ascii="黑体" w:eastAsia="黑体"/>
          <w:color w:val="000000"/>
          <w:sz w:val="48"/>
          <w:szCs w:val="48"/>
        </w:rPr>
        <w:t xml:space="preserve"> </w:t>
      </w:r>
      <w:r>
        <w:rPr>
          <w:rFonts w:hint="eastAsia" w:ascii="黑体" w:eastAsia="黑体"/>
          <w:color w:val="000000"/>
          <w:sz w:val="48"/>
          <w:szCs w:val="48"/>
        </w:rPr>
        <w:t>录</w:t>
      </w:r>
      <w:bookmarkStart w:id="6" w:name="_Toc15377196"/>
    </w:p>
    <w:p>
      <w:pPr>
        <w:pStyle w:val="17"/>
        <w:ind w:left="840" w:hanging="420"/>
      </w:pPr>
    </w:p>
    <w:p>
      <w:pPr>
        <w:pStyle w:val="15"/>
        <w:suppressAutoHyphens/>
        <w:rPr>
          <w:rFonts w:ascii="仿宋_GB2312" w:hAnsi="仿宋_GB2312" w:eastAsia="仿宋_GB2312" w:cs="仿宋_GB2312"/>
          <w:sz w:val="32"/>
          <w:szCs w:val="32"/>
        </w:rPr>
      </w:pPr>
      <w:r>
        <w:rPr>
          <w:rFonts w:hint="eastAsia" w:ascii="仿宋_GB2312" w:hAnsi="仿宋_GB2312" w:eastAsia="仿宋_GB2312" w:cs="仿宋_GB2312"/>
          <w:sz w:val="32"/>
          <w:szCs w:val="32"/>
        </w:rPr>
        <w:t>公开时间：2025年9月25日</w:t>
      </w:r>
    </w:p>
    <w:p>
      <w:pPr>
        <w:pStyle w:val="15"/>
        <w:tabs>
          <w:tab w:val="right" w:leader="dot" w:pos="8306"/>
          <w:tab w:val="clear" w:pos="8296"/>
        </w:tabs>
      </w:pPr>
      <w:r>
        <w:rPr>
          <w:smallCaps/>
          <w:sz w:val="20"/>
          <w:szCs w:val="20"/>
        </w:rPr>
        <w:fldChar w:fldCharType="begin"/>
      </w:r>
      <w:r>
        <w:rPr>
          <w:smallCaps/>
          <w:sz w:val="20"/>
          <w:szCs w:val="20"/>
        </w:rPr>
        <w:instrText xml:space="preserve"> TOC \o "1-2" \h \z \u </w:instrText>
      </w:r>
      <w:r>
        <w:rPr>
          <w:smallCaps/>
          <w:sz w:val="20"/>
          <w:szCs w:val="20"/>
        </w:rPr>
        <w:fldChar w:fldCharType="separate"/>
      </w:r>
      <w:r>
        <w:fldChar w:fldCharType="begin"/>
      </w:r>
      <w:r>
        <w:instrText xml:space="preserve"> HYPERLINK \l "_Toc24052" </w:instrText>
      </w:r>
      <w:r>
        <w:fldChar w:fldCharType="separate"/>
      </w:r>
      <w:r>
        <w:rPr>
          <w:rFonts w:hint="eastAsia" w:ascii="黑体" w:eastAsia="黑体" w:cs="黑体"/>
        </w:rPr>
        <w:t>第一部分 部门概况</w:t>
      </w:r>
      <w:r>
        <w:tab/>
      </w:r>
      <w:r>
        <w:fldChar w:fldCharType="begin"/>
      </w:r>
      <w:r>
        <w:instrText xml:space="preserve"> PAGEREF _Toc24052 \h </w:instrText>
      </w:r>
      <w:r>
        <w:fldChar w:fldCharType="separate"/>
      </w:r>
      <w:r>
        <w:t>3</w:t>
      </w:r>
      <w:r>
        <w:fldChar w:fldCharType="end"/>
      </w:r>
      <w:r>
        <w:fldChar w:fldCharType="end"/>
      </w:r>
    </w:p>
    <w:p>
      <w:pPr>
        <w:pStyle w:val="18"/>
        <w:tabs>
          <w:tab w:val="right" w:leader="dot" w:pos="8306"/>
          <w:tab w:val="clear" w:pos="8296"/>
        </w:tabs>
        <w:ind w:left="420"/>
      </w:pPr>
      <w:r>
        <w:fldChar w:fldCharType="begin"/>
      </w:r>
      <w:r>
        <w:instrText xml:space="preserve"> HYPERLINK \l "_Toc26051" </w:instrText>
      </w:r>
      <w:r>
        <w:fldChar w:fldCharType="separate"/>
      </w:r>
      <w:r>
        <w:rPr>
          <w:rFonts w:hint="eastAsia" w:ascii="黑体" w:eastAsia="黑体"/>
        </w:rPr>
        <w:t>一、部门职责</w:t>
      </w:r>
      <w:r>
        <w:tab/>
      </w:r>
      <w:r>
        <w:fldChar w:fldCharType="begin"/>
      </w:r>
      <w:r>
        <w:instrText xml:space="preserve"> PAGEREF _Toc26051 \h </w:instrText>
      </w:r>
      <w:r>
        <w:fldChar w:fldCharType="separate"/>
      </w:r>
      <w:r>
        <w:t>3</w:t>
      </w:r>
      <w:r>
        <w:fldChar w:fldCharType="end"/>
      </w:r>
      <w:r>
        <w:fldChar w:fldCharType="end"/>
      </w:r>
    </w:p>
    <w:p>
      <w:pPr>
        <w:pStyle w:val="18"/>
        <w:tabs>
          <w:tab w:val="right" w:leader="dot" w:pos="8306"/>
          <w:tab w:val="clear" w:pos="8296"/>
        </w:tabs>
        <w:ind w:left="420"/>
      </w:pPr>
      <w:r>
        <w:fldChar w:fldCharType="begin"/>
      </w:r>
      <w:r>
        <w:instrText xml:space="preserve"> HYPERLINK \l "_Toc16911" </w:instrText>
      </w:r>
      <w:r>
        <w:fldChar w:fldCharType="separate"/>
      </w:r>
      <w:r>
        <w:rPr>
          <w:rFonts w:hint="eastAsia" w:ascii="黑体" w:eastAsia="黑体"/>
        </w:rPr>
        <w:t>二、机构设置</w:t>
      </w:r>
      <w:r>
        <w:tab/>
      </w:r>
      <w:r>
        <w:fldChar w:fldCharType="begin"/>
      </w:r>
      <w:r>
        <w:instrText xml:space="preserve"> PAGEREF _Toc16911 \h </w:instrText>
      </w:r>
      <w:r>
        <w:fldChar w:fldCharType="separate"/>
      </w:r>
      <w:r>
        <w:t>4</w:t>
      </w:r>
      <w:r>
        <w:fldChar w:fldCharType="end"/>
      </w:r>
      <w:r>
        <w:fldChar w:fldCharType="end"/>
      </w:r>
    </w:p>
    <w:p>
      <w:pPr>
        <w:pStyle w:val="15"/>
        <w:tabs>
          <w:tab w:val="right" w:leader="dot" w:pos="8306"/>
          <w:tab w:val="clear" w:pos="8296"/>
        </w:tabs>
      </w:pPr>
      <w:r>
        <w:fldChar w:fldCharType="begin"/>
      </w:r>
      <w:r>
        <w:instrText xml:space="preserve"> HYPERLINK \l "_Toc12146" </w:instrText>
      </w:r>
      <w:r>
        <w:fldChar w:fldCharType="separate"/>
      </w:r>
      <w:r>
        <w:rPr>
          <w:rFonts w:hint="eastAsia" w:ascii="黑体" w:eastAsia="黑体" w:cs="黑体"/>
        </w:rPr>
        <w:t>第二部分</w:t>
      </w:r>
      <w:r>
        <w:rPr>
          <w:rFonts w:ascii="黑体" w:eastAsia="黑体" w:cs="黑体"/>
        </w:rPr>
        <w:t xml:space="preserve"> </w:t>
      </w:r>
      <w:r>
        <w:rPr>
          <w:rFonts w:hint="eastAsia" w:ascii="黑体" w:eastAsia="黑体" w:cs="黑体"/>
        </w:rPr>
        <w:t>2024</w:t>
      </w:r>
      <w:r>
        <w:rPr>
          <w:rFonts w:ascii="黑体" w:eastAsia="黑体" w:cs="黑体"/>
        </w:rPr>
        <w:t>年度</w:t>
      </w:r>
      <w:r>
        <w:rPr>
          <w:rFonts w:hint="eastAsia" w:ascii="黑体" w:eastAsia="黑体" w:cs="黑体"/>
        </w:rPr>
        <w:t>单位</w:t>
      </w:r>
      <w:r>
        <w:rPr>
          <w:rFonts w:ascii="黑体" w:eastAsia="黑体" w:cs="黑体"/>
        </w:rPr>
        <w:t>决算情况说明</w:t>
      </w:r>
      <w:r>
        <w:tab/>
      </w:r>
      <w:r>
        <w:rPr>
          <w:rFonts w:hint="eastAsia"/>
        </w:rPr>
        <w:t>5</w:t>
      </w:r>
      <w:r>
        <w:rPr>
          <w:rFonts w:hint="eastAsia"/>
        </w:rPr>
        <w:fldChar w:fldCharType="end"/>
      </w:r>
    </w:p>
    <w:p>
      <w:pPr>
        <w:pStyle w:val="18"/>
        <w:tabs>
          <w:tab w:val="right" w:leader="dot" w:pos="8306"/>
          <w:tab w:val="clear" w:pos="8296"/>
        </w:tabs>
        <w:ind w:left="420"/>
      </w:pPr>
      <w:r>
        <w:fldChar w:fldCharType="begin"/>
      </w:r>
      <w:r>
        <w:instrText xml:space="preserve"> HYPERLINK \l "_Toc2086" </w:instrText>
      </w:r>
      <w:r>
        <w:fldChar w:fldCharType="separate"/>
      </w:r>
      <w:r>
        <w:rPr>
          <w:rFonts w:hint="eastAsia" w:ascii="黑体" w:eastAsia="黑体"/>
        </w:rPr>
        <w:t>一、收入支出决算总体情况说明</w:t>
      </w:r>
      <w:r>
        <w:tab/>
      </w:r>
      <w:r>
        <w:fldChar w:fldCharType="begin"/>
      </w:r>
      <w:r>
        <w:instrText xml:space="preserve"> PAGEREF _Toc2086 \h </w:instrText>
      </w:r>
      <w:r>
        <w:fldChar w:fldCharType="separate"/>
      </w:r>
      <w:r>
        <w:t>6</w:t>
      </w:r>
      <w:r>
        <w:fldChar w:fldCharType="end"/>
      </w:r>
      <w:r>
        <w:fldChar w:fldCharType="end"/>
      </w:r>
    </w:p>
    <w:p>
      <w:pPr>
        <w:pStyle w:val="18"/>
        <w:tabs>
          <w:tab w:val="right" w:leader="dot" w:pos="8306"/>
          <w:tab w:val="clear" w:pos="8296"/>
        </w:tabs>
        <w:ind w:left="420"/>
      </w:pPr>
      <w:r>
        <w:fldChar w:fldCharType="begin"/>
      </w:r>
      <w:r>
        <w:instrText xml:space="preserve"> HYPERLINK \l "_Toc25698" </w:instrText>
      </w:r>
      <w:r>
        <w:fldChar w:fldCharType="separate"/>
      </w:r>
      <w:r>
        <w:rPr>
          <w:rFonts w:hint="eastAsia" w:ascii="黑体" w:eastAsia="黑体"/>
        </w:rPr>
        <w:t>二、收入决算情况说明</w:t>
      </w:r>
      <w:r>
        <w:tab/>
      </w:r>
      <w:r>
        <w:fldChar w:fldCharType="begin"/>
      </w:r>
      <w:r>
        <w:instrText xml:space="preserve"> PAGEREF _Toc25698 \h </w:instrText>
      </w:r>
      <w:r>
        <w:fldChar w:fldCharType="separate"/>
      </w:r>
      <w:r>
        <w:t>6</w:t>
      </w:r>
      <w:r>
        <w:fldChar w:fldCharType="end"/>
      </w:r>
      <w:r>
        <w:fldChar w:fldCharType="end"/>
      </w:r>
    </w:p>
    <w:p>
      <w:pPr>
        <w:pStyle w:val="18"/>
        <w:tabs>
          <w:tab w:val="right" w:leader="dot" w:pos="8306"/>
          <w:tab w:val="clear" w:pos="8296"/>
        </w:tabs>
        <w:ind w:left="420"/>
      </w:pPr>
      <w:r>
        <w:fldChar w:fldCharType="begin"/>
      </w:r>
      <w:r>
        <w:instrText xml:space="preserve"> HYPERLINK \l "_Toc470" </w:instrText>
      </w:r>
      <w:r>
        <w:fldChar w:fldCharType="separate"/>
      </w:r>
      <w:r>
        <w:rPr>
          <w:rFonts w:hint="eastAsia" w:ascii="黑体" w:eastAsia="黑体"/>
        </w:rPr>
        <w:t>三、支出决算情况说明</w:t>
      </w:r>
      <w:r>
        <w:tab/>
      </w:r>
      <w:r>
        <w:fldChar w:fldCharType="begin"/>
      </w:r>
      <w:r>
        <w:instrText xml:space="preserve"> PAGEREF _Toc470 \h </w:instrText>
      </w:r>
      <w:r>
        <w:fldChar w:fldCharType="separate"/>
      </w:r>
      <w:r>
        <w:t>7</w:t>
      </w:r>
      <w:r>
        <w:fldChar w:fldCharType="end"/>
      </w:r>
      <w:r>
        <w:fldChar w:fldCharType="end"/>
      </w:r>
    </w:p>
    <w:p>
      <w:pPr>
        <w:pStyle w:val="18"/>
        <w:tabs>
          <w:tab w:val="right" w:leader="dot" w:pos="8306"/>
          <w:tab w:val="clear" w:pos="8296"/>
        </w:tabs>
        <w:ind w:left="420"/>
      </w:pPr>
      <w:r>
        <w:fldChar w:fldCharType="begin"/>
      </w:r>
      <w:r>
        <w:instrText xml:space="preserve"> HYPERLINK \l "_Toc9070" </w:instrText>
      </w:r>
      <w:r>
        <w:fldChar w:fldCharType="separate"/>
      </w:r>
      <w:r>
        <w:rPr>
          <w:rFonts w:hint="eastAsia" w:ascii="黑体" w:eastAsia="黑体"/>
        </w:rPr>
        <w:t>四、财政拨款收入支出决算总体情况说明</w:t>
      </w:r>
      <w:r>
        <w:tab/>
      </w:r>
      <w:r>
        <w:fldChar w:fldCharType="begin"/>
      </w:r>
      <w:r>
        <w:instrText xml:space="preserve"> PAGEREF _Toc9070 \h </w:instrText>
      </w:r>
      <w:r>
        <w:fldChar w:fldCharType="separate"/>
      </w:r>
      <w:r>
        <w:t>8</w:t>
      </w:r>
      <w:r>
        <w:fldChar w:fldCharType="end"/>
      </w:r>
      <w:r>
        <w:fldChar w:fldCharType="end"/>
      </w:r>
    </w:p>
    <w:p>
      <w:pPr>
        <w:pStyle w:val="18"/>
        <w:tabs>
          <w:tab w:val="right" w:leader="dot" w:pos="8306"/>
          <w:tab w:val="clear" w:pos="8296"/>
        </w:tabs>
        <w:ind w:left="420"/>
      </w:pPr>
      <w:r>
        <w:fldChar w:fldCharType="begin"/>
      </w:r>
      <w:r>
        <w:instrText xml:space="preserve"> HYPERLINK \l "_Toc24444" </w:instrText>
      </w:r>
      <w:r>
        <w:fldChar w:fldCharType="separate"/>
      </w:r>
      <w:r>
        <w:rPr>
          <w:rFonts w:hint="eastAsia" w:ascii="黑体" w:eastAsia="黑体"/>
        </w:rPr>
        <w:t>五、一般公共预算财政拨款支出决算情况说明</w:t>
      </w:r>
      <w:r>
        <w:tab/>
      </w:r>
      <w:r>
        <w:fldChar w:fldCharType="begin"/>
      </w:r>
      <w:r>
        <w:instrText xml:space="preserve"> PAGEREF _Toc24444 \h </w:instrText>
      </w:r>
      <w:r>
        <w:fldChar w:fldCharType="separate"/>
      </w:r>
      <w:r>
        <w:t>8</w:t>
      </w:r>
      <w:r>
        <w:fldChar w:fldCharType="end"/>
      </w:r>
      <w:r>
        <w:fldChar w:fldCharType="end"/>
      </w:r>
    </w:p>
    <w:p>
      <w:pPr>
        <w:pStyle w:val="18"/>
        <w:tabs>
          <w:tab w:val="right" w:leader="dot" w:pos="8306"/>
          <w:tab w:val="clear" w:pos="8296"/>
        </w:tabs>
        <w:ind w:left="420"/>
      </w:pPr>
      <w:r>
        <w:fldChar w:fldCharType="begin"/>
      </w:r>
      <w:r>
        <w:instrText xml:space="preserve"> HYPERLINK \l "_Toc23748" </w:instrText>
      </w:r>
      <w:r>
        <w:fldChar w:fldCharType="separate"/>
      </w:r>
      <w:r>
        <w:rPr>
          <w:rFonts w:hint="eastAsia" w:ascii="黑体" w:eastAsia="黑体"/>
        </w:rPr>
        <w:t>六、一般公共预算财政拨款基本支出决算情况说明</w:t>
      </w:r>
      <w:r>
        <w:tab/>
      </w:r>
      <w:r>
        <w:fldChar w:fldCharType="begin"/>
      </w:r>
      <w:r>
        <w:instrText xml:space="preserve"> PAGEREF _Toc23748 \h </w:instrText>
      </w:r>
      <w:r>
        <w:fldChar w:fldCharType="separate"/>
      </w:r>
      <w:r>
        <w:t>12</w:t>
      </w:r>
      <w:r>
        <w:fldChar w:fldCharType="end"/>
      </w:r>
      <w:r>
        <w:fldChar w:fldCharType="end"/>
      </w:r>
    </w:p>
    <w:p>
      <w:pPr>
        <w:pStyle w:val="18"/>
        <w:tabs>
          <w:tab w:val="right" w:leader="dot" w:pos="8306"/>
          <w:tab w:val="clear" w:pos="8296"/>
        </w:tabs>
        <w:ind w:left="420"/>
      </w:pPr>
      <w:r>
        <w:fldChar w:fldCharType="begin"/>
      </w:r>
      <w:r>
        <w:instrText xml:space="preserve"> HYPERLINK \l "_Toc21697" </w:instrText>
      </w:r>
      <w:r>
        <w:fldChar w:fldCharType="separate"/>
      </w:r>
      <w:r>
        <w:rPr>
          <w:rFonts w:hint="eastAsia" w:ascii="黑体" w:eastAsia="黑体"/>
        </w:rPr>
        <w:t>七、“三公”经费财政拨款支出决算情况说明</w:t>
      </w:r>
      <w:r>
        <w:tab/>
      </w:r>
      <w:r>
        <w:fldChar w:fldCharType="begin"/>
      </w:r>
      <w:r>
        <w:instrText xml:space="preserve"> PAGEREF _Toc21697 \h </w:instrText>
      </w:r>
      <w:r>
        <w:fldChar w:fldCharType="separate"/>
      </w:r>
      <w:r>
        <w:t>12</w:t>
      </w:r>
      <w:r>
        <w:fldChar w:fldCharType="end"/>
      </w:r>
      <w:r>
        <w:fldChar w:fldCharType="end"/>
      </w:r>
    </w:p>
    <w:p>
      <w:pPr>
        <w:pStyle w:val="18"/>
        <w:tabs>
          <w:tab w:val="right" w:leader="dot" w:pos="8306"/>
          <w:tab w:val="clear" w:pos="8296"/>
        </w:tabs>
        <w:ind w:left="420"/>
      </w:pPr>
      <w:r>
        <w:fldChar w:fldCharType="begin"/>
      </w:r>
      <w:r>
        <w:instrText xml:space="preserve"> HYPERLINK \l "_Toc20664" </w:instrText>
      </w:r>
      <w:r>
        <w:fldChar w:fldCharType="separate"/>
      </w:r>
      <w:r>
        <w:rPr>
          <w:rFonts w:hint="eastAsia" w:ascii="黑体" w:eastAsia="黑体"/>
        </w:rPr>
        <w:t>八、政府性基金预算支出决算情况说明</w:t>
      </w:r>
      <w:r>
        <w:tab/>
      </w:r>
      <w:r>
        <w:fldChar w:fldCharType="begin"/>
      </w:r>
      <w:r>
        <w:instrText xml:space="preserve"> PAGEREF _Toc20664 \h </w:instrText>
      </w:r>
      <w:r>
        <w:fldChar w:fldCharType="separate"/>
      </w:r>
      <w:r>
        <w:t>14</w:t>
      </w:r>
      <w:r>
        <w:fldChar w:fldCharType="end"/>
      </w:r>
      <w:r>
        <w:fldChar w:fldCharType="end"/>
      </w:r>
    </w:p>
    <w:p>
      <w:pPr>
        <w:pStyle w:val="18"/>
        <w:tabs>
          <w:tab w:val="right" w:leader="dot" w:pos="8306"/>
          <w:tab w:val="clear" w:pos="8296"/>
        </w:tabs>
        <w:ind w:left="420"/>
      </w:pPr>
      <w:r>
        <w:fldChar w:fldCharType="begin"/>
      </w:r>
      <w:r>
        <w:instrText xml:space="preserve"> HYPERLINK \l "_Toc22202" </w:instrText>
      </w:r>
      <w:r>
        <w:fldChar w:fldCharType="separate"/>
      </w:r>
      <w:r>
        <w:rPr>
          <w:rFonts w:hint="eastAsia" w:ascii="黑体" w:eastAsia="黑体"/>
        </w:rPr>
        <w:t>九、国有资本经营预算支出决算情况说明</w:t>
      </w:r>
      <w:r>
        <w:tab/>
      </w:r>
      <w:r>
        <w:fldChar w:fldCharType="begin"/>
      </w:r>
      <w:r>
        <w:instrText xml:space="preserve"> PAGEREF _Toc22202 \h </w:instrText>
      </w:r>
      <w:r>
        <w:fldChar w:fldCharType="separate"/>
      </w:r>
      <w:r>
        <w:t>14</w:t>
      </w:r>
      <w:r>
        <w:fldChar w:fldCharType="end"/>
      </w:r>
      <w:r>
        <w:fldChar w:fldCharType="end"/>
      </w:r>
    </w:p>
    <w:p>
      <w:pPr>
        <w:pStyle w:val="18"/>
        <w:tabs>
          <w:tab w:val="right" w:leader="dot" w:pos="8306"/>
          <w:tab w:val="clear" w:pos="8296"/>
        </w:tabs>
        <w:ind w:left="420"/>
      </w:pPr>
      <w:r>
        <w:fldChar w:fldCharType="begin"/>
      </w:r>
      <w:r>
        <w:instrText xml:space="preserve"> HYPERLINK \l "_Toc9711" </w:instrText>
      </w:r>
      <w:r>
        <w:fldChar w:fldCharType="separate"/>
      </w:r>
      <w:r>
        <w:rPr>
          <w:rFonts w:hint="eastAsia" w:ascii="黑体" w:eastAsia="黑体"/>
        </w:rPr>
        <w:t>十、其他重要事项的情况说明</w:t>
      </w:r>
      <w:r>
        <w:tab/>
      </w:r>
      <w:r>
        <w:fldChar w:fldCharType="begin"/>
      </w:r>
      <w:r>
        <w:instrText xml:space="preserve"> PAGEREF _Toc9711 \h </w:instrText>
      </w:r>
      <w:r>
        <w:fldChar w:fldCharType="separate"/>
      </w:r>
      <w:r>
        <w:t>14</w:t>
      </w:r>
      <w:r>
        <w:fldChar w:fldCharType="end"/>
      </w:r>
      <w:r>
        <w:fldChar w:fldCharType="end"/>
      </w:r>
    </w:p>
    <w:p>
      <w:pPr>
        <w:pStyle w:val="15"/>
        <w:tabs>
          <w:tab w:val="right" w:leader="dot" w:pos="8306"/>
          <w:tab w:val="clear" w:pos="8296"/>
        </w:tabs>
      </w:pPr>
      <w:r>
        <w:fldChar w:fldCharType="begin"/>
      </w:r>
      <w:r>
        <w:instrText xml:space="preserve"> HYPERLINK \l "_Toc26576" </w:instrText>
      </w:r>
      <w:r>
        <w:fldChar w:fldCharType="separate"/>
      </w:r>
      <w:r>
        <w:rPr>
          <w:rFonts w:hint="eastAsia" w:ascii="黑体" w:hAnsi="黑体" w:eastAsia="黑体" w:cs="黑体"/>
          <w:szCs w:val="44"/>
        </w:rPr>
        <w:t xml:space="preserve">第三部分 </w:t>
      </w:r>
      <w:r>
        <w:rPr>
          <w:rFonts w:hint="eastAsia" w:ascii="黑体" w:hAnsi="黑体" w:eastAsia="黑体"/>
          <w:szCs w:val="44"/>
        </w:rPr>
        <w:t>名</w:t>
      </w:r>
      <w:r>
        <w:rPr>
          <w:rFonts w:hint="eastAsia" w:ascii="黑体" w:hAnsi="黑体" w:eastAsia="黑体"/>
        </w:rPr>
        <w:t>词解释</w:t>
      </w:r>
      <w:r>
        <w:tab/>
      </w:r>
      <w:r>
        <w:rPr>
          <w:rFonts w:hint="eastAsia"/>
        </w:rPr>
        <w:t>1</w:t>
      </w:r>
      <w:r>
        <w:rPr>
          <w:rFonts w:hint="eastAsia"/>
        </w:rPr>
        <w:fldChar w:fldCharType="end"/>
      </w:r>
      <w:r>
        <w:rPr>
          <w:rFonts w:hint="eastAsia"/>
          <w:smallCaps/>
          <w:szCs w:val="20"/>
        </w:rPr>
        <w:t>9</w:t>
      </w:r>
    </w:p>
    <w:p>
      <w:pPr>
        <w:pStyle w:val="15"/>
        <w:tabs>
          <w:tab w:val="right" w:leader="dot" w:pos="8306"/>
          <w:tab w:val="clear" w:pos="8296"/>
        </w:tabs>
      </w:pPr>
      <w:r>
        <w:fldChar w:fldCharType="begin"/>
      </w:r>
      <w:r>
        <w:instrText xml:space="preserve"> HYPERLINK \l "_Toc23073" </w:instrText>
      </w:r>
      <w:r>
        <w:fldChar w:fldCharType="separate"/>
      </w:r>
      <w:r>
        <w:rPr>
          <w:rFonts w:hint="eastAsia" w:ascii="黑体" w:eastAsia="黑体" w:cs="黑体"/>
        </w:rPr>
        <w:t>第四部分 附件</w:t>
      </w:r>
      <w:r>
        <w:tab/>
      </w:r>
      <w:r>
        <w:rPr>
          <w:rFonts w:hint="eastAsia"/>
        </w:rPr>
        <w:t>2</w:t>
      </w:r>
      <w:r>
        <w:rPr>
          <w:rFonts w:hint="eastAsia"/>
        </w:rPr>
        <w:fldChar w:fldCharType="end"/>
      </w:r>
      <w:r>
        <w:rPr>
          <w:rFonts w:hint="eastAsia"/>
          <w:smallCaps/>
          <w:szCs w:val="20"/>
        </w:rPr>
        <w:t>3</w:t>
      </w:r>
    </w:p>
    <w:p>
      <w:pPr>
        <w:pStyle w:val="15"/>
        <w:tabs>
          <w:tab w:val="right" w:leader="dot" w:pos="8306"/>
          <w:tab w:val="clear" w:pos="8296"/>
        </w:tabs>
      </w:pPr>
      <w:r>
        <w:fldChar w:fldCharType="begin"/>
      </w:r>
      <w:r>
        <w:instrText xml:space="preserve"> HYPERLINK \l "_Toc18435" </w:instrText>
      </w:r>
      <w:r>
        <w:fldChar w:fldCharType="separate"/>
      </w:r>
      <w:r>
        <w:rPr>
          <w:rFonts w:hint="eastAsia" w:ascii="黑体" w:eastAsia="黑体" w:cs="黑体"/>
        </w:rPr>
        <w:t>第五部分 附表</w:t>
      </w:r>
      <w:r>
        <w:tab/>
      </w:r>
      <w:r>
        <w:rPr>
          <w:rFonts w:hint="eastAsia"/>
        </w:rPr>
        <w:t>29</w:t>
      </w:r>
      <w:r>
        <w:rPr>
          <w:rFonts w:hint="eastAsia"/>
        </w:rPr>
        <w:fldChar w:fldCharType="end"/>
      </w:r>
    </w:p>
    <w:p>
      <w:pPr>
        <w:pStyle w:val="18"/>
        <w:tabs>
          <w:tab w:val="right" w:leader="dot" w:pos="8306"/>
          <w:tab w:val="clear" w:pos="8296"/>
        </w:tabs>
        <w:ind w:left="420"/>
      </w:pPr>
      <w:r>
        <w:fldChar w:fldCharType="begin"/>
      </w:r>
      <w:r>
        <w:instrText xml:space="preserve"> HYPERLINK \l "_Toc10701" </w:instrText>
      </w:r>
      <w:r>
        <w:fldChar w:fldCharType="separate"/>
      </w:r>
      <w:r>
        <w:rPr>
          <w:rFonts w:hint="eastAsia" w:ascii="黑体" w:eastAsia="黑体"/>
        </w:rPr>
        <w:t>一、收入支出决算总表</w:t>
      </w:r>
      <w:r>
        <w:tab/>
      </w:r>
      <w:r>
        <w:rPr>
          <w:rFonts w:hint="eastAsia"/>
        </w:rPr>
        <w:t>29</w:t>
      </w:r>
      <w:r>
        <w:rPr>
          <w:rFonts w:hint="eastAsia"/>
        </w:rPr>
        <w:fldChar w:fldCharType="end"/>
      </w:r>
    </w:p>
    <w:p>
      <w:pPr>
        <w:pStyle w:val="18"/>
        <w:tabs>
          <w:tab w:val="right" w:leader="dot" w:pos="8306"/>
          <w:tab w:val="clear" w:pos="8296"/>
        </w:tabs>
        <w:ind w:left="420"/>
      </w:pPr>
      <w:r>
        <w:fldChar w:fldCharType="begin"/>
      </w:r>
      <w:r>
        <w:instrText xml:space="preserve"> HYPERLINK \l "_Toc21586" </w:instrText>
      </w:r>
      <w:r>
        <w:fldChar w:fldCharType="separate"/>
      </w:r>
      <w:r>
        <w:rPr>
          <w:rFonts w:hint="eastAsia" w:ascii="黑体" w:eastAsia="黑体"/>
        </w:rPr>
        <w:t>二、收入决算表</w:t>
      </w:r>
      <w:r>
        <w:tab/>
      </w:r>
      <w:r>
        <w:rPr>
          <w:rFonts w:hint="eastAsia"/>
        </w:rPr>
        <w:t>29</w:t>
      </w:r>
      <w:r>
        <w:rPr>
          <w:rFonts w:hint="eastAsia"/>
        </w:rPr>
        <w:fldChar w:fldCharType="end"/>
      </w:r>
    </w:p>
    <w:p>
      <w:pPr>
        <w:pStyle w:val="18"/>
        <w:tabs>
          <w:tab w:val="right" w:leader="dot" w:pos="8306"/>
          <w:tab w:val="clear" w:pos="8296"/>
        </w:tabs>
        <w:ind w:left="420"/>
      </w:pPr>
      <w:r>
        <w:fldChar w:fldCharType="begin"/>
      </w:r>
      <w:r>
        <w:instrText xml:space="preserve"> HYPERLINK \l "_Toc11911" </w:instrText>
      </w:r>
      <w:r>
        <w:fldChar w:fldCharType="separate"/>
      </w:r>
      <w:r>
        <w:rPr>
          <w:rFonts w:hint="eastAsia" w:ascii="黑体" w:eastAsia="黑体"/>
        </w:rPr>
        <w:t>三、支出决算表</w:t>
      </w:r>
      <w:r>
        <w:tab/>
      </w:r>
      <w:r>
        <w:rPr>
          <w:rFonts w:hint="eastAsia"/>
        </w:rPr>
        <w:t>2</w:t>
      </w:r>
      <w:r>
        <w:rPr>
          <w:rFonts w:hint="eastAsia"/>
        </w:rPr>
        <w:fldChar w:fldCharType="end"/>
      </w:r>
      <w:r>
        <w:rPr>
          <w:rFonts w:hint="eastAsia"/>
          <w:smallCaps/>
          <w:szCs w:val="20"/>
        </w:rPr>
        <w:t>9</w:t>
      </w:r>
    </w:p>
    <w:p>
      <w:pPr>
        <w:pStyle w:val="18"/>
        <w:tabs>
          <w:tab w:val="right" w:leader="dot" w:pos="8306"/>
          <w:tab w:val="clear" w:pos="8296"/>
        </w:tabs>
        <w:ind w:left="420"/>
      </w:pPr>
      <w:r>
        <w:fldChar w:fldCharType="begin"/>
      </w:r>
      <w:r>
        <w:instrText xml:space="preserve"> HYPERLINK \l "_Toc30281" </w:instrText>
      </w:r>
      <w:r>
        <w:fldChar w:fldCharType="separate"/>
      </w:r>
      <w:r>
        <w:rPr>
          <w:rFonts w:hint="eastAsia" w:ascii="黑体" w:eastAsia="黑体"/>
        </w:rPr>
        <w:t>四、财政拨款收入支出决算总表</w:t>
      </w:r>
      <w:r>
        <w:tab/>
      </w:r>
      <w:r>
        <w:rPr>
          <w:rFonts w:hint="eastAsia"/>
        </w:rPr>
        <w:t>2</w:t>
      </w:r>
      <w:r>
        <w:rPr>
          <w:rFonts w:hint="eastAsia"/>
        </w:rPr>
        <w:fldChar w:fldCharType="end"/>
      </w:r>
      <w:r>
        <w:rPr>
          <w:rFonts w:hint="eastAsia"/>
          <w:smallCaps/>
          <w:szCs w:val="20"/>
        </w:rPr>
        <w:t>9</w:t>
      </w:r>
    </w:p>
    <w:p>
      <w:pPr>
        <w:pStyle w:val="18"/>
        <w:tabs>
          <w:tab w:val="right" w:leader="dot" w:pos="8306"/>
          <w:tab w:val="clear" w:pos="8296"/>
        </w:tabs>
        <w:ind w:left="420"/>
      </w:pPr>
      <w:r>
        <w:fldChar w:fldCharType="begin"/>
      </w:r>
      <w:r>
        <w:instrText xml:space="preserve"> HYPERLINK \l "_Toc12497" </w:instrText>
      </w:r>
      <w:r>
        <w:fldChar w:fldCharType="separate"/>
      </w:r>
      <w:r>
        <w:rPr>
          <w:rFonts w:hint="eastAsia" w:ascii="黑体" w:eastAsia="黑体"/>
        </w:rPr>
        <w:t>五、财政拨款支出决算明细表</w:t>
      </w:r>
      <w:r>
        <w:tab/>
      </w:r>
      <w:r>
        <w:rPr>
          <w:rFonts w:hint="eastAsia"/>
        </w:rPr>
        <w:t>2</w:t>
      </w:r>
      <w:r>
        <w:rPr>
          <w:rFonts w:hint="eastAsia"/>
        </w:rPr>
        <w:fldChar w:fldCharType="end"/>
      </w:r>
      <w:r>
        <w:rPr>
          <w:rFonts w:hint="eastAsia"/>
          <w:smallCaps/>
          <w:szCs w:val="20"/>
        </w:rPr>
        <w:t>9</w:t>
      </w:r>
    </w:p>
    <w:p>
      <w:pPr>
        <w:pStyle w:val="18"/>
        <w:tabs>
          <w:tab w:val="right" w:leader="dot" w:pos="8306"/>
          <w:tab w:val="clear" w:pos="8296"/>
        </w:tabs>
        <w:ind w:left="420"/>
      </w:pPr>
      <w:r>
        <w:fldChar w:fldCharType="begin"/>
      </w:r>
      <w:r>
        <w:instrText xml:space="preserve"> HYPERLINK \l "_Toc19709" </w:instrText>
      </w:r>
      <w:r>
        <w:fldChar w:fldCharType="separate"/>
      </w:r>
      <w:r>
        <w:rPr>
          <w:rFonts w:hint="eastAsia" w:ascii="黑体" w:eastAsia="黑体"/>
        </w:rPr>
        <w:t>六、一般公共预算财政拨款支出决算表</w:t>
      </w:r>
      <w:r>
        <w:tab/>
      </w:r>
      <w:r>
        <w:rPr>
          <w:rFonts w:hint="eastAsia"/>
        </w:rPr>
        <w:t>2</w:t>
      </w:r>
      <w:r>
        <w:rPr>
          <w:rFonts w:hint="eastAsia"/>
        </w:rPr>
        <w:fldChar w:fldCharType="end"/>
      </w:r>
      <w:r>
        <w:rPr>
          <w:rFonts w:hint="eastAsia"/>
          <w:smallCaps/>
          <w:szCs w:val="20"/>
        </w:rPr>
        <w:t>9</w:t>
      </w:r>
    </w:p>
    <w:p>
      <w:pPr>
        <w:pStyle w:val="18"/>
        <w:tabs>
          <w:tab w:val="right" w:leader="dot" w:pos="8306"/>
          <w:tab w:val="clear" w:pos="8296"/>
        </w:tabs>
        <w:ind w:left="420"/>
      </w:pPr>
      <w:r>
        <w:fldChar w:fldCharType="begin"/>
      </w:r>
      <w:r>
        <w:instrText xml:space="preserve"> HYPERLINK \l "_Toc20892" </w:instrText>
      </w:r>
      <w:r>
        <w:fldChar w:fldCharType="separate"/>
      </w:r>
      <w:r>
        <w:rPr>
          <w:rFonts w:hint="eastAsia" w:ascii="黑体" w:eastAsia="黑体"/>
        </w:rPr>
        <w:t>七、一般公共预算财政拨款支出决算明细表</w:t>
      </w:r>
      <w:r>
        <w:tab/>
      </w:r>
      <w:r>
        <w:rPr>
          <w:rFonts w:hint="eastAsia"/>
        </w:rPr>
        <w:t>2</w:t>
      </w:r>
      <w:r>
        <w:rPr>
          <w:rFonts w:hint="eastAsia"/>
        </w:rPr>
        <w:fldChar w:fldCharType="end"/>
      </w:r>
      <w:r>
        <w:rPr>
          <w:rFonts w:hint="eastAsia"/>
          <w:smallCaps/>
          <w:szCs w:val="20"/>
        </w:rPr>
        <w:t>9</w:t>
      </w:r>
    </w:p>
    <w:p>
      <w:pPr>
        <w:pStyle w:val="18"/>
        <w:tabs>
          <w:tab w:val="right" w:leader="dot" w:pos="8306"/>
          <w:tab w:val="clear" w:pos="8296"/>
        </w:tabs>
        <w:ind w:left="420"/>
      </w:pPr>
      <w:r>
        <w:fldChar w:fldCharType="begin"/>
      </w:r>
      <w:r>
        <w:instrText xml:space="preserve"> HYPERLINK \l "_Toc17160" </w:instrText>
      </w:r>
      <w:r>
        <w:fldChar w:fldCharType="separate"/>
      </w:r>
      <w:r>
        <w:rPr>
          <w:rFonts w:hint="eastAsia" w:ascii="黑体" w:eastAsia="黑体"/>
        </w:rPr>
        <w:t>八、一般公共预算财政拨款基本支出决算表</w:t>
      </w:r>
      <w:r>
        <w:tab/>
      </w:r>
      <w:r>
        <w:rPr>
          <w:rFonts w:hint="eastAsia"/>
        </w:rPr>
        <w:t>2</w:t>
      </w:r>
      <w:r>
        <w:rPr>
          <w:rFonts w:hint="eastAsia"/>
        </w:rPr>
        <w:fldChar w:fldCharType="end"/>
      </w:r>
      <w:r>
        <w:rPr>
          <w:rFonts w:hint="eastAsia"/>
          <w:smallCaps/>
          <w:szCs w:val="20"/>
        </w:rPr>
        <w:t>9</w:t>
      </w:r>
    </w:p>
    <w:p>
      <w:pPr>
        <w:pStyle w:val="18"/>
        <w:tabs>
          <w:tab w:val="right" w:leader="dot" w:pos="8306"/>
          <w:tab w:val="clear" w:pos="8296"/>
        </w:tabs>
        <w:ind w:left="420"/>
      </w:pPr>
      <w:r>
        <w:fldChar w:fldCharType="begin"/>
      </w:r>
      <w:r>
        <w:instrText xml:space="preserve"> HYPERLINK \l "_Toc4317" </w:instrText>
      </w:r>
      <w:r>
        <w:fldChar w:fldCharType="separate"/>
      </w:r>
      <w:r>
        <w:rPr>
          <w:rFonts w:hint="eastAsia" w:ascii="黑体" w:eastAsia="黑体"/>
        </w:rPr>
        <w:t>九、一般公共预算财政拨款项目支出决算表</w:t>
      </w:r>
      <w:r>
        <w:tab/>
      </w:r>
      <w:r>
        <w:rPr>
          <w:rFonts w:hint="eastAsia"/>
        </w:rPr>
        <w:t>2</w:t>
      </w:r>
      <w:r>
        <w:rPr>
          <w:rFonts w:hint="eastAsia"/>
        </w:rPr>
        <w:fldChar w:fldCharType="end"/>
      </w:r>
      <w:r>
        <w:rPr>
          <w:rFonts w:hint="eastAsia"/>
          <w:smallCaps/>
          <w:szCs w:val="20"/>
        </w:rPr>
        <w:t>9</w:t>
      </w:r>
    </w:p>
    <w:p>
      <w:pPr>
        <w:pStyle w:val="18"/>
        <w:tabs>
          <w:tab w:val="right" w:leader="dot" w:pos="8306"/>
          <w:tab w:val="clear" w:pos="8296"/>
        </w:tabs>
        <w:ind w:left="420"/>
      </w:pPr>
      <w:r>
        <w:fldChar w:fldCharType="begin"/>
      </w:r>
      <w:r>
        <w:instrText xml:space="preserve"> HYPERLINK \l "_Toc8510" </w:instrText>
      </w:r>
      <w:r>
        <w:fldChar w:fldCharType="separate"/>
      </w:r>
      <w:r>
        <w:rPr>
          <w:rFonts w:hint="eastAsia" w:ascii="黑体" w:eastAsia="黑体"/>
        </w:rPr>
        <w:t>十、政府性基金预算财政拨款收入支出决算表</w:t>
      </w:r>
      <w:r>
        <w:tab/>
      </w:r>
      <w:r>
        <w:rPr>
          <w:rFonts w:hint="eastAsia"/>
        </w:rPr>
        <w:t>2</w:t>
      </w:r>
      <w:r>
        <w:rPr>
          <w:rFonts w:hint="eastAsia"/>
        </w:rPr>
        <w:fldChar w:fldCharType="end"/>
      </w:r>
      <w:r>
        <w:rPr>
          <w:rFonts w:hint="eastAsia"/>
          <w:smallCaps/>
          <w:szCs w:val="20"/>
        </w:rPr>
        <w:t>9</w:t>
      </w:r>
    </w:p>
    <w:p>
      <w:pPr>
        <w:pStyle w:val="18"/>
        <w:tabs>
          <w:tab w:val="right" w:leader="dot" w:pos="8306"/>
          <w:tab w:val="clear" w:pos="8296"/>
        </w:tabs>
        <w:ind w:left="420"/>
      </w:pPr>
      <w:r>
        <w:fldChar w:fldCharType="begin"/>
      </w:r>
      <w:r>
        <w:instrText xml:space="preserve"> HYPERLINK \l "_Toc8680" </w:instrText>
      </w:r>
      <w:r>
        <w:fldChar w:fldCharType="separate"/>
      </w:r>
      <w:r>
        <w:rPr>
          <w:rFonts w:hint="eastAsia" w:ascii="黑体" w:eastAsia="黑体"/>
        </w:rPr>
        <w:t>十一、国有资本经营预算财政拨款收入支出决算表</w:t>
      </w:r>
      <w:r>
        <w:tab/>
      </w:r>
      <w:r>
        <w:rPr>
          <w:rFonts w:hint="eastAsia"/>
        </w:rPr>
        <w:t>2</w:t>
      </w:r>
      <w:r>
        <w:rPr>
          <w:rFonts w:hint="eastAsia"/>
        </w:rPr>
        <w:fldChar w:fldCharType="end"/>
      </w:r>
      <w:r>
        <w:rPr>
          <w:rFonts w:hint="eastAsia"/>
          <w:smallCaps/>
          <w:szCs w:val="20"/>
        </w:rPr>
        <w:t>9</w:t>
      </w:r>
    </w:p>
    <w:p>
      <w:pPr>
        <w:pStyle w:val="18"/>
        <w:tabs>
          <w:tab w:val="right" w:leader="dot" w:pos="8306"/>
          <w:tab w:val="clear" w:pos="8296"/>
        </w:tabs>
        <w:ind w:left="420"/>
      </w:pPr>
      <w:r>
        <w:fldChar w:fldCharType="begin"/>
      </w:r>
      <w:r>
        <w:instrText xml:space="preserve"> HYPERLINK \l "_Toc27700" </w:instrText>
      </w:r>
      <w:r>
        <w:fldChar w:fldCharType="separate"/>
      </w:r>
      <w:r>
        <w:rPr>
          <w:rFonts w:hint="eastAsia" w:ascii="黑体" w:eastAsia="黑体"/>
        </w:rPr>
        <w:t>十二、国有资本经营预算财政拨款支出决算表</w:t>
      </w:r>
      <w:r>
        <w:tab/>
      </w:r>
      <w:r>
        <w:rPr>
          <w:rFonts w:hint="eastAsia"/>
        </w:rPr>
        <w:t>2</w:t>
      </w:r>
      <w:r>
        <w:rPr>
          <w:rFonts w:hint="eastAsia"/>
        </w:rPr>
        <w:fldChar w:fldCharType="end"/>
      </w:r>
      <w:r>
        <w:rPr>
          <w:rFonts w:hint="eastAsia"/>
          <w:smallCaps/>
          <w:szCs w:val="20"/>
        </w:rPr>
        <w:t>9</w:t>
      </w:r>
    </w:p>
    <w:p>
      <w:pPr>
        <w:pStyle w:val="18"/>
        <w:tabs>
          <w:tab w:val="right" w:leader="dot" w:pos="8306"/>
          <w:tab w:val="clear" w:pos="8296"/>
        </w:tabs>
        <w:ind w:left="420"/>
      </w:pPr>
      <w:r>
        <w:fldChar w:fldCharType="begin"/>
      </w:r>
      <w:r>
        <w:instrText xml:space="preserve"> HYPERLINK \l "_Toc17252" </w:instrText>
      </w:r>
      <w:r>
        <w:fldChar w:fldCharType="separate"/>
      </w:r>
      <w:r>
        <w:rPr>
          <w:rFonts w:hint="eastAsia" w:ascii="黑体" w:eastAsia="黑体"/>
        </w:rPr>
        <w:t>十三、财政拨款“三公”经费支出决算表</w:t>
      </w:r>
      <w:r>
        <w:tab/>
      </w:r>
      <w:r>
        <w:rPr>
          <w:rFonts w:hint="eastAsia"/>
        </w:rPr>
        <w:t>2</w:t>
      </w:r>
      <w:r>
        <w:rPr>
          <w:rFonts w:hint="eastAsia"/>
        </w:rPr>
        <w:fldChar w:fldCharType="end"/>
      </w:r>
      <w:r>
        <w:rPr>
          <w:rFonts w:hint="eastAsia"/>
          <w:smallCaps/>
          <w:szCs w:val="20"/>
        </w:rPr>
        <w:t>9</w:t>
      </w:r>
    </w:p>
    <w:p>
      <w:pPr>
        <w:pStyle w:val="6"/>
      </w:pPr>
      <w:r>
        <w:rPr>
          <w:smallCaps/>
          <w:szCs w:val="20"/>
        </w:rPr>
        <w:fldChar w:fldCharType="end"/>
      </w:r>
    </w:p>
    <w:p>
      <w:pPr>
        <w:rPr>
          <w:rFonts w:ascii="黑体" w:eastAsia="黑体" w:cs="黑体"/>
        </w:rPr>
      </w:pPr>
      <w:bookmarkStart w:id="7" w:name="_Toc111208495"/>
      <w:r>
        <w:rPr>
          <w:rFonts w:hint="eastAsia" w:ascii="黑体" w:eastAsia="黑体" w:cs="黑体"/>
        </w:rPr>
        <w:br w:type="page"/>
      </w:r>
    </w:p>
    <w:bookmarkEnd w:id="6"/>
    <w:bookmarkEnd w:id="7"/>
    <w:p>
      <w:pPr>
        <w:pStyle w:val="3"/>
        <w:jc w:val="center"/>
        <w:rPr>
          <w:rFonts w:ascii="黑体" w:eastAsia="黑体" w:cs="黑体"/>
          <w:b w:val="0"/>
          <w:bCs w:val="0"/>
        </w:rPr>
      </w:pPr>
      <w:bookmarkStart w:id="8" w:name="_Toc24052"/>
      <w:bookmarkStart w:id="9" w:name="_Toc15377204"/>
      <w:bookmarkStart w:id="10" w:name="_Toc111208498"/>
      <w:r>
        <w:rPr>
          <w:rFonts w:hint="eastAsia" w:ascii="黑体" w:eastAsia="黑体" w:cs="黑体"/>
        </w:rPr>
        <w:t xml:space="preserve">第一部分 </w:t>
      </w:r>
      <w:r>
        <w:rPr>
          <w:rStyle w:val="24"/>
          <w:rFonts w:hint="eastAsia" w:ascii="黑体" w:eastAsia="黑体" w:cs="黑体"/>
          <w:b/>
          <w:bCs w:val="0"/>
        </w:rPr>
        <w:t>部门概况</w:t>
      </w:r>
      <w:bookmarkEnd w:id="8"/>
    </w:p>
    <w:p>
      <w:pPr>
        <w:pStyle w:val="4"/>
        <w:spacing w:after="0" w:line="400" w:lineRule="exact"/>
        <w:ind w:firstLine="642" w:firstLineChars="200"/>
        <w:rPr>
          <w:rFonts w:ascii="黑体" w:eastAsia="黑体"/>
          <w:bCs w:val="0"/>
          <w:color w:val="000000"/>
        </w:rPr>
      </w:pPr>
      <w:bookmarkStart w:id="11" w:name="_Toc111208496"/>
      <w:bookmarkStart w:id="12" w:name="_Toc15377197"/>
      <w:bookmarkStart w:id="13" w:name="_Toc26051"/>
      <w:r>
        <w:rPr>
          <w:rFonts w:hint="eastAsia" w:ascii="黑体" w:eastAsia="黑体"/>
          <w:bCs w:val="0"/>
          <w:color w:val="000000"/>
        </w:rPr>
        <w:t>一、</w:t>
      </w:r>
      <w:bookmarkEnd w:id="11"/>
      <w:bookmarkEnd w:id="12"/>
      <w:bookmarkStart w:id="14" w:name="_Toc15377198"/>
      <w:bookmarkStart w:id="15" w:name="_Toc15378445"/>
      <w:r>
        <w:rPr>
          <w:rFonts w:hint="eastAsia" w:ascii="黑体" w:eastAsia="黑体"/>
          <w:bCs w:val="0"/>
          <w:color w:val="000000"/>
        </w:rPr>
        <w:t>部门职责</w:t>
      </w:r>
      <w:bookmarkEnd w:id="13"/>
    </w:p>
    <w:bookmarkEnd w:id="14"/>
    <w:bookmarkEnd w:id="15"/>
    <w:p>
      <w:pPr>
        <w:spacing w:line="576" w:lineRule="exact"/>
        <w:ind w:firstLine="640" w:firstLineChars="200"/>
        <w:rPr>
          <w:rFonts w:ascii="仿宋_GB2312" w:hAnsi="仿宋_GB2312" w:eastAsia="仿宋_GB2312" w:cs="仿宋_GB2312"/>
          <w:sz w:val="32"/>
          <w:szCs w:val="32"/>
        </w:rPr>
      </w:pPr>
      <w:bookmarkStart w:id="16" w:name="_Toc111208497"/>
      <w:bookmarkStart w:id="17" w:name="_Toc15377200"/>
      <w:r>
        <w:rPr>
          <w:rFonts w:hint="eastAsia" w:ascii="仿宋_GB2312" w:hAnsi="仿宋_GB2312" w:eastAsia="仿宋_GB2312" w:cs="仿宋_GB2312"/>
          <w:sz w:val="32"/>
          <w:szCs w:val="32"/>
        </w:rPr>
        <w:t>1.贯彻执行党和国家的路线方针政策和上级党委、政府各项决策部署，以及本级党员代表大会（党员大会）、人民代表大会的决议决定。</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讨论和决定本镇经济建设、政治建设、文化建设、社会建设、生态文明建设和党的建设以及乡村振兴中的重大问题。需由镇政权机关或者集体经济组织决定的重要事项，经镇党委研究讨论后，由镇政权机关或者集体经济组织依照法律和有关规定作出决定。</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3.领导镇政权机关、群团组织和其他各类组织，加强指导和规范，支持和保证这些机关和组织依照国家法律法规以及各自章程履行职责。</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加强党的建设。坚持全面从严治党，落实管党治党主体责任，全面加强党的政治建设、思想建设、组织建设、作风建设、纪律建设、制度建设等工作。不断强化自身建设和村党组织建设，以及其他隶属镇党委的党组织建设，抓好发展党员工作，加强党员队伍建设。维护和执行党的纪律,监督党员干部和其他工作人员严格遵守国家法律法规。</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5.按照干部管理权限，负责对干部的教育、培训、选拔、考核和监督工作。协助管理上级有关部门驻镇单位的干部。做好人才服务和引进工作。</w:t>
      </w:r>
    </w:p>
    <w:p>
      <w:pPr>
        <w:spacing w:line="576" w:lineRule="exact"/>
        <w:ind w:firstLine="640" w:firstLineChars="200"/>
        <w:rPr>
          <w:rFonts w:ascii="仿宋_GB2312" w:eastAsia="仿宋_GB2312" w:cs="仿宋"/>
          <w:color w:val="000000"/>
          <w:kern w:val="0"/>
          <w:sz w:val="32"/>
          <w:szCs w:val="32"/>
        </w:rPr>
      </w:pPr>
      <w:r>
        <w:rPr>
          <w:rFonts w:hint="eastAsia" w:ascii="仿宋_GB2312" w:hAnsi="仿宋_GB2312" w:eastAsia="仿宋_GB2312" w:cs="仿宋_GB2312"/>
          <w:sz w:val="32"/>
          <w:szCs w:val="32"/>
        </w:rPr>
        <w:t>6.统筹区域发展。负责实施创新驱动发展、可持续发展战略目标任务，落实新发展理念，推动经济高质量发展；落实关于辖区发展的重大决策，制定辖区经济和社会发展规划、公共服务设施布局;负责乡村振兴工作，做好民生保障、返贫监测和帮扶、民族宗教等工作，推动辖区经济社会健康、有序、可持续发展；负责指导辖区基层供销合作社工作。</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7.强化基层治理。负责本辖区社会治理，加强社会主义民主法治建设和精神文明建设，加快推进基层社会治理体系和治理能力现代化；指导村委会建设，健全自治平台，组织群众和单位参与村委会建设和管理。</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8.优化公共服务。推进服务型政府建设，组织实施并优化教育、卫生健康、文化、民政、社会保障、退役军人事务等各项公共服务。</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9.负责辖区范围内的应急管理、社会稳定、安全生产、生态环境保护、社会信用体系建设和审批服务便民化等工作。</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10.负责辖区农村经营管理体系建设工作。</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11.完成县委、县政府交办的其他任务。</w:t>
      </w:r>
    </w:p>
    <w:p>
      <w:pPr>
        <w:pStyle w:val="4"/>
        <w:spacing w:after="0" w:line="300" w:lineRule="exact"/>
        <w:ind w:firstLine="642" w:firstLineChars="200"/>
        <w:rPr>
          <w:rFonts w:ascii="黑体" w:eastAsia="黑体"/>
          <w:bCs w:val="0"/>
          <w:color w:val="000000"/>
        </w:rPr>
      </w:pPr>
      <w:bookmarkStart w:id="18" w:name="_Toc16911"/>
      <w:r>
        <w:rPr>
          <w:rFonts w:hint="eastAsia" w:ascii="黑体" w:eastAsia="黑体"/>
          <w:bCs w:val="0"/>
          <w:color w:val="000000"/>
        </w:rPr>
        <w:t>二、机构设置</w:t>
      </w:r>
      <w:bookmarkEnd w:id="16"/>
      <w:bookmarkEnd w:id="17"/>
      <w:bookmarkEnd w:id="18"/>
    </w:p>
    <w:p>
      <w:pPr>
        <w:spacing w:line="576" w:lineRule="exact"/>
        <w:ind w:firstLine="642" w:firstLineChars="200"/>
        <w:rPr>
          <w:rFonts w:ascii="仿宋_GB2312" w:hAnsi="仿宋_GB2312" w:eastAsia="仿宋_GB2312" w:cs="仿宋_GB2312"/>
          <w:b/>
          <w:bCs/>
          <w:sz w:val="32"/>
          <w:szCs w:val="32"/>
          <w:lang w:val="zh-CN"/>
        </w:rPr>
      </w:pPr>
      <w:r>
        <w:rPr>
          <w:rFonts w:hint="eastAsia" w:ascii="仿宋_GB2312" w:hAnsi="仿宋_GB2312" w:eastAsia="仿宋_GB2312" w:cs="仿宋_GB2312"/>
          <w:b/>
          <w:bCs/>
          <w:sz w:val="32"/>
          <w:szCs w:val="32"/>
          <w:lang w:val="zh-CN"/>
        </w:rPr>
        <w:t>（一）机构组成</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zh-CN"/>
        </w:rPr>
        <w:t>茂县南新镇人民政府属二级预算单位2个，其中行政单位</w:t>
      </w:r>
      <w:r>
        <w:rPr>
          <w:rFonts w:hint="eastAsia" w:ascii="仿宋_GB2312" w:hAnsi="仿宋_GB2312" w:eastAsia="仿宋_GB2312" w:cs="仿宋_GB2312"/>
          <w:sz w:val="32"/>
          <w:szCs w:val="32"/>
        </w:rPr>
        <w:t>1个，参照公务员法管理的事业单位0个，其他事业单位1个。</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纳入茂县南新镇人民政府2024年度部门决算编制范围的二级预算单位包括：</w:t>
      </w:r>
    </w:p>
    <w:p>
      <w:pPr>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茂县南新镇人民政府（行政）</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茂县南新镇人民政府（事业）</w:t>
      </w:r>
      <w:r>
        <w:rPr>
          <w:rFonts w:hint="eastAsia" w:ascii="仿宋_GB2312" w:hAnsi="仿宋_GB2312" w:eastAsia="仿宋_GB2312" w:cs="仿宋_GB2312"/>
          <w:sz w:val="32"/>
          <w:szCs w:val="32"/>
        </w:rPr>
        <w:br w:type="page"/>
      </w:r>
    </w:p>
    <w:p>
      <w:pPr>
        <w:pStyle w:val="3"/>
        <w:jc w:val="center"/>
        <w:rPr>
          <w:rFonts w:ascii="黑体" w:eastAsia="黑体" w:cs="黑体"/>
        </w:rPr>
      </w:pPr>
      <w:bookmarkStart w:id="19" w:name="_Toc12146"/>
      <w:r>
        <w:rPr>
          <w:rFonts w:hint="eastAsia" w:ascii="黑体" w:eastAsia="黑体" w:cs="黑体"/>
        </w:rPr>
        <w:t>第二部分</w:t>
      </w:r>
      <w:r>
        <w:rPr>
          <w:rFonts w:ascii="黑体" w:eastAsia="黑体" w:cs="黑体"/>
        </w:rPr>
        <w:t xml:space="preserve"> </w:t>
      </w:r>
      <w:r>
        <w:rPr>
          <w:rFonts w:hint="eastAsia" w:ascii="黑体" w:eastAsia="黑体" w:cs="黑体"/>
        </w:rPr>
        <w:t>2024</w:t>
      </w:r>
      <w:r>
        <w:rPr>
          <w:rFonts w:ascii="黑体" w:eastAsia="黑体" w:cs="黑体"/>
        </w:rPr>
        <w:t>年度</w:t>
      </w:r>
      <w:r>
        <w:rPr>
          <w:rFonts w:hint="eastAsia" w:ascii="黑体" w:eastAsia="黑体" w:cs="黑体"/>
        </w:rPr>
        <w:t>单位</w:t>
      </w:r>
      <w:r>
        <w:rPr>
          <w:rFonts w:ascii="黑体" w:eastAsia="黑体" w:cs="黑体"/>
        </w:rPr>
        <w:t>决算情况说明</w:t>
      </w:r>
      <w:bookmarkEnd w:id="9"/>
      <w:bookmarkEnd w:id="10"/>
      <w:bookmarkEnd w:id="19"/>
    </w:p>
    <w:p>
      <w:pPr>
        <w:pStyle w:val="4"/>
        <w:spacing w:after="0" w:line="400" w:lineRule="exact"/>
        <w:ind w:firstLine="642" w:firstLineChars="200"/>
        <w:rPr>
          <w:rFonts w:ascii="黑体" w:eastAsia="黑体"/>
          <w:bCs w:val="0"/>
          <w:color w:val="000000"/>
        </w:rPr>
      </w:pPr>
      <w:bookmarkStart w:id="20" w:name="_Toc15377205"/>
      <w:bookmarkStart w:id="21" w:name="_Toc111208499"/>
      <w:bookmarkStart w:id="22" w:name="_Toc2086"/>
      <w:r>
        <w:rPr>
          <w:rFonts w:hint="eastAsia" w:ascii="黑体" w:eastAsia="黑体"/>
          <w:bCs w:val="0"/>
          <w:color w:val="000000"/>
        </w:rPr>
        <w:t>一、收入支出决算总体情况说</w:t>
      </w:r>
      <w:bookmarkEnd w:id="20"/>
      <w:r>
        <w:rPr>
          <w:rFonts w:hint="eastAsia" w:ascii="黑体" w:eastAsia="黑体"/>
          <w:bCs w:val="0"/>
          <w:color w:val="000000"/>
        </w:rPr>
        <w:t>明</w:t>
      </w:r>
      <w:bookmarkEnd w:id="21"/>
      <w:bookmarkEnd w:id="22"/>
    </w:p>
    <w:p>
      <w:pPr>
        <w:spacing w:line="600" w:lineRule="exact"/>
        <w:ind w:firstLine="640" w:firstLineChars="200"/>
        <w:rPr>
          <w:rFonts w:ascii="仿宋_GB2312" w:eastAsia="仿宋_GB2312"/>
          <w:color w:val="000000"/>
          <w:sz w:val="28"/>
          <w:szCs w:val="28"/>
        </w:rPr>
      </w:pPr>
      <w:r>
        <w:rPr>
          <w:rFonts w:hint="eastAsia" w:ascii="仿宋_GB2312" w:hAnsi="仿宋_GB2312" w:eastAsia="仿宋_GB2312" w:cs="仿宋_GB2312"/>
          <w:color w:val="000000"/>
          <w:sz w:val="32"/>
          <w:szCs w:val="32"/>
        </w:rPr>
        <w:t>2024年度收、支总计1187.29万元。与2023年相比，收、支总计各增加80.77万元，增加7.3%。</w:t>
      </w:r>
      <w:r>
        <w:rPr>
          <w:rFonts w:hint="eastAsia" w:ascii="仿宋_GB2312" w:hAnsi="仿宋_GB2312" w:eastAsia="仿宋_GB2312" w:cs="仿宋_GB2312"/>
          <w:color w:val="000000"/>
          <w:sz w:val="32"/>
        </w:rPr>
        <w:t>主要变动原因是：人员增加。</w:t>
      </w:r>
    </w:p>
    <w:p>
      <w:pPr>
        <w:pStyle w:val="6"/>
      </w:pPr>
      <w:r>
        <w:rPr>
          <w:rFonts w:hint="eastAsia" w:eastAsia="仿宋"/>
        </w:rPr>
        <w:drawing>
          <wp:inline distT="0" distB="0" distL="114300" distR="114300">
            <wp:extent cx="5256530" cy="2988310"/>
            <wp:effectExtent l="5080" t="4445" r="15240" b="17145"/>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4"/>
        <w:spacing w:after="0" w:line="300" w:lineRule="exact"/>
        <w:ind w:firstLine="642" w:firstLineChars="200"/>
        <w:rPr>
          <w:rFonts w:ascii="黑体" w:eastAsia="黑体"/>
          <w:bCs w:val="0"/>
          <w:color w:val="000000"/>
        </w:rPr>
      </w:pPr>
      <w:bookmarkStart w:id="23" w:name="_Toc111208500"/>
      <w:bookmarkStart w:id="24" w:name="_Toc15377206"/>
      <w:bookmarkStart w:id="25" w:name="_Toc25698"/>
      <w:r>
        <w:rPr>
          <w:rFonts w:hint="eastAsia" w:ascii="黑体" w:eastAsia="黑体"/>
          <w:bCs w:val="0"/>
          <w:color w:val="000000"/>
        </w:rPr>
        <w:t>二、收入决算情况说明</w:t>
      </w:r>
      <w:bookmarkEnd w:id="23"/>
      <w:bookmarkEnd w:id="24"/>
      <w:bookmarkEnd w:id="25"/>
    </w:p>
    <w:p>
      <w:pPr>
        <w:spacing w:line="600" w:lineRule="exact"/>
        <w:ind w:firstLine="640" w:firstLineChars="200"/>
        <w:rPr>
          <w:rFonts w:ascii="仿宋" w:eastAsia="仿宋"/>
          <w:color w:val="000000"/>
          <w:sz w:val="32"/>
          <w:szCs w:val="32"/>
        </w:rPr>
      </w:pPr>
      <w:r>
        <w:rPr>
          <w:rFonts w:hint="eastAsia" w:ascii="仿宋_GB2312" w:hAnsi="仿宋_GB2312" w:eastAsia="仿宋_GB2312" w:cs="仿宋_GB2312"/>
          <w:color w:val="000000"/>
          <w:sz w:val="32"/>
          <w:szCs w:val="32"/>
        </w:rPr>
        <w:t>2024</w:t>
      </w:r>
      <w:r>
        <w:rPr>
          <w:rFonts w:hint="eastAsia" w:ascii="仿宋_GB2312" w:hAnsi="仿宋_GB2312" w:eastAsia="仿宋_GB2312" w:cs="仿宋_GB2312"/>
          <w:color w:val="000000"/>
          <w:sz w:val="32"/>
        </w:rPr>
        <w:t>年收入合计</w:t>
      </w:r>
      <w:r>
        <w:rPr>
          <w:rFonts w:hint="eastAsia" w:ascii="仿宋_GB2312" w:hAnsi="仿宋_GB2312" w:eastAsia="仿宋_GB2312" w:cs="仿宋_GB2312"/>
          <w:color w:val="000000"/>
          <w:sz w:val="32"/>
          <w:szCs w:val="32"/>
        </w:rPr>
        <w:t>1187.29</w:t>
      </w:r>
      <w:r>
        <w:rPr>
          <w:rFonts w:hint="eastAsia" w:ascii="仿宋_GB2312" w:hAnsi="仿宋_GB2312" w:eastAsia="仿宋_GB2312" w:cs="仿宋_GB2312"/>
          <w:color w:val="000000"/>
          <w:sz w:val="32"/>
        </w:rPr>
        <w:t>万元，其中：一般公共预算财政拨款收入</w:t>
      </w:r>
      <w:r>
        <w:rPr>
          <w:rFonts w:hint="eastAsia" w:ascii="仿宋_GB2312" w:hAnsi="仿宋_GB2312" w:eastAsia="仿宋_GB2312" w:cs="仿宋_GB2312"/>
          <w:color w:val="000000"/>
          <w:sz w:val="32"/>
          <w:szCs w:val="32"/>
        </w:rPr>
        <w:t>1187.29</w:t>
      </w:r>
      <w:r>
        <w:rPr>
          <w:rFonts w:hint="eastAsia" w:ascii="仿宋_GB2312" w:hAnsi="仿宋_GB2312" w:eastAsia="仿宋_GB2312" w:cs="仿宋_GB2312"/>
          <w:color w:val="000000"/>
          <w:sz w:val="32"/>
        </w:rPr>
        <w:t>万元，占99.99%，政府性基金预算财政拨款收入0.01万元，占0.01%。</w:t>
      </w:r>
    </w:p>
    <w:p>
      <w:pPr>
        <w:pStyle w:val="17"/>
        <w:ind w:left="1060" w:hanging="640"/>
        <w:jc w:val="center"/>
      </w:pPr>
      <w:r>
        <w:rPr>
          <w:rFonts w:hint="eastAsia" w:ascii="仿宋_GB2312" w:eastAsia="仿宋_GB2312"/>
          <w:color w:val="FF0000"/>
          <w:sz w:val="32"/>
          <w:szCs w:val="32"/>
        </w:rPr>
        <w:drawing>
          <wp:inline distT="0" distB="0" distL="114300" distR="114300">
            <wp:extent cx="5332730" cy="3400425"/>
            <wp:effectExtent l="0" t="0" r="0" b="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4"/>
        <w:spacing w:after="0" w:line="300" w:lineRule="exact"/>
        <w:ind w:firstLine="642" w:firstLineChars="200"/>
        <w:rPr>
          <w:rFonts w:ascii="黑体" w:eastAsia="黑体"/>
          <w:bCs w:val="0"/>
          <w:color w:val="000000"/>
        </w:rPr>
      </w:pPr>
      <w:bookmarkStart w:id="26" w:name="_Toc15377207"/>
      <w:bookmarkStart w:id="27" w:name="_Toc470"/>
      <w:bookmarkStart w:id="28" w:name="_Toc111208501"/>
      <w:r>
        <w:rPr>
          <w:rFonts w:hint="eastAsia" w:ascii="黑体" w:eastAsia="黑体"/>
          <w:bCs w:val="0"/>
          <w:color w:val="000000"/>
        </w:rPr>
        <w:t>三、支出决算情况说明</w:t>
      </w:r>
      <w:bookmarkEnd w:id="26"/>
      <w:bookmarkEnd w:id="27"/>
      <w:bookmarkEnd w:id="28"/>
    </w:p>
    <w:p>
      <w:pPr>
        <w:pStyle w:val="6"/>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2024年支出合计1187.29万元，其中：基本支出633.59万元，占53.4%；项目支出553.71万元，占46.6%。</w:t>
      </w:r>
    </w:p>
    <w:p>
      <w:pPr>
        <w:spacing w:line="60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（图3：支出决算结构图）</w:t>
      </w:r>
    </w:p>
    <w:p>
      <w:pPr>
        <w:jc w:val="center"/>
        <w:rPr>
          <w:rFonts w:ascii="仿宋_GB2312" w:eastAsia="仿宋_GB2312"/>
          <w:color w:val="FF0000"/>
          <w:sz w:val="32"/>
          <w:szCs w:val="32"/>
        </w:rPr>
      </w:pPr>
      <w:r>
        <w:rPr>
          <w:rFonts w:hint="eastAsia" w:ascii="仿宋" w:hAnsi="仿宋" w:eastAsia="仿宋"/>
          <w:sz w:val="32"/>
          <w:szCs w:val="32"/>
          <w:shd w:val="pct10" w:color="auto" w:fill="FFFFFF"/>
        </w:rPr>
        <w:drawing>
          <wp:inline distT="0" distB="0" distL="114300" distR="114300">
            <wp:extent cx="5256530" cy="2988310"/>
            <wp:effectExtent l="5080" t="4445" r="15240" b="17145"/>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Style w:val="6"/>
      </w:pPr>
    </w:p>
    <w:p>
      <w:pPr>
        <w:pStyle w:val="4"/>
        <w:spacing w:after="0" w:line="400" w:lineRule="exact"/>
        <w:ind w:firstLine="642" w:firstLineChars="200"/>
        <w:rPr>
          <w:rFonts w:ascii="黑体" w:eastAsia="黑体"/>
          <w:bCs w:val="0"/>
          <w:color w:val="000000"/>
        </w:rPr>
      </w:pPr>
      <w:bookmarkStart w:id="29" w:name="_Toc111208502"/>
      <w:bookmarkStart w:id="30" w:name="_Toc15377208"/>
      <w:bookmarkStart w:id="31" w:name="_Toc9070"/>
      <w:r>
        <w:rPr>
          <w:rFonts w:hint="eastAsia" w:ascii="黑体" w:eastAsia="黑体"/>
          <w:bCs w:val="0"/>
          <w:color w:val="000000"/>
        </w:rPr>
        <w:t>四、财政拨款收入支出决算总体情况说明</w:t>
      </w:r>
      <w:bookmarkEnd w:id="29"/>
      <w:bookmarkEnd w:id="30"/>
      <w:bookmarkEnd w:id="31"/>
    </w:p>
    <w:p>
      <w:pPr>
        <w:spacing w:line="600" w:lineRule="exact"/>
        <w:ind w:firstLine="640" w:firstLineChars="200"/>
      </w:pPr>
      <w:r>
        <w:rPr>
          <w:rFonts w:hint="eastAsia" w:ascii="仿宋_GB2312" w:hAnsi="仿宋_GB2312" w:eastAsia="仿宋_GB2312" w:cs="仿宋_GB2312"/>
          <w:color w:val="000000"/>
          <w:sz w:val="32"/>
          <w:szCs w:val="32"/>
        </w:rPr>
        <w:t>2024年度收、支总计1187.29万元。与2023年相比，收、支总计各增加80.77万元，增加7.3%。</w:t>
      </w:r>
      <w:r>
        <w:rPr>
          <w:rFonts w:hint="eastAsia" w:ascii="仿宋_GB2312" w:hAnsi="仿宋_GB2312" w:eastAsia="仿宋_GB2312" w:cs="仿宋_GB2312"/>
          <w:color w:val="000000"/>
          <w:sz w:val="32"/>
        </w:rPr>
        <w:t>主要变动原因是：人员增加。</w:t>
      </w:r>
    </w:p>
    <w:p>
      <w:pPr>
        <w:pStyle w:val="6"/>
        <w:jc w:val="left"/>
      </w:pPr>
      <w:r>
        <w:rPr>
          <w:rFonts w:hint="eastAsia" w:eastAsia="仿宋"/>
        </w:rPr>
        <w:drawing>
          <wp:inline distT="0" distB="0" distL="114300" distR="114300">
            <wp:extent cx="5256530" cy="2988310"/>
            <wp:effectExtent l="5080" t="4445" r="15240" b="17145"/>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pStyle w:val="6"/>
        <w:jc w:val="center"/>
      </w:pPr>
    </w:p>
    <w:p>
      <w:pPr>
        <w:pStyle w:val="4"/>
        <w:spacing w:after="0" w:line="300" w:lineRule="exact"/>
        <w:ind w:firstLine="642" w:firstLineChars="200"/>
        <w:rPr>
          <w:rFonts w:ascii="黑体" w:eastAsia="黑体"/>
          <w:bCs w:val="0"/>
          <w:color w:val="000000"/>
        </w:rPr>
      </w:pPr>
      <w:bookmarkStart w:id="32" w:name="_Toc15377209"/>
      <w:bookmarkStart w:id="33" w:name="_Toc111208503"/>
      <w:bookmarkStart w:id="34" w:name="_Toc24444"/>
      <w:r>
        <w:rPr>
          <w:rFonts w:hint="eastAsia" w:ascii="黑体" w:eastAsia="黑体"/>
          <w:bCs w:val="0"/>
          <w:color w:val="000000"/>
        </w:rPr>
        <w:t>五、一般公共预算财政拨款支出决算情况说</w:t>
      </w:r>
      <w:bookmarkEnd w:id="32"/>
      <w:r>
        <w:rPr>
          <w:rFonts w:hint="eastAsia" w:ascii="黑体" w:eastAsia="黑体"/>
          <w:bCs w:val="0"/>
          <w:color w:val="000000"/>
        </w:rPr>
        <w:t>明</w:t>
      </w:r>
      <w:bookmarkEnd w:id="33"/>
      <w:bookmarkEnd w:id="34"/>
    </w:p>
    <w:p>
      <w:pPr>
        <w:spacing w:line="600" w:lineRule="exact"/>
        <w:ind w:firstLine="642" w:firstLineChars="200"/>
        <w:outlineLvl w:val="2"/>
        <w:rPr>
          <w:rFonts w:ascii="仿宋_GB2312" w:hAnsi="仿宋_GB2312" w:eastAsia="仿宋_GB2312" w:cs="仿宋_GB2312"/>
          <w:b/>
          <w:color w:val="000000"/>
          <w:sz w:val="32"/>
          <w:szCs w:val="32"/>
        </w:rPr>
      </w:pPr>
      <w:bookmarkStart w:id="35" w:name="_Toc15377210"/>
      <w:r>
        <w:rPr>
          <w:rFonts w:hint="eastAsia" w:ascii="仿宋_GB2312" w:hAnsi="仿宋_GB2312" w:eastAsia="仿宋_GB2312" w:cs="仿宋_GB2312"/>
          <w:b/>
          <w:color w:val="000000"/>
          <w:sz w:val="32"/>
          <w:szCs w:val="32"/>
        </w:rPr>
        <w:t>（一）一般公共预算财政拨款支出决算总体情况</w:t>
      </w:r>
      <w:bookmarkEnd w:id="35"/>
    </w:p>
    <w:p>
      <w:pPr>
        <w:spacing w:line="600" w:lineRule="exact"/>
        <w:ind w:firstLine="640" w:firstLineChars="200"/>
        <w:rPr>
          <w:rFonts w:ascii="仿宋_GB2312" w:eastAsia="仿宋_GB2312"/>
          <w:b/>
          <w:color w:val="000000"/>
          <w:sz w:val="32"/>
          <w:szCs w:val="32"/>
        </w:rPr>
      </w:pPr>
      <w:bookmarkStart w:id="36" w:name="_Toc15377211"/>
      <w:r>
        <w:rPr>
          <w:rFonts w:hint="eastAsia" w:ascii="仿宋_GB2312" w:hAnsi="仿宋_GB2312" w:eastAsia="仿宋_GB2312" w:cs="仿宋_GB2312"/>
          <w:color w:val="000000"/>
          <w:sz w:val="32"/>
          <w:szCs w:val="32"/>
        </w:rPr>
        <w:t>2024年度收、支总计1187.29万元。与2023年相比，收、支总计各增加117.51万元，增加11%。</w:t>
      </w:r>
      <w:r>
        <w:rPr>
          <w:rFonts w:hint="eastAsia" w:ascii="仿宋_GB2312" w:hAnsi="仿宋_GB2312" w:eastAsia="仿宋_GB2312" w:cs="仿宋_GB2312"/>
          <w:color w:val="000000"/>
          <w:sz w:val="32"/>
        </w:rPr>
        <w:t>主要变动原因是：人员增加。</w:t>
      </w:r>
    </w:p>
    <w:p>
      <w:pPr>
        <w:pStyle w:val="6"/>
        <w:ind w:firstLine="0"/>
        <w:rPr>
          <w:rFonts w:ascii="仿宋_GB2312" w:eastAsia="仿宋_GB2312"/>
          <w:b/>
          <w:color w:val="000000"/>
          <w:sz w:val="32"/>
          <w:szCs w:val="32"/>
        </w:rPr>
      </w:pPr>
      <w:r>
        <w:rPr>
          <w:rFonts w:hint="eastAsia" w:eastAsia="仿宋"/>
        </w:rPr>
        <w:drawing>
          <wp:inline distT="0" distB="0" distL="114300" distR="114300">
            <wp:extent cx="5256530" cy="2988310"/>
            <wp:effectExtent l="5080" t="4445" r="15240" b="1714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pStyle w:val="6"/>
        <w:ind w:firstLine="0"/>
        <w:rPr>
          <w:rFonts w:ascii="仿宋_GB2312" w:eastAsia="仿宋_GB2312"/>
          <w:b/>
          <w:color w:val="000000"/>
          <w:sz w:val="32"/>
          <w:szCs w:val="32"/>
        </w:rPr>
      </w:pPr>
    </w:p>
    <w:p>
      <w:pPr>
        <w:spacing w:line="600" w:lineRule="exact"/>
        <w:ind w:firstLine="642" w:firstLineChars="200"/>
        <w:outlineLvl w:val="2"/>
        <w:rPr>
          <w:rFonts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（二）一般公共预算财政拨款支出决算结构情况</w:t>
      </w:r>
      <w:bookmarkEnd w:id="36"/>
    </w:p>
    <w:p>
      <w:pPr>
        <w:spacing w:line="600" w:lineRule="exact"/>
        <w:ind w:firstLine="640" w:firstLineChars="200"/>
        <w:rPr>
          <w:rFonts w:ascii="仿宋_GB2312" w:hAnsi="仿宋" w:eastAsia="仿宋"/>
          <w:color w:val="000000" w:themeColor="text1"/>
          <w:sz w:val="32"/>
          <w:szCs w:val="32"/>
          <w14:textFill>
            <w14:solidFill>
              <w14:schemeClr w14:val="tx1"/>
            </w14:solidFill>
          </w14:textFill>
        </w:rPr>
      </w:pPr>
      <w:bookmarkStart w:id="37" w:name="_Toc15377212"/>
      <w:r>
        <w:rPr>
          <w:rFonts w:hint="eastAsia" w:ascii="仿宋_GB2312" w:hAnsi="仿宋_GB2312" w:eastAsia="仿宋_GB2312" w:cs="仿宋_GB2312"/>
          <w:color w:val="000000"/>
          <w:sz w:val="32"/>
          <w:szCs w:val="32"/>
        </w:rPr>
        <w:t>2024</w:t>
      </w:r>
      <w:r>
        <w:rPr>
          <w:rFonts w:hint="eastAsia" w:ascii="仿宋_GB2312" w:hAnsi="仿宋_GB2312" w:eastAsia="仿宋_GB2312" w:cs="仿宋_GB2312"/>
          <w:color w:val="000000"/>
          <w:sz w:val="32"/>
        </w:rPr>
        <w:t>年一般公共预算财政拨款支出1187.29</w:t>
      </w:r>
      <w:r>
        <w:rPr>
          <w:rFonts w:hint="eastAsia" w:ascii="仿宋_GB2312" w:hAnsi="仿宋_GB2312" w:eastAsia="仿宋_GB2312" w:cs="仿宋_GB2312"/>
          <w:color w:val="000000"/>
          <w:sz w:val="32"/>
          <w:szCs w:val="32"/>
        </w:rPr>
        <w:t xml:space="preserve">万元，主要用于以下方面: </w:t>
      </w:r>
      <w:r>
        <w:rPr>
          <w:rFonts w:hint="eastAsia" w:ascii="仿宋_GB2312" w:hAnsi="仿宋_GB2312" w:eastAsia="仿宋_GB2312" w:cs="仿宋_GB2312"/>
          <w:color w:val="000000"/>
          <w:sz w:val="32"/>
        </w:rPr>
        <w:t>一般公共服务支出541.36万元，占45.6%；</w:t>
      </w:r>
      <w:r>
        <w:rPr>
          <w:rFonts w:hint="eastAsia" w:ascii="仿宋_GB2312" w:eastAsia="仿宋_GB2312" w:cs="仿宋"/>
          <w:color w:val="000000"/>
          <w:kern w:val="0"/>
          <w:sz w:val="32"/>
          <w:szCs w:val="32"/>
        </w:rPr>
        <w:t>文化旅游体育与传媒支出1.00万元，占0.1%；</w:t>
      </w:r>
      <w:r>
        <w:rPr>
          <w:rFonts w:hint="eastAsia" w:ascii="仿宋_GB2312" w:hAnsi="仿宋_GB2312" w:eastAsia="仿宋_GB2312" w:cs="仿宋_GB2312"/>
          <w:color w:val="000000"/>
          <w:sz w:val="32"/>
        </w:rPr>
        <w:t>社会保障和就业支出83.98万元，占7.1%；卫生健康支出32.58万元，占2.7%；农林水支出475.33万元，占40%；住房保障支出43.04万元，占3.6%；灾害防治及应急管理支出10.00万元，占0.8%。</w:t>
      </w:r>
    </w:p>
    <w:p>
      <w:pPr>
        <w:pStyle w:val="6"/>
      </w:pPr>
      <w:r>
        <w:rPr>
          <w:rFonts w:hint="eastAsia" w:ascii="仿宋" w:hAnsi="仿宋" w:eastAsia="仿宋"/>
          <w:sz w:val="32"/>
          <w:szCs w:val="32"/>
        </w:rPr>
        <w:drawing>
          <wp:inline distT="0" distB="0" distL="114300" distR="114300">
            <wp:extent cx="5256530" cy="2988310"/>
            <wp:effectExtent l="5080" t="4445" r="15240" b="17145"/>
            <wp:docPr id="15" name="图表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ind w:firstLine="642" w:firstLineChars="200"/>
        <w:outlineLvl w:val="2"/>
        <w:rPr>
          <w:rFonts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（三）一般公共预算财政拨款支出决算具体情况</w:t>
      </w:r>
      <w:bookmarkEnd w:id="37"/>
    </w:p>
    <w:p>
      <w:pPr>
        <w:spacing w:line="600" w:lineRule="exact"/>
        <w:ind w:firstLine="640"/>
        <w:rPr>
          <w:rFonts w:ascii="仿宋_GB2312" w:hAnsi="仿宋_GB2312" w:eastAsia="仿宋_GB2312" w:cs="仿宋_GB2312"/>
          <w:color w:val="000000"/>
          <w:sz w:val="32"/>
          <w:szCs w:val="32"/>
        </w:rPr>
      </w:pPr>
      <w:bookmarkStart w:id="38" w:name="_Toc15377213"/>
      <w:bookmarkStart w:id="39" w:name="_Toc15378460"/>
      <w:bookmarkStart w:id="40" w:name="_Toc15377444"/>
      <w:r>
        <w:rPr>
          <w:rFonts w:hint="eastAsia" w:ascii="仿宋_GB2312" w:hAnsi="仿宋_GB2312" w:eastAsia="仿宋_GB2312" w:cs="仿宋_GB2312"/>
          <w:color w:val="000000"/>
          <w:sz w:val="32"/>
          <w:szCs w:val="32"/>
        </w:rPr>
        <w:t>2024</w:t>
      </w:r>
      <w:r>
        <w:rPr>
          <w:rFonts w:hint="eastAsia" w:ascii="仿宋_GB2312" w:hAnsi="仿宋_GB2312" w:eastAsia="仿宋_GB2312" w:cs="仿宋_GB2312"/>
          <w:color w:val="000000"/>
          <w:sz w:val="32"/>
        </w:rPr>
        <w:t>年一般公共预算支出决算数为1187.29</w:t>
      </w:r>
      <w:r>
        <w:rPr>
          <w:rFonts w:hint="eastAsia" w:ascii="仿宋_GB2312" w:hAnsi="仿宋_GB2312" w:eastAsia="仿宋_GB2312" w:cs="仿宋_GB2312"/>
          <w:color w:val="000000"/>
          <w:sz w:val="32"/>
          <w:szCs w:val="32"/>
        </w:rPr>
        <w:t>万元，完成预算100%。其中：</w:t>
      </w:r>
      <w:bookmarkEnd w:id="38"/>
      <w:bookmarkEnd w:id="39"/>
      <w:bookmarkEnd w:id="40"/>
    </w:p>
    <w:p>
      <w:pPr>
        <w:spacing w:line="600" w:lineRule="exact"/>
        <w:ind w:firstLine="640" w:firstLineChars="200"/>
        <w:rPr>
          <w:rFonts w:hint="eastAsia" w:ascii="仿宋_GB2312" w:eastAsia="仿宋_GB2312" w:cs="仿宋"/>
          <w:color w:val="000000"/>
          <w:kern w:val="0"/>
          <w:sz w:val="32"/>
          <w:szCs w:val="32"/>
          <w:lang w:val="zh-CN"/>
        </w:rPr>
      </w:pPr>
      <w:r>
        <w:rPr>
          <w:rFonts w:hint="eastAsia" w:ascii="仿宋_GB2312" w:hAnsi="仿宋_GB2312" w:eastAsia="仿宋_GB2312" w:cs="仿宋_GB2312"/>
          <w:sz w:val="32"/>
          <w:szCs w:val="32"/>
        </w:rPr>
        <w:t>1.一般公共服务支出（201）人大事务（01）代表工作（08）支出决算9.92万元，完成预算100%</w:t>
      </w:r>
      <w:r>
        <w:rPr>
          <w:rFonts w:ascii="仿宋_GB2312" w:eastAsia="仿宋_GB2312" w:cs="仿宋"/>
          <w:color w:val="000000"/>
          <w:kern w:val="0"/>
          <w:sz w:val="32"/>
          <w:szCs w:val="32"/>
          <w:lang w:val="zh-CN"/>
        </w:rPr>
        <w:t>，决算数与预算数持平</w:t>
      </w:r>
      <w:r>
        <w:rPr>
          <w:rFonts w:hint="eastAsia" w:ascii="仿宋_GB2312" w:eastAsia="仿宋_GB2312" w:cs="仿宋"/>
          <w:color w:val="000000"/>
          <w:kern w:val="0"/>
          <w:sz w:val="32"/>
          <w:szCs w:val="32"/>
          <w:lang w:val="zh-CN"/>
        </w:rPr>
        <w:t>。</w:t>
      </w:r>
    </w:p>
    <w:p>
      <w:pPr>
        <w:spacing w:line="600" w:lineRule="exact"/>
        <w:ind w:firstLine="640" w:firstLineChars="200"/>
        <w:rPr>
          <w:rFonts w:hint="eastAsia" w:ascii="仿宋_GB2312" w:eastAsia="仿宋_GB2312" w:cs="仿宋"/>
          <w:color w:val="000000"/>
          <w:kern w:val="0"/>
          <w:sz w:val="32"/>
          <w:szCs w:val="32"/>
          <w:lang w:val="zh-CN"/>
        </w:rPr>
      </w:pPr>
      <w:r>
        <w:rPr>
          <w:rFonts w:hint="eastAsia" w:ascii="仿宋_GB2312" w:hAnsi="仿宋_GB2312" w:eastAsia="仿宋_GB2312" w:cs="仿宋_GB2312"/>
          <w:color w:val="000000"/>
          <w:sz w:val="32"/>
          <w:szCs w:val="32"/>
        </w:rPr>
        <w:t>2.一般公共服务支出（201）政府办公厅（室）及相关机构事务（03）行政运行（01）支出决算480.71万元，完成预算100%</w:t>
      </w:r>
      <w:r>
        <w:rPr>
          <w:rFonts w:ascii="仿宋_GB2312" w:eastAsia="仿宋_GB2312" w:cs="仿宋"/>
          <w:color w:val="000000"/>
          <w:kern w:val="0"/>
          <w:sz w:val="32"/>
          <w:szCs w:val="32"/>
          <w:lang w:val="zh-CN"/>
        </w:rPr>
        <w:t>，决算数与预算数持平</w:t>
      </w:r>
      <w:r>
        <w:rPr>
          <w:rFonts w:hint="eastAsia" w:ascii="仿宋_GB2312" w:eastAsia="仿宋_GB2312" w:cs="仿宋"/>
          <w:color w:val="000000"/>
          <w:kern w:val="0"/>
          <w:sz w:val="32"/>
          <w:szCs w:val="32"/>
          <w:lang w:val="zh-CN"/>
        </w:rPr>
        <w:t>。</w:t>
      </w:r>
    </w:p>
    <w:p>
      <w:pPr>
        <w:spacing w:line="60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3.一般公共服务支出（201）政府办公厅（室）及相关机构事务（03）其他政府办公厅（室）及相关机构事务支出（99）支出决算50.74万元，完成预算100%</w:t>
      </w:r>
      <w:r>
        <w:rPr>
          <w:rFonts w:ascii="仿宋_GB2312" w:eastAsia="仿宋_GB2312" w:cs="仿宋"/>
          <w:color w:val="000000"/>
          <w:kern w:val="0"/>
          <w:sz w:val="32"/>
          <w:szCs w:val="32"/>
          <w:lang w:val="zh-CN"/>
        </w:rPr>
        <w:t>，决算数与预算数持平</w:t>
      </w:r>
      <w:r>
        <w:rPr>
          <w:rFonts w:hint="eastAsia" w:ascii="仿宋_GB2312" w:eastAsia="仿宋_GB2312" w:cs="仿宋"/>
          <w:color w:val="000000"/>
          <w:kern w:val="0"/>
          <w:sz w:val="32"/>
          <w:szCs w:val="32"/>
          <w:lang w:val="zh-CN"/>
        </w:rPr>
        <w:t>。</w:t>
      </w:r>
    </w:p>
    <w:p>
      <w:pPr>
        <w:spacing w:line="15" w:lineRule="auto"/>
        <w:ind w:firstLine="640" w:firstLineChars="200"/>
        <w:rPr>
          <w:rFonts w:ascii="仿宋_GB2312" w:eastAsia="仿宋_GB2312" w:cs="仿宋"/>
          <w:color w:val="000000"/>
          <w:kern w:val="0"/>
          <w:sz w:val="32"/>
          <w:szCs w:val="32"/>
        </w:rPr>
      </w:pPr>
      <w:r>
        <w:rPr>
          <w:rFonts w:hint="eastAsia" w:ascii="仿宋_GB2312" w:hAnsi="仿宋_GB2312" w:eastAsia="仿宋_GB2312" w:cs="仿宋_GB2312"/>
          <w:color w:val="000000"/>
          <w:sz w:val="32"/>
          <w:szCs w:val="32"/>
        </w:rPr>
        <w:t>4.</w:t>
      </w:r>
      <w:r>
        <w:rPr>
          <w:rFonts w:hint="eastAsia" w:ascii="仿宋_GB2312" w:eastAsia="仿宋_GB2312" w:cs="仿宋"/>
          <w:color w:val="000000"/>
          <w:kern w:val="0"/>
          <w:sz w:val="32"/>
          <w:szCs w:val="32"/>
        </w:rPr>
        <w:t>文化旅游体育与传媒支出（2</w:t>
      </w:r>
      <w:r>
        <w:rPr>
          <w:rFonts w:hint="eastAsia" w:ascii="仿宋_GB2312" w:eastAsia="仿宋_GB2312" w:cs="仿宋"/>
          <w:kern w:val="0"/>
          <w:sz w:val="32"/>
          <w:szCs w:val="32"/>
        </w:rPr>
        <w:t>0</w:t>
      </w:r>
      <w:r>
        <w:rPr>
          <w:rFonts w:hint="eastAsia" w:ascii="仿宋_GB2312" w:eastAsia="仿宋_GB2312" w:cs="仿宋"/>
          <w:color w:val="000000"/>
          <w:kern w:val="0"/>
          <w:sz w:val="32"/>
          <w:szCs w:val="32"/>
        </w:rPr>
        <w:t>7）其他文化旅游体育与传媒支出（99）其他文化旅游体育与传媒支出（99）</w:t>
      </w:r>
      <w:r>
        <w:rPr>
          <w:rFonts w:hint="eastAsia" w:ascii="仿宋_GB2312" w:eastAsia="仿宋_GB2312" w:cs="仿宋"/>
          <w:color w:val="000000"/>
          <w:kern w:val="0"/>
          <w:sz w:val="32"/>
          <w:szCs w:val="32"/>
          <w:lang w:val="zh-CN"/>
        </w:rPr>
        <w:t>支出决算</w:t>
      </w:r>
      <w:r>
        <w:rPr>
          <w:rFonts w:hint="eastAsia" w:ascii="仿宋_GB2312" w:eastAsia="仿宋_GB2312" w:cs="仿宋"/>
          <w:color w:val="000000"/>
          <w:kern w:val="0"/>
          <w:sz w:val="32"/>
          <w:szCs w:val="32"/>
        </w:rPr>
        <w:t>1</w:t>
      </w:r>
      <w:r>
        <w:rPr>
          <w:rFonts w:hint="eastAsia" w:ascii="仿宋_GB2312" w:eastAsia="仿宋_GB2312" w:cs="仿宋"/>
          <w:color w:val="000000"/>
          <w:kern w:val="0"/>
          <w:sz w:val="32"/>
          <w:szCs w:val="32"/>
          <w:lang w:val="zh-CN"/>
        </w:rPr>
        <w:t>万元，完成预算100%</w:t>
      </w:r>
      <w:r>
        <w:rPr>
          <w:rFonts w:ascii="仿宋_GB2312" w:eastAsia="仿宋_GB2312" w:cs="仿宋"/>
          <w:color w:val="000000"/>
          <w:kern w:val="0"/>
          <w:sz w:val="32"/>
          <w:szCs w:val="32"/>
          <w:lang w:val="zh-CN"/>
        </w:rPr>
        <w:t>，决算数与预算数持平</w:t>
      </w:r>
      <w:r>
        <w:rPr>
          <w:rFonts w:hint="eastAsia" w:ascii="仿宋_GB2312" w:eastAsia="仿宋_GB2312" w:cs="仿宋"/>
          <w:color w:val="000000"/>
          <w:kern w:val="0"/>
          <w:sz w:val="32"/>
          <w:szCs w:val="32"/>
          <w:lang w:val="zh-CN"/>
        </w:rPr>
        <w:t>。</w:t>
      </w:r>
    </w:p>
    <w:p>
      <w:pPr>
        <w:spacing w:line="600" w:lineRule="exact"/>
        <w:ind w:firstLine="640" w:firstLineChars="200"/>
        <w:rPr>
          <w:rFonts w:hint="eastAsia" w:ascii="仿宋_GB2312" w:eastAsia="仿宋_GB2312" w:cs="仿宋"/>
          <w:color w:val="000000"/>
          <w:kern w:val="0"/>
          <w:sz w:val="32"/>
          <w:szCs w:val="32"/>
          <w:lang w:val="zh-CN"/>
        </w:rPr>
      </w:pPr>
      <w:r>
        <w:rPr>
          <w:rFonts w:hint="eastAsia" w:ascii="仿宋_GB2312" w:hAnsi="仿宋_GB2312" w:eastAsia="仿宋_GB2312" w:cs="仿宋_GB2312"/>
          <w:color w:val="000000"/>
          <w:sz w:val="32"/>
          <w:szCs w:val="32"/>
        </w:rPr>
        <w:t>5.社会保障和就业支出（208）行政事业单位养老支出（05）机关事业单位基本养老保险缴费支出（05）支出决算51.66万元，完成预算100%</w:t>
      </w:r>
      <w:r>
        <w:rPr>
          <w:rFonts w:ascii="仿宋_GB2312" w:eastAsia="仿宋_GB2312" w:cs="仿宋"/>
          <w:color w:val="000000"/>
          <w:kern w:val="0"/>
          <w:sz w:val="32"/>
          <w:szCs w:val="32"/>
          <w:lang w:val="zh-CN"/>
        </w:rPr>
        <w:t>，决算数与预算数持平</w:t>
      </w:r>
      <w:r>
        <w:rPr>
          <w:rFonts w:hint="eastAsia" w:ascii="仿宋_GB2312" w:eastAsia="仿宋_GB2312" w:cs="仿宋"/>
          <w:color w:val="000000"/>
          <w:kern w:val="0"/>
          <w:sz w:val="32"/>
          <w:szCs w:val="32"/>
          <w:lang w:val="zh-CN"/>
        </w:rPr>
        <w:t>。</w:t>
      </w:r>
    </w:p>
    <w:p>
      <w:pPr>
        <w:spacing w:line="60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6.社会保障和就业支出（208）行政事业单位养老支出（05）机关事业单位职业年金缴费支出（06）支出决算25.60万元，完成预算100%</w:t>
      </w:r>
      <w:r>
        <w:rPr>
          <w:rFonts w:ascii="仿宋_GB2312" w:eastAsia="仿宋_GB2312" w:cs="仿宋"/>
          <w:color w:val="000000"/>
          <w:kern w:val="0"/>
          <w:sz w:val="32"/>
          <w:szCs w:val="32"/>
          <w:lang w:val="zh-CN"/>
        </w:rPr>
        <w:t>，决算数与预算数持平</w:t>
      </w:r>
      <w:r>
        <w:rPr>
          <w:rFonts w:hint="eastAsia" w:ascii="仿宋_GB2312" w:eastAsia="仿宋_GB2312" w:cs="仿宋"/>
          <w:color w:val="000000"/>
          <w:kern w:val="0"/>
          <w:sz w:val="32"/>
          <w:szCs w:val="32"/>
          <w:lang w:val="zh-CN"/>
        </w:rPr>
        <w:t>。</w:t>
      </w:r>
    </w:p>
    <w:p>
      <w:pPr>
        <w:spacing w:line="60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7.社会保障和就业支出（208）就业补助（07）公益性岗位补贴（05）支出决算6.40万元，完成预算100%</w:t>
      </w:r>
      <w:r>
        <w:rPr>
          <w:rFonts w:ascii="仿宋_GB2312" w:eastAsia="仿宋_GB2312" w:cs="仿宋"/>
          <w:color w:val="000000"/>
          <w:kern w:val="0"/>
          <w:sz w:val="32"/>
          <w:szCs w:val="32"/>
          <w:lang w:val="zh-CN"/>
        </w:rPr>
        <w:t>，决算数与预算数持平</w:t>
      </w:r>
      <w:r>
        <w:rPr>
          <w:rFonts w:hint="eastAsia" w:ascii="仿宋_GB2312" w:eastAsia="仿宋_GB2312" w:cs="仿宋"/>
          <w:color w:val="000000"/>
          <w:kern w:val="0"/>
          <w:sz w:val="32"/>
          <w:szCs w:val="32"/>
          <w:lang w:val="zh-CN"/>
        </w:rPr>
        <w:t>。</w:t>
      </w:r>
    </w:p>
    <w:p>
      <w:pPr>
        <w:spacing w:line="15" w:lineRule="auto"/>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8.</w:t>
      </w:r>
      <w:r>
        <w:rPr>
          <w:rFonts w:hint="eastAsia" w:ascii="仿宋_GB2312" w:eastAsia="仿宋_GB2312" w:cs="仿宋"/>
          <w:color w:val="000000"/>
          <w:kern w:val="0"/>
          <w:sz w:val="32"/>
          <w:szCs w:val="32"/>
          <w:lang w:val="zh-CN"/>
        </w:rPr>
        <w:t>社会保障和就业支出（208）</w:t>
      </w:r>
      <w:r>
        <w:rPr>
          <w:rFonts w:hint="eastAsia" w:ascii="仿宋_GB2312" w:eastAsia="仿宋_GB2312" w:cs="仿宋"/>
          <w:color w:val="000000"/>
          <w:kern w:val="0"/>
          <w:sz w:val="32"/>
          <w:szCs w:val="32"/>
        </w:rPr>
        <w:t>残疾人事业（11）其他残疾人事业支出</w:t>
      </w:r>
      <w:r>
        <w:rPr>
          <w:rFonts w:hint="eastAsia" w:ascii="仿宋_GB2312" w:eastAsia="仿宋_GB2312" w:cs="仿宋"/>
          <w:color w:val="000000"/>
          <w:kern w:val="0"/>
          <w:sz w:val="32"/>
          <w:szCs w:val="32"/>
          <w:lang w:val="zh-CN"/>
        </w:rPr>
        <w:t>（</w:t>
      </w:r>
      <w:r>
        <w:rPr>
          <w:rFonts w:hint="eastAsia" w:ascii="仿宋_GB2312" w:eastAsia="仿宋_GB2312" w:cs="仿宋"/>
          <w:color w:val="000000"/>
          <w:kern w:val="0"/>
          <w:sz w:val="32"/>
          <w:szCs w:val="32"/>
        </w:rPr>
        <w:t>99</w:t>
      </w:r>
      <w:r>
        <w:rPr>
          <w:rFonts w:hint="eastAsia" w:ascii="仿宋_GB2312" w:eastAsia="仿宋_GB2312" w:cs="仿宋"/>
          <w:color w:val="000000"/>
          <w:kern w:val="0"/>
          <w:sz w:val="32"/>
          <w:szCs w:val="32"/>
          <w:lang w:val="zh-CN"/>
        </w:rPr>
        <w:t>）支出决算</w:t>
      </w:r>
      <w:r>
        <w:rPr>
          <w:rFonts w:hint="eastAsia" w:ascii="仿宋_GB2312" w:eastAsia="仿宋_GB2312" w:cs="仿宋"/>
          <w:color w:val="000000"/>
          <w:kern w:val="0"/>
          <w:sz w:val="32"/>
          <w:szCs w:val="32"/>
        </w:rPr>
        <w:t>0.32</w:t>
      </w:r>
      <w:r>
        <w:rPr>
          <w:rFonts w:hint="eastAsia" w:ascii="仿宋_GB2312" w:eastAsia="仿宋_GB2312" w:cs="仿宋"/>
          <w:color w:val="000000"/>
          <w:kern w:val="0"/>
          <w:sz w:val="32"/>
          <w:szCs w:val="32"/>
          <w:lang w:val="zh-CN"/>
        </w:rPr>
        <w:t>万元，完成预算100%</w:t>
      </w:r>
      <w:r>
        <w:rPr>
          <w:rFonts w:ascii="仿宋_GB2312" w:eastAsia="仿宋_GB2312" w:cs="仿宋"/>
          <w:color w:val="000000"/>
          <w:kern w:val="0"/>
          <w:sz w:val="32"/>
          <w:szCs w:val="32"/>
          <w:lang w:val="zh-CN"/>
        </w:rPr>
        <w:t>，决算数与预算数持平</w:t>
      </w:r>
      <w:r>
        <w:rPr>
          <w:rFonts w:hint="eastAsia" w:ascii="仿宋_GB2312" w:eastAsia="仿宋_GB2312" w:cs="仿宋"/>
          <w:color w:val="000000"/>
          <w:kern w:val="0"/>
          <w:sz w:val="32"/>
          <w:szCs w:val="32"/>
          <w:lang w:val="zh-CN"/>
        </w:rPr>
        <w:t>。</w:t>
      </w:r>
    </w:p>
    <w:p>
      <w:pPr>
        <w:spacing w:line="60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9.卫生健康支出（210）行政事业单位医疗（11）行政单位医疗（01）支出决算32.58万元，完成预算100%</w:t>
      </w:r>
      <w:r>
        <w:rPr>
          <w:rFonts w:ascii="仿宋_GB2312" w:eastAsia="仿宋_GB2312" w:cs="仿宋"/>
          <w:color w:val="000000"/>
          <w:kern w:val="0"/>
          <w:sz w:val="32"/>
          <w:szCs w:val="32"/>
          <w:lang w:val="zh-CN"/>
        </w:rPr>
        <w:t>，决算数与预算数持平</w:t>
      </w:r>
      <w:r>
        <w:rPr>
          <w:rFonts w:hint="eastAsia" w:ascii="仿宋_GB2312" w:eastAsia="仿宋_GB2312" w:cs="仿宋"/>
          <w:color w:val="000000"/>
          <w:kern w:val="0"/>
          <w:sz w:val="32"/>
          <w:szCs w:val="32"/>
          <w:lang w:val="zh-CN"/>
        </w:rPr>
        <w:t>。</w:t>
      </w:r>
    </w:p>
    <w:p>
      <w:pPr>
        <w:spacing w:line="60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10.农林水支出（213）农业农村（01）其他农业农村支出（99）支出决算47.01万元，完成预算100%</w:t>
      </w:r>
      <w:r>
        <w:rPr>
          <w:rFonts w:ascii="仿宋_GB2312" w:eastAsia="仿宋_GB2312" w:cs="仿宋"/>
          <w:color w:val="000000"/>
          <w:kern w:val="0"/>
          <w:sz w:val="32"/>
          <w:szCs w:val="32"/>
          <w:lang w:val="zh-CN"/>
        </w:rPr>
        <w:t>，决算数与预算数持平</w:t>
      </w:r>
      <w:r>
        <w:rPr>
          <w:rFonts w:hint="eastAsia" w:ascii="仿宋_GB2312" w:eastAsia="仿宋_GB2312" w:cs="仿宋"/>
          <w:color w:val="000000"/>
          <w:kern w:val="0"/>
          <w:sz w:val="32"/>
          <w:szCs w:val="32"/>
          <w:lang w:val="zh-CN"/>
        </w:rPr>
        <w:t>。</w:t>
      </w:r>
    </w:p>
    <w:p>
      <w:pPr>
        <w:spacing w:line="15"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11.</w:t>
      </w:r>
      <w:r>
        <w:rPr>
          <w:rFonts w:hint="eastAsia" w:ascii="仿宋_GB2312" w:eastAsia="仿宋_GB2312" w:cs="仿宋"/>
          <w:kern w:val="0"/>
          <w:sz w:val="32"/>
          <w:szCs w:val="32"/>
        </w:rPr>
        <w:t>农林水支出（213）巩固脱贫衔接乡村振兴（05）社会发展（06）支出决算9.68万元，完成预算100%</w:t>
      </w:r>
      <w:r>
        <w:rPr>
          <w:rFonts w:ascii="仿宋_GB2312" w:eastAsia="仿宋_GB2312" w:cs="仿宋"/>
          <w:color w:val="000000"/>
          <w:kern w:val="0"/>
          <w:sz w:val="32"/>
          <w:szCs w:val="32"/>
          <w:lang w:val="zh-CN"/>
        </w:rPr>
        <w:t>，决算数与预算数持平</w:t>
      </w:r>
      <w:r>
        <w:rPr>
          <w:rFonts w:hint="eastAsia" w:ascii="仿宋_GB2312" w:eastAsia="仿宋_GB2312" w:cs="仿宋"/>
          <w:color w:val="000000"/>
          <w:kern w:val="0"/>
          <w:sz w:val="32"/>
          <w:szCs w:val="32"/>
          <w:lang w:val="zh-CN"/>
        </w:rPr>
        <w:t>。</w:t>
      </w:r>
    </w:p>
    <w:p>
      <w:pPr>
        <w:spacing w:line="15" w:lineRule="auto"/>
        <w:ind w:firstLine="640" w:firstLineChars="200"/>
        <w:rPr>
          <w:rFonts w:ascii="仿宋_GB2312" w:eastAsia="仿宋_GB2312" w:cs="仿宋"/>
          <w:color w:val="000000"/>
          <w:kern w:val="0"/>
          <w:sz w:val="32"/>
          <w:szCs w:val="32"/>
        </w:rPr>
      </w:pPr>
      <w:r>
        <w:rPr>
          <w:rFonts w:hint="eastAsia" w:ascii="仿宋_GB2312" w:eastAsia="仿宋_GB2312" w:cs="仿宋"/>
          <w:color w:val="000000"/>
          <w:kern w:val="0"/>
          <w:sz w:val="32"/>
          <w:szCs w:val="32"/>
        </w:rPr>
        <w:t>12.农林水支出（213）巩固脱贫衔接乡村振兴（05）其他巩固脱贫衔接乡村振兴支出（99）支出决算151.48万元，完成预算100%</w:t>
      </w:r>
      <w:r>
        <w:rPr>
          <w:rFonts w:ascii="仿宋_GB2312" w:eastAsia="仿宋_GB2312" w:cs="仿宋"/>
          <w:color w:val="000000"/>
          <w:kern w:val="0"/>
          <w:sz w:val="32"/>
          <w:szCs w:val="32"/>
          <w:lang w:val="zh-CN"/>
        </w:rPr>
        <w:t>，决算数与预算数持平</w:t>
      </w:r>
      <w:r>
        <w:rPr>
          <w:rFonts w:hint="eastAsia" w:ascii="仿宋_GB2312" w:eastAsia="仿宋_GB2312" w:cs="仿宋"/>
          <w:color w:val="000000"/>
          <w:kern w:val="0"/>
          <w:sz w:val="32"/>
          <w:szCs w:val="32"/>
          <w:lang w:val="zh-CN"/>
        </w:rPr>
        <w:t>。</w:t>
      </w:r>
    </w:p>
    <w:p>
      <w:pPr>
        <w:spacing w:line="60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13.农林水支出（213）农村综合改革（07）对村民委员会和村党支部的补助（05）支出决算267.16万元，完成预算100%</w:t>
      </w:r>
      <w:r>
        <w:rPr>
          <w:rFonts w:ascii="仿宋_GB2312" w:eastAsia="仿宋_GB2312" w:cs="仿宋"/>
          <w:color w:val="000000"/>
          <w:kern w:val="0"/>
          <w:sz w:val="32"/>
          <w:szCs w:val="32"/>
          <w:lang w:val="zh-CN"/>
        </w:rPr>
        <w:t>，决算数与预算数持平</w:t>
      </w:r>
      <w:r>
        <w:rPr>
          <w:rFonts w:hint="eastAsia" w:ascii="仿宋_GB2312" w:eastAsia="仿宋_GB2312" w:cs="仿宋"/>
          <w:color w:val="000000"/>
          <w:kern w:val="0"/>
          <w:sz w:val="32"/>
          <w:szCs w:val="32"/>
          <w:lang w:val="zh-CN"/>
        </w:rPr>
        <w:t>。</w:t>
      </w:r>
    </w:p>
    <w:p>
      <w:pPr>
        <w:spacing w:line="60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14.住房保障支出（221）住房改革支出（02）住房公积金（01）支出决算43.04万元，完成预算100%</w:t>
      </w:r>
      <w:r>
        <w:rPr>
          <w:rFonts w:ascii="仿宋_GB2312" w:eastAsia="仿宋_GB2312" w:cs="仿宋"/>
          <w:color w:val="000000"/>
          <w:kern w:val="0"/>
          <w:sz w:val="32"/>
          <w:szCs w:val="32"/>
          <w:lang w:val="zh-CN"/>
        </w:rPr>
        <w:t>，决算数与预算数持平</w:t>
      </w:r>
      <w:r>
        <w:rPr>
          <w:rFonts w:hint="eastAsia" w:ascii="仿宋_GB2312" w:eastAsia="仿宋_GB2312" w:cs="仿宋"/>
          <w:color w:val="000000"/>
          <w:kern w:val="0"/>
          <w:sz w:val="32"/>
          <w:szCs w:val="32"/>
          <w:lang w:val="zh-CN"/>
        </w:rPr>
        <w:t>。</w:t>
      </w:r>
    </w:p>
    <w:p>
      <w:pPr>
        <w:spacing w:line="60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15.灾害防治及应急管理支出（224）自然灾害救灾及恢复重建支出（07）其他自然灾害救灾及恢复重建支出（99）支出决算10.00万元，完成预算100%</w:t>
      </w:r>
      <w:r>
        <w:rPr>
          <w:rFonts w:ascii="仿宋_GB2312" w:eastAsia="仿宋_GB2312" w:cs="仿宋"/>
          <w:color w:val="000000"/>
          <w:kern w:val="0"/>
          <w:sz w:val="32"/>
          <w:szCs w:val="32"/>
          <w:lang w:val="zh-CN"/>
        </w:rPr>
        <w:t>，决算数与预算数持平</w:t>
      </w:r>
      <w:r>
        <w:rPr>
          <w:rFonts w:hint="eastAsia" w:ascii="仿宋_GB2312" w:eastAsia="仿宋_GB2312" w:cs="仿宋"/>
          <w:color w:val="000000"/>
          <w:kern w:val="0"/>
          <w:sz w:val="32"/>
          <w:szCs w:val="32"/>
          <w:lang w:val="zh-CN"/>
        </w:rPr>
        <w:t>。</w:t>
      </w:r>
    </w:p>
    <w:p>
      <w:pPr>
        <w:pStyle w:val="17"/>
        <w:ind w:left="840" w:hanging="420"/>
      </w:pPr>
    </w:p>
    <w:p>
      <w:pPr>
        <w:pStyle w:val="4"/>
        <w:spacing w:after="0" w:line="300" w:lineRule="exact"/>
        <w:ind w:firstLine="642" w:firstLineChars="200"/>
        <w:rPr>
          <w:rFonts w:ascii="黑体" w:eastAsia="黑体"/>
          <w:bCs w:val="0"/>
          <w:color w:val="000000"/>
        </w:rPr>
      </w:pPr>
      <w:bookmarkStart w:id="41" w:name="_Toc15377214"/>
      <w:bookmarkStart w:id="42" w:name="_Toc23748"/>
      <w:bookmarkStart w:id="43" w:name="_Toc111208504"/>
      <w:r>
        <w:rPr>
          <w:rFonts w:hint="eastAsia" w:ascii="黑体" w:eastAsia="黑体"/>
          <w:bCs w:val="0"/>
          <w:color w:val="000000"/>
        </w:rPr>
        <w:t>六、一般公共预算财政拨款基本支出决算情况说</w:t>
      </w:r>
      <w:bookmarkEnd w:id="41"/>
      <w:r>
        <w:rPr>
          <w:rFonts w:hint="eastAsia" w:ascii="黑体" w:eastAsia="黑体"/>
          <w:bCs w:val="0"/>
          <w:color w:val="000000"/>
        </w:rPr>
        <w:t>明</w:t>
      </w:r>
      <w:bookmarkEnd w:id="42"/>
      <w:bookmarkEnd w:id="43"/>
    </w:p>
    <w:p>
      <w:pPr>
        <w:spacing w:line="60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2024</w:t>
      </w:r>
      <w:r>
        <w:rPr>
          <w:rFonts w:hint="eastAsia" w:ascii="仿宋_GB2312" w:hAnsi="仿宋_GB2312" w:eastAsia="仿宋_GB2312" w:cs="仿宋_GB2312"/>
          <w:sz w:val="32"/>
        </w:rPr>
        <w:t>年一般公共预算财政拨款基本支出633.59</w:t>
      </w:r>
      <w:r>
        <w:rPr>
          <w:rFonts w:hint="eastAsia" w:ascii="仿宋_GB2312" w:hAnsi="仿宋_GB2312" w:eastAsia="仿宋_GB2312" w:cs="仿宋_GB2312"/>
          <w:sz w:val="32"/>
          <w:szCs w:val="32"/>
        </w:rPr>
        <w:t>万元，其中：</w:t>
      </w:r>
    </w:p>
    <w:p>
      <w:pPr>
        <w:spacing w:line="60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sz w:val="32"/>
          <w:szCs w:val="32"/>
        </w:rPr>
        <w:t>人员经费</w:t>
      </w:r>
      <w:r>
        <w:rPr>
          <w:rFonts w:hint="eastAsia" w:ascii="仿宋_GB2312" w:hAnsi="仿宋_GB2312" w:eastAsia="仿宋_GB2312" w:cs="仿宋_GB2312"/>
          <w:sz w:val="32"/>
        </w:rPr>
        <w:t>604.50</w:t>
      </w:r>
      <w:r>
        <w:rPr>
          <w:rFonts w:hint="eastAsia" w:ascii="仿宋_GB2312" w:hAnsi="仿宋_GB2312" w:eastAsia="仿宋_GB2312" w:cs="仿宋_GB2312"/>
          <w:sz w:val="32"/>
          <w:szCs w:val="32"/>
        </w:rPr>
        <w:t>万元，主要包括：</w:t>
      </w:r>
      <w:r>
        <w:rPr>
          <w:rFonts w:hint="eastAsia" w:ascii="仿宋_GB2312" w:hAnsi="仿宋_GB2312" w:eastAsia="仿宋_GB2312" w:cs="仿宋_GB2312"/>
          <w:sz w:val="32"/>
        </w:rPr>
        <w:t>基本工资127.44万元、津贴补贴134.15万元、奖金159.93万元、</w:t>
      </w:r>
      <w:r>
        <w:rPr>
          <w:rFonts w:hint="eastAsia" w:ascii="仿宋_GB2312" w:hAnsi="仿宋_GB2312" w:eastAsia="仿宋_GB2312" w:cs="仿宋_GB2312"/>
          <w:color w:val="000000"/>
          <w:sz w:val="32"/>
        </w:rPr>
        <w:t>机关事业单位基本养老保险缴费51.66万元、职业年金缴费25.60万元、职工基本医疗保险缴费32.58万元、其他社会保障缴费9.49万元、住房公积金43.04万元、医疗费5.86万元、生活补助14.72万元、奖励金0.03万元。</w:t>
      </w:r>
    </w:p>
    <w:p>
      <w:pPr>
        <w:spacing w:line="600" w:lineRule="exact"/>
        <w:ind w:firstLine="640"/>
        <w:rPr>
          <w:rFonts w:ascii="仿宋" w:eastAsia="仿宋"/>
          <w:color w:val="000000"/>
          <w:sz w:val="32"/>
          <w:szCs w:val="32"/>
        </w:rPr>
      </w:pPr>
      <w:r>
        <w:rPr>
          <w:rFonts w:hint="eastAsia" w:ascii="仿宋_GB2312" w:hAnsi="仿宋_GB2312" w:eastAsia="仿宋_GB2312" w:cs="仿宋_GB2312"/>
          <w:color w:val="000000"/>
          <w:sz w:val="32"/>
          <w:szCs w:val="32"/>
        </w:rPr>
        <w:t>公用经费</w:t>
      </w:r>
      <w:r>
        <w:rPr>
          <w:rFonts w:hint="eastAsia" w:ascii="仿宋_GB2312" w:hAnsi="仿宋_GB2312" w:eastAsia="仿宋_GB2312" w:cs="仿宋_GB2312"/>
          <w:color w:val="000000"/>
          <w:sz w:val="32"/>
        </w:rPr>
        <w:t>29.09</w:t>
      </w:r>
      <w:r>
        <w:rPr>
          <w:rFonts w:hint="eastAsia" w:ascii="仿宋_GB2312" w:hAnsi="仿宋_GB2312" w:eastAsia="仿宋_GB2312" w:cs="仿宋_GB2312"/>
          <w:color w:val="000000"/>
          <w:sz w:val="32"/>
          <w:szCs w:val="32"/>
        </w:rPr>
        <w:t>万元，主要包括：办公费9.60万元、电费2.60万元、邮</w:t>
      </w:r>
      <w:r>
        <w:rPr>
          <w:rFonts w:hint="eastAsia" w:ascii="仿宋_GB2312" w:hAnsi="仿宋_GB2312" w:eastAsia="仿宋_GB2312" w:cs="仿宋_GB2312"/>
          <w:color w:val="000000"/>
          <w:sz w:val="32"/>
        </w:rPr>
        <w:t>电费1.80万元、差旅费7.99万元、</w:t>
      </w:r>
      <w:r>
        <w:rPr>
          <w:rFonts w:hint="eastAsia" w:ascii="仿宋_GB2312" w:eastAsia="仿宋_GB2312" w:cs="仿宋"/>
          <w:color w:val="000000"/>
          <w:kern w:val="0"/>
          <w:sz w:val="32"/>
          <w:szCs w:val="32"/>
        </w:rPr>
        <w:t>培训费0.10万元、</w:t>
      </w:r>
      <w:r>
        <w:rPr>
          <w:rFonts w:hint="eastAsia" w:ascii="仿宋_GB2312" w:hAnsi="仿宋_GB2312" w:eastAsia="仿宋_GB2312" w:cs="仿宋_GB2312"/>
          <w:color w:val="000000"/>
          <w:sz w:val="32"/>
        </w:rPr>
        <w:t>公务用车运行维护费7.00万元。</w:t>
      </w:r>
    </w:p>
    <w:p>
      <w:pPr>
        <w:pStyle w:val="4"/>
        <w:spacing w:after="0" w:line="300" w:lineRule="exact"/>
        <w:ind w:firstLine="642" w:firstLineChars="200"/>
        <w:rPr>
          <w:rFonts w:ascii="黑体" w:eastAsia="黑体"/>
          <w:bCs w:val="0"/>
          <w:color w:val="000000"/>
        </w:rPr>
      </w:pPr>
      <w:bookmarkStart w:id="44" w:name="_Toc21697"/>
      <w:bookmarkStart w:id="45" w:name="_Toc111208505"/>
      <w:bookmarkStart w:id="46" w:name="_Toc15377215"/>
      <w:bookmarkStart w:id="47" w:name="_Toc15377218"/>
      <w:bookmarkStart w:id="48" w:name="_Toc111208506"/>
      <w:r>
        <w:rPr>
          <w:rFonts w:hint="eastAsia" w:ascii="黑体" w:eastAsia="黑体"/>
          <w:bCs w:val="0"/>
          <w:color w:val="000000"/>
        </w:rPr>
        <w:t>七、“三公”经费财政拨款支出决算情况说明</w:t>
      </w:r>
      <w:bookmarkEnd w:id="44"/>
      <w:bookmarkEnd w:id="45"/>
      <w:bookmarkEnd w:id="46"/>
    </w:p>
    <w:p>
      <w:pPr>
        <w:spacing w:line="600" w:lineRule="exact"/>
        <w:ind w:firstLine="642" w:firstLineChars="200"/>
        <w:outlineLvl w:val="2"/>
        <w:rPr>
          <w:rFonts w:ascii="仿宋_GB2312" w:hAnsi="仿宋_GB2312" w:eastAsia="仿宋_GB2312" w:cs="仿宋_GB2312"/>
          <w:b/>
          <w:color w:val="000000"/>
          <w:sz w:val="32"/>
          <w:szCs w:val="32"/>
        </w:rPr>
      </w:pPr>
      <w:bookmarkStart w:id="49" w:name="_Toc15377216"/>
      <w:r>
        <w:rPr>
          <w:rFonts w:hint="eastAsia" w:ascii="仿宋_GB2312" w:hAnsi="仿宋_GB2312" w:eastAsia="仿宋_GB2312" w:cs="仿宋_GB2312"/>
          <w:b/>
          <w:color w:val="000000"/>
          <w:sz w:val="32"/>
          <w:szCs w:val="32"/>
        </w:rPr>
        <w:t>（一）“三公”经费财政拨款支出决算总体情况说明</w:t>
      </w:r>
      <w:bookmarkEnd w:id="49"/>
    </w:p>
    <w:p>
      <w:pPr>
        <w:spacing w:line="60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2024</w:t>
      </w:r>
      <w:r>
        <w:rPr>
          <w:rFonts w:hint="eastAsia" w:ascii="仿宋_GB2312" w:hAnsi="仿宋_GB2312" w:eastAsia="仿宋_GB2312" w:cs="仿宋_GB2312"/>
          <w:color w:val="000000"/>
          <w:sz w:val="32"/>
        </w:rPr>
        <w:t>年“三公”经费财政拨款支出决算为7.00</w:t>
      </w:r>
      <w:r>
        <w:rPr>
          <w:rFonts w:hint="eastAsia" w:ascii="仿宋_GB2312" w:hAnsi="仿宋_GB2312" w:eastAsia="仿宋_GB2312" w:cs="仿宋_GB2312"/>
          <w:color w:val="000000"/>
          <w:sz w:val="32"/>
          <w:szCs w:val="32"/>
        </w:rPr>
        <w:t>万元，完成预算</w:t>
      </w:r>
      <w:r>
        <w:rPr>
          <w:rFonts w:hint="eastAsia" w:ascii="仿宋_GB2312" w:hAnsi="仿宋_GB2312" w:eastAsia="仿宋_GB2312" w:cs="仿宋_GB2312"/>
          <w:color w:val="000000"/>
          <w:sz w:val="32"/>
        </w:rPr>
        <w:t>100</w:t>
      </w:r>
      <w:r>
        <w:rPr>
          <w:rFonts w:hint="eastAsia" w:ascii="仿宋_GB2312" w:hAnsi="仿宋_GB2312" w:eastAsia="仿宋_GB2312" w:cs="仿宋_GB2312"/>
          <w:color w:val="000000"/>
          <w:sz w:val="32"/>
          <w:szCs w:val="32"/>
        </w:rPr>
        <w:t>%</w:t>
      </w:r>
      <w:bookmarkStart w:id="50" w:name="_Toc15377217"/>
      <w:r>
        <w:rPr>
          <w:rFonts w:ascii="仿宋_GB2312" w:eastAsia="仿宋_GB2312" w:cs="仿宋"/>
          <w:color w:val="000000"/>
          <w:kern w:val="0"/>
          <w:sz w:val="32"/>
          <w:szCs w:val="32"/>
          <w:lang w:val="zh-CN"/>
        </w:rPr>
        <w:t>，决算数与预算数持平</w:t>
      </w:r>
      <w:r>
        <w:rPr>
          <w:rFonts w:hint="eastAsia" w:ascii="仿宋_GB2312" w:eastAsia="仿宋_GB2312" w:cs="仿宋"/>
          <w:color w:val="000000"/>
          <w:kern w:val="0"/>
          <w:sz w:val="32"/>
          <w:szCs w:val="32"/>
          <w:lang w:val="zh-CN"/>
        </w:rPr>
        <w:t>。</w:t>
      </w:r>
    </w:p>
    <w:p>
      <w:pPr>
        <w:spacing w:line="600" w:lineRule="exact"/>
        <w:ind w:firstLine="642" w:firstLineChars="200"/>
        <w:outlineLvl w:val="2"/>
        <w:rPr>
          <w:rFonts w:ascii="仿宋" w:eastAsia="仿宋"/>
          <w:b/>
          <w:color w:val="000000"/>
          <w:sz w:val="32"/>
          <w:szCs w:val="32"/>
        </w:rPr>
      </w:pPr>
      <w:r>
        <w:rPr>
          <w:rFonts w:hint="eastAsia" w:ascii="仿宋" w:eastAsia="仿宋"/>
          <w:b/>
          <w:color w:val="000000"/>
          <w:sz w:val="32"/>
          <w:szCs w:val="32"/>
        </w:rPr>
        <w:t>（二）“三公”经费财政拨款支出决算具体情况说明</w:t>
      </w:r>
      <w:bookmarkEnd w:id="50"/>
    </w:p>
    <w:p>
      <w:pPr>
        <w:spacing w:line="60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2024</w:t>
      </w:r>
      <w:r>
        <w:rPr>
          <w:rFonts w:hint="eastAsia" w:ascii="仿宋_GB2312" w:hAnsi="仿宋_GB2312" w:eastAsia="仿宋_GB2312" w:cs="仿宋_GB2312"/>
          <w:color w:val="000000"/>
          <w:sz w:val="32"/>
        </w:rPr>
        <w:t>年“三公”经费财政拨款支出7.00</w:t>
      </w:r>
      <w:r>
        <w:rPr>
          <w:rFonts w:hint="eastAsia" w:ascii="仿宋_GB2312" w:hAnsi="仿宋_GB2312" w:eastAsia="仿宋_GB2312" w:cs="仿宋_GB2312"/>
          <w:color w:val="000000"/>
          <w:sz w:val="32"/>
          <w:szCs w:val="32"/>
        </w:rPr>
        <w:t>万元，因公出国（境）费支出决算</w:t>
      </w:r>
      <w:r>
        <w:rPr>
          <w:rFonts w:hint="eastAsia" w:ascii="仿宋_GB2312" w:hAnsi="仿宋_GB2312" w:eastAsia="仿宋_GB2312" w:cs="仿宋_GB2312"/>
          <w:color w:val="000000"/>
          <w:sz w:val="32"/>
        </w:rPr>
        <w:t>0</w:t>
      </w:r>
      <w:r>
        <w:rPr>
          <w:rFonts w:hint="eastAsia" w:ascii="仿宋_GB2312" w:hAnsi="仿宋_GB2312" w:eastAsia="仿宋_GB2312" w:cs="仿宋_GB2312"/>
          <w:color w:val="000000"/>
          <w:sz w:val="32"/>
          <w:szCs w:val="32"/>
        </w:rPr>
        <w:t>万元；公务用车购置及运行维护费支出决算</w:t>
      </w:r>
      <w:r>
        <w:rPr>
          <w:rFonts w:hint="eastAsia" w:ascii="仿宋_GB2312" w:hAnsi="仿宋_GB2312" w:eastAsia="仿宋_GB2312" w:cs="仿宋_GB2312"/>
          <w:color w:val="000000"/>
          <w:sz w:val="32"/>
        </w:rPr>
        <w:t>7.00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rPr>
        <w:t>100</w:t>
      </w:r>
      <w:r>
        <w:rPr>
          <w:rFonts w:hint="eastAsia" w:ascii="仿宋_GB2312" w:hAnsi="仿宋_GB2312" w:eastAsia="仿宋_GB2312" w:cs="仿宋_GB2312"/>
          <w:color w:val="000000"/>
          <w:sz w:val="32"/>
          <w:szCs w:val="32"/>
        </w:rPr>
        <w:t>%；公务接待费支出决算</w:t>
      </w:r>
      <w:r>
        <w:rPr>
          <w:rFonts w:hint="eastAsia" w:ascii="仿宋_GB2312" w:hAnsi="仿宋_GB2312" w:eastAsia="仿宋_GB2312" w:cs="仿宋_GB2312"/>
          <w:color w:val="000000"/>
          <w:sz w:val="32"/>
        </w:rPr>
        <w:t>0</w:t>
      </w:r>
      <w:r>
        <w:rPr>
          <w:rFonts w:hint="eastAsia" w:ascii="仿宋_GB2312" w:hAnsi="仿宋_GB2312" w:eastAsia="仿宋_GB2312" w:cs="仿宋_GB2312"/>
          <w:color w:val="000000"/>
          <w:sz w:val="32"/>
          <w:szCs w:val="32"/>
        </w:rPr>
        <w:t>万元。具体情况如下：</w:t>
      </w:r>
    </w:p>
    <w:p>
      <w:pPr>
        <w:pStyle w:val="6"/>
        <w:rPr>
          <w:rFonts w:ascii="仿宋_GB2312" w:eastAsia="仿宋_GB2312"/>
          <w:color w:val="000000"/>
          <w:sz w:val="32"/>
          <w:szCs w:val="32"/>
        </w:rPr>
      </w:pPr>
      <w:r>
        <w:rPr>
          <w:rFonts w:hint="eastAsia" w:eastAsia="仿宋"/>
        </w:rPr>
        <w:drawing>
          <wp:inline distT="0" distB="0" distL="114300" distR="114300">
            <wp:extent cx="5256530" cy="2988310"/>
            <wp:effectExtent l="5080" t="4445" r="15240" b="17145"/>
            <wp:docPr id="5" name="图表 5" descr="7b0a202020202263686172745265734964223a20223230343735353430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1.因公出国（境）经费支出</w:t>
      </w:r>
      <w:r>
        <w:rPr>
          <w:rFonts w:hint="eastAsia" w:ascii="仿宋_GB2312" w:hAnsi="仿宋_GB2312" w:eastAsia="仿宋_GB2312" w:cs="仿宋_GB2312"/>
          <w:color w:val="000000"/>
          <w:sz w:val="32"/>
        </w:rPr>
        <w:t>0</w:t>
      </w:r>
      <w:r>
        <w:rPr>
          <w:rFonts w:hint="eastAsia" w:ascii="仿宋_GB2312" w:hAnsi="仿宋_GB2312" w:eastAsia="仿宋_GB2312" w:cs="仿宋_GB2312"/>
          <w:color w:val="000000"/>
          <w:sz w:val="32"/>
          <w:szCs w:val="32"/>
        </w:rPr>
        <w:t>万元。全年安排因公出国（境）团组</w:t>
      </w:r>
      <w:r>
        <w:rPr>
          <w:rFonts w:hint="eastAsia" w:ascii="仿宋_GB2312" w:hAnsi="仿宋_GB2312" w:eastAsia="仿宋_GB2312" w:cs="仿宋_GB2312"/>
          <w:color w:val="000000"/>
          <w:sz w:val="32"/>
        </w:rPr>
        <w:t>0</w:t>
      </w:r>
      <w:r>
        <w:rPr>
          <w:rFonts w:hint="eastAsia" w:ascii="仿宋_GB2312" w:hAnsi="仿宋_GB2312" w:eastAsia="仿宋_GB2312" w:cs="仿宋_GB2312"/>
          <w:color w:val="000000"/>
          <w:sz w:val="32"/>
          <w:szCs w:val="32"/>
        </w:rPr>
        <w:t>次，出国（境）</w:t>
      </w:r>
      <w:r>
        <w:rPr>
          <w:rFonts w:hint="eastAsia" w:ascii="仿宋_GB2312" w:hAnsi="仿宋_GB2312" w:eastAsia="仿宋_GB2312" w:cs="仿宋_GB2312"/>
          <w:color w:val="000000"/>
          <w:sz w:val="32"/>
        </w:rPr>
        <w:t>0</w:t>
      </w:r>
      <w:r>
        <w:rPr>
          <w:rFonts w:hint="eastAsia" w:ascii="仿宋_GB2312" w:hAnsi="仿宋_GB2312" w:eastAsia="仿宋_GB2312" w:cs="仿宋_GB2312"/>
          <w:color w:val="000000"/>
          <w:sz w:val="32"/>
          <w:szCs w:val="32"/>
        </w:rPr>
        <w:t>人。</w:t>
      </w:r>
    </w:p>
    <w:p>
      <w:pPr>
        <w:spacing w:line="60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2.公务用车购置及运行维护费支出</w:t>
      </w:r>
      <w:r>
        <w:rPr>
          <w:rFonts w:hint="eastAsia" w:ascii="仿宋_GB2312" w:hAnsi="仿宋_GB2312" w:eastAsia="仿宋_GB2312" w:cs="仿宋_GB2312"/>
          <w:color w:val="000000"/>
          <w:sz w:val="32"/>
        </w:rPr>
        <w:t>7.00</w:t>
      </w:r>
      <w:r>
        <w:rPr>
          <w:rFonts w:hint="eastAsia" w:ascii="仿宋_GB2312" w:hAnsi="仿宋_GB2312" w:eastAsia="仿宋_GB2312" w:cs="仿宋_GB2312"/>
          <w:color w:val="000000"/>
          <w:sz w:val="32"/>
          <w:szCs w:val="32"/>
        </w:rPr>
        <w:t>万元,完成预算</w:t>
      </w:r>
      <w:r>
        <w:rPr>
          <w:rFonts w:hint="eastAsia" w:ascii="仿宋_GB2312" w:hAnsi="仿宋_GB2312" w:eastAsia="仿宋_GB2312" w:cs="仿宋_GB2312"/>
          <w:color w:val="000000"/>
          <w:sz w:val="32"/>
        </w:rPr>
        <w:t>100</w:t>
      </w:r>
      <w:r>
        <w:rPr>
          <w:rFonts w:hint="eastAsia" w:ascii="仿宋_GB2312" w:hAnsi="仿宋_GB2312" w:eastAsia="仿宋_GB2312" w:cs="仿宋_GB2312"/>
          <w:color w:val="000000"/>
          <w:sz w:val="32"/>
          <w:szCs w:val="32"/>
        </w:rPr>
        <w:t>%。公务用车购置及运行维护费支出决算与</w:t>
      </w:r>
      <w:r>
        <w:rPr>
          <w:rFonts w:hint="eastAsia" w:ascii="仿宋_GB2312" w:hAnsi="仿宋_GB2312" w:eastAsia="仿宋_GB2312" w:cs="仿宋_GB2312"/>
          <w:color w:val="000000"/>
          <w:sz w:val="32"/>
        </w:rPr>
        <w:t>2023年相比减少1.00</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rPr>
        <w:t>减少12.5</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rPr>
        <w:t xml:space="preserve">主要原因是：控制运行成本。 </w:t>
      </w:r>
    </w:p>
    <w:p>
      <w:pPr>
        <w:spacing w:line="60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其中：公务用车购置支出</w:t>
      </w:r>
      <w:r>
        <w:rPr>
          <w:rFonts w:hint="eastAsia" w:ascii="仿宋_GB2312" w:hAnsi="仿宋_GB2312" w:eastAsia="仿宋_GB2312" w:cs="仿宋_GB2312"/>
          <w:color w:val="000000"/>
          <w:sz w:val="32"/>
        </w:rPr>
        <w:t>0万元。全年按规定更新购置公务用车0辆，其中：轿车0辆、金额0万元，越野车0辆、金额0万元，载客汽车0辆、金额0万元。截至</w:t>
      </w:r>
      <w:r>
        <w:rPr>
          <w:rFonts w:hint="eastAsia" w:ascii="仿宋_GB2312" w:hAnsi="仿宋_GB2312" w:eastAsia="仿宋_GB2312" w:cs="仿宋_GB2312"/>
          <w:color w:val="000000"/>
          <w:sz w:val="32"/>
          <w:szCs w:val="32"/>
        </w:rPr>
        <w:t>2024年，单位共有公务用车2辆，其中：轿车</w:t>
      </w:r>
      <w:r>
        <w:rPr>
          <w:rFonts w:hint="eastAsia" w:ascii="仿宋_GB2312" w:hAnsi="仿宋_GB2312" w:eastAsia="仿宋_GB2312" w:cs="仿宋_GB2312"/>
          <w:color w:val="000000"/>
          <w:sz w:val="32"/>
        </w:rPr>
        <w:t>1辆、消防车1辆、载客汽车0辆。</w:t>
      </w:r>
    </w:p>
    <w:p>
      <w:pPr>
        <w:spacing w:line="60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公务用车运行维护费支出</w:t>
      </w:r>
      <w:r>
        <w:rPr>
          <w:rFonts w:hint="eastAsia" w:ascii="仿宋_GB2312" w:hAnsi="仿宋_GB2312" w:eastAsia="仿宋_GB2312" w:cs="仿宋_GB2312"/>
          <w:color w:val="000000"/>
          <w:sz w:val="32"/>
        </w:rPr>
        <w:t>7.00</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rPr>
        <w:t>主要用于下村等工作所需的公务用车燃料费、维修费、过路过桥费、保险费等支出。</w:t>
      </w:r>
    </w:p>
    <w:p>
      <w:pPr>
        <w:pStyle w:val="6"/>
        <w:numPr>
          <w:ilvl w:val="0"/>
          <w:numId w:val="1"/>
        </w:numPr>
        <w:ind w:left="420" w:leftChars="200" w:firstLine="0"/>
        <w:jc w:val="left"/>
        <w:rPr>
          <w:rFonts w:ascii="仿宋_GB2312" w:hAnsi="仿宋_GB2312" w:eastAsia="仿宋_GB2312" w:cs="仿宋_GB2312"/>
          <w:color w:val="000000"/>
          <w:sz w:val="32"/>
          <w:szCs w:val="32"/>
        </w:rPr>
      </w:pPr>
      <w:bookmarkStart w:id="51" w:name="_Toc20664"/>
      <w:r>
        <w:rPr>
          <w:rFonts w:hint="eastAsia" w:ascii="仿宋_GB2312" w:hAnsi="仿宋_GB2312" w:eastAsia="仿宋_GB2312" w:cs="仿宋_GB2312"/>
          <w:color w:val="000000"/>
          <w:sz w:val="32"/>
          <w:szCs w:val="32"/>
        </w:rPr>
        <w:t>公务接待费</w:t>
      </w:r>
    </w:p>
    <w:p>
      <w:pPr>
        <w:pStyle w:val="6"/>
        <w:ind w:left="420" w:leftChars="200" w:firstLine="0"/>
        <w:rPr>
          <w:rFonts w:ascii="仿宋" w:eastAsia="仿宋"/>
          <w:color w:val="000000"/>
          <w:sz w:val="32"/>
          <w:szCs w:val="32"/>
        </w:rPr>
      </w:pPr>
      <w:r>
        <w:rPr>
          <w:rFonts w:hint="eastAsia" w:ascii="仿宋_GB2312" w:hAnsi="仿宋_GB2312" w:eastAsia="仿宋_GB2312" w:cs="仿宋_GB2312"/>
          <w:color w:val="000000"/>
          <w:sz w:val="32"/>
          <w:szCs w:val="32"/>
        </w:rPr>
        <w:t>2024年公务接待费支出0万元。</w:t>
      </w:r>
    </w:p>
    <w:p>
      <w:pPr>
        <w:pStyle w:val="4"/>
        <w:spacing w:before="0" w:after="0" w:line="500" w:lineRule="exact"/>
        <w:ind w:firstLine="642" w:firstLineChars="200"/>
        <w:rPr>
          <w:rFonts w:ascii="黑体" w:eastAsia="黑体"/>
          <w:bCs w:val="0"/>
          <w:color w:val="000000"/>
        </w:rPr>
      </w:pPr>
      <w:r>
        <w:rPr>
          <w:rFonts w:hint="eastAsia" w:ascii="黑体" w:eastAsia="黑体"/>
          <w:bCs w:val="0"/>
          <w:color w:val="000000"/>
        </w:rPr>
        <w:t>八、政府性基金预算支出决算情况说明</w:t>
      </w:r>
      <w:bookmarkEnd w:id="47"/>
      <w:bookmarkEnd w:id="48"/>
      <w:bookmarkEnd w:id="51"/>
    </w:p>
    <w:p>
      <w:pPr>
        <w:spacing w:line="15" w:lineRule="auto"/>
        <w:ind w:firstLine="640" w:firstLineChars="200"/>
        <w:rPr>
          <w:rFonts w:ascii="仿宋_GB2312" w:eastAsia="仿宋_GB2312" w:cs="仿宋"/>
          <w:color w:val="000000"/>
          <w:kern w:val="0"/>
          <w:sz w:val="32"/>
          <w:szCs w:val="32"/>
          <w:lang w:val="zh-CN"/>
        </w:rPr>
      </w:pPr>
      <w:bookmarkStart w:id="52" w:name="_Toc15377219"/>
      <w:bookmarkStart w:id="53" w:name="_Toc22202"/>
      <w:bookmarkStart w:id="54" w:name="_Toc111208507"/>
      <w:r>
        <w:rPr>
          <w:rFonts w:hint="eastAsia" w:ascii="仿宋_GB2312" w:eastAsia="仿宋_GB2312" w:cs="仿宋"/>
          <w:color w:val="000000"/>
          <w:kern w:val="0"/>
          <w:sz w:val="32"/>
          <w:szCs w:val="32"/>
          <w:lang w:val="zh-CN"/>
        </w:rPr>
        <w:t>2024年政府性基金预算拨款支出0</w:t>
      </w:r>
      <w:r>
        <w:rPr>
          <w:rFonts w:hint="eastAsia" w:ascii="仿宋_GB2312" w:eastAsia="仿宋_GB2312" w:cs="仿宋"/>
          <w:color w:val="000000"/>
          <w:kern w:val="0"/>
          <w:sz w:val="32"/>
          <w:szCs w:val="32"/>
        </w:rPr>
        <w:t>.01</w:t>
      </w:r>
      <w:r>
        <w:rPr>
          <w:rFonts w:hint="eastAsia" w:ascii="仿宋_GB2312" w:eastAsia="仿宋_GB2312" w:cs="仿宋"/>
          <w:color w:val="000000"/>
          <w:kern w:val="0"/>
          <w:sz w:val="32"/>
          <w:szCs w:val="32"/>
          <w:lang w:val="zh-CN"/>
        </w:rPr>
        <w:t>万元，</w:t>
      </w:r>
      <w:r>
        <w:rPr>
          <w:rFonts w:hint="eastAsia" w:ascii="仿宋_GB2312" w:eastAsia="仿宋_GB2312" w:cs="仿宋"/>
          <w:color w:val="000000"/>
          <w:kern w:val="0"/>
          <w:sz w:val="32"/>
          <w:szCs w:val="32"/>
        </w:rPr>
        <w:t>占本年支出合计100%；与</w:t>
      </w:r>
      <w:r>
        <w:rPr>
          <w:rFonts w:hint="eastAsia" w:ascii="仿宋_GB2312" w:eastAsia="仿宋_GB2312" w:cs="仿宋"/>
          <w:color w:val="000000"/>
          <w:kern w:val="0"/>
          <w:sz w:val="32"/>
          <w:szCs w:val="32"/>
          <w:lang w:val="zh-CN"/>
        </w:rPr>
        <w:t>2023年</w:t>
      </w:r>
      <w:r>
        <w:rPr>
          <w:rFonts w:hint="eastAsia" w:ascii="仿宋_GB2312" w:eastAsia="仿宋_GB2312" w:cs="仿宋"/>
          <w:color w:val="000000"/>
          <w:kern w:val="0"/>
          <w:sz w:val="32"/>
          <w:szCs w:val="32"/>
        </w:rPr>
        <w:t>相比</w:t>
      </w:r>
      <w:r>
        <w:rPr>
          <w:rFonts w:hint="eastAsia" w:ascii="仿宋_GB2312" w:eastAsia="仿宋_GB2312" w:cs="仿宋"/>
          <w:color w:val="000000"/>
          <w:kern w:val="0"/>
          <w:sz w:val="32"/>
          <w:szCs w:val="32"/>
          <w:lang w:val="zh-CN"/>
        </w:rPr>
        <w:t>减少</w:t>
      </w:r>
      <w:r>
        <w:rPr>
          <w:rFonts w:hint="eastAsia" w:ascii="仿宋_GB2312" w:eastAsia="仿宋_GB2312" w:cs="仿宋"/>
          <w:color w:val="000000"/>
          <w:kern w:val="0"/>
          <w:sz w:val="32"/>
          <w:szCs w:val="32"/>
        </w:rPr>
        <w:t>36.74</w:t>
      </w:r>
      <w:r>
        <w:rPr>
          <w:rFonts w:hint="eastAsia" w:ascii="仿宋_GB2312" w:eastAsia="仿宋_GB2312" w:cs="仿宋"/>
          <w:color w:val="000000"/>
          <w:kern w:val="0"/>
          <w:sz w:val="32"/>
          <w:szCs w:val="32"/>
          <w:lang w:val="zh-CN"/>
        </w:rPr>
        <w:t>万元，</w:t>
      </w:r>
      <w:r>
        <w:rPr>
          <w:rFonts w:hint="eastAsia" w:ascii="仿宋_GB2312" w:eastAsia="仿宋_GB2312" w:cs="仿宋"/>
          <w:color w:val="000000"/>
          <w:kern w:val="0"/>
          <w:sz w:val="32"/>
          <w:szCs w:val="32"/>
        </w:rPr>
        <w:t>减少99.99</w:t>
      </w:r>
      <w:r>
        <w:rPr>
          <w:rFonts w:hint="eastAsia" w:ascii="仿宋_GB2312" w:eastAsia="仿宋_GB2312" w:cs="仿宋"/>
          <w:color w:val="000000"/>
          <w:kern w:val="0"/>
          <w:sz w:val="32"/>
          <w:szCs w:val="32"/>
          <w:lang w:val="zh-CN"/>
        </w:rPr>
        <w:t>%。</w:t>
      </w:r>
    </w:p>
    <w:p>
      <w:pPr>
        <w:pStyle w:val="4"/>
        <w:spacing w:before="0" w:after="0" w:line="500" w:lineRule="exact"/>
        <w:ind w:firstLine="642" w:firstLineChars="200"/>
        <w:rPr>
          <w:rFonts w:ascii="黑体" w:eastAsia="黑体"/>
          <w:bCs w:val="0"/>
          <w:color w:val="000000"/>
        </w:rPr>
      </w:pPr>
      <w:r>
        <w:rPr>
          <w:rFonts w:hint="eastAsia" w:ascii="黑体" w:eastAsia="黑体"/>
          <w:bCs w:val="0"/>
          <w:color w:val="000000"/>
        </w:rPr>
        <w:t>九、国有资本经营预算支出决算情况说明</w:t>
      </w:r>
      <w:bookmarkEnd w:id="52"/>
      <w:bookmarkEnd w:id="53"/>
      <w:bookmarkEnd w:id="54"/>
    </w:p>
    <w:p>
      <w:pPr>
        <w:spacing w:line="50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2024年国有资本经营预算拨款支出0万元。</w:t>
      </w:r>
    </w:p>
    <w:p>
      <w:pPr>
        <w:pStyle w:val="4"/>
        <w:spacing w:before="0" w:after="0" w:line="500" w:lineRule="exact"/>
        <w:ind w:firstLine="642" w:firstLineChars="200"/>
        <w:rPr>
          <w:rFonts w:ascii="黑体" w:eastAsia="黑体"/>
          <w:bCs w:val="0"/>
          <w:color w:val="000000"/>
        </w:rPr>
      </w:pPr>
      <w:bookmarkStart w:id="55" w:name="_Toc111208508"/>
      <w:bookmarkStart w:id="56" w:name="_Toc15377221"/>
      <w:bookmarkStart w:id="57" w:name="_Toc9711"/>
      <w:r>
        <w:rPr>
          <w:rFonts w:hint="eastAsia" w:ascii="黑体" w:eastAsia="黑体"/>
          <w:bCs w:val="0"/>
          <w:color w:val="000000"/>
        </w:rPr>
        <w:t>十、其他重要事项的情况说明</w:t>
      </w:r>
      <w:bookmarkEnd w:id="55"/>
      <w:bookmarkEnd w:id="56"/>
      <w:bookmarkEnd w:id="57"/>
    </w:p>
    <w:p>
      <w:pPr>
        <w:spacing w:line="400" w:lineRule="exact"/>
        <w:ind w:firstLine="642" w:firstLineChars="200"/>
        <w:outlineLvl w:val="2"/>
        <w:rPr>
          <w:rFonts w:ascii="仿宋_GB2312" w:hAnsi="仿宋_GB2312" w:eastAsia="仿宋_GB2312" w:cs="仿宋_GB2312"/>
          <w:b/>
          <w:color w:val="000000"/>
          <w:sz w:val="32"/>
          <w:szCs w:val="32"/>
        </w:rPr>
      </w:pPr>
      <w:bookmarkStart w:id="58" w:name="_Toc15377222"/>
      <w:r>
        <w:rPr>
          <w:rFonts w:hint="eastAsia" w:ascii="仿宋_GB2312" w:hAnsi="仿宋_GB2312" w:eastAsia="仿宋_GB2312" w:cs="仿宋_GB2312"/>
          <w:b/>
          <w:color w:val="000000"/>
          <w:sz w:val="32"/>
          <w:szCs w:val="32"/>
        </w:rPr>
        <w:t>（一）机关运行经费支出情况</w:t>
      </w:r>
      <w:bookmarkEnd w:id="58"/>
    </w:p>
    <w:p>
      <w:pPr>
        <w:spacing w:line="50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2024年，机关运行经费支出29.09万元，与2023年相比增加3.92万元，增加13.5%。 </w:t>
      </w:r>
    </w:p>
    <w:p>
      <w:pPr>
        <w:spacing w:line="600" w:lineRule="exact"/>
        <w:ind w:firstLine="642" w:firstLineChars="200"/>
        <w:outlineLvl w:val="2"/>
        <w:rPr>
          <w:rFonts w:ascii="仿宋_GB2312" w:hAnsi="仿宋_GB2312" w:eastAsia="仿宋_GB2312" w:cs="仿宋_GB2312"/>
          <w:b/>
          <w:color w:val="000000"/>
          <w:sz w:val="32"/>
          <w:szCs w:val="32"/>
        </w:rPr>
      </w:pPr>
      <w:bookmarkStart w:id="59" w:name="_Toc15377223"/>
      <w:r>
        <w:rPr>
          <w:rFonts w:hint="eastAsia" w:ascii="仿宋_GB2312" w:hAnsi="仿宋_GB2312" w:eastAsia="仿宋_GB2312" w:cs="仿宋_GB2312"/>
          <w:b/>
          <w:color w:val="000000"/>
          <w:sz w:val="32"/>
          <w:szCs w:val="32"/>
        </w:rPr>
        <w:t>（二）政府采购支出情况</w:t>
      </w:r>
      <w:bookmarkEnd w:id="59"/>
    </w:p>
    <w:p>
      <w:pPr>
        <w:spacing w:line="15" w:lineRule="auto"/>
        <w:ind w:firstLine="640" w:firstLineChars="200"/>
        <w:rPr>
          <w:rFonts w:ascii="仿宋_GB2312" w:eastAsia="仿宋_GB2312" w:cs="仿宋"/>
          <w:color w:val="000000"/>
          <w:kern w:val="0"/>
          <w:sz w:val="32"/>
          <w:szCs w:val="32"/>
        </w:rPr>
      </w:pPr>
      <w:bookmarkStart w:id="60" w:name="_Toc15377224"/>
      <w:r>
        <w:rPr>
          <w:rFonts w:hint="eastAsia" w:ascii="仿宋_GB2312" w:eastAsia="仿宋_GB2312" w:cs="仿宋"/>
          <w:color w:val="000000"/>
          <w:kern w:val="0"/>
          <w:sz w:val="32"/>
          <w:szCs w:val="32"/>
          <w:lang w:val="zh-CN"/>
        </w:rPr>
        <w:t>2024年，政府采购支出总额</w:t>
      </w:r>
      <w:r>
        <w:rPr>
          <w:rFonts w:hint="eastAsia" w:ascii="仿宋_GB2312" w:eastAsia="仿宋_GB2312" w:cs="仿宋"/>
          <w:color w:val="000000"/>
          <w:kern w:val="0"/>
          <w:sz w:val="32"/>
          <w:szCs w:val="32"/>
        </w:rPr>
        <w:t>52.51</w:t>
      </w:r>
      <w:r>
        <w:rPr>
          <w:rFonts w:hint="eastAsia" w:ascii="仿宋_GB2312" w:eastAsia="仿宋_GB2312" w:cs="仿宋"/>
          <w:color w:val="000000"/>
          <w:kern w:val="0"/>
          <w:sz w:val="32"/>
          <w:szCs w:val="32"/>
          <w:lang w:val="zh-CN"/>
        </w:rPr>
        <w:t>万元，其中：政府采购货物支出</w:t>
      </w:r>
      <w:r>
        <w:rPr>
          <w:rFonts w:hint="eastAsia" w:ascii="仿宋_GB2312" w:eastAsia="仿宋_GB2312" w:cs="仿宋"/>
          <w:color w:val="000000"/>
          <w:kern w:val="0"/>
          <w:sz w:val="32"/>
          <w:szCs w:val="32"/>
        </w:rPr>
        <w:t>52.51</w:t>
      </w:r>
      <w:r>
        <w:rPr>
          <w:rFonts w:hint="eastAsia" w:ascii="仿宋_GB2312" w:eastAsia="仿宋_GB2312" w:cs="仿宋"/>
          <w:color w:val="000000"/>
          <w:kern w:val="0"/>
          <w:sz w:val="32"/>
          <w:szCs w:val="32"/>
          <w:lang w:val="zh-CN"/>
        </w:rPr>
        <w:t>万元、政府采购工程支出0万元、政府采购服务支出0万元。授予中小企业合同金额</w:t>
      </w:r>
      <w:r>
        <w:rPr>
          <w:rFonts w:hint="eastAsia" w:ascii="仿宋_GB2312" w:eastAsia="仿宋_GB2312" w:cs="仿宋"/>
          <w:color w:val="000000"/>
          <w:kern w:val="0"/>
          <w:sz w:val="32"/>
          <w:szCs w:val="32"/>
        </w:rPr>
        <w:t>52.51</w:t>
      </w:r>
      <w:r>
        <w:rPr>
          <w:rFonts w:hint="eastAsia" w:ascii="仿宋_GB2312" w:eastAsia="仿宋_GB2312" w:cs="仿宋"/>
          <w:color w:val="000000"/>
          <w:kern w:val="0"/>
          <w:sz w:val="32"/>
          <w:szCs w:val="32"/>
          <w:lang w:val="zh-CN"/>
        </w:rPr>
        <w:t>万元，其中：授予小微企业合同金额</w:t>
      </w:r>
      <w:r>
        <w:rPr>
          <w:rFonts w:hint="eastAsia" w:ascii="仿宋_GB2312" w:eastAsia="仿宋_GB2312" w:cs="仿宋"/>
          <w:color w:val="000000"/>
          <w:kern w:val="0"/>
          <w:sz w:val="32"/>
          <w:szCs w:val="32"/>
        </w:rPr>
        <w:t>52.51</w:t>
      </w:r>
      <w:r>
        <w:rPr>
          <w:rFonts w:hint="eastAsia" w:ascii="仿宋_GB2312" w:eastAsia="仿宋_GB2312" w:cs="仿宋"/>
          <w:color w:val="000000"/>
          <w:kern w:val="0"/>
          <w:sz w:val="32"/>
          <w:szCs w:val="32"/>
          <w:lang w:val="zh-CN"/>
        </w:rPr>
        <w:t>万元，占比</w:t>
      </w:r>
      <w:r>
        <w:rPr>
          <w:rFonts w:hint="eastAsia" w:ascii="仿宋_GB2312" w:eastAsia="仿宋_GB2312" w:cs="仿宋"/>
          <w:color w:val="000000"/>
          <w:kern w:val="0"/>
          <w:sz w:val="32"/>
          <w:szCs w:val="32"/>
        </w:rPr>
        <w:t>100%</w:t>
      </w:r>
    </w:p>
    <w:p>
      <w:pPr>
        <w:spacing w:line="600" w:lineRule="exact"/>
        <w:ind w:firstLine="642" w:firstLineChars="200"/>
        <w:outlineLvl w:val="2"/>
        <w:rPr>
          <w:rFonts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（三）国有资产占有使用情况</w:t>
      </w:r>
      <w:bookmarkEnd w:id="60"/>
    </w:p>
    <w:p>
      <w:pPr>
        <w:spacing w:line="60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截至</w:t>
      </w:r>
      <w:r>
        <w:rPr>
          <w:rFonts w:hint="eastAsia" w:ascii="仿宋_GB2312" w:hAnsi="仿宋_GB2312" w:eastAsia="仿宋_GB2312" w:cs="仿宋_GB2312"/>
          <w:color w:val="000000"/>
          <w:sz w:val="32"/>
        </w:rPr>
        <w:t>2024年</w:t>
      </w:r>
      <w:r>
        <w:rPr>
          <w:rFonts w:hint="eastAsia" w:ascii="仿宋_GB2312" w:hAnsi="仿宋_GB2312" w:eastAsia="仿宋_GB2312" w:cs="仿宋_GB2312"/>
          <w:color w:val="000000"/>
          <w:sz w:val="32"/>
          <w:szCs w:val="32"/>
        </w:rPr>
        <w:t>12月31日，共有车辆</w:t>
      </w:r>
      <w:r>
        <w:rPr>
          <w:rFonts w:hint="eastAsia" w:ascii="仿宋_GB2312" w:hAnsi="仿宋_GB2312" w:eastAsia="仿宋_GB2312" w:cs="仿宋_GB2312"/>
          <w:color w:val="000000"/>
          <w:sz w:val="32"/>
        </w:rPr>
        <w:t>2辆，其中：主要领导干部用车0</w:t>
      </w:r>
      <w:r>
        <w:rPr>
          <w:rFonts w:hint="eastAsia" w:ascii="仿宋_GB2312" w:hAnsi="仿宋_GB2312" w:eastAsia="仿宋_GB2312" w:cs="仿宋_GB2312"/>
          <w:color w:val="000000"/>
          <w:sz w:val="32"/>
          <w:szCs w:val="32"/>
        </w:rPr>
        <w:t>辆、机要通信用车</w:t>
      </w:r>
      <w:r>
        <w:rPr>
          <w:rFonts w:hint="eastAsia" w:ascii="仿宋_GB2312" w:hAnsi="仿宋_GB2312" w:eastAsia="仿宋_GB2312" w:cs="仿宋_GB2312"/>
          <w:color w:val="000000"/>
          <w:sz w:val="32"/>
        </w:rPr>
        <w:t>0</w:t>
      </w:r>
      <w:r>
        <w:rPr>
          <w:rFonts w:hint="eastAsia" w:ascii="仿宋_GB2312" w:hAnsi="仿宋_GB2312" w:eastAsia="仿宋_GB2312" w:cs="仿宋_GB2312"/>
          <w:color w:val="000000"/>
          <w:sz w:val="32"/>
          <w:szCs w:val="32"/>
        </w:rPr>
        <w:t>辆、应急保障用车</w:t>
      </w:r>
      <w:r>
        <w:rPr>
          <w:rFonts w:hint="eastAsia" w:ascii="仿宋_GB2312" w:hAnsi="仿宋_GB2312" w:eastAsia="仿宋_GB2312" w:cs="仿宋_GB2312"/>
          <w:color w:val="000000"/>
          <w:sz w:val="32"/>
        </w:rPr>
        <w:t>2</w:t>
      </w:r>
      <w:r>
        <w:rPr>
          <w:rFonts w:hint="eastAsia" w:ascii="仿宋_GB2312" w:hAnsi="仿宋_GB2312" w:eastAsia="仿宋_GB2312" w:cs="仿宋_GB2312"/>
          <w:color w:val="000000"/>
          <w:sz w:val="32"/>
          <w:szCs w:val="32"/>
        </w:rPr>
        <w:t>辆、其他用车</w:t>
      </w:r>
      <w:r>
        <w:rPr>
          <w:rFonts w:hint="eastAsia" w:ascii="仿宋_GB2312" w:hAnsi="仿宋_GB2312" w:eastAsia="仿宋_GB2312" w:cs="仿宋_GB2312"/>
          <w:color w:val="000000"/>
          <w:sz w:val="32"/>
        </w:rPr>
        <w:t>0</w:t>
      </w:r>
      <w:r>
        <w:rPr>
          <w:rFonts w:hint="eastAsia" w:ascii="仿宋_GB2312" w:hAnsi="仿宋_GB2312" w:eastAsia="仿宋_GB2312" w:cs="仿宋_GB2312"/>
          <w:color w:val="000000"/>
          <w:sz w:val="32"/>
          <w:szCs w:val="32"/>
        </w:rPr>
        <w:t>辆。单价50万元以上通用设备</w:t>
      </w:r>
      <w:r>
        <w:rPr>
          <w:rFonts w:hint="eastAsia" w:ascii="仿宋_GB2312" w:hAnsi="仿宋_GB2312" w:eastAsia="仿宋_GB2312" w:cs="仿宋_GB2312"/>
          <w:color w:val="000000"/>
          <w:sz w:val="32"/>
        </w:rPr>
        <w:t>0</w:t>
      </w:r>
      <w:r>
        <w:rPr>
          <w:rFonts w:hint="eastAsia" w:ascii="仿宋_GB2312" w:hAnsi="仿宋_GB2312" w:eastAsia="仿宋_GB2312" w:cs="仿宋_GB2312"/>
          <w:color w:val="000000"/>
          <w:sz w:val="32"/>
          <w:szCs w:val="32"/>
        </w:rPr>
        <w:t>台（套），单价100万元以上专用设备0台（套）。</w:t>
      </w:r>
    </w:p>
    <w:p>
      <w:pPr>
        <w:spacing w:line="600" w:lineRule="exact"/>
        <w:ind w:firstLine="642" w:firstLineChars="200"/>
        <w:outlineLvl w:val="2"/>
        <w:rPr>
          <w:rFonts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（四）预算绩效管理情况</w:t>
      </w:r>
    </w:p>
    <w:p>
      <w:pPr>
        <w:spacing w:line="14" w:lineRule="auto"/>
        <w:ind w:firstLine="640" w:firstLineChars="200"/>
        <w:rPr>
          <w:rFonts w:ascii="仿宋_GB2312" w:eastAsia="仿宋_GB2312" w:cs="仿宋"/>
          <w:color w:val="000000"/>
          <w:kern w:val="0"/>
          <w:sz w:val="32"/>
          <w:szCs w:val="32"/>
        </w:rPr>
      </w:pPr>
      <w:r>
        <w:rPr>
          <w:rFonts w:hint="eastAsia" w:ascii="仿宋_GB2312" w:eastAsia="仿宋_GB2312" w:cs="仿宋"/>
          <w:color w:val="000000"/>
          <w:kern w:val="0"/>
          <w:sz w:val="32"/>
          <w:szCs w:val="32"/>
        </w:rPr>
        <w:t>根据预算绩效管理要求，茂县南新镇人民政府在2024年度预算编制阶段，组织对村干部工资、村干部体检费、村级运行维护费、残协经费、公共文化服务建设资金等20个项目开展了预算事前绩效评估，对20个项目编制了绩效目标，预算执行过程中，选取5个项目开展绩效监控,绩效自评报告详见第四部分附件。</w:t>
      </w:r>
    </w:p>
    <w:p>
      <w:pPr>
        <w:spacing w:line="14" w:lineRule="auto"/>
        <w:ind w:firstLine="640" w:firstLineChars="200"/>
        <w:rPr>
          <w:rFonts w:hint="eastAsia"/>
        </w:rPr>
      </w:pPr>
      <w:r>
        <w:rPr>
          <w:rFonts w:hint="eastAsia" w:ascii="仿宋_GB2312" w:eastAsia="仿宋_GB2312" w:cs="仿宋"/>
          <w:color w:val="000000"/>
          <w:kern w:val="0"/>
          <w:sz w:val="32"/>
          <w:szCs w:val="32"/>
        </w:rPr>
        <w:t>组织对2024年度一般公共预算、政府性基金预算、国有资本经营预算、社会保险基金预算以及资本资产、债券资金等全面开展绩效自评，形成茂县南新镇人民政府部门整体（含部门预算项目）绩效自评报告、村级运行维护费、残协经费、公共文化服务建设资金、人大经费、党纪学习教育经费等专项预算项目绩效自评报告，其中，茂县南新镇人民政府部门整体（含部门预算项目）绩效自评得分为93分，绩效自评综述：</w:t>
      </w:r>
      <w:r>
        <w:rPr>
          <w:rFonts w:hint="eastAsia" w:ascii="仿宋_GB2312" w:eastAsia="仿宋_GB2312" w:cs="仿宋"/>
          <w:color w:val="000000"/>
          <w:kern w:val="0"/>
          <w:sz w:val="32"/>
          <w:szCs w:val="32"/>
          <w:lang w:val="zh-CN"/>
        </w:rPr>
        <w:t>部门整体绩效目标中选定3个核心职能目标，根据党委履职情况、政府履职情况、人大履职情况的职能目标完成效果情况来进行打分。严格按照县级部门预算编制通知和有关要求，按时完成基础库、项目库报送工作，按时完成202</w:t>
      </w:r>
      <w:r>
        <w:rPr>
          <w:rFonts w:hint="eastAsia" w:ascii="仿宋_GB2312" w:eastAsia="仿宋_GB2312" w:cs="仿宋"/>
          <w:color w:val="000000"/>
          <w:kern w:val="0"/>
          <w:sz w:val="32"/>
          <w:szCs w:val="32"/>
        </w:rPr>
        <w:t>4</w:t>
      </w:r>
      <w:r>
        <w:rPr>
          <w:rFonts w:hint="eastAsia" w:ascii="仿宋_GB2312" w:eastAsia="仿宋_GB2312" w:cs="仿宋"/>
          <w:color w:val="000000"/>
          <w:kern w:val="0"/>
          <w:sz w:val="32"/>
          <w:szCs w:val="32"/>
          <w:lang w:val="zh-CN"/>
        </w:rPr>
        <w:t>年预算编制工作，并按时提交部门预算草案。按规定编制政府采购预算，预算编制全面、科学。202</w:t>
      </w:r>
      <w:r>
        <w:rPr>
          <w:rFonts w:hint="eastAsia" w:ascii="仿宋_GB2312" w:eastAsia="仿宋_GB2312" w:cs="仿宋"/>
          <w:color w:val="000000"/>
          <w:kern w:val="0"/>
          <w:sz w:val="32"/>
          <w:szCs w:val="32"/>
        </w:rPr>
        <w:t>4</w:t>
      </w:r>
      <w:r>
        <w:rPr>
          <w:rFonts w:hint="eastAsia" w:ascii="仿宋_GB2312" w:eastAsia="仿宋_GB2312" w:cs="仿宋"/>
          <w:color w:val="000000"/>
          <w:kern w:val="0"/>
          <w:sz w:val="32"/>
          <w:szCs w:val="32"/>
          <w:lang w:val="zh-CN"/>
        </w:rPr>
        <w:t>年部门决算、绩效目标填报及年末结余结转都是严格按照县财政局的要求认真完成。</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2"/>
        </w:numPr>
        <w:spacing w:line="600" w:lineRule="exact"/>
        <w:ind w:firstLine="660" w:firstLineChars="150"/>
        <w:jc w:val="center"/>
        <w:outlineLvl w:val="0"/>
        <w:rPr>
          <w:rStyle w:val="31"/>
          <w:rFonts w:ascii="黑体" w:hAnsi="黑体" w:eastAsia="黑体"/>
          <w:b w:val="0"/>
        </w:rPr>
      </w:pPr>
      <w:bookmarkStart w:id="61" w:name="_Toc26576"/>
      <w:bookmarkStart w:id="62" w:name="_Toc15377225"/>
      <w:bookmarkStart w:id="63" w:name="_Toc15396613"/>
      <w:bookmarkStart w:id="64" w:name="_Toc111208510"/>
      <w:r>
        <w:rPr>
          <w:rFonts w:hint="eastAsia" w:ascii="黑体" w:hAnsi="黑体" w:eastAsia="黑体"/>
          <w:sz w:val="44"/>
          <w:szCs w:val="44"/>
        </w:rPr>
        <w:t>名</w:t>
      </w:r>
      <w:r>
        <w:rPr>
          <w:rStyle w:val="31"/>
          <w:rFonts w:hint="eastAsia" w:ascii="黑体" w:hAnsi="黑体" w:eastAsia="黑体"/>
          <w:b w:val="0"/>
        </w:rPr>
        <w:t>词解释</w:t>
      </w:r>
      <w:bookmarkEnd w:id="61"/>
      <w:bookmarkEnd w:id="62"/>
      <w:bookmarkEnd w:id="63"/>
    </w:p>
    <w:p>
      <w:pPr>
        <w:spacing w:line="600" w:lineRule="exact"/>
        <w:jc w:val="left"/>
        <w:rPr>
          <w:rFonts w:ascii="宋体"/>
          <w:b/>
          <w:sz w:val="44"/>
          <w:szCs w:val="44"/>
        </w:rPr>
      </w:pPr>
    </w:p>
    <w:p>
      <w:pPr>
        <w:pStyle w:val="25"/>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r>
        <w:rPr>
          <w:rFonts w:ascii="仿宋_GB2312" w:eastAsia="仿宋_GB2312"/>
          <w:sz w:val="32"/>
          <w:szCs w:val="32"/>
        </w:rPr>
        <w:t xml:space="preserve"> </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使用非财政拨款结余：指事业单位使用以前年度积累的非财政拨款结余弥补当年收支差额的金额。</w:t>
      </w:r>
      <w:r>
        <w:rPr>
          <w:rFonts w:ascii="仿宋_GB2312" w:eastAsia="仿宋_GB2312"/>
          <w:sz w:val="32"/>
          <w:szCs w:val="32"/>
        </w:rPr>
        <w:t xml:space="preserve"> </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结余分配：指事业单位按照会计制度规定缴纳的所得税、提取的专用结余以及转入非财政拨款结余的金额等。</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spacing w:line="576" w:lineRule="atLeast"/>
        <w:ind w:firstLine="640" w:firstLineChars="200"/>
        <w:rPr>
          <w:rStyle w:val="21"/>
          <w:rFonts w:ascii="仿宋_GB2312" w:hAnsi="仿宋_GB2312" w:eastAsia="仿宋_GB2312"/>
          <w:b w:val="0"/>
          <w:color w:val="0000FF"/>
          <w:sz w:val="32"/>
          <w:szCs w:val="32"/>
        </w:rPr>
      </w:pPr>
      <w:r>
        <w:rPr>
          <w:rStyle w:val="21"/>
          <w:rFonts w:ascii="仿宋_GB2312" w:hAnsi="仿宋_GB2312" w:eastAsia="仿宋_GB2312" w:cs="仿宋_GB2312"/>
          <w:b w:val="0"/>
          <w:color w:val="000000"/>
          <w:sz w:val="32"/>
          <w:szCs w:val="32"/>
        </w:rPr>
        <w:t>9.</w:t>
      </w:r>
      <w:r>
        <w:rPr>
          <w:rStyle w:val="21"/>
          <w:rFonts w:hint="eastAsia" w:ascii="仿宋_GB2312" w:hAnsi="仿宋_GB2312" w:eastAsia="仿宋_GB2312" w:cs="仿宋_GB2312"/>
          <w:b w:val="0"/>
          <w:color w:val="000000"/>
          <w:sz w:val="32"/>
          <w:szCs w:val="32"/>
        </w:rPr>
        <w:t>一般公共服务（类）人大事务（款）人大会议（项）</w:t>
      </w:r>
      <w:r>
        <w:rPr>
          <w:rStyle w:val="21"/>
          <w:rFonts w:ascii="仿宋_GB2312" w:hAnsi="仿宋_GB2312" w:eastAsia="仿宋_GB2312" w:cs="仿宋_GB2312"/>
          <w:b w:val="0"/>
          <w:color w:val="000000"/>
          <w:sz w:val="32"/>
          <w:szCs w:val="32"/>
        </w:rPr>
        <w:t xml:space="preserve">: </w:t>
      </w:r>
      <w:r>
        <w:rPr>
          <w:rStyle w:val="21"/>
          <w:rFonts w:hint="eastAsia" w:ascii="仿宋_GB2312" w:hAnsi="仿宋_GB2312" w:eastAsia="仿宋_GB2312" w:cs="仿宋_GB2312"/>
          <w:b w:val="0"/>
          <w:color w:val="000000"/>
          <w:sz w:val="32"/>
          <w:szCs w:val="32"/>
        </w:rPr>
        <w:t>指</w:t>
      </w:r>
      <w:r>
        <w:rPr>
          <w:rFonts w:hint="eastAsia" w:ascii="仿宋_GB2312" w:eastAsia="仿宋_GB2312" w:cs="仿宋_GB2312"/>
          <w:color w:val="000000"/>
          <w:sz w:val="32"/>
          <w:szCs w:val="32"/>
        </w:rPr>
        <w:t>单位人大召开人民代表大会等专门会议的支出</w:t>
      </w:r>
      <w:r>
        <w:rPr>
          <w:rStyle w:val="21"/>
          <w:rFonts w:hint="eastAsia" w:ascii="仿宋_GB2312" w:hAnsi="仿宋_GB2312" w:eastAsia="仿宋_GB2312" w:cs="仿宋_GB2312"/>
          <w:b w:val="0"/>
          <w:color w:val="0000FF"/>
          <w:sz w:val="32"/>
          <w:szCs w:val="32"/>
        </w:rPr>
        <w:t>。</w:t>
      </w:r>
    </w:p>
    <w:p>
      <w:pPr>
        <w:spacing w:line="576" w:lineRule="atLeast"/>
        <w:ind w:firstLine="640" w:firstLineChars="200"/>
        <w:rPr>
          <w:rStyle w:val="21"/>
          <w:rFonts w:ascii="仿宋_GB2312" w:hAnsi="仿宋_GB2312" w:eastAsia="仿宋_GB2312"/>
          <w:b w:val="0"/>
          <w:color w:val="000000"/>
          <w:sz w:val="32"/>
          <w:szCs w:val="32"/>
        </w:rPr>
      </w:pPr>
      <w:r>
        <w:rPr>
          <w:rStyle w:val="21"/>
          <w:rFonts w:ascii="仿宋_GB2312" w:hAnsi="仿宋_GB2312" w:eastAsia="仿宋_GB2312" w:cs="仿宋_GB2312"/>
          <w:b w:val="0"/>
          <w:color w:val="000000"/>
          <w:sz w:val="32"/>
          <w:szCs w:val="32"/>
        </w:rPr>
        <w:t>10.</w:t>
      </w:r>
      <w:r>
        <w:rPr>
          <w:rStyle w:val="21"/>
          <w:rFonts w:hint="eastAsia" w:ascii="仿宋_GB2312" w:hAnsi="仿宋_GB2312" w:eastAsia="仿宋_GB2312" w:cs="仿宋_GB2312"/>
          <w:b w:val="0"/>
          <w:color w:val="000000"/>
          <w:sz w:val="32"/>
          <w:szCs w:val="32"/>
        </w:rPr>
        <w:t>一般公共服务（类）政府办公厅（室）及相关机构事务（款）行政运行（项）</w:t>
      </w:r>
      <w:r>
        <w:rPr>
          <w:rStyle w:val="21"/>
          <w:rFonts w:ascii="仿宋_GB2312" w:hAnsi="仿宋_GB2312" w:eastAsia="仿宋_GB2312" w:cs="仿宋_GB2312"/>
          <w:b w:val="0"/>
          <w:color w:val="000000"/>
          <w:sz w:val="32"/>
          <w:szCs w:val="32"/>
        </w:rPr>
        <w:t xml:space="preserve">: </w:t>
      </w:r>
      <w:r>
        <w:rPr>
          <w:rStyle w:val="21"/>
          <w:rFonts w:hint="eastAsia" w:ascii="仿宋_GB2312" w:hAnsi="仿宋_GB2312" w:eastAsia="仿宋_GB2312" w:cs="仿宋_GB2312"/>
          <w:b w:val="0"/>
          <w:color w:val="000000"/>
          <w:sz w:val="32"/>
          <w:szCs w:val="32"/>
        </w:rPr>
        <w:t>指单位（包括实行公务员管理的事业单位）的基本支出。</w:t>
      </w:r>
    </w:p>
    <w:p>
      <w:pPr>
        <w:spacing w:line="576" w:lineRule="atLeast"/>
        <w:ind w:firstLine="640" w:firstLineChars="200"/>
        <w:rPr>
          <w:rStyle w:val="21"/>
          <w:rFonts w:ascii="仿宋_GB2312" w:hAnsi="仿宋_GB2312" w:eastAsia="仿宋_GB2312"/>
          <w:b w:val="0"/>
          <w:color w:val="000000"/>
          <w:sz w:val="32"/>
          <w:szCs w:val="32"/>
        </w:rPr>
      </w:pPr>
      <w:r>
        <w:rPr>
          <w:rStyle w:val="21"/>
          <w:rFonts w:ascii="仿宋_GB2312" w:hAnsi="仿宋_GB2312" w:eastAsia="仿宋_GB2312" w:cs="仿宋_GB2312"/>
          <w:b w:val="0"/>
          <w:color w:val="000000"/>
          <w:sz w:val="32"/>
          <w:szCs w:val="32"/>
        </w:rPr>
        <w:t>11.</w:t>
      </w:r>
      <w:r>
        <w:rPr>
          <w:rStyle w:val="21"/>
          <w:rFonts w:hint="eastAsia" w:ascii="仿宋_GB2312" w:hAnsi="仿宋_GB2312" w:eastAsia="仿宋_GB2312" w:cs="仿宋_GB2312"/>
          <w:b w:val="0"/>
          <w:color w:val="000000"/>
          <w:sz w:val="32"/>
          <w:szCs w:val="32"/>
        </w:rPr>
        <w:t>一般公共服务（类）财政事务（款）事业运行（项）</w:t>
      </w:r>
      <w:r>
        <w:rPr>
          <w:rStyle w:val="21"/>
          <w:rFonts w:ascii="仿宋_GB2312" w:hAnsi="仿宋_GB2312" w:eastAsia="仿宋_GB2312" w:cs="仿宋_GB2312"/>
          <w:b w:val="0"/>
          <w:color w:val="000000"/>
          <w:sz w:val="32"/>
          <w:szCs w:val="32"/>
        </w:rPr>
        <w:t xml:space="preserve">: </w:t>
      </w:r>
      <w:r>
        <w:rPr>
          <w:rStyle w:val="21"/>
          <w:rFonts w:hint="eastAsia" w:ascii="仿宋_GB2312" w:hAnsi="仿宋_GB2312" w:eastAsia="仿宋_GB2312" w:cs="仿宋_GB2312"/>
          <w:b w:val="0"/>
          <w:color w:val="000000"/>
          <w:sz w:val="32"/>
          <w:szCs w:val="32"/>
        </w:rPr>
        <w:t>指</w:t>
      </w:r>
      <w:r>
        <w:rPr>
          <w:rFonts w:hint="eastAsia" w:ascii="仿宋_GB2312" w:hAnsi="仿宋_GB2312" w:eastAsia="仿宋_GB2312" w:cs="仿宋_GB2312"/>
          <w:color w:val="000000"/>
          <w:kern w:val="0"/>
          <w:sz w:val="32"/>
          <w:szCs w:val="32"/>
        </w:rPr>
        <w:t>单位机关及参公管理事业单位用于保障机构正常运行、开展日常工作的基本支出</w:t>
      </w:r>
      <w:r>
        <w:rPr>
          <w:rStyle w:val="21"/>
          <w:rFonts w:hint="eastAsia" w:ascii="仿宋_GB2312" w:hAnsi="仿宋_GB2312" w:eastAsia="仿宋_GB2312" w:cs="仿宋_GB2312"/>
          <w:b w:val="0"/>
          <w:color w:val="000000"/>
          <w:sz w:val="32"/>
          <w:szCs w:val="32"/>
        </w:rPr>
        <w:t>。</w:t>
      </w:r>
    </w:p>
    <w:p>
      <w:pPr>
        <w:spacing w:line="576" w:lineRule="atLeast"/>
        <w:ind w:firstLine="640" w:firstLineChars="200"/>
        <w:rPr>
          <w:rStyle w:val="21"/>
          <w:rFonts w:ascii="仿宋_GB2312" w:hAnsi="仿宋_GB2312" w:eastAsia="仿宋_GB2312"/>
          <w:b w:val="0"/>
          <w:color w:val="000000"/>
          <w:sz w:val="32"/>
          <w:szCs w:val="32"/>
        </w:rPr>
      </w:pPr>
      <w:r>
        <w:rPr>
          <w:rStyle w:val="21"/>
          <w:rFonts w:ascii="仿宋_GB2312" w:hAnsi="仿宋_GB2312" w:eastAsia="仿宋_GB2312" w:cs="仿宋_GB2312"/>
          <w:b w:val="0"/>
          <w:color w:val="000000"/>
          <w:sz w:val="32"/>
          <w:szCs w:val="32"/>
        </w:rPr>
        <w:t>12.</w:t>
      </w:r>
      <w:r>
        <w:rPr>
          <w:rStyle w:val="21"/>
          <w:rFonts w:hint="eastAsia" w:ascii="仿宋_GB2312" w:hAnsi="仿宋_GB2312" w:eastAsia="仿宋_GB2312" w:cs="仿宋_GB2312"/>
          <w:b w:val="0"/>
          <w:color w:val="000000"/>
          <w:sz w:val="32"/>
          <w:szCs w:val="32"/>
        </w:rPr>
        <w:t>一般公共服务（类）民族事务（款）其他民族事务支出（项）</w:t>
      </w:r>
      <w:r>
        <w:rPr>
          <w:rStyle w:val="21"/>
          <w:rFonts w:ascii="仿宋_GB2312" w:hAnsi="仿宋_GB2312" w:eastAsia="仿宋_GB2312" w:cs="仿宋_GB2312"/>
          <w:b w:val="0"/>
          <w:color w:val="000000"/>
          <w:sz w:val="32"/>
          <w:szCs w:val="32"/>
        </w:rPr>
        <w:t xml:space="preserve">: </w:t>
      </w:r>
      <w:r>
        <w:rPr>
          <w:rStyle w:val="21"/>
          <w:rFonts w:hint="eastAsia" w:ascii="仿宋_GB2312" w:hAnsi="仿宋_GB2312" w:eastAsia="仿宋_GB2312" w:cs="仿宋_GB2312"/>
          <w:b w:val="0"/>
          <w:color w:val="000000"/>
          <w:sz w:val="32"/>
          <w:szCs w:val="32"/>
        </w:rPr>
        <w:t>指单位除上述项目以外其他用于民族事务方面的支出。</w:t>
      </w:r>
    </w:p>
    <w:p>
      <w:pPr>
        <w:spacing w:line="576" w:lineRule="atLeast"/>
        <w:ind w:firstLine="640" w:firstLineChars="200"/>
        <w:rPr>
          <w:rStyle w:val="21"/>
          <w:rFonts w:ascii="仿宋_GB2312" w:hAnsi="仿宋_GB2312" w:eastAsia="仿宋_GB2312"/>
          <w:b w:val="0"/>
          <w:color w:val="000000"/>
          <w:sz w:val="32"/>
          <w:szCs w:val="32"/>
        </w:rPr>
      </w:pPr>
      <w:r>
        <w:rPr>
          <w:rStyle w:val="21"/>
          <w:rFonts w:ascii="仿宋_GB2312" w:hAnsi="仿宋_GB2312" w:eastAsia="仿宋_GB2312" w:cs="仿宋_GB2312"/>
          <w:b w:val="0"/>
          <w:color w:val="000000"/>
          <w:sz w:val="32"/>
          <w:szCs w:val="32"/>
        </w:rPr>
        <w:t>13.</w:t>
      </w:r>
      <w:r>
        <w:rPr>
          <w:rStyle w:val="21"/>
          <w:rFonts w:hint="eastAsia" w:ascii="仿宋_GB2312" w:hAnsi="仿宋_GB2312" w:eastAsia="仿宋_GB2312" w:cs="仿宋_GB2312"/>
          <w:b w:val="0"/>
          <w:color w:val="000000"/>
          <w:sz w:val="32"/>
          <w:szCs w:val="32"/>
        </w:rPr>
        <w:t>一般公共服务（类）党委办公厅（室）及相关机构事务（款）行政运行（项）</w:t>
      </w:r>
      <w:r>
        <w:rPr>
          <w:rStyle w:val="21"/>
          <w:rFonts w:ascii="仿宋_GB2312" w:hAnsi="仿宋_GB2312" w:eastAsia="仿宋_GB2312" w:cs="仿宋_GB2312"/>
          <w:b w:val="0"/>
          <w:color w:val="000000"/>
          <w:sz w:val="32"/>
          <w:szCs w:val="32"/>
        </w:rPr>
        <w:t xml:space="preserve">: </w:t>
      </w:r>
      <w:r>
        <w:rPr>
          <w:rStyle w:val="21"/>
          <w:rFonts w:hint="eastAsia" w:ascii="仿宋_GB2312" w:hAnsi="仿宋_GB2312" w:eastAsia="仿宋_GB2312" w:cs="仿宋_GB2312"/>
          <w:b w:val="0"/>
          <w:color w:val="000000"/>
          <w:sz w:val="32"/>
          <w:szCs w:val="32"/>
        </w:rPr>
        <w:t>指单位</w:t>
      </w:r>
      <w:r>
        <w:rPr>
          <w:rFonts w:hint="eastAsia" w:ascii="仿宋_GB2312" w:hAnsi="仿宋_GB2312" w:eastAsia="仿宋_GB2312" w:cs="仿宋_GB2312"/>
          <w:color w:val="000000"/>
          <w:kern w:val="0"/>
          <w:sz w:val="32"/>
          <w:szCs w:val="32"/>
        </w:rPr>
        <w:t>用于保障机构正常运行、开展日常工作的基本支出</w:t>
      </w:r>
      <w:r>
        <w:rPr>
          <w:rStyle w:val="21"/>
          <w:rFonts w:hint="eastAsia" w:ascii="仿宋_GB2312" w:hAnsi="仿宋_GB2312" w:eastAsia="仿宋_GB2312" w:cs="仿宋_GB2312"/>
          <w:b w:val="0"/>
          <w:color w:val="000000"/>
          <w:sz w:val="32"/>
          <w:szCs w:val="32"/>
        </w:rPr>
        <w:t>。</w:t>
      </w:r>
    </w:p>
    <w:p>
      <w:pPr>
        <w:spacing w:line="576" w:lineRule="atLeast"/>
        <w:ind w:firstLine="640" w:firstLineChars="200"/>
        <w:rPr>
          <w:rStyle w:val="21"/>
          <w:rFonts w:ascii="仿宋_GB2312" w:hAnsi="仿宋_GB2312" w:eastAsia="仿宋_GB2312"/>
          <w:b w:val="0"/>
          <w:color w:val="000000"/>
          <w:sz w:val="32"/>
          <w:szCs w:val="32"/>
        </w:rPr>
      </w:pPr>
      <w:r>
        <w:rPr>
          <w:rStyle w:val="21"/>
          <w:rFonts w:ascii="仿宋_GB2312" w:hAnsi="仿宋_GB2312" w:eastAsia="仿宋_GB2312" w:cs="仿宋_GB2312"/>
          <w:b w:val="0"/>
          <w:color w:val="000000"/>
          <w:sz w:val="32"/>
          <w:szCs w:val="32"/>
        </w:rPr>
        <w:t>14.</w:t>
      </w:r>
      <w:r>
        <w:rPr>
          <w:rStyle w:val="21"/>
          <w:rFonts w:hint="eastAsia" w:ascii="仿宋_GB2312" w:hAnsi="仿宋_GB2312" w:eastAsia="仿宋_GB2312" w:cs="仿宋_GB2312"/>
          <w:b w:val="0"/>
          <w:color w:val="000000"/>
          <w:sz w:val="32"/>
          <w:szCs w:val="32"/>
        </w:rPr>
        <w:t>国防支出（类）其他国防支出（款）其他国防支出（项）</w:t>
      </w:r>
      <w:r>
        <w:rPr>
          <w:rStyle w:val="21"/>
          <w:rFonts w:ascii="仿宋_GB2312" w:hAnsi="仿宋_GB2312" w:eastAsia="仿宋_GB2312" w:cs="仿宋_GB2312"/>
          <w:b w:val="0"/>
          <w:color w:val="000000"/>
          <w:sz w:val="32"/>
          <w:szCs w:val="32"/>
        </w:rPr>
        <w:t xml:space="preserve">: </w:t>
      </w:r>
      <w:r>
        <w:rPr>
          <w:rStyle w:val="21"/>
          <w:rFonts w:hint="eastAsia" w:ascii="仿宋_GB2312" w:hAnsi="仿宋_GB2312" w:eastAsia="仿宋_GB2312" w:cs="仿宋_GB2312"/>
          <w:b w:val="0"/>
          <w:color w:val="000000"/>
          <w:sz w:val="32"/>
          <w:szCs w:val="32"/>
        </w:rPr>
        <w:t>指单位其他用于国防方面的支出。</w:t>
      </w:r>
    </w:p>
    <w:p>
      <w:pPr>
        <w:spacing w:line="576" w:lineRule="atLeast"/>
        <w:ind w:firstLine="640" w:firstLineChars="200"/>
        <w:rPr>
          <w:rStyle w:val="21"/>
          <w:rFonts w:ascii="仿宋_GB2312" w:hAnsi="仿宋_GB2312" w:eastAsia="仿宋_GB2312"/>
          <w:b w:val="0"/>
          <w:color w:val="000000"/>
          <w:sz w:val="32"/>
          <w:szCs w:val="32"/>
        </w:rPr>
      </w:pPr>
      <w:r>
        <w:rPr>
          <w:rStyle w:val="21"/>
          <w:rFonts w:ascii="仿宋_GB2312" w:hAnsi="仿宋_GB2312" w:eastAsia="仿宋_GB2312" w:cs="仿宋_GB2312"/>
          <w:b w:val="0"/>
          <w:color w:val="000000"/>
          <w:sz w:val="32"/>
          <w:szCs w:val="32"/>
        </w:rPr>
        <w:t>1</w:t>
      </w:r>
      <w:r>
        <w:rPr>
          <w:rStyle w:val="21"/>
          <w:rFonts w:hint="eastAsia" w:ascii="仿宋_GB2312" w:hAnsi="仿宋_GB2312" w:eastAsia="仿宋_GB2312" w:cs="仿宋_GB2312"/>
          <w:b w:val="0"/>
          <w:color w:val="000000"/>
          <w:sz w:val="32"/>
          <w:szCs w:val="32"/>
        </w:rPr>
        <w:t>5</w:t>
      </w:r>
      <w:r>
        <w:rPr>
          <w:rStyle w:val="21"/>
          <w:rFonts w:ascii="仿宋_GB2312" w:hAnsi="仿宋_GB2312" w:eastAsia="仿宋_GB2312" w:cs="仿宋_GB2312"/>
          <w:b w:val="0"/>
          <w:color w:val="000000"/>
          <w:sz w:val="32"/>
          <w:szCs w:val="32"/>
        </w:rPr>
        <w:t>.</w:t>
      </w:r>
      <w:r>
        <w:rPr>
          <w:rStyle w:val="21"/>
          <w:rFonts w:hint="eastAsia" w:ascii="仿宋_GB2312" w:hAnsi="仿宋_GB2312" w:eastAsia="仿宋_GB2312" w:cs="仿宋_GB2312"/>
          <w:b w:val="0"/>
          <w:color w:val="000000"/>
          <w:sz w:val="32"/>
          <w:szCs w:val="32"/>
        </w:rPr>
        <w:t>社会保障和就业（类）行政事业单位离退休（款）机关事业单位基本养老保险缴费支出（项）</w:t>
      </w:r>
      <w:r>
        <w:rPr>
          <w:rStyle w:val="21"/>
          <w:rFonts w:ascii="仿宋_GB2312" w:hAnsi="仿宋_GB2312" w:eastAsia="仿宋_GB2312" w:cs="仿宋_GB2312"/>
          <w:b w:val="0"/>
          <w:color w:val="000000"/>
          <w:sz w:val="32"/>
          <w:szCs w:val="32"/>
        </w:rPr>
        <w:t xml:space="preserve">: </w:t>
      </w:r>
      <w:r>
        <w:rPr>
          <w:rStyle w:val="21"/>
          <w:rFonts w:hint="eastAsia" w:ascii="仿宋_GB2312" w:hAnsi="仿宋_GB2312" w:eastAsia="仿宋_GB2312" w:cs="仿宋_GB2312"/>
          <w:b w:val="0"/>
          <w:color w:val="000000"/>
          <w:sz w:val="32"/>
          <w:szCs w:val="32"/>
        </w:rPr>
        <w:t>指</w:t>
      </w:r>
      <w:r>
        <w:rPr>
          <w:rFonts w:hint="eastAsia" w:ascii="仿宋_GB2312" w:hAnsi="仿宋_GB2312" w:eastAsia="仿宋_GB2312" w:cs="仿宋_GB2312"/>
          <w:color w:val="000000"/>
          <w:kern w:val="0"/>
          <w:sz w:val="32"/>
          <w:szCs w:val="32"/>
        </w:rPr>
        <w:t>单位实施养老保险制度由单位缴纳的养老保险费的支出</w:t>
      </w:r>
      <w:r>
        <w:rPr>
          <w:rStyle w:val="21"/>
          <w:rFonts w:hint="eastAsia" w:ascii="仿宋_GB2312" w:hAnsi="仿宋_GB2312" w:eastAsia="仿宋_GB2312" w:cs="仿宋_GB2312"/>
          <w:b w:val="0"/>
          <w:color w:val="000000"/>
          <w:sz w:val="32"/>
          <w:szCs w:val="32"/>
        </w:rPr>
        <w:t>。</w:t>
      </w:r>
    </w:p>
    <w:p>
      <w:pPr>
        <w:spacing w:line="576" w:lineRule="atLeast"/>
        <w:ind w:firstLine="640" w:firstLineChars="200"/>
        <w:rPr>
          <w:rStyle w:val="21"/>
          <w:rFonts w:ascii="仿宋_GB2312" w:hAnsi="仿宋_GB2312" w:eastAsia="仿宋_GB2312"/>
          <w:b w:val="0"/>
          <w:color w:val="000000"/>
          <w:sz w:val="32"/>
          <w:szCs w:val="32"/>
        </w:rPr>
      </w:pPr>
      <w:r>
        <w:rPr>
          <w:rStyle w:val="21"/>
          <w:rFonts w:hint="eastAsia" w:ascii="仿宋_GB2312" w:hAnsi="仿宋_GB2312" w:eastAsia="仿宋_GB2312" w:cs="仿宋_GB2312"/>
          <w:b w:val="0"/>
          <w:color w:val="000000"/>
          <w:sz w:val="32"/>
          <w:szCs w:val="32"/>
        </w:rPr>
        <w:t>16</w:t>
      </w:r>
      <w:r>
        <w:rPr>
          <w:rStyle w:val="21"/>
          <w:rFonts w:ascii="仿宋_GB2312" w:hAnsi="仿宋_GB2312" w:eastAsia="仿宋_GB2312" w:cs="仿宋_GB2312"/>
          <w:b w:val="0"/>
          <w:color w:val="000000"/>
          <w:sz w:val="32"/>
          <w:szCs w:val="32"/>
        </w:rPr>
        <w:t>.</w:t>
      </w:r>
      <w:r>
        <w:rPr>
          <w:rStyle w:val="21"/>
          <w:rFonts w:hint="eastAsia" w:ascii="仿宋_GB2312" w:hAnsi="仿宋_GB2312" w:eastAsia="仿宋_GB2312" w:cs="仿宋_GB2312"/>
          <w:b w:val="0"/>
          <w:color w:val="000000"/>
          <w:sz w:val="32"/>
          <w:szCs w:val="32"/>
        </w:rPr>
        <w:t>社会保障和就业（类）行政事业单位离退休（款）机关事业单位职业年金缴费支出（项）</w:t>
      </w:r>
      <w:r>
        <w:rPr>
          <w:rStyle w:val="21"/>
          <w:rFonts w:ascii="仿宋_GB2312" w:hAnsi="仿宋_GB2312" w:eastAsia="仿宋_GB2312" w:cs="仿宋_GB2312"/>
          <w:b w:val="0"/>
          <w:color w:val="000000"/>
          <w:sz w:val="32"/>
          <w:szCs w:val="32"/>
        </w:rPr>
        <w:t xml:space="preserve">: </w:t>
      </w:r>
      <w:r>
        <w:rPr>
          <w:rStyle w:val="21"/>
          <w:rFonts w:hint="eastAsia" w:ascii="仿宋_GB2312" w:hAnsi="仿宋_GB2312" w:eastAsia="仿宋_GB2312" w:cs="仿宋_GB2312"/>
          <w:b w:val="0"/>
          <w:color w:val="000000"/>
          <w:sz w:val="32"/>
          <w:szCs w:val="32"/>
        </w:rPr>
        <w:t>指</w:t>
      </w:r>
      <w:r>
        <w:rPr>
          <w:rFonts w:hint="eastAsia" w:ascii="仿宋_GB2312" w:hAnsi="仿宋_GB2312" w:eastAsia="仿宋_GB2312" w:cs="仿宋_GB2312"/>
          <w:color w:val="000000"/>
          <w:kern w:val="0"/>
          <w:sz w:val="32"/>
          <w:szCs w:val="32"/>
        </w:rPr>
        <w:t>单位实施养老保险制度由单位缴纳的职业年金的支出</w:t>
      </w:r>
      <w:r>
        <w:rPr>
          <w:rStyle w:val="21"/>
          <w:rFonts w:hint="eastAsia" w:ascii="仿宋_GB2312" w:hAnsi="仿宋_GB2312" w:eastAsia="仿宋_GB2312" w:cs="仿宋_GB2312"/>
          <w:b w:val="0"/>
          <w:color w:val="000000"/>
          <w:sz w:val="32"/>
          <w:szCs w:val="32"/>
        </w:rPr>
        <w:t>。</w:t>
      </w:r>
    </w:p>
    <w:p>
      <w:pPr>
        <w:spacing w:line="576" w:lineRule="atLeast"/>
        <w:ind w:firstLine="640" w:firstLineChars="200"/>
        <w:rPr>
          <w:rStyle w:val="21"/>
          <w:rFonts w:ascii="仿宋_GB2312" w:hAnsi="仿宋_GB2312" w:eastAsia="仿宋_GB2312"/>
          <w:b w:val="0"/>
          <w:color w:val="000000"/>
          <w:sz w:val="32"/>
          <w:szCs w:val="32"/>
        </w:rPr>
      </w:pPr>
      <w:r>
        <w:rPr>
          <w:rStyle w:val="21"/>
          <w:rFonts w:hint="eastAsia" w:ascii="仿宋_GB2312" w:hAnsi="仿宋_GB2312" w:eastAsia="仿宋_GB2312" w:cs="仿宋_GB2312"/>
          <w:b w:val="0"/>
          <w:color w:val="000000"/>
          <w:sz w:val="32"/>
          <w:szCs w:val="32"/>
        </w:rPr>
        <w:t>17</w:t>
      </w:r>
      <w:r>
        <w:rPr>
          <w:rStyle w:val="21"/>
          <w:rFonts w:ascii="仿宋_GB2312" w:hAnsi="仿宋_GB2312" w:eastAsia="仿宋_GB2312" w:cs="仿宋_GB2312"/>
          <w:b w:val="0"/>
          <w:color w:val="000000"/>
          <w:sz w:val="32"/>
          <w:szCs w:val="32"/>
        </w:rPr>
        <w:t>.</w:t>
      </w:r>
      <w:r>
        <w:rPr>
          <w:rStyle w:val="21"/>
          <w:rFonts w:hint="eastAsia" w:ascii="仿宋_GB2312" w:hAnsi="仿宋_GB2312" w:eastAsia="仿宋_GB2312" w:cs="仿宋_GB2312"/>
          <w:b w:val="0"/>
          <w:color w:val="000000"/>
          <w:sz w:val="32"/>
          <w:szCs w:val="32"/>
        </w:rPr>
        <w:t>社会保障和就业（类）社会福利（款）老年福利（项）</w:t>
      </w:r>
      <w:r>
        <w:rPr>
          <w:rStyle w:val="21"/>
          <w:rFonts w:ascii="仿宋_GB2312" w:hAnsi="仿宋_GB2312" w:eastAsia="仿宋_GB2312" w:cs="仿宋_GB2312"/>
          <w:b w:val="0"/>
          <w:color w:val="000000"/>
          <w:sz w:val="32"/>
          <w:szCs w:val="32"/>
        </w:rPr>
        <w:t xml:space="preserve">: </w:t>
      </w:r>
      <w:r>
        <w:rPr>
          <w:rStyle w:val="21"/>
          <w:rFonts w:hint="eastAsia" w:ascii="仿宋_GB2312" w:hAnsi="仿宋_GB2312" w:eastAsia="仿宋_GB2312" w:cs="仿宋_GB2312"/>
          <w:b w:val="0"/>
          <w:color w:val="000000"/>
          <w:sz w:val="32"/>
          <w:szCs w:val="32"/>
        </w:rPr>
        <w:t>指对老年人提供福利服务方面的支出。</w:t>
      </w:r>
    </w:p>
    <w:p>
      <w:pPr>
        <w:spacing w:line="576" w:lineRule="atLeast"/>
        <w:ind w:firstLine="640" w:firstLineChars="200"/>
        <w:rPr>
          <w:rStyle w:val="21"/>
          <w:rFonts w:ascii="仿宋_GB2312" w:hAnsi="仿宋_GB2312" w:eastAsia="仿宋_GB2312"/>
          <w:b w:val="0"/>
          <w:color w:val="000000"/>
          <w:sz w:val="32"/>
          <w:szCs w:val="32"/>
        </w:rPr>
      </w:pPr>
      <w:r>
        <w:rPr>
          <w:rStyle w:val="21"/>
          <w:rFonts w:hint="eastAsia" w:ascii="仿宋_GB2312" w:hAnsi="仿宋_GB2312" w:eastAsia="仿宋_GB2312" w:cs="仿宋_GB2312"/>
          <w:b w:val="0"/>
          <w:color w:val="000000"/>
          <w:sz w:val="32"/>
          <w:szCs w:val="32"/>
        </w:rPr>
        <w:t>18</w:t>
      </w:r>
      <w:r>
        <w:rPr>
          <w:rStyle w:val="21"/>
          <w:rFonts w:ascii="仿宋_GB2312" w:hAnsi="仿宋_GB2312" w:eastAsia="仿宋_GB2312" w:cs="仿宋_GB2312"/>
          <w:b w:val="0"/>
          <w:color w:val="000000"/>
          <w:sz w:val="32"/>
          <w:szCs w:val="32"/>
        </w:rPr>
        <w:t>.</w:t>
      </w:r>
      <w:r>
        <w:rPr>
          <w:rStyle w:val="21"/>
          <w:rFonts w:hint="eastAsia" w:ascii="仿宋_GB2312" w:hAnsi="仿宋_GB2312" w:eastAsia="仿宋_GB2312" w:cs="仿宋_GB2312"/>
          <w:b w:val="0"/>
          <w:color w:val="000000"/>
          <w:sz w:val="32"/>
          <w:szCs w:val="32"/>
        </w:rPr>
        <w:t>社会保障和就业（类）社会福利（款）其他社会福利支出（项）</w:t>
      </w:r>
      <w:r>
        <w:rPr>
          <w:rStyle w:val="21"/>
          <w:rFonts w:ascii="仿宋_GB2312" w:hAnsi="仿宋_GB2312" w:eastAsia="仿宋_GB2312" w:cs="仿宋_GB2312"/>
          <w:b w:val="0"/>
          <w:color w:val="000000"/>
          <w:sz w:val="32"/>
          <w:szCs w:val="32"/>
        </w:rPr>
        <w:t xml:space="preserve">: </w:t>
      </w:r>
      <w:r>
        <w:rPr>
          <w:rStyle w:val="21"/>
          <w:rFonts w:hint="eastAsia" w:ascii="仿宋_GB2312" w:hAnsi="仿宋_GB2312" w:eastAsia="仿宋_GB2312" w:cs="仿宋_GB2312"/>
          <w:b w:val="0"/>
          <w:color w:val="000000"/>
          <w:sz w:val="32"/>
          <w:szCs w:val="32"/>
        </w:rPr>
        <w:t>指除上述项目以外其他用于社会福利方面的支出。</w:t>
      </w:r>
    </w:p>
    <w:p>
      <w:pPr>
        <w:spacing w:line="576" w:lineRule="atLeast"/>
        <w:ind w:firstLine="640" w:firstLineChars="200"/>
        <w:rPr>
          <w:rStyle w:val="21"/>
          <w:rFonts w:ascii="仿宋_GB2312" w:hAnsi="仿宋_GB2312" w:eastAsia="仿宋_GB2312"/>
          <w:b w:val="0"/>
          <w:color w:val="000000"/>
          <w:sz w:val="32"/>
          <w:szCs w:val="32"/>
        </w:rPr>
      </w:pPr>
      <w:r>
        <w:rPr>
          <w:rStyle w:val="21"/>
          <w:rFonts w:hint="eastAsia" w:ascii="仿宋_GB2312" w:hAnsi="仿宋_GB2312" w:eastAsia="仿宋_GB2312" w:cs="仿宋_GB2312"/>
          <w:b w:val="0"/>
          <w:color w:val="000000"/>
          <w:sz w:val="32"/>
          <w:szCs w:val="32"/>
        </w:rPr>
        <w:t>19</w:t>
      </w:r>
      <w:r>
        <w:rPr>
          <w:rStyle w:val="21"/>
          <w:rFonts w:ascii="仿宋_GB2312" w:hAnsi="仿宋_GB2312" w:eastAsia="仿宋_GB2312" w:cs="仿宋_GB2312"/>
          <w:b w:val="0"/>
          <w:color w:val="000000"/>
          <w:sz w:val="32"/>
          <w:szCs w:val="32"/>
        </w:rPr>
        <w:t>.</w:t>
      </w:r>
      <w:r>
        <w:rPr>
          <w:rStyle w:val="21"/>
          <w:rFonts w:hint="eastAsia" w:ascii="仿宋_GB2312" w:hAnsi="仿宋_GB2312" w:eastAsia="仿宋_GB2312" w:cs="仿宋_GB2312"/>
          <w:b w:val="0"/>
          <w:color w:val="000000"/>
          <w:sz w:val="32"/>
          <w:szCs w:val="32"/>
        </w:rPr>
        <w:t>医疗卫生与计划生育（类）基层医疗卫生机构（款）镇镇卫生院（项）</w:t>
      </w:r>
      <w:r>
        <w:rPr>
          <w:rStyle w:val="21"/>
          <w:rFonts w:ascii="仿宋_GB2312" w:hAnsi="仿宋_GB2312" w:eastAsia="仿宋_GB2312" w:cs="仿宋_GB2312"/>
          <w:b w:val="0"/>
          <w:color w:val="000000"/>
          <w:sz w:val="32"/>
          <w:szCs w:val="32"/>
        </w:rPr>
        <w:t>:</w:t>
      </w:r>
      <w:r>
        <w:rPr>
          <w:rStyle w:val="21"/>
          <w:rFonts w:hint="eastAsia" w:ascii="仿宋_GB2312" w:hAnsi="仿宋_GB2312" w:eastAsia="仿宋_GB2312" w:cs="仿宋_GB2312"/>
          <w:b w:val="0"/>
          <w:color w:val="000000"/>
          <w:sz w:val="32"/>
          <w:szCs w:val="32"/>
        </w:rPr>
        <w:t>指用于镇镇卫生院支出。</w:t>
      </w:r>
    </w:p>
    <w:p>
      <w:pPr>
        <w:spacing w:line="576" w:lineRule="atLeast"/>
        <w:ind w:firstLine="640" w:firstLineChars="200"/>
        <w:rPr>
          <w:rStyle w:val="21"/>
          <w:rFonts w:ascii="仿宋_GB2312" w:hAnsi="仿宋_GB2312" w:eastAsia="仿宋_GB2312"/>
          <w:b w:val="0"/>
          <w:color w:val="000000"/>
          <w:sz w:val="32"/>
          <w:szCs w:val="32"/>
        </w:rPr>
      </w:pPr>
      <w:r>
        <w:rPr>
          <w:rStyle w:val="21"/>
          <w:rFonts w:hint="eastAsia" w:ascii="仿宋_GB2312" w:hAnsi="仿宋_GB2312" w:eastAsia="仿宋_GB2312" w:cs="仿宋_GB2312"/>
          <w:b w:val="0"/>
          <w:color w:val="000000"/>
          <w:sz w:val="32"/>
          <w:szCs w:val="32"/>
        </w:rPr>
        <w:t>20</w:t>
      </w:r>
      <w:r>
        <w:rPr>
          <w:rStyle w:val="21"/>
          <w:rFonts w:ascii="仿宋_GB2312" w:hAnsi="仿宋_GB2312" w:eastAsia="仿宋_GB2312" w:cs="仿宋_GB2312"/>
          <w:b w:val="0"/>
          <w:color w:val="000000"/>
          <w:sz w:val="32"/>
          <w:szCs w:val="32"/>
        </w:rPr>
        <w:t>.</w:t>
      </w:r>
      <w:r>
        <w:rPr>
          <w:rStyle w:val="21"/>
          <w:rFonts w:hint="eastAsia" w:ascii="仿宋_GB2312" w:hAnsi="仿宋_GB2312" w:eastAsia="仿宋_GB2312" w:cs="仿宋_GB2312"/>
          <w:b w:val="0"/>
          <w:color w:val="000000"/>
          <w:sz w:val="32"/>
          <w:szCs w:val="32"/>
        </w:rPr>
        <w:t>医疗卫生与计划生育（类）行政事业单位医疗（款）行政单位医疗（项）</w:t>
      </w:r>
      <w:r>
        <w:rPr>
          <w:rStyle w:val="21"/>
          <w:rFonts w:ascii="仿宋_GB2312" w:hAnsi="仿宋_GB2312" w:eastAsia="仿宋_GB2312" w:cs="仿宋_GB2312"/>
          <w:b w:val="0"/>
          <w:color w:val="000000"/>
          <w:sz w:val="32"/>
          <w:szCs w:val="32"/>
        </w:rPr>
        <w:t>:</w:t>
      </w:r>
      <w:r>
        <w:rPr>
          <w:rStyle w:val="21"/>
          <w:rFonts w:hint="eastAsia" w:ascii="仿宋_GB2312" w:hAnsi="仿宋_GB2312" w:eastAsia="仿宋_GB2312" w:cs="仿宋_GB2312"/>
          <w:b w:val="0"/>
          <w:color w:val="000000"/>
          <w:sz w:val="32"/>
          <w:szCs w:val="32"/>
        </w:rPr>
        <w:t>指</w:t>
      </w:r>
      <w:r>
        <w:rPr>
          <w:rFonts w:hint="eastAsia" w:ascii="仿宋_GB2312" w:hAnsi="仿宋_GB2312" w:eastAsia="仿宋_GB2312" w:cs="仿宋_GB2312"/>
          <w:color w:val="000000"/>
          <w:kern w:val="0"/>
          <w:sz w:val="32"/>
          <w:szCs w:val="32"/>
        </w:rPr>
        <w:t>行政单位用于缴纳单位基本医疗保险支出</w:t>
      </w:r>
      <w:r>
        <w:rPr>
          <w:rStyle w:val="21"/>
          <w:rFonts w:hint="eastAsia" w:ascii="仿宋_GB2312" w:hAnsi="仿宋_GB2312" w:eastAsia="仿宋_GB2312" w:cs="仿宋_GB2312"/>
          <w:b w:val="0"/>
          <w:color w:val="000000"/>
          <w:sz w:val="32"/>
          <w:szCs w:val="32"/>
        </w:rPr>
        <w:t>。</w:t>
      </w:r>
    </w:p>
    <w:p>
      <w:pPr>
        <w:spacing w:line="576" w:lineRule="atLeast"/>
        <w:ind w:firstLine="640" w:firstLineChars="200"/>
        <w:rPr>
          <w:rStyle w:val="21"/>
          <w:rFonts w:ascii="仿宋_GB2312" w:hAnsi="仿宋_GB2312" w:eastAsia="仿宋_GB2312"/>
          <w:b w:val="0"/>
          <w:color w:val="000000"/>
          <w:sz w:val="32"/>
          <w:szCs w:val="32"/>
        </w:rPr>
      </w:pPr>
      <w:r>
        <w:rPr>
          <w:rStyle w:val="21"/>
          <w:rFonts w:hint="eastAsia" w:ascii="仿宋_GB2312" w:hAnsi="仿宋_GB2312" w:eastAsia="仿宋_GB2312" w:cs="仿宋_GB2312"/>
          <w:b w:val="0"/>
          <w:color w:val="000000"/>
          <w:sz w:val="32"/>
          <w:szCs w:val="32"/>
        </w:rPr>
        <w:t>21</w:t>
      </w:r>
      <w:r>
        <w:rPr>
          <w:rStyle w:val="21"/>
          <w:rFonts w:ascii="仿宋_GB2312" w:hAnsi="仿宋_GB2312" w:eastAsia="仿宋_GB2312" w:cs="仿宋_GB2312"/>
          <w:b w:val="0"/>
          <w:color w:val="000000"/>
          <w:sz w:val="32"/>
          <w:szCs w:val="32"/>
        </w:rPr>
        <w:t>.</w:t>
      </w:r>
      <w:r>
        <w:rPr>
          <w:rStyle w:val="21"/>
          <w:rFonts w:hint="eastAsia" w:ascii="仿宋_GB2312" w:hAnsi="仿宋_GB2312" w:eastAsia="仿宋_GB2312" w:cs="仿宋_GB2312"/>
          <w:b w:val="0"/>
          <w:color w:val="000000"/>
          <w:sz w:val="32"/>
          <w:szCs w:val="32"/>
        </w:rPr>
        <w:t>医疗卫生与计划生育（类）行政事业单位医疗（款）事业单位医疗（项）</w:t>
      </w:r>
      <w:r>
        <w:rPr>
          <w:rStyle w:val="21"/>
          <w:rFonts w:ascii="仿宋_GB2312" w:hAnsi="仿宋_GB2312" w:eastAsia="仿宋_GB2312" w:cs="仿宋_GB2312"/>
          <w:b w:val="0"/>
          <w:color w:val="000000"/>
          <w:sz w:val="32"/>
          <w:szCs w:val="32"/>
        </w:rPr>
        <w:t>:</w:t>
      </w:r>
      <w:r>
        <w:rPr>
          <w:rStyle w:val="21"/>
          <w:rFonts w:hint="eastAsia" w:ascii="仿宋_GB2312" w:hAnsi="仿宋_GB2312" w:eastAsia="仿宋_GB2312" w:cs="仿宋_GB2312"/>
          <w:b w:val="0"/>
          <w:color w:val="000000"/>
          <w:sz w:val="32"/>
          <w:szCs w:val="32"/>
        </w:rPr>
        <w:t>指</w:t>
      </w:r>
      <w:r>
        <w:rPr>
          <w:rFonts w:hint="eastAsia" w:ascii="仿宋_GB2312" w:hAnsi="仿宋_GB2312" w:eastAsia="仿宋_GB2312" w:cs="仿宋_GB2312"/>
          <w:color w:val="000000"/>
          <w:kern w:val="0"/>
          <w:sz w:val="32"/>
          <w:szCs w:val="32"/>
        </w:rPr>
        <w:t>事业单位用于缴纳单位基本医疗保险支出</w:t>
      </w:r>
      <w:r>
        <w:rPr>
          <w:rStyle w:val="21"/>
          <w:rFonts w:hint="eastAsia" w:ascii="仿宋_GB2312" w:hAnsi="仿宋_GB2312" w:eastAsia="仿宋_GB2312" w:cs="仿宋_GB2312"/>
          <w:b w:val="0"/>
          <w:color w:val="000000"/>
          <w:sz w:val="32"/>
          <w:szCs w:val="32"/>
        </w:rPr>
        <w:t>。</w:t>
      </w:r>
    </w:p>
    <w:p>
      <w:pPr>
        <w:spacing w:line="576" w:lineRule="atLeast"/>
        <w:ind w:firstLine="640" w:firstLineChars="200"/>
        <w:rPr>
          <w:rStyle w:val="21"/>
          <w:rFonts w:ascii="仿宋_GB2312" w:hAnsi="仿宋_GB2312" w:eastAsia="仿宋_GB2312"/>
          <w:b w:val="0"/>
          <w:color w:val="000000"/>
          <w:sz w:val="32"/>
          <w:szCs w:val="32"/>
        </w:rPr>
      </w:pPr>
      <w:r>
        <w:rPr>
          <w:rStyle w:val="21"/>
          <w:rFonts w:hint="eastAsia" w:ascii="仿宋_GB2312" w:hAnsi="仿宋_GB2312" w:eastAsia="仿宋_GB2312" w:cs="仿宋_GB2312"/>
          <w:b w:val="0"/>
          <w:color w:val="000000"/>
          <w:sz w:val="32"/>
          <w:szCs w:val="32"/>
        </w:rPr>
        <w:t>22</w:t>
      </w:r>
      <w:r>
        <w:rPr>
          <w:rStyle w:val="21"/>
          <w:rFonts w:ascii="仿宋_GB2312" w:hAnsi="仿宋_GB2312" w:eastAsia="仿宋_GB2312" w:cs="仿宋_GB2312"/>
          <w:b w:val="0"/>
          <w:color w:val="000000"/>
          <w:sz w:val="32"/>
          <w:szCs w:val="32"/>
        </w:rPr>
        <w:t>.</w:t>
      </w:r>
      <w:r>
        <w:rPr>
          <w:rStyle w:val="21"/>
          <w:rFonts w:hint="eastAsia" w:ascii="仿宋_GB2312" w:hAnsi="仿宋_GB2312" w:eastAsia="仿宋_GB2312" w:cs="仿宋_GB2312"/>
          <w:b w:val="0"/>
          <w:color w:val="000000"/>
          <w:sz w:val="32"/>
          <w:szCs w:val="32"/>
        </w:rPr>
        <w:t>农林水支出（类）农业（款）事业运行（项）</w:t>
      </w:r>
      <w:r>
        <w:rPr>
          <w:rStyle w:val="21"/>
          <w:rFonts w:ascii="仿宋_GB2312" w:hAnsi="仿宋_GB2312" w:eastAsia="仿宋_GB2312" w:cs="仿宋_GB2312"/>
          <w:b w:val="0"/>
          <w:color w:val="000000"/>
          <w:sz w:val="32"/>
          <w:szCs w:val="32"/>
        </w:rPr>
        <w:t xml:space="preserve">: </w:t>
      </w:r>
      <w:r>
        <w:rPr>
          <w:rStyle w:val="21"/>
          <w:rFonts w:hint="eastAsia" w:ascii="仿宋_GB2312" w:hAnsi="仿宋_GB2312" w:eastAsia="仿宋_GB2312" w:cs="仿宋_GB2312"/>
          <w:b w:val="0"/>
          <w:color w:val="000000"/>
          <w:sz w:val="32"/>
          <w:szCs w:val="32"/>
        </w:rPr>
        <w:t>指用于农业事业单位基本支出，事业单位设施、系统运行与资产维护等方面的支出。</w:t>
      </w:r>
    </w:p>
    <w:p>
      <w:pPr>
        <w:spacing w:line="576" w:lineRule="atLeast"/>
        <w:ind w:firstLine="640" w:firstLineChars="200"/>
        <w:rPr>
          <w:rStyle w:val="21"/>
          <w:rFonts w:ascii="仿宋_GB2312" w:hAnsi="仿宋_GB2312" w:eastAsia="仿宋_GB2312"/>
          <w:b w:val="0"/>
          <w:color w:val="000000"/>
          <w:sz w:val="32"/>
          <w:szCs w:val="32"/>
        </w:rPr>
      </w:pPr>
      <w:r>
        <w:rPr>
          <w:rStyle w:val="21"/>
          <w:rFonts w:hint="eastAsia" w:ascii="仿宋_GB2312" w:hAnsi="仿宋_GB2312" w:eastAsia="仿宋_GB2312" w:cs="仿宋_GB2312"/>
          <w:b w:val="0"/>
          <w:color w:val="000000"/>
          <w:sz w:val="32"/>
          <w:szCs w:val="32"/>
        </w:rPr>
        <w:t>23</w:t>
      </w:r>
      <w:r>
        <w:rPr>
          <w:rStyle w:val="21"/>
          <w:rFonts w:ascii="仿宋_GB2312" w:hAnsi="仿宋_GB2312" w:eastAsia="仿宋_GB2312" w:cs="仿宋_GB2312"/>
          <w:b w:val="0"/>
          <w:color w:val="000000"/>
          <w:sz w:val="32"/>
          <w:szCs w:val="32"/>
        </w:rPr>
        <w:t>.</w:t>
      </w:r>
      <w:r>
        <w:rPr>
          <w:rStyle w:val="21"/>
          <w:rFonts w:hint="eastAsia" w:ascii="仿宋_GB2312" w:hAnsi="仿宋_GB2312" w:eastAsia="仿宋_GB2312" w:cs="仿宋_GB2312"/>
          <w:b w:val="0"/>
          <w:color w:val="000000"/>
          <w:sz w:val="32"/>
          <w:szCs w:val="32"/>
        </w:rPr>
        <w:t>农林水支出（类）农业（款）农业资源保护修复与利用（项）</w:t>
      </w:r>
      <w:r>
        <w:rPr>
          <w:rStyle w:val="21"/>
          <w:rFonts w:ascii="仿宋_GB2312" w:hAnsi="仿宋_GB2312" w:eastAsia="仿宋_GB2312" w:cs="仿宋_GB2312"/>
          <w:b w:val="0"/>
          <w:color w:val="000000"/>
          <w:sz w:val="32"/>
          <w:szCs w:val="32"/>
        </w:rPr>
        <w:t xml:space="preserve">: </w:t>
      </w:r>
      <w:r>
        <w:rPr>
          <w:rStyle w:val="21"/>
          <w:rFonts w:hint="eastAsia" w:ascii="仿宋_GB2312" w:hAnsi="仿宋_GB2312" w:eastAsia="仿宋_GB2312" w:cs="仿宋_GB2312"/>
          <w:b w:val="0"/>
          <w:color w:val="000000"/>
          <w:sz w:val="32"/>
          <w:szCs w:val="32"/>
        </w:rPr>
        <w:t>指用于农业耕地保护、修复与建设，草原草场生态保护、改良、利用及建设，渔业水产及水生生物资源保护与利用等方面的支出。</w:t>
      </w:r>
    </w:p>
    <w:p>
      <w:pPr>
        <w:spacing w:line="576" w:lineRule="atLeast"/>
        <w:ind w:firstLine="640" w:firstLineChars="200"/>
        <w:rPr>
          <w:rStyle w:val="21"/>
          <w:rFonts w:ascii="仿宋_GB2312" w:hAnsi="仿宋_GB2312" w:eastAsia="仿宋_GB2312"/>
          <w:b w:val="0"/>
          <w:color w:val="000000"/>
          <w:sz w:val="32"/>
          <w:szCs w:val="32"/>
        </w:rPr>
      </w:pPr>
      <w:r>
        <w:rPr>
          <w:rStyle w:val="21"/>
          <w:rFonts w:hint="eastAsia" w:ascii="仿宋_GB2312" w:hAnsi="仿宋_GB2312" w:eastAsia="仿宋_GB2312" w:cs="仿宋_GB2312"/>
          <w:b w:val="0"/>
          <w:color w:val="000000"/>
          <w:sz w:val="32"/>
          <w:szCs w:val="32"/>
        </w:rPr>
        <w:t>24</w:t>
      </w:r>
      <w:r>
        <w:rPr>
          <w:rStyle w:val="21"/>
          <w:rFonts w:ascii="仿宋_GB2312" w:hAnsi="仿宋_GB2312" w:eastAsia="仿宋_GB2312" w:cs="仿宋_GB2312"/>
          <w:b w:val="0"/>
          <w:color w:val="000000"/>
          <w:sz w:val="32"/>
          <w:szCs w:val="32"/>
        </w:rPr>
        <w:t>.</w:t>
      </w:r>
      <w:r>
        <w:rPr>
          <w:rStyle w:val="21"/>
          <w:rFonts w:hint="eastAsia" w:ascii="仿宋_GB2312" w:hAnsi="仿宋_GB2312" w:eastAsia="仿宋_GB2312" w:cs="仿宋_GB2312"/>
          <w:b w:val="0"/>
          <w:color w:val="000000"/>
          <w:sz w:val="32"/>
          <w:szCs w:val="32"/>
        </w:rPr>
        <w:t>农林水支出（类）农业（款）其他农业支出（项）</w:t>
      </w:r>
      <w:r>
        <w:rPr>
          <w:rStyle w:val="21"/>
          <w:rFonts w:ascii="仿宋_GB2312" w:hAnsi="仿宋_GB2312" w:eastAsia="仿宋_GB2312" w:cs="仿宋_GB2312"/>
          <w:b w:val="0"/>
          <w:color w:val="000000"/>
          <w:sz w:val="32"/>
          <w:szCs w:val="32"/>
        </w:rPr>
        <w:t xml:space="preserve">: </w:t>
      </w:r>
      <w:r>
        <w:rPr>
          <w:rStyle w:val="21"/>
          <w:rFonts w:hint="eastAsia" w:ascii="仿宋_GB2312" w:hAnsi="仿宋_GB2312" w:eastAsia="仿宋_GB2312" w:cs="仿宋_GB2312"/>
          <w:b w:val="0"/>
          <w:color w:val="000000"/>
          <w:sz w:val="32"/>
          <w:szCs w:val="32"/>
        </w:rPr>
        <w:t>指除上述项目以外其他用于农业方面的支出。</w:t>
      </w:r>
    </w:p>
    <w:p>
      <w:pPr>
        <w:spacing w:line="576" w:lineRule="atLeast"/>
        <w:ind w:firstLine="640" w:firstLineChars="200"/>
        <w:rPr>
          <w:rStyle w:val="21"/>
          <w:rFonts w:ascii="仿宋_GB2312" w:hAnsi="仿宋_GB2312" w:eastAsia="仿宋_GB2312"/>
          <w:b w:val="0"/>
          <w:color w:val="000000"/>
          <w:sz w:val="32"/>
          <w:szCs w:val="32"/>
        </w:rPr>
      </w:pPr>
      <w:r>
        <w:rPr>
          <w:rStyle w:val="21"/>
          <w:rFonts w:hint="eastAsia" w:ascii="仿宋_GB2312" w:hAnsi="仿宋_GB2312" w:eastAsia="仿宋_GB2312" w:cs="仿宋_GB2312"/>
          <w:b w:val="0"/>
          <w:color w:val="000000"/>
          <w:sz w:val="32"/>
          <w:szCs w:val="32"/>
        </w:rPr>
        <w:t>25</w:t>
      </w:r>
      <w:r>
        <w:rPr>
          <w:rStyle w:val="21"/>
          <w:rFonts w:ascii="仿宋_GB2312" w:hAnsi="仿宋_GB2312" w:eastAsia="仿宋_GB2312" w:cs="仿宋_GB2312"/>
          <w:b w:val="0"/>
          <w:color w:val="000000"/>
          <w:sz w:val="32"/>
          <w:szCs w:val="32"/>
        </w:rPr>
        <w:t>.</w:t>
      </w:r>
      <w:r>
        <w:rPr>
          <w:rStyle w:val="21"/>
          <w:rFonts w:hint="eastAsia" w:ascii="仿宋_GB2312" w:hAnsi="仿宋_GB2312" w:eastAsia="仿宋_GB2312" w:cs="仿宋_GB2312"/>
          <w:b w:val="0"/>
          <w:color w:val="000000"/>
          <w:sz w:val="32"/>
          <w:szCs w:val="32"/>
        </w:rPr>
        <w:t>农林水支出（类）扶贫（款）农村基础设施建设（项）</w:t>
      </w:r>
      <w:r>
        <w:rPr>
          <w:rStyle w:val="21"/>
          <w:rFonts w:ascii="仿宋_GB2312" w:hAnsi="仿宋_GB2312" w:eastAsia="仿宋_GB2312" w:cs="仿宋_GB2312"/>
          <w:b w:val="0"/>
          <w:color w:val="000000"/>
          <w:sz w:val="32"/>
          <w:szCs w:val="32"/>
        </w:rPr>
        <w:t xml:space="preserve">: </w:t>
      </w:r>
      <w:r>
        <w:rPr>
          <w:rStyle w:val="21"/>
          <w:rFonts w:hint="eastAsia" w:ascii="仿宋_GB2312" w:hAnsi="仿宋_GB2312" w:eastAsia="仿宋_GB2312" w:cs="仿宋_GB2312"/>
          <w:b w:val="0"/>
          <w:color w:val="000000"/>
          <w:sz w:val="32"/>
          <w:szCs w:val="32"/>
        </w:rPr>
        <w:t>指用于农村贫困地区镇村道路、住房、基本农田、水利设施、</w:t>
      </w:r>
      <w:r>
        <w:rPr>
          <w:rStyle w:val="21"/>
          <w:rFonts w:hint="default" w:ascii="仿宋_GB2312" w:hAnsi="仿宋_GB2312" w:eastAsia="仿宋_GB2312" w:cs="仿宋_GB2312"/>
          <w:b w:val="0"/>
          <w:color w:val="000000"/>
          <w:sz w:val="32"/>
          <w:szCs w:val="32"/>
        </w:rPr>
        <w:t>人畜饮水</w:t>
      </w:r>
      <w:r>
        <w:rPr>
          <w:rStyle w:val="21"/>
          <w:rFonts w:hint="eastAsia" w:ascii="仿宋_GB2312" w:hAnsi="仿宋_GB2312" w:eastAsia="仿宋_GB2312" w:cs="仿宋_GB2312"/>
          <w:b w:val="0"/>
          <w:color w:val="000000"/>
          <w:sz w:val="32"/>
          <w:szCs w:val="32"/>
        </w:rPr>
        <w:t>、生态环境保护等生产生活条件改善方面的支出。</w:t>
      </w:r>
    </w:p>
    <w:p>
      <w:pPr>
        <w:spacing w:line="576" w:lineRule="atLeast"/>
        <w:ind w:firstLine="640" w:firstLineChars="200"/>
        <w:rPr>
          <w:rStyle w:val="21"/>
          <w:rFonts w:ascii="仿宋_GB2312" w:hAnsi="仿宋_GB2312" w:eastAsia="仿宋_GB2312"/>
          <w:b w:val="0"/>
          <w:color w:val="000000"/>
          <w:sz w:val="32"/>
          <w:szCs w:val="32"/>
        </w:rPr>
      </w:pPr>
      <w:r>
        <w:rPr>
          <w:rStyle w:val="21"/>
          <w:rFonts w:hint="eastAsia" w:ascii="仿宋_GB2312" w:hAnsi="仿宋_GB2312" w:eastAsia="仿宋_GB2312" w:cs="仿宋_GB2312"/>
          <w:b w:val="0"/>
          <w:color w:val="000000"/>
          <w:sz w:val="32"/>
          <w:szCs w:val="32"/>
        </w:rPr>
        <w:t>26</w:t>
      </w:r>
      <w:r>
        <w:rPr>
          <w:rStyle w:val="21"/>
          <w:rFonts w:ascii="仿宋_GB2312" w:hAnsi="仿宋_GB2312" w:eastAsia="仿宋_GB2312" w:cs="仿宋_GB2312"/>
          <w:b w:val="0"/>
          <w:color w:val="000000"/>
          <w:sz w:val="32"/>
          <w:szCs w:val="32"/>
        </w:rPr>
        <w:t>.</w:t>
      </w:r>
      <w:r>
        <w:rPr>
          <w:rStyle w:val="21"/>
          <w:rFonts w:hint="eastAsia" w:ascii="仿宋_GB2312" w:hAnsi="仿宋_GB2312" w:eastAsia="仿宋_GB2312" w:cs="仿宋_GB2312"/>
          <w:b w:val="0"/>
          <w:color w:val="000000"/>
          <w:sz w:val="32"/>
          <w:szCs w:val="32"/>
        </w:rPr>
        <w:t>农林水支出（类）扶贫（款）其他扶贫支出（项）</w:t>
      </w:r>
      <w:r>
        <w:rPr>
          <w:rStyle w:val="21"/>
          <w:rFonts w:ascii="仿宋_GB2312" w:hAnsi="仿宋_GB2312" w:eastAsia="仿宋_GB2312" w:cs="仿宋_GB2312"/>
          <w:b w:val="0"/>
          <w:color w:val="000000"/>
          <w:sz w:val="32"/>
          <w:szCs w:val="32"/>
        </w:rPr>
        <w:t xml:space="preserve">: </w:t>
      </w:r>
      <w:r>
        <w:rPr>
          <w:rStyle w:val="21"/>
          <w:rFonts w:hint="eastAsia" w:ascii="仿宋_GB2312" w:hAnsi="仿宋_GB2312" w:eastAsia="仿宋_GB2312" w:cs="仿宋_GB2312"/>
          <w:b w:val="0"/>
          <w:color w:val="000000"/>
          <w:sz w:val="32"/>
          <w:szCs w:val="32"/>
        </w:rPr>
        <w:t>指农业综合开发部门的其他支出。</w:t>
      </w:r>
    </w:p>
    <w:p>
      <w:pPr>
        <w:spacing w:line="576" w:lineRule="atLeast"/>
        <w:ind w:firstLine="640" w:firstLineChars="200"/>
        <w:rPr>
          <w:rStyle w:val="21"/>
          <w:rFonts w:ascii="仿宋_GB2312" w:hAnsi="仿宋_GB2312" w:eastAsia="仿宋_GB2312"/>
          <w:b w:val="0"/>
          <w:color w:val="000000"/>
          <w:sz w:val="32"/>
          <w:szCs w:val="32"/>
        </w:rPr>
      </w:pPr>
      <w:r>
        <w:rPr>
          <w:rStyle w:val="21"/>
          <w:rFonts w:hint="eastAsia" w:ascii="仿宋_GB2312" w:hAnsi="仿宋_GB2312" w:eastAsia="仿宋_GB2312" w:cs="仿宋_GB2312"/>
          <w:b w:val="0"/>
          <w:color w:val="000000"/>
          <w:sz w:val="32"/>
          <w:szCs w:val="32"/>
        </w:rPr>
        <w:t>27</w:t>
      </w:r>
      <w:r>
        <w:rPr>
          <w:rStyle w:val="21"/>
          <w:rFonts w:ascii="仿宋_GB2312" w:hAnsi="仿宋_GB2312" w:eastAsia="仿宋_GB2312" w:cs="仿宋_GB2312"/>
          <w:b w:val="0"/>
          <w:color w:val="000000"/>
          <w:sz w:val="32"/>
          <w:szCs w:val="32"/>
        </w:rPr>
        <w:t>.</w:t>
      </w:r>
      <w:r>
        <w:rPr>
          <w:rStyle w:val="21"/>
          <w:rFonts w:hint="eastAsia" w:ascii="仿宋_GB2312" w:hAnsi="仿宋_GB2312" w:eastAsia="仿宋_GB2312" w:cs="仿宋_GB2312"/>
          <w:b w:val="0"/>
          <w:color w:val="000000"/>
          <w:sz w:val="32"/>
          <w:szCs w:val="32"/>
        </w:rPr>
        <w:t>农林水支出（类）农村综合改革（款）对村委会和村党支部的补助（项）</w:t>
      </w:r>
      <w:r>
        <w:rPr>
          <w:rStyle w:val="21"/>
          <w:rFonts w:ascii="仿宋_GB2312" w:hAnsi="仿宋_GB2312" w:eastAsia="仿宋_GB2312" w:cs="仿宋_GB2312"/>
          <w:b w:val="0"/>
          <w:color w:val="000000"/>
          <w:sz w:val="32"/>
          <w:szCs w:val="32"/>
        </w:rPr>
        <w:t xml:space="preserve">: </w:t>
      </w:r>
      <w:r>
        <w:rPr>
          <w:rStyle w:val="21"/>
          <w:rFonts w:hint="eastAsia" w:ascii="仿宋_GB2312" w:hAnsi="仿宋_GB2312" w:eastAsia="仿宋_GB2312" w:cs="仿宋_GB2312"/>
          <w:b w:val="0"/>
          <w:color w:val="000000"/>
          <w:sz w:val="32"/>
          <w:szCs w:val="32"/>
        </w:rPr>
        <w:t>指对村民委员会和对村党支部的补助支出，以及支持建立县级基本财力保障机制安排的村级组织运转奖补资金。</w:t>
      </w:r>
    </w:p>
    <w:p>
      <w:pPr>
        <w:spacing w:line="576" w:lineRule="atLeast"/>
        <w:ind w:firstLine="640" w:firstLineChars="200"/>
        <w:rPr>
          <w:rStyle w:val="21"/>
          <w:rFonts w:ascii="仿宋_GB2312" w:hAnsi="仿宋_GB2312" w:eastAsia="仿宋_GB2312"/>
          <w:b w:val="0"/>
          <w:color w:val="000000"/>
          <w:sz w:val="32"/>
          <w:szCs w:val="32"/>
        </w:rPr>
      </w:pPr>
      <w:r>
        <w:rPr>
          <w:rStyle w:val="21"/>
          <w:rFonts w:hint="eastAsia" w:ascii="仿宋_GB2312" w:hAnsi="仿宋_GB2312" w:eastAsia="仿宋_GB2312" w:cs="仿宋_GB2312"/>
          <w:b w:val="0"/>
          <w:color w:val="000000"/>
          <w:sz w:val="32"/>
          <w:szCs w:val="32"/>
        </w:rPr>
        <w:t>28</w:t>
      </w:r>
      <w:r>
        <w:rPr>
          <w:rStyle w:val="21"/>
          <w:rFonts w:ascii="仿宋_GB2312" w:hAnsi="仿宋_GB2312" w:eastAsia="仿宋_GB2312" w:cs="仿宋_GB2312"/>
          <w:b w:val="0"/>
          <w:color w:val="000000"/>
          <w:sz w:val="32"/>
          <w:szCs w:val="32"/>
        </w:rPr>
        <w:t>.</w:t>
      </w:r>
      <w:r>
        <w:rPr>
          <w:rStyle w:val="21"/>
          <w:rFonts w:hint="eastAsia" w:ascii="仿宋_GB2312" w:hAnsi="仿宋_GB2312" w:eastAsia="仿宋_GB2312" w:cs="仿宋_GB2312"/>
          <w:b w:val="0"/>
          <w:color w:val="000000"/>
          <w:sz w:val="32"/>
          <w:szCs w:val="32"/>
        </w:rPr>
        <w:t>农林水支出（类）其他农林水支出（款）其他农林水支出（项）</w:t>
      </w:r>
      <w:r>
        <w:rPr>
          <w:rStyle w:val="21"/>
          <w:rFonts w:ascii="仿宋_GB2312" w:hAnsi="仿宋_GB2312" w:eastAsia="仿宋_GB2312" w:cs="仿宋_GB2312"/>
          <w:b w:val="0"/>
          <w:color w:val="000000"/>
          <w:sz w:val="32"/>
          <w:szCs w:val="32"/>
        </w:rPr>
        <w:t xml:space="preserve">: </w:t>
      </w:r>
      <w:r>
        <w:rPr>
          <w:rStyle w:val="21"/>
          <w:rFonts w:hint="eastAsia" w:ascii="仿宋_GB2312" w:hAnsi="仿宋_GB2312" w:eastAsia="仿宋_GB2312" w:cs="仿宋_GB2312"/>
          <w:b w:val="0"/>
          <w:color w:val="000000"/>
          <w:sz w:val="32"/>
          <w:szCs w:val="32"/>
        </w:rPr>
        <w:t>指除上述项目以外其他用于农林水方面的支出。</w:t>
      </w:r>
    </w:p>
    <w:p>
      <w:pPr>
        <w:spacing w:line="576" w:lineRule="atLeast"/>
        <w:ind w:firstLine="640" w:firstLineChars="200"/>
        <w:rPr>
          <w:rFonts w:ascii="仿宋_GB2312" w:hAnsi="仿宋_GB2312" w:eastAsia="仿宋_GB2312"/>
          <w:color w:val="000000"/>
          <w:sz w:val="32"/>
          <w:szCs w:val="32"/>
        </w:rPr>
      </w:pPr>
      <w:r>
        <w:rPr>
          <w:rStyle w:val="21"/>
          <w:rFonts w:hint="eastAsia" w:ascii="仿宋_GB2312" w:hAnsi="仿宋_GB2312" w:eastAsia="仿宋_GB2312" w:cs="仿宋_GB2312"/>
          <w:b w:val="0"/>
          <w:color w:val="000000"/>
          <w:sz w:val="32"/>
          <w:szCs w:val="32"/>
        </w:rPr>
        <w:t>29</w:t>
      </w:r>
      <w:r>
        <w:rPr>
          <w:rStyle w:val="21"/>
          <w:rFonts w:ascii="仿宋_GB2312" w:hAnsi="仿宋_GB2312" w:eastAsia="仿宋_GB2312" w:cs="仿宋_GB2312"/>
          <w:b w:val="0"/>
          <w:color w:val="000000"/>
          <w:sz w:val="32"/>
          <w:szCs w:val="32"/>
        </w:rPr>
        <w:t>.</w:t>
      </w:r>
      <w:r>
        <w:rPr>
          <w:rStyle w:val="21"/>
          <w:rFonts w:hint="eastAsia" w:ascii="仿宋_GB2312" w:hAnsi="仿宋_GB2312" w:eastAsia="仿宋_GB2312" w:cs="仿宋_GB2312"/>
          <w:b w:val="0"/>
          <w:color w:val="000000"/>
          <w:sz w:val="32"/>
          <w:szCs w:val="32"/>
        </w:rPr>
        <w:t>住房保障支出（类）住房改革支出（款）住房公积金（项）</w:t>
      </w:r>
      <w:r>
        <w:rPr>
          <w:rStyle w:val="21"/>
          <w:rFonts w:ascii="仿宋_GB2312" w:hAnsi="仿宋_GB2312" w:eastAsia="仿宋_GB2312" w:cs="仿宋_GB2312"/>
          <w:b w:val="0"/>
          <w:color w:val="000000"/>
          <w:sz w:val="32"/>
          <w:szCs w:val="32"/>
        </w:rPr>
        <w:t xml:space="preserve">: </w:t>
      </w:r>
      <w:r>
        <w:rPr>
          <w:rStyle w:val="21"/>
          <w:rFonts w:hint="eastAsia" w:ascii="仿宋_GB2312" w:hAnsi="仿宋_GB2312" w:eastAsia="仿宋_GB2312" w:cs="仿宋_GB2312"/>
          <w:b w:val="0"/>
          <w:color w:val="000000"/>
          <w:sz w:val="32"/>
          <w:szCs w:val="32"/>
        </w:rPr>
        <w:t>指</w:t>
      </w:r>
      <w:r>
        <w:rPr>
          <w:rFonts w:hint="eastAsia" w:ascii="仿宋_GB2312" w:hAnsi="仿宋_GB2312" w:eastAsia="仿宋_GB2312" w:cs="仿宋_GB2312"/>
          <w:color w:val="000000"/>
          <w:kern w:val="0"/>
          <w:sz w:val="32"/>
          <w:szCs w:val="32"/>
        </w:rPr>
        <w:t>反映行政事业单位按规定为职工缴纳的住房公积金</w:t>
      </w:r>
      <w:r>
        <w:rPr>
          <w:rStyle w:val="21"/>
          <w:rFonts w:hint="eastAsia" w:ascii="仿宋_GB2312" w:hAnsi="仿宋_GB2312" w:eastAsia="仿宋_GB2312" w:cs="仿宋_GB2312"/>
          <w:b w:val="0"/>
          <w:color w:val="000000"/>
          <w:sz w:val="32"/>
          <w:szCs w:val="32"/>
        </w:rPr>
        <w:t>。</w:t>
      </w:r>
    </w:p>
    <w:p>
      <w:pPr>
        <w:spacing w:line="576" w:lineRule="atLeas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rPr>
        <w:t>30</w:t>
      </w:r>
      <w:r>
        <w:rPr>
          <w:rFonts w:ascii="仿宋_GB2312" w:eastAsia="仿宋_GB2312" w:cs="仿宋_GB2312"/>
          <w:color w:val="000000"/>
          <w:sz w:val="32"/>
          <w:szCs w:val="32"/>
        </w:rPr>
        <w:t>.</w:t>
      </w:r>
      <w:r>
        <w:rPr>
          <w:rFonts w:hint="eastAsia" w:ascii="仿宋_GB2312" w:eastAsia="仿宋_GB2312" w:cs="仿宋_GB2312"/>
          <w:color w:val="000000"/>
          <w:sz w:val="32"/>
          <w:szCs w:val="32"/>
        </w:rPr>
        <w:t>基本支出：指为保障机构正常运转、完成日常工作任务而发生的人员支出和公用支出。</w:t>
      </w:r>
    </w:p>
    <w:p>
      <w:pPr>
        <w:spacing w:line="576" w:lineRule="atLeas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rPr>
        <w:t>31</w:t>
      </w:r>
      <w:r>
        <w:rPr>
          <w:rFonts w:ascii="仿宋_GB2312" w:eastAsia="仿宋_GB2312" w:cs="仿宋_GB2312"/>
          <w:color w:val="000000"/>
          <w:sz w:val="32"/>
          <w:szCs w:val="32"/>
        </w:rPr>
        <w:t>.</w:t>
      </w:r>
      <w:r>
        <w:rPr>
          <w:rFonts w:hint="eastAsia" w:ascii="仿宋_GB2312" w:eastAsia="仿宋_GB2312" w:cs="仿宋_GB2312"/>
          <w:color w:val="000000"/>
          <w:sz w:val="32"/>
          <w:szCs w:val="32"/>
        </w:rPr>
        <w:t>项目支出：指在基本支出之外为完成特定行政任务和事业发展目标所发生的支出。</w:t>
      </w:r>
    </w:p>
    <w:p>
      <w:pPr>
        <w:spacing w:line="576" w:lineRule="atLeas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rPr>
        <w:t>32</w:t>
      </w:r>
      <w:r>
        <w:rPr>
          <w:rFonts w:ascii="仿宋_GB2312" w:eastAsia="仿宋_GB2312" w:cs="仿宋_GB2312"/>
          <w:color w:val="000000"/>
          <w:sz w:val="32"/>
          <w:szCs w:val="32"/>
        </w:rPr>
        <w:t>.</w:t>
      </w:r>
      <w:r>
        <w:rPr>
          <w:rFonts w:hint="eastAsia" w:ascii="仿宋_GB2312" w:eastAsia="仿宋_GB2312" w:cs="仿宋_GB2312"/>
          <w:color w:val="000000"/>
          <w:sz w:val="32"/>
          <w:szCs w:val="32"/>
        </w:rPr>
        <w:t>经营支出：指事业单位在专业业务活动及其辅助活动之外开展非独立核算经营活动发生的支出。</w:t>
      </w:r>
    </w:p>
    <w:p>
      <w:pPr>
        <w:pStyle w:val="25"/>
        <w:spacing w:line="576" w:lineRule="atLeast"/>
        <w:ind w:firstLine="640" w:firstLineChars="200"/>
        <w:jc w:val="both"/>
        <w:rPr>
          <w:rFonts w:ascii="仿宋_GB2312" w:eastAsia="仿宋_GB2312" w:cs="Times New Roman"/>
          <w:sz w:val="32"/>
          <w:szCs w:val="32"/>
        </w:rPr>
      </w:pPr>
      <w:r>
        <w:rPr>
          <w:rFonts w:hint="eastAsia" w:ascii="仿宋_GB2312" w:eastAsia="仿宋_GB2312" w:cs="仿宋_GB2312"/>
          <w:sz w:val="32"/>
          <w:szCs w:val="32"/>
        </w:rPr>
        <w:t>33</w:t>
      </w:r>
      <w:r>
        <w:rPr>
          <w:rFonts w:ascii="仿宋_GB2312" w:eastAsia="仿宋_GB2312" w:cs="仿宋_GB2312"/>
          <w:sz w:val="32"/>
          <w:szCs w:val="32"/>
        </w:rPr>
        <w:t>.</w:t>
      </w:r>
      <w:r>
        <w:rPr>
          <w:rFonts w:hint="eastAsia" w:ascii="仿宋_GB2312" w:eastAsia="仿宋_GB2312" w:cs="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
        <w:jc w:val="center"/>
        <w:rPr>
          <w:rFonts w:ascii="仿宋_GB2312" w:eastAsia="仿宋_GB2312"/>
          <w:sz w:val="32"/>
          <w:szCs w:val="32"/>
        </w:rPr>
      </w:pPr>
      <w:bookmarkStart w:id="65" w:name="_Toc23073"/>
      <w:r>
        <w:rPr>
          <w:rFonts w:hint="eastAsia" w:ascii="黑体" w:eastAsia="黑体" w:cs="黑体"/>
        </w:rPr>
        <w:t>第四部分 附件</w:t>
      </w:r>
      <w:bookmarkEnd w:id="64"/>
      <w:bookmarkEnd w:id="65"/>
    </w:p>
    <w:p>
      <w:pPr>
        <w:spacing w:line="578" w:lineRule="exact"/>
        <w:jc w:val="left"/>
        <w:rPr>
          <w:rFonts w:eastAsia="黑体"/>
        </w:rPr>
      </w:pPr>
      <w:r>
        <w:rPr>
          <w:rFonts w:eastAsia="黑体"/>
        </w:rPr>
        <w:t>附表</w:t>
      </w:r>
    </w:p>
    <w:p>
      <w:pPr>
        <w:widowControl/>
        <w:spacing w:line="600" w:lineRule="exact"/>
        <w:jc w:val="center"/>
        <w:textAlignment w:val="center"/>
        <w:rPr>
          <w:rFonts w:eastAsia="方正小标宋简体"/>
          <w:kern w:val="0"/>
          <w:sz w:val="44"/>
          <w:szCs w:val="44"/>
        </w:rPr>
      </w:pPr>
      <w:r>
        <w:rPr>
          <w:rFonts w:hint="eastAsia" w:eastAsia="方正小标宋简体"/>
          <w:kern w:val="0"/>
          <w:sz w:val="44"/>
          <w:szCs w:val="44"/>
        </w:rPr>
        <w:t>部门预算绩效自评打分表</w:t>
      </w:r>
    </w:p>
    <w:tbl>
      <w:tblPr>
        <w:tblStyle w:val="19"/>
        <w:tblW w:w="10246" w:type="dxa"/>
        <w:jc w:val="center"/>
        <w:tblLayout w:type="fixed"/>
        <w:tblCellMar>
          <w:top w:w="0" w:type="dxa"/>
          <w:left w:w="108" w:type="dxa"/>
          <w:bottom w:w="0" w:type="dxa"/>
          <w:right w:w="108" w:type="dxa"/>
        </w:tblCellMar>
      </w:tblPr>
      <w:tblGrid>
        <w:gridCol w:w="669"/>
        <w:gridCol w:w="1462"/>
        <w:gridCol w:w="1665"/>
        <w:gridCol w:w="720"/>
        <w:gridCol w:w="4734"/>
        <w:gridCol w:w="576"/>
        <w:gridCol w:w="420"/>
      </w:tblGrid>
      <w:tr>
        <w:tblPrEx>
          <w:tblCellMar>
            <w:top w:w="0" w:type="dxa"/>
            <w:left w:w="108" w:type="dxa"/>
            <w:bottom w:w="0" w:type="dxa"/>
            <w:right w:w="108" w:type="dxa"/>
          </w:tblCellMar>
        </w:tblPrEx>
        <w:trPr>
          <w:trHeight w:val="23" w:hRule="atLeast"/>
          <w:jc w:val="center"/>
        </w:trPr>
        <w:tc>
          <w:tcPr>
            <w:tcW w:w="4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黑体" w:hAnsi="宋体" w:eastAsia="黑体" w:cs="黑体"/>
                <w:color w:val="000000"/>
                <w:szCs w:val="21"/>
              </w:rPr>
            </w:pPr>
            <w:r>
              <w:rPr>
                <w:rFonts w:hint="eastAsia" w:ascii="黑体" w:hAnsi="宋体" w:eastAsia="黑体" w:cs="黑体"/>
                <w:color w:val="000000"/>
                <w:kern w:val="0"/>
                <w:szCs w:val="21"/>
              </w:rPr>
              <w:t>绩效评价指标指标分值</w:t>
            </w:r>
          </w:p>
        </w:tc>
        <w:tc>
          <w:tcPr>
            <w:tcW w:w="47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黑体" w:hAnsi="宋体" w:eastAsia="黑体" w:cs="黑体"/>
                <w:color w:val="000000"/>
                <w:szCs w:val="21"/>
              </w:rPr>
            </w:pPr>
            <w:r>
              <w:rPr>
                <w:rFonts w:hint="eastAsia" w:ascii="黑体" w:hAnsi="宋体" w:eastAsia="黑体" w:cs="黑体"/>
                <w:color w:val="000000"/>
                <w:kern w:val="0"/>
                <w:szCs w:val="21"/>
              </w:rPr>
              <w:t>指标解释</w:t>
            </w:r>
          </w:p>
        </w:tc>
        <w:tc>
          <w:tcPr>
            <w:tcW w:w="576" w:type="dxa"/>
            <w:vMerge w:val="restart"/>
            <w:tcBorders>
              <w:top w:val="single" w:color="000000" w:sz="4" w:space="0"/>
              <w:left w:val="single" w:color="000000" w:sz="4" w:space="0"/>
              <w:right w:val="single" w:color="000000" w:sz="4" w:space="0"/>
            </w:tcBorders>
            <w:shd w:val="clear" w:color="auto" w:fill="auto"/>
            <w:vAlign w:val="center"/>
          </w:tcPr>
          <w:p>
            <w:pPr>
              <w:widowControl/>
              <w:spacing w:line="240" w:lineRule="exact"/>
              <w:jc w:val="center"/>
              <w:textAlignment w:val="center"/>
              <w:rPr>
                <w:rFonts w:ascii="黑体" w:hAnsi="宋体" w:eastAsia="黑体" w:cs="黑体"/>
                <w:color w:val="000000"/>
                <w:kern w:val="0"/>
                <w:szCs w:val="21"/>
              </w:rPr>
            </w:pPr>
            <w:r>
              <w:rPr>
                <w:rFonts w:hint="eastAsia" w:ascii="黑体" w:hAnsi="宋体" w:eastAsia="黑体" w:cs="黑体"/>
                <w:color w:val="000000"/>
                <w:kern w:val="0"/>
                <w:szCs w:val="21"/>
              </w:rPr>
              <w:t>自评得分</w:t>
            </w:r>
          </w:p>
        </w:tc>
        <w:tc>
          <w:tcPr>
            <w:tcW w:w="420" w:type="dxa"/>
            <w:vMerge w:val="restart"/>
            <w:tcBorders>
              <w:top w:val="single" w:color="000000" w:sz="4" w:space="0"/>
              <w:left w:val="single" w:color="000000" w:sz="4" w:space="0"/>
              <w:right w:val="single" w:color="000000" w:sz="4" w:space="0"/>
            </w:tcBorders>
            <w:shd w:val="clear" w:color="auto" w:fill="auto"/>
            <w:vAlign w:val="center"/>
          </w:tcPr>
          <w:p>
            <w:pPr>
              <w:widowControl/>
              <w:spacing w:line="240" w:lineRule="exact"/>
              <w:jc w:val="center"/>
              <w:textAlignment w:val="center"/>
              <w:rPr>
                <w:rFonts w:ascii="黑体" w:hAnsi="宋体" w:eastAsia="黑体" w:cs="黑体"/>
                <w:color w:val="000000"/>
                <w:kern w:val="0"/>
                <w:szCs w:val="21"/>
              </w:rPr>
            </w:pPr>
            <w:r>
              <w:rPr>
                <w:rFonts w:hint="eastAsia" w:ascii="黑体" w:hAnsi="宋体" w:eastAsia="黑体" w:cs="黑体"/>
                <w:color w:val="000000"/>
                <w:kern w:val="0"/>
                <w:szCs w:val="21"/>
              </w:rPr>
              <w:t>备注</w:t>
            </w:r>
          </w:p>
        </w:tc>
      </w:tr>
      <w:tr>
        <w:tblPrEx>
          <w:tblCellMar>
            <w:top w:w="0" w:type="dxa"/>
            <w:left w:w="108" w:type="dxa"/>
            <w:bottom w:w="0" w:type="dxa"/>
            <w:right w:w="108" w:type="dxa"/>
          </w:tblCellMar>
        </w:tblPrEx>
        <w:trPr>
          <w:trHeight w:val="23" w:hRule="atLeast"/>
          <w:jc w:val="center"/>
        </w:trPr>
        <w:tc>
          <w:tcPr>
            <w:tcW w:w="669" w:type="dxa"/>
            <w:tcBorders>
              <w:top w:val="single" w:color="000000" w:sz="4" w:space="0"/>
              <w:left w:val="single" w:color="000000" w:sz="4" w:space="0"/>
              <w:bottom w:val="single" w:color="000000" w:sz="4" w:space="0"/>
              <w:right w:val="nil"/>
            </w:tcBorders>
            <w:shd w:val="clear" w:color="auto" w:fill="auto"/>
            <w:vAlign w:val="center"/>
          </w:tcPr>
          <w:p>
            <w:pPr>
              <w:widowControl/>
              <w:spacing w:line="240" w:lineRule="exact"/>
              <w:jc w:val="center"/>
              <w:textAlignment w:val="center"/>
              <w:rPr>
                <w:rFonts w:ascii="黑体" w:hAnsi="宋体" w:eastAsia="黑体" w:cs="黑体"/>
                <w:color w:val="000000"/>
                <w:szCs w:val="21"/>
              </w:rPr>
            </w:pPr>
            <w:r>
              <w:rPr>
                <w:rFonts w:hint="eastAsia" w:ascii="黑体" w:hAnsi="宋体" w:eastAsia="黑体" w:cs="黑体"/>
                <w:color w:val="000000"/>
                <w:kern w:val="0"/>
                <w:szCs w:val="21"/>
              </w:rPr>
              <w:t>一级指标</w:t>
            </w:r>
          </w:p>
        </w:tc>
        <w:tc>
          <w:tcPr>
            <w:tcW w:w="14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黑体" w:hAnsi="宋体" w:eastAsia="黑体" w:cs="黑体"/>
                <w:color w:val="000000"/>
                <w:szCs w:val="21"/>
              </w:rPr>
            </w:pPr>
            <w:r>
              <w:rPr>
                <w:rFonts w:hint="eastAsia" w:ascii="黑体" w:hAnsi="宋体" w:eastAsia="黑体" w:cs="黑体"/>
                <w:color w:val="000000"/>
                <w:kern w:val="0"/>
                <w:szCs w:val="21"/>
              </w:rPr>
              <w:t>二级指标</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黑体" w:hAnsi="宋体" w:eastAsia="黑体" w:cs="黑体"/>
                <w:color w:val="000000"/>
                <w:szCs w:val="21"/>
              </w:rPr>
            </w:pPr>
            <w:r>
              <w:rPr>
                <w:rFonts w:hint="eastAsia" w:ascii="黑体" w:hAnsi="宋体" w:eastAsia="黑体" w:cs="黑体"/>
                <w:color w:val="000000"/>
                <w:kern w:val="0"/>
                <w:szCs w:val="21"/>
              </w:rPr>
              <w:t>三级指标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黑体" w:hAnsi="宋体" w:eastAsia="黑体" w:cs="黑体"/>
                <w:color w:val="000000"/>
                <w:szCs w:val="21"/>
              </w:rPr>
            </w:pPr>
            <w:r>
              <w:rPr>
                <w:rFonts w:hint="eastAsia" w:ascii="黑体" w:hAnsi="宋体" w:eastAsia="黑体" w:cs="黑体"/>
                <w:color w:val="000000"/>
                <w:kern w:val="0"/>
                <w:szCs w:val="21"/>
              </w:rPr>
              <w:t>指标</w:t>
            </w:r>
            <w:r>
              <w:rPr>
                <w:rFonts w:hint="eastAsia" w:ascii="黑体" w:hAnsi="宋体" w:eastAsia="黑体" w:cs="黑体"/>
                <w:color w:val="000000"/>
                <w:kern w:val="0"/>
                <w:szCs w:val="21"/>
              </w:rPr>
              <w:br w:type="textWrapping"/>
            </w:r>
            <w:r>
              <w:rPr>
                <w:rFonts w:hint="eastAsia" w:ascii="黑体" w:hAnsi="宋体" w:eastAsia="黑体" w:cs="黑体"/>
                <w:color w:val="000000"/>
                <w:kern w:val="0"/>
                <w:szCs w:val="21"/>
              </w:rPr>
              <w:t>分值</w:t>
            </w:r>
          </w:p>
        </w:tc>
        <w:tc>
          <w:tcPr>
            <w:tcW w:w="47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黑体" w:hAnsi="宋体" w:eastAsia="黑体" w:cs="黑体"/>
                <w:color w:val="000000"/>
                <w:szCs w:val="21"/>
              </w:rPr>
            </w:pPr>
          </w:p>
        </w:tc>
        <w:tc>
          <w:tcPr>
            <w:tcW w:w="576"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黑体" w:hAnsi="宋体" w:eastAsia="黑体" w:cs="黑体"/>
                <w:color w:val="000000"/>
                <w:szCs w:val="21"/>
              </w:rPr>
            </w:pPr>
          </w:p>
        </w:tc>
        <w:tc>
          <w:tcPr>
            <w:tcW w:w="420"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黑体" w:hAnsi="宋体" w:eastAsia="黑体" w:cs="黑体"/>
                <w:color w:val="000000"/>
                <w:szCs w:val="21"/>
              </w:rPr>
            </w:pPr>
          </w:p>
        </w:tc>
      </w:tr>
      <w:tr>
        <w:tblPrEx>
          <w:tblCellMar>
            <w:top w:w="0" w:type="dxa"/>
            <w:left w:w="108" w:type="dxa"/>
            <w:bottom w:w="0" w:type="dxa"/>
            <w:right w:w="108" w:type="dxa"/>
          </w:tblCellMar>
        </w:tblPrEx>
        <w:trPr>
          <w:trHeight w:val="23" w:hRule="atLeast"/>
          <w:jc w:val="center"/>
        </w:trPr>
        <w:tc>
          <w:tcPr>
            <w:tcW w:w="6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b/>
                <w:color w:val="000000"/>
                <w:szCs w:val="21"/>
              </w:rPr>
            </w:pPr>
            <w:r>
              <w:rPr>
                <w:rFonts w:hint="eastAsia" w:ascii="宋体" w:hAnsi="宋体" w:cs="宋体"/>
                <w:b/>
                <w:color w:val="000000"/>
                <w:kern w:val="0"/>
                <w:szCs w:val="21"/>
              </w:rPr>
              <w:t>总体绩效</w:t>
            </w:r>
            <w:r>
              <w:rPr>
                <w:rFonts w:hint="eastAsia" w:ascii="宋体" w:hAnsi="宋体" w:cs="宋体"/>
                <w:b/>
                <w:color w:val="000000"/>
                <w:kern w:val="0"/>
                <w:szCs w:val="21"/>
              </w:rPr>
              <w:br w:type="textWrapping"/>
            </w:r>
            <w:r>
              <w:rPr>
                <w:rFonts w:hint="eastAsia" w:ascii="宋体" w:hAnsi="宋体" w:cs="宋体"/>
                <w:b/>
                <w:color w:val="000000"/>
                <w:kern w:val="0"/>
                <w:szCs w:val="21"/>
              </w:rPr>
              <w:t>（65分）</w:t>
            </w:r>
          </w:p>
        </w:tc>
        <w:tc>
          <w:tcPr>
            <w:tcW w:w="14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b/>
                <w:color w:val="000000"/>
                <w:szCs w:val="21"/>
              </w:rPr>
            </w:pPr>
            <w:r>
              <w:rPr>
                <w:rFonts w:hint="eastAsia" w:ascii="宋体" w:hAnsi="宋体" w:cs="宋体"/>
                <w:b/>
                <w:color w:val="000000"/>
                <w:kern w:val="0"/>
                <w:szCs w:val="21"/>
              </w:rPr>
              <w:t>履职效能</w:t>
            </w:r>
            <w:r>
              <w:rPr>
                <w:rFonts w:hint="eastAsia" w:ascii="宋体" w:hAnsi="宋体" w:cs="宋体"/>
                <w:b/>
                <w:color w:val="000000"/>
                <w:kern w:val="0"/>
                <w:szCs w:val="21"/>
              </w:rPr>
              <w:br w:type="textWrapping"/>
            </w:r>
            <w:r>
              <w:rPr>
                <w:rFonts w:hint="eastAsia" w:ascii="宋体" w:hAnsi="宋体" w:cs="宋体"/>
                <w:b/>
                <w:color w:val="000000"/>
                <w:kern w:val="0"/>
                <w:szCs w:val="21"/>
              </w:rPr>
              <w:t>（15分）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Cs w:val="21"/>
              </w:rPr>
            </w:pPr>
            <w:r>
              <w:rPr>
                <w:rFonts w:hint="eastAsia" w:ascii="宋体" w:hAnsi="宋体" w:cs="宋体"/>
                <w:color w:val="000000"/>
                <w:kern w:val="0"/>
                <w:szCs w:val="21"/>
              </w:rPr>
              <w:t>XX履职效果</w:t>
            </w:r>
          </w:p>
        </w:tc>
        <w:tc>
          <w:tcPr>
            <w:tcW w:w="720" w:type="dxa"/>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Cs w:val="21"/>
              </w:rPr>
            </w:pPr>
            <w:r>
              <w:rPr>
                <w:rFonts w:hint="eastAsia" w:ascii="宋体" w:hAnsi="宋体" w:cs="宋体"/>
                <w:color w:val="000000"/>
                <w:kern w:val="0"/>
                <w:szCs w:val="21"/>
              </w:rPr>
              <w:t>15</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szCs w:val="21"/>
              </w:rPr>
            </w:pPr>
            <w:r>
              <w:rPr>
                <w:rFonts w:hint="eastAsia" w:ascii="宋体" w:hAnsi="宋体" w:cs="宋体"/>
                <w:color w:val="000000"/>
                <w:kern w:val="0"/>
                <w:szCs w:val="21"/>
              </w:rPr>
              <w:t>部门整体绩效目标中选定3-5个核心职能目标，反映该项职能目标完成效果情况</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Cs w:val="21"/>
              </w:rPr>
            </w:pPr>
            <w:r>
              <w:rPr>
                <w:rFonts w:hint="eastAsia" w:ascii="宋体" w:hAnsi="宋体" w:cs="宋体"/>
                <w:color w:val="000000"/>
                <w:kern w:val="0"/>
                <w:szCs w:val="21"/>
              </w:rPr>
              <w:t>15</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Cs w:val="21"/>
              </w:rPr>
            </w:pPr>
          </w:p>
        </w:tc>
      </w:tr>
      <w:tr>
        <w:tblPrEx>
          <w:tblCellMar>
            <w:top w:w="0" w:type="dxa"/>
            <w:left w:w="108" w:type="dxa"/>
            <w:bottom w:w="0" w:type="dxa"/>
            <w:right w:w="108" w:type="dxa"/>
          </w:tblCellMar>
        </w:tblPrEx>
        <w:trPr>
          <w:trHeight w:val="23" w:hRule="atLeast"/>
          <w:jc w:val="center"/>
        </w:trPr>
        <w:tc>
          <w:tcPr>
            <w:tcW w:w="6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cs="宋体"/>
                <w:b/>
                <w:color w:val="000000"/>
                <w:szCs w:val="21"/>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b/>
                <w:color w:val="000000"/>
                <w:szCs w:val="21"/>
              </w:rPr>
            </w:pPr>
            <w:r>
              <w:rPr>
                <w:rFonts w:hint="eastAsia" w:ascii="宋体" w:hAnsi="宋体" w:cs="宋体"/>
                <w:b/>
                <w:color w:val="000000"/>
                <w:kern w:val="0"/>
                <w:szCs w:val="21"/>
              </w:rPr>
              <w:t>预算管理</w:t>
            </w:r>
            <w:r>
              <w:rPr>
                <w:rFonts w:hint="eastAsia" w:ascii="宋体" w:hAnsi="宋体" w:cs="宋体"/>
                <w:b/>
                <w:color w:val="000000"/>
                <w:kern w:val="0"/>
                <w:szCs w:val="21"/>
              </w:rPr>
              <w:br w:type="textWrapping"/>
            </w:r>
            <w:r>
              <w:rPr>
                <w:rFonts w:hint="eastAsia" w:ascii="宋体" w:hAnsi="宋体" w:cs="宋体"/>
                <w:b/>
                <w:color w:val="000000"/>
                <w:kern w:val="0"/>
                <w:szCs w:val="21"/>
              </w:rPr>
              <w:t>（25分）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Cs w:val="21"/>
              </w:rPr>
            </w:pPr>
            <w:r>
              <w:rPr>
                <w:rFonts w:hint="eastAsia" w:ascii="宋体" w:hAnsi="宋体" w:cs="宋体"/>
                <w:color w:val="000000"/>
                <w:kern w:val="0"/>
                <w:szCs w:val="21"/>
              </w:rPr>
              <w:t>预算编制质量</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Cs w:val="21"/>
              </w:rPr>
            </w:pPr>
            <w:r>
              <w:rPr>
                <w:rFonts w:hint="eastAsia" w:ascii="宋体" w:hAnsi="宋体" w:cs="宋体"/>
                <w:color w:val="000000"/>
                <w:kern w:val="0"/>
                <w:szCs w:val="21"/>
              </w:rPr>
              <w:t>8</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szCs w:val="21"/>
              </w:rPr>
            </w:pPr>
            <w:r>
              <w:rPr>
                <w:rFonts w:hint="eastAsia" w:ascii="宋体" w:hAnsi="宋体" w:cs="宋体"/>
                <w:color w:val="000000"/>
                <w:kern w:val="0"/>
                <w:szCs w:val="21"/>
              </w:rPr>
              <w:t>部门是否严格按要求编制年初部门预算，年初预算编制的科学性和准确性</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Cs w:val="21"/>
              </w:rPr>
            </w:pPr>
            <w:r>
              <w:rPr>
                <w:rFonts w:hint="eastAsia" w:ascii="宋体" w:hAnsi="宋体" w:cs="宋体"/>
                <w:color w:val="000000"/>
                <w:kern w:val="0"/>
                <w:szCs w:val="21"/>
              </w:rPr>
              <w:t>8</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Cs w:val="21"/>
              </w:rPr>
            </w:pPr>
          </w:p>
        </w:tc>
      </w:tr>
      <w:tr>
        <w:tblPrEx>
          <w:tblCellMar>
            <w:top w:w="0" w:type="dxa"/>
            <w:left w:w="108" w:type="dxa"/>
            <w:bottom w:w="0" w:type="dxa"/>
            <w:right w:w="108" w:type="dxa"/>
          </w:tblCellMar>
        </w:tblPrEx>
        <w:trPr>
          <w:trHeight w:val="23" w:hRule="atLeast"/>
          <w:jc w:val="center"/>
        </w:trPr>
        <w:tc>
          <w:tcPr>
            <w:tcW w:w="6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cs="宋体"/>
                <w:b/>
                <w:color w:val="000000"/>
                <w:szCs w:val="21"/>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cs="宋体"/>
                <w:b/>
                <w:color w:val="000000"/>
                <w:szCs w:val="21"/>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Cs w:val="21"/>
              </w:rPr>
            </w:pPr>
            <w:r>
              <w:rPr>
                <w:rFonts w:hint="eastAsia" w:ascii="宋体" w:hAnsi="宋体" w:cs="宋体"/>
                <w:color w:val="000000"/>
                <w:kern w:val="0"/>
                <w:szCs w:val="21"/>
              </w:rPr>
              <w:t>单位收入统筹</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Cs w:val="21"/>
              </w:rPr>
            </w:pPr>
            <w:r>
              <w:rPr>
                <w:rFonts w:hint="eastAsia" w:ascii="宋体" w:hAnsi="宋体" w:cs="宋体"/>
                <w:color w:val="000000"/>
                <w:kern w:val="0"/>
                <w:szCs w:val="21"/>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szCs w:val="21"/>
              </w:rPr>
            </w:pPr>
            <w:r>
              <w:rPr>
                <w:rFonts w:hint="eastAsia" w:ascii="宋体" w:hAnsi="宋体" w:cs="宋体"/>
                <w:color w:val="000000"/>
                <w:kern w:val="0"/>
                <w:szCs w:val="21"/>
              </w:rPr>
              <w:t>部门统筹自有收入程度</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Cs w:val="21"/>
              </w:rPr>
            </w:pPr>
            <w:r>
              <w:rPr>
                <w:rFonts w:hint="eastAsia" w:ascii="宋体" w:hAnsi="宋体" w:cs="宋体"/>
                <w:color w:val="000000"/>
                <w:kern w:val="0"/>
                <w:szCs w:val="21"/>
              </w:rPr>
              <w:t>4</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Cs w:val="21"/>
              </w:rPr>
            </w:pPr>
          </w:p>
        </w:tc>
      </w:tr>
      <w:tr>
        <w:tblPrEx>
          <w:tblCellMar>
            <w:top w:w="0" w:type="dxa"/>
            <w:left w:w="108" w:type="dxa"/>
            <w:bottom w:w="0" w:type="dxa"/>
            <w:right w:w="108" w:type="dxa"/>
          </w:tblCellMar>
        </w:tblPrEx>
        <w:trPr>
          <w:trHeight w:val="23" w:hRule="atLeast"/>
          <w:jc w:val="center"/>
        </w:trPr>
        <w:tc>
          <w:tcPr>
            <w:tcW w:w="6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cs="宋体"/>
                <w:b/>
                <w:color w:val="000000"/>
                <w:szCs w:val="21"/>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cs="宋体"/>
                <w:b/>
                <w:color w:val="000000"/>
                <w:szCs w:val="21"/>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Cs w:val="21"/>
              </w:rPr>
            </w:pPr>
            <w:r>
              <w:rPr>
                <w:rFonts w:hint="eastAsia" w:ascii="宋体" w:hAnsi="宋体" w:cs="宋体"/>
                <w:color w:val="000000"/>
                <w:kern w:val="0"/>
                <w:szCs w:val="21"/>
              </w:rPr>
              <w:t>支出执行进度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Cs w:val="21"/>
              </w:rPr>
            </w:pPr>
            <w:r>
              <w:rPr>
                <w:rFonts w:hint="eastAsia" w:ascii="宋体" w:hAnsi="宋体" w:cs="宋体"/>
                <w:color w:val="000000"/>
                <w:kern w:val="0"/>
                <w:szCs w:val="21"/>
              </w:rPr>
              <w:t>6</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szCs w:val="21"/>
              </w:rPr>
            </w:pPr>
            <w:r>
              <w:rPr>
                <w:rFonts w:hint="eastAsia" w:ascii="宋体" w:hAnsi="宋体" w:cs="宋体"/>
                <w:color w:val="000000"/>
                <w:kern w:val="0"/>
                <w:szCs w:val="21"/>
              </w:rPr>
              <w:t>部门1至6月、1至10月预算执行情况</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Cs w:val="21"/>
              </w:rPr>
            </w:pPr>
            <w:r>
              <w:rPr>
                <w:rFonts w:hint="eastAsia" w:ascii="宋体" w:hAnsi="宋体" w:cs="宋体"/>
                <w:color w:val="000000"/>
                <w:kern w:val="0"/>
                <w:szCs w:val="21"/>
              </w:rPr>
              <w:t>5</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Cs w:val="21"/>
              </w:rPr>
            </w:pPr>
          </w:p>
        </w:tc>
      </w:tr>
      <w:tr>
        <w:tblPrEx>
          <w:tblCellMar>
            <w:top w:w="0" w:type="dxa"/>
            <w:left w:w="108" w:type="dxa"/>
            <w:bottom w:w="0" w:type="dxa"/>
            <w:right w:w="108" w:type="dxa"/>
          </w:tblCellMar>
        </w:tblPrEx>
        <w:trPr>
          <w:trHeight w:val="23" w:hRule="atLeast"/>
          <w:jc w:val="center"/>
        </w:trPr>
        <w:tc>
          <w:tcPr>
            <w:tcW w:w="6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cs="宋体"/>
                <w:b/>
                <w:color w:val="000000"/>
                <w:szCs w:val="21"/>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cs="宋体"/>
                <w:b/>
                <w:color w:val="000000"/>
                <w:szCs w:val="21"/>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Cs w:val="21"/>
              </w:rPr>
            </w:pPr>
            <w:r>
              <w:rPr>
                <w:rFonts w:hint="eastAsia" w:ascii="宋体" w:hAnsi="宋体" w:cs="宋体"/>
                <w:color w:val="000000"/>
                <w:kern w:val="0"/>
                <w:szCs w:val="21"/>
              </w:rPr>
              <w:t>预算年终结余</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Cs w:val="21"/>
              </w:rPr>
            </w:pPr>
            <w:r>
              <w:rPr>
                <w:rFonts w:hint="eastAsia" w:ascii="宋体" w:hAnsi="宋体" w:cs="宋体"/>
                <w:color w:val="000000"/>
                <w:kern w:val="0"/>
                <w:szCs w:val="21"/>
              </w:rPr>
              <w:t>2</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szCs w:val="21"/>
              </w:rPr>
            </w:pPr>
            <w:r>
              <w:rPr>
                <w:rFonts w:hint="eastAsia" w:ascii="宋体" w:hAnsi="宋体" w:cs="宋体"/>
                <w:color w:val="000000"/>
                <w:kern w:val="0"/>
                <w:szCs w:val="21"/>
              </w:rPr>
              <w:t>部门整体年终预算结余情况</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Cs w:val="21"/>
              </w:rPr>
            </w:pPr>
            <w:r>
              <w:rPr>
                <w:rFonts w:hint="eastAsia" w:ascii="宋体" w:hAnsi="宋体" w:cs="宋体"/>
                <w:color w:val="000000"/>
                <w:kern w:val="0"/>
                <w:szCs w:val="21"/>
              </w:rPr>
              <w:t>2</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Cs w:val="21"/>
              </w:rPr>
            </w:pPr>
          </w:p>
        </w:tc>
      </w:tr>
      <w:tr>
        <w:tblPrEx>
          <w:tblCellMar>
            <w:top w:w="0" w:type="dxa"/>
            <w:left w:w="108" w:type="dxa"/>
            <w:bottom w:w="0" w:type="dxa"/>
            <w:right w:w="108" w:type="dxa"/>
          </w:tblCellMar>
        </w:tblPrEx>
        <w:trPr>
          <w:trHeight w:val="23" w:hRule="atLeast"/>
          <w:jc w:val="center"/>
        </w:trPr>
        <w:tc>
          <w:tcPr>
            <w:tcW w:w="6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cs="宋体"/>
                <w:b/>
                <w:color w:val="000000"/>
                <w:szCs w:val="21"/>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cs="宋体"/>
                <w:b/>
                <w:color w:val="000000"/>
                <w:szCs w:val="21"/>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Cs w:val="21"/>
              </w:rPr>
            </w:pPr>
            <w:r>
              <w:rPr>
                <w:rFonts w:hint="eastAsia" w:ascii="宋体" w:hAnsi="宋体" w:cs="宋体"/>
                <w:color w:val="000000"/>
                <w:kern w:val="0"/>
                <w:szCs w:val="21"/>
              </w:rPr>
              <w:t>严控一般性支出</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Cs w:val="21"/>
              </w:rPr>
            </w:pPr>
            <w:r>
              <w:rPr>
                <w:rFonts w:hint="eastAsia" w:ascii="宋体" w:hAnsi="宋体" w:cs="宋体"/>
                <w:color w:val="000000"/>
                <w:kern w:val="0"/>
                <w:szCs w:val="21"/>
              </w:rPr>
              <w:t>5</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szCs w:val="21"/>
              </w:rPr>
            </w:pPr>
            <w:r>
              <w:rPr>
                <w:rFonts w:hint="eastAsia" w:ascii="宋体" w:hAnsi="宋体" w:cs="宋体"/>
                <w:color w:val="000000"/>
                <w:kern w:val="0"/>
                <w:szCs w:val="21"/>
              </w:rPr>
              <w:t>部门严控“三公”经费、会议、培训、差旅、办节办展、办公设备购置、信息网络及软件购置更新、课题经费等8项一般性支出情况</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Cs w:val="21"/>
              </w:rPr>
            </w:pPr>
            <w:r>
              <w:rPr>
                <w:rFonts w:hint="eastAsia" w:ascii="宋体" w:hAnsi="宋体" w:cs="宋体"/>
                <w:color w:val="000000"/>
                <w:kern w:val="0"/>
                <w:szCs w:val="21"/>
              </w:rPr>
              <w:t>5</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Cs w:val="21"/>
              </w:rPr>
            </w:pPr>
          </w:p>
        </w:tc>
      </w:tr>
      <w:tr>
        <w:tblPrEx>
          <w:tblCellMar>
            <w:top w:w="0" w:type="dxa"/>
            <w:left w:w="108" w:type="dxa"/>
            <w:bottom w:w="0" w:type="dxa"/>
            <w:right w:w="108" w:type="dxa"/>
          </w:tblCellMar>
        </w:tblPrEx>
        <w:trPr>
          <w:trHeight w:val="23" w:hRule="atLeast"/>
          <w:jc w:val="center"/>
        </w:trPr>
        <w:tc>
          <w:tcPr>
            <w:tcW w:w="6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cs="宋体"/>
                <w:b/>
                <w:color w:val="000000"/>
                <w:szCs w:val="21"/>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b/>
                <w:color w:val="000000"/>
                <w:szCs w:val="21"/>
              </w:rPr>
            </w:pPr>
            <w:r>
              <w:rPr>
                <w:rFonts w:hint="eastAsia" w:ascii="宋体" w:hAnsi="宋体" w:cs="宋体"/>
                <w:b/>
                <w:color w:val="000000"/>
                <w:kern w:val="0"/>
                <w:szCs w:val="21"/>
              </w:rPr>
              <w:t>财务管理</w:t>
            </w:r>
            <w:r>
              <w:rPr>
                <w:rFonts w:hint="eastAsia" w:ascii="宋体" w:hAnsi="宋体" w:cs="宋体"/>
                <w:b/>
                <w:color w:val="000000"/>
                <w:kern w:val="0"/>
                <w:szCs w:val="21"/>
              </w:rPr>
              <w:br w:type="textWrapping"/>
            </w:r>
            <w:r>
              <w:rPr>
                <w:rFonts w:hint="eastAsia" w:ascii="宋体" w:hAnsi="宋体" w:cs="宋体"/>
                <w:b/>
                <w:color w:val="000000"/>
                <w:kern w:val="0"/>
                <w:szCs w:val="21"/>
              </w:rPr>
              <w:t>（1</w:t>
            </w:r>
            <w:r>
              <w:rPr>
                <w:rFonts w:hint="eastAsia" w:ascii="宋体" w:hAnsi="宋体" w:cs="宋体"/>
                <w:color w:val="000000"/>
                <w:kern w:val="0"/>
                <w:szCs w:val="21"/>
              </w:rPr>
              <w:t>0</w:t>
            </w:r>
            <w:r>
              <w:rPr>
                <w:rFonts w:hint="eastAsia" w:ascii="宋体" w:hAnsi="宋体" w:cs="宋体"/>
                <w:b/>
                <w:color w:val="000000"/>
                <w:kern w:val="0"/>
                <w:szCs w:val="21"/>
              </w:rPr>
              <w:t>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Cs w:val="21"/>
              </w:rPr>
            </w:pPr>
            <w:r>
              <w:rPr>
                <w:rFonts w:hint="eastAsia" w:ascii="宋体" w:hAnsi="宋体" w:cs="宋体"/>
                <w:color w:val="000000"/>
                <w:kern w:val="0"/>
                <w:szCs w:val="21"/>
              </w:rPr>
              <w:t>财务管理制度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Cs w:val="21"/>
              </w:rPr>
            </w:pPr>
            <w:r>
              <w:rPr>
                <w:rFonts w:hint="eastAsia" w:ascii="宋体" w:hAnsi="宋体" w:cs="宋体"/>
                <w:color w:val="000000"/>
                <w:kern w:val="0"/>
                <w:szCs w:val="21"/>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szCs w:val="21"/>
              </w:rPr>
            </w:pPr>
            <w:r>
              <w:rPr>
                <w:rFonts w:hint="eastAsia" w:ascii="宋体" w:hAnsi="宋体" w:cs="宋体"/>
                <w:color w:val="000000"/>
                <w:kern w:val="0"/>
                <w:szCs w:val="21"/>
              </w:rPr>
              <w:t>部门财务管理制度建立情况</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Cs w:val="21"/>
              </w:rPr>
            </w:pPr>
            <w:r>
              <w:rPr>
                <w:rFonts w:hint="eastAsia" w:ascii="宋体" w:hAnsi="宋体" w:cs="宋体"/>
                <w:color w:val="000000"/>
                <w:kern w:val="0"/>
                <w:szCs w:val="21"/>
              </w:rPr>
              <w:t>4</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Cs w:val="21"/>
              </w:rPr>
            </w:pPr>
          </w:p>
        </w:tc>
      </w:tr>
      <w:tr>
        <w:tblPrEx>
          <w:tblCellMar>
            <w:top w:w="0" w:type="dxa"/>
            <w:left w:w="108" w:type="dxa"/>
            <w:bottom w:w="0" w:type="dxa"/>
            <w:right w:w="108" w:type="dxa"/>
          </w:tblCellMar>
        </w:tblPrEx>
        <w:trPr>
          <w:trHeight w:val="23" w:hRule="atLeast"/>
          <w:jc w:val="center"/>
        </w:trPr>
        <w:tc>
          <w:tcPr>
            <w:tcW w:w="6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cs="宋体"/>
                <w:b/>
                <w:color w:val="000000"/>
                <w:szCs w:val="21"/>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cs="宋体"/>
                <w:b/>
                <w:color w:val="000000"/>
                <w:szCs w:val="21"/>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Cs w:val="21"/>
              </w:rPr>
            </w:pPr>
            <w:r>
              <w:rPr>
                <w:rFonts w:hint="eastAsia" w:ascii="宋体" w:hAnsi="宋体" w:cs="宋体"/>
                <w:color w:val="000000"/>
                <w:kern w:val="0"/>
                <w:szCs w:val="21"/>
              </w:rPr>
              <w:t>财务岗位设置</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Cs w:val="21"/>
              </w:rPr>
            </w:pPr>
            <w:r>
              <w:rPr>
                <w:rFonts w:hint="eastAsia" w:ascii="宋体" w:hAnsi="宋体" w:cs="宋体"/>
                <w:color w:val="000000"/>
                <w:kern w:val="0"/>
                <w:szCs w:val="21"/>
              </w:rPr>
              <w:t>2</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szCs w:val="21"/>
              </w:rPr>
            </w:pPr>
            <w:r>
              <w:rPr>
                <w:rFonts w:hint="eastAsia" w:ascii="宋体" w:hAnsi="宋体" w:cs="宋体"/>
                <w:color w:val="000000"/>
                <w:kern w:val="0"/>
                <w:szCs w:val="21"/>
              </w:rPr>
              <w:t>部门财务岗位设置是否符合相关财务管理制度要求</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Cs w:val="21"/>
              </w:rPr>
            </w:pPr>
            <w:r>
              <w:rPr>
                <w:rFonts w:hint="eastAsia" w:ascii="宋体" w:hAnsi="宋体" w:cs="宋体"/>
                <w:color w:val="000000"/>
                <w:kern w:val="0"/>
                <w:szCs w:val="21"/>
              </w:rPr>
              <w:t>2</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Cs w:val="21"/>
              </w:rPr>
            </w:pPr>
          </w:p>
        </w:tc>
      </w:tr>
      <w:tr>
        <w:tblPrEx>
          <w:tblCellMar>
            <w:top w:w="0" w:type="dxa"/>
            <w:left w:w="108" w:type="dxa"/>
            <w:bottom w:w="0" w:type="dxa"/>
            <w:right w:w="108" w:type="dxa"/>
          </w:tblCellMar>
        </w:tblPrEx>
        <w:trPr>
          <w:trHeight w:val="23" w:hRule="atLeast"/>
          <w:jc w:val="center"/>
        </w:trPr>
        <w:tc>
          <w:tcPr>
            <w:tcW w:w="6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cs="宋体"/>
                <w:b/>
                <w:color w:val="000000"/>
                <w:szCs w:val="21"/>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cs="宋体"/>
                <w:b/>
                <w:color w:val="000000"/>
                <w:szCs w:val="21"/>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Cs w:val="21"/>
              </w:rPr>
            </w:pPr>
            <w:r>
              <w:rPr>
                <w:rFonts w:hint="eastAsia" w:ascii="宋体" w:hAnsi="宋体" w:cs="宋体"/>
                <w:color w:val="000000"/>
                <w:kern w:val="0"/>
                <w:szCs w:val="21"/>
              </w:rPr>
              <w:t>资金使用规范</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Cs w:val="21"/>
              </w:rPr>
            </w:pPr>
            <w:r>
              <w:rPr>
                <w:rFonts w:hint="eastAsia" w:ascii="宋体" w:hAnsi="宋体" w:cs="宋体"/>
                <w:color w:val="000000"/>
                <w:kern w:val="0"/>
                <w:szCs w:val="21"/>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szCs w:val="21"/>
              </w:rPr>
            </w:pPr>
            <w:r>
              <w:rPr>
                <w:rFonts w:hint="eastAsia" w:ascii="宋体" w:hAnsi="宋体" w:cs="宋体"/>
                <w:color w:val="000000"/>
                <w:kern w:val="0"/>
                <w:szCs w:val="21"/>
              </w:rPr>
              <w:t>部门资金使用是否符合相关财务管理制度规定</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Cs w:val="21"/>
              </w:rPr>
            </w:pPr>
            <w:r>
              <w:rPr>
                <w:rFonts w:hint="eastAsia" w:ascii="宋体" w:hAnsi="宋体" w:cs="宋体"/>
                <w:color w:val="000000"/>
                <w:kern w:val="0"/>
                <w:szCs w:val="21"/>
              </w:rPr>
              <w:t>4</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Cs w:val="21"/>
              </w:rPr>
            </w:pPr>
          </w:p>
        </w:tc>
      </w:tr>
      <w:tr>
        <w:tblPrEx>
          <w:tblCellMar>
            <w:top w:w="0" w:type="dxa"/>
            <w:left w:w="108" w:type="dxa"/>
            <w:bottom w:w="0" w:type="dxa"/>
            <w:right w:w="108" w:type="dxa"/>
          </w:tblCellMar>
        </w:tblPrEx>
        <w:trPr>
          <w:trHeight w:val="23" w:hRule="atLeast"/>
          <w:jc w:val="center"/>
        </w:trPr>
        <w:tc>
          <w:tcPr>
            <w:tcW w:w="6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cs="宋体"/>
                <w:b/>
                <w:color w:val="000000"/>
                <w:szCs w:val="21"/>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b/>
                <w:color w:val="000000"/>
                <w:szCs w:val="21"/>
              </w:rPr>
            </w:pPr>
            <w:r>
              <w:rPr>
                <w:rFonts w:hint="eastAsia" w:ascii="宋体" w:hAnsi="宋体" w:cs="宋体"/>
                <w:b/>
                <w:color w:val="000000"/>
                <w:kern w:val="0"/>
                <w:szCs w:val="21"/>
              </w:rPr>
              <w:t>资产管理</w:t>
            </w:r>
            <w:r>
              <w:rPr>
                <w:rFonts w:hint="eastAsia" w:ascii="宋体" w:hAnsi="宋体" w:cs="宋体"/>
                <w:b/>
                <w:color w:val="000000"/>
                <w:kern w:val="0"/>
                <w:szCs w:val="21"/>
              </w:rPr>
              <w:br w:type="textWrapping"/>
            </w:r>
            <w:r>
              <w:rPr>
                <w:rFonts w:hint="eastAsia" w:ascii="宋体" w:hAnsi="宋体" w:cs="宋体"/>
                <w:b/>
                <w:color w:val="000000"/>
                <w:kern w:val="0"/>
                <w:szCs w:val="21"/>
              </w:rPr>
              <w:t>（9分）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Cs w:val="21"/>
              </w:rPr>
            </w:pPr>
            <w:r>
              <w:rPr>
                <w:rFonts w:hint="eastAsia" w:ascii="宋体" w:hAnsi="宋体" w:cs="宋体"/>
                <w:color w:val="000000"/>
                <w:kern w:val="0"/>
                <w:szCs w:val="21"/>
              </w:rPr>
              <w:t>人均资产变化率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Cs w:val="21"/>
              </w:rPr>
            </w:pPr>
            <w:r>
              <w:rPr>
                <w:rFonts w:hint="eastAsia" w:ascii="宋体" w:hAnsi="宋体" w:cs="宋体"/>
                <w:color w:val="000000"/>
                <w:kern w:val="0"/>
                <w:szCs w:val="21"/>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szCs w:val="21"/>
              </w:rPr>
            </w:pPr>
            <w:r>
              <w:rPr>
                <w:rFonts w:hint="eastAsia" w:ascii="宋体" w:hAnsi="宋体" w:cs="宋体"/>
                <w:color w:val="000000"/>
                <w:kern w:val="0"/>
                <w:szCs w:val="21"/>
              </w:rPr>
              <w:t>部门人均资产变化情况</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Cs w:val="21"/>
              </w:rPr>
            </w:pPr>
            <w:r>
              <w:rPr>
                <w:rFonts w:hint="eastAsia" w:ascii="宋体" w:hAnsi="宋体" w:cs="宋体"/>
                <w:color w:val="000000"/>
                <w:kern w:val="0"/>
                <w:szCs w:val="21"/>
              </w:rPr>
              <w:t>2</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Cs w:val="21"/>
              </w:rPr>
            </w:pPr>
          </w:p>
        </w:tc>
      </w:tr>
      <w:tr>
        <w:tblPrEx>
          <w:tblCellMar>
            <w:top w:w="0" w:type="dxa"/>
            <w:left w:w="108" w:type="dxa"/>
            <w:bottom w:w="0" w:type="dxa"/>
            <w:right w:w="108" w:type="dxa"/>
          </w:tblCellMar>
        </w:tblPrEx>
        <w:trPr>
          <w:trHeight w:val="202" w:hRule="atLeast"/>
          <w:jc w:val="center"/>
        </w:trPr>
        <w:tc>
          <w:tcPr>
            <w:tcW w:w="6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cs="宋体"/>
                <w:b/>
                <w:color w:val="000000"/>
                <w:szCs w:val="21"/>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cs="宋体"/>
                <w:b/>
                <w:color w:val="000000"/>
                <w:szCs w:val="21"/>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Cs w:val="21"/>
              </w:rPr>
            </w:pPr>
            <w:r>
              <w:rPr>
                <w:rFonts w:hint="eastAsia" w:ascii="宋体" w:hAnsi="宋体" w:cs="宋体"/>
                <w:color w:val="000000"/>
                <w:kern w:val="0"/>
                <w:szCs w:val="21"/>
              </w:rPr>
              <w:t>资产利用率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Cs w:val="21"/>
              </w:rPr>
            </w:pPr>
            <w:r>
              <w:rPr>
                <w:rFonts w:hint="eastAsia" w:ascii="宋体" w:hAnsi="宋体" w:cs="宋体"/>
                <w:color w:val="000000"/>
                <w:kern w:val="0"/>
                <w:szCs w:val="21"/>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szCs w:val="21"/>
              </w:rPr>
            </w:pPr>
            <w:r>
              <w:rPr>
                <w:rFonts w:hint="eastAsia" w:ascii="宋体" w:hAnsi="宋体" w:cs="宋体"/>
                <w:color w:val="000000"/>
                <w:kern w:val="0"/>
                <w:szCs w:val="21"/>
              </w:rPr>
              <w:t>部门资产超最低使用年限情况</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Cs w:val="21"/>
              </w:rPr>
            </w:pPr>
            <w:r>
              <w:rPr>
                <w:rFonts w:hint="eastAsia" w:ascii="宋体" w:hAnsi="宋体" w:cs="宋体"/>
                <w:color w:val="000000"/>
                <w:kern w:val="0"/>
                <w:szCs w:val="21"/>
              </w:rPr>
              <w:t>3</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Cs w:val="21"/>
              </w:rPr>
            </w:pPr>
          </w:p>
        </w:tc>
      </w:tr>
      <w:tr>
        <w:tblPrEx>
          <w:tblCellMar>
            <w:top w:w="0" w:type="dxa"/>
            <w:left w:w="108" w:type="dxa"/>
            <w:bottom w:w="0" w:type="dxa"/>
            <w:right w:w="108" w:type="dxa"/>
          </w:tblCellMar>
        </w:tblPrEx>
        <w:trPr>
          <w:trHeight w:val="23" w:hRule="atLeast"/>
          <w:jc w:val="center"/>
        </w:trPr>
        <w:tc>
          <w:tcPr>
            <w:tcW w:w="6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b/>
                <w:color w:val="000000"/>
                <w:szCs w:val="21"/>
              </w:rPr>
            </w:pPr>
            <w:r>
              <w:rPr>
                <w:rFonts w:hint="eastAsia" w:ascii="宋体" w:hAnsi="宋体" w:cs="宋体"/>
                <w:b/>
                <w:color w:val="000000"/>
                <w:kern w:val="0"/>
                <w:szCs w:val="21"/>
              </w:rPr>
              <w:t>总体绩效</w:t>
            </w:r>
            <w:r>
              <w:rPr>
                <w:rFonts w:hint="eastAsia" w:ascii="宋体" w:hAnsi="宋体" w:cs="宋体"/>
                <w:b/>
                <w:color w:val="000000"/>
                <w:kern w:val="0"/>
                <w:szCs w:val="21"/>
              </w:rPr>
              <w:br w:type="textWrapping"/>
            </w:r>
            <w:r>
              <w:rPr>
                <w:rFonts w:hint="eastAsia" w:ascii="宋体" w:hAnsi="宋体" w:cs="宋体"/>
                <w:b/>
                <w:color w:val="000000"/>
                <w:kern w:val="0"/>
                <w:szCs w:val="21"/>
              </w:rPr>
              <w:t>（65分）</w:t>
            </w:r>
          </w:p>
        </w:tc>
        <w:tc>
          <w:tcPr>
            <w:tcW w:w="14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b/>
                <w:color w:val="000000"/>
                <w:szCs w:val="21"/>
              </w:rPr>
            </w:pPr>
            <w:r>
              <w:rPr>
                <w:rFonts w:hint="eastAsia" w:ascii="宋体" w:hAnsi="宋体" w:cs="宋体"/>
                <w:b/>
                <w:color w:val="000000"/>
                <w:kern w:val="0"/>
                <w:szCs w:val="21"/>
              </w:rPr>
              <w:t>资产管理</w:t>
            </w:r>
            <w:r>
              <w:rPr>
                <w:rFonts w:hint="eastAsia" w:ascii="宋体" w:hAnsi="宋体" w:cs="宋体"/>
                <w:b/>
                <w:color w:val="000000"/>
                <w:kern w:val="0"/>
                <w:szCs w:val="21"/>
              </w:rPr>
              <w:br w:type="textWrapping"/>
            </w:r>
            <w:r>
              <w:rPr>
                <w:rFonts w:hint="eastAsia" w:ascii="宋体" w:hAnsi="宋体" w:cs="宋体"/>
                <w:b/>
                <w:color w:val="000000"/>
                <w:kern w:val="0"/>
                <w:szCs w:val="21"/>
              </w:rPr>
              <w:t>（9分）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Cs w:val="21"/>
              </w:rPr>
            </w:pPr>
            <w:r>
              <w:rPr>
                <w:rFonts w:hint="eastAsia" w:ascii="宋体" w:hAnsi="宋体" w:cs="宋体"/>
                <w:color w:val="000000"/>
                <w:kern w:val="0"/>
                <w:szCs w:val="21"/>
              </w:rPr>
              <w:t>资产盘活率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Cs w:val="21"/>
              </w:rPr>
            </w:pPr>
            <w:r>
              <w:rPr>
                <w:rFonts w:hint="eastAsia" w:ascii="宋体" w:hAnsi="宋体" w:cs="宋体"/>
                <w:color w:val="000000"/>
                <w:kern w:val="0"/>
                <w:szCs w:val="21"/>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szCs w:val="21"/>
              </w:rPr>
            </w:pPr>
            <w:r>
              <w:rPr>
                <w:rFonts w:hint="eastAsia" w:ascii="宋体" w:hAnsi="宋体" w:cs="宋体"/>
                <w:color w:val="000000"/>
                <w:kern w:val="0"/>
                <w:szCs w:val="21"/>
              </w:rPr>
              <w:t>部门闲置一年以上的资产盘活情况</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Cs w:val="21"/>
              </w:rPr>
            </w:pPr>
            <w:r>
              <w:rPr>
                <w:rFonts w:hint="eastAsia" w:ascii="宋体" w:hAnsi="宋体" w:cs="宋体"/>
                <w:color w:val="000000"/>
                <w:kern w:val="0"/>
                <w:szCs w:val="21"/>
              </w:rPr>
              <w:t>2</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Cs w:val="21"/>
              </w:rPr>
            </w:pPr>
          </w:p>
        </w:tc>
      </w:tr>
      <w:tr>
        <w:tblPrEx>
          <w:tblCellMar>
            <w:top w:w="0" w:type="dxa"/>
            <w:left w:w="108" w:type="dxa"/>
            <w:bottom w:w="0" w:type="dxa"/>
            <w:right w:w="108" w:type="dxa"/>
          </w:tblCellMar>
        </w:tblPrEx>
        <w:trPr>
          <w:trHeight w:val="23" w:hRule="atLeast"/>
          <w:jc w:val="center"/>
        </w:trPr>
        <w:tc>
          <w:tcPr>
            <w:tcW w:w="6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cs="宋体"/>
                <w:b/>
                <w:color w:val="000000"/>
                <w:szCs w:val="21"/>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b/>
                <w:color w:val="000000"/>
                <w:szCs w:val="21"/>
              </w:rPr>
            </w:pPr>
            <w:r>
              <w:rPr>
                <w:rFonts w:hint="eastAsia" w:ascii="宋体" w:hAnsi="宋体" w:cs="宋体"/>
                <w:b/>
                <w:color w:val="000000"/>
                <w:kern w:val="0"/>
                <w:szCs w:val="21"/>
              </w:rPr>
              <w:t>采购管理</w:t>
            </w:r>
            <w:r>
              <w:rPr>
                <w:rFonts w:hint="eastAsia" w:ascii="宋体" w:hAnsi="宋体" w:cs="宋体"/>
                <w:b/>
                <w:color w:val="000000"/>
                <w:kern w:val="0"/>
                <w:szCs w:val="21"/>
              </w:rPr>
              <w:br w:type="textWrapping"/>
            </w:r>
            <w:r>
              <w:rPr>
                <w:rFonts w:hint="eastAsia" w:ascii="宋体" w:hAnsi="宋体" w:cs="宋体"/>
                <w:b/>
                <w:color w:val="000000"/>
                <w:kern w:val="0"/>
                <w:szCs w:val="21"/>
              </w:rPr>
              <w:t>（6分）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Cs w:val="21"/>
              </w:rPr>
            </w:pPr>
            <w:r>
              <w:rPr>
                <w:rFonts w:hint="eastAsia" w:ascii="宋体" w:hAnsi="宋体" w:cs="宋体"/>
                <w:color w:val="000000"/>
                <w:kern w:val="0"/>
                <w:szCs w:val="21"/>
              </w:rPr>
              <w:t>支持中小企业发展</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Cs w:val="21"/>
              </w:rPr>
            </w:pPr>
            <w:r>
              <w:rPr>
                <w:rFonts w:hint="eastAsia" w:ascii="宋体" w:hAnsi="宋体" w:cs="宋体"/>
                <w:color w:val="000000"/>
                <w:kern w:val="0"/>
                <w:szCs w:val="21"/>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szCs w:val="21"/>
              </w:rPr>
            </w:pPr>
            <w:r>
              <w:rPr>
                <w:rFonts w:hint="eastAsia" w:ascii="宋体" w:hAnsi="宋体" w:cs="宋体"/>
                <w:color w:val="000000"/>
                <w:kern w:val="0"/>
                <w:szCs w:val="21"/>
              </w:rPr>
              <w:t>部门是否严格执行政府采购促进中小企业发展相关管理办法</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Cs w:val="21"/>
              </w:rPr>
            </w:pPr>
            <w:r>
              <w:rPr>
                <w:rFonts w:hint="eastAsia" w:ascii="宋体" w:hAnsi="宋体" w:cs="宋体"/>
                <w:color w:val="000000"/>
                <w:kern w:val="0"/>
                <w:szCs w:val="21"/>
              </w:rPr>
              <w:t>2</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Cs w:val="21"/>
              </w:rPr>
            </w:pPr>
          </w:p>
        </w:tc>
      </w:tr>
      <w:tr>
        <w:tblPrEx>
          <w:tblCellMar>
            <w:top w:w="0" w:type="dxa"/>
            <w:left w:w="108" w:type="dxa"/>
            <w:bottom w:w="0" w:type="dxa"/>
            <w:right w:w="108" w:type="dxa"/>
          </w:tblCellMar>
        </w:tblPrEx>
        <w:trPr>
          <w:trHeight w:val="23" w:hRule="atLeast"/>
          <w:jc w:val="center"/>
        </w:trPr>
        <w:tc>
          <w:tcPr>
            <w:tcW w:w="6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cs="宋体"/>
                <w:b/>
                <w:color w:val="000000"/>
                <w:szCs w:val="21"/>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cs="宋体"/>
                <w:b/>
                <w:color w:val="000000"/>
                <w:szCs w:val="21"/>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Cs w:val="21"/>
              </w:rPr>
            </w:pPr>
            <w:r>
              <w:rPr>
                <w:rFonts w:hint="eastAsia" w:ascii="宋体" w:hAnsi="宋体" w:cs="宋体"/>
                <w:color w:val="000000"/>
                <w:kern w:val="0"/>
                <w:szCs w:val="21"/>
              </w:rPr>
              <w:t>采购执行率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Cs w:val="21"/>
              </w:rPr>
            </w:pPr>
            <w:r>
              <w:rPr>
                <w:rFonts w:hint="eastAsia" w:ascii="宋体" w:hAnsi="宋体" w:cs="宋体"/>
                <w:color w:val="000000"/>
                <w:kern w:val="0"/>
                <w:szCs w:val="21"/>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szCs w:val="21"/>
              </w:rPr>
            </w:pPr>
            <w:r>
              <w:rPr>
                <w:rFonts w:hint="eastAsia" w:ascii="宋体" w:hAnsi="宋体" w:cs="宋体"/>
                <w:color w:val="000000"/>
                <w:kern w:val="0"/>
                <w:szCs w:val="21"/>
              </w:rPr>
              <w:t>部门政府采购项目资金支付比例情况</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Cs w:val="21"/>
              </w:rPr>
            </w:pPr>
            <w:r>
              <w:rPr>
                <w:rFonts w:hint="eastAsia" w:ascii="宋体" w:hAnsi="宋体" w:cs="宋体"/>
                <w:color w:val="000000"/>
                <w:kern w:val="0"/>
                <w:szCs w:val="21"/>
              </w:rPr>
              <w:t>2</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Cs w:val="21"/>
              </w:rPr>
            </w:pPr>
          </w:p>
        </w:tc>
      </w:tr>
      <w:tr>
        <w:tblPrEx>
          <w:tblCellMar>
            <w:top w:w="0" w:type="dxa"/>
            <w:left w:w="108" w:type="dxa"/>
            <w:bottom w:w="0" w:type="dxa"/>
            <w:right w:w="108" w:type="dxa"/>
          </w:tblCellMar>
        </w:tblPrEx>
        <w:trPr>
          <w:trHeight w:val="23" w:hRule="atLeast"/>
          <w:jc w:val="center"/>
        </w:trPr>
        <w:tc>
          <w:tcPr>
            <w:tcW w:w="6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b/>
                <w:color w:val="000000"/>
                <w:szCs w:val="21"/>
              </w:rPr>
            </w:pPr>
            <w:r>
              <w:rPr>
                <w:rFonts w:hint="eastAsia" w:ascii="宋体" w:hAnsi="宋体" w:cs="宋体"/>
                <w:b/>
                <w:color w:val="000000"/>
                <w:kern w:val="0"/>
                <w:szCs w:val="21"/>
              </w:rPr>
              <w:t>项目绩效</w:t>
            </w:r>
            <w:r>
              <w:rPr>
                <w:rFonts w:hint="eastAsia" w:ascii="宋体" w:hAnsi="宋体" w:cs="宋体"/>
                <w:b/>
                <w:color w:val="000000"/>
                <w:kern w:val="0"/>
                <w:szCs w:val="21"/>
              </w:rPr>
              <w:br w:type="textWrapping"/>
            </w:r>
            <w:r>
              <w:rPr>
                <w:rFonts w:hint="eastAsia" w:ascii="宋体" w:hAnsi="宋体" w:cs="宋体"/>
                <w:b/>
                <w:color w:val="000000"/>
                <w:kern w:val="0"/>
                <w:szCs w:val="21"/>
              </w:rPr>
              <w:t>（35分）</w:t>
            </w:r>
          </w:p>
        </w:tc>
        <w:tc>
          <w:tcPr>
            <w:tcW w:w="1462" w:type="dxa"/>
            <w:vMerge w:val="restart"/>
            <w:tcBorders>
              <w:top w:val="single" w:color="000000" w:sz="4" w:space="0"/>
              <w:left w:val="single" w:color="000000" w:sz="4" w:space="0"/>
              <w:bottom w:val="nil"/>
              <w:right w:val="single" w:color="000000" w:sz="4" w:space="0"/>
            </w:tcBorders>
            <w:shd w:val="clear" w:color="auto" w:fill="auto"/>
            <w:vAlign w:val="center"/>
          </w:tcPr>
          <w:p>
            <w:pPr>
              <w:widowControl/>
              <w:spacing w:line="240" w:lineRule="exact"/>
              <w:jc w:val="center"/>
              <w:textAlignment w:val="center"/>
              <w:rPr>
                <w:rFonts w:ascii="宋体" w:hAnsi="宋体" w:cs="宋体"/>
                <w:b/>
                <w:color w:val="000000"/>
                <w:szCs w:val="21"/>
              </w:rPr>
            </w:pPr>
            <w:r>
              <w:rPr>
                <w:rFonts w:hint="eastAsia" w:ascii="宋体" w:hAnsi="宋体" w:cs="宋体"/>
                <w:b/>
                <w:color w:val="000000"/>
                <w:kern w:val="0"/>
                <w:szCs w:val="21"/>
              </w:rPr>
              <w:t>项目决策</w:t>
            </w:r>
            <w:r>
              <w:rPr>
                <w:rFonts w:hint="eastAsia" w:ascii="宋体" w:hAnsi="宋体" w:cs="宋体"/>
                <w:b/>
                <w:color w:val="000000"/>
                <w:kern w:val="0"/>
                <w:szCs w:val="21"/>
              </w:rPr>
              <w:br w:type="textWrapping"/>
            </w:r>
            <w:r>
              <w:rPr>
                <w:rFonts w:hint="eastAsia" w:ascii="宋体" w:hAnsi="宋体" w:cs="宋体"/>
                <w:b/>
                <w:color w:val="000000"/>
                <w:kern w:val="0"/>
                <w:szCs w:val="21"/>
              </w:rPr>
              <w:t>（12分）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Cs w:val="21"/>
              </w:rPr>
            </w:pPr>
            <w:r>
              <w:rPr>
                <w:rFonts w:hint="eastAsia" w:ascii="宋体" w:hAnsi="宋体" w:cs="宋体"/>
                <w:color w:val="000000"/>
                <w:kern w:val="0"/>
                <w:szCs w:val="21"/>
              </w:rPr>
              <w:t>决策程序</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Cs w:val="21"/>
              </w:rPr>
            </w:pPr>
            <w:r>
              <w:rPr>
                <w:rFonts w:hint="eastAsia" w:ascii="宋体" w:hAnsi="宋体" w:cs="宋体"/>
                <w:color w:val="000000"/>
                <w:kern w:val="0"/>
                <w:szCs w:val="21"/>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szCs w:val="21"/>
              </w:rPr>
            </w:pPr>
            <w:r>
              <w:rPr>
                <w:rFonts w:hint="eastAsia" w:ascii="宋体" w:hAnsi="宋体" w:cs="宋体"/>
                <w:color w:val="000000"/>
                <w:kern w:val="0"/>
                <w:szCs w:val="21"/>
              </w:rPr>
              <w:t>部门预算项目设立是否按规定履行评估论证、申报程序</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Cs w:val="21"/>
              </w:rPr>
            </w:pPr>
            <w:r>
              <w:rPr>
                <w:rFonts w:hint="eastAsia" w:ascii="宋体" w:hAnsi="宋体" w:cs="宋体"/>
                <w:color w:val="000000"/>
                <w:kern w:val="0"/>
                <w:szCs w:val="21"/>
              </w:rPr>
              <w:t>4</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Cs w:val="21"/>
              </w:rPr>
            </w:pPr>
          </w:p>
        </w:tc>
      </w:tr>
      <w:tr>
        <w:tblPrEx>
          <w:tblCellMar>
            <w:top w:w="0" w:type="dxa"/>
            <w:left w:w="108" w:type="dxa"/>
            <w:bottom w:w="0" w:type="dxa"/>
            <w:right w:w="108" w:type="dxa"/>
          </w:tblCellMar>
        </w:tblPrEx>
        <w:trPr>
          <w:trHeight w:val="23" w:hRule="atLeast"/>
          <w:jc w:val="center"/>
        </w:trPr>
        <w:tc>
          <w:tcPr>
            <w:tcW w:w="6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cs="宋体"/>
                <w:b/>
                <w:color w:val="000000"/>
                <w:szCs w:val="21"/>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pPr>
              <w:widowControl/>
              <w:spacing w:line="240" w:lineRule="exact"/>
              <w:jc w:val="center"/>
              <w:rPr>
                <w:rFonts w:ascii="宋体" w:hAnsi="宋体" w:cs="宋体"/>
                <w:b/>
                <w:color w:val="000000"/>
                <w:szCs w:val="21"/>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Cs w:val="21"/>
              </w:rPr>
            </w:pPr>
            <w:r>
              <w:rPr>
                <w:rFonts w:hint="eastAsia" w:ascii="宋体" w:hAnsi="宋体" w:cs="宋体"/>
                <w:color w:val="000000"/>
                <w:kern w:val="0"/>
                <w:szCs w:val="21"/>
              </w:rPr>
              <w:t>目标设置</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Cs w:val="21"/>
              </w:rPr>
            </w:pPr>
            <w:r>
              <w:rPr>
                <w:rFonts w:hint="eastAsia" w:ascii="宋体" w:hAnsi="宋体" w:cs="宋体"/>
                <w:color w:val="000000"/>
                <w:kern w:val="0"/>
                <w:szCs w:val="21"/>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szCs w:val="21"/>
              </w:rPr>
            </w:pPr>
            <w:r>
              <w:rPr>
                <w:rFonts w:hint="eastAsia" w:ascii="宋体" w:hAnsi="宋体" w:cs="宋体"/>
                <w:color w:val="000000"/>
                <w:kern w:val="0"/>
                <w:szCs w:val="21"/>
              </w:rPr>
              <w:t>部门预算项目绩效目标与计划期内的任务量、预算安排的资金量匹配情况，绩效目标设置是否科学合理、规范完整、量化细化、预算匹配</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Cs w:val="21"/>
              </w:rPr>
            </w:pPr>
            <w:r>
              <w:rPr>
                <w:rFonts w:hint="eastAsia" w:ascii="宋体" w:hAnsi="宋体" w:cs="宋体"/>
                <w:color w:val="000000"/>
                <w:kern w:val="0"/>
                <w:szCs w:val="21"/>
              </w:rPr>
              <w:t>4</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Cs w:val="21"/>
              </w:rPr>
            </w:pPr>
          </w:p>
        </w:tc>
      </w:tr>
      <w:tr>
        <w:tblPrEx>
          <w:tblCellMar>
            <w:top w:w="0" w:type="dxa"/>
            <w:left w:w="108" w:type="dxa"/>
            <w:bottom w:w="0" w:type="dxa"/>
            <w:right w:w="108" w:type="dxa"/>
          </w:tblCellMar>
        </w:tblPrEx>
        <w:trPr>
          <w:trHeight w:val="23" w:hRule="atLeast"/>
          <w:jc w:val="center"/>
        </w:trPr>
        <w:tc>
          <w:tcPr>
            <w:tcW w:w="6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cs="宋体"/>
                <w:b/>
                <w:color w:val="000000"/>
                <w:szCs w:val="21"/>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pPr>
              <w:widowControl/>
              <w:spacing w:line="240" w:lineRule="exact"/>
              <w:jc w:val="center"/>
              <w:rPr>
                <w:rFonts w:ascii="宋体" w:hAnsi="宋体" w:cs="宋体"/>
                <w:b/>
                <w:color w:val="000000"/>
                <w:szCs w:val="21"/>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Cs w:val="21"/>
              </w:rPr>
            </w:pPr>
            <w:r>
              <w:rPr>
                <w:rFonts w:hint="eastAsia" w:ascii="宋体" w:hAnsi="宋体" w:cs="宋体"/>
                <w:color w:val="000000"/>
                <w:kern w:val="0"/>
                <w:szCs w:val="21"/>
              </w:rPr>
              <w:t>项目入库</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Cs w:val="21"/>
              </w:rPr>
            </w:pPr>
            <w:r>
              <w:rPr>
                <w:rFonts w:hint="eastAsia" w:ascii="宋体" w:hAnsi="宋体" w:cs="宋体"/>
                <w:color w:val="000000"/>
                <w:kern w:val="0"/>
                <w:szCs w:val="21"/>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szCs w:val="21"/>
              </w:rPr>
            </w:pPr>
            <w:r>
              <w:rPr>
                <w:rFonts w:hint="eastAsia" w:ascii="宋体" w:hAnsi="宋体" w:cs="宋体"/>
                <w:color w:val="000000"/>
                <w:kern w:val="0"/>
                <w:szCs w:val="21"/>
              </w:rPr>
              <w:t>部门预算项目是否在规定时间完成项目入库</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Cs w:val="21"/>
              </w:rPr>
            </w:pPr>
            <w:r>
              <w:rPr>
                <w:rFonts w:hint="eastAsia" w:ascii="宋体" w:hAnsi="宋体" w:cs="宋体"/>
                <w:color w:val="000000"/>
                <w:kern w:val="0"/>
                <w:szCs w:val="21"/>
              </w:rPr>
              <w:t>4</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Cs w:val="21"/>
              </w:rPr>
            </w:pPr>
          </w:p>
        </w:tc>
      </w:tr>
      <w:tr>
        <w:tblPrEx>
          <w:tblCellMar>
            <w:top w:w="0" w:type="dxa"/>
            <w:left w:w="108" w:type="dxa"/>
            <w:bottom w:w="0" w:type="dxa"/>
            <w:right w:w="108" w:type="dxa"/>
          </w:tblCellMar>
        </w:tblPrEx>
        <w:trPr>
          <w:trHeight w:val="23" w:hRule="atLeast"/>
          <w:jc w:val="center"/>
        </w:trPr>
        <w:tc>
          <w:tcPr>
            <w:tcW w:w="6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cs="宋体"/>
                <w:b/>
                <w:color w:val="000000"/>
                <w:szCs w:val="21"/>
              </w:rPr>
            </w:pPr>
          </w:p>
        </w:tc>
        <w:tc>
          <w:tcPr>
            <w:tcW w:w="1462" w:type="dxa"/>
            <w:vMerge w:val="restart"/>
            <w:tcBorders>
              <w:top w:val="single" w:color="000000" w:sz="4" w:space="0"/>
              <w:left w:val="single" w:color="000000" w:sz="4" w:space="0"/>
              <w:bottom w:val="nil"/>
              <w:right w:val="single" w:color="000000" w:sz="4" w:space="0"/>
            </w:tcBorders>
            <w:shd w:val="clear" w:color="auto" w:fill="auto"/>
            <w:vAlign w:val="center"/>
          </w:tcPr>
          <w:p>
            <w:pPr>
              <w:widowControl/>
              <w:spacing w:line="240" w:lineRule="exact"/>
              <w:jc w:val="center"/>
              <w:textAlignment w:val="center"/>
              <w:rPr>
                <w:rFonts w:ascii="宋体" w:hAnsi="宋体" w:cs="宋体"/>
                <w:b/>
                <w:color w:val="000000"/>
                <w:szCs w:val="21"/>
              </w:rPr>
            </w:pPr>
            <w:r>
              <w:rPr>
                <w:rFonts w:hint="eastAsia" w:ascii="宋体" w:hAnsi="宋体" w:cs="宋体"/>
                <w:b/>
                <w:color w:val="000000"/>
                <w:kern w:val="0"/>
                <w:szCs w:val="21"/>
              </w:rPr>
              <w:t>项目执行</w:t>
            </w:r>
            <w:r>
              <w:rPr>
                <w:rFonts w:hint="eastAsia" w:ascii="宋体" w:hAnsi="宋体" w:cs="宋体"/>
                <w:b/>
                <w:color w:val="000000"/>
                <w:kern w:val="0"/>
                <w:szCs w:val="21"/>
              </w:rPr>
              <w:br w:type="textWrapping"/>
            </w:r>
            <w:r>
              <w:rPr>
                <w:rFonts w:hint="eastAsia" w:ascii="宋体" w:hAnsi="宋体" w:cs="宋体"/>
                <w:b/>
                <w:color w:val="000000"/>
                <w:kern w:val="0"/>
                <w:szCs w:val="21"/>
              </w:rPr>
              <w:t>（12分）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Cs w:val="21"/>
              </w:rPr>
            </w:pPr>
            <w:r>
              <w:rPr>
                <w:rFonts w:hint="eastAsia" w:ascii="宋体" w:hAnsi="宋体" w:cs="宋体"/>
                <w:color w:val="000000"/>
                <w:kern w:val="0"/>
                <w:szCs w:val="21"/>
              </w:rPr>
              <w:t>执行同向</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Cs w:val="21"/>
              </w:rPr>
            </w:pPr>
            <w:r>
              <w:rPr>
                <w:rFonts w:hint="eastAsia" w:ascii="宋体" w:hAnsi="宋体" w:cs="宋体"/>
                <w:color w:val="000000"/>
                <w:kern w:val="0"/>
                <w:szCs w:val="21"/>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szCs w:val="21"/>
              </w:rPr>
            </w:pPr>
            <w:r>
              <w:rPr>
                <w:rFonts w:hint="eastAsia" w:ascii="宋体" w:hAnsi="宋体" w:cs="宋体"/>
                <w:color w:val="000000"/>
                <w:kern w:val="0"/>
                <w:szCs w:val="21"/>
              </w:rPr>
              <w:t>部门预算项目实际列支内容是否与绩效目标设置方向相符</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Cs w:val="21"/>
              </w:rPr>
            </w:pPr>
            <w:r>
              <w:rPr>
                <w:rFonts w:hint="eastAsia" w:ascii="宋体" w:hAnsi="宋体" w:cs="宋体"/>
                <w:color w:val="000000"/>
                <w:kern w:val="0"/>
                <w:szCs w:val="21"/>
              </w:rPr>
              <w:t>3</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Cs w:val="21"/>
              </w:rPr>
            </w:pPr>
          </w:p>
        </w:tc>
      </w:tr>
      <w:tr>
        <w:tblPrEx>
          <w:tblCellMar>
            <w:top w:w="0" w:type="dxa"/>
            <w:left w:w="108" w:type="dxa"/>
            <w:bottom w:w="0" w:type="dxa"/>
            <w:right w:w="108" w:type="dxa"/>
          </w:tblCellMar>
        </w:tblPrEx>
        <w:trPr>
          <w:trHeight w:val="23" w:hRule="atLeast"/>
          <w:jc w:val="center"/>
        </w:trPr>
        <w:tc>
          <w:tcPr>
            <w:tcW w:w="6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cs="宋体"/>
                <w:b/>
                <w:color w:val="000000"/>
                <w:szCs w:val="21"/>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pPr>
              <w:widowControl/>
              <w:spacing w:line="240" w:lineRule="exact"/>
              <w:jc w:val="center"/>
              <w:rPr>
                <w:rFonts w:ascii="宋体" w:hAnsi="宋体" w:cs="宋体"/>
                <w:b/>
                <w:color w:val="000000"/>
                <w:szCs w:val="21"/>
              </w:rPr>
            </w:pPr>
          </w:p>
        </w:tc>
        <w:tc>
          <w:tcPr>
            <w:tcW w:w="1665" w:type="dxa"/>
            <w:tcBorders>
              <w:top w:val="single" w:color="000000" w:sz="4" w:space="0"/>
              <w:left w:val="single" w:color="000000" w:sz="4" w:space="0"/>
              <w:bottom w:val="nil"/>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Cs w:val="21"/>
              </w:rPr>
            </w:pPr>
            <w:r>
              <w:rPr>
                <w:rFonts w:hint="eastAsia" w:ascii="宋体" w:hAnsi="宋体" w:cs="宋体"/>
                <w:color w:val="000000"/>
                <w:kern w:val="0"/>
                <w:szCs w:val="21"/>
              </w:rPr>
              <w:t>项目调整</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Cs w:val="21"/>
              </w:rPr>
            </w:pPr>
            <w:r>
              <w:rPr>
                <w:rFonts w:hint="eastAsia" w:ascii="宋体" w:hAnsi="宋体" w:cs="宋体"/>
                <w:color w:val="000000"/>
                <w:kern w:val="0"/>
                <w:szCs w:val="21"/>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szCs w:val="21"/>
              </w:rPr>
            </w:pPr>
            <w:r>
              <w:rPr>
                <w:rFonts w:hint="eastAsia" w:ascii="宋体" w:hAnsi="宋体" w:cs="宋体"/>
                <w:color w:val="000000"/>
                <w:kern w:val="0"/>
                <w:szCs w:val="21"/>
              </w:rPr>
              <w:t>部门预算项目是否采取对应调整措施</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Cs w:val="21"/>
              </w:rPr>
            </w:pPr>
            <w:r>
              <w:rPr>
                <w:rFonts w:hint="eastAsia" w:ascii="宋体" w:hAnsi="宋体" w:cs="宋体"/>
                <w:color w:val="000000"/>
                <w:kern w:val="0"/>
                <w:szCs w:val="21"/>
              </w:rPr>
              <w:t>4</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Cs w:val="21"/>
              </w:rPr>
            </w:pPr>
          </w:p>
        </w:tc>
      </w:tr>
      <w:tr>
        <w:tblPrEx>
          <w:tblCellMar>
            <w:top w:w="0" w:type="dxa"/>
            <w:left w:w="108" w:type="dxa"/>
            <w:bottom w:w="0" w:type="dxa"/>
            <w:right w:w="108" w:type="dxa"/>
          </w:tblCellMar>
        </w:tblPrEx>
        <w:trPr>
          <w:trHeight w:val="249" w:hRule="atLeast"/>
          <w:jc w:val="center"/>
        </w:trPr>
        <w:tc>
          <w:tcPr>
            <w:tcW w:w="6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cs="宋体"/>
                <w:b/>
                <w:color w:val="000000"/>
                <w:szCs w:val="21"/>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pPr>
              <w:widowControl/>
              <w:spacing w:line="240" w:lineRule="exact"/>
              <w:jc w:val="center"/>
              <w:rPr>
                <w:rFonts w:ascii="宋体" w:hAnsi="宋体" w:cs="宋体"/>
                <w:b/>
                <w:color w:val="000000"/>
                <w:szCs w:val="21"/>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Cs w:val="21"/>
              </w:rPr>
            </w:pPr>
            <w:r>
              <w:rPr>
                <w:rFonts w:hint="eastAsia" w:ascii="宋体" w:hAnsi="宋体" w:cs="宋体"/>
                <w:color w:val="000000"/>
                <w:kern w:val="0"/>
                <w:szCs w:val="21"/>
              </w:rPr>
              <w:t>执行结果</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Cs w:val="21"/>
              </w:rPr>
            </w:pPr>
            <w:r>
              <w:rPr>
                <w:rFonts w:hint="eastAsia" w:ascii="宋体" w:hAnsi="宋体" w:cs="宋体"/>
                <w:color w:val="000000"/>
                <w:kern w:val="0"/>
                <w:szCs w:val="21"/>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szCs w:val="21"/>
              </w:rPr>
            </w:pPr>
            <w:r>
              <w:rPr>
                <w:rFonts w:hint="eastAsia" w:ascii="宋体" w:hAnsi="宋体" w:cs="宋体"/>
                <w:color w:val="000000"/>
                <w:kern w:val="0"/>
                <w:szCs w:val="21"/>
              </w:rPr>
              <w:t>部门预算项目预算执行情况</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Cs w:val="21"/>
              </w:rPr>
            </w:pPr>
            <w:r>
              <w:rPr>
                <w:rFonts w:hint="eastAsia" w:ascii="宋体" w:hAnsi="宋体" w:cs="宋体"/>
                <w:color w:val="000000"/>
                <w:kern w:val="0"/>
                <w:szCs w:val="21"/>
              </w:rPr>
              <w:t>4</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Cs w:val="21"/>
              </w:rPr>
            </w:pPr>
          </w:p>
        </w:tc>
      </w:tr>
      <w:tr>
        <w:tblPrEx>
          <w:tblCellMar>
            <w:top w:w="0" w:type="dxa"/>
            <w:left w:w="108" w:type="dxa"/>
            <w:bottom w:w="0" w:type="dxa"/>
            <w:right w:w="108" w:type="dxa"/>
          </w:tblCellMar>
        </w:tblPrEx>
        <w:trPr>
          <w:trHeight w:val="23" w:hRule="atLeast"/>
          <w:jc w:val="center"/>
        </w:trPr>
        <w:tc>
          <w:tcPr>
            <w:tcW w:w="6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cs="宋体"/>
                <w:b/>
                <w:color w:val="000000"/>
                <w:szCs w:val="21"/>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b/>
                <w:color w:val="000000"/>
                <w:szCs w:val="21"/>
              </w:rPr>
            </w:pPr>
            <w:r>
              <w:rPr>
                <w:rFonts w:hint="eastAsia" w:ascii="宋体" w:hAnsi="宋体" w:cs="宋体"/>
                <w:b/>
                <w:color w:val="000000"/>
                <w:kern w:val="0"/>
                <w:szCs w:val="21"/>
              </w:rPr>
              <w:t>目标实现</w:t>
            </w:r>
            <w:r>
              <w:rPr>
                <w:rFonts w:hint="eastAsia" w:ascii="宋体" w:hAnsi="宋体" w:cs="宋体"/>
                <w:b/>
                <w:color w:val="000000"/>
                <w:kern w:val="0"/>
                <w:szCs w:val="21"/>
              </w:rPr>
              <w:br w:type="textWrapping"/>
            </w:r>
            <w:r>
              <w:rPr>
                <w:rFonts w:hint="eastAsia" w:ascii="宋体" w:hAnsi="宋体" w:cs="宋体"/>
                <w:b/>
                <w:color w:val="000000"/>
                <w:kern w:val="0"/>
                <w:szCs w:val="21"/>
              </w:rPr>
              <w:t>（11分）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Cs w:val="21"/>
              </w:rPr>
            </w:pPr>
            <w:r>
              <w:rPr>
                <w:rFonts w:hint="eastAsia" w:ascii="宋体" w:hAnsi="宋体" w:cs="宋体"/>
                <w:color w:val="000000"/>
                <w:kern w:val="0"/>
                <w:szCs w:val="21"/>
              </w:rPr>
              <w:t>目标完成</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Cs w:val="21"/>
              </w:rPr>
            </w:pPr>
            <w:r>
              <w:rPr>
                <w:rFonts w:hint="eastAsia" w:ascii="宋体" w:hAnsi="宋体" w:cs="宋体"/>
                <w:color w:val="000000"/>
                <w:kern w:val="0"/>
                <w:szCs w:val="21"/>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szCs w:val="21"/>
              </w:rPr>
            </w:pPr>
            <w:r>
              <w:rPr>
                <w:rFonts w:hint="eastAsia" w:ascii="宋体" w:hAnsi="宋体" w:cs="宋体"/>
                <w:color w:val="000000"/>
                <w:kern w:val="0"/>
                <w:szCs w:val="21"/>
              </w:rPr>
              <w:t>部门预算项目绩效目标数量指标完成情况</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Cs w:val="21"/>
              </w:rPr>
            </w:pPr>
            <w:r>
              <w:rPr>
                <w:rFonts w:hint="eastAsia" w:ascii="宋体" w:hAnsi="宋体" w:cs="宋体"/>
                <w:color w:val="000000"/>
                <w:kern w:val="0"/>
                <w:szCs w:val="21"/>
              </w:rPr>
              <w:t>4</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Cs w:val="21"/>
              </w:rPr>
            </w:pPr>
          </w:p>
        </w:tc>
      </w:tr>
      <w:tr>
        <w:tblPrEx>
          <w:tblCellMar>
            <w:top w:w="0" w:type="dxa"/>
            <w:left w:w="108" w:type="dxa"/>
            <w:bottom w:w="0" w:type="dxa"/>
            <w:right w:w="108" w:type="dxa"/>
          </w:tblCellMar>
        </w:tblPrEx>
        <w:trPr>
          <w:trHeight w:val="23" w:hRule="atLeast"/>
          <w:jc w:val="center"/>
        </w:trPr>
        <w:tc>
          <w:tcPr>
            <w:tcW w:w="6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cs="宋体"/>
                <w:b/>
                <w:color w:val="000000"/>
                <w:szCs w:val="21"/>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cs="宋体"/>
                <w:b/>
                <w:color w:val="000000"/>
                <w:szCs w:val="21"/>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Cs w:val="21"/>
              </w:rPr>
            </w:pPr>
            <w:r>
              <w:rPr>
                <w:rFonts w:hint="eastAsia" w:ascii="宋体" w:hAnsi="宋体" w:cs="宋体"/>
                <w:color w:val="000000"/>
                <w:kern w:val="0"/>
                <w:szCs w:val="21"/>
              </w:rPr>
              <w:t>目标偏离</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Cs w:val="21"/>
              </w:rPr>
            </w:pPr>
            <w:r>
              <w:rPr>
                <w:rFonts w:hint="eastAsia" w:ascii="宋体" w:hAnsi="宋体" w:cs="宋体"/>
                <w:color w:val="000000"/>
                <w:kern w:val="0"/>
                <w:szCs w:val="21"/>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szCs w:val="21"/>
              </w:rPr>
            </w:pPr>
            <w:r>
              <w:rPr>
                <w:rFonts w:hint="eastAsia" w:ascii="宋体" w:hAnsi="宋体" w:cs="宋体"/>
                <w:color w:val="000000"/>
                <w:kern w:val="0"/>
                <w:szCs w:val="21"/>
              </w:rPr>
              <w:t>部门预算项目绩效目标数量指标实现程度与预期目标的偏离情况</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Cs w:val="21"/>
              </w:rPr>
            </w:pPr>
            <w:r>
              <w:rPr>
                <w:rFonts w:hint="eastAsia" w:ascii="宋体" w:hAnsi="宋体" w:cs="宋体"/>
                <w:color w:val="000000"/>
                <w:kern w:val="0"/>
                <w:szCs w:val="21"/>
              </w:rPr>
              <w:t>3</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Cs w:val="21"/>
              </w:rPr>
            </w:pPr>
          </w:p>
        </w:tc>
      </w:tr>
      <w:tr>
        <w:tblPrEx>
          <w:tblCellMar>
            <w:top w:w="0" w:type="dxa"/>
            <w:left w:w="108" w:type="dxa"/>
            <w:bottom w:w="0" w:type="dxa"/>
            <w:right w:w="108" w:type="dxa"/>
          </w:tblCellMar>
        </w:tblPrEx>
        <w:trPr>
          <w:trHeight w:val="23" w:hRule="atLeast"/>
          <w:jc w:val="center"/>
        </w:trPr>
        <w:tc>
          <w:tcPr>
            <w:tcW w:w="6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cs="宋体"/>
                <w:b/>
                <w:color w:val="000000"/>
                <w:szCs w:val="21"/>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cs="宋体"/>
                <w:b/>
                <w:color w:val="000000"/>
                <w:szCs w:val="21"/>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Cs w:val="21"/>
              </w:rPr>
            </w:pPr>
            <w:r>
              <w:rPr>
                <w:rFonts w:hint="eastAsia" w:ascii="宋体" w:hAnsi="宋体" w:cs="宋体"/>
                <w:color w:val="000000"/>
                <w:kern w:val="0"/>
                <w:szCs w:val="21"/>
              </w:rPr>
              <w:t>实现效果</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Cs w:val="21"/>
              </w:rPr>
            </w:pPr>
            <w:r>
              <w:rPr>
                <w:rFonts w:hint="eastAsia" w:ascii="宋体" w:hAnsi="宋体" w:cs="宋体"/>
                <w:color w:val="000000"/>
                <w:kern w:val="0"/>
                <w:szCs w:val="21"/>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szCs w:val="21"/>
              </w:rPr>
            </w:pPr>
            <w:r>
              <w:rPr>
                <w:rFonts w:hint="eastAsia" w:ascii="宋体" w:hAnsi="宋体" w:cs="宋体"/>
                <w:color w:val="000000"/>
                <w:kern w:val="0"/>
                <w:szCs w:val="21"/>
              </w:rPr>
              <w:t>部门预算项目绩效目标效益指标实施效果</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Cs w:val="21"/>
              </w:rPr>
            </w:pPr>
            <w:r>
              <w:rPr>
                <w:rFonts w:hint="eastAsia" w:ascii="宋体" w:hAnsi="宋体" w:cs="宋体"/>
                <w:color w:val="000000"/>
                <w:kern w:val="0"/>
                <w:szCs w:val="21"/>
              </w:rPr>
              <w:t>3</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Cs w:val="21"/>
              </w:rPr>
            </w:pPr>
          </w:p>
        </w:tc>
      </w:tr>
      <w:tr>
        <w:tblPrEx>
          <w:tblCellMar>
            <w:top w:w="0" w:type="dxa"/>
            <w:left w:w="108" w:type="dxa"/>
            <w:bottom w:w="0" w:type="dxa"/>
            <w:right w:w="108" w:type="dxa"/>
          </w:tblCellMar>
        </w:tblPrEx>
        <w:trPr>
          <w:trHeight w:val="23"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b/>
                <w:color w:val="000000"/>
                <w:szCs w:val="21"/>
              </w:rPr>
            </w:pPr>
            <w:r>
              <w:rPr>
                <w:rFonts w:hint="eastAsia" w:ascii="宋体" w:hAnsi="宋体" w:cs="宋体"/>
                <w:b/>
                <w:color w:val="000000"/>
                <w:kern w:val="0"/>
                <w:szCs w:val="21"/>
              </w:rPr>
              <w:t>扣分项</w:t>
            </w:r>
            <w:r>
              <w:rPr>
                <w:rFonts w:hint="eastAsia" w:ascii="宋体" w:hAnsi="宋体" w:cs="宋体"/>
                <w:b/>
                <w:color w:val="000000"/>
                <w:kern w:val="0"/>
                <w:szCs w:val="21"/>
              </w:rPr>
              <w:br w:type="textWrapping"/>
            </w:r>
            <w:r>
              <w:rPr>
                <w:rFonts w:hint="eastAsia" w:ascii="宋体" w:hAnsi="宋体" w:cs="宋体"/>
                <w:b/>
                <w:color w:val="000000"/>
                <w:kern w:val="0"/>
                <w:szCs w:val="21"/>
              </w:rPr>
              <w:t>（1</w:t>
            </w:r>
            <w:r>
              <w:rPr>
                <w:rFonts w:hint="eastAsia" w:ascii="宋体" w:hAnsi="宋体" w:cs="宋体"/>
                <w:color w:val="000000"/>
                <w:kern w:val="0"/>
                <w:szCs w:val="21"/>
              </w:rPr>
              <w:t>0</w:t>
            </w:r>
            <w:r>
              <w:rPr>
                <w:rFonts w:hint="eastAsia" w:ascii="宋体" w:hAnsi="宋体" w:cs="宋体"/>
                <w:b/>
                <w:color w:val="000000"/>
                <w:kern w:val="0"/>
                <w:szCs w:val="21"/>
              </w:rPr>
              <w:t>分）</w:t>
            </w:r>
          </w:p>
        </w:tc>
        <w:tc>
          <w:tcPr>
            <w:tcW w:w="31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Cs w:val="21"/>
              </w:rPr>
            </w:pPr>
            <w:r>
              <w:rPr>
                <w:rFonts w:hint="eastAsia" w:ascii="宋体" w:hAnsi="宋体" w:cs="宋体"/>
                <w:color w:val="000000"/>
                <w:kern w:val="0"/>
                <w:szCs w:val="21"/>
              </w:rPr>
              <w:t>被评价部门配合度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Cs w:val="21"/>
              </w:rPr>
            </w:pPr>
            <w:r>
              <w:rPr>
                <w:rFonts w:hint="eastAsia" w:ascii="宋体" w:hAnsi="宋体" w:cs="宋体"/>
                <w:color w:val="000000"/>
                <w:kern w:val="0"/>
                <w:szCs w:val="21"/>
              </w:rPr>
              <w:t>-</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szCs w:val="21"/>
              </w:rPr>
            </w:pPr>
            <w:r>
              <w:rPr>
                <w:rFonts w:hint="eastAsia" w:ascii="宋体" w:hAnsi="宋体" w:cs="宋体"/>
                <w:color w:val="000000"/>
                <w:kern w:val="0"/>
                <w:szCs w:val="21"/>
              </w:rPr>
              <w:t>被评价对象工作配合情况</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Cs w:val="21"/>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Cs w:val="21"/>
              </w:rPr>
            </w:pPr>
          </w:p>
        </w:tc>
      </w:tr>
    </w:tbl>
    <w:p>
      <w:pPr>
        <w:pStyle w:val="2"/>
        <w:spacing w:line="20" w:lineRule="exact"/>
        <w:rPr>
          <w:sz w:val="21"/>
          <w:szCs w:val="21"/>
        </w:rPr>
      </w:pPr>
    </w:p>
    <w:p>
      <w:pPr>
        <w:rPr>
          <w:rFonts w:ascii="仿宋" w:eastAsia="仿宋"/>
          <w:color w:val="000000"/>
          <w:sz w:val="32"/>
          <w:szCs w:val="32"/>
        </w:rPr>
      </w:pPr>
      <w:r>
        <w:rPr>
          <w:rFonts w:eastAsia="黑体"/>
        </w:rPr>
        <w:br w:type="page"/>
      </w:r>
      <w:r>
        <w:rPr>
          <w:rFonts w:eastAsia="黑体"/>
        </w:rPr>
        <w:t>附表</w:t>
      </w:r>
    </w:p>
    <w:tbl>
      <w:tblPr>
        <w:tblStyle w:val="19"/>
        <w:tblW w:w="9278" w:type="dxa"/>
        <w:jc w:val="center"/>
        <w:tblLayout w:type="fixed"/>
        <w:tblCellMar>
          <w:top w:w="15" w:type="dxa"/>
          <w:left w:w="15" w:type="dxa"/>
          <w:bottom w:w="15" w:type="dxa"/>
          <w:right w:w="15" w:type="dxa"/>
        </w:tblCellMar>
      </w:tblPr>
      <w:tblGrid>
        <w:gridCol w:w="625"/>
        <w:gridCol w:w="687"/>
        <w:gridCol w:w="28"/>
        <w:gridCol w:w="1429"/>
        <w:gridCol w:w="1255"/>
        <w:gridCol w:w="162"/>
        <w:gridCol w:w="1134"/>
        <w:gridCol w:w="1003"/>
        <w:gridCol w:w="208"/>
        <w:gridCol w:w="1199"/>
        <w:gridCol w:w="1548"/>
      </w:tblGrid>
      <w:tr>
        <w:tblPrEx>
          <w:tblCellMar>
            <w:top w:w="15" w:type="dxa"/>
            <w:left w:w="15" w:type="dxa"/>
            <w:bottom w:w="15" w:type="dxa"/>
            <w:right w:w="15" w:type="dxa"/>
          </w:tblCellMar>
        </w:tblPrEx>
        <w:trPr>
          <w:trHeight w:val="632" w:hRule="exact"/>
          <w:jc w:val="center"/>
        </w:trPr>
        <w:tc>
          <w:tcPr>
            <w:tcW w:w="9278" w:type="dxa"/>
            <w:gridSpan w:val="11"/>
            <w:shd w:val="clear" w:color="auto" w:fill="auto"/>
            <w:vAlign w:val="center"/>
          </w:tcPr>
          <w:p>
            <w:pPr>
              <w:widowControl/>
              <w:spacing w:line="600" w:lineRule="exact"/>
              <w:jc w:val="center"/>
              <w:textAlignment w:val="center"/>
              <w:rPr>
                <w:rFonts w:eastAsia="黑体"/>
                <w:color w:val="000000"/>
                <w:sz w:val="28"/>
                <w:szCs w:val="28"/>
              </w:rPr>
            </w:pPr>
            <w:r>
              <w:rPr>
                <w:rFonts w:hint="eastAsia" w:eastAsia="方正小标宋简体"/>
                <w:kern w:val="0"/>
                <w:sz w:val="44"/>
                <w:szCs w:val="44"/>
              </w:rPr>
              <w:t>部门整体支出绩效目标完成情况自评表</w:t>
            </w:r>
          </w:p>
        </w:tc>
      </w:tr>
      <w:tr>
        <w:tblPrEx>
          <w:tblCellMar>
            <w:top w:w="15" w:type="dxa"/>
            <w:left w:w="15" w:type="dxa"/>
            <w:bottom w:w="15" w:type="dxa"/>
            <w:right w:w="15" w:type="dxa"/>
          </w:tblCellMar>
        </w:tblPrEx>
        <w:trPr>
          <w:trHeight w:val="19" w:hRule="atLeast"/>
          <w:jc w:val="center"/>
        </w:trPr>
        <w:tc>
          <w:tcPr>
            <w:tcW w:w="9278" w:type="dxa"/>
            <w:gridSpan w:val="11"/>
            <w:shd w:val="clear" w:color="auto" w:fill="auto"/>
            <w:vAlign w:val="center"/>
          </w:tcPr>
          <w:p>
            <w:pPr>
              <w:widowControl/>
              <w:spacing w:line="300" w:lineRule="exact"/>
              <w:jc w:val="center"/>
              <w:textAlignment w:val="center"/>
              <w:rPr>
                <w:color w:val="000000"/>
                <w:sz w:val="28"/>
                <w:szCs w:val="28"/>
              </w:rPr>
            </w:pPr>
            <w:r>
              <w:rPr>
                <w:color w:val="000000"/>
                <w:kern w:val="0"/>
                <w:sz w:val="28"/>
                <w:szCs w:val="28"/>
              </w:rPr>
              <w:t>（202</w:t>
            </w:r>
            <w:r>
              <w:rPr>
                <w:rFonts w:hint="eastAsia"/>
                <w:color w:val="000000"/>
                <w:kern w:val="0"/>
                <w:sz w:val="28"/>
                <w:szCs w:val="28"/>
              </w:rPr>
              <w:t>4</w:t>
            </w:r>
            <w:r>
              <w:rPr>
                <w:color w:val="000000"/>
                <w:kern w:val="0"/>
                <w:sz w:val="28"/>
                <w:szCs w:val="28"/>
              </w:rPr>
              <w:t>年度）</w:t>
            </w:r>
          </w:p>
        </w:tc>
      </w:tr>
      <w:tr>
        <w:tblPrEx>
          <w:tblCellMar>
            <w:top w:w="15" w:type="dxa"/>
            <w:left w:w="15" w:type="dxa"/>
            <w:bottom w:w="15" w:type="dxa"/>
            <w:right w:w="15" w:type="dxa"/>
          </w:tblCellMar>
        </w:tblPrEx>
        <w:trPr>
          <w:trHeight w:val="19" w:hRule="atLeast"/>
          <w:jc w:val="center"/>
        </w:trPr>
        <w:tc>
          <w:tcPr>
            <w:tcW w:w="9278" w:type="dxa"/>
            <w:gridSpan w:val="11"/>
            <w:tcBorders>
              <w:bottom w:val="single" w:color="000000" w:sz="4" w:space="0"/>
            </w:tcBorders>
            <w:shd w:val="clear" w:color="auto" w:fill="auto"/>
            <w:vAlign w:val="center"/>
          </w:tcPr>
          <w:p>
            <w:pPr>
              <w:widowControl/>
              <w:spacing w:line="300" w:lineRule="exact"/>
              <w:jc w:val="right"/>
              <w:textAlignment w:val="center"/>
              <w:rPr>
                <w:color w:val="000000"/>
                <w:szCs w:val="21"/>
              </w:rPr>
            </w:pPr>
            <w:r>
              <w:rPr>
                <w:color w:val="000000"/>
                <w:kern w:val="0"/>
                <w:szCs w:val="21"/>
              </w:rPr>
              <w:t>单位：</w:t>
            </w:r>
            <w:r>
              <w:rPr>
                <w:rFonts w:hint="eastAsia"/>
                <w:color w:val="000000"/>
                <w:kern w:val="0"/>
                <w:szCs w:val="21"/>
              </w:rPr>
              <w:t>万</w:t>
            </w:r>
            <w:r>
              <w:rPr>
                <w:color w:val="000000"/>
                <w:kern w:val="0"/>
                <w:szCs w:val="21"/>
              </w:rPr>
              <w:t>元</w:t>
            </w:r>
          </w:p>
        </w:tc>
      </w:tr>
      <w:tr>
        <w:tblPrEx>
          <w:tblCellMar>
            <w:top w:w="15" w:type="dxa"/>
            <w:left w:w="15" w:type="dxa"/>
            <w:bottom w:w="15" w:type="dxa"/>
            <w:right w:w="15" w:type="dxa"/>
          </w:tblCellMar>
        </w:tblPrEx>
        <w:trPr>
          <w:trHeight w:val="19" w:hRule="atLeast"/>
          <w:jc w:val="center"/>
        </w:trPr>
        <w:tc>
          <w:tcPr>
            <w:tcW w:w="402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color w:val="000000"/>
                <w:sz w:val="24"/>
              </w:rPr>
            </w:pPr>
            <w:r>
              <w:rPr>
                <w:color w:val="000000"/>
                <w:kern w:val="0"/>
                <w:sz w:val="24"/>
              </w:rPr>
              <w:t>部门名称</w:t>
            </w:r>
          </w:p>
        </w:tc>
        <w:tc>
          <w:tcPr>
            <w:tcW w:w="525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textAlignment w:val="center"/>
              <w:rPr>
                <w:color w:val="000000"/>
                <w:sz w:val="24"/>
              </w:rPr>
            </w:pPr>
            <w:r>
              <w:rPr>
                <w:rFonts w:hint="eastAsia"/>
                <w:color w:val="000000"/>
                <w:sz w:val="24"/>
              </w:rPr>
              <w:t>茂县南新镇人民政府</w:t>
            </w:r>
          </w:p>
        </w:tc>
      </w:tr>
      <w:tr>
        <w:tblPrEx>
          <w:tblCellMar>
            <w:top w:w="15" w:type="dxa"/>
            <w:left w:w="15" w:type="dxa"/>
            <w:bottom w:w="15" w:type="dxa"/>
            <w:right w:w="15" w:type="dxa"/>
          </w:tblCellMar>
        </w:tblPrEx>
        <w:trPr>
          <w:trHeight w:val="19" w:hRule="atLeast"/>
          <w:jc w:val="center"/>
        </w:trPr>
        <w:tc>
          <w:tcPr>
            <w:tcW w:w="134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color w:val="000000"/>
                <w:sz w:val="24"/>
              </w:rPr>
            </w:pPr>
            <w:r>
              <w:rPr>
                <w:color w:val="000000"/>
                <w:kern w:val="0"/>
                <w:sz w:val="24"/>
              </w:rPr>
              <w:t>年度部门整体支出预算</w:t>
            </w:r>
          </w:p>
        </w:tc>
        <w:tc>
          <w:tcPr>
            <w:tcW w:w="26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color w:val="000000"/>
                <w:sz w:val="24"/>
              </w:rPr>
            </w:pPr>
            <w:r>
              <w:rPr>
                <w:color w:val="000000"/>
                <w:kern w:val="0"/>
                <w:sz w:val="24"/>
              </w:rPr>
              <w:t>资金总额</w:t>
            </w:r>
          </w:p>
        </w:tc>
        <w:tc>
          <w:tcPr>
            <w:tcW w:w="229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color w:val="000000"/>
                <w:sz w:val="24"/>
              </w:rPr>
            </w:pPr>
            <w:r>
              <w:rPr>
                <w:color w:val="000000"/>
                <w:kern w:val="0"/>
                <w:sz w:val="24"/>
              </w:rPr>
              <w:t>财政拨款</w:t>
            </w:r>
          </w:p>
        </w:tc>
        <w:tc>
          <w:tcPr>
            <w:tcW w:w="29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color w:val="000000"/>
                <w:sz w:val="24"/>
              </w:rPr>
            </w:pPr>
            <w:r>
              <w:rPr>
                <w:color w:val="000000"/>
                <w:kern w:val="0"/>
                <w:sz w:val="24"/>
              </w:rPr>
              <w:t>其他资金</w:t>
            </w:r>
          </w:p>
        </w:tc>
      </w:tr>
      <w:tr>
        <w:tblPrEx>
          <w:tblCellMar>
            <w:top w:w="15" w:type="dxa"/>
            <w:left w:w="15" w:type="dxa"/>
            <w:bottom w:w="15" w:type="dxa"/>
            <w:right w:w="15" w:type="dxa"/>
          </w:tblCellMar>
        </w:tblPrEx>
        <w:trPr>
          <w:trHeight w:val="19" w:hRule="atLeast"/>
          <w:jc w:val="center"/>
        </w:trPr>
        <w:tc>
          <w:tcPr>
            <w:tcW w:w="134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color w:val="000000"/>
                <w:sz w:val="24"/>
              </w:rPr>
            </w:pPr>
          </w:p>
        </w:tc>
        <w:tc>
          <w:tcPr>
            <w:tcW w:w="26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color w:val="000000"/>
                <w:sz w:val="24"/>
              </w:rPr>
            </w:pPr>
            <w:r>
              <w:rPr>
                <w:rFonts w:hint="eastAsia"/>
                <w:color w:val="000000"/>
                <w:kern w:val="0"/>
                <w:sz w:val="24"/>
              </w:rPr>
              <w:t>1187.29</w:t>
            </w:r>
          </w:p>
        </w:tc>
        <w:tc>
          <w:tcPr>
            <w:tcW w:w="229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color w:val="000000"/>
                <w:sz w:val="24"/>
              </w:rPr>
            </w:pPr>
            <w:r>
              <w:rPr>
                <w:rFonts w:hint="eastAsia"/>
                <w:color w:val="000000"/>
                <w:kern w:val="0"/>
                <w:sz w:val="24"/>
              </w:rPr>
              <w:t>1187.29</w:t>
            </w:r>
          </w:p>
        </w:tc>
        <w:tc>
          <w:tcPr>
            <w:tcW w:w="29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color w:val="000000"/>
                <w:sz w:val="24"/>
              </w:rPr>
            </w:pPr>
            <w:r>
              <w:rPr>
                <w:rFonts w:hint="eastAsia"/>
                <w:color w:val="000000"/>
                <w:kern w:val="0"/>
                <w:sz w:val="24"/>
              </w:rPr>
              <w:t>0</w:t>
            </w:r>
          </w:p>
        </w:tc>
      </w:tr>
      <w:tr>
        <w:tblPrEx>
          <w:tblCellMar>
            <w:top w:w="15" w:type="dxa"/>
            <w:left w:w="15" w:type="dxa"/>
            <w:bottom w:w="15" w:type="dxa"/>
            <w:right w:w="15" w:type="dxa"/>
          </w:tblCellMar>
        </w:tblPrEx>
        <w:trPr>
          <w:trHeight w:val="1461" w:hRule="atLeast"/>
          <w:jc w:val="center"/>
        </w:trPr>
        <w:tc>
          <w:tcPr>
            <w:tcW w:w="13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color w:val="000000"/>
                <w:kern w:val="0"/>
                <w:sz w:val="18"/>
                <w:szCs w:val="18"/>
              </w:rPr>
            </w:pPr>
            <w:r>
              <w:rPr>
                <w:color w:val="000000"/>
                <w:kern w:val="0"/>
                <w:sz w:val="18"/>
                <w:szCs w:val="18"/>
              </w:rPr>
              <w:t>年度总体目标</w:t>
            </w:r>
          </w:p>
        </w:tc>
        <w:tc>
          <w:tcPr>
            <w:tcW w:w="793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color w:val="000000"/>
                <w:kern w:val="0"/>
                <w:sz w:val="18"/>
                <w:szCs w:val="18"/>
              </w:rPr>
            </w:pPr>
            <w:r>
              <w:rPr>
                <w:rFonts w:hint="eastAsia"/>
                <w:color w:val="000000"/>
                <w:kern w:val="0"/>
                <w:sz w:val="18"/>
                <w:szCs w:val="18"/>
              </w:rPr>
              <w:t>负责调查了解农业产业结构状况及市场走向，及时提供农业结构调整参考信息；负责组织军烈属慰问、民政救灾救济工作；宣传贯彻国土管理、城建规划的法律法规，拟定全镇国土、城建管理规划措施；宣传教育、文化、科技、卫生等方面的政策、知识；严格按规定做好财务管理工作。　</w:t>
            </w:r>
          </w:p>
        </w:tc>
      </w:tr>
      <w:tr>
        <w:tblPrEx>
          <w:tblCellMar>
            <w:top w:w="15" w:type="dxa"/>
            <w:left w:w="15" w:type="dxa"/>
            <w:bottom w:w="15" w:type="dxa"/>
            <w:right w:w="15" w:type="dxa"/>
          </w:tblCellMar>
        </w:tblPrEx>
        <w:trPr>
          <w:trHeight w:val="19" w:hRule="atLeast"/>
          <w:jc w:val="center"/>
        </w:trPr>
        <w:tc>
          <w:tcPr>
            <w:tcW w:w="1340" w:type="dxa"/>
            <w:gridSpan w:val="3"/>
            <w:vMerge w:val="restart"/>
            <w:tcBorders>
              <w:top w:val="single" w:color="000000" w:sz="4" w:space="0"/>
              <w:left w:val="single" w:color="000000" w:sz="4" w:space="0"/>
              <w:right w:val="single" w:color="000000" w:sz="4" w:space="0"/>
            </w:tcBorders>
            <w:shd w:val="clear" w:color="auto" w:fill="auto"/>
            <w:vAlign w:val="center"/>
          </w:tcPr>
          <w:p>
            <w:pPr>
              <w:widowControl/>
              <w:spacing w:line="300" w:lineRule="exact"/>
              <w:jc w:val="center"/>
              <w:textAlignment w:val="center"/>
              <w:rPr>
                <w:color w:val="000000"/>
                <w:kern w:val="0"/>
                <w:sz w:val="24"/>
              </w:rPr>
            </w:pPr>
            <w:r>
              <w:rPr>
                <w:color w:val="000000"/>
                <w:kern w:val="0"/>
                <w:sz w:val="24"/>
              </w:rPr>
              <w:t>年度主要</w:t>
            </w:r>
          </w:p>
          <w:p>
            <w:pPr>
              <w:widowControl/>
              <w:spacing w:line="300" w:lineRule="exact"/>
              <w:jc w:val="center"/>
              <w:textAlignment w:val="center"/>
              <w:rPr>
                <w:color w:val="000000"/>
                <w:sz w:val="24"/>
              </w:rPr>
            </w:pPr>
            <w:r>
              <w:rPr>
                <w:color w:val="000000"/>
                <w:kern w:val="0"/>
                <w:sz w:val="24"/>
              </w:rPr>
              <w:t>任务</w:t>
            </w:r>
          </w:p>
        </w:tc>
        <w:tc>
          <w:tcPr>
            <w:tcW w:w="26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color w:val="000000"/>
                <w:sz w:val="24"/>
              </w:rPr>
            </w:pPr>
            <w:r>
              <w:rPr>
                <w:color w:val="000000"/>
                <w:kern w:val="0"/>
                <w:sz w:val="24"/>
              </w:rPr>
              <w:t>任务名称</w:t>
            </w:r>
          </w:p>
        </w:tc>
        <w:tc>
          <w:tcPr>
            <w:tcW w:w="525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color w:val="000000"/>
                <w:sz w:val="24"/>
              </w:rPr>
            </w:pPr>
            <w:r>
              <w:rPr>
                <w:color w:val="000000"/>
                <w:kern w:val="0"/>
                <w:sz w:val="24"/>
              </w:rPr>
              <w:t>主要内容</w:t>
            </w:r>
          </w:p>
        </w:tc>
      </w:tr>
      <w:tr>
        <w:tblPrEx>
          <w:tblCellMar>
            <w:top w:w="15" w:type="dxa"/>
            <w:left w:w="15" w:type="dxa"/>
            <w:bottom w:w="15" w:type="dxa"/>
            <w:right w:w="15" w:type="dxa"/>
          </w:tblCellMar>
        </w:tblPrEx>
        <w:trPr>
          <w:trHeight w:val="19" w:hRule="atLeast"/>
          <w:jc w:val="center"/>
        </w:trPr>
        <w:tc>
          <w:tcPr>
            <w:tcW w:w="1340" w:type="dxa"/>
            <w:gridSpan w:val="3"/>
            <w:vMerge w:val="continue"/>
            <w:tcBorders>
              <w:left w:val="single" w:color="000000" w:sz="4" w:space="0"/>
              <w:right w:val="single" w:color="000000" w:sz="4" w:space="0"/>
            </w:tcBorders>
            <w:shd w:val="clear" w:color="auto" w:fill="auto"/>
            <w:vAlign w:val="center"/>
          </w:tcPr>
          <w:p>
            <w:pPr>
              <w:widowControl/>
              <w:spacing w:line="300" w:lineRule="exact"/>
              <w:jc w:val="center"/>
              <w:rPr>
                <w:color w:val="000000"/>
                <w:sz w:val="24"/>
              </w:rPr>
            </w:pPr>
          </w:p>
        </w:tc>
        <w:tc>
          <w:tcPr>
            <w:tcW w:w="26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color w:val="000000"/>
                <w:sz w:val="24"/>
              </w:rPr>
            </w:pPr>
            <w:r>
              <w:rPr>
                <w:rFonts w:hint="eastAsia"/>
                <w:color w:val="000000"/>
                <w:kern w:val="0"/>
                <w:sz w:val="18"/>
                <w:szCs w:val="18"/>
              </w:rPr>
              <w:t>进一步抓重点、补短板、挖增量，抢抓施工黄金季节，加快各类项目建设</w:t>
            </w:r>
          </w:p>
        </w:tc>
        <w:tc>
          <w:tcPr>
            <w:tcW w:w="525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color w:val="000000"/>
                <w:sz w:val="24"/>
              </w:rPr>
            </w:pPr>
            <w:r>
              <w:rPr>
                <w:rFonts w:hint="eastAsia"/>
                <w:color w:val="000000"/>
                <w:kern w:val="0"/>
                <w:sz w:val="18"/>
                <w:szCs w:val="18"/>
              </w:rPr>
              <w:t>大力开展民生调查，倾听群众诉求，积极联系县级有关部门，在最短时间内排民忧、解民难。</w:t>
            </w:r>
          </w:p>
        </w:tc>
      </w:tr>
      <w:tr>
        <w:tblPrEx>
          <w:tblCellMar>
            <w:top w:w="15" w:type="dxa"/>
            <w:left w:w="15" w:type="dxa"/>
            <w:bottom w:w="15" w:type="dxa"/>
            <w:right w:w="15" w:type="dxa"/>
          </w:tblCellMar>
        </w:tblPrEx>
        <w:trPr>
          <w:trHeight w:val="521" w:hRule="atLeast"/>
          <w:jc w:val="center"/>
        </w:trPr>
        <w:tc>
          <w:tcPr>
            <w:tcW w:w="1340" w:type="dxa"/>
            <w:gridSpan w:val="3"/>
            <w:vMerge w:val="continue"/>
            <w:tcBorders>
              <w:left w:val="single" w:color="000000" w:sz="4" w:space="0"/>
              <w:right w:val="single" w:color="000000" w:sz="4" w:space="0"/>
            </w:tcBorders>
            <w:shd w:val="clear" w:color="auto" w:fill="auto"/>
            <w:vAlign w:val="center"/>
          </w:tcPr>
          <w:p>
            <w:pPr>
              <w:widowControl/>
              <w:spacing w:line="300" w:lineRule="exact"/>
              <w:jc w:val="center"/>
              <w:rPr>
                <w:color w:val="000000"/>
                <w:sz w:val="24"/>
              </w:rPr>
            </w:pPr>
          </w:p>
        </w:tc>
        <w:tc>
          <w:tcPr>
            <w:tcW w:w="26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color w:val="000000"/>
                <w:sz w:val="24"/>
              </w:rPr>
            </w:pPr>
            <w:r>
              <w:rPr>
                <w:rFonts w:hint="eastAsia"/>
                <w:color w:val="000000"/>
                <w:kern w:val="0"/>
                <w:sz w:val="18"/>
                <w:szCs w:val="18"/>
              </w:rPr>
              <w:t>进一步完善社会救助体系</w:t>
            </w:r>
          </w:p>
        </w:tc>
        <w:tc>
          <w:tcPr>
            <w:tcW w:w="525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color w:val="000000"/>
                <w:kern w:val="0"/>
                <w:sz w:val="18"/>
                <w:szCs w:val="18"/>
              </w:rPr>
            </w:pPr>
            <w:r>
              <w:rPr>
                <w:rFonts w:hint="eastAsia"/>
                <w:color w:val="000000"/>
                <w:kern w:val="0"/>
                <w:sz w:val="18"/>
                <w:szCs w:val="18"/>
              </w:rPr>
              <w:t>加快推进农村老龄、社会福利、社会慈善、残疾人事业发展，大力促进就业创业，统筹做好返乡大学生生、农民工、退役军人等重点群体就业问题。</w:t>
            </w:r>
          </w:p>
        </w:tc>
      </w:tr>
      <w:tr>
        <w:tblPrEx>
          <w:tblCellMar>
            <w:top w:w="15" w:type="dxa"/>
            <w:left w:w="15" w:type="dxa"/>
            <w:bottom w:w="15" w:type="dxa"/>
            <w:right w:w="15" w:type="dxa"/>
          </w:tblCellMar>
        </w:tblPrEx>
        <w:trPr>
          <w:trHeight w:val="19" w:hRule="atLeast"/>
          <w:jc w:val="center"/>
        </w:trPr>
        <w:tc>
          <w:tcPr>
            <w:tcW w:w="1340" w:type="dxa"/>
            <w:gridSpan w:val="3"/>
            <w:vMerge w:val="continue"/>
            <w:tcBorders>
              <w:left w:val="single" w:color="000000" w:sz="4" w:space="0"/>
              <w:right w:val="single" w:color="000000" w:sz="4" w:space="0"/>
            </w:tcBorders>
            <w:shd w:val="clear" w:color="auto" w:fill="auto"/>
            <w:vAlign w:val="center"/>
          </w:tcPr>
          <w:p>
            <w:pPr>
              <w:widowControl/>
              <w:spacing w:line="300" w:lineRule="exact"/>
              <w:jc w:val="center"/>
              <w:rPr>
                <w:color w:val="000000"/>
                <w:sz w:val="24"/>
              </w:rPr>
            </w:pPr>
          </w:p>
        </w:tc>
        <w:tc>
          <w:tcPr>
            <w:tcW w:w="26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color w:val="000000"/>
                <w:sz w:val="24"/>
              </w:rPr>
            </w:pPr>
            <w:r>
              <w:rPr>
                <w:rFonts w:hint="eastAsia"/>
                <w:color w:val="000000"/>
                <w:kern w:val="0"/>
                <w:sz w:val="18"/>
                <w:szCs w:val="18"/>
              </w:rPr>
              <w:t>全面落实河长制</w:t>
            </w:r>
            <w:r>
              <w:rPr>
                <w:color w:val="000000"/>
                <w:kern w:val="0"/>
                <w:sz w:val="18"/>
                <w:szCs w:val="18"/>
              </w:rPr>
              <w:t>工作</w:t>
            </w:r>
          </w:p>
        </w:tc>
        <w:tc>
          <w:tcPr>
            <w:tcW w:w="525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color w:val="000000"/>
                <w:sz w:val="24"/>
              </w:rPr>
            </w:pPr>
            <w:r>
              <w:rPr>
                <w:rFonts w:hint="eastAsia"/>
                <w:color w:val="000000"/>
                <w:kern w:val="0"/>
                <w:sz w:val="18"/>
                <w:szCs w:val="18"/>
              </w:rPr>
              <w:t>深入推进清河、护岸、净水、保水行动。坚持“清四乱”工作，深入开展入河排污口整治、自然保护区监督检查等专项行动，狠抓“村收集、镇运输、县处理”垃圾清运模式，切实筑牢长江上游生态屏障。</w:t>
            </w:r>
          </w:p>
        </w:tc>
      </w:tr>
      <w:tr>
        <w:tblPrEx>
          <w:tblCellMar>
            <w:top w:w="15" w:type="dxa"/>
            <w:left w:w="15" w:type="dxa"/>
            <w:bottom w:w="15" w:type="dxa"/>
            <w:right w:w="15" w:type="dxa"/>
          </w:tblCellMar>
        </w:tblPrEx>
        <w:trPr>
          <w:trHeight w:val="19" w:hRule="atLeast"/>
          <w:jc w:val="center"/>
        </w:trPr>
        <w:tc>
          <w:tcPr>
            <w:tcW w:w="1340" w:type="dxa"/>
            <w:gridSpan w:val="3"/>
            <w:vMerge w:val="continue"/>
            <w:tcBorders>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color w:val="000000"/>
                <w:sz w:val="24"/>
              </w:rPr>
            </w:pPr>
          </w:p>
        </w:tc>
        <w:tc>
          <w:tcPr>
            <w:tcW w:w="26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color w:val="000000"/>
                <w:sz w:val="24"/>
              </w:rPr>
            </w:pPr>
            <w:r>
              <w:rPr>
                <w:rFonts w:hint="eastAsia"/>
                <w:color w:val="000000"/>
                <w:kern w:val="0"/>
                <w:sz w:val="18"/>
                <w:szCs w:val="18"/>
              </w:rPr>
              <w:t>毫不松懈抓好防灾减灾工作</w:t>
            </w:r>
          </w:p>
        </w:tc>
        <w:tc>
          <w:tcPr>
            <w:tcW w:w="525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color w:val="000000"/>
                <w:kern w:val="0"/>
                <w:sz w:val="18"/>
                <w:szCs w:val="18"/>
              </w:rPr>
            </w:pPr>
            <w:r>
              <w:rPr>
                <w:rFonts w:hint="eastAsia"/>
                <w:color w:val="000000"/>
                <w:kern w:val="0"/>
                <w:sz w:val="18"/>
                <w:szCs w:val="18"/>
              </w:rPr>
              <w:t>切实做好隐患排查、值班值守、监测预警、转移避让等工作，全力保护人民群众生命财产安全。</w:t>
            </w:r>
          </w:p>
        </w:tc>
      </w:tr>
      <w:tr>
        <w:tblPrEx>
          <w:tblCellMar>
            <w:top w:w="0" w:type="dxa"/>
            <w:left w:w="108" w:type="dxa"/>
            <w:bottom w:w="0" w:type="dxa"/>
            <w:right w:w="108" w:type="dxa"/>
          </w:tblCellMar>
        </w:tblPrEx>
        <w:trPr>
          <w:trHeight w:val="472" w:hRule="atLeast"/>
          <w:jc w:val="center"/>
        </w:trPr>
        <w:tc>
          <w:tcPr>
            <w:tcW w:w="6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ascii="宋体" w:hAnsi="宋体" w:cs="宋体"/>
                <w:color w:val="000000"/>
                <w:kern w:val="0"/>
                <w:sz w:val="18"/>
                <w:szCs w:val="18"/>
              </w:rPr>
              <w:t>年度绩效指标</w:t>
            </w:r>
          </w:p>
        </w:tc>
        <w:tc>
          <w:tcPr>
            <w:tcW w:w="6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ascii="宋体" w:hAnsi="宋体" w:cs="宋体"/>
                <w:color w:val="000000"/>
                <w:kern w:val="0"/>
                <w:sz w:val="18"/>
                <w:szCs w:val="18"/>
              </w:rPr>
              <w:t>一级指标</w:t>
            </w:r>
          </w:p>
        </w:tc>
        <w:tc>
          <w:tcPr>
            <w:tcW w:w="14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ascii="宋体" w:hAnsi="宋体" w:cs="宋体"/>
                <w:color w:val="000000"/>
                <w:kern w:val="0"/>
                <w:sz w:val="18"/>
                <w:szCs w:val="18"/>
              </w:rPr>
              <w:t>二级指标</w:t>
            </w:r>
          </w:p>
        </w:tc>
        <w:tc>
          <w:tcPr>
            <w:tcW w:w="14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ascii="宋体" w:hAnsi="宋体" w:cs="宋体"/>
                <w:color w:val="000000"/>
                <w:kern w:val="0"/>
                <w:sz w:val="18"/>
                <w:szCs w:val="18"/>
              </w:rPr>
              <w:t>三级指标</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ascii="宋体" w:hAnsi="宋体" w:cs="宋体"/>
                <w:color w:val="000000"/>
                <w:kern w:val="0"/>
                <w:sz w:val="18"/>
                <w:szCs w:val="18"/>
              </w:rPr>
              <w:t>绩效指标性质</w:t>
            </w:r>
          </w:p>
        </w:tc>
        <w:tc>
          <w:tcPr>
            <w:tcW w:w="12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ascii="宋体" w:hAnsi="宋体" w:cs="宋体"/>
                <w:color w:val="000000"/>
                <w:kern w:val="0"/>
                <w:sz w:val="18"/>
                <w:szCs w:val="18"/>
              </w:rPr>
              <w:t>绩效指标值</w:t>
            </w:r>
          </w:p>
        </w:tc>
        <w:tc>
          <w:tcPr>
            <w:tcW w:w="11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ascii="宋体" w:hAnsi="宋体" w:cs="宋体"/>
                <w:color w:val="000000"/>
                <w:kern w:val="0"/>
                <w:sz w:val="18"/>
                <w:szCs w:val="18"/>
              </w:rPr>
              <w:t>绩效度量单位</w:t>
            </w:r>
          </w:p>
        </w:tc>
        <w:tc>
          <w:tcPr>
            <w:tcW w:w="15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ascii="宋体" w:hAnsi="宋体" w:cs="宋体"/>
                <w:color w:val="000000"/>
                <w:kern w:val="0"/>
                <w:sz w:val="18"/>
                <w:szCs w:val="18"/>
              </w:rPr>
              <w:t>权重</w:t>
            </w:r>
          </w:p>
        </w:tc>
      </w:tr>
      <w:tr>
        <w:tblPrEx>
          <w:tblCellMar>
            <w:top w:w="0" w:type="dxa"/>
            <w:left w:w="108" w:type="dxa"/>
            <w:bottom w:w="0" w:type="dxa"/>
            <w:right w:w="108" w:type="dxa"/>
          </w:tblCellMar>
        </w:tblPrEx>
        <w:trPr>
          <w:trHeight w:val="472" w:hRule="atLeast"/>
          <w:jc w:val="center"/>
        </w:trPr>
        <w:tc>
          <w:tcPr>
            <w:tcW w:w="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6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18"/>
                <w:szCs w:val="18"/>
              </w:rPr>
            </w:pPr>
            <w:r>
              <w:rPr>
                <w:rFonts w:ascii="宋体" w:hAnsi="宋体" w:cs="宋体"/>
                <w:color w:val="000000"/>
                <w:kern w:val="0"/>
                <w:sz w:val="18"/>
                <w:szCs w:val="18"/>
              </w:rPr>
              <w:t>产出指标</w:t>
            </w:r>
          </w:p>
        </w:tc>
        <w:tc>
          <w:tcPr>
            <w:tcW w:w="14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18"/>
                <w:szCs w:val="18"/>
              </w:rPr>
            </w:pPr>
            <w:r>
              <w:rPr>
                <w:rFonts w:ascii="宋体" w:hAnsi="宋体" w:cs="宋体"/>
                <w:color w:val="000000"/>
                <w:kern w:val="0"/>
                <w:sz w:val="18"/>
                <w:szCs w:val="18"/>
              </w:rPr>
              <w:t>数量指标</w:t>
            </w:r>
          </w:p>
        </w:tc>
        <w:tc>
          <w:tcPr>
            <w:tcW w:w="14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18"/>
                <w:szCs w:val="18"/>
              </w:rPr>
            </w:pPr>
            <w:r>
              <w:rPr>
                <w:rFonts w:ascii="宋体" w:hAnsi="宋体" w:cs="宋体"/>
                <w:color w:val="000000"/>
                <w:kern w:val="0"/>
                <w:sz w:val="18"/>
                <w:szCs w:val="18"/>
              </w:rPr>
              <w:t>职工</w:t>
            </w:r>
            <w:r>
              <w:rPr>
                <w:rFonts w:hint="eastAsia" w:ascii="宋体" w:hAnsi="宋体" w:cs="宋体"/>
                <w:color w:val="000000"/>
                <w:kern w:val="0"/>
                <w:sz w:val="18"/>
                <w:szCs w:val="18"/>
              </w:rPr>
              <w:t>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18"/>
                <w:szCs w:val="18"/>
              </w:rPr>
            </w:pPr>
            <w:r>
              <w:rPr>
                <w:rFonts w:ascii="宋体" w:hAnsi="宋体" w:cs="宋体"/>
                <w:color w:val="000000"/>
                <w:kern w:val="0"/>
                <w:sz w:val="18"/>
                <w:szCs w:val="18"/>
              </w:rPr>
              <w:t>＝</w:t>
            </w:r>
          </w:p>
        </w:tc>
        <w:tc>
          <w:tcPr>
            <w:tcW w:w="12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50</w:t>
            </w:r>
          </w:p>
        </w:tc>
        <w:tc>
          <w:tcPr>
            <w:tcW w:w="11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18"/>
                <w:szCs w:val="18"/>
              </w:rPr>
            </w:pPr>
            <w:r>
              <w:rPr>
                <w:rFonts w:ascii="宋体" w:hAnsi="宋体" w:cs="宋体"/>
                <w:color w:val="000000"/>
                <w:kern w:val="0"/>
                <w:sz w:val="18"/>
                <w:szCs w:val="18"/>
              </w:rPr>
              <w:t>人数</w:t>
            </w:r>
          </w:p>
        </w:tc>
        <w:tc>
          <w:tcPr>
            <w:tcW w:w="15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18"/>
                <w:szCs w:val="18"/>
              </w:rPr>
            </w:pPr>
            <w:r>
              <w:rPr>
                <w:rFonts w:ascii="宋体" w:hAnsi="宋体" w:cs="宋体"/>
                <w:color w:val="000000"/>
                <w:kern w:val="0"/>
                <w:sz w:val="18"/>
                <w:szCs w:val="18"/>
              </w:rPr>
              <w:t>10</w:t>
            </w:r>
          </w:p>
        </w:tc>
      </w:tr>
      <w:tr>
        <w:tblPrEx>
          <w:tblCellMar>
            <w:top w:w="0" w:type="dxa"/>
            <w:left w:w="108" w:type="dxa"/>
            <w:bottom w:w="0" w:type="dxa"/>
            <w:right w:w="108" w:type="dxa"/>
          </w:tblCellMar>
        </w:tblPrEx>
        <w:trPr>
          <w:trHeight w:val="472" w:hRule="atLeast"/>
          <w:jc w:val="center"/>
        </w:trPr>
        <w:tc>
          <w:tcPr>
            <w:tcW w:w="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6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宋体" w:hAnsi="宋体" w:cs="宋体"/>
                <w:color w:val="000000"/>
                <w:sz w:val="18"/>
                <w:szCs w:val="18"/>
              </w:rPr>
            </w:pPr>
          </w:p>
        </w:tc>
        <w:tc>
          <w:tcPr>
            <w:tcW w:w="14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18"/>
                <w:szCs w:val="18"/>
              </w:rPr>
            </w:pPr>
            <w:r>
              <w:rPr>
                <w:rFonts w:ascii="宋体" w:hAnsi="宋体" w:cs="宋体"/>
                <w:color w:val="000000"/>
                <w:kern w:val="0"/>
                <w:sz w:val="18"/>
                <w:szCs w:val="18"/>
              </w:rPr>
              <w:t>时效指标</w:t>
            </w:r>
          </w:p>
        </w:tc>
        <w:tc>
          <w:tcPr>
            <w:tcW w:w="14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18"/>
                <w:szCs w:val="18"/>
              </w:rPr>
            </w:pPr>
            <w:r>
              <w:rPr>
                <w:rFonts w:ascii="宋体" w:hAnsi="宋体" w:cs="宋体"/>
                <w:color w:val="000000"/>
                <w:kern w:val="0"/>
                <w:sz w:val="18"/>
                <w:szCs w:val="18"/>
              </w:rPr>
              <w:t>保障年度</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18"/>
                <w:szCs w:val="18"/>
              </w:rPr>
            </w:pPr>
            <w:r>
              <w:rPr>
                <w:rFonts w:ascii="宋体" w:hAnsi="宋体" w:cs="宋体"/>
                <w:color w:val="000000"/>
                <w:kern w:val="0"/>
                <w:sz w:val="18"/>
                <w:szCs w:val="18"/>
              </w:rPr>
              <w:t>＝</w:t>
            </w:r>
          </w:p>
        </w:tc>
        <w:tc>
          <w:tcPr>
            <w:tcW w:w="12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18"/>
                <w:szCs w:val="18"/>
              </w:rPr>
            </w:pPr>
            <w:r>
              <w:rPr>
                <w:rFonts w:ascii="宋体" w:hAnsi="宋体" w:cs="宋体"/>
                <w:color w:val="000000"/>
                <w:kern w:val="0"/>
                <w:sz w:val="18"/>
                <w:szCs w:val="18"/>
              </w:rPr>
              <w:t>1</w:t>
            </w:r>
          </w:p>
        </w:tc>
        <w:tc>
          <w:tcPr>
            <w:tcW w:w="11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18"/>
                <w:szCs w:val="18"/>
              </w:rPr>
            </w:pPr>
            <w:r>
              <w:rPr>
                <w:rFonts w:ascii="宋体" w:hAnsi="宋体" w:cs="宋体"/>
                <w:color w:val="000000"/>
                <w:kern w:val="0"/>
                <w:sz w:val="18"/>
                <w:szCs w:val="18"/>
              </w:rPr>
              <w:t>年</w:t>
            </w:r>
          </w:p>
        </w:tc>
        <w:tc>
          <w:tcPr>
            <w:tcW w:w="15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18"/>
                <w:szCs w:val="18"/>
              </w:rPr>
            </w:pPr>
            <w:r>
              <w:rPr>
                <w:rFonts w:ascii="宋体" w:hAnsi="宋体" w:cs="宋体"/>
                <w:color w:val="000000"/>
                <w:kern w:val="0"/>
                <w:sz w:val="18"/>
                <w:szCs w:val="18"/>
              </w:rPr>
              <w:t>20</w:t>
            </w:r>
          </w:p>
        </w:tc>
      </w:tr>
      <w:tr>
        <w:tblPrEx>
          <w:tblCellMar>
            <w:top w:w="0" w:type="dxa"/>
            <w:left w:w="108" w:type="dxa"/>
            <w:bottom w:w="0" w:type="dxa"/>
            <w:right w:w="108" w:type="dxa"/>
          </w:tblCellMar>
        </w:tblPrEx>
        <w:trPr>
          <w:trHeight w:val="472" w:hRule="atLeast"/>
          <w:jc w:val="center"/>
        </w:trPr>
        <w:tc>
          <w:tcPr>
            <w:tcW w:w="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6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18"/>
                <w:szCs w:val="18"/>
              </w:rPr>
            </w:pPr>
            <w:r>
              <w:rPr>
                <w:rFonts w:ascii="宋体" w:hAnsi="宋体" w:cs="宋体"/>
                <w:color w:val="000000"/>
                <w:kern w:val="0"/>
                <w:sz w:val="18"/>
                <w:szCs w:val="18"/>
              </w:rPr>
              <w:t>效益指标</w:t>
            </w:r>
          </w:p>
        </w:tc>
        <w:tc>
          <w:tcPr>
            <w:tcW w:w="14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18"/>
                <w:szCs w:val="18"/>
              </w:rPr>
            </w:pPr>
            <w:r>
              <w:rPr>
                <w:rFonts w:ascii="宋体" w:hAnsi="宋体" w:cs="宋体"/>
                <w:color w:val="000000"/>
                <w:kern w:val="0"/>
                <w:sz w:val="18"/>
                <w:szCs w:val="18"/>
              </w:rPr>
              <w:t>经济效益指标</w:t>
            </w:r>
          </w:p>
        </w:tc>
        <w:tc>
          <w:tcPr>
            <w:tcW w:w="14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18"/>
                <w:szCs w:val="18"/>
              </w:rPr>
            </w:pPr>
            <w:r>
              <w:rPr>
                <w:rFonts w:ascii="宋体" w:hAnsi="宋体" w:cs="宋体"/>
                <w:color w:val="000000"/>
                <w:kern w:val="0"/>
                <w:sz w:val="18"/>
                <w:szCs w:val="18"/>
              </w:rPr>
              <w:t>对经济发展起到作用</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18"/>
                <w:szCs w:val="18"/>
              </w:rPr>
            </w:pPr>
            <w:r>
              <w:rPr>
                <w:rFonts w:ascii="宋体" w:hAnsi="宋体" w:cs="宋体"/>
                <w:color w:val="000000"/>
                <w:kern w:val="0"/>
                <w:sz w:val="18"/>
                <w:szCs w:val="18"/>
              </w:rPr>
              <w:t>定性</w:t>
            </w:r>
          </w:p>
        </w:tc>
        <w:tc>
          <w:tcPr>
            <w:tcW w:w="12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18"/>
                <w:szCs w:val="18"/>
              </w:rPr>
            </w:pPr>
            <w:r>
              <w:rPr>
                <w:rFonts w:ascii="宋体" w:hAnsi="宋体" w:cs="宋体"/>
                <w:color w:val="000000"/>
                <w:kern w:val="0"/>
                <w:sz w:val="18"/>
                <w:szCs w:val="18"/>
              </w:rPr>
              <w:t>高中低</w:t>
            </w:r>
          </w:p>
        </w:tc>
        <w:tc>
          <w:tcPr>
            <w:tcW w:w="119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宋体" w:hAnsi="宋体" w:cs="宋体"/>
                <w:color w:val="000000"/>
                <w:sz w:val="18"/>
                <w:szCs w:val="18"/>
              </w:rPr>
            </w:pPr>
            <w:r>
              <w:rPr>
                <w:rFonts w:hint="eastAsia" w:ascii="宋体" w:hAnsi="宋体" w:cs="宋体"/>
                <w:color w:val="000000"/>
                <w:sz w:val="18"/>
                <w:szCs w:val="18"/>
              </w:rPr>
              <w:t>其他</w:t>
            </w:r>
          </w:p>
        </w:tc>
        <w:tc>
          <w:tcPr>
            <w:tcW w:w="15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18"/>
                <w:szCs w:val="18"/>
              </w:rPr>
            </w:pPr>
            <w:r>
              <w:rPr>
                <w:rFonts w:ascii="宋体" w:hAnsi="宋体" w:cs="宋体"/>
                <w:color w:val="000000"/>
                <w:kern w:val="0"/>
                <w:sz w:val="18"/>
                <w:szCs w:val="18"/>
              </w:rPr>
              <w:t>1</w:t>
            </w:r>
            <w:r>
              <w:rPr>
                <w:rFonts w:hint="eastAsia" w:ascii="宋体" w:hAnsi="宋体" w:cs="宋体"/>
                <w:color w:val="000000"/>
                <w:kern w:val="0"/>
                <w:sz w:val="18"/>
                <w:szCs w:val="18"/>
              </w:rPr>
              <w:t>0</w:t>
            </w:r>
          </w:p>
        </w:tc>
      </w:tr>
      <w:tr>
        <w:tblPrEx>
          <w:tblCellMar>
            <w:top w:w="0" w:type="dxa"/>
            <w:left w:w="108" w:type="dxa"/>
            <w:bottom w:w="0" w:type="dxa"/>
            <w:right w:w="108" w:type="dxa"/>
          </w:tblCellMar>
        </w:tblPrEx>
        <w:trPr>
          <w:trHeight w:val="472" w:hRule="atLeast"/>
          <w:jc w:val="center"/>
        </w:trPr>
        <w:tc>
          <w:tcPr>
            <w:tcW w:w="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6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宋体" w:hAnsi="宋体" w:cs="宋体"/>
                <w:color w:val="000000"/>
                <w:sz w:val="18"/>
                <w:szCs w:val="18"/>
              </w:rPr>
            </w:pPr>
          </w:p>
        </w:tc>
        <w:tc>
          <w:tcPr>
            <w:tcW w:w="14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18"/>
                <w:szCs w:val="18"/>
              </w:rPr>
            </w:pPr>
            <w:r>
              <w:rPr>
                <w:rFonts w:ascii="宋体" w:hAnsi="宋体" w:cs="宋体"/>
                <w:color w:val="000000"/>
                <w:kern w:val="0"/>
                <w:sz w:val="18"/>
                <w:szCs w:val="18"/>
              </w:rPr>
              <w:t>社会效益指标</w:t>
            </w:r>
          </w:p>
        </w:tc>
        <w:tc>
          <w:tcPr>
            <w:tcW w:w="14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18"/>
                <w:szCs w:val="18"/>
              </w:rPr>
            </w:pPr>
            <w:r>
              <w:rPr>
                <w:rFonts w:ascii="宋体" w:hAnsi="宋体" w:cs="宋体"/>
                <w:color w:val="000000"/>
                <w:kern w:val="0"/>
                <w:sz w:val="18"/>
                <w:szCs w:val="18"/>
              </w:rPr>
              <w:t>职工度影响</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18"/>
                <w:szCs w:val="18"/>
              </w:rPr>
            </w:pPr>
            <w:r>
              <w:rPr>
                <w:rFonts w:ascii="宋体" w:hAnsi="宋体" w:cs="宋体"/>
                <w:color w:val="000000"/>
                <w:kern w:val="0"/>
                <w:sz w:val="18"/>
                <w:szCs w:val="18"/>
              </w:rPr>
              <w:t>定性</w:t>
            </w:r>
          </w:p>
        </w:tc>
        <w:tc>
          <w:tcPr>
            <w:tcW w:w="12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18"/>
                <w:szCs w:val="18"/>
              </w:rPr>
            </w:pPr>
            <w:r>
              <w:rPr>
                <w:rFonts w:ascii="宋体" w:hAnsi="宋体" w:cs="宋体"/>
                <w:color w:val="000000"/>
                <w:kern w:val="0"/>
                <w:sz w:val="18"/>
                <w:szCs w:val="18"/>
              </w:rPr>
              <w:t>高中低</w:t>
            </w:r>
          </w:p>
        </w:tc>
        <w:tc>
          <w:tcPr>
            <w:tcW w:w="119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宋体" w:hAnsi="宋体" w:cs="宋体"/>
                <w:color w:val="000000"/>
                <w:sz w:val="18"/>
                <w:szCs w:val="18"/>
              </w:rPr>
            </w:pPr>
            <w:r>
              <w:rPr>
                <w:rFonts w:hint="eastAsia" w:ascii="宋体" w:hAnsi="宋体" w:cs="宋体"/>
                <w:color w:val="000000"/>
                <w:sz w:val="18"/>
                <w:szCs w:val="18"/>
              </w:rPr>
              <w:t>其他</w:t>
            </w:r>
          </w:p>
        </w:tc>
        <w:tc>
          <w:tcPr>
            <w:tcW w:w="15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18"/>
                <w:szCs w:val="18"/>
              </w:rPr>
            </w:pPr>
            <w:r>
              <w:rPr>
                <w:rFonts w:ascii="宋体" w:hAnsi="宋体" w:cs="宋体"/>
                <w:color w:val="000000"/>
                <w:kern w:val="0"/>
                <w:sz w:val="18"/>
                <w:szCs w:val="18"/>
              </w:rPr>
              <w:t>10</w:t>
            </w:r>
          </w:p>
        </w:tc>
      </w:tr>
      <w:tr>
        <w:tblPrEx>
          <w:tblCellMar>
            <w:top w:w="0" w:type="dxa"/>
            <w:left w:w="108" w:type="dxa"/>
            <w:bottom w:w="0" w:type="dxa"/>
            <w:right w:w="108" w:type="dxa"/>
          </w:tblCellMar>
        </w:tblPrEx>
        <w:trPr>
          <w:trHeight w:val="472" w:hRule="atLeast"/>
          <w:jc w:val="center"/>
        </w:trPr>
        <w:tc>
          <w:tcPr>
            <w:tcW w:w="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6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18"/>
                <w:szCs w:val="18"/>
              </w:rPr>
            </w:pPr>
            <w:r>
              <w:rPr>
                <w:rFonts w:ascii="宋体" w:hAnsi="宋体" w:cs="宋体"/>
                <w:color w:val="000000"/>
                <w:kern w:val="0"/>
                <w:sz w:val="18"/>
                <w:szCs w:val="18"/>
              </w:rPr>
              <w:t>成本指标</w:t>
            </w:r>
          </w:p>
        </w:tc>
        <w:tc>
          <w:tcPr>
            <w:tcW w:w="14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18"/>
                <w:szCs w:val="18"/>
              </w:rPr>
            </w:pPr>
            <w:r>
              <w:rPr>
                <w:rFonts w:ascii="宋体" w:hAnsi="宋体" w:cs="宋体"/>
                <w:color w:val="000000"/>
                <w:kern w:val="0"/>
                <w:sz w:val="18"/>
                <w:szCs w:val="18"/>
              </w:rPr>
              <w:t>经济成本指标</w:t>
            </w:r>
          </w:p>
        </w:tc>
        <w:tc>
          <w:tcPr>
            <w:tcW w:w="14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18"/>
                <w:szCs w:val="18"/>
              </w:rPr>
            </w:pPr>
            <w:r>
              <w:rPr>
                <w:rFonts w:ascii="宋体" w:hAnsi="宋体" w:cs="宋体"/>
                <w:color w:val="000000"/>
                <w:kern w:val="0"/>
                <w:sz w:val="18"/>
                <w:szCs w:val="18"/>
              </w:rPr>
              <w:t>总支出</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18"/>
                <w:szCs w:val="18"/>
              </w:rPr>
            </w:pPr>
            <w:r>
              <w:rPr>
                <w:rFonts w:ascii="宋体" w:hAnsi="宋体" w:cs="宋体"/>
                <w:color w:val="000000"/>
                <w:kern w:val="0"/>
                <w:sz w:val="18"/>
                <w:szCs w:val="18"/>
              </w:rPr>
              <w:t>＝</w:t>
            </w:r>
          </w:p>
        </w:tc>
        <w:tc>
          <w:tcPr>
            <w:tcW w:w="12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1557.05</w:t>
            </w:r>
          </w:p>
        </w:tc>
        <w:tc>
          <w:tcPr>
            <w:tcW w:w="11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万</w:t>
            </w:r>
            <w:r>
              <w:rPr>
                <w:rFonts w:ascii="宋体" w:hAnsi="宋体" w:cs="宋体"/>
                <w:color w:val="000000"/>
                <w:kern w:val="0"/>
                <w:sz w:val="18"/>
                <w:szCs w:val="18"/>
              </w:rPr>
              <w:t>元</w:t>
            </w:r>
          </w:p>
        </w:tc>
        <w:tc>
          <w:tcPr>
            <w:tcW w:w="15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18"/>
                <w:szCs w:val="18"/>
              </w:rPr>
            </w:pPr>
            <w:r>
              <w:rPr>
                <w:rFonts w:ascii="宋体" w:hAnsi="宋体" w:cs="宋体"/>
                <w:color w:val="000000"/>
                <w:kern w:val="0"/>
                <w:sz w:val="18"/>
                <w:szCs w:val="18"/>
              </w:rPr>
              <w:t>40</w:t>
            </w:r>
          </w:p>
        </w:tc>
      </w:tr>
    </w:tbl>
    <w:p>
      <w:pPr>
        <w:spacing w:line="576" w:lineRule="atLeast"/>
        <w:rPr>
          <w:rFonts w:ascii="仿宋_GB2312" w:eastAsia="仿宋_GB2312"/>
          <w:sz w:val="32"/>
          <w:szCs w:val="32"/>
        </w:rPr>
      </w:pPr>
    </w:p>
    <w:p>
      <w:pPr>
        <w:pStyle w:val="13"/>
      </w:pPr>
    </w:p>
    <w:p>
      <w:pPr>
        <w:pStyle w:val="13"/>
      </w:pPr>
    </w:p>
    <w:p>
      <w:pPr>
        <w:pStyle w:val="13"/>
      </w:pPr>
    </w:p>
    <w:p>
      <w:pPr>
        <w:pStyle w:val="13"/>
      </w:pPr>
    </w:p>
    <w:p>
      <w:pPr>
        <w:pStyle w:val="13"/>
      </w:pPr>
    </w:p>
    <w:p>
      <w:pPr>
        <w:pStyle w:val="13"/>
      </w:pPr>
    </w:p>
    <w:p>
      <w:pPr>
        <w:pStyle w:val="13"/>
      </w:pPr>
    </w:p>
    <w:tbl>
      <w:tblPr>
        <w:tblStyle w:val="19"/>
        <w:tblW w:w="10233" w:type="dxa"/>
        <w:jc w:val="center"/>
        <w:tblLayout w:type="fixed"/>
        <w:tblCellMar>
          <w:top w:w="15" w:type="dxa"/>
          <w:left w:w="15" w:type="dxa"/>
          <w:bottom w:w="15" w:type="dxa"/>
          <w:right w:w="15" w:type="dxa"/>
        </w:tblCellMar>
      </w:tblPr>
      <w:tblGrid>
        <w:gridCol w:w="860"/>
        <w:gridCol w:w="873"/>
        <w:gridCol w:w="1250"/>
        <w:gridCol w:w="1312"/>
        <w:gridCol w:w="1127"/>
        <w:gridCol w:w="971"/>
        <w:gridCol w:w="1061"/>
        <w:gridCol w:w="938"/>
        <w:gridCol w:w="1841"/>
      </w:tblGrid>
      <w:tr>
        <w:tblPrEx>
          <w:tblCellMar>
            <w:top w:w="15" w:type="dxa"/>
            <w:left w:w="15" w:type="dxa"/>
            <w:bottom w:w="15" w:type="dxa"/>
            <w:right w:w="15" w:type="dxa"/>
          </w:tblCellMar>
        </w:tblPrEx>
        <w:trPr>
          <w:trHeight w:val="576" w:hRule="atLeast"/>
          <w:jc w:val="center"/>
        </w:trPr>
        <w:tc>
          <w:tcPr>
            <w:tcW w:w="10233" w:type="dxa"/>
            <w:gridSpan w:val="9"/>
            <w:vAlign w:val="center"/>
          </w:tcPr>
          <w:p>
            <w:pPr>
              <w:widowControl/>
              <w:spacing w:line="600" w:lineRule="exact"/>
              <w:jc w:val="center"/>
              <w:textAlignment w:val="center"/>
              <w:rPr>
                <w:rFonts w:eastAsia="黑体"/>
                <w:color w:val="000000"/>
                <w:sz w:val="30"/>
                <w:szCs w:val="30"/>
              </w:rPr>
            </w:pPr>
            <w:r>
              <w:rPr>
                <w:rFonts w:eastAsia="方正小标宋简体"/>
                <w:color w:val="000000"/>
                <w:kern w:val="0"/>
                <w:sz w:val="40"/>
                <w:szCs w:val="40"/>
              </w:rPr>
              <w:t>专项预算项目绩效目标完成情况自评表</w:t>
            </w:r>
          </w:p>
        </w:tc>
      </w:tr>
      <w:tr>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color w:val="000000"/>
                <w:sz w:val="18"/>
                <w:szCs w:val="18"/>
              </w:rPr>
            </w:pPr>
            <w:r>
              <w:rPr>
                <w:color w:val="000000"/>
                <w:kern w:val="0"/>
                <w:sz w:val="18"/>
                <w:szCs w:val="18"/>
              </w:rPr>
              <w:t>项目名称</w:t>
            </w:r>
          </w:p>
        </w:tc>
        <w:tc>
          <w:tcPr>
            <w:tcW w:w="5938" w:type="dxa"/>
            <w:gridSpan w:val="5"/>
            <w:tcBorders>
              <w:top w:val="single" w:color="000000" w:sz="4" w:space="0"/>
              <w:left w:val="single" w:color="000000" w:sz="4" w:space="0"/>
              <w:bottom w:val="single" w:color="000000" w:sz="4" w:space="0"/>
              <w:right w:val="single" w:color="000000" w:sz="4" w:space="0"/>
            </w:tcBorders>
            <w:vAlign w:val="center"/>
          </w:tcPr>
          <w:p>
            <w:pPr>
              <w:spacing w:line="300" w:lineRule="exact"/>
              <w:rPr>
                <w:color w:val="000000"/>
                <w:sz w:val="18"/>
                <w:szCs w:val="18"/>
              </w:rPr>
            </w:pPr>
            <w:r>
              <w:rPr>
                <w:rFonts w:hint="eastAsia"/>
                <w:color w:val="000000"/>
                <w:sz w:val="18"/>
                <w:szCs w:val="18"/>
              </w:rPr>
              <w:t>51322323T000009212835-基层组织活动和公共服务运行经费</w:t>
            </w:r>
          </w:p>
        </w:tc>
      </w:tr>
      <w:tr>
        <w:tblPrEx>
          <w:tblCellMar>
            <w:top w:w="15" w:type="dxa"/>
            <w:left w:w="15" w:type="dxa"/>
            <w:bottom w:w="15" w:type="dxa"/>
            <w:right w:w="15" w:type="dxa"/>
          </w:tblCellMar>
        </w:tblPrEx>
        <w:trPr>
          <w:trHeight w:val="458"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color w:val="000000"/>
                <w:sz w:val="18"/>
                <w:szCs w:val="18"/>
              </w:rPr>
            </w:pPr>
            <w:r>
              <w:rPr>
                <w:color w:val="000000"/>
                <w:kern w:val="0"/>
                <w:sz w:val="18"/>
                <w:szCs w:val="18"/>
              </w:rPr>
              <w:t>预算单位</w:t>
            </w:r>
          </w:p>
        </w:tc>
        <w:tc>
          <w:tcPr>
            <w:tcW w:w="5938" w:type="dxa"/>
            <w:gridSpan w:val="5"/>
            <w:tcBorders>
              <w:top w:val="single" w:color="000000" w:sz="4" w:space="0"/>
              <w:left w:val="single" w:color="000000" w:sz="4" w:space="0"/>
              <w:bottom w:val="single" w:color="000000" w:sz="4" w:space="0"/>
              <w:right w:val="single" w:color="000000" w:sz="4" w:space="0"/>
            </w:tcBorders>
            <w:vAlign w:val="center"/>
          </w:tcPr>
          <w:p>
            <w:pPr>
              <w:spacing w:line="300" w:lineRule="exact"/>
              <w:rPr>
                <w:color w:val="000000"/>
                <w:sz w:val="18"/>
                <w:szCs w:val="18"/>
              </w:rPr>
            </w:pPr>
            <w:r>
              <w:rPr>
                <w:rFonts w:hint="eastAsia"/>
                <w:color w:val="000000"/>
                <w:sz w:val="18"/>
                <w:szCs w:val="18"/>
              </w:rPr>
              <w:t>茂县南新镇人民政府（行政）</w:t>
            </w:r>
          </w:p>
        </w:tc>
      </w:tr>
      <w:tr>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color w:val="000000"/>
                <w:sz w:val="18"/>
                <w:szCs w:val="18"/>
              </w:rPr>
            </w:pPr>
            <w:r>
              <w:rPr>
                <w:color w:val="000000"/>
                <w:kern w:val="0"/>
                <w:sz w:val="18"/>
                <w:szCs w:val="18"/>
              </w:rPr>
              <w:t>项目类型</w:t>
            </w:r>
          </w:p>
        </w:tc>
        <w:tc>
          <w:tcPr>
            <w:tcW w:w="5938" w:type="dxa"/>
            <w:gridSpan w:val="5"/>
            <w:tcBorders>
              <w:top w:val="single" w:color="000000" w:sz="4" w:space="0"/>
              <w:left w:val="single" w:color="000000" w:sz="4" w:space="0"/>
              <w:bottom w:val="single" w:color="000000" w:sz="4" w:space="0"/>
              <w:right w:val="single" w:color="000000" w:sz="4" w:space="0"/>
            </w:tcBorders>
            <w:vAlign w:val="center"/>
          </w:tcPr>
          <w:p>
            <w:pPr>
              <w:spacing w:line="300" w:lineRule="exact"/>
              <w:jc w:val="left"/>
              <w:rPr>
                <w:color w:val="000000"/>
                <w:sz w:val="18"/>
                <w:szCs w:val="18"/>
              </w:rPr>
            </w:pPr>
          </w:p>
        </w:tc>
      </w:tr>
      <w:tr>
        <w:tblPrEx>
          <w:tblCellMar>
            <w:top w:w="15" w:type="dxa"/>
            <w:left w:w="15" w:type="dxa"/>
            <w:bottom w:w="15" w:type="dxa"/>
            <w:right w:w="15" w:type="dxa"/>
          </w:tblCellMar>
        </w:tblPrEx>
        <w:trPr>
          <w:trHeight w:val="23" w:hRule="atLeast"/>
          <w:jc w:val="center"/>
        </w:trPr>
        <w:tc>
          <w:tcPr>
            <w:tcW w:w="860"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color w:val="000000"/>
                <w:kern w:val="0"/>
                <w:sz w:val="18"/>
                <w:szCs w:val="18"/>
              </w:rPr>
            </w:pPr>
            <w:r>
              <w:rPr>
                <w:color w:val="000000"/>
                <w:kern w:val="0"/>
                <w:sz w:val="18"/>
                <w:szCs w:val="18"/>
              </w:rPr>
              <w:t xml:space="preserve">项目 </w:t>
            </w:r>
          </w:p>
          <w:p>
            <w:pPr>
              <w:widowControl/>
              <w:spacing w:line="300" w:lineRule="exact"/>
              <w:jc w:val="center"/>
              <w:textAlignment w:val="center"/>
              <w:rPr>
                <w:color w:val="000000"/>
                <w:sz w:val="18"/>
                <w:szCs w:val="18"/>
              </w:rPr>
            </w:pPr>
            <w:r>
              <w:rPr>
                <w:color w:val="000000"/>
                <w:kern w:val="0"/>
                <w:sz w:val="18"/>
                <w:szCs w:val="18"/>
              </w:rPr>
              <w:t>概况</w:t>
            </w:r>
          </w:p>
        </w:tc>
        <w:tc>
          <w:tcPr>
            <w:tcW w:w="3435"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left"/>
              <w:textAlignment w:val="center"/>
              <w:rPr>
                <w:color w:val="000000"/>
                <w:kern w:val="0"/>
                <w:sz w:val="18"/>
                <w:szCs w:val="18"/>
              </w:rPr>
            </w:pPr>
            <w:r>
              <w:rPr>
                <w:color w:val="000000"/>
                <w:kern w:val="0"/>
                <w:sz w:val="18"/>
                <w:szCs w:val="18"/>
              </w:rPr>
              <w:t>中长期规划（名称、文号，仅指</w:t>
            </w:r>
          </w:p>
          <w:p>
            <w:pPr>
              <w:widowControl/>
              <w:spacing w:line="300" w:lineRule="exact"/>
              <w:jc w:val="left"/>
              <w:textAlignment w:val="center"/>
              <w:rPr>
                <w:color w:val="000000"/>
                <w:sz w:val="18"/>
                <w:szCs w:val="18"/>
              </w:rPr>
            </w:pPr>
            <w:r>
              <w:rPr>
                <w:color w:val="000000"/>
                <w:kern w:val="0"/>
                <w:sz w:val="18"/>
                <w:szCs w:val="18"/>
              </w:rPr>
              <w:t>常年项目）</w:t>
            </w:r>
          </w:p>
        </w:tc>
        <w:tc>
          <w:tcPr>
            <w:tcW w:w="5938" w:type="dxa"/>
            <w:gridSpan w:val="5"/>
            <w:tcBorders>
              <w:top w:val="single" w:color="000000" w:sz="4" w:space="0"/>
              <w:left w:val="single" w:color="000000" w:sz="4" w:space="0"/>
              <w:bottom w:val="single" w:color="000000" w:sz="4" w:space="0"/>
              <w:right w:val="single" w:color="000000" w:sz="4" w:space="0"/>
            </w:tcBorders>
            <w:vAlign w:val="center"/>
          </w:tcPr>
          <w:p>
            <w:pPr>
              <w:spacing w:line="300" w:lineRule="exact"/>
              <w:jc w:val="left"/>
              <w:rPr>
                <w:color w:val="000000"/>
                <w:sz w:val="18"/>
                <w:szCs w:val="18"/>
              </w:rPr>
            </w:pPr>
          </w:p>
        </w:tc>
      </w:tr>
      <w:tr>
        <w:tblPrEx>
          <w:tblCellMar>
            <w:top w:w="15" w:type="dxa"/>
            <w:left w:w="15" w:type="dxa"/>
            <w:bottom w:w="15" w:type="dxa"/>
            <w:right w:w="15" w:type="dxa"/>
          </w:tblCellMar>
        </w:tblPrEx>
        <w:trPr>
          <w:trHeight w:val="23" w:hRule="atLeast"/>
          <w:jc w:val="center"/>
        </w:trPr>
        <w:tc>
          <w:tcPr>
            <w:tcW w:w="860" w:type="dxa"/>
            <w:vMerge w:val="continue"/>
            <w:tcBorders>
              <w:top w:val="single" w:color="000000" w:sz="4" w:space="0"/>
              <w:left w:val="single" w:color="000000" w:sz="4" w:space="0"/>
              <w:bottom w:val="single" w:color="000000" w:sz="4" w:space="0"/>
              <w:right w:val="single" w:color="000000" w:sz="4" w:space="0"/>
            </w:tcBorders>
            <w:vAlign w:val="center"/>
          </w:tcPr>
          <w:p>
            <w:pPr>
              <w:spacing w:line="300" w:lineRule="exact"/>
              <w:rPr>
                <w:color w:val="000000"/>
                <w:sz w:val="18"/>
                <w:szCs w:val="18"/>
              </w:rPr>
            </w:pPr>
          </w:p>
        </w:tc>
        <w:tc>
          <w:tcPr>
            <w:tcW w:w="3435"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left"/>
              <w:textAlignment w:val="center"/>
              <w:rPr>
                <w:color w:val="000000"/>
                <w:sz w:val="18"/>
                <w:szCs w:val="18"/>
              </w:rPr>
            </w:pPr>
            <w:r>
              <w:rPr>
                <w:color w:val="000000"/>
                <w:kern w:val="0"/>
                <w:sz w:val="18"/>
                <w:szCs w:val="18"/>
              </w:rPr>
              <w:t>资金管理办法（名称、文号）</w:t>
            </w:r>
          </w:p>
        </w:tc>
        <w:tc>
          <w:tcPr>
            <w:tcW w:w="5938" w:type="dxa"/>
            <w:gridSpan w:val="5"/>
            <w:tcBorders>
              <w:top w:val="single" w:color="000000" w:sz="4" w:space="0"/>
              <w:left w:val="single" w:color="000000" w:sz="4" w:space="0"/>
              <w:bottom w:val="single" w:color="000000" w:sz="4" w:space="0"/>
              <w:right w:val="single" w:color="000000" w:sz="4" w:space="0"/>
            </w:tcBorders>
            <w:vAlign w:val="center"/>
          </w:tcPr>
          <w:p>
            <w:pPr>
              <w:spacing w:line="300" w:lineRule="exact"/>
              <w:jc w:val="left"/>
              <w:rPr>
                <w:color w:val="000000"/>
                <w:sz w:val="18"/>
                <w:szCs w:val="18"/>
              </w:rPr>
            </w:pPr>
          </w:p>
        </w:tc>
      </w:tr>
      <w:tr>
        <w:tblPrEx>
          <w:tblCellMar>
            <w:top w:w="15" w:type="dxa"/>
            <w:left w:w="15" w:type="dxa"/>
            <w:bottom w:w="15" w:type="dxa"/>
            <w:right w:w="15" w:type="dxa"/>
          </w:tblCellMar>
        </w:tblPrEx>
        <w:trPr>
          <w:trHeight w:val="23" w:hRule="atLeast"/>
          <w:jc w:val="center"/>
        </w:trPr>
        <w:tc>
          <w:tcPr>
            <w:tcW w:w="860" w:type="dxa"/>
            <w:vMerge w:val="continue"/>
            <w:tcBorders>
              <w:top w:val="single" w:color="000000" w:sz="4" w:space="0"/>
              <w:left w:val="single" w:color="000000" w:sz="4" w:space="0"/>
              <w:bottom w:val="single" w:color="000000" w:sz="4" w:space="0"/>
              <w:right w:val="single" w:color="000000" w:sz="4" w:space="0"/>
            </w:tcBorders>
            <w:vAlign w:val="center"/>
          </w:tcPr>
          <w:p>
            <w:pPr>
              <w:spacing w:line="300" w:lineRule="exact"/>
              <w:rPr>
                <w:color w:val="000000"/>
                <w:sz w:val="18"/>
                <w:szCs w:val="18"/>
              </w:rPr>
            </w:pPr>
          </w:p>
        </w:tc>
        <w:tc>
          <w:tcPr>
            <w:tcW w:w="3435"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left"/>
              <w:textAlignment w:val="center"/>
              <w:rPr>
                <w:color w:val="000000"/>
                <w:sz w:val="18"/>
                <w:szCs w:val="18"/>
              </w:rPr>
            </w:pPr>
            <w:r>
              <w:rPr>
                <w:color w:val="000000"/>
                <w:kern w:val="0"/>
                <w:sz w:val="18"/>
                <w:szCs w:val="18"/>
              </w:rPr>
              <w:t>绩效分配方式</w:t>
            </w:r>
          </w:p>
        </w:tc>
        <w:tc>
          <w:tcPr>
            <w:tcW w:w="1127"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left"/>
              <w:textAlignment w:val="center"/>
              <w:rPr>
                <w:rFonts w:eastAsia="Wingdings 2"/>
                <w:color w:val="000000"/>
                <w:sz w:val="18"/>
                <w:szCs w:val="18"/>
              </w:rPr>
            </w:pPr>
            <w:r>
              <w:rPr>
                <w:rFonts w:eastAsia="Wingdings 2"/>
                <w:color w:val="000000"/>
                <w:kern w:val="0"/>
                <w:sz w:val="18"/>
                <w:szCs w:val="18"/>
              </w:rPr>
              <w:t>£</w:t>
            </w:r>
            <w:r>
              <w:rPr>
                <w:color w:val="000000"/>
                <w:kern w:val="0"/>
                <w:sz w:val="18"/>
                <w:szCs w:val="18"/>
              </w:rPr>
              <w:t>因素法</w:t>
            </w:r>
          </w:p>
        </w:tc>
        <w:tc>
          <w:tcPr>
            <w:tcW w:w="2032"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rFonts w:eastAsia="Wingdings 2"/>
                <w:color w:val="000000"/>
                <w:sz w:val="18"/>
                <w:szCs w:val="18"/>
              </w:rPr>
            </w:pPr>
            <w:r>
              <w:rPr>
                <w:rFonts w:eastAsia="Wingdings 2"/>
                <w:color w:val="000000"/>
                <w:kern w:val="0"/>
                <w:sz w:val="18"/>
                <w:szCs w:val="18"/>
              </w:rPr>
              <w:t>£项目法</w:t>
            </w:r>
          </w:p>
        </w:tc>
        <w:tc>
          <w:tcPr>
            <w:tcW w:w="938"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rFonts w:eastAsia="Wingdings 2"/>
                <w:color w:val="000000"/>
                <w:sz w:val="18"/>
                <w:szCs w:val="18"/>
              </w:rPr>
            </w:pPr>
            <w:r>
              <w:rPr>
                <w:rFonts w:eastAsia="Wingdings 2"/>
                <w:color w:val="000000"/>
                <w:kern w:val="0"/>
                <w:sz w:val="18"/>
                <w:szCs w:val="18"/>
              </w:rPr>
              <w:t>£</w:t>
            </w:r>
            <w:r>
              <w:rPr>
                <w:color w:val="000000"/>
                <w:kern w:val="0"/>
                <w:sz w:val="18"/>
                <w:szCs w:val="18"/>
              </w:rPr>
              <w:t>据实据效</w:t>
            </w:r>
          </w:p>
        </w:tc>
        <w:tc>
          <w:tcPr>
            <w:tcW w:w="1841"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rFonts w:eastAsia="Wingdings 2"/>
                <w:color w:val="000000"/>
                <w:sz w:val="18"/>
                <w:szCs w:val="18"/>
              </w:rPr>
            </w:pPr>
            <w:r>
              <w:rPr>
                <w:rFonts w:eastAsia="Wingdings 2"/>
                <w:color w:val="000000"/>
                <w:kern w:val="0"/>
                <w:sz w:val="18"/>
                <w:szCs w:val="18"/>
              </w:rPr>
              <w:t>£</w:t>
            </w:r>
            <w:r>
              <w:rPr>
                <w:color w:val="000000"/>
                <w:kern w:val="0"/>
                <w:sz w:val="18"/>
                <w:szCs w:val="18"/>
              </w:rPr>
              <w:t>因素法与项目法相结合</w:t>
            </w:r>
          </w:p>
        </w:tc>
      </w:tr>
      <w:tr>
        <w:tblPrEx>
          <w:tblCellMar>
            <w:top w:w="15" w:type="dxa"/>
            <w:left w:w="15" w:type="dxa"/>
            <w:bottom w:w="15" w:type="dxa"/>
            <w:right w:w="15" w:type="dxa"/>
          </w:tblCellMar>
        </w:tblPrEx>
        <w:trPr>
          <w:trHeight w:val="23" w:hRule="atLeast"/>
          <w:jc w:val="center"/>
        </w:trPr>
        <w:tc>
          <w:tcPr>
            <w:tcW w:w="860" w:type="dxa"/>
            <w:vMerge w:val="continue"/>
            <w:tcBorders>
              <w:top w:val="single" w:color="000000" w:sz="4" w:space="0"/>
              <w:left w:val="single" w:color="000000" w:sz="4" w:space="0"/>
              <w:bottom w:val="single" w:color="000000" w:sz="4" w:space="0"/>
              <w:right w:val="single" w:color="000000" w:sz="4" w:space="0"/>
            </w:tcBorders>
            <w:vAlign w:val="center"/>
          </w:tcPr>
          <w:p>
            <w:pPr>
              <w:spacing w:line="300" w:lineRule="exact"/>
              <w:rPr>
                <w:color w:val="000000"/>
                <w:sz w:val="18"/>
                <w:szCs w:val="18"/>
              </w:rPr>
            </w:pPr>
          </w:p>
        </w:tc>
        <w:tc>
          <w:tcPr>
            <w:tcW w:w="3435"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left"/>
              <w:textAlignment w:val="center"/>
              <w:rPr>
                <w:color w:val="000000"/>
                <w:sz w:val="18"/>
                <w:szCs w:val="18"/>
              </w:rPr>
            </w:pPr>
            <w:r>
              <w:rPr>
                <w:color w:val="000000"/>
                <w:kern w:val="0"/>
                <w:sz w:val="18"/>
                <w:szCs w:val="18"/>
              </w:rPr>
              <w:t>立项依据</w:t>
            </w:r>
          </w:p>
        </w:tc>
        <w:tc>
          <w:tcPr>
            <w:tcW w:w="5938" w:type="dxa"/>
            <w:gridSpan w:val="5"/>
            <w:tcBorders>
              <w:top w:val="single" w:color="000000" w:sz="4" w:space="0"/>
              <w:left w:val="single" w:color="000000" w:sz="4" w:space="0"/>
              <w:bottom w:val="single" w:color="000000" w:sz="4" w:space="0"/>
              <w:right w:val="single" w:color="000000" w:sz="4" w:space="0"/>
            </w:tcBorders>
            <w:vAlign w:val="center"/>
          </w:tcPr>
          <w:p>
            <w:pPr>
              <w:spacing w:line="300" w:lineRule="exact"/>
              <w:jc w:val="left"/>
              <w:rPr>
                <w:color w:val="000000"/>
                <w:sz w:val="18"/>
                <w:szCs w:val="18"/>
              </w:rPr>
            </w:pPr>
          </w:p>
        </w:tc>
      </w:tr>
      <w:tr>
        <w:tblPrEx>
          <w:tblCellMar>
            <w:top w:w="15" w:type="dxa"/>
            <w:left w:w="15" w:type="dxa"/>
            <w:bottom w:w="15" w:type="dxa"/>
            <w:right w:w="15" w:type="dxa"/>
          </w:tblCellMar>
        </w:tblPrEx>
        <w:trPr>
          <w:trHeight w:val="23" w:hRule="atLeast"/>
          <w:jc w:val="center"/>
        </w:trPr>
        <w:tc>
          <w:tcPr>
            <w:tcW w:w="860" w:type="dxa"/>
            <w:vMerge w:val="continue"/>
            <w:tcBorders>
              <w:top w:val="single" w:color="000000" w:sz="4" w:space="0"/>
              <w:left w:val="single" w:color="000000" w:sz="4" w:space="0"/>
              <w:bottom w:val="single" w:color="000000" w:sz="4" w:space="0"/>
              <w:right w:val="single" w:color="000000" w:sz="4" w:space="0"/>
            </w:tcBorders>
            <w:vAlign w:val="center"/>
          </w:tcPr>
          <w:p>
            <w:pPr>
              <w:spacing w:line="300" w:lineRule="exact"/>
              <w:rPr>
                <w:color w:val="000000"/>
                <w:sz w:val="18"/>
                <w:szCs w:val="18"/>
              </w:rPr>
            </w:pPr>
          </w:p>
        </w:tc>
        <w:tc>
          <w:tcPr>
            <w:tcW w:w="3435"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left"/>
              <w:textAlignment w:val="center"/>
              <w:rPr>
                <w:color w:val="000000"/>
                <w:sz w:val="18"/>
                <w:szCs w:val="18"/>
              </w:rPr>
            </w:pPr>
            <w:r>
              <w:rPr>
                <w:color w:val="000000"/>
                <w:kern w:val="0"/>
                <w:sz w:val="18"/>
                <w:szCs w:val="18"/>
              </w:rPr>
              <w:t>使用范围</w:t>
            </w:r>
          </w:p>
        </w:tc>
        <w:tc>
          <w:tcPr>
            <w:tcW w:w="5938" w:type="dxa"/>
            <w:gridSpan w:val="5"/>
            <w:tcBorders>
              <w:top w:val="single" w:color="000000" w:sz="4" w:space="0"/>
              <w:left w:val="single" w:color="000000" w:sz="4" w:space="0"/>
              <w:bottom w:val="single" w:color="000000" w:sz="4" w:space="0"/>
              <w:right w:val="single" w:color="000000" w:sz="4" w:space="0"/>
            </w:tcBorders>
            <w:vAlign w:val="center"/>
          </w:tcPr>
          <w:p>
            <w:pPr>
              <w:spacing w:line="300" w:lineRule="exact"/>
              <w:jc w:val="left"/>
              <w:rPr>
                <w:color w:val="000000"/>
                <w:sz w:val="18"/>
                <w:szCs w:val="18"/>
              </w:rPr>
            </w:pPr>
          </w:p>
        </w:tc>
      </w:tr>
      <w:tr>
        <w:tblPrEx>
          <w:tblCellMar>
            <w:top w:w="15" w:type="dxa"/>
            <w:left w:w="15" w:type="dxa"/>
            <w:bottom w:w="15" w:type="dxa"/>
            <w:right w:w="15" w:type="dxa"/>
          </w:tblCellMar>
        </w:tblPrEx>
        <w:trPr>
          <w:trHeight w:val="23" w:hRule="atLeast"/>
          <w:jc w:val="center"/>
        </w:trPr>
        <w:tc>
          <w:tcPr>
            <w:tcW w:w="860" w:type="dxa"/>
            <w:vMerge w:val="continue"/>
            <w:tcBorders>
              <w:top w:val="single" w:color="000000" w:sz="4" w:space="0"/>
              <w:left w:val="single" w:color="000000" w:sz="4" w:space="0"/>
              <w:bottom w:val="single" w:color="000000" w:sz="4" w:space="0"/>
              <w:right w:val="single" w:color="000000" w:sz="4" w:space="0"/>
            </w:tcBorders>
            <w:vAlign w:val="center"/>
          </w:tcPr>
          <w:p>
            <w:pPr>
              <w:spacing w:line="300" w:lineRule="exact"/>
              <w:rPr>
                <w:color w:val="000000"/>
                <w:sz w:val="18"/>
                <w:szCs w:val="18"/>
              </w:rPr>
            </w:pPr>
          </w:p>
        </w:tc>
        <w:tc>
          <w:tcPr>
            <w:tcW w:w="3435"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left"/>
              <w:textAlignment w:val="center"/>
              <w:rPr>
                <w:color w:val="000000"/>
                <w:sz w:val="18"/>
                <w:szCs w:val="18"/>
              </w:rPr>
            </w:pPr>
            <w:r>
              <w:rPr>
                <w:color w:val="000000"/>
                <w:kern w:val="0"/>
                <w:sz w:val="18"/>
                <w:szCs w:val="18"/>
              </w:rPr>
              <w:t>申报（补助）条件</w:t>
            </w:r>
          </w:p>
        </w:tc>
        <w:tc>
          <w:tcPr>
            <w:tcW w:w="5938" w:type="dxa"/>
            <w:gridSpan w:val="5"/>
            <w:tcBorders>
              <w:top w:val="single" w:color="000000" w:sz="4" w:space="0"/>
              <w:left w:val="single" w:color="000000" w:sz="4" w:space="0"/>
              <w:bottom w:val="single" w:color="000000" w:sz="4" w:space="0"/>
              <w:right w:val="single" w:color="000000" w:sz="4" w:space="0"/>
            </w:tcBorders>
            <w:vAlign w:val="center"/>
          </w:tcPr>
          <w:p>
            <w:pPr>
              <w:spacing w:line="300" w:lineRule="exact"/>
              <w:jc w:val="left"/>
              <w:rPr>
                <w:color w:val="000000"/>
                <w:sz w:val="18"/>
                <w:szCs w:val="18"/>
              </w:rPr>
            </w:pPr>
          </w:p>
        </w:tc>
      </w:tr>
      <w:tr>
        <w:tblPrEx>
          <w:tblCellMar>
            <w:top w:w="15" w:type="dxa"/>
            <w:left w:w="15" w:type="dxa"/>
            <w:bottom w:w="15" w:type="dxa"/>
            <w:right w:w="15" w:type="dxa"/>
          </w:tblCellMar>
        </w:tblPrEx>
        <w:trPr>
          <w:trHeight w:val="23" w:hRule="atLeast"/>
          <w:jc w:val="center"/>
        </w:trPr>
        <w:tc>
          <w:tcPr>
            <w:tcW w:w="860" w:type="dxa"/>
            <w:vMerge w:val="continue"/>
            <w:tcBorders>
              <w:top w:val="single" w:color="000000" w:sz="4" w:space="0"/>
              <w:left w:val="single" w:color="000000" w:sz="4" w:space="0"/>
              <w:bottom w:val="single" w:color="000000" w:sz="4" w:space="0"/>
              <w:right w:val="single" w:color="000000" w:sz="4" w:space="0"/>
            </w:tcBorders>
            <w:vAlign w:val="center"/>
          </w:tcPr>
          <w:p>
            <w:pPr>
              <w:spacing w:line="300" w:lineRule="exact"/>
              <w:rPr>
                <w:color w:val="000000"/>
                <w:sz w:val="18"/>
                <w:szCs w:val="18"/>
              </w:rPr>
            </w:pPr>
          </w:p>
        </w:tc>
        <w:tc>
          <w:tcPr>
            <w:tcW w:w="3435"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left"/>
              <w:textAlignment w:val="center"/>
              <w:rPr>
                <w:color w:val="000000"/>
                <w:sz w:val="18"/>
                <w:szCs w:val="18"/>
              </w:rPr>
            </w:pPr>
            <w:r>
              <w:rPr>
                <w:color w:val="000000"/>
                <w:kern w:val="0"/>
                <w:sz w:val="18"/>
                <w:szCs w:val="18"/>
              </w:rPr>
              <w:t>项目起止年限</w:t>
            </w:r>
          </w:p>
        </w:tc>
        <w:tc>
          <w:tcPr>
            <w:tcW w:w="5938" w:type="dxa"/>
            <w:gridSpan w:val="5"/>
            <w:tcBorders>
              <w:top w:val="single" w:color="000000" w:sz="4" w:space="0"/>
              <w:left w:val="single" w:color="000000" w:sz="4" w:space="0"/>
              <w:bottom w:val="single" w:color="000000" w:sz="4" w:space="0"/>
              <w:right w:val="single" w:color="000000" w:sz="4" w:space="0"/>
            </w:tcBorders>
            <w:vAlign w:val="center"/>
          </w:tcPr>
          <w:p>
            <w:pPr>
              <w:spacing w:line="300" w:lineRule="exact"/>
              <w:rPr>
                <w:color w:val="000000"/>
                <w:sz w:val="18"/>
                <w:szCs w:val="18"/>
              </w:rPr>
            </w:pPr>
            <w:r>
              <w:rPr>
                <w:rFonts w:hint="eastAsia"/>
                <w:color w:val="000000"/>
                <w:sz w:val="18"/>
                <w:szCs w:val="18"/>
              </w:rPr>
              <w:t>2024.1-2024.12</w:t>
            </w:r>
          </w:p>
        </w:tc>
      </w:tr>
      <w:tr>
        <w:tblPrEx>
          <w:tblCellMar>
            <w:top w:w="15" w:type="dxa"/>
            <w:left w:w="15" w:type="dxa"/>
            <w:bottom w:w="15" w:type="dxa"/>
            <w:right w:w="15" w:type="dxa"/>
          </w:tblCellMar>
        </w:tblPrEx>
        <w:trPr>
          <w:trHeight w:val="23" w:hRule="atLeast"/>
          <w:jc w:val="center"/>
        </w:trPr>
        <w:tc>
          <w:tcPr>
            <w:tcW w:w="1733" w:type="dxa"/>
            <w:gridSpan w:val="2"/>
            <w:vMerge w:val="restart"/>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color w:val="000000"/>
                <w:kern w:val="0"/>
                <w:sz w:val="18"/>
                <w:szCs w:val="18"/>
              </w:rPr>
            </w:pPr>
            <w:r>
              <w:rPr>
                <w:color w:val="000000"/>
                <w:kern w:val="0"/>
                <w:sz w:val="18"/>
                <w:szCs w:val="18"/>
              </w:rPr>
              <w:t>项目资金</w:t>
            </w:r>
          </w:p>
          <w:p>
            <w:pPr>
              <w:widowControl/>
              <w:spacing w:line="300" w:lineRule="exact"/>
              <w:jc w:val="center"/>
              <w:textAlignment w:val="center"/>
              <w:rPr>
                <w:color w:val="000000"/>
                <w:sz w:val="18"/>
                <w:szCs w:val="18"/>
              </w:rPr>
            </w:pPr>
            <w:r>
              <w:rPr>
                <w:color w:val="000000"/>
                <w:kern w:val="0"/>
                <w:sz w:val="18"/>
                <w:szCs w:val="18"/>
              </w:rPr>
              <w:t>（万元）</w:t>
            </w:r>
          </w:p>
        </w:tc>
        <w:tc>
          <w:tcPr>
            <w:tcW w:w="2562"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left"/>
              <w:textAlignment w:val="center"/>
              <w:rPr>
                <w:color w:val="000000"/>
                <w:sz w:val="18"/>
                <w:szCs w:val="18"/>
              </w:rPr>
            </w:pPr>
            <w:r>
              <w:rPr>
                <w:color w:val="000000"/>
                <w:kern w:val="0"/>
                <w:sz w:val="18"/>
                <w:szCs w:val="18"/>
              </w:rPr>
              <w:t xml:space="preserve">  年度资金总额：</w:t>
            </w:r>
          </w:p>
        </w:tc>
        <w:tc>
          <w:tcPr>
            <w:tcW w:w="5938" w:type="dxa"/>
            <w:gridSpan w:val="5"/>
            <w:tcBorders>
              <w:top w:val="single" w:color="000000" w:sz="4" w:space="0"/>
              <w:left w:val="single" w:color="000000" w:sz="4" w:space="0"/>
              <w:bottom w:val="single" w:color="000000" w:sz="4" w:space="0"/>
              <w:right w:val="single" w:color="000000" w:sz="4" w:space="0"/>
            </w:tcBorders>
            <w:vAlign w:val="center"/>
          </w:tcPr>
          <w:p>
            <w:pPr>
              <w:tabs>
                <w:tab w:val="left" w:pos="1110"/>
                <w:tab w:val="right" w:pos="6028"/>
              </w:tabs>
              <w:spacing w:line="300" w:lineRule="exact"/>
              <w:jc w:val="center"/>
              <w:rPr>
                <w:color w:val="000000"/>
                <w:sz w:val="18"/>
                <w:szCs w:val="18"/>
              </w:rPr>
            </w:pPr>
            <w:r>
              <w:rPr>
                <w:rFonts w:hint="eastAsia"/>
                <w:color w:val="000000"/>
                <w:sz w:val="18"/>
                <w:szCs w:val="18"/>
              </w:rPr>
              <w:t xml:space="preserve">    120.00</w:t>
            </w:r>
            <w:r>
              <w:rPr>
                <w:rFonts w:hint="eastAsia"/>
                <w:color w:val="000000"/>
                <w:sz w:val="18"/>
                <w:szCs w:val="18"/>
              </w:rPr>
              <w:tab/>
            </w:r>
          </w:p>
        </w:tc>
      </w:tr>
      <w:tr>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vAlign w:val="center"/>
          </w:tcPr>
          <w:p>
            <w:pPr>
              <w:spacing w:line="300" w:lineRule="exact"/>
              <w:rPr>
                <w:color w:val="000000"/>
                <w:sz w:val="18"/>
                <w:szCs w:val="18"/>
              </w:rPr>
            </w:pPr>
          </w:p>
        </w:tc>
        <w:tc>
          <w:tcPr>
            <w:tcW w:w="2562"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left"/>
              <w:textAlignment w:val="center"/>
              <w:rPr>
                <w:color w:val="000000"/>
                <w:sz w:val="18"/>
                <w:szCs w:val="18"/>
              </w:rPr>
            </w:pPr>
            <w:r>
              <w:rPr>
                <w:color w:val="000000"/>
                <w:kern w:val="0"/>
                <w:sz w:val="18"/>
                <w:szCs w:val="18"/>
              </w:rPr>
              <w:t xml:space="preserve">      其中：财政拨款</w:t>
            </w:r>
          </w:p>
        </w:tc>
        <w:tc>
          <w:tcPr>
            <w:tcW w:w="5938" w:type="dxa"/>
            <w:gridSpan w:val="5"/>
            <w:tcBorders>
              <w:top w:val="single" w:color="000000" w:sz="4" w:space="0"/>
              <w:left w:val="single" w:color="000000" w:sz="4" w:space="0"/>
              <w:bottom w:val="single" w:color="000000" w:sz="4" w:space="0"/>
              <w:right w:val="single" w:color="000000" w:sz="4" w:space="0"/>
            </w:tcBorders>
            <w:vAlign w:val="center"/>
          </w:tcPr>
          <w:p>
            <w:pPr>
              <w:tabs>
                <w:tab w:val="left" w:pos="1305"/>
                <w:tab w:val="right" w:pos="6028"/>
              </w:tabs>
              <w:spacing w:line="300" w:lineRule="exact"/>
              <w:ind w:firstLine="2700" w:firstLineChars="1500"/>
              <w:rPr>
                <w:color w:val="000000"/>
                <w:sz w:val="18"/>
                <w:szCs w:val="18"/>
              </w:rPr>
            </w:pPr>
            <w:r>
              <w:rPr>
                <w:rFonts w:hint="eastAsia"/>
                <w:color w:val="000000"/>
                <w:sz w:val="18"/>
                <w:szCs w:val="18"/>
              </w:rPr>
              <w:t>120.00</w:t>
            </w:r>
          </w:p>
        </w:tc>
      </w:tr>
      <w:tr>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vAlign w:val="center"/>
          </w:tcPr>
          <w:p>
            <w:pPr>
              <w:spacing w:line="300" w:lineRule="exact"/>
              <w:rPr>
                <w:color w:val="000000"/>
                <w:sz w:val="18"/>
                <w:szCs w:val="18"/>
              </w:rPr>
            </w:pPr>
          </w:p>
        </w:tc>
        <w:tc>
          <w:tcPr>
            <w:tcW w:w="2562"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left"/>
              <w:textAlignment w:val="center"/>
              <w:rPr>
                <w:color w:val="000000"/>
                <w:sz w:val="18"/>
                <w:szCs w:val="18"/>
              </w:rPr>
            </w:pPr>
            <w:r>
              <w:rPr>
                <w:color w:val="000000"/>
                <w:kern w:val="0"/>
                <w:sz w:val="18"/>
                <w:szCs w:val="18"/>
              </w:rPr>
              <w:t xml:space="preserve">            其他资金</w:t>
            </w:r>
          </w:p>
        </w:tc>
        <w:tc>
          <w:tcPr>
            <w:tcW w:w="5938" w:type="dxa"/>
            <w:gridSpan w:val="5"/>
            <w:tcBorders>
              <w:top w:val="single" w:color="000000" w:sz="4" w:space="0"/>
              <w:left w:val="single" w:color="000000" w:sz="4" w:space="0"/>
              <w:bottom w:val="single" w:color="000000" w:sz="4" w:space="0"/>
              <w:right w:val="single" w:color="000000" w:sz="4" w:space="0"/>
            </w:tcBorders>
            <w:vAlign w:val="center"/>
          </w:tcPr>
          <w:p>
            <w:pPr>
              <w:spacing w:line="300" w:lineRule="exact"/>
              <w:jc w:val="right"/>
              <w:rPr>
                <w:color w:val="000000"/>
                <w:sz w:val="18"/>
                <w:szCs w:val="18"/>
              </w:rPr>
            </w:pPr>
          </w:p>
        </w:tc>
      </w:tr>
      <w:tr>
        <w:tblPrEx>
          <w:tblCellMar>
            <w:top w:w="15" w:type="dxa"/>
            <w:left w:w="15" w:type="dxa"/>
            <w:bottom w:w="15" w:type="dxa"/>
            <w:right w:w="15" w:type="dxa"/>
          </w:tblCellMar>
        </w:tblPrEx>
        <w:trPr>
          <w:trHeight w:val="23" w:hRule="atLeast"/>
          <w:jc w:val="center"/>
        </w:trPr>
        <w:tc>
          <w:tcPr>
            <w:tcW w:w="860"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color w:val="000000"/>
                <w:kern w:val="0"/>
                <w:sz w:val="18"/>
                <w:szCs w:val="18"/>
              </w:rPr>
            </w:pPr>
            <w:r>
              <w:rPr>
                <w:color w:val="000000"/>
                <w:kern w:val="0"/>
                <w:sz w:val="18"/>
                <w:szCs w:val="18"/>
              </w:rPr>
              <w:t xml:space="preserve">总体 </w:t>
            </w:r>
          </w:p>
          <w:p>
            <w:pPr>
              <w:widowControl/>
              <w:spacing w:line="300" w:lineRule="exact"/>
              <w:jc w:val="center"/>
              <w:textAlignment w:val="center"/>
              <w:rPr>
                <w:color w:val="000000"/>
                <w:sz w:val="18"/>
                <w:szCs w:val="18"/>
              </w:rPr>
            </w:pPr>
            <w:r>
              <w:rPr>
                <w:color w:val="000000"/>
                <w:kern w:val="0"/>
                <w:sz w:val="18"/>
                <w:szCs w:val="18"/>
              </w:rPr>
              <w:t>目标</w:t>
            </w:r>
          </w:p>
        </w:tc>
        <w:tc>
          <w:tcPr>
            <w:tcW w:w="9373" w:type="dxa"/>
            <w:gridSpan w:val="8"/>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color w:val="000000"/>
                <w:sz w:val="18"/>
                <w:szCs w:val="18"/>
              </w:rPr>
            </w:pPr>
            <w:r>
              <w:rPr>
                <w:color w:val="000000"/>
                <w:kern w:val="0"/>
                <w:sz w:val="18"/>
                <w:szCs w:val="18"/>
              </w:rPr>
              <w:t>年度目标</w:t>
            </w:r>
          </w:p>
        </w:tc>
      </w:tr>
      <w:tr>
        <w:tblPrEx>
          <w:tblCellMar>
            <w:top w:w="15" w:type="dxa"/>
            <w:left w:w="15" w:type="dxa"/>
            <w:bottom w:w="15" w:type="dxa"/>
            <w:right w:w="15" w:type="dxa"/>
          </w:tblCellMar>
        </w:tblPrEx>
        <w:trPr>
          <w:trHeight w:val="800" w:hRule="atLeast"/>
          <w:jc w:val="center"/>
        </w:trPr>
        <w:tc>
          <w:tcPr>
            <w:tcW w:w="860" w:type="dxa"/>
            <w:vMerge w:val="continue"/>
            <w:tcBorders>
              <w:top w:val="single" w:color="000000" w:sz="4" w:space="0"/>
              <w:left w:val="single" w:color="000000" w:sz="4" w:space="0"/>
              <w:bottom w:val="single" w:color="000000" w:sz="4" w:space="0"/>
              <w:right w:val="single" w:color="000000" w:sz="4" w:space="0"/>
            </w:tcBorders>
            <w:vAlign w:val="center"/>
          </w:tcPr>
          <w:p>
            <w:pPr>
              <w:spacing w:line="300" w:lineRule="exact"/>
              <w:rPr>
                <w:color w:val="000000"/>
                <w:sz w:val="18"/>
                <w:szCs w:val="18"/>
              </w:rPr>
            </w:pPr>
          </w:p>
        </w:tc>
        <w:tc>
          <w:tcPr>
            <w:tcW w:w="9373" w:type="dxa"/>
            <w:gridSpan w:val="8"/>
            <w:tcBorders>
              <w:top w:val="single" w:color="000000" w:sz="4" w:space="0"/>
              <w:left w:val="single" w:color="000000" w:sz="4" w:space="0"/>
              <w:bottom w:val="single" w:color="000000" w:sz="4" w:space="0"/>
              <w:right w:val="single" w:color="000000" w:sz="4" w:space="0"/>
            </w:tcBorders>
            <w:vAlign w:val="center"/>
          </w:tcPr>
          <w:p>
            <w:pPr>
              <w:spacing w:line="300" w:lineRule="exact"/>
              <w:rPr>
                <w:color w:val="000000"/>
                <w:sz w:val="18"/>
                <w:szCs w:val="18"/>
              </w:rPr>
            </w:pPr>
            <w:r>
              <w:rPr>
                <w:rFonts w:hint="eastAsia"/>
                <w:color w:val="000000"/>
                <w:sz w:val="18"/>
                <w:szCs w:val="18"/>
              </w:rPr>
              <w:t>严格执行相关政策，及时足额完成村级运行维护费资金支付；各村运行维护费,共计120万元预算.</w:t>
            </w:r>
          </w:p>
        </w:tc>
      </w:tr>
      <w:tr>
        <w:tblPrEx>
          <w:tblCellMar>
            <w:top w:w="15" w:type="dxa"/>
            <w:left w:w="15" w:type="dxa"/>
            <w:bottom w:w="15" w:type="dxa"/>
            <w:right w:w="15" w:type="dxa"/>
          </w:tblCellMar>
        </w:tblPrEx>
        <w:trPr>
          <w:trHeight w:val="23" w:hRule="atLeast"/>
          <w:jc w:val="center"/>
        </w:trPr>
        <w:tc>
          <w:tcPr>
            <w:tcW w:w="860" w:type="dxa"/>
            <w:vMerge w:val="restart"/>
            <w:tcBorders>
              <w:top w:val="single" w:color="000000" w:sz="4" w:space="0"/>
              <w:left w:val="single" w:color="000000" w:sz="4" w:space="0"/>
              <w:bottom w:val="single" w:color="000000" w:sz="4" w:space="0"/>
            </w:tcBorders>
            <w:vAlign w:val="center"/>
          </w:tcPr>
          <w:p>
            <w:pPr>
              <w:widowControl/>
              <w:spacing w:line="300" w:lineRule="exact"/>
              <w:jc w:val="center"/>
              <w:textAlignment w:val="center"/>
              <w:rPr>
                <w:color w:val="000000"/>
                <w:kern w:val="0"/>
                <w:sz w:val="18"/>
                <w:szCs w:val="18"/>
              </w:rPr>
            </w:pPr>
            <w:r>
              <w:rPr>
                <w:color w:val="000000"/>
                <w:kern w:val="0"/>
                <w:sz w:val="18"/>
                <w:szCs w:val="18"/>
              </w:rPr>
              <w:t>绩效</w:t>
            </w:r>
          </w:p>
          <w:p>
            <w:pPr>
              <w:widowControl/>
              <w:spacing w:line="300" w:lineRule="exact"/>
              <w:jc w:val="center"/>
              <w:textAlignment w:val="center"/>
              <w:rPr>
                <w:color w:val="000000"/>
                <w:sz w:val="18"/>
                <w:szCs w:val="18"/>
              </w:rPr>
            </w:pPr>
            <w:r>
              <w:rPr>
                <w:color w:val="000000"/>
                <w:kern w:val="0"/>
                <w:sz w:val="18"/>
                <w:szCs w:val="18"/>
              </w:rPr>
              <w:t xml:space="preserve"> 指标</w:t>
            </w:r>
          </w:p>
        </w:tc>
        <w:tc>
          <w:tcPr>
            <w:tcW w:w="873"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color w:val="000000"/>
                <w:sz w:val="18"/>
                <w:szCs w:val="18"/>
              </w:rPr>
            </w:pPr>
            <w:r>
              <w:rPr>
                <w:color w:val="000000"/>
                <w:kern w:val="0"/>
                <w:sz w:val="18"/>
                <w:szCs w:val="18"/>
              </w:rPr>
              <w:t>一级指标</w:t>
            </w:r>
          </w:p>
        </w:tc>
        <w:tc>
          <w:tcPr>
            <w:tcW w:w="1250"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color w:val="000000"/>
                <w:sz w:val="18"/>
                <w:szCs w:val="18"/>
              </w:rPr>
            </w:pPr>
            <w:r>
              <w:rPr>
                <w:color w:val="000000"/>
                <w:kern w:val="0"/>
                <w:sz w:val="18"/>
                <w:szCs w:val="18"/>
              </w:rPr>
              <w:t>二级指标</w:t>
            </w:r>
          </w:p>
        </w:tc>
        <w:tc>
          <w:tcPr>
            <w:tcW w:w="1312"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color w:val="000000"/>
                <w:sz w:val="18"/>
                <w:szCs w:val="18"/>
              </w:rPr>
            </w:pPr>
            <w:r>
              <w:rPr>
                <w:color w:val="000000"/>
                <w:kern w:val="0"/>
                <w:sz w:val="18"/>
                <w:szCs w:val="18"/>
              </w:rPr>
              <w:t>三级指标</w:t>
            </w:r>
          </w:p>
        </w:tc>
        <w:tc>
          <w:tcPr>
            <w:tcW w:w="1127"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color w:val="000000"/>
                <w:sz w:val="18"/>
                <w:szCs w:val="18"/>
              </w:rPr>
            </w:pPr>
            <w:r>
              <w:rPr>
                <w:color w:val="000000"/>
                <w:kern w:val="0"/>
                <w:sz w:val="18"/>
                <w:szCs w:val="18"/>
              </w:rPr>
              <w:t>指标性质</w:t>
            </w:r>
          </w:p>
        </w:tc>
        <w:tc>
          <w:tcPr>
            <w:tcW w:w="971"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color w:val="000000"/>
                <w:sz w:val="18"/>
                <w:szCs w:val="18"/>
              </w:rPr>
            </w:pPr>
            <w:r>
              <w:rPr>
                <w:color w:val="000000"/>
                <w:kern w:val="0"/>
                <w:sz w:val="18"/>
                <w:szCs w:val="18"/>
              </w:rPr>
              <w:t>指标值</w:t>
            </w:r>
          </w:p>
        </w:tc>
        <w:tc>
          <w:tcPr>
            <w:tcW w:w="1061"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color w:val="000000"/>
                <w:sz w:val="18"/>
                <w:szCs w:val="18"/>
              </w:rPr>
            </w:pPr>
            <w:r>
              <w:rPr>
                <w:color w:val="000000"/>
                <w:kern w:val="0"/>
                <w:sz w:val="18"/>
                <w:szCs w:val="18"/>
              </w:rPr>
              <w:t>度量单位</w:t>
            </w:r>
          </w:p>
        </w:tc>
        <w:tc>
          <w:tcPr>
            <w:tcW w:w="938"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color w:val="000000"/>
                <w:sz w:val="18"/>
                <w:szCs w:val="18"/>
              </w:rPr>
            </w:pPr>
            <w:r>
              <w:rPr>
                <w:color w:val="000000"/>
                <w:kern w:val="0"/>
                <w:sz w:val="18"/>
                <w:szCs w:val="18"/>
              </w:rPr>
              <w:t>权重</w:t>
            </w:r>
          </w:p>
        </w:tc>
        <w:tc>
          <w:tcPr>
            <w:tcW w:w="1841"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color w:val="000000"/>
                <w:sz w:val="18"/>
                <w:szCs w:val="18"/>
              </w:rPr>
            </w:pPr>
            <w:r>
              <w:rPr>
                <w:color w:val="000000"/>
                <w:kern w:val="0"/>
                <w:sz w:val="18"/>
                <w:szCs w:val="18"/>
              </w:rPr>
              <w:t>实际完成指标值</w:t>
            </w:r>
          </w:p>
        </w:tc>
      </w:tr>
      <w:tr>
        <w:tblPrEx>
          <w:tblCellMar>
            <w:top w:w="15" w:type="dxa"/>
            <w:left w:w="15" w:type="dxa"/>
            <w:bottom w:w="15" w:type="dxa"/>
            <w:right w:w="15" w:type="dxa"/>
          </w:tblCellMar>
        </w:tblPrEx>
        <w:trPr>
          <w:trHeight w:val="290" w:hRule="atLeast"/>
          <w:jc w:val="center"/>
        </w:trPr>
        <w:tc>
          <w:tcPr>
            <w:tcW w:w="860" w:type="dxa"/>
            <w:vMerge w:val="continue"/>
            <w:tcBorders>
              <w:top w:val="single" w:color="000000" w:sz="4" w:space="0"/>
              <w:left w:val="single" w:color="000000" w:sz="4" w:space="0"/>
              <w:bottom w:val="single" w:color="000000" w:sz="4" w:space="0"/>
            </w:tcBorders>
            <w:vAlign w:val="center"/>
          </w:tcPr>
          <w:p>
            <w:pPr>
              <w:spacing w:line="300" w:lineRule="exact"/>
              <w:jc w:val="center"/>
              <w:rPr>
                <w:color w:val="000000"/>
                <w:sz w:val="18"/>
                <w:szCs w:val="18"/>
              </w:rPr>
            </w:pPr>
          </w:p>
        </w:tc>
        <w:tc>
          <w:tcPr>
            <w:tcW w:w="873"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color w:val="000000"/>
                <w:sz w:val="18"/>
                <w:szCs w:val="18"/>
              </w:rPr>
            </w:pPr>
            <w:r>
              <w:rPr>
                <w:color w:val="000000"/>
                <w:kern w:val="0"/>
                <w:sz w:val="18"/>
                <w:szCs w:val="18"/>
              </w:rPr>
              <w:t>产出指标</w:t>
            </w:r>
          </w:p>
        </w:tc>
        <w:tc>
          <w:tcPr>
            <w:tcW w:w="1250"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color w:val="000000"/>
                <w:sz w:val="18"/>
                <w:szCs w:val="18"/>
              </w:rPr>
            </w:pPr>
            <w:r>
              <w:rPr>
                <w:color w:val="000000"/>
                <w:kern w:val="0"/>
                <w:sz w:val="18"/>
                <w:szCs w:val="18"/>
              </w:rPr>
              <w:t>数量指标</w:t>
            </w:r>
          </w:p>
        </w:tc>
        <w:tc>
          <w:tcPr>
            <w:tcW w:w="1312" w:type="dxa"/>
            <w:tcBorders>
              <w:top w:val="single" w:color="000000" w:sz="4" w:space="0"/>
              <w:left w:val="single" w:color="000000" w:sz="4" w:space="0"/>
              <w:bottom w:val="single" w:color="000000" w:sz="4" w:space="0"/>
              <w:right w:val="single" w:color="000000" w:sz="4" w:space="0"/>
            </w:tcBorders>
            <w:vAlign w:val="center"/>
          </w:tcPr>
          <w:p>
            <w:pPr>
              <w:spacing w:line="300" w:lineRule="exact"/>
              <w:rPr>
                <w:color w:val="000000"/>
                <w:sz w:val="18"/>
                <w:szCs w:val="18"/>
              </w:rPr>
            </w:pPr>
            <w:r>
              <w:rPr>
                <w:rFonts w:hint="eastAsia"/>
                <w:color w:val="000000"/>
                <w:sz w:val="18"/>
                <w:szCs w:val="18"/>
              </w:rPr>
              <w:t>涉及村个数</w:t>
            </w:r>
          </w:p>
        </w:tc>
        <w:tc>
          <w:tcPr>
            <w:tcW w:w="1127"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18"/>
                <w:szCs w:val="18"/>
              </w:rPr>
            </w:pPr>
            <w:r>
              <w:rPr>
                <w:rFonts w:hint="eastAsia"/>
                <w:color w:val="000000"/>
                <w:sz w:val="18"/>
                <w:szCs w:val="18"/>
              </w:rPr>
              <w:t>＝</w:t>
            </w:r>
          </w:p>
        </w:tc>
        <w:tc>
          <w:tcPr>
            <w:tcW w:w="971"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18"/>
                <w:szCs w:val="18"/>
              </w:rPr>
            </w:pPr>
            <w:r>
              <w:rPr>
                <w:rFonts w:hint="eastAsia"/>
                <w:color w:val="000000"/>
                <w:sz w:val="18"/>
                <w:szCs w:val="18"/>
              </w:rPr>
              <w:t>8</w:t>
            </w:r>
          </w:p>
        </w:tc>
        <w:tc>
          <w:tcPr>
            <w:tcW w:w="1061"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18"/>
                <w:szCs w:val="18"/>
              </w:rPr>
            </w:pPr>
            <w:r>
              <w:rPr>
                <w:rFonts w:hint="eastAsia"/>
                <w:color w:val="000000"/>
                <w:sz w:val="18"/>
                <w:szCs w:val="18"/>
              </w:rPr>
              <w:t>个</w:t>
            </w:r>
          </w:p>
        </w:tc>
        <w:tc>
          <w:tcPr>
            <w:tcW w:w="938"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18"/>
                <w:szCs w:val="18"/>
              </w:rPr>
            </w:pPr>
            <w:r>
              <w:rPr>
                <w:rFonts w:hint="eastAsia"/>
                <w:color w:val="000000"/>
                <w:sz w:val="18"/>
                <w:szCs w:val="18"/>
              </w:rPr>
              <w:t>10</w:t>
            </w:r>
          </w:p>
        </w:tc>
        <w:tc>
          <w:tcPr>
            <w:tcW w:w="1841"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18"/>
                <w:szCs w:val="18"/>
              </w:rPr>
            </w:pPr>
            <w:r>
              <w:rPr>
                <w:rFonts w:hint="eastAsia"/>
                <w:color w:val="000000"/>
                <w:sz w:val="18"/>
                <w:szCs w:val="18"/>
              </w:rPr>
              <w:t>8</w:t>
            </w:r>
          </w:p>
        </w:tc>
      </w:tr>
      <w:tr>
        <w:tblPrEx>
          <w:tblCellMar>
            <w:top w:w="15" w:type="dxa"/>
            <w:left w:w="15" w:type="dxa"/>
            <w:bottom w:w="15" w:type="dxa"/>
            <w:right w:w="15" w:type="dxa"/>
          </w:tblCellMar>
        </w:tblPrEx>
        <w:trPr>
          <w:trHeight w:val="23" w:hRule="atLeast"/>
          <w:jc w:val="center"/>
        </w:trPr>
        <w:tc>
          <w:tcPr>
            <w:tcW w:w="860" w:type="dxa"/>
            <w:vMerge w:val="continue"/>
            <w:tcBorders>
              <w:top w:val="single" w:color="000000" w:sz="4" w:space="0"/>
              <w:left w:val="single" w:color="000000" w:sz="4" w:space="0"/>
              <w:bottom w:val="single" w:color="000000" w:sz="4" w:space="0"/>
            </w:tcBorders>
            <w:vAlign w:val="center"/>
          </w:tcPr>
          <w:p>
            <w:pPr>
              <w:spacing w:line="300" w:lineRule="exact"/>
              <w:jc w:val="center"/>
              <w:rPr>
                <w:color w:val="000000"/>
                <w:sz w:val="18"/>
                <w:szCs w:val="18"/>
              </w:rPr>
            </w:pPr>
          </w:p>
        </w:tc>
        <w:tc>
          <w:tcPr>
            <w:tcW w:w="873" w:type="dxa"/>
            <w:vMerge w:val="continue"/>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18"/>
                <w:szCs w:val="18"/>
              </w:rPr>
            </w:pPr>
          </w:p>
        </w:tc>
        <w:tc>
          <w:tcPr>
            <w:tcW w:w="1250"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color w:val="000000"/>
                <w:sz w:val="18"/>
                <w:szCs w:val="18"/>
              </w:rPr>
            </w:pPr>
            <w:r>
              <w:rPr>
                <w:color w:val="000000"/>
                <w:kern w:val="0"/>
                <w:sz w:val="18"/>
                <w:szCs w:val="18"/>
              </w:rPr>
              <w:t>质量指标</w:t>
            </w:r>
          </w:p>
        </w:tc>
        <w:tc>
          <w:tcPr>
            <w:tcW w:w="1312" w:type="dxa"/>
            <w:tcBorders>
              <w:top w:val="single" w:color="000000" w:sz="4" w:space="0"/>
              <w:left w:val="single" w:color="000000" w:sz="4" w:space="0"/>
              <w:bottom w:val="single" w:color="000000" w:sz="4" w:space="0"/>
              <w:right w:val="single" w:color="000000" w:sz="4" w:space="0"/>
            </w:tcBorders>
            <w:vAlign w:val="center"/>
          </w:tcPr>
          <w:p>
            <w:pPr>
              <w:spacing w:line="300" w:lineRule="exact"/>
              <w:rPr>
                <w:color w:val="000000"/>
                <w:sz w:val="18"/>
                <w:szCs w:val="18"/>
              </w:rPr>
            </w:pPr>
            <w:r>
              <w:rPr>
                <w:rFonts w:hint="eastAsia"/>
                <w:color w:val="000000"/>
                <w:sz w:val="18"/>
                <w:szCs w:val="18"/>
              </w:rPr>
              <w:t>项目资金使用合格率</w:t>
            </w:r>
          </w:p>
        </w:tc>
        <w:tc>
          <w:tcPr>
            <w:tcW w:w="1127"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18"/>
                <w:szCs w:val="18"/>
              </w:rPr>
            </w:pPr>
            <w:r>
              <w:rPr>
                <w:rFonts w:hint="eastAsia"/>
                <w:color w:val="000000"/>
                <w:sz w:val="18"/>
                <w:szCs w:val="18"/>
              </w:rPr>
              <w:t>＝</w:t>
            </w:r>
          </w:p>
        </w:tc>
        <w:tc>
          <w:tcPr>
            <w:tcW w:w="971"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18"/>
                <w:szCs w:val="18"/>
              </w:rPr>
            </w:pPr>
            <w:r>
              <w:rPr>
                <w:rFonts w:hint="eastAsia"/>
                <w:color w:val="000000"/>
                <w:sz w:val="18"/>
                <w:szCs w:val="18"/>
              </w:rPr>
              <w:t>100</w:t>
            </w:r>
          </w:p>
        </w:tc>
        <w:tc>
          <w:tcPr>
            <w:tcW w:w="1061"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18"/>
                <w:szCs w:val="18"/>
              </w:rPr>
            </w:pPr>
            <w:r>
              <w:rPr>
                <w:rFonts w:hint="eastAsia"/>
                <w:color w:val="000000"/>
                <w:sz w:val="18"/>
                <w:szCs w:val="18"/>
              </w:rPr>
              <w:t>%</w:t>
            </w:r>
          </w:p>
        </w:tc>
        <w:tc>
          <w:tcPr>
            <w:tcW w:w="938"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18"/>
                <w:szCs w:val="18"/>
              </w:rPr>
            </w:pPr>
            <w:r>
              <w:rPr>
                <w:rFonts w:hint="eastAsia"/>
                <w:color w:val="000000"/>
                <w:sz w:val="18"/>
                <w:szCs w:val="18"/>
              </w:rPr>
              <w:t>10</w:t>
            </w:r>
          </w:p>
        </w:tc>
        <w:tc>
          <w:tcPr>
            <w:tcW w:w="1841"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18"/>
                <w:szCs w:val="18"/>
              </w:rPr>
            </w:pPr>
            <w:r>
              <w:rPr>
                <w:rFonts w:hint="eastAsia"/>
                <w:color w:val="000000"/>
                <w:sz w:val="18"/>
                <w:szCs w:val="18"/>
              </w:rPr>
              <w:t>100</w:t>
            </w:r>
          </w:p>
        </w:tc>
      </w:tr>
      <w:tr>
        <w:tblPrEx>
          <w:tblCellMar>
            <w:top w:w="15" w:type="dxa"/>
            <w:left w:w="15" w:type="dxa"/>
            <w:bottom w:w="15" w:type="dxa"/>
            <w:right w:w="15" w:type="dxa"/>
          </w:tblCellMar>
        </w:tblPrEx>
        <w:trPr>
          <w:trHeight w:val="23" w:hRule="atLeast"/>
          <w:jc w:val="center"/>
        </w:trPr>
        <w:tc>
          <w:tcPr>
            <w:tcW w:w="860" w:type="dxa"/>
            <w:vMerge w:val="continue"/>
            <w:tcBorders>
              <w:top w:val="single" w:color="000000" w:sz="4" w:space="0"/>
              <w:left w:val="single" w:color="000000" w:sz="4" w:space="0"/>
              <w:bottom w:val="single" w:color="000000" w:sz="4" w:space="0"/>
            </w:tcBorders>
            <w:vAlign w:val="center"/>
          </w:tcPr>
          <w:p>
            <w:pPr>
              <w:spacing w:line="300" w:lineRule="exact"/>
              <w:jc w:val="center"/>
              <w:rPr>
                <w:color w:val="000000"/>
                <w:sz w:val="18"/>
                <w:szCs w:val="18"/>
              </w:rPr>
            </w:pPr>
          </w:p>
        </w:tc>
        <w:tc>
          <w:tcPr>
            <w:tcW w:w="873" w:type="dxa"/>
            <w:vMerge w:val="continue"/>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18"/>
                <w:szCs w:val="18"/>
              </w:rPr>
            </w:pPr>
          </w:p>
        </w:tc>
        <w:tc>
          <w:tcPr>
            <w:tcW w:w="1250" w:type="dxa"/>
            <w:vMerge w:val="continue"/>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18"/>
                <w:szCs w:val="18"/>
              </w:rPr>
            </w:pPr>
          </w:p>
        </w:tc>
        <w:tc>
          <w:tcPr>
            <w:tcW w:w="1312" w:type="dxa"/>
            <w:tcBorders>
              <w:top w:val="single" w:color="000000" w:sz="4" w:space="0"/>
              <w:left w:val="single" w:color="000000" w:sz="4" w:space="0"/>
              <w:bottom w:val="single" w:color="000000" w:sz="4" w:space="0"/>
              <w:right w:val="single" w:color="000000" w:sz="4" w:space="0"/>
            </w:tcBorders>
            <w:vAlign w:val="center"/>
          </w:tcPr>
          <w:p>
            <w:pPr>
              <w:spacing w:line="300" w:lineRule="exact"/>
              <w:rPr>
                <w:color w:val="000000"/>
                <w:sz w:val="18"/>
                <w:szCs w:val="18"/>
              </w:rPr>
            </w:pPr>
            <w:r>
              <w:rPr>
                <w:rFonts w:hint="eastAsia"/>
                <w:color w:val="000000"/>
                <w:sz w:val="18"/>
                <w:szCs w:val="18"/>
              </w:rPr>
              <w:t>项目竣工验收合格率</w:t>
            </w:r>
          </w:p>
        </w:tc>
        <w:tc>
          <w:tcPr>
            <w:tcW w:w="1127"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18"/>
                <w:szCs w:val="18"/>
              </w:rPr>
            </w:pPr>
            <w:r>
              <w:rPr>
                <w:rFonts w:hint="eastAsia"/>
                <w:color w:val="000000"/>
                <w:sz w:val="18"/>
                <w:szCs w:val="18"/>
              </w:rPr>
              <w:t>＝</w:t>
            </w:r>
          </w:p>
        </w:tc>
        <w:tc>
          <w:tcPr>
            <w:tcW w:w="971"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18"/>
                <w:szCs w:val="18"/>
              </w:rPr>
            </w:pPr>
            <w:r>
              <w:rPr>
                <w:rFonts w:hint="eastAsia"/>
                <w:color w:val="000000"/>
                <w:sz w:val="18"/>
                <w:szCs w:val="18"/>
              </w:rPr>
              <w:t>100</w:t>
            </w:r>
          </w:p>
        </w:tc>
        <w:tc>
          <w:tcPr>
            <w:tcW w:w="1061"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18"/>
                <w:szCs w:val="18"/>
              </w:rPr>
            </w:pPr>
            <w:r>
              <w:rPr>
                <w:rFonts w:hint="eastAsia"/>
                <w:color w:val="000000"/>
                <w:sz w:val="18"/>
                <w:szCs w:val="18"/>
              </w:rPr>
              <w:t>%</w:t>
            </w:r>
          </w:p>
        </w:tc>
        <w:tc>
          <w:tcPr>
            <w:tcW w:w="938"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18"/>
                <w:szCs w:val="18"/>
              </w:rPr>
            </w:pPr>
            <w:r>
              <w:rPr>
                <w:rFonts w:hint="eastAsia"/>
                <w:color w:val="000000"/>
                <w:sz w:val="18"/>
                <w:szCs w:val="18"/>
              </w:rPr>
              <w:t>10</w:t>
            </w:r>
          </w:p>
        </w:tc>
        <w:tc>
          <w:tcPr>
            <w:tcW w:w="1841"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18"/>
                <w:szCs w:val="18"/>
              </w:rPr>
            </w:pPr>
            <w:r>
              <w:rPr>
                <w:rFonts w:hint="eastAsia"/>
                <w:color w:val="000000"/>
                <w:sz w:val="18"/>
                <w:szCs w:val="18"/>
              </w:rPr>
              <w:t>100</w:t>
            </w:r>
          </w:p>
        </w:tc>
      </w:tr>
      <w:tr>
        <w:tblPrEx>
          <w:tblCellMar>
            <w:top w:w="15" w:type="dxa"/>
            <w:left w:w="15" w:type="dxa"/>
            <w:bottom w:w="15" w:type="dxa"/>
            <w:right w:w="15" w:type="dxa"/>
          </w:tblCellMar>
        </w:tblPrEx>
        <w:trPr>
          <w:trHeight w:val="23" w:hRule="atLeast"/>
          <w:jc w:val="center"/>
        </w:trPr>
        <w:tc>
          <w:tcPr>
            <w:tcW w:w="860" w:type="dxa"/>
            <w:vMerge w:val="continue"/>
            <w:tcBorders>
              <w:top w:val="single" w:color="000000" w:sz="4" w:space="0"/>
              <w:left w:val="single" w:color="000000" w:sz="4" w:space="0"/>
              <w:bottom w:val="single" w:color="000000" w:sz="4" w:space="0"/>
            </w:tcBorders>
            <w:vAlign w:val="center"/>
          </w:tcPr>
          <w:p>
            <w:pPr>
              <w:spacing w:line="300" w:lineRule="exact"/>
              <w:jc w:val="center"/>
              <w:rPr>
                <w:color w:val="000000"/>
                <w:sz w:val="18"/>
                <w:szCs w:val="18"/>
              </w:rPr>
            </w:pPr>
          </w:p>
        </w:tc>
        <w:tc>
          <w:tcPr>
            <w:tcW w:w="873" w:type="dxa"/>
            <w:vMerge w:val="continue"/>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18"/>
                <w:szCs w:val="18"/>
              </w:rPr>
            </w:pPr>
          </w:p>
        </w:tc>
        <w:tc>
          <w:tcPr>
            <w:tcW w:w="1250"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color w:val="000000"/>
                <w:sz w:val="18"/>
                <w:szCs w:val="18"/>
              </w:rPr>
            </w:pPr>
            <w:r>
              <w:rPr>
                <w:color w:val="000000"/>
                <w:kern w:val="0"/>
                <w:sz w:val="18"/>
                <w:szCs w:val="18"/>
              </w:rPr>
              <w:t>时效指标</w:t>
            </w:r>
          </w:p>
        </w:tc>
        <w:tc>
          <w:tcPr>
            <w:tcW w:w="1312" w:type="dxa"/>
            <w:tcBorders>
              <w:top w:val="single" w:color="000000" w:sz="4" w:space="0"/>
              <w:left w:val="single" w:color="000000" w:sz="4" w:space="0"/>
              <w:bottom w:val="single" w:color="000000" w:sz="4" w:space="0"/>
              <w:right w:val="single" w:color="000000" w:sz="4" w:space="0"/>
            </w:tcBorders>
            <w:vAlign w:val="center"/>
          </w:tcPr>
          <w:p>
            <w:pPr>
              <w:spacing w:line="300" w:lineRule="exact"/>
              <w:rPr>
                <w:color w:val="000000"/>
                <w:sz w:val="18"/>
                <w:szCs w:val="18"/>
              </w:rPr>
            </w:pPr>
            <w:r>
              <w:rPr>
                <w:rFonts w:hint="eastAsia"/>
                <w:color w:val="000000"/>
                <w:sz w:val="18"/>
                <w:szCs w:val="18"/>
              </w:rPr>
              <w:t>完成时效</w:t>
            </w:r>
          </w:p>
        </w:tc>
        <w:tc>
          <w:tcPr>
            <w:tcW w:w="1127"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18"/>
                <w:szCs w:val="18"/>
              </w:rPr>
            </w:pPr>
            <w:r>
              <w:rPr>
                <w:rFonts w:hint="eastAsia"/>
                <w:color w:val="000000"/>
                <w:sz w:val="18"/>
                <w:szCs w:val="18"/>
              </w:rPr>
              <w:t>＝</w:t>
            </w:r>
          </w:p>
        </w:tc>
        <w:tc>
          <w:tcPr>
            <w:tcW w:w="971"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18"/>
                <w:szCs w:val="18"/>
              </w:rPr>
            </w:pPr>
            <w:r>
              <w:rPr>
                <w:rFonts w:hint="eastAsia"/>
                <w:color w:val="000000"/>
                <w:sz w:val="18"/>
                <w:szCs w:val="18"/>
              </w:rPr>
              <w:t>1</w:t>
            </w:r>
          </w:p>
        </w:tc>
        <w:tc>
          <w:tcPr>
            <w:tcW w:w="1061"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18"/>
                <w:szCs w:val="18"/>
              </w:rPr>
            </w:pPr>
            <w:r>
              <w:rPr>
                <w:rFonts w:hint="eastAsia"/>
                <w:color w:val="000000"/>
                <w:sz w:val="18"/>
                <w:szCs w:val="18"/>
              </w:rPr>
              <w:t>年</w:t>
            </w:r>
          </w:p>
        </w:tc>
        <w:tc>
          <w:tcPr>
            <w:tcW w:w="938"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18"/>
                <w:szCs w:val="18"/>
              </w:rPr>
            </w:pPr>
            <w:r>
              <w:rPr>
                <w:rFonts w:hint="eastAsia"/>
                <w:color w:val="000000"/>
                <w:sz w:val="18"/>
                <w:szCs w:val="18"/>
              </w:rPr>
              <w:t>10</w:t>
            </w:r>
          </w:p>
        </w:tc>
        <w:tc>
          <w:tcPr>
            <w:tcW w:w="1841"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18"/>
                <w:szCs w:val="18"/>
              </w:rPr>
            </w:pPr>
            <w:r>
              <w:rPr>
                <w:rFonts w:hint="eastAsia"/>
                <w:color w:val="000000"/>
                <w:sz w:val="18"/>
                <w:szCs w:val="18"/>
              </w:rPr>
              <w:t>1</w:t>
            </w:r>
          </w:p>
        </w:tc>
      </w:tr>
      <w:tr>
        <w:tblPrEx>
          <w:tblCellMar>
            <w:top w:w="15" w:type="dxa"/>
            <w:left w:w="15" w:type="dxa"/>
            <w:bottom w:w="15" w:type="dxa"/>
            <w:right w:w="15" w:type="dxa"/>
          </w:tblCellMar>
        </w:tblPrEx>
        <w:trPr>
          <w:trHeight w:val="23" w:hRule="atLeast"/>
          <w:jc w:val="center"/>
        </w:trPr>
        <w:tc>
          <w:tcPr>
            <w:tcW w:w="860" w:type="dxa"/>
            <w:vMerge w:val="continue"/>
            <w:tcBorders>
              <w:top w:val="single" w:color="000000" w:sz="4" w:space="0"/>
              <w:left w:val="single" w:color="000000" w:sz="4" w:space="0"/>
              <w:bottom w:val="single" w:color="000000" w:sz="4" w:space="0"/>
            </w:tcBorders>
            <w:vAlign w:val="center"/>
          </w:tcPr>
          <w:p>
            <w:pPr>
              <w:spacing w:line="300" w:lineRule="exact"/>
              <w:jc w:val="center"/>
              <w:rPr>
                <w:color w:val="000000"/>
                <w:sz w:val="18"/>
                <w:szCs w:val="18"/>
              </w:rPr>
            </w:pPr>
          </w:p>
        </w:tc>
        <w:tc>
          <w:tcPr>
            <w:tcW w:w="873"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color w:val="000000"/>
                <w:sz w:val="18"/>
                <w:szCs w:val="18"/>
              </w:rPr>
            </w:pPr>
            <w:r>
              <w:rPr>
                <w:color w:val="000000"/>
                <w:kern w:val="0"/>
                <w:sz w:val="18"/>
                <w:szCs w:val="18"/>
              </w:rPr>
              <w:t>效益指标</w:t>
            </w:r>
          </w:p>
        </w:tc>
        <w:tc>
          <w:tcPr>
            <w:tcW w:w="1250"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color w:val="000000"/>
                <w:sz w:val="18"/>
                <w:szCs w:val="18"/>
              </w:rPr>
            </w:pPr>
            <w:r>
              <w:rPr>
                <w:rFonts w:hint="eastAsia"/>
                <w:color w:val="000000"/>
                <w:kern w:val="0"/>
                <w:sz w:val="18"/>
                <w:szCs w:val="18"/>
              </w:rPr>
              <w:t>生态效益指标</w:t>
            </w:r>
          </w:p>
        </w:tc>
        <w:tc>
          <w:tcPr>
            <w:tcW w:w="1312" w:type="dxa"/>
            <w:tcBorders>
              <w:top w:val="single" w:color="000000" w:sz="4" w:space="0"/>
              <w:left w:val="single" w:color="000000" w:sz="4" w:space="0"/>
              <w:bottom w:val="single" w:color="000000" w:sz="4" w:space="0"/>
              <w:right w:val="single" w:color="000000" w:sz="4" w:space="0"/>
            </w:tcBorders>
            <w:vAlign w:val="center"/>
          </w:tcPr>
          <w:p>
            <w:pPr>
              <w:spacing w:line="300" w:lineRule="exact"/>
              <w:rPr>
                <w:color w:val="000000"/>
                <w:sz w:val="18"/>
                <w:szCs w:val="18"/>
              </w:rPr>
            </w:pPr>
            <w:r>
              <w:rPr>
                <w:rFonts w:hint="eastAsia"/>
                <w:color w:val="000000"/>
                <w:sz w:val="18"/>
                <w:szCs w:val="18"/>
              </w:rPr>
              <w:t>绿色可持续</w:t>
            </w:r>
          </w:p>
        </w:tc>
        <w:tc>
          <w:tcPr>
            <w:tcW w:w="1127"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18"/>
                <w:szCs w:val="18"/>
              </w:rPr>
            </w:pPr>
            <w:r>
              <w:rPr>
                <w:rFonts w:hint="eastAsia"/>
                <w:color w:val="000000"/>
                <w:sz w:val="18"/>
                <w:szCs w:val="18"/>
              </w:rPr>
              <w:t>定性</w:t>
            </w:r>
          </w:p>
        </w:tc>
        <w:tc>
          <w:tcPr>
            <w:tcW w:w="971"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18"/>
                <w:szCs w:val="18"/>
              </w:rPr>
            </w:pPr>
            <w:r>
              <w:rPr>
                <w:rFonts w:hint="eastAsia"/>
                <w:color w:val="000000"/>
                <w:sz w:val="18"/>
                <w:szCs w:val="18"/>
              </w:rPr>
              <w:t>高中低</w:t>
            </w:r>
          </w:p>
        </w:tc>
        <w:tc>
          <w:tcPr>
            <w:tcW w:w="1061"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18"/>
                <w:szCs w:val="18"/>
              </w:rPr>
            </w:pPr>
            <w:r>
              <w:rPr>
                <w:rFonts w:hint="eastAsia"/>
                <w:color w:val="000000"/>
                <w:sz w:val="18"/>
                <w:szCs w:val="18"/>
              </w:rPr>
              <w:t>其他</w:t>
            </w:r>
          </w:p>
        </w:tc>
        <w:tc>
          <w:tcPr>
            <w:tcW w:w="938"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18"/>
                <w:szCs w:val="18"/>
              </w:rPr>
            </w:pPr>
            <w:r>
              <w:rPr>
                <w:rFonts w:hint="eastAsia"/>
                <w:color w:val="000000"/>
                <w:sz w:val="18"/>
                <w:szCs w:val="18"/>
              </w:rPr>
              <w:t>30</w:t>
            </w:r>
          </w:p>
        </w:tc>
        <w:tc>
          <w:tcPr>
            <w:tcW w:w="1841"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18"/>
                <w:szCs w:val="18"/>
              </w:rPr>
            </w:pPr>
            <w:r>
              <w:rPr>
                <w:rFonts w:hint="eastAsia"/>
                <w:color w:val="000000"/>
                <w:sz w:val="18"/>
                <w:szCs w:val="18"/>
              </w:rPr>
              <w:t>中</w:t>
            </w:r>
          </w:p>
        </w:tc>
      </w:tr>
      <w:tr>
        <w:tblPrEx>
          <w:tblCellMar>
            <w:top w:w="15" w:type="dxa"/>
            <w:left w:w="15" w:type="dxa"/>
            <w:bottom w:w="15" w:type="dxa"/>
            <w:right w:w="15" w:type="dxa"/>
          </w:tblCellMar>
        </w:tblPrEx>
        <w:trPr>
          <w:trHeight w:val="23" w:hRule="atLeast"/>
          <w:jc w:val="center"/>
        </w:trPr>
        <w:tc>
          <w:tcPr>
            <w:tcW w:w="860" w:type="dxa"/>
            <w:vMerge w:val="continue"/>
            <w:tcBorders>
              <w:top w:val="single" w:color="000000" w:sz="4" w:space="0"/>
              <w:left w:val="single" w:color="000000" w:sz="4" w:space="0"/>
              <w:bottom w:val="single" w:color="000000" w:sz="4" w:space="0"/>
            </w:tcBorders>
            <w:vAlign w:val="center"/>
          </w:tcPr>
          <w:p>
            <w:pPr>
              <w:spacing w:line="300" w:lineRule="exact"/>
              <w:jc w:val="center"/>
              <w:rPr>
                <w:color w:val="000000"/>
                <w:sz w:val="18"/>
                <w:szCs w:val="18"/>
              </w:rPr>
            </w:pPr>
          </w:p>
        </w:tc>
        <w:tc>
          <w:tcPr>
            <w:tcW w:w="873" w:type="dxa"/>
            <w:tcBorders>
              <w:top w:val="single" w:color="000000" w:sz="4" w:space="0"/>
              <w:left w:val="single" w:color="000000" w:sz="4" w:space="0"/>
              <w:right w:val="single" w:color="000000" w:sz="4" w:space="0"/>
            </w:tcBorders>
            <w:vAlign w:val="center"/>
          </w:tcPr>
          <w:p>
            <w:pPr>
              <w:widowControl/>
              <w:spacing w:line="300" w:lineRule="exact"/>
              <w:jc w:val="center"/>
              <w:textAlignment w:val="center"/>
              <w:rPr>
                <w:color w:val="000000"/>
                <w:kern w:val="0"/>
                <w:sz w:val="18"/>
                <w:szCs w:val="18"/>
              </w:rPr>
            </w:pPr>
            <w:r>
              <w:rPr>
                <w:color w:val="000000"/>
                <w:kern w:val="0"/>
                <w:sz w:val="18"/>
                <w:szCs w:val="18"/>
              </w:rPr>
              <w:t>满意度</w:t>
            </w:r>
          </w:p>
          <w:p>
            <w:pPr>
              <w:widowControl/>
              <w:spacing w:line="300" w:lineRule="exact"/>
              <w:jc w:val="center"/>
              <w:textAlignment w:val="center"/>
              <w:rPr>
                <w:color w:val="000000"/>
                <w:sz w:val="18"/>
                <w:szCs w:val="18"/>
              </w:rPr>
            </w:pPr>
            <w:r>
              <w:rPr>
                <w:color w:val="000000"/>
                <w:kern w:val="0"/>
                <w:sz w:val="18"/>
                <w:szCs w:val="18"/>
              </w:rPr>
              <w:t>指标</w:t>
            </w:r>
          </w:p>
        </w:tc>
        <w:tc>
          <w:tcPr>
            <w:tcW w:w="1250" w:type="dxa"/>
            <w:tcBorders>
              <w:top w:val="single" w:color="000000" w:sz="4" w:space="0"/>
              <w:left w:val="single" w:color="000000" w:sz="4" w:space="0"/>
              <w:right w:val="single" w:color="000000" w:sz="4" w:space="0"/>
            </w:tcBorders>
            <w:vAlign w:val="center"/>
          </w:tcPr>
          <w:p>
            <w:pPr>
              <w:widowControl/>
              <w:spacing w:line="300" w:lineRule="exact"/>
              <w:jc w:val="center"/>
              <w:textAlignment w:val="center"/>
              <w:rPr>
                <w:color w:val="000000"/>
                <w:kern w:val="0"/>
                <w:sz w:val="18"/>
                <w:szCs w:val="18"/>
              </w:rPr>
            </w:pPr>
            <w:r>
              <w:rPr>
                <w:color w:val="000000"/>
                <w:kern w:val="0"/>
                <w:sz w:val="18"/>
                <w:szCs w:val="18"/>
              </w:rPr>
              <w:t>服务对象</w:t>
            </w:r>
          </w:p>
          <w:p>
            <w:pPr>
              <w:widowControl/>
              <w:spacing w:line="300" w:lineRule="exact"/>
              <w:jc w:val="center"/>
              <w:textAlignment w:val="center"/>
              <w:rPr>
                <w:color w:val="000000"/>
                <w:sz w:val="18"/>
                <w:szCs w:val="18"/>
              </w:rPr>
            </w:pPr>
            <w:r>
              <w:rPr>
                <w:color w:val="000000"/>
                <w:kern w:val="0"/>
                <w:sz w:val="18"/>
                <w:szCs w:val="18"/>
              </w:rPr>
              <w:t>满意度指标</w:t>
            </w:r>
          </w:p>
        </w:tc>
        <w:tc>
          <w:tcPr>
            <w:tcW w:w="1312" w:type="dxa"/>
            <w:tcBorders>
              <w:top w:val="single" w:color="000000" w:sz="4" w:space="0"/>
              <w:left w:val="single" w:color="000000" w:sz="4" w:space="0"/>
              <w:bottom w:val="single" w:color="000000" w:sz="4" w:space="0"/>
              <w:right w:val="single" w:color="000000" w:sz="4" w:space="0"/>
            </w:tcBorders>
            <w:vAlign w:val="center"/>
          </w:tcPr>
          <w:p>
            <w:pPr>
              <w:spacing w:line="300" w:lineRule="exact"/>
              <w:rPr>
                <w:color w:val="000000"/>
                <w:sz w:val="18"/>
                <w:szCs w:val="18"/>
              </w:rPr>
            </w:pPr>
            <w:r>
              <w:rPr>
                <w:rFonts w:hint="eastAsia"/>
                <w:color w:val="000000"/>
                <w:sz w:val="18"/>
                <w:szCs w:val="18"/>
              </w:rPr>
              <w:t>群众满意度</w:t>
            </w:r>
          </w:p>
        </w:tc>
        <w:tc>
          <w:tcPr>
            <w:tcW w:w="1127"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18"/>
                <w:szCs w:val="18"/>
              </w:rPr>
            </w:pPr>
            <w:r>
              <w:rPr>
                <w:rFonts w:hint="eastAsia"/>
                <w:color w:val="000000"/>
                <w:sz w:val="18"/>
                <w:szCs w:val="18"/>
              </w:rPr>
              <w:t>≥</w:t>
            </w:r>
          </w:p>
        </w:tc>
        <w:tc>
          <w:tcPr>
            <w:tcW w:w="971"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18"/>
                <w:szCs w:val="18"/>
              </w:rPr>
            </w:pPr>
            <w:r>
              <w:rPr>
                <w:rFonts w:hint="eastAsia"/>
                <w:color w:val="000000"/>
                <w:sz w:val="18"/>
                <w:szCs w:val="18"/>
              </w:rPr>
              <w:t>85</w:t>
            </w:r>
          </w:p>
        </w:tc>
        <w:tc>
          <w:tcPr>
            <w:tcW w:w="1061"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18"/>
                <w:szCs w:val="18"/>
              </w:rPr>
            </w:pPr>
            <w:r>
              <w:rPr>
                <w:rFonts w:hint="eastAsia"/>
                <w:color w:val="000000"/>
                <w:sz w:val="18"/>
                <w:szCs w:val="18"/>
              </w:rPr>
              <w:t>%</w:t>
            </w:r>
          </w:p>
        </w:tc>
        <w:tc>
          <w:tcPr>
            <w:tcW w:w="938"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18"/>
                <w:szCs w:val="18"/>
              </w:rPr>
            </w:pPr>
            <w:r>
              <w:rPr>
                <w:rFonts w:hint="eastAsia"/>
                <w:color w:val="000000"/>
                <w:sz w:val="18"/>
                <w:szCs w:val="18"/>
              </w:rPr>
              <w:t>10</w:t>
            </w:r>
          </w:p>
        </w:tc>
        <w:tc>
          <w:tcPr>
            <w:tcW w:w="1841"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18"/>
                <w:szCs w:val="18"/>
              </w:rPr>
            </w:pPr>
            <w:r>
              <w:rPr>
                <w:rFonts w:hint="eastAsia"/>
                <w:color w:val="000000"/>
                <w:sz w:val="18"/>
                <w:szCs w:val="18"/>
              </w:rPr>
              <w:t>85</w:t>
            </w:r>
          </w:p>
        </w:tc>
      </w:tr>
      <w:tr>
        <w:tblPrEx>
          <w:tblCellMar>
            <w:top w:w="15" w:type="dxa"/>
            <w:left w:w="15" w:type="dxa"/>
            <w:bottom w:w="15" w:type="dxa"/>
            <w:right w:w="15" w:type="dxa"/>
          </w:tblCellMar>
        </w:tblPrEx>
        <w:trPr>
          <w:trHeight w:val="23" w:hRule="atLeast"/>
          <w:jc w:val="center"/>
        </w:trPr>
        <w:tc>
          <w:tcPr>
            <w:tcW w:w="860" w:type="dxa"/>
            <w:vMerge w:val="continue"/>
            <w:tcBorders>
              <w:top w:val="single" w:color="000000" w:sz="4" w:space="0"/>
              <w:left w:val="single" w:color="000000" w:sz="4" w:space="0"/>
              <w:bottom w:val="single" w:color="000000" w:sz="4" w:space="0"/>
            </w:tcBorders>
            <w:vAlign w:val="center"/>
          </w:tcPr>
          <w:p>
            <w:pPr>
              <w:spacing w:line="300" w:lineRule="exact"/>
              <w:jc w:val="center"/>
              <w:rPr>
                <w:color w:val="000000"/>
                <w:sz w:val="18"/>
                <w:szCs w:val="18"/>
              </w:rPr>
            </w:pPr>
          </w:p>
        </w:tc>
        <w:tc>
          <w:tcPr>
            <w:tcW w:w="873"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color w:val="000000"/>
                <w:sz w:val="18"/>
                <w:szCs w:val="18"/>
              </w:rPr>
            </w:pPr>
            <w:r>
              <w:rPr>
                <w:color w:val="000000"/>
                <w:kern w:val="0"/>
                <w:sz w:val="18"/>
                <w:szCs w:val="18"/>
              </w:rPr>
              <w:t>成本指标</w:t>
            </w:r>
          </w:p>
        </w:tc>
        <w:tc>
          <w:tcPr>
            <w:tcW w:w="1250"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color w:val="000000"/>
                <w:kern w:val="0"/>
                <w:sz w:val="18"/>
                <w:szCs w:val="18"/>
              </w:rPr>
            </w:pPr>
            <w:r>
              <w:rPr>
                <w:color w:val="000000"/>
                <w:kern w:val="0"/>
                <w:sz w:val="18"/>
                <w:szCs w:val="18"/>
              </w:rPr>
              <w:t>经济成本</w:t>
            </w:r>
          </w:p>
          <w:p>
            <w:pPr>
              <w:widowControl/>
              <w:spacing w:line="300" w:lineRule="exact"/>
              <w:jc w:val="center"/>
              <w:textAlignment w:val="center"/>
              <w:rPr>
                <w:color w:val="000000"/>
                <w:sz w:val="18"/>
                <w:szCs w:val="18"/>
              </w:rPr>
            </w:pPr>
            <w:r>
              <w:rPr>
                <w:color w:val="000000"/>
                <w:kern w:val="0"/>
                <w:sz w:val="18"/>
                <w:szCs w:val="18"/>
              </w:rPr>
              <w:t>指标</w:t>
            </w:r>
          </w:p>
        </w:tc>
        <w:tc>
          <w:tcPr>
            <w:tcW w:w="1312" w:type="dxa"/>
            <w:tcBorders>
              <w:top w:val="single" w:color="000000" w:sz="4" w:space="0"/>
              <w:bottom w:val="single" w:color="000000" w:sz="4" w:space="0"/>
              <w:right w:val="single" w:color="000000" w:sz="4" w:space="0"/>
            </w:tcBorders>
            <w:vAlign w:val="center"/>
          </w:tcPr>
          <w:p>
            <w:pPr>
              <w:spacing w:line="300" w:lineRule="exact"/>
              <w:rPr>
                <w:color w:val="000000"/>
                <w:sz w:val="18"/>
                <w:szCs w:val="18"/>
              </w:rPr>
            </w:pPr>
            <w:r>
              <w:rPr>
                <w:rFonts w:hint="eastAsia"/>
                <w:color w:val="000000"/>
                <w:sz w:val="18"/>
                <w:szCs w:val="18"/>
              </w:rPr>
              <w:t>预算资金</w:t>
            </w:r>
          </w:p>
        </w:tc>
        <w:tc>
          <w:tcPr>
            <w:tcW w:w="1127"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18"/>
                <w:szCs w:val="18"/>
              </w:rPr>
            </w:pPr>
            <w:r>
              <w:rPr>
                <w:rFonts w:hint="eastAsia"/>
                <w:color w:val="000000"/>
                <w:sz w:val="18"/>
                <w:szCs w:val="18"/>
              </w:rPr>
              <w:t>＝</w:t>
            </w:r>
          </w:p>
        </w:tc>
        <w:tc>
          <w:tcPr>
            <w:tcW w:w="971"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18"/>
                <w:szCs w:val="18"/>
              </w:rPr>
            </w:pPr>
            <w:r>
              <w:rPr>
                <w:rFonts w:hint="eastAsia"/>
                <w:color w:val="000000"/>
                <w:sz w:val="18"/>
                <w:szCs w:val="18"/>
              </w:rPr>
              <w:t>120.00</w:t>
            </w:r>
          </w:p>
        </w:tc>
        <w:tc>
          <w:tcPr>
            <w:tcW w:w="1061"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18"/>
                <w:szCs w:val="18"/>
              </w:rPr>
            </w:pPr>
            <w:r>
              <w:rPr>
                <w:rFonts w:hint="eastAsia"/>
                <w:color w:val="000000"/>
                <w:sz w:val="18"/>
                <w:szCs w:val="18"/>
              </w:rPr>
              <w:t>万元</w:t>
            </w:r>
          </w:p>
        </w:tc>
        <w:tc>
          <w:tcPr>
            <w:tcW w:w="938"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18"/>
                <w:szCs w:val="18"/>
              </w:rPr>
            </w:pPr>
            <w:r>
              <w:rPr>
                <w:rFonts w:hint="eastAsia"/>
                <w:color w:val="000000"/>
                <w:sz w:val="18"/>
                <w:szCs w:val="18"/>
              </w:rPr>
              <w:t>10</w:t>
            </w:r>
          </w:p>
        </w:tc>
        <w:tc>
          <w:tcPr>
            <w:tcW w:w="1841"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18"/>
                <w:szCs w:val="18"/>
              </w:rPr>
            </w:pPr>
            <w:r>
              <w:rPr>
                <w:rFonts w:hint="eastAsia"/>
                <w:color w:val="000000"/>
                <w:sz w:val="18"/>
                <w:szCs w:val="18"/>
              </w:rPr>
              <w:t>120.00</w:t>
            </w:r>
          </w:p>
        </w:tc>
      </w:tr>
    </w:tbl>
    <w:p>
      <w:pPr>
        <w:pStyle w:val="13"/>
      </w:pPr>
    </w:p>
    <w:p>
      <w:pPr>
        <w:pStyle w:val="13"/>
      </w:pPr>
    </w:p>
    <w:p>
      <w:pPr>
        <w:pStyle w:val="13"/>
      </w:pPr>
    </w:p>
    <w:p>
      <w:pPr>
        <w:pStyle w:val="13"/>
      </w:pPr>
    </w:p>
    <w:p>
      <w:pPr>
        <w:pStyle w:val="13"/>
      </w:pPr>
    </w:p>
    <w:p>
      <w:pPr>
        <w:pStyle w:val="13"/>
      </w:pPr>
    </w:p>
    <w:p>
      <w:pPr>
        <w:pStyle w:val="13"/>
      </w:pPr>
    </w:p>
    <w:p>
      <w:pPr>
        <w:pStyle w:val="13"/>
      </w:pPr>
    </w:p>
    <w:p>
      <w:pPr>
        <w:pStyle w:val="13"/>
      </w:pPr>
    </w:p>
    <w:p>
      <w:pPr>
        <w:pStyle w:val="13"/>
      </w:pPr>
    </w:p>
    <w:p>
      <w:pPr>
        <w:pStyle w:val="13"/>
      </w:pPr>
    </w:p>
    <w:p>
      <w:pPr>
        <w:pStyle w:val="13"/>
      </w:pPr>
    </w:p>
    <w:p>
      <w:pPr>
        <w:pStyle w:val="13"/>
      </w:pPr>
    </w:p>
    <w:p>
      <w:pPr>
        <w:pStyle w:val="13"/>
      </w:pPr>
    </w:p>
    <w:tbl>
      <w:tblPr>
        <w:tblStyle w:val="19"/>
        <w:tblW w:w="9688" w:type="dxa"/>
        <w:jc w:val="center"/>
        <w:tblLayout w:type="fixed"/>
        <w:tblCellMar>
          <w:top w:w="15" w:type="dxa"/>
          <w:left w:w="15" w:type="dxa"/>
          <w:bottom w:w="15" w:type="dxa"/>
          <w:right w:w="15" w:type="dxa"/>
        </w:tblCellMar>
      </w:tblPr>
      <w:tblGrid>
        <w:gridCol w:w="652"/>
        <w:gridCol w:w="1081"/>
        <w:gridCol w:w="1250"/>
        <w:gridCol w:w="1312"/>
        <w:gridCol w:w="1127"/>
        <w:gridCol w:w="971"/>
        <w:gridCol w:w="1061"/>
        <w:gridCol w:w="938"/>
        <w:gridCol w:w="1296"/>
      </w:tblGrid>
      <w:tr>
        <w:tblPrEx>
          <w:tblCellMar>
            <w:top w:w="15" w:type="dxa"/>
            <w:left w:w="15" w:type="dxa"/>
            <w:bottom w:w="15" w:type="dxa"/>
            <w:right w:w="15" w:type="dxa"/>
          </w:tblCellMar>
        </w:tblPrEx>
        <w:trPr>
          <w:trHeight w:val="576" w:hRule="atLeast"/>
          <w:jc w:val="center"/>
        </w:trPr>
        <w:tc>
          <w:tcPr>
            <w:tcW w:w="9688" w:type="dxa"/>
            <w:gridSpan w:val="9"/>
            <w:vAlign w:val="center"/>
          </w:tcPr>
          <w:p>
            <w:pPr>
              <w:widowControl/>
              <w:spacing w:line="600" w:lineRule="exact"/>
              <w:jc w:val="center"/>
              <w:textAlignment w:val="center"/>
              <w:rPr>
                <w:rFonts w:eastAsia="黑体"/>
                <w:color w:val="000000"/>
                <w:sz w:val="30"/>
                <w:szCs w:val="30"/>
              </w:rPr>
            </w:pPr>
            <w:r>
              <w:rPr>
                <w:rFonts w:eastAsia="方正小标宋简体"/>
                <w:color w:val="000000"/>
                <w:kern w:val="0"/>
                <w:sz w:val="40"/>
                <w:szCs w:val="40"/>
              </w:rPr>
              <w:t>专项预算项目绩效目标完成情况自评表</w:t>
            </w:r>
          </w:p>
        </w:tc>
      </w:tr>
      <w:tr>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left"/>
              <w:textAlignment w:val="center"/>
              <w:rPr>
                <w:color w:val="000000"/>
                <w:sz w:val="24"/>
              </w:rPr>
            </w:pPr>
            <w:r>
              <w:rPr>
                <w:color w:val="000000"/>
                <w:kern w:val="0"/>
                <w:sz w:val="24"/>
              </w:rPr>
              <w:t>项目名称</w:t>
            </w:r>
          </w:p>
        </w:tc>
        <w:tc>
          <w:tcPr>
            <w:tcW w:w="5393" w:type="dxa"/>
            <w:gridSpan w:val="5"/>
            <w:tcBorders>
              <w:top w:val="single" w:color="000000" w:sz="4" w:space="0"/>
              <w:left w:val="single" w:color="000000" w:sz="4" w:space="0"/>
              <w:bottom w:val="single" w:color="000000" w:sz="4" w:space="0"/>
              <w:right w:val="single" w:color="000000" w:sz="4" w:space="0"/>
            </w:tcBorders>
            <w:vAlign w:val="center"/>
          </w:tcPr>
          <w:p>
            <w:pPr>
              <w:spacing w:line="300" w:lineRule="exact"/>
              <w:rPr>
                <w:color w:val="000000"/>
                <w:sz w:val="24"/>
              </w:rPr>
            </w:pPr>
            <w:r>
              <w:rPr>
                <w:rFonts w:hint="eastAsia"/>
                <w:color w:val="000000"/>
                <w:sz w:val="24"/>
              </w:rPr>
              <w:t>51322322T000007156231-残协工作经费</w:t>
            </w:r>
          </w:p>
        </w:tc>
      </w:tr>
      <w:tr>
        <w:tblPrEx>
          <w:tblCellMar>
            <w:top w:w="15" w:type="dxa"/>
            <w:left w:w="15" w:type="dxa"/>
            <w:bottom w:w="15" w:type="dxa"/>
            <w:right w:w="15" w:type="dxa"/>
          </w:tblCellMar>
        </w:tblPrEx>
        <w:trPr>
          <w:trHeight w:val="458"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left"/>
              <w:textAlignment w:val="center"/>
              <w:rPr>
                <w:color w:val="000000"/>
                <w:sz w:val="24"/>
              </w:rPr>
            </w:pPr>
            <w:r>
              <w:rPr>
                <w:color w:val="000000"/>
                <w:kern w:val="0"/>
                <w:sz w:val="24"/>
              </w:rPr>
              <w:t>预算单位</w:t>
            </w:r>
          </w:p>
        </w:tc>
        <w:tc>
          <w:tcPr>
            <w:tcW w:w="5393" w:type="dxa"/>
            <w:gridSpan w:val="5"/>
            <w:tcBorders>
              <w:top w:val="single" w:color="000000" w:sz="4" w:space="0"/>
              <w:left w:val="single" w:color="000000" w:sz="4" w:space="0"/>
              <w:bottom w:val="single" w:color="000000" w:sz="4" w:space="0"/>
              <w:right w:val="single" w:color="000000" w:sz="4" w:space="0"/>
            </w:tcBorders>
            <w:vAlign w:val="center"/>
          </w:tcPr>
          <w:p>
            <w:pPr>
              <w:spacing w:line="300" w:lineRule="exact"/>
              <w:rPr>
                <w:color w:val="000000"/>
                <w:sz w:val="24"/>
              </w:rPr>
            </w:pPr>
            <w:r>
              <w:rPr>
                <w:rFonts w:hint="eastAsia"/>
                <w:color w:val="000000"/>
                <w:sz w:val="24"/>
              </w:rPr>
              <w:t>茂县南新镇人民政府（行政）</w:t>
            </w:r>
          </w:p>
        </w:tc>
      </w:tr>
      <w:tr>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left"/>
              <w:textAlignment w:val="center"/>
              <w:rPr>
                <w:color w:val="000000"/>
                <w:sz w:val="24"/>
              </w:rPr>
            </w:pPr>
            <w:r>
              <w:rPr>
                <w:color w:val="000000"/>
                <w:kern w:val="0"/>
                <w:sz w:val="24"/>
              </w:rPr>
              <w:t>项目类型</w:t>
            </w:r>
          </w:p>
        </w:tc>
        <w:tc>
          <w:tcPr>
            <w:tcW w:w="5393" w:type="dxa"/>
            <w:gridSpan w:val="5"/>
            <w:tcBorders>
              <w:top w:val="single" w:color="000000" w:sz="4" w:space="0"/>
              <w:left w:val="single" w:color="000000" w:sz="4" w:space="0"/>
              <w:bottom w:val="single" w:color="000000" w:sz="4" w:space="0"/>
              <w:right w:val="single" w:color="000000" w:sz="4" w:space="0"/>
            </w:tcBorders>
            <w:vAlign w:val="center"/>
          </w:tcPr>
          <w:p>
            <w:pPr>
              <w:spacing w:line="300" w:lineRule="exact"/>
              <w:jc w:val="left"/>
              <w:rPr>
                <w:color w:val="000000"/>
                <w:sz w:val="24"/>
              </w:rPr>
            </w:pPr>
          </w:p>
        </w:tc>
      </w:tr>
      <w:tr>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color w:val="000000"/>
                <w:sz w:val="24"/>
              </w:rPr>
            </w:pPr>
            <w:r>
              <w:rPr>
                <w:color w:val="000000"/>
                <w:kern w:val="0"/>
                <w:sz w:val="24"/>
              </w:rPr>
              <w:t>项目 概况</w:t>
            </w:r>
          </w:p>
        </w:tc>
        <w:tc>
          <w:tcPr>
            <w:tcW w:w="3643"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left"/>
              <w:textAlignment w:val="center"/>
              <w:rPr>
                <w:color w:val="000000"/>
                <w:kern w:val="0"/>
                <w:sz w:val="24"/>
              </w:rPr>
            </w:pPr>
            <w:r>
              <w:rPr>
                <w:color w:val="000000"/>
                <w:kern w:val="0"/>
                <w:sz w:val="24"/>
              </w:rPr>
              <w:t>中长期规划（名称、文号，仅指</w:t>
            </w:r>
          </w:p>
          <w:p>
            <w:pPr>
              <w:widowControl/>
              <w:spacing w:line="300" w:lineRule="exact"/>
              <w:jc w:val="left"/>
              <w:textAlignment w:val="center"/>
              <w:rPr>
                <w:color w:val="000000"/>
                <w:sz w:val="24"/>
              </w:rPr>
            </w:pPr>
            <w:r>
              <w:rPr>
                <w:color w:val="000000"/>
                <w:kern w:val="0"/>
                <w:sz w:val="24"/>
              </w:rPr>
              <w:t>常年项目）</w:t>
            </w:r>
          </w:p>
        </w:tc>
        <w:tc>
          <w:tcPr>
            <w:tcW w:w="5393" w:type="dxa"/>
            <w:gridSpan w:val="5"/>
            <w:tcBorders>
              <w:top w:val="single" w:color="000000" w:sz="4" w:space="0"/>
              <w:left w:val="single" w:color="000000" w:sz="4" w:space="0"/>
              <w:bottom w:val="single" w:color="000000" w:sz="4" w:space="0"/>
              <w:right w:val="single" w:color="000000" w:sz="4" w:space="0"/>
            </w:tcBorders>
            <w:vAlign w:val="center"/>
          </w:tcPr>
          <w:p>
            <w:pPr>
              <w:spacing w:line="300" w:lineRule="exact"/>
              <w:jc w:val="left"/>
              <w:rPr>
                <w:color w:val="000000"/>
                <w:sz w:val="24"/>
              </w:rPr>
            </w:pP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vAlign w:val="center"/>
          </w:tcPr>
          <w:p>
            <w:pPr>
              <w:spacing w:line="300" w:lineRule="exact"/>
              <w:rPr>
                <w:color w:val="000000"/>
                <w:sz w:val="24"/>
              </w:rPr>
            </w:pPr>
          </w:p>
        </w:tc>
        <w:tc>
          <w:tcPr>
            <w:tcW w:w="3643"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left"/>
              <w:textAlignment w:val="center"/>
              <w:rPr>
                <w:color w:val="000000"/>
                <w:sz w:val="24"/>
              </w:rPr>
            </w:pPr>
            <w:r>
              <w:rPr>
                <w:color w:val="000000"/>
                <w:kern w:val="0"/>
                <w:sz w:val="24"/>
              </w:rPr>
              <w:t>资金管理办法（名称、文号）</w:t>
            </w:r>
          </w:p>
        </w:tc>
        <w:tc>
          <w:tcPr>
            <w:tcW w:w="5393" w:type="dxa"/>
            <w:gridSpan w:val="5"/>
            <w:tcBorders>
              <w:top w:val="single" w:color="000000" w:sz="4" w:space="0"/>
              <w:left w:val="single" w:color="000000" w:sz="4" w:space="0"/>
              <w:bottom w:val="single" w:color="000000" w:sz="4" w:space="0"/>
              <w:right w:val="single" w:color="000000" w:sz="4" w:space="0"/>
            </w:tcBorders>
            <w:vAlign w:val="center"/>
          </w:tcPr>
          <w:p>
            <w:pPr>
              <w:spacing w:line="300" w:lineRule="exact"/>
              <w:jc w:val="left"/>
              <w:rPr>
                <w:color w:val="000000"/>
                <w:sz w:val="24"/>
              </w:rPr>
            </w:pP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vAlign w:val="center"/>
          </w:tcPr>
          <w:p>
            <w:pPr>
              <w:spacing w:line="300" w:lineRule="exact"/>
              <w:rPr>
                <w:color w:val="000000"/>
                <w:sz w:val="24"/>
              </w:rPr>
            </w:pPr>
          </w:p>
        </w:tc>
        <w:tc>
          <w:tcPr>
            <w:tcW w:w="3643"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left"/>
              <w:textAlignment w:val="center"/>
              <w:rPr>
                <w:color w:val="000000"/>
                <w:sz w:val="24"/>
              </w:rPr>
            </w:pPr>
            <w:r>
              <w:rPr>
                <w:color w:val="000000"/>
                <w:kern w:val="0"/>
                <w:sz w:val="24"/>
              </w:rPr>
              <w:t>绩效分配方式</w:t>
            </w:r>
          </w:p>
        </w:tc>
        <w:tc>
          <w:tcPr>
            <w:tcW w:w="1127"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left"/>
              <w:textAlignment w:val="center"/>
              <w:rPr>
                <w:rFonts w:eastAsia="Wingdings 2"/>
                <w:color w:val="000000"/>
                <w:sz w:val="24"/>
              </w:rPr>
            </w:pPr>
            <w:r>
              <w:rPr>
                <w:rFonts w:eastAsia="Wingdings 2"/>
                <w:color w:val="000000"/>
                <w:kern w:val="0"/>
                <w:sz w:val="24"/>
              </w:rPr>
              <w:t>£</w:t>
            </w:r>
            <w:r>
              <w:rPr>
                <w:color w:val="000000"/>
                <w:kern w:val="0"/>
                <w:sz w:val="24"/>
              </w:rPr>
              <w:t>因素法</w:t>
            </w:r>
          </w:p>
        </w:tc>
        <w:tc>
          <w:tcPr>
            <w:tcW w:w="2032"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rFonts w:eastAsia="Wingdings 2"/>
                <w:color w:val="000000"/>
                <w:sz w:val="24"/>
              </w:rPr>
            </w:pPr>
            <w:r>
              <w:rPr>
                <w:rFonts w:eastAsia="Wingdings 2"/>
                <w:color w:val="000000"/>
                <w:kern w:val="0"/>
                <w:sz w:val="24"/>
              </w:rPr>
              <w:t>£项目法</w:t>
            </w:r>
          </w:p>
        </w:tc>
        <w:tc>
          <w:tcPr>
            <w:tcW w:w="938"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rFonts w:eastAsia="Wingdings 2"/>
                <w:color w:val="000000"/>
                <w:sz w:val="24"/>
              </w:rPr>
            </w:pPr>
            <w:r>
              <w:rPr>
                <w:rFonts w:eastAsia="Wingdings 2"/>
                <w:color w:val="000000"/>
                <w:kern w:val="0"/>
                <w:sz w:val="24"/>
              </w:rPr>
              <w:t>£</w:t>
            </w:r>
            <w:r>
              <w:rPr>
                <w:color w:val="000000"/>
                <w:kern w:val="0"/>
                <w:sz w:val="24"/>
              </w:rPr>
              <w:t>据实据效</w:t>
            </w:r>
          </w:p>
        </w:tc>
        <w:tc>
          <w:tcPr>
            <w:tcW w:w="1296"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rFonts w:eastAsia="Wingdings 2"/>
                <w:color w:val="000000"/>
                <w:sz w:val="24"/>
              </w:rPr>
            </w:pPr>
            <w:r>
              <w:rPr>
                <w:rFonts w:eastAsia="Wingdings 2"/>
                <w:color w:val="000000"/>
                <w:kern w:val="0"/>
                <w:sz w:val="24"/>
              </w:rPr>
              <w:t>£</w:t>
            </w:r>
            <w:r>
              <w:rPr>
                <w:color w:val="000000"/>
                <w:kern w:val="0"/>
                <w:sz w:val="24"/>
              </w:rPr>
              <w:t>因素法与项目法相结合</w:t>
            </w: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vAlign w:val="center"/>
          </w:tcPr>
          <w:p>
            <w:pPr>
              <w:spacing w:line="300" w:lineRule="exact"/>
              <w:rPr>
                <w:color w:val="000000"/>
                <w:sz w:val="24"/>
              </w:rPr>
            </w:pPr>
          </w:p>
        </w:tc>
        <w:tc>
          <w:tcPr>
            <w:tcW w:w="3643"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left"/>
              <w:textAlignment w:val="center"/>
              <w:rPr>
                <w:color w:val="000000"/>
                <w:sz w:val="24"/>
              </w:rPr>
            </w:pPr>
            <w:r>
              <w:rPr>
                <w:color w:val="000000"/>
                <w:kern w:val="0"/>
                <w:sz w:val="24"/>
              </w:rPr>
              <w:t>立项依据</w:t>
            </w:r>
          </w:p>
        </w:tc>
        <w:tc>
          <w:tcPr>
            <w:tcW w:w="5393" w:type="dxa"/>
            <w:gridSpan w:val="5"/>
            <w:tcBorders>
              <w:top w:val="single" w:color="000000" w:sz="4" w:space="0"/>
              <w:left w:val="single" w:color="000000" w:sz="4" w:space="0"/>
              <w:bottom w:val="single" w:color="000000" w:sz="4" w:space="0"/>
              <w:right w:val="single" w:color="000000" w:sz="4" w:space="0"/>
            </w:tcBorders>
            <w:vAlign w:val="center"/>
          </w:tcPr>
          <w:p>
            <w:pPr>
              <w:spacing w:line="300" w:lineRule="exact"/>
              <w:jc w:val="left"/>
              <w:rPr>
                <w:color w:val="000000"/>
                <w:sz w:val="24"/>
              </w:rPr>
            </w:pP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vAlign w:val="center"/>
          </w:tcPr>
          <w:p>
            <w:pPr>
              <w:spacing w:line="300" w:lineRule="exact"/>
              <w:rPr>
                <w:color w:val="000000"/>
                <w:sz w:val="24"/>
              </w:rPr>
            </w:pPr>
          </w:p>
        </w:tc>
        <w:tc>
          <w:tcPr>
            <w:tcW w:w="3643"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left"/>
              <w:textAlignment w:val="center"/>
              <w:rPr>
                <w:color w:val="000000"/>
                <w:sz w:val="24"/>
              </w:rPr>
            </w:pPr>
            <w:r>
              <w:rPr>
                <w:color w:val="000000"/>
                <w:kern w:val="0"/>
                <w:sz w:val="24"/>
              </w:rPr>
              <w:t>使用范围</w:t>
            </w:r>
          </w:p>
        </w:tc>
        <w:tc>
          <w:tcPr>
            <w:tcW w:w="5393" w:type="dxa"/>
            <w:gridSpan w:val="5"/>
            <w:tcBorders>
              <w:top w:val="single" w:color="000000" w:sz="4" w:space="0"/>
              <w:left w:val="single" w:color="000000" w:sz="4" w:space="0"/>
              <w:bottom w:val="single" w:color="000000" w:sz="4" w:space="0"/>
              <w:right w:val="single" w:color="000000" w:sz="4" w:space="0"/>
            </w:tcBorders>
            <w:vAlign w:val="center"/>
          </w:tcPr>
          <w:p>
            <w:pPr>
              <w:spacing w:line="300" w:lineRule="exact"/>
              <w:jc w:val="left"/>
              <w:rPr>
                <w:color w:val="000000"/>
                <w:sz w:val="24"/>
              </w:rPr>
            </w:pP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vAlign w:val="center"/>
          </w:tcPr>
          <w:p>
            <w:pPr>
              <w:spacing w:line="300" w:lineRule="exact"/>
              <w:rPr>
                <w:color w:val="000000"/>
                <w:sz w:val="24"/>
              </w:rPr>
            </w:pPr>
          </w:p>
        </w:tc>
        <w:tc>
          <w:tcPr>
            <w:tcW w:w="3643"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left"/>
              <w:textAlignment w:val="center"/>
              <w:rPr>
                <w:color w:val="000000"/>
                <w:sz w:val="24"/>
              </w:rPr>
            </w:pPr>
            <w:r>
              <w:rPr>
                <w:color w:val="000000"/>
                <w:kern w:val="0"/>
                <w:sz w:val="24"/>
              </w:rPr>
              <w:t>申报（补助）条件</w:t>
            </w:r>
          </w:p>
        </w:tc>
        <w:tc>
          <w:tcPr>
            <w:tcW w:w="5393" w:type="dxa"/>
            <w:gridSpan w:val="5"/>
            <w:tcBorders>
              <w:top w:val="single" w:color="000000" w:sz="4" w:space="0"/>
              <w:left w:val="single" w:color="000000" w:sz="4" w:space="0"/>
              <w:bottom w:val="single" w:color="000000" w:sz="4" w:space="0"/>
              <w:right w:val="single" w:color="000000" w:sz="4" w:space="0"/>
            </w:tcBorders>
            <w:vAlign w:val="center"/>
          </w:tcPr>
          <w:p>
            <w:pPr>
              <w:spacing w:line="300" w:lineRule="exact"/>
              <w:jc w:val="left"/>
              <w:rPr>
                <w:color w:val="000000"/>
                <w:sz w:val="24"/>
              </w:rPr>
            </w:pP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vAlign w:val="center"/>
          </w:tcPr>
          <w:p>
            <w:pPr>
              <w:spacing w:line="300" w:lineRule="exact"/>
              <w:rPr>
                <w:color w:val="000000"/>
                <w:sz w:val="24"/>
              </w:rPr>
            </w:pPr>
          </w:p>
        </w:tc>
        <w:tc>
          <w:tcPr>
            <w:tcW w:w="3643"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left"/>
              <w:textAlignment w:val="center"/>
              <w:rPr>
                <w:color w:val="000000"/>
                <w:sz w:val="24"/>
              </w:rPr>
            </w:pPr>
            <w:r>
              <w:rPr>
                <w:color w:val="000000"/>
                <w:kern w:val="0"/>
                <w:sz w:val="24"/>
              </w:rPr>
              <w:t>项目起止年限</w:t>
            </w:r>
          </w:p>
        </w:tc>
        <w:tc>
          <w:tcPr>
            <w:tcW w:w="5393" w:type="dxa"/>
            <w:gridSpan w:val="5"/>
            <w:tcBorders>
              <w:top w:val="single" w:color="000000" w:sz="4" w:space="0"/>
              <w:left w:val="single" w:color="000000" w:sz="4" w:space="0"/>
              <w:bottom w:val="single" w:color="000000" w:sz="4" w:space="0"/>
              <w:right w:val="single" w:color="000000" w:sz="4" w:space="0"/>
            </w:tcBorders>
            <w:vAlign w:val="center"/>
          </w:tcPr>
          <w:p>
            <w:pPr>
              <w:spacing w:line="300" w:lineRule="exact"/>
              <w:rPr>
                <w:color w:val="000000"/>
                <w:sz w:val="24"/>
              </w:rPr>
            </w:pPr>
            <w:r>
              <w:rPr>
                <w:rFonts w:hint="eastAsia"/>
                <w:color w:val="000000"/>
                <w:sz w:val="24"/>
              </w:rPr>
              <w:t>2024.1-2024.12</w:t>
            </w:r>
          </w:p>
        </w:tc>
      </w:tr>
      <w:tr>
        <w:tblPrEx>
          <w:tblCellMar>
            <w:top w:w="15" w:type="dxa"/>
            <w:left w:w="15" w:type="dxa"/>
            <w:bottom w:w="15" w:type="dxa"/>
            <w:right w:w="15" w:type="dxa"/>
          </w:tblCellMar>
        </w:tblPrEx>
        <w:trPr>
          <w:trHeight w:val="23" w:hRule="atLeast"/>
          <w:jc w:val="center"/>
        </w:trPr>
        <w:tc>
          <w:tcPr>
            <w:tcW w:w="1733" w:type="dxa"/>
            <w:gridSpan w:val="2"/>
            <w:vMerge w:val="restart"/>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color w:val="000000"/>
                <w:kern w:val="0"/>
                <w:sz w:val="24"/>
              </w:rPr>
            </w:pPr>
            <w:r>
              <w:rPr>
                <w:color w:val="000000"/>
                <w:kern w:val="0"/>
                <w:sz w:val="24"/>
              </w:rPr>
              <w:t>项目资金</w:t>
            </w:r>
          </w:p>
          <w:p>
            <w:pPr>
              <w:widowControl/>
              <w:spacing w:line="300" w:lineRule="exact"/>
              <w:jc w:val="center"/>
              <w:textAlignment w:val="center"/>
              <w:rPr>
                <w:color w:val="000000"/>
                <w:sz w:val="24"/>
              </w:rPr>
            </w:pPr>
            <w:r>
              <w:rPr>
                <w:color w:val="000000"/>
                <w:kern w:val="0"/>
                <w:sz w:val="24"/>
              </w:rPr>
              <w:t>（万元）</w:t>
            </w:r>
          </w:p>
        </w:tc>
        <w:tc>
          <w:tcPr>
            <w:tcW w:w="2562"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left"/>
              <w:textAlignment w:val="center"/>
              <w:rPr>
                <w:color w:val="000000"/>
                <w:sz w:val="24"/>
              </w:rPr>
            </w:pPr>
            <w:r>
              <w:rPr>
                <w:color w:val="000000"/>
                <w:kern w:val="0"/>
                <w:sz w:val="24"/>
              </w:rPr>
              <w:t xml:space="preserve">  年度资金总额：</w:t>
            </w:r>
          </w:p>
        </w:tc>
        <w:tc>
          <w:tcPr>
            <w:tcW w:w="5393" w:type="dxa"/>
            <w:gridSpan w:val="5"/>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24"/>
              </w:rPr>
            </w:pPr>
            <w:r>
              <w:rPr>
                <w:rFonts w:hint="eastAsia"/>
                <w:color w:val="000000"/>
                <w:sz w:val="24"/>
              </w:rPr>
              <w:t>0.32</w:t>
            </w:r>
          </w:p>
        </w:tc>
      </w:tr>
      <w:tr>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vAlign w:val="center"/>
          </w:tcPr>
          <w:p>
            <w:pPr>
              <w:spacing w:line="300" w:lineRule="exact"/>
              <w:rPr>
                <w:color w:val="000000"/>
                <w:sz w:val="24"/>
              </w:rPr>
            </w:pPr>
          </w:p>
        </w:tc>
        <w:tc>
          <w:tcPr>
            <w:tcW w:w="2562"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left"/>
              <w:textAlignment w:val="center"/>
              <w:rPr>
                <w:color w:val="000000"/>
                <w:sz w:val="24"/>
              </w:rPr>
            </w:pPr>
            <w:r>
              <w:rPr>
                <w:color w:val="000000"/>
                <w:kern w:val="0"/>
                <w:sz w:val="24"/>
              </w:rPr>
              <w:t xml:space="preserve">      其中：财政拨款</w:t>
            </w:r>
          </w:p>
        </w:tc>
        <w:tc>
          <w:tcPr>
            <w:tcW w:w="5393" w:type="dxa"/>
            <w:gridSpan w:val="5"/>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24"/>
              </w:rPr>
            </w:pPr>
            <w:r>
              <w:rPr>
                <w:rFonts w:hint="eastAsia"/>
                <w:color w:val="000000"/>
                <w:sz w:val="24"/>
              </w:rPr>
              <w:t>0.32</w:t>
            </w:r>
          </w:p>
        </w:tc>
      </w:tr>
      <w:tr>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vAlign w:val="center"/>
          </w:tcPr>
          <w:p>
            <w:pPr>
              <w:spacing w:line="300" w:lineRule="exact"/>
              <w:rPr>
                <w:color w:val="000000"/>
                <w:sz w:val="24"/>
              </w:rPr>
            </w:pPr>
          </w:p>
        </w:tc>
        <w:tc>
          <w:tcPr>
            <w:tcW w:w="2562"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left"/>
              <w:textAlignment w:val="center"/>
              <w:rPr>
                <w:color w:val="000000"/>
                <w:sz w:val="24"/>
              </w:rPr>
            </w:pPr>
            <w:r>
              <w:rPr>
                <w:color w:val="000000"/>
                <w:kern w:val="0"/>
                <w:sz w:val="24"/>
              </w:rPr>
              <w:t xml:space="preserve">            其他资金</w:t>
            </w:r>
          </w:p>
        </w:tc>
        <w:tc>
          <w:tcPr>
            <w:tcW w:w="5393" w:type="dxa"/>
            <w:gridSpan w:val="5"/>
            <w:tcBorders>
              <w:top w:val="single" w:color="000000" w:sz="4" w:space="0"/>
              <w:left w:val="single" w:color="000000" w:sz="4" w:space="0"/>
              <w:bottom w:val="single" w:color="000000" w:sz="4" w:space="0"/>
              <w:right w:val="single" w:color="000000" w:sz="4" w:space="0"/>
            </w:tcBorders>
            <w:vAlign w:val="center"/>
          </w:tcPr>
          <w:p>
            <w:pPr>
              <w:spacing w:line="300" w:lineRule="exact"/>
              <w:jc w:val="right"/>
              <w:rPr>
                <w:color w:val="000000"/>
                <w:sz w:val="24"/>
              </w:rPr>
            </w:pPr>
          </w:p>
        </w:tc>
      </w:tr>
      <w:tr>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color w:val="000000"/>
                <w:sz w:val="24"/>
              </w:rPr>
            </w:pPr>
            <w:r>
              <w:rPr>
                <w:color w:val="000000"/>
                <w:kern w:val="0"/>
                <w:sz w:val="24"/>
              </w:rPr>
              <w:t>总体 目标</w:t>
            </w:r>
          </w:p>
        </w:tc>
        <w:tc>
          <w:tcPr>
            <w:tcW w:w="9036" w:type="dxa"/>
            <w:gridSpan w:val="8"/>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color w:val="000000"/>
                <w:sz w:val="24"/>
              </w:rPr>
            </w:pPr>
            <w:r>
              <w:rPr>
                <w:color w:val="000000"/>
                <w:kern w:val="0"/>
                <w:sz w:val="24"/>
              </w:rPr>
              <w:t>年度目标</w:t>
            </w:r>
          </w:p>
        </w:tc>
      </w:tr>
      <w:tr>
        <w:tblPrEx>
          <w:tblCellMar>
            <w:top w:w="15" w:type="dxa"/>
            <w:left w:w="15" w:type="dxa"/>
            <w:bottom w:w="15" w:type="dxa"/>
            <w:right w:w="15" w:type="dxa"/>
          </w:tblCellMar>
        </w:tblPrEx>
        <w:trPr>
          <w:trHeight w:val="1255"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vAlign w:val="center"/>
          </w:tcPr>
          <w:p>
            <w:pPr>
              <w:spacing w:line="300" w:lineRule="exact"/>
              <w:rPr>
                <w:color w:val="000000"/>
                <w:sz w:val="24"/>
              </w:rPr>
            </w:pPr>
          </w:p>
        </w:tc>
        <w:tc>
          <w:tcPr>
            <w:tcW w:w="9036" w:type="dxa"/>
            <w:gridSpan w:val="8"/>
            <w:tcBorders>
              <w:top w:val="single" w:color="000000" w:sz="4" w:space="0"/>
              <w:left w:val="single" w:color="000000" w:sz="4" w:space="0"/>
              <w:bottom w:val="single" w:color="000000" w:sz="4" w:space="0"/>
              <w:right w:val="single" w:color="000000" w:sz="4" w:space="0"/>
            </w:tcBorders>
            <w:vAlign w:val="center"/>
          </w:tcPr>
          <w:p>
            <w:pPr>
              <w:spacing w:line="300" w:lineRule="exact"/>
              <w:rPr>
                <w:color w:val="000000"/>
                <w:sz w:val="24"/>
              </w:rPr>
            </w:pPr>
            <w:r>
              <w:rPr>
                <w:rFonts w:hint="eastAsia"/>
                <w:color w:val="000000"/>
                <w:sz w:val="24"/>
              </w:rPr>
              <w:t>加强残疾人工作，</w:t>
            </w:r>
            <w:r>
              <w:rPr>
                <w:rFonts w:hint="default"/>
                <w:color w:val="000000"/>
                <w:sz w:val="24"/>
              </w:rPr>
              <w:t>更好地为</w:t>
            </w:r>
            <w:r>
              <w:rPr>
                <w:rFonts w:hint="eastAsia"/>
                <w:color w:val="000000"/>
                <w:sz w:val="24"/>
              </w:rPr>
              <w:t>残疾人服务。</w:t>
            </w:r>
          </w:p>
        </w:tc>
      </w:tr>
      <w:tr>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tcBorders>
            <w:vAlign w:val="center"/>
          </w:tcPr>
          <w:p>
            <w:pPr>
              <w:widowControl/>
              <w:spacing w:line="300" w:lineRule="exact"/>
              <w:jc w:val="center"/>
              <w:textAlignment w:val="center"/>
              <w:rPr>
                <w:color w:val="000000"/>
                <w:sz w:val="24"/>
              </w:rPr>
            </w:pPr>
            <w:r>
              <w:rPr>
                <w:color w:val="000000"/>
                <w:kern w:val="0"/>
                <w:sz w:val="24"/>
              </w:rPr>
              <w:t>绩效 指标</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color w:val="000000"/>
                <w:sz w:val="24"/>
              </w:rPr>
            </w:pPr>
            <w:r>
              <w:rPr>
                <w:color w:val="000000"/>
                <w:kern w:val="0"/>
                <w:sz w:val="24"/>
              </w:rPr>
              <w:t>一级指标</w:t>
            </w:r>
          </w:p>
        </w:tc>
        <w:tc>
          <w:tcPr>
            <w:tcW w:w="1250"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color w:val="000000"/>
                <w:sz w:val="24"/>
              </w:rPr>
            </w:pPr>
            <w:r>
              <w:rPr>
                <w:color w:val="000000"/>
                <w:kern w:val="0"/>
                <w:sz w:val="24"/>
              </w:rPr>
              <w:t>二级指标</w:t>
            </w:r>
          </w:p>
        </w:tc>
        <w:tc>
          <w:tcPr>
            <w:tcW w:w="1312"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color w:val="000000"/>
                <w:sz w:val="24"/>
              </w:rPr>
            </w:pPr>
            <w:r>
              <w:rPr>
                <w:color w:val="000000"/>
                <w:kern w:val="0"/>
                <w:sz w:val="24"/>
              </w:rPr>
              <w:t>三级指标</w:t>
            </w:r>
          </w:p>
        </w:tc>
        <w:tc>
          <w:tcPr>
            <w:tcW w:w="1127"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color w:val="000000"/>
                <w:sz w:val="24"/>
              </w:rPr>
            </w:pPr>
            <w:r>
              <w:rPr>
                <w:color w:val="000000"/>
                <w:kern w:val="0"/>
                <w:sz w:val="24"/>
              </w:rPr>
              <w:t>指标性质</w:t>
            </w:r>
          </w:p>
        </w:tc>
        <w:tc>
          <w:tcPr>
            <w:tcW w:w="971"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color w:val="000000"/>
                <w:sz w:val="24"/>
              </w:rPr>
            </w:pPr>
            <w:r>
              <w:rPr>
                <w:color w:val="000000"/>
                <w:kern w:val="0"/>
                <w:sz w:val="24"/>
              </w:rPr>
              <w:t>指标值</w:t>
            </w:r>
          </w:p>
        </w:tc>
        <w:tc>
          <w:tcPr>
            <w:tcW w:w="1061"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color w:val="000000"/>
                <w:sz w:val="24"/>
              </w:rPr>
            </w:pPr>
            <w:r>
              <w:rPr>
                <w:color w:val="000000"/>
                <w:kern w:val="0"/>
                <w:sz w:val="24"/>
              </w:rPr>
              <w:t>度量单位</w:t>
            </w:r>
          </w:p>
        </w:tc>
        <w:tc>
          <w:tcPr>
            <w:tcW w:w="938"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color w:val="000000"/>
                <w:sz w:val="24"/>
              </w:rPr>
            </w:pPr>
            <w:r>
              <w:rPr>
                <w:color w:val="000000"/>
                <w:kern w:val="0"/>
                <w:sz w:val="24"/>
              </w:rPr>
              <w:t>权重</w:t>
            </w:r>
          </w:p>
        </w:tc>
        <w:tc>
          <w:tcPr>
            <w:tcW w:w="1296"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color w:val="000000"/>
                <w:sz w:val="24"/>
              </w:rPr>
            </w:pPr>
            <w:r>
              <w:rPr>
                <w:color w:val="000000"/>
                <w:kern w:val="0"/>
                <w:sz w:val="24"/>
              </w:rPr>
              <w:t>实际完成指标值</w:t>
            </w: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vAlign w:val="center"/>
          </w:tcPr>
          <w:p>
            <w:pPr>
              <w:spacing w:line="300" w:lineRule="exact"/>
              <w:jc w:val="center"/>
              <w:rPr>
                <w:color w:val="000000"/>
                <w:sz w:val="24"/>
              </w:rPr>
            </w:pPr>
          </w:p>
        </w:tc>
        <w:tc>
          <w:tcPr>
            <w:tcW w:w="1081"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color w:val="000000"/>
                <w:sz w:val="24"/>
              </w:rPr>
            </w:pPr>
            <w:r>
              <w:rPr>
                <w:color w:val="000000"/>
                <w:kern w:val="0"/>
                <w:sz w:val="24"/>
              </w:rPr>
              <w:t>产出指标</w:t>
            </w:r>
          </w:p>
        </w:tc>
        <w:tc>
          <w:tcPr>
            <w:tcW w:w="1250"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color w:val="000000"/>
                <w:sz w:val="24"/>
              </w:rPr>
            </w:pPr>
            <w:r>
              <w:rPr>
                <w:color w:val="000000"/>
                <w:kern w:val="0"/>
                <w:sz w:val="24"/>
              </w:rPr>
              <w:t>数量指标</w:t>
            </w:r>
          </w:p>
        </w:tc>
        <w:tc>
          <w:tcPr>
            <w:tcW w:w="1312" w:type="dxa"/>
            <w:tcBorders>
              <w:top w:val="single" w:color="000000" w:sz="4" w:space="0"/>
              <w:left w:val="single" w:color="000000" w:sz="4" w:space="0"/>
              <w:bottom w:val="single" w:color="000000" w:sz="4" w:space="0"/>
              <w:right w:val="single" w:color="000000" w:sz="4" w:space="0"/>
            </w:tcBorders>
            <w:vAlign w:val="center"/>
          </w:tcPr>
          <w:p>
            <w:pPr>
              <w:spacing w:line="300" w:lineRule="exact"/>
              <w:rPr>
                <w:color w:val="000000"/>
                <w:sz w:val="24"/>
              </w:rPr>
            </w:pPr>
            <w:r>
              <w:rPr>
                <w:rFonts w:hint="eastAsia"/>
                <w:color w:val="000000"/>
                <w:sz w:val="24"/>
              </w:rPr>
              <w:t>下拨资金</w:t>
            </w:r>
          </w:p>
        </w:tc>
        <w:tc>
          <w:tcPr>
            <w:tcW w:w="1127" w:type="dxa"/>
            <w:tcBorders>
              <w:top w:val="single" w:color="000000" w:sz="4" w:space="0"/>
              <w:left w:val="single" w:color="000000" w:sz="4" w:space="0"/>
              <w:bottom w:val="single" w:color="000000" w:sz="4" w:space="0"/>
              <w:right w:val="single" w:color="000000" w:sz="4" w:space="0"/>
            </w:tcBorders>
            <w:vAlign w:val="center"/>
          </w:tcPr>
          <w:p>
            <w:pPr>
              <w:tabs>
                <w:tab w:val="left" w:pos="515"/>
              </w:tabs>
              <w:spacing w:line="300" w:lineRule="exact"/>
              <w:jc w:val="left"/>
              <w:rPr>
                <w:color w:val="000000"/>
                <w:sz w:val="24"/>
              </w:rPr>
            </w:pPr>
            <w:r>
              <w:rPr>
                <w:rFonts w:hint="eastAsia"/>
                <w:color w:val="000000"/>
                <w:sz w:val="24"/>
              </w:rPr>
              <w:tab/>
            </w:r>
            <w:r>
              <w:rPr>
                <w:rFonts w:hint="eastAsia"/>
                <w:color w:val="000000"/>
                <w:sz w:val="24"/>
              </w:rPr>
              <w:t>＝</w:t>
            </w:r>
          </w:p>
        </w:tc>
        <w:tc>
          <w:tcPr>
            <w:tcW w:w="971"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24"/>
              </w:rPr>
            </w:pPr>
            <w:r>
              <w:rPr>
                <w:rFonts w:hint="eastAsia"/>
                <w:color w:val="000000"/>
                <w:sz w:val="24"/>
              </w:rPr>
              <w:t>0.32</w:t>
            </w:r>
          </w:p>
        </w:tc>
        <w:tc>
          <w:tcPr>
            <w:tcW w:w="1061"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24"/>
              </w:rPr>
            </w:pPr>
            <w:r>
              <w:rPr>
                <w:rFonts w:hint="eastAsia"/>
                <w:color w:val="000000"/>
                <w:sz w:val="24"/>
              </w:rPr>
              <w:t>万元</w:t>
            </w:r>
          </w:p>
        </w:tc>
        <w:tc>
          <w:tcPr>
            <w:tcW w:w="938"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24"/>
              </w:rPr>
            </w:pPr>
            <w:r>
              <w:rPr>
                <w:rFonts w:hint="eastAsia"/>
                <w:color w:val="000000"/>
                <w:sz w:val="24"/>
              </w:rPr>
              <w:t>20</w:t>
            </w:r>
          </w:p>
        </w:tc>
        <w:tc>
          <w:tcPr>
            <w:tcW w:w="1296"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24"/>
              </w:rPr>
            </w:pPr>
            <w:r>
              <w:rPr>
                <w:rFonts w:hint="eastAsia"/>
                <w:color w:val="000000"/>
                <w:sz w:val="24"/>
              </w:rPr>
              <w:t>0.32</w:t>
            </w: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vAlign w:val="center"/>
          </w:tcPr>
          <w:p>
            <w:pPr>
              <w:spacing w:line="300" w:lineRule="exact"/>
              <w:jc w:val="center"/>
              <w:rPr>
                <w:color w:val="000000"/>
                <w:sz w:val="24"/>
              </w:rPr>
            </w:pPr>
          </w:p>
        </w:tc>
        <w:tc>
          <w:tcPr>
            <w:tcW w:w="1081" w:type="dxa"/>
            <w:vMerge w:val="continue"/>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24"/>
              </w:rPr>
            </w:pPr>
          </w:p>
        </w:tc>
        <w:tc>
          <w:tcPr>
            <w:tcW w:w="1250"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color w:val="000000"/>
                <w:sz w:val="24"/>
              </w:rPr>
            </w:pPr>
            <w:r>
              <w:rPr>
                <w:color w:val="000000"/>
                <w:kern w:val="0"/>
                <w:sz w:val="24"/>
              </w:rPr>
              <w:t>质量指标</w:t>
            </w:r>
          </w:p>
        </w:tc>
        <w:tc>
          <w:tcPr>
            <w:tcW w:w="1312" w:type="dxa"/>
            <w:tcBorders>
              <w:top w:val="single" w:color="000000" w:sz="4" w:space="0"/>
              <w:left w:val="single" w:color="000000" w:sz="4" w:space="0"/>
              <w:bottom w:val="single" w:color="000000" w:sz="4" w:space="0"/>
              <w:right w:val="single" w:color="000000" w:sz="4" w:space="0"/>
            </w:tcBorders>
            <w:vAlign w:val="center"/>
          </w:tcPr>
          <w:p>
            <w:pPr>
              <w:spacing w:line="300" w:lineRule="exact"/>
              <w:rPr>
                <w:color w:val="000000"/>
                <w:sz w:val="24"/>
              </w:rPr>
            </w:pPr>
            <w:r>
              <w:rPr>
                <w:rFonts w:hint="eastAsia"/>
                <w:color w:val="000000"/>
                <w:sz w:val="24"/>
              </w:rPr>
              <w:t>项目完工合格率</w:t>
            </w:r>
          </w:p>
        </w:tc>
        <w:tc>
          <w:tcPr>
            <w:tcW w:w="1127"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24"/>
              </w:rPr>
            </w:pPr>
            <w:r>
              <w:rPr>
                <w:rFonts w:hint="eastAsia"/>
                <w:color w:val="000000"/>
                <w:sz w:val="24"/>
              </w:rPr>
              <w:t>＝</w:t>
            </w:r>
          </w:p>
        </w:tc>
        <w:tc>
          <w:tcPr>
            <w:tcW w:w="971"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24"/>
              </w:rPr>
            </w:pPr>
            <w:r>
              <w:rPr>
                <w:rFonts w:hint="eastAsia"/>
                <w:color w:val="000000"/>
                <w:sz w:val="24"/>
              </w:rPr>
              <w:t>100</w:t>
            </w:r>
          </w:p>
        </w:tc>
        <w:tc>
          <w:tcPr>
            <w:tcW w:w="1061"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24"/>
              </w:rPr>
            </w:pPr>
            <w:r>
              <w:rPr>
                <w:rFonts w:hint="eastAsia"/>
                <w:color w:val="000000"/>
                <w:sz w:val="24"/>
              </w:rPr>
              <w:t>%</w:t>
            </w:r>
          </w:p>
        </w:tc>
        <w:tc>
          <w:tcPr>
            <w:tcW w:w="938"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24"/>
              </w:rPr>
            </w:pPr>
            <w:r>
              <w:rPr>
                <w:rFonts w:hint="eastAsia"/>
                <w:color w:val="000000"/>
                <w:sz w:val="24"/>
              </w:rPr>
              <w:t>10</w:t>
            </w:r>
          </w:p>
        </w:tc>
        <w:tc>
          <w:tcPr>
            <w:tcW w:w="1296"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24"/>
              </w:rPr>
            </w:pPr>
            <w:r>
              <w:rPr>
                <w:rFonts w:hint="eastAsia"/>
                <w:color w:val="000000"/>
                <w:sz w:val="24"/>
              </w:rPr>
              <w:t>100</w:t>
            </w: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vAlign w:val="center"/>
          </w:tcPr>
          <w:p>
            <w:pPr>
              <w:spacing w:line="300" w:lineRule="exact"/>
              <w:jc w:val="center"/>
              <w:rPr>
                <w:color w:val="000000"/>
                <w:sz w:val="24"/>
              </w:rPr>
            </w:pPr>
          </w:p>
        </w:tc>
        <w:tc>
          <w:tcPr>
            <w:tcW w:w="1081" w:type="dxa"/>
            <w:vMerge w:val="continue"/>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24"/>
              </w:rPr>
            </w:pPr>
          </w:p>
        </w:tc>
        <w:tc>
          <w:tcPr>
            <w:tcW w:w="1250"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color w:val="000000"/>
                <w:sz w:val="24"/>
              </w:rPr>
            </w:pPr>
            <w:r>
              <w:rPr>
                <w:color w:val="000000"/>
                <w:kern w:val="0"/>
                <w:sz w:val="24"/>
              </w:rPr>
              <w:t>时效指标</w:t>
            </w:r>
          </w:p>
        </w:tc>
        <w:tc>
          <w:tcPr>
            <w:tcW w:w="1312" w:type="dxa"/>
            <w:tcBorders>
              <w:top w:val="single" w:color="000000" w:sz="4" w:space="0"/>
              <w:left w:val="single" w:color="000000" w:sz="4" w:space="0"/>
              <w:bottom w:val="single" w:color="000000" w:sz="4" w:space="0"/>
              <w:right w:val="single" w:color="000000" w:sz="4" w:space="0"/>
            </w:tcBorders>
            <w:vAlign w:val="center"/>
          </w:tcPr>
          <w:p>
            <w:pPr>
              <w:spacing w:line="300" w:lineRule="exact"/>
              <w:rPr>
                <w:color w:val="000000"/>
                <w:sz w:val="24"/>
              </w:rPr>
            </w:pPr>
            <w:r>
              <w:rPr>
                <w:rFonts w:hint="eastAsia"/>
                <w:color w:val="000000"/>
                <w:sz w:val="24"/>
              </w:rPr>
              <w:t>项目完成及时率</w:t>
            </w:r>
          </w:p>
        </w:tc>
        <w:tc>
          <w:tcPr>
            <w:tcW w:w="1127"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24"/>
              </w:rPr>
            </w:pPr>
            <w:r>
              <w:rPr>
                <w:rFonts w:hint="eastAsia"/>
                <w:color w:val="000000"/>
                <w:sz w:val="24"/>
              </w:rPr>
              <w:t>＝</w:t>
            </w:r>
          </w:p>
        </w:tc>
        <w:tc>
          <w:tcPr>
            <w:tcW w:w="971"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24"/>
              </w:rPr>
            </w:pPr>
            <w:r>
              <w:rPr>
                <w:rFonts w:hint="eastAsia"/>
                <w:color w:val="000000"/>
                <w:sz w:val="24"/>
              </w:rPr>
              <w:t>1</w:t>
            </w:r>
          </w:p>
        </w:tc>
        <w:tc>
          <w:tcPr>
            <w:tcW w:w="1061"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24"/>
              </w:rPr>
            </w:pPr>
            <w:r>
              <w:rPr>
                <w:rFonts w:hint="eastAsia"/>
                <w:color w:val="000000"/>
                <w:sz w:val="24"/>
              </w:rPr>
              <w:t>年</w:t>
            </w:r>
          </w:p>
        </w:tc>
        <w:tc>
          <w:tcPr>
            <w:tcW w:w="938"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24"/>
              </w:rPr>
            </w:pPr>
            <w:r>
              <w:rPr>
                <w:rFonts w:hint="eastAsia"/>
                <w:color w:val="000000"/>
                <w:sz w:val="24"/>
              </w:rPr>
              <w:t>20</w:t>
            </w:r>
          </w:p>
        </w:tc>
        <w:tc>
          <w:tcPr>
            <w:tcW w:w="1296"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24"/>
              </w:rPr>
            </w:pPr>
            <w:r>
              <w:rPr>
                <w:rFonts w:hint="eastAsia"/>
                <w:color w:val="000000"/>
                <w:sz w:val="24"/>
              </w:rPr>
              <w:t>1</w:t>
            </w: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vAlign w:val="center"/>
          </w:tcPr>
          <w:p>
            <w:pPr>
              <w:spacing w:line="300" w:lineRule="exact"/>
              <w:jc w:val="center"/>
              <w:rPr>
                <w:color w:val="000000"/>
                <w:sz w:val="24"/>
              </w:rPr>
            </w:pPr>
          </w:p>
        </w:tc>
        <w:tc>
          <w:tcPr>
            <w:tcW w:w="1081" w:type="dxa"/>
            <w:vMerge w:val="continue"/>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24"/>
              </w:rPr>
            </w:pPr>
          </w:p>
        </w:tc>
        <w:tc>
          <w:tcPr>
            <w:tcW w:w="1250" w:type="dxa"/>
            <w:tcBorders>
              <w:top w:val="single" w:color="000000" w:sz="4" w:space="0"/>
              <w:left w:val="single" w:color="000000" w:sz="4" w:space="0"/>
              <w:right w:val="single" w:color="000000" w:sz="4" w:space="0"/>
            </w:tcBorders>
            <w:vAlign w:val="center"/>
          </w:tcPr>
          <w:p>
            <w:pPr>
              <w:widowControl/>
              <w:spacing w:line="300" w:lineRule="exact"/>
              <w:jc w:val="center"/>
              <w:textAlignment w:val="center"/>
              <w:rPr>
                <w:color w:val="000000"/>
                <w:kern w:val="0"/>
                <w:sz w:val="24"/>
              </w:rPr>
            </w:pPr>
            <w:r>
              <w:rPr>
                <w:color w:val="000000"/>
                <w:kern w:val="0"/>
                <w:sz w:val="24"/>
              </w:rPr>
              <w:t>社会效益</w:t>
            </w:r>
          </w:p>
          <w:p>
            <w:pPr>
              <w:widowControl/>
              <w:spacing w:line="300" w:lineRule="exact"/>
              <w:jc w:val="center"/>
              <w:textAlignment w:val="center"/>
              <w:rPr>
                <w:color w:val="000000"/>
                <w:sz w:val="24"/>
              </w:rPr>
            </w:pPr>
            <w:r>
              <w:rPr>
                <w:color w:val="000000"/>
                <w:kern w:val="0"/>
                <w:sz w:val="24"/>
              </w:rPr>
              <w:t>指标</w:t>
            </w:r>
          </w:p>
        </w:tc>
        <w:tc>
          <w:tcPr>
            <w:tcW w:w="1312" w:type="dxa"/>
            <w:tcBorders>
              <w:top w:val="single" w:color="000000" w:sz="4" w:space="0"/>
              <w:left w:val="single" w:color="000000" w:sz="4" w:space="0"/>
              <w:bottom w:val="single" w:color="000000" w:sz="4" w:space="0"/>
              <w:right w:val="single" w:color="000000" w:sz="4" w:space="0"/>
            </w:tcBorders>
            <w:vAlign w:val="center"/>
          </w:tcPr>
          <w:p>
            <w:pPr>
              <w:spacing w:line="300" w:lineRule="exact"/>
              <w:rPr>
                <w:color w:val="000000"/>
                <w:sz w:val="24"/>
              </w:rPr>
            </w:pPr>
            <w:r>
              <w:rPr>
                <w:rFonts w:hint="eastAsia"/>
                <w:color w:val="000000"/>
                <w:sz w:val="24"/>
              </w:rPr>
              <w:t>辐射南新镇村个数</w:t>
            </w:r>
          </w:p>
        </w:tc>
        <w:tc>
          <w:tcPr>
            <w:tcW w:w="1127"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24"/>
              </w:rPr>
            </w:pPr>
            <w:r>
              <w:rPr>
                <w:rFonts w:hint="eastAsia"/>
                <w:color w:val="000000"/>
                <w:sz w:val="24"/>
              </w:rPr>
              <w:t>＝</w:t>
            </w:r>
          </w:p>
        </w:tc>
        <w:tc>
          <w:tcPr>
            <w:tcW w:w="971"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24"/>
              </w:rPr>
            </w:pPr>
            <w:r>
              <w:rPr>
                <w:rFonts w:hint="eastAsia"/>
                <w:color w:val="000000"/>
                <w:sz w:val="24"/>
              </w:rPr>
              <w:t>8</w:t>
            </w:r>
          </w:p>
        </w:tc>
        <w:tc>
          <w:tcPr>
            <w:tcW w:w="1061"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24"/>
              </w:rPr>
            </w:pPr>
            <w:r>
              <w:rPr>
                <w:rFonts w:hint="eastAsia"/>
                <w:color w:val="000000"/>
                <w:sz w:val="24"/>
              </w:rPr>
              <w:t>个</w:t>
            </w:r>
          </w:p>
        </w:tc>
        <w:tc>
          <w:tcPr>
            <w:tcW w:w="938"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24"/>
              </w:rPr>
            </w:pPr>
            <w:r>
              <w:rPr>
                <w:rFonts w:hint="eastAsia"/>
                <w:color w:val="000000"/>
                <w:sz w:val="24"/>
              </w:rPr>
              <w:t>10</w:t>
            </w:r>
          </w:p>
        </w:tc>
        <w:tc>
          <w:tcPr>
            <w:tcW w:w="1296"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24"/>
              </w:rPr>
            </w:pPr>
            <w:r>
              <w:rPr>
                <w:rFonts w:hint="eastAsia"/>
                <w:color w:val="000000"/>
                <w:sz w:val="24"/>
              </w:rPr>
              <w:t>8</w:t>
            </w: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vAlign w:val="center"/>
          </w:tcPr>
          <w:p>
            <w:pPr>
              <w:spacing w:line="300" w:lineRule="exact"/>
              <w:jc w:val="center"/>
              <w:rPr>
                <w:color w:val="000000"/>
                <w:sz w:val="24"/>
              </w:rPr>
            </w:pPr>
          </w:p>
        </w:tc>
        <w:tc>
          <w:tcPr>
            <w:tcW w:w="1081" w:type="dxa"/>
            <w:vMerge w:val="continue"/>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24"/>
              </w:rPr>
            </w:pPr>
          </w:p>
        </w:tc>
        <w:tc>
          <w:tcPr>
            <w:tcW w:w="1250"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textAlignment w:val="center"/>
              <w:rPr>
                <w:color w:val="000000"/>
                <w:sz w:val="24"/>
              </w:rPr>
            </w:pPr>
            <w:r>
              <w:rPr>
                <w:rFonts w:hint="eastAsia"/>
                <w:color w:val="000000"/>
                <w:kern w:val="0"/>
                <w:sz w:val="24"/>
              </w:rPr>
              <w:t>可持续影响指标</w:t>
            </w:r>
          </w:p>
        </w:tc>
        <w:tc>
          <w:tcPr>
            <w:tcW w:w="1312" w:type="dxa"/>
            <w:tcBorders>
              <w:top w:val="single" w:color="000000" w:sz="4" w:space="0"/>
              <w:left w:val="single" w:color="000000" w:sz="4" w:space="0"/>
              <w:bottom w:val="single" w:color="000000" w:sz="4" w:space="0"/>
              <w:right w:val="single" w:color="000000" w:sz="4" w:space="0"/>
            </w:tcBorders>
            <w:vAlign w:val="center"/>
          </w:tcPr>
          <w:p>
            <w:pPr>
              <w:spacing w:line="300" w:lineRule="exact"/>
              <w:rPr>
                <w:color w:val="000000"/>
                <w:sz w:val="24"/>
              </w:rPr>
            </w:pPr>
            <w:r>
              <w:rPr>
                <w:rFonts w:hint="eastAsia"/>
                <w:color w:val="000000"/>
                <w:sz w:val="24"/>
              </w:rPr>
              <w:t>进一步保障各村残疾人权益</w:t>
            </w:r>
          </w:p>
        </w:tc>
        <w:tc>
          <w:tcPr>
            <w:tcW w:w="1127"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24"/>
              </w:rPr>
            </w:pPr>
            <w:r>
              <w:rPr>
                <w:rFonts w:hint="eastAsia"/>
                <w:color w:val="000000"/>
                <w:sz w:val="24"/>
              </w:rPr>
              <w:t>≥</w:t>
            </w:r>
          </w:p>
        </w:tc>
        <w:tc>
          <w:tcPr>
            <w:tcW w:w="971"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24"/>
              </w:rPr>
            </w:pPr>
            <w:r>
              <w:rPr>
                <w:rFonts w:hint="eastAsia"/>
                <w:color w:val="000000"/>
                <w:sz w:val="24"/>
              </w:rPr>
              <w:t>85</w:t>
            </w:r>
          </w:p>
        </w:tc>
        <w:tc>
          <w:tcPr>
            <w:tcW w:w="1061"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24"/>
              </w:rPr>
            </w:pPr>
            <w:r>
              <w:rPr>
                <w:rFonts w:hint="eastAsia"/>
                <w:color w:val="000000"/>
                <w:sz w:val="24"/>
              </w:rPr>
              <w:t>%</w:t>
            </w:r>
          </w:p>
        </w:tc>
        <w:tc>
          <w:tcPr>
            <w:tcW w:w="938"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24"/>
              </w:rPr>
            </w:pPr>
            <w:r>
              <w:rPr>
                <w:rFonts w:hint="eastAsia"/>
                <w:color w:val="000000"/>
                <w:sz w:val="24"/>
              </w:rPr>
              <w:t>10</w:t>
            </w:r>
          </w:p>
        </w:tc>
        <w:tc>
          <w:tcPr>
            <w:tcW w:w="1296"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24"/>
              </w:rPr>
            </w:pPr>
            <w:r>
              <w:rPr>
                <w:rFonts w:hint="eastAsia"/>
                <w:color w:val="000000"/>
                <w:sz w:val="24"/>
              </w:rPr>
              <w:t>85</w:t>
            </w: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vAlign w:val="center"/>
          </w:tcPr>
          <w:p>
            <w:pPr>
              <w:spacing w:line="300" w:lineRule="exact"/>
              <w:jc w:val="center"/>
              <w:rPr>
                <w:color w:val="000000"/>
                <w:sz w:val="24"/>
              </w:rPr>
            </w:pPr>
          </w:p>
        </w:tc>
        <w:tc>
          <w:tcPr>
            <w:tcW w:w="1081" w:type="dxa"/>
            <w:tcBorders>
              <w:top w:val="single" w:color="000000" w:sz="4" w:space="0"/>
              <w:left w:val="single" w:color="000000" w:sz="4" w:space="0"/>
              <w:right w:val="single" w:color="000000" w:sz="4" w:space="0"/>
            </w:tcBorders>
            <w:vAlign w:val="center"/>
          </w:tcPr>
          <w:p>
            <w:pPr>
              <w:widowControl/>
              <w:spacing w:line="300" w:lineRule="exact"/>
              <w:jc w:val="center"/>
              <w:textAlignment w:val="center"/>
              <w:rPr>
                <w:color w:val="000000"/>
                <w:kern w:val="0"/>
                <w:sz w:val="24"/>
              </w:rPr>
            </w:pPr>
            <w:r>
              <w:rPr>
                <w:color w:val="000000"/>
                <w:kern w:val="0"/>
                <w:sz w:val="24"/>
              </w:rPr>
              <w:t>满意度</w:t>
            </w:r>
          </w:p>
          <w:p>
            <w:pPr>
              <w:widowControl/>
              <w:spacing w:line="300" w:lineRule="exact"/>
              <w:jc w:val="center"/>
              <w:textAlignment w:val="center"/>
              <w:rPr>
                <w:color w:val="000000"/>
                <w:sz w:val="24"/>
              </w:rPr>
            </w:pPr>
            <w:r>
              <w:rPr>
                <w:color w:val="000000"/>
                <w:kern w:val="0"/>
                <w:sz w:val="24"/>
              </w:rPr>
              <w:t>指标</w:t>
            </w:r>
          </w:p>
        </w:tc>
        <w:tc>
          <w:tcPr>
            <w:tcW w:w="1250" w:type="dxa"/>
            <w:tcBorders>
              <w:top w:val="single" w:color="000000" w:sz="4" w:space="0"/>
              <w:left w:val="single" w:color="000000" w:sz="4" w:space="0"/>
              <w:right w:val="single" w:color="000000" w:sz="4" w:space="0"/>
            </w:tcBorders>
            <w:vAlign w:val="center"/>
          </w:tcPr>
          <w:p>
            <w:pPr>
              <w:widowControl/>
              <w:spacing w:line="300" w:lineRule="exact"/>
              <w:jc w:val="center"/>
              <w:textAlignment w:val="center"/>
              <w:rPr>
                <w:color w:val="000000"/>
                <w:kern w:val="0"/>
                <w:sz w:val="24"/>
              </w:rPr>
            </w:pPr>
            <w:r>
              <w:rPr>
                <w:color w:val="000000"/>
                <w:kern w:val="0"/>
                <w:sz w:val="24"/>
              </w:rPr>
              <w:t>服务对象</w:t>
            </w:r>
          </w:p>
          <w:p>
            <w:pPr>
              <w:widowControl/>
              <w:spacing w:line="300" w:lineRule="exact"/>
              <w:jc w:val="center"/>
              <w:textAlignment w:val="center"/>
              <w:rPr>
                <w:color w:val="000000"/>
                <w:sz w:val="24"/>
              </w:rPr>
            </w:pPr>
            <w:r>
              <w:rPr>
                <w:color w:val="000000"/>
                <w:kern w:val="0"/>
                <w:sz w:val="24"/>
              </w:rPr>
              <w:t>满意度指标</w:t>
            </w:r>
          </w:p>
        </w:tc>
        <w:tc>
          <w:tcPr>
            <w:tcW w:w="1312" w:type="dxa"/>
            <w:tcBorders>
              <w:top w:val="single" w:color="000000" w:sz="4" w:space="0"/>
              <w:left w:val="single" w:color="000000" w:sz="4" w:space="0"/>
              <w:bottom w:val="single" w:color="000000" w:sz="4" w:space="0"/>
              <w:right w:val="single" w:color="000000" w:sz="4" w:space="0"/>
            </w:tcBorders>
            <w:vAlign w:val="center"/>
          </w:tcPr>
          <w:p>
            <w:pPr>
              <w:spacing w:line="300" w:lineRule="exact"/>
              <w:rPr>
                <w:color w:val="000000"/>
                <w:sz w:val="24"/>
              </w:rPr>
            </w:pPr>
            <w:r>
              <w:rPr>
                <w:rFonts w:hint="eastAsia"/>
                <w:color w:val="000000"/>
                <w:sz w:val="24"/>
              </w:rPr>
              <w:t>受益群众满意度</w:t>
            </w:r>
          </w:p>
        </w:tc>
        <w:tc>
          <w:tcPr>
            <w:tcW w:w="1127"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24"/>
              </w:rPr>
            </w:pPr>
            <w:r>
              <w:rPr>
                <w:rFonts w:hint="eastAsia"/>
                <w:color w:val="000000"/>
                <w:sz w:val="24"/>
              </w:rPr>
              <w:t>≥</w:t>
            </w:r>
          </w:p>
        </w:tc>
        <w:tc>
          <w:tcPr>
            <w:tcW w:w="971"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24"/>
              </w:rPr>
            </w:pPr>
            <w:r>
              <w:rPr>
                <w:rFonts w:hint="eastAsia"/>
                <w:color w:val="000000"/>
                <w:sz w:val="24"/>
              </w:rPr>
              <w:t>85</w:t>
            </w:r>
          </w:p>
        </w:tc>
        <w:tc>
          <w:tcPr>
            <w:tcW w:w="1061"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24"/>
              </w:rPr>
            </w:pPr>
            <w:r>
              <w:rPr>
                <w:rFonts w:hint="eastAsia"/>
                <w:color w:val="000000"/>
                <w:sz w:val="24"/>
              </w:rPr>
              <w:t>%</w:t>
            </w:r>
          </w:p>
        </w:tc>
        <w:tc>
          <w:tcPr>
            <w:tcW w:w="938"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24"/>
              </w:rPr>
            </w:pPr>
            <w:r>
              <w:rPr>
                <w:rFonts w:hint="eastAsia"/>
                <w:color w:val="000000"/>
                <w:sz w:val="24"/>
              </w:rPr>
              <w:t>10</w:t>
            </w:r>
          </w:p>
        </w:tc>
        <w:tc>
          <w:tcPr>
            <w:tcW w:w="1296"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24"/>
              </w:rPr>
            </w:pPr>
            <w:r>
              <w:rPr>
                <w:rFonts w:hint="eastAsia"/>
                <w:color w:val="000000"/>
                <w:sz w:val="24"/>
              </w:rPr>
              <w:t>85</w:t>
            </w: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vAlign w:val="center"/>
          </w:tcPr>
          <w:p>
            <w:pPr>
              <w:spacing w:line="300" w:lineRule="exact"/>
              <w:jc w:val="center"/>
              <w:rPr>
                <w:color w:val="000000"/>
                <w:sz w:val="24"/>
              </w:rPr>
            </w:pP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color w:val="000000"/>
                <w:sz w:val="24"/>
              </w:rPr>
            </w:pPr>
            <w:r>
              <w:rPr>
                <w:color w:val="000000"/>
                <w:kern w:val="0"/>
                <w:sz w:val="24"/>
              </w:rPr>
              <w:t>成本指标</w:t>
            </w:r>
          </w:p>
        </w:tc>
        <w:tc>
          <w:tcPr>
            <w:tcW w:w="1250"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color w:val="000000"/>
                <w:kern w:val="0"/>
                <w:sz w:val="24"/>
              </w:rPr>
            </w:pPr>
            <w:r>
              <w:rPr>
                <w:color w:val="000000"/>
                <w:kern w:val="0"/>
                <w:sz w:val="24"/>
              </w:rPr>
              <w:t>经济成本</w:t>
            </w:r>
          </w:p>
          <w:p>
            <w:pPr>
              <w:widowControl/>
              <w:spacing w:line="300" w:lineRule="exact"/>
              <w:jc w:val="center"/>
              <w:textAlignment w:val="center"/>
              <w:rPr>
                <w:color w:val="000000"/>
                <w:sz w:val="24"/>
              </w:rPr>
            </w:pPr>
            <w:r>
              <w:rPr>
                <w:color w:val="000000"/>
                <w:kern w:val="0"/>
                <w:sz w:val="24"/>
              </w:rPr>
              <w:t>指标</w:t>
            </w:r>
          </w:p>
        </w:tc>
        <w:tc>
          <w:tcPr>
            <w:tcW w:w="1312" w:type="dxa"/>
            <w:tcBorders>
              <w:top w:val="single" w:color="000000" w:sz="4" w:space="0"/>
              <w:bottom w:val="single" w:color="000000" w:sz="4" w:space="0"/>
              <w:right w:val="single" w:color="000000" w:sz="4" w:space="0"/>
            </w:tcBorders>
            <w:vAlign w:val="center"/>
          </w:tcPr>
          <w:p>
            <w:pPr>
              <w:spacing w:line="300" w:lineRule="exact"/>
              <w:rPr>
                <w:color w:val="000000"/>
                <w:sz w:val="24"/>
              </w:rPr>
            </w:pPr>
            <w:r>
              <w:rPr>
                <w:rFonts w:hint="eastAsia"/>
                <w:color w:val="000000"/>
                <w:sz w:val="24"/>
              </w:rPr>
              <w:t>预算金额</w:t>
            </w:r>
          </w:p>
        </w:tc>
        <w:tc>
          <w:tcPr>
            <w:tcW w:w="1127" w:type="dxa"/>
            <w:tcBorders>
              <w:top w:val="single" w:color="000000" w:sz="4" w:space="0"/>
              <w:left w:val="single" w:color="000000" w:sz="4" w:space="0"/>
              <w:bottom w:val="single" w:color="000000" w:sz="4" w:space="0"/>
              <w:right w:val="single" w:color="000000" w:sz="4" w:space="0"/>
            </w:tcBorders>
            <w:vAlign w:val="center"/>
          </w:tcPr>
          <w:p>
            <w:pPr>
              <w:tabs>
                <w:tab w:val="left" w:pos="515"/>
              </w:tabs>
              <w:spacing w:line="300" w:lineRule="exact"/>
              <w:jc w:val="left"/>
              <w:rPr>
                <w:color w:val="000000"/>
                <w:sz w:val="24"/>
              </w:rPr>
            </w:pPr>
            <w:r>
              <w:rPr>
                <w:rFonts w:hint="eastAsia"/>
                <w:color w:val="000000"/>
                <w:sz w:val="24"/>
              </w:rPr>
              <w:tab/>
            </w:r>
            <w:r>
              <w:rPr>
                <w:rFonts w:hint="eastAsia"/>
                <w:color w:val="000000"/>
                <w:sz w:val="24"/>
              </w:rPr>
              <w:t>＝</w:t>
            </w:r>
          </w:p>
        </w:tc>
        <w:tc>
          <w:tcPr>
            <w:tcW w:w="971"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24"/>
              </w:rPr>
            </w:pPr>
            <w:r>
              <w:rPr>
                <w:rFonts w:hint="eastAsia"/>
                <w:color w:val="000000"/>
                <w:sz w:val="24"/>
              </w:rPr>
              <w:t>0.32</w:t>
            </w:r>
          </w:p>
        </w:tc>
        <w:tc>
          <w:tcPr>
            <w:tcW w:w="1061"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24"/>
              </w:rPr>
            </w:pPr>
            <w:r>
              <w:rPr>
                <w:rFonts w:hint="eastAsia"/>
                <w:color w:val="000000"/>
                <w:sz w:val="24"/>
              </w:rPr>
              <w:t>万元</w:t>
            </w:r>
          </w:p>
        </w:tc>
        <w:tc>
          <w:tcPr>
            <w:tcW w:w="938"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24"/>
              </w:rPr>
            </w:pPr>
            <w:r>
              <w:rPr>
                <w:rFonts w:hint="eastAsia"/>
                <w:color w:val="000000"/>
                <w:sz w:val="24"/>
              </w:rPr>
              <w:t>10</w:t>
            </w:r>
          </w:p>
        </w:tc>
        <w:tc>
          <w:tcPr>
            <w:tcW w:w="1296"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24"/>
              </w:rPr>
            </w:pPr>
            <w:r>
              <w:rPr>
                <w:rFonts w:hint="eastAsia"/>
                <w:color w:val="000000"/>
                <w:sz w:val="24"/>
              </w:rPr>
              <w:t>0.32</w:t>
            </w:r>
          </w:p>
        </w:tc>
      </w:tr>
    </w:tbl>
    <w:p>
      <w:pPr>
        <w:pStyle w:val="13"/>
      </w:pPr>
    </w:p>
    <w:p>
      <w:pPr>
        <w:pStyle w:val="13"/>
      </w:pPr>
    </w:p>
    <w:p>
      <w:pPr>
        <w:pStyle w:val="13"/>
      </w:pPr>
    </w:p>
    <w:p>
      <w:pPr>
        <w:pStyle w:val="13"/>
      </w:pPr>
    </w:p>
    <w:tbl>
      <w:tblPr>
        <w:tblStyle w:val="19"/>
        <w:tblW w:w="9860" w:type="dxa"/>
        <w:jc w:val="center"/>
        <w:tblLayout w:type="fixed"/>
        <w:tblCellMar>
          <w:top w:w="15" w:type="dxa"/>
          <w:left w:w="15" w:type="dxa"/>
          <w:bottom w:w="15" w:type="dxa"/>
          <w:right w:w="15" w:type="dxa"/>
        </w:tblCellMar>
      </w:tblPr>
      <w:tblGrid>
        <w:gridCol w:w="628"/>
        <w:gridCol w:w="1041"/>
        <w:gridCol w:w="1204"/>
        <w:gridCol w:w="1265"/>
        <w:gridCol w:w="1085"/>
        <w:gridCol w:w="935"/>
        <w:gridCol w:w="1022"/>
        <w:gridCol w:w="903"/>
        <w:gridCol w:w="1777"/>
      </w:tblGrid>
      <w:tr>
        <w:tblPrEx>
          <w:tblCellMar>
            <w:top w:w="15" w:type="dxa"/>
            <w:left w:w="15" w:type="dxa"/>
            <w:bottom w:w="15" w:type="dxa"/>
            <w:right w:w="15" w:type="dxa"/>
          </w:tblCellMar>
        </w:tblPrEx>
        <w:trPr>
          <w:trHeight w:val="635" w:hRule="atLeast"/>
          <w:jc w:val="center"/>
        </w:trPr>
        <w:tc>
          <w:tcPr>
            <w:tcW w:w="9860" w:type="dxa"/>
            <w:gridSpan w:val="9"/>
            <w:vAlign w:val="center"/>
          </w:tcPr>
          <w:p>
            <w:pPr>
              <w:widowControl/>
              <w:spacing w:line="600" w:lineRule="exact"/>
              <w:jc w:val="center"/>
              <w:textAlignment w:val="center"/>
              <w:rPr>
                <w:rFonts w:eastAsia="黑体"/>
                <w:color w:val="000000"/>
                <w:sz w:val="30"/>
                <w:szCs w:val="30"/>
              </w:rPr>
            </w:pPr>
            <w:r>
              <w:rPr>
                <w:rFonts w:eastAsia="方正小标宋简体"/>
                <w:color w:val="000000"/>
                <w:kern w:val="0"/>
                <w:sz w:val="40"/>
                <w:szCs w:val="40"/>
              </w:rPr>
              <w:t>专项预算项目绩效目标完成情况自评表</w:t>
            </w:r>
          </w:p>
        </w:tc>
      </w:tr>
      <w:tr>
        <w:tblPrEx>
          <w:tblCellMar>
            <w:top w:w="15" w:type="dxa"/>
            <w:left w:w="15" w:type="dxa"/>
            <w:bottom w:w="15" w:type="dxa"/>
            <w:right w:w="15" w:type="dxa"/>
          </w:tblCellMar>
        </w:tblPrEx>
        <w:trPr>
          <w:trHeight w:val="342" w:hRule="atLeast"/>
          <w:jc w:val="center"/>
        </w:trPr>
        <w:tc>
          <w:tcPr>
            <w:tcW w:w="4138" w:type="dxa"/>
            <w:gridSpan w:val="4"/>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left"/>
              <w:textAlignment w:val="center"/>
              <w:rPr>
                <w:color w:val="000000"/>
                <w:sz w:val="18"/>
                <w:szCs w:val="18"/>
              </w:rPr>
            </w:pPr>
            <w:r>
              <w:rPr>
                <w:color w:val="000000"/>
                <w:kern w:val="0"/>
                <w:sz w:val="18"/>
                <w:szCs w:val="18"/>
              </w:rPr>
              <w:t>项目名称</w:t>
            </w:r>
          </w:p>
        </w:tc>
        <w:tc>
          <w:tcPr>
            <w:tcW w:w="5722" w:type="dxa"/>
            <w:gridSpan w:val="5"/>
            <w:tcBorders>
              <w:top w:val="single" w:color="000000" w:sz="4" w:space="0"/>
              <w:left w:val="single" w:color="000000" w:sz="4" w:space="0"/>
              <w:bottom w:val="single" w:color="000000" w:sz="4" w:space="0"/>
              <w:right w:val="single" w:color="000000" w:sz="4" w:space="0"/>
            </w:tcBorders>
            <w:vAlign w:val="center"/>
          </w:tcPr>
          <w:p>
            <w:pPr>
              <w:spacing w:line="300" w:lineRule="exact"/>
              <w:rPr>
                <w:color w:val="000000"/>
                <w:sz w:val="18"/>
                <w:szCs w:val="18"/>
              </w:rPr>
            </w:pPr>
            <w:r>
              <w:rPr>
                <w:rFonts w:hint="eastAsia"/>
                <w:color w:val="000000"/>
                <w:sz w:val="18"/>
                <w:szCs w:val="18"/>
              </w:rPr>
              <w:t>51322324T000011851495-基层文化阵地改造提升项目</w:t>
            </w:r>
          </w:p>
        </w:tc>
      </w:tr>
      <w:tr>
        <w:tblPrEx>
          <w:tblCellMar>
            <w:top w:w="15" w:type="dxa"/>
            <w:left w:w="15" w:type="dxa"/>
            <w:bottom w:w="15" w:type="dxa"/>
            <w:right w:w="15" w:type="dxa"/>
          </w:tblCellMar>
        </w:tblPrEx>
        <w:trPr>
          <w:trHeight w:val="502" w:hRule="atLeast"/>
          <w:jc w:val="center"/>
        </w:trPr>
        <w:tc>
          <w:tcPr>
            <w:tcW w:w="4138" w:type="dxa"/>
            <w:gridSpan w:val="4"/>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left"/>
              <w:textAlignment w:val="center"/>
              <w:rPr>
                <w:color w:val="000000"/>
                <w:sz w:val="18"/>
                <w:szCs w:val="18"/>
              </w:rPr>
            </w:pPr>
            <w:r>
              <w:rPr>
                <w:color w:val="000000"/>
                <w:kern w:val="0"/>
                <w:sz w:val="18"/>
                <w:szCs w:val="18"/>
              </w:rPr>
              <w:t>预算单位</w:t>
            </w:r>
          </w:p>
        </w:tc>
        <w:tc>
          <w:tcPr>
            <w:tcW w:w="5722" w:type="dxa"/>
            <w:gridSpan w:val="5"/>
            <w:tcBorders>
              <w:top w:val="single" w:color="000000" w:sz="4" w:space="0"/>
              <w:left w:val="single" w:color="000000" w:sz="4" w:space="0"/>
              <w:bottom w:val="single" w:color="000000" w:sz="4" w:space="0"/>
              <w:right w:val="single" w:color="000000" w:sz="4" w:space="0"/>
            </w:tcBorders>
            <w:vAlign w:val="center"/>
          </w:tcPr>
          <w:p>
            <w:pPr>
              <w:spacing w:line="300" w:lineRule="exact"/>
              <w:rPr>
                <w:color w:val="000000"/>
                <w:sz w:val="18"/>
                <w:szCs w:val="18"/>
              </w:rPr>
            </w:pPr>
            <w:r>
              <w:rPr>
                <w:rFonts w:hint="eastAsia"/>
                <w:color w:val="000000"/>
                <w:sz w:val="18"/>
                <w:szCs w:val="18"/>
              </w:rPr>
              <w:t>茂县南新镇人民政府（行政）</w:t>
            </w:r>
          </w:p>
        </w:tc>
      </w:tr>
      <w:tr>
        <w:tblPrEx>
          <w:tblCellMar>
            <w:top w:w="15" w:type="dxa"/>
            <w:left w:w="15" w:type="dxa"/>
            <w:bottom w:w="15" w:type="dxa"/>
            <w:right w:w="15" w:type="dxa"/>
          </w:tblCellMar>
        </w:tblPrEx>
        <w:trPr>
          <w:trHeight w:val="342" w:hRule="atLeast"/>
          <w:jc w:val="center"/>
        </w:trPr>
        <w:tc>
          <w:tcPr>
            <w:tcW w:w="4138" w:type="dxa"/>
            <w:gridSpan w:val="4"/>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left"/>
              <w:textAlignment w:val="center"/>
              <w:rPr>
                <w:color w:val="000000"/>
                <w:sz w:val="18"/>
                <w:szCs w:val="18"/>
              </w:rPr>
            </w:pPr>
            <w:r>
              <w:rPr>
                <w:color w:val="000000"/>
                <w:kern w:val="0"/>
                <w:sz w:val="18"/>
                <w:szCs w:val="18"/>
              </w:rPr>
              <w:t>项目类型</w:t>
            </w:r>
          </w:p>
        </w:tc>
        <w:tc>
          <w:tcPr>
            <w:tcW w:w="5722" w:type="dxa"/>
            <w:gridSpan w:val="5"/>
            <w:tcBorders>
              <w:top w:val="single" w:color="000000" w:sz="4" w:space="0"/>
              <w:left w:val="single" w:color="000000" w:sz="4" w:space="0"/>
              <w:bottom w:val="single" w:color="000000" w:sz="4" w:space="0"/>
              <w:right w:val="single" w:color="000000" w:sz="4" w:space="0"/>
            </w:tcBorders>
            <w:vAlign w:val="center"/>
          </w:tcPr>
          <w:p>
            <w:pPr>
              <w:spacing w:line="300" w:lineRule="exact"/>
              <w:jc w:val="left"/>
              <w:rPr>
                <w:color w:val="000000"/>
                <w:sz w:val="18"/>
                <w:szCs w:val="18"/>
              </w:rPr>
            </w:pPr>
          </w:p>
        </w:tc>
      </w:tr>
      <w:tr>
        <w:tblPrEx>
          <w:tblCellMar>
            <w:top w:w="15" w:type="dxa"/>
            <w:left w:w="15" w:type="dxa"/>
            <w:bottom w:w="15" w:type="dxa"/>
            <w:right w:w="15" w:type="dxa"/>
          </w:tblCellMar>
        </w:tblPrEx>
        <w:trPr>
          <w:trHeight w:val="342" w:hRule="atLeast"/>
          <w:jc w:val="center"/>
        </w:trPr>
        <w:tc>
          <w:tcPr>
            <w:tcW w:w="628" w:type="dxa"/>
            <w:vMerge w:val="restart"/>
            <w:tcBorders>
              <w:top w:val="single" w:color="000000" w:sz="4" w:space="0"/>
              <w:left w:val="single" w:color="000000" w:sz="4" w:space="0"/>
              <w:right w:val="single" w:color="000000" w:sz="4" w:space="0"/>
            </w:tcBorders>
            <w:vAlign w:val="center"/>
          </w:tcPr>
          <w:p>
            <w:pPr>
              <w:spacing w:line="300" w:lineRule="exact"/>
              <w:rPr>
                <w:color w:val="000000"/>
                <w:sz w:val="18"/>
                <w:szCs w:val="18"/>
              </w:rPr>
            </w:pPr>
          </w:p>
        </w:tc>
        <w:tc>
          <w:tcPr>
            <w:tcW w:w="3510"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left"/>
              <w:textAlignment w:val="center"/>
              <w:rPr>
                <w:color w:val="000000"/>
                <w:sz w:val="18"/>
                <w:szCs w:val="18"/>
              </w:rPr>
            </w:pPr>
            <w:r>
              <w:rPr>
                <w:color w:val="000000"/>
                <w:kern w:val="0"/>
                <w:sz w:val="18"/>
                <w:szCs w:val="18"/>
              </w:rPr>
              <w:t>资金管理办法（名称、文号）</w:t>
            </w:r>
          </w:p>
        </w:tc>
        <w:tc>
          <w:tcPr>
            <w:tcW w:w="5722" w:type="dxa"/>
            <w:gridSpan w:val="5"/>
            <w:tcBorders>
              <w:top w:val="single" w:color="000000" w:sz="4" w:space="0"/>
              <w:left w:val="single" w:color="000000" w:sz="4" w:space="0"/>
              <w:bottom w:val="single" w:color="000000" w:sz="4" w:space="0"/>
              <w:right w:val="single" w:color="000000" w:sz="4" w:space="0"/>
            </w:tcBorders>
            <w:vAlign w:val="center"/>
          </w:tcPr>
          <w:p>
            <w:pPr>
              <w:spacing w:line="300" w:lineRule="exact"/>
              <w:jc w:val="left"/>
              <w:rPr>
                <w:color w:val="000000"/>
                <w:sz w:val="18"/>
                <w:szCs w:val="18"/>
              </w:rPr>
            </w:pPr>
          </w:p>
        </w:tc>
      </w:tr>
      <w:tr>
        <w:tblPrEx>
          <w:tblCellMar>
            <w:top w:w="15" w:type="dxa"/>
            <w:left w:w="15" w:type="dxa"/>
            <w:bottom w:w="15" w:type="dxa"/>
            <w:right w:w="15" w:type="dxa"/>
          </w:tblCellMar>
        </w:tblPrEx>
        <w:trPr>
          <w:trHeight w:val="645" w:hRule="atLeast"/>
          <w:jc w:val="center"/>
        </w:trPr>
        <w:tc>
          <w:tcPr>
            <w:tcW w:w="628" w:type="dxa"/>
            <w:vMerge w:val="continue"/>
            <w:tcBorders>
              <w:top w:val="single" w:color="000000" w:sz="4" w:space="0"/>
              <w:left w:val="single" w:color="000000" w:sz="4" w:space="0"/>
              <w:bottom w:val="single" w:color="000000" w:sz="4" w:space="0"/>
              <w:right w:val="single" w:color="000000" w:sz="4" w:space="0"/>
            </w:tcBorders>
            <w:vAlign w:val="center"/>
          </w:tcPr>
          <w:p>
            <w:pPr>
              <w:spacing w:line="300" w:lineRule="exact"/>
              <w:rPr>
                <w:color w:val="000000"/>
                <w:sz w:val="18"/>
                <w:szCs w:val="18"/>
              </w:rPr>
            </w:pPr>
          </w:p>
        </w:tc>
        <w:tc>
          <w:tcPr>
            <w:tcW w:w="3510"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left"/>
              <w:textAlignment w:val="center"/>
              <w:rPr>
                <w:color w:val="000000"/>
                <w:sz w:val="18"/>
                <w:szCs w:val="18"/>
              </w:rPr>
            </w:pPr>
            <w:r>
              <w:rPr>
                <w:color w:val="000000"/>
                <w:kern w:val="0"/>
                <w:sz w:val="18"/>
                <w:szCs w:val="18"/>
              </w:rPr>
              <w:t>绩效分配方式</w:t>
            </w:r>
          </w:p>
        </w:tc>
        <w:tc>
          <w:tcPr>
            <w:tcW w:w="1085"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left"/>
              <w:textAlignment w:val="center"/>
              <w:rPr>
                <w:rFonts w:eastAsia="Wingdings 2"/>
                <w:color w:val="000000"/>
                <w:sz w:val="18"/>
                <w:szCs w:val="18"/>
              </w:rPr>
            </w:pPr>
            <w:r>
              <w:rPr>
                <w:rFonts w:eastAsia="Wingdings 2"/>
                <w:color w:val="000000"/>
                <w:kern w:val="0"/>
                <w:sz w:val="18"/>
                <w:szCs w:val="18"/>
              </w:rPr>
              <w:t>£</w:t>
            </w:r>
            <w:r>
              <w:rPr>
                <w:color w:val="000000"/>
                <w:kern w:val="0"/>
                <w:sz w:val="18"/>
                <w:szCs w:val="18"/>
              </w:rPr>
              <w:t>因素法</w:t>
            </w:r>
          </w:p>
        </w:tc>
        <w:tc>
          <w:tcPr>
            <w:tcW w:w="1957"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rFonts w:eastAsia="Wingdings 2"/>
                <w:color w:val="000000"/>
                <w:sz w:val="18"/>
                <w:szCs w:val="18"/>
              </w:rPr>
            </w:pPr>
            <w:r>
              <w:rPr>
                <w:rFonts w:eastAsia="Wingdings 2"/>
                <w:color w:val="000000"/>
                <w:kern w:val="0"/>
                <w:sz w:val="18"/>
                <w:szCs w:val="18"/>
              </w:rPr>
              <w:t>£项目法</w:t>
            </w:r>
          </w:p>
        </w:tc>
        <w:tc>
          <w:tcPr>
            <w:tcW w:w="903"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rFonts w:eastAsia="Wingdings 2"/>
                <w:color w:val="000000"/>
                <w:sz w:val="18"/>
                <w:szCs w:val="18"/>
              </w:rPr>
            </w:pPr>
            <w:r>
              <w:rPr>
                <w:rFonts w:eastAsia="Wingdings 2"/>
                <w:color w:val="000000"/>
                <w:kern w:val="0"/>
                <w:sz w:val="18"/>
                <w:szCs w:val="18"/>
              </w:rPr>
              <w:t>£</w:t>
            </w:r>
            <w:r>
              <w:rPr>
                <w:color w:val="000000"/>
                <w:kern w:val="0"/>
                <w:sz w:val="18"/>
                <w:szCs w:val="18"/>
              </w:rPr>
              <w:t>据实据效</w:t>
            </w:r>
          </w:p>
        </w:tc>
        <w:tc>
          <w:tcPr>
            <w:tcW w:w="1777"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rFonts w:eastAsia="Wingdings 2"/>
                <w:color w:val="000000"/>
                <w:sz w:val="18"/>
                <w:szCs w:val="18"/>
              </w:rPr>
            </w:pPr>
            <w:r>
              <w:rPr>
                <w:rFonts w:eastAsia="Wingdings 2"/>
                <w:color w:val="000000"/>
                <w:kern w:val="0"/>
                <w:sz w:val="18"/>
                <w:szCs w:val="18"/>
              </w:rPr>
              <w:t>£</w:t>
            </w:r>
            <w:r>
              <w:rPr>
                <w:color w:val="000000"/>
                <w:kern w:val="0"/>
                <w:sz w:val="18"/>
                <w:szCs w:val="18"/>
              </w:rPr>
              <w:t>因素法与项目法相结合</w:t>
            </w:r>
          </w:p>
        </w:tc>
      </w:tr>
      <w:tr>
        <w:tblPrEx>
          <w:tblCellMar>
            <w:top w:w="15" w:type="dxa"/>
            <w:left w:w="15" w:type="dxa"/>
            <w:bottom w:w="15" w:type="dxa"/>
            <w:right w:w="15" w:type="dxa"/>
          </w:tblCellMar>
        </w:tblPrEx>
        <w:trPr>
          <w:trHeight w:val="342" w:hRule="atLeast"/>
          <w:jc w:val="center"/>
        </w:trPr>
        <w:tc>
          <w:tcPr>
            <w:tcW w:w="628" w:type="dxa"/>
            <w:vMerge w:val="continue"/>
            <w:tcBorders>
              <w:top w:val="single" w:color="000000" w:sz="4" w:space="0"/>
              <w:left w:val="single" w:color="000000" w:sz="4" w:space="0"/>
              <w:bottom w:val="single" w:color="000000" w:sz="4" w:space="0"/>
              <w:right w:val="single" w:color="000000" w:sz="4" w:space="0"/>
            </w:tcBorders>
            <w:vAlign w:val="center"/>
          </w:tcPr>
          <w:p>
            <w:pPr>
              <w:spacing w:line="300" w:lineRule="exact"/>
              <w:rPr>
                <w:color w:val="000000"/>
                <w:sz w:val="18"/>
                <w:szCs w:val="18"/>
              </w:rPr>
            </w:pPr>
          </w:p>
        </w:tc>
        <w:tc>
          <w:tcPr>
            <w:tcW w:w="3510"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left"/>
              <w:textAlignment w:val="center"/>
              <w:rPr>
                <w:color w:val="000000"/>
                <w:sz w:val="18"/>
                <w:szCs w:val="18"/>
              </w:rPr>
            </w:pPr>
            <w:r>
              <w:rPr>
                <w:color w:val="000000"/>
                <w:kern w:val="0"/>
                <w:sz w:val="18"/>
                <w:szCs w:val="18"/>
              </w:rPr>
              <w:t>立项依据</w:t>
            </w:r>
          </w:p>
        </w:tc>
        <w:tc>
          <w:tcPr>
            <w:tcW w:w="5722" w:type="dxa"/>
            <w:gridSpan w:val="5"/>
            <w:tcBorders>
              <w:top w:val="single" w:color="000000" w:sz="4" w:space="0"/>
              <w:left w:val="single" w:color="000000" w:sz="4" w:space="0"/>
              <w:bottom w:val="single" w:color="000000" w:sz="4" w:space="0"/>
              <w:right w:val="single" w:color="000000" w:sz="4" w:space="0"/>
            </w:tcBorders>
            <w:vAlign w:val="center"/>
          </w:tcPr>
          <w:p>
            <w:pPr>
              <w:spacing w:line="300" w:lineRule="exact"/>
              <w:jc w:val="left"/>
              <w:rPr>
                <w:color w:val="000000"/>
                <w:sz w:val="18"/>
                <w:szCs w:val="18"/>
              </w:rPr>
            </w:pPr>
          </w:p>
        </w:tc>
      </w:tr>
      <w:tr>
        <w:tblPrEx>
          <w:tblCellMar>
            <w:top w:w="15" w:type="dxa"/>
            <w:left w:w="15" w:type="dxa"/>
            <w:bottom w:w="15" w:type="dxa"/>
            <w:right w:w="15" w:type="dxa"/>
          </w:tblCellMar>
        </w:tblPrEx>
        <w:trPr>
          <w:trHeight w:val="342" w:hRule="atLeast"/>
          <w:jc w:val="center"/>
        </w:trPr>
        <w:tc>
          <w:tcPr>
            <w:tcW w:w="628" w:type="dxa"/>
            <w:vMerge w:val="continue"/>
            <w:tcBorders>
              <w:top w:val="single" w:color="000000" w:sz="4" w:space="0"/>
              <w:left w:val="single" w:color="000000" w:sz="4" w:space="0"/>
              <w:bottom w:val="single" w:color="000000" w:sz="4" w:space="0"/>
              <w:right w:val="single" w:color="000000" w:sz="4" w:space="0"/>
            </w:tcBorders>
            <w:vAlign w:val="center"/>
          </w:tcPr>
          <w:p>
            <w:pPr>
              <w:spacing w:line="300" w:lineRule="exact"/>
              <w:rPr>
                <w:color w:val="000000"/>
                <w:sz w:val="18"/>
                <w:szCs w:val="18"/>
              </w:rPr>
            </w:pPr>
          </w:p>
        </w:tc>
        <w:tc>
          <w:tcPr>
            <w:tcW w:w="3510"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left"/>
              <w:textAlignment w:val="center"/>
              <w:rPr>
                <w:color w:val="000000"/>
                <w:sz w:val="18"/>
                <w:szCs w:val="18"/>
              </w:rPr>
            </w:pPr>
            <w:r>
              <w:rPr>
                <w:color w:val="000000"/>
                <w:kern w:val="0"/>
                <w:sz w:val="18"/>
                <w:szCs w:val="18"/>
              </w:rPr>
              <w:t>使用范围</w:t>
            </w:r>
          </w:p>
        </w:tc>
        <w:tc>
          <w:tcPr>
            <w:tcW w:w="5722" w:type="dxa"/>
            <w:gridSpan w:val="5"/>
            <w:tcBorders>
              <w:top w:val="single" w:color="000000" w:sz="4" w:space="0"/>
              <w:left w:val="single" w:color="000000" w:sz="4" w:space="0"/>
              <w:bottom w:val="single" w:color="000000" w:sz="4" w:space="0"/>
              <w:right w:val="single" w:color="000000" w:sz="4" w:space="0"/>
            </w:tcBorders>
            <w:vAlign w:val="center"/>
          </w:tcPr>
          <w:p>
            <w:pPr>
              <w:spacing w:line="300" w:lineRule="exact"/>
              <w:jc w:val="left"/>
              <w:rPr>
                <w:color w:val="000000"/>
                <w:sz w:val="18"/>
                <w:szCs w:val="18"/>
              </w:rPr>
            </w:pPr>
          </w:p>
        </w:tc>
      </w:tr>
      <w:tr>
        <w:tblPrEx>
          <w:tblCellMar>
            <w:top w:w="15" w:type="dxa"/>
            <w:left w:w="15" w:type="dxa"/>
            <w:bottom w:w="15" w:type="dxa"/>
            <w:right w:w="15" w:type="dxa"/>
          </w:tblCellMar>
        </w:tblPrEx>
        <w:trPr>
          <w:trHeight w:val="342" w:hRule="atLeast"/>
          <w:jc w:val="center"/>
        </w:trPr>
        <w:tc>
          <w:tcPr>
            <w:tcW w:w="628" w:type="dxa"/>
            <w:vMerge w:val="continue"/>
            <w:tcBorders>
              <w:top w:val="single" w:color="000000" w:sz="4" w:space="0"/>
              <w:left w:val="single" w:color="000000" w:sz="4" w:space="0"/>
              <w:bottom w:val="single" w:color="000000" w:sz="4" w:space="0"/>
              <w:right w:val="single" w:color="000000" w:sz="4" w:space="0"/>
            </w:tcBorders>
            <w:vAlign w:val="center"/>
          </w:tcPr>
          <w:p>
            <w:pPr>
              <w:spacing w:line="300" w:lineRule="exact"/>
              <w:rPr>
                <w:color w:val="000000"/>
                <w:sz w:val="18"/>
                <w:szCs w:val="18"/>
              </w:rPr>
            </w:pPr>
          </w:p>
        </w:tc>
        <w:tc>
          <w:tcPr>
            <w:tcW w:w="3510"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left"/>
              <w:textAlignment w:val="center"/>
              <w:rPr>
                <w:color w:val="000000"/>
                <w:sz w:val="18"/>
                <w:szCs w:val="18"/>
              </w:rPr>
            </w:pPr>
            <w:r>
              <w:rPr>
                <w:color w:val="000000"/>
                <w:kern w:val="0"/>
                <w:sz w:val="18"/>
                <w:szCs w:val="18"/>
              </w:rPr>
              <w:t>申报（补助）条件</w:t>
            </w:r>
          </w:p>
        </w:tc>
        <w:tc>
          <w:tcPr>
            <w:tcW w:w="5722" w:type="dxa"/>
            <w:gridSpan w:val="5"/>
            <w:tcBorders>
              <w:top w:val="single" w:color="000000" w:sz="4" w:space="0"/>
              <w:left w:val="single" w:color="000000" w:sz="4" w:space="0"/>
              <w:bottom w:val="single" w:color="000000" w:sz="4" w:space="0"/>
              <w:right w:val="single" w:color="000000" w:sz="4" w:space="0"/>
            </w:tcBorders>
            <w:vAlign w:val="center"/>
          </w:tcPr>
          <w:p>
            <w:pPr>
              <w:spacing w:line="300" w:lineRule="exact"/>
              <w:jc w:val="left"/>
              <w:rPr>
                <w:color w:val="000000"/>
                <w:sz w:val="18"/>
                <w:szCs w:val="18"/>
              </w:rPr>
            </w:pPr>
          </w:p>
        </w:tc>
      </w:tr>
      <w:tr>
        <w:tblPrEx>
          <w:tblCellMar>
            <w:top w:w="15" w:type="dxa"/>
            <w:left w:w="15" w:type="dxa"/>
            <w:bottom w:w="15" w:type="dxa"/>
            <w:right w:w="15" w:type="dxa"/>
          </w:tblCellMar>
        </w:tblPrEx>
        <w:trPr>
          <w:trHeight w:val="342" w:hRule="atLeast"/>
          <w:jc w:val="center"/>
        </w:trPr>
        <w:tc>
          <w:tcPr>
            <w:tcW w:w="628" w:type="dxa"/>
            <w:vMerge w:val="continue"/>
            <w:tcBorders>
              <w:top w:val="single" w:color="000000" w:sz="4" w:space="0"/>
              <w:left w:val="single" w:color="000000" w:sz="4" w:space="0"/>
              <w:bottom w:val="single" w:color="000000" w:sz="4" w:space="0"/>
              <w:right w:val="single" w:color="000000" w:sz="4" w:space="0"/>
            </w:tcBorders>
            <w:vAlign w:val="center"/>
          </w:tcPr>
          <w:p>
            <w:pPr>
              <w:spacing w:line="300" w:lineRule="exact"/>
              <w:rPr>
                <w:color w:val="000000"/>
                <w:sz w:val="18"/>
                <w:szCs w:val="18"/>
              </w:rPr>
            </w:pPr>
          </w:p>
        </w:tc>
        <w:tc>
          <w:tcPr>
            <w:tcW w:w="3510"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left"/>
              <w:textAlignment w:val="center"/>
              <w:rPr>
                <w:color w:val="000000"/>
                <w:sz w:val="18"/>
                <w:szCs w:val="18"/>
              </w:rPr>
            </w:pPr>
            <w:r>
              <w:rPr>
                <w:color w:val="000000"/>
                <w:kern w:val="0"/>
                <w:sz w:val="18"/>
                <w:szCs w:val="18"/>
              </w:rPr>
              <w:t>项目起止年限</w:t>
            </w:r>
          </w:p>
        </w:tc>
        <w:tc>
          <w:tcPr>
            <w:tcW w:w="5722" w:type="dxa"/>
            <w:gridSpan w:val="5"/>
            <w:tcBorders>
              <w:top w:val="single" w:color="000000" w:sz="4" w:space="0"/>
              <w:left w:val="single" w:color="000000" w:sz="4" w:space="0"/>
              <w:bottom w:val="single" w:color="000000" w:sz="4" w:space="0"/>
              <w:right w:val="single" w:color="000000" w:sz="4" w:space="0"/>
            </w:tcBorders>
            <w:vAlign w:val="center"/>
          </w:tcPr>
          <w:p>
            <w:pPr>
              <w:spacing w:line="300" w:lineRule="exact"/>
              <w:rPr>
                <w:color w:val="000000"/>
                <w:sz w:val="18"/>
                <w:szCs w:val="18"/>
              </w:rPr>
            </w:pPr>
            <w:r>
              <w:rPr>
                <w:rFonts w:hint="eastAsia"/>
                <w:color w:val="000000"/>
                <w:sz w:val="18"/>
                <w:szCs w:val="18"/>
              </w:rPr>
              <w:t>2024.01-2024.12</w:t>
            </w:r>
          </w:p>
        </w:tc>
      </w:tr>
      <w:tr>
        <w:tblPrEx>
          <w:tblCellMar>
            <w:top w:w="15" w:type="dxa"/>
            <w:left w:w="15" w:type="dxa"/>
            <w:bottom w:w="15" w:type="dxa"/>
            <w:right w:w="15" w:type="dxa"/>
          </w:tblCellMar>
        </w:tblPrEx>
        <w:trPr>
          <w:trHeight w:val="342" w:hRule="atLeast"/>
          <w:jc w:val="center"/>
        </w:trPr>
        <w:tc>
          <w:tcPr>
            <w:tcW w:w="1669" w:type="dxa"/>
            <w:gridSpan w:val="2"/>
            <w:vMerge w:val="restart"/>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color w:val="000000"/>
                <w:kern w:val="0"/>
                <w:sz w:val="18"/>
                <w:szCs w:val="18"/>
              </w:rPr>
            </w:pPr>
            <w:r>
              <w:rPr>
                <w:color w:val="000000"/>
                <w:kern w:val="0"/>
                <w:sz w:val="18"/>
                <w:szCs w:val="18"/>
              </w:rPr>
              <w:t>项目资金</w:t>
            </w:r>
          </w:p>
          <w:p>
            <w:pPr>
              <w:widowControl/>
              <w:spacing w:line="300" w:lineRule="exact"/>
              <w:jc w:val="center"/>
              <w:textAlignment w:val="center"/>
              <w:rPr>
                <w:color w:val="000000"/>
                <w:sz w:val="18"/>
                <w:szCs w:val="18"/>
              </w:rPr>
            </w:pPr>
            <w:r>
              <w:rPr>
                <w:color w:val="000000"/>
                <w:kern w:val="0"/>
                <w:sz w:val="18"/>
                <w:szCs w:val="18"/>
              </w:rPr>
              <w:t>（万元）</w:t>
            </w:r>
          </w:p>
        </w:tc>
        <w:tc>
          <w:tcPr>
            <w:tcW w:w="2469"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left"/>
              <w:textAlignment w:val="center"/>
              <w:rPr>
                <w:color w:val="000000"/>
                <w:sz w:val="18"/>
                <w:szCs w:val="18"/>
              </w:rPr>
            </w:pPr>
            <w:r>
              <w:rPr>
                <w:color w:val="000000"/>
                <w:kern w:val="0"/>
                <w:sz w:val="18"/>
                <w:szCs w:val="18"/>
              </w:rPr>
              <w:t xml:space="preserve">  年度资金总额：</w:t>
            </w:r>
          </w:p>
        </w:tc>
        <w:tc>
          <w:tcPr>
            <w:tcW w:w="5722" w:type="dxa"/>
            <w:gridSpan w:val="5"/>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18"/>
                <w:szCs w:val="18"/>
              </w:rPr>
            </w:pPr>
            <w:r>
              <w:rPr>
                <w:rFonts w:hint="eastAsia"/>
                <w:color w:val="000000"/>
                <w:sz w:val="18"/>
                <w:szCs w:val="18"/>
              </w:rPr>
              <w:t>10.00</w:t>
            </w:r>
          </w:p>
        </w:tc>
      </w:tr>
      <w:tr>
        <w:tblPrEx>
          <w:tblCellMar>
            <w:top w:w="15" w:type="dxa"/>
            <w:left w:w="15" w:type="dxa"/>
            <w:bottom w:w="15" w:type="dxa"/>
            <w:right w:w="15" w:type="dxa"/>
          </w:tblCellMar>
        </w:tblPrEx>
        <w:trPr>
          <w:trHeight w:val="342" w:hRule="atLeast"/>
          <w:jc w:val="center"/>
        </w:trPr>
        <w:tc>
          <w:tcPr>
            <w:tcW w:w="1669" w:type="dxa"/>
            <w:gridSpan w:val="2"/>
            <w:vMerge w:val="continue"/>
            <w:tcBorders>
              <w:top w:val="single" w:color="000000" w:sz="4" w:space="0"/>
              <w:left w:val="single" w:color="000000" w:sz="4" w:space="0"/>
              <w:bottom w:val="single" w:color="000000" w:sz="4" w:space="0"/>
              <w:right w:val="single" w:color="000000" w:sz="4" w:space="0"/>
            </w:tcBorders>
            <w:vAlign w:val="center"/>
          </w:tcPr>
          <w:p>
            <w:pPr>
              <w:spacing w:line="300" w:lineRule="exact"/>
              <w:rPr>
                <w:color w:val="000000"/>
                <w:sz w:val="18"/>
                <w:szCs w:val="18"/>
              </w:rPr>
            </w:pPr>
          </w:p>
        </w:tc>
        <w:tc>
          <w:tcPr>
            <w:tcW w:w="2469"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left"/>
              <w:textAlignment w:val="center"/>
              <w:rPr>
                <w:color w:val="000000"/>
                <w:sz w:val="18"/>
                <w:szCs w:val="18"/>
              </w:rPr>
            </w:pPr>
            <w:r>
              <w:rPr>
                <w:color w:val="000000"/>
                <w:kern w:val="0"/>
                <w:sz w:val="18"/>
                <w:szCs w:val="18"/>
              </w:rPr>
              <w:t xml:space="preserve">      其中：财政拨款</w:t>
            </w:r>
          </w:p>
        </w:tc>
        <w:tc>
          <w:tcPr>
            <w:tcW w:w="5722" w:type="dxa"/>
            <w:gridSpan w:val="5"/>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18"/>
                <w:szCs w:val="18"/>
              </w:rPr>
            </w:pPr>
            <w:r>
              <w:rPr>
                <w:rFonts w:hint="eastAsia"/>
                <w:color w:val="000000"/>
                <w:sz w:val="18"/>
                <w:szCs w:val="18"/>
              </w:rPr>
              <w:t>10.00</w:t>
            </w:r>
          </w:p>
        </w:tc>
      </w:tr>
      <w:tr>
        <w:tblPrEx>
          <w:tblCellMar>
            <w:top w:w="15" w:type="dxa"/>
            <w:left w:w="15" w:type="dxa"/>
            <w:bottom w:w="15" w:type="dxa"/>
            <w:right w:w="15" w:type="dxa"/>
          </w:tblCellMar>
        </w:tblPrEx>
        <w:trPr>
          <w:trHeight w:val="342" w:hRule="atLeast"/>
          <w:jc w:val="center"/>
        </w:trPr>
        <w:tc>
          <w:tcPr>
            <w:tcW w:w="1669" w:type="dxa"/>
            <w:gridSpan w:val="2"/>
            <w:vMerge w:val="continue"/>
            <w:tcBorders>
              <w:top w:val="single" w:color="000000" w:sz="4" w:space="0"/>
              <w:left w:val="single" w:color="000000" w:sz="4" w:space="0"/>
              <w:bottom w:val="single" w:color="000000" w:sz="4" w:space="0"/>
              <w:right w:val="single" w:color="000000" w:sz="4" w:space="0"/>
            </w:tcBorders>
            <w:vAlign w:val="center"/>
          </w:tcPr>
          <w:p>
            <w:pPr>
              <w:spacing w:line="300" w:lineRule="exact"/>
              <w:rPr>
                <w:color w:val="000000"/>
                <w:sz w:val="18"/>
                <w:szCs w:val="18"/>
              </w:rPr>
            </w:pPr>
          </w:p>
        </w:tc>
        <w:tc>
          <w:tcPr>
            <w:tcW w:w="2469"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left"/>
              <w:textAlignment w:val="center"/>
              <w:rPr>
                <w:color w:val="000000"/>
                <w:sz w:val="18"/>
                <w:szCs w:val="18"/>
              </w:rPr>
            </w:pPr>
            <w:r>
              <w:rPr>
                <w:color w:val="000000"/>
                <w:kern w:val="0"/>
                <w:sz w:val="18"/>
                <w:szCs w:val="18"/>
              </w:rPr>
              <w:t xml:space="preserve">            其他资金</w:t>
            </w:r>
          </w:p>
        </w:tc>
        <w:tc>
          <w:tcPr>
            <w:tcW w:w="5722" w:type="dxa"/>
            <w:gridSpan w:val="5"/>
            <w:tcBorders>
              <w:top w:val="single" w:color="000000" w:sz="4" w:space="0"/>
              <w:left w:val="single" w:color="000000" w:sz="4" w:space="0"/>
              <w:bottom w:val="single" w:color="000000" w:sz="4" w:space="0"/>
              <w:right w:val="single" w:color="000000" w:sz="4" w:space="0"/>
            </w:tcBorders>
            <w:vAlign w:val="center"/>
          </w:tcPr>
          <w:p>
            <w:pPr>
              <w:spacing w:line="300" w:lineRule="exact"/>
              <w:jc w:val="right"/>
              <w:rPr>
                <w:color w:val="000000"/>
                <w:sz w:val="18"/>
                <w:szCs w:val="18"/>
              </w:rPr>
            </w:pPr>
          </w:p>
        </w:tc>
      </w:tr>
      <w:tr>
        <w:tblPrEx>
          <w:tblCellMar>
            <w:top w:w="15" w:type="dxa"/>
            <w:left w:w="15" w:type="dxa"/>
            <w:bottom w:w="15" w:type="dxa"/>
            <w:right w:w="15" w:type="dxa"/>
          </w:tblCellMar>
        </w:tblPrEx>
        <w:trPr>
          <w:trHeight w:val="342" w:hRule="atLeast"/>
          <w:jc w:val="center"/>
        </w:trPr>
        <w:tc>
          <w:tcPr>
            <w:tcW w:w="628"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color w:val="000000"/>
                <w:sz w:val="18"/>
                <w:szCs w:val="18"/>
              </w:rPr>
            </w:pPr>
            <w:r>
              <w:rPr>
                <w:color w:val="000000"/>
                <w:kern w:val="0"/>
                <w:sz w:val="18"/>
                <w:szCs w:val="18"/>
              </w:rPr>
              <w:t>总体 目标</w:t>
            </w:r>
          </w:p>
        </w:tc>
        <w:tc>
          <w:tcPr>
            <w:tcW w:w="9232" w:type="dxa"/>
            <w:gridSpan w:val="8"/>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color w:val="000000"/>
                <w:sz w:val="18"/>
                <w:szCs w:val="18"/>
              </w:rPr>
            </w:pPr>
            <w:r>
              <w:rPr>
                <w:color w:val="000000"/>
                <w:kern w:val="0"/>
                <w:sz w:val="18"/>
                <w:szCs w:val="18"/>
              </w:rPr>
              <w:t>年度目标</w:t>
            </w:r>
          </w:p>
        </w:tc>
      </w:tr>
      <w:tr>
        <w:tblPrEx>
          <w:tblCellMar>
            <w:top w:w="15" w:type="dxa"/>
            <w:left w:w="15" w:type="dxa"/>
            <w:bottom w:w="15" w:type="dxa"/>
            <w:right w:w="15" w:type="dxa"/>
          </w:tblCellMar>
        </w:tblPrEx>
        <w:trPr>
          <w:trHeight w:val="342" w:hRule="atLeast"/>
          <w:jc w:val="center"/>
        </w:trPr>
        <w:tc>
          <w:tcPr>
            <w:tcW w:w="628" w:type="dxa"/>
            <w:vMerge w:val="continue"/>
            <w:tcBorders>
              <w:top w:val="single" w:color="000000" w:sz="4" w:space="0"/>
              <w:left w:val="single" w:color="000000" w:sz="4" w:space="0"/>
              <w:bottom w:val="single" w:color="000000" w:sz="4" w:space="0"/>
              <w:right w:val="single" w:color="000000" w:sz="4" w:space="0"/>
            </w:tcBorders>
            <w:vAlign w:val="center"/>
          </w:tcPr>
          <w:p>
            <w:pPr>
              <w:spacing w:line="300" w:lineRule="exact"/>
              <w:rPr>
                <w:color w:val="000000"/>
                <w:sz w:val="18"/>
                <w:szCs w:val="18"/>
              </w:rPr>
            </w:pPr>
          </w:p>
        </w:tc>
        <w:tc>
          <w:tcPr>
            <w:tcW w:w="9232" w:type="dxa"/>
            <w:gridSpan w:val="8"/>
            <w:tcBorders>
              <w:top w:val="single" w:color="000000" w:sz="4" w:space="0"/>
              <w:left w:val="single" w:color="000000" w:sz="4" w:space="0"/>
              <w:bottom w:val="single" w:color="000000" w:sz="4" w:space="0"/>
              <w:right w:val="single" w:color="000000" w:sz="4" w:space="0"/>
            </w:tcBorders>
            <w:vAlign w:val="center"/>
          </w:tcPr>
          <w:p>
            <w:pPr>
              <w:spacing w:line="300" w:lineRule="exact"/>
              <w:rPr>
                <w:color w:val="000000"/>
                <w:sz w:val="18"/>
                <w:szCs w:val="18"/>
              </w:rPr>
            </w:pPr>
            <w:r>
              <w:rPr>
                <w:rFonts w:hint="eastAsia"/>
                <w:color w:val="000000"/>
                <w:sz w:val="18"/>
                <w:szCs w:val="18"/>
              </w:rPr>
              <w:t>为建设一个具备良好的设施和服务的文化阵地，提供丰富多样的文化活动和学习机会，增加镇村居民对于文化活动的参与度，提高村民的文化素质，增加村民之间的交流和互动，促进社区的凝聚力与和谐发展。</w:t>
            </w:r>
          </w:p>
        </w:tc>
      </w:tr>
      <w:tr>
        <w:tblPrEx>
          <w:tblCellMar>
            <w:top w:w="15" w:type="dxa"/>
            <w:left w:w="15" w:type="dxa"/>
            <w:bottom w:w="15" w:type="dxa"/>
            <w:right w:w="15" w:type="dxa"/>
          </w:tblCellMar>
        </w:tblPrEx>
        <w:trPr>
          <w:trHeight w:val="342" w:hRule="atLeast"/>
          <w:jc w:val="center"/>
        </w:trPr>
        <w:tc>
          <w:tcPr>
            <w:tcW w:w="628" w:type="dxa"/>
            <w:vMerge w:val="restart"/>
            <w:tcBorders>
              <w:top w:val="single" w:color="000000" w:sz="4" w:space="0"/>
              <w:left w:val="single" w:color="000000" w:sz="4" w:space="0"/>
              <w:bottom w:val="single" w:color="000000" w:sz="4" w:space="0"/>
            </w:tcBorders>
            <w:vAlign w:val="center"/>
          </w:tcPr>
          <w:p>
            <w:pPr>
              <w:widowControl/>
              <w:spacing w:line="300" w:lineRule="exact"/>
              <w:jc w:val="center"/>
              <w:textAlignment w:val="center"/>
              <w:rPr>
                <w:color w:val="000000"/>
                <w:sz w:val="18"/>
                <w:szCs w:val="18"/>
              </w:rPr>
            </w:pPr>
            <w:r>
              <w:rPr>
                <w:color w:val="000000"/>
                <w:kern w:val="0"/>
                <w:sz w:val="18"/>
                <w:szCs w:val="18"/>
              </w:rPr>
              <w:t>绩效 指标</w:t>
            </w:r>
          </w:p>
        </w:tc>
        <w:tc>
          <w:tcPr>
            <w:tcW w:w="1041"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color w:val="000000"/>
                <w:sz w:val="18"/>
                <w:szCs w:val="18"/>
              </w:rPr>
            </w:pPr>
            <w:r>
              <w:rPr>
                <w:color w:val="000000"/>
                <w:kern w:val="0"/>
                <w:sz w:val="18"/>
                <w:szCs w:val="18"/>
              </w:rPr>
              <w:t>一级指标</w:t>
            </w:r>
          </w:p>
        </w:tc>
        <w:tc>
          <w:tcPr>
            <w:tcW w:w="1204"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color w:val="000000"/>
                <w:sz w:val="18"/>
                <w:szCs w:val="18"/>
              </w:rPr>
            </w:pPr>
            <w:r>
              <w:rPr>
                <w:color w:val="000000"/>
                <w:kern w:val="0"/>
                <w:sz w:val="18"/>
                <w:szCs w:val="18"/>
              </w:rPr>
              <w:t>二级指标</w:t>
            </w:r>
          </w:p>
        </w:tc>
        <w:tc>
          <w:tcPr>
            <w:tcW w:w="1265"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color w:val="000000"/>
                <w:sz w:val="18"/>
                <w:szCs w:val="18"/>
              </w:rPr>
            </w:pPr>
            <w:r>
              <w:rPr>
                <w:color w:val="000000"/>
                <w:kern w:val="0"/>
                <w:sz w:val="18"/>
                <w:szCs w:val="18"/>
              </w:rPr>
              <w:t>三级指标</w:t>
            </w:r>
          </w:p>
        </w:tc>
        <w:tc>
          <w:tcPr>
            <w:tcW w:w="1085"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color w:val="000000"/>
                <w:sz w:val="18"/>
                <w:szCs w:val="18"/>
              </w:rPr>
            </w:pPr>
            <w:r>
              <w:rPr>
                <w:color w:val="000000"/>
                <w:kern w:val="0"/>
                <w:sz w:val="18"/>
                <w:szCs w:val="18"/>
              </w:rPr>
              <w:t>指标性质</w:t>
            </w:r>
          </w:p>
        </w:tc>
        <w:tc>
          <w:tcPr>
            <w:tcW w:w="935"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color w:val="000000"/>
                <w:sz w:val="18"/>
                <w:szCs w:val="18"/>
              </w:rPr>
            </w:pPr>
            <w:r>
              <w:rPr>
                <w:color w:val="000000"/>
                <w:kern w:val="0"/>
                <w:sz w:val="18"/>
                <w:szCs w:val="18"/>
              </w:rPr>
              <w:t>指标值</w:t>
            </w:r>
          </w:p>
        </w:tc>
        <w:tc>
          <w:tcPr>
            <w:tcW w:w="1022"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color w:val="000000"/>
                <w:sz w:val="18"/>
                <w:szCs w:val="18"/>
              </w:rPr>
            </w:pPr>
            <w:r>
              <w:rPr>
                <w:color w:val="000000"/>
                <w:kern w:val="0"/>
                <w:sz w:val="18"/>
                <w:szCs w:val="18"/>
              </w:rPr>
              <w:t>度量单位</w:t>
            </w:r>
          </w:p>
        </w:tc>
        <w:tc>
          <w:tcPr>
            <w:tcW w:w="903"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color w:val="000000"/>
                <w:sz w:val="18"/>
                <w:szCs w:val="18"/>
              </w:rPr>
            </w:pPr>
            <w:r>
              <w:rPr>
                <w:color w:val="000000"/>
                <w:kern w:val="0"/>
                <w:sz w:val="18"/>
                <w:szCs w:val="18"/>
              </w:rPr>
              <w:t>权重</w:t>
            </w:r>
          </w:p>
        </w:tc>
        <w:tc>
          <w:tcPr>
            <w:tcW w:w="1777"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color w:val="000000"/>
                <w:sz w:val="18"/>
                <w:szCs w:val="18"/>
              </w:rPr>
            </w:pPr>
            <w:r>
              <w:rPr>
                <w:color w:val="000000"/>
                <w:kern w:val="0"/>
                <w:sz w:val="18"/>
                <w:szCs w:val="18"/>
              </w:rPr>
              <w:t>实际完成指标值</w:t>
            </w:r>
          </w:p>
        </w:tc>
      </w:tr>
      <w:tr>
        <w:tblPrEx>
          <w:tblCellMar>
            <w:top w:w="15" w:type="dxa"/>
            <w:left w:w="15" w:type="dxa"/>
            <w:bottom w:w="15" w:type="dxa"/>
            <w:right w:w="15" w:type="dxa"/>
          </w:tblCellMar>
        </w:tblPrEx>
        <w:trPr>
          <w:trHeight w:val="342" w:hRule="atLeast"/>
          <w:jc w:val="center"/>
        </w:trPr>
        <w:tc>
          <w:tcPr>
            <w:tcW w:w="628" w:type="dxa"/>
            <w:vMerge w:val="continue"/>
            <w:tcBorders>
              <w:top w:val="single" w:color="000000" w:sz="4" w:space="0"/>
              <w:left w:val="single" w:color="000000" w:sz="4" w:space="0"/>
              <w:bottom w:val="single" w:color="000000" w:sz="4" w:space="0"/>
            </w:tcBorders>
            <w:vAlign w:val="center"/>
          </w:tcPr>
          <w:p>
            <w:pPr>
              <w:spacing w:line="300" w:lineRule="exact"/>
              <w:jc w:val="center"/>
              <w:rPr>
                <w:color w:val="000000"/>
                <w:sz w:val="18"/>
                <w:szCs w:val="18"/>
              </w:rPr>
            </w:pPr>
          </w:p>
        </w:tc>
        <w:tc>
          <w:tcPr>
            <w:tcW w:w="1041" w:type="dxa"/>
            <w:vMerge w:val="restart"/>
            <w:tcBorders>
              <w:top w:val="single" w:color="000000" w:sz="4" w:space="0"/>
              <w:left w:val="single" w:color="000000" w:sz="4" w:space="0"/>
              <w:right w:val="single" w:color="000000" w:sz="4" w:space="0"/>
            </w:tcBorders>
            <w:vAlign w:val="center"/>
          </w:tcPr>
          <w:p>
            <w:pPr>
              <w:widowControl/>
              <w:jc w:val="center"/>
              <w:textAlignment w:val="center"/>
              <w:rPr>
                <w:color w:val="000000"/>
                <w:sz w:val="18"/>
                <w:szCs w:val="18"/>
              </w:rPr>
            </w:pPr>
            <w:r>
              <w:rPr>
                <w:rFonts w:ascii="宋体" w:hAnsi="宋体" w:cs="宋体"/>
                <w:color w:val="000000"/>
                <w:kern w:val="0"/>
                <w:sz w:val="18"/>
                <w:szCs w:val="18"/>
              </w:rPr>
              <w:t>产出指标</w:t>
            </w:r>
          </w:p>
        </w:tc>
        <w:tc>
          <w:tcPr>
            <w:tcW w:w="120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color w:val="000000"/>
                <w:sz w:val="18"/>
                <w:szCs w:val="18"/>
              </w:rPr>
            </w:pPr>
            <w:r>
              <w:rPr>
                <w:rFonts w:ascii="宋体" w:hAnsi="宋体" w:cs="宋体"/>
                <w:color w:val="000000"/>
                <w:kern w:val="0"/>
                <w:sz w:val="18"/>
                <w:szCs w:val="18"/>
              </w:rPr>
              <w:t>数量指标</w:t>
            </w:r>
          </w:p>
        </w:tc>
        <w:tc>
          <w:tcPr>
            <w:tcW w:w="126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color w:val="000000"/>
                <w:sz w:val="18"/>
                <w:szCs w:val="18"/>
              </w:rPr>
            </w:pPr>
            <w:r>
              <w:rPr>
                <w:rFonts w:ascii="宋体" w:hAnsi="宋体" w:cs="宋体"/>
                <w:color w:val="000000"/>
                <w:kern w:val="0"/>
                <w:sz w:val="18"/>
                <w:szCs w:val="18"/>
              </w:rPr>
              <w:t>涉及</w:t>
            </w:r>
            <w:r>
              <w:rPr>
                <w:rFonts w:hint="eastAsia" w:ascii="宋体" w:hAnsi="宋体" w:cs="宋体"/>
                <w:color w:val="000000"/>
                <w:kern w:val="0"/>
                <w:sz w:val="18"/>
                <w:szCs w:val="18"/>
              </w:rPr>
              <w:t>项目</w:t>
            </w:r>
            <w:r>
              <w:rPr>
                <w:rFonts w:ascii="宋体" w:hAnsi="宋体" w:cs="宋体"/>
                <w:color w:val="000000"/>
                <w:kern w:val="0"/>
                <w:sz w:val="18"/>
                <w:szCs w:val="18"/>
              </w:rPr>
              <w:t>个数</w:t>
            </w:r>
          </w:p>
        </w:tc>
        <w:tc>
          <w:tcPr>
            <w:tcW w:w="108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color w:val="000000"/>
                <w:sz w:val="18"/>
                <w:szCs w:val="18"/>
              </w:rPr>
            </w:pPr>
            <w:r>
              <w:rPr>
                <w:rFonts w:ascii="宋体" w:hAnsi="宋体" w:cs="宋体"/>
                <w:color w:val="000000"/>
                <w:kern w:val="0"/>
                <w:sz w:val="18"/>
                <w:szCs w:val="18"/>
              </w:rPr>
              <w:t>＝</w:t>
            </w:r>
          </w:p>
        </w:tc>
        <w:tc>
          <w:tcPr>
            <w:tcW w:w="93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color w:val="000000"/>
                <w:sz w:val="18"/>
                <w:szCs w:val="18"/>
              </w:rPr>
            </w:pPr>
            <w:r>
              <w:rPr>
                <w:rFonts w:hint="eastAsia" w:ascii="宋体" w:hAnsi="宋体" w:cs="宋体"/>
                <w:color w:val="000000"/>
                <w:kern w:val="0"/>
                <w:sz w:val="18"/>
                <w:szCs w:val="18"/>
              </w:rPr>
              <w:t>1</w:t>
            </w:r>
          </w:p>
        </w:tc>
        <w:tc>
          <w:tcPr>
            <w:tcW w:w="10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color w:val="000000"/>
                <w:sz w:val="18"/>
                <w:szCs w:val="18"/>
              </w:rPr>
            </w:pPr>
            <w:r>
              <w:rPr>
                <w:rFonts w:ascii="宋体" w:hAnsi="宋体" w:cs="宋体"/>
                <w:color w:val="000000"/>
                <w:kern w:val="0"/>
                <w:sz w:val="18"/>
                <w:szCs w:val="18"/>
              </w:rPr>
              <w:t>个</w:t>
            </w:r>
          </w:p>
        </w:tc>
        <w:tc>
          <w:tcPr>
            <w:tcW w:w="90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color w:val="000000"/>
                <w:sz w:val="18"/>
                <w:szCs w:val="18"/>
              </w:rPr>
            </w:pPr>
            <w:r>
              <w:rPr>
                <w:rFonts w:ascii="宋体" w:hAnsi="宋体" w:cs="宋体"/>
                <w:color w:val="000000"/>
                <w:kern w:val="0"/>
                <w:sz w:val="18"/>
                <w:szCs w:val="18"/>
              </w:rPr>
              <w:t>10</w:t>
            </w:r>
          </w:p>
        </w:tc>
        <w:tc>
          <w:tcPr>
            <w:tcW w:w="1777"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18"/>
                <w:szCs w:val="18"/>
              </w:rPr>
            </w:pPr>
            <w:r>
              <w:rPr>
                <w:rFonts w:hint="eastAsia"/>
                <w:color w:val="000000"/>
                <w:sz w:val="18"/>
                <w:szCs w:val="18"/>
              </w:rPr>
              <w:t>1</w:t>
            </w:r>
          </w:p>
        </w:tc>
      </w:tr>
      <w:tr>
        <w:tblPrEx>
          <w:tblCellMar>
            <w:top w:w="15" w:type="dxa"/>
            <w:left w:w="15" w:type="dxa"/>
            <w:bottom w:w="15" w:type="dxa"/>
            <w:right w:w="15" w:type="dxa"/>
          </w:tblCellMar>
        </w:tblPrEx>
        <w:trPr>
          <w:trHeight w:val="342" w:hRule="atLeast"/>
          <w:jc w:val="center"/>
        </w:trPr>
        <w:tc>
          <w:tcPr>
            <w:tcW w:w="628" w:type="dxa"/>
            <w:vMerge w:val="continue"/>
            <w:tcBorders>
              <w:top w:val="single" w:color="000000" w:sz="4" w:space="0"/>
              <w:left w:val="single" w:color="000000" w:sz="4" w:space="0"/>
              <w:bottom w:val="single" w:color="000000" w:sz="4" w:space="0"/>
            </w:tcBorders>
            <w:vAlign w:val="center"/>
          </w:tcPr>
          <w:p>
            <w:pPr>
              <w:spacing w:line="300" w:lineRule="exact"/>
              <w:jc w:val="center"/>
              <w:rPr>
                <w:color w:val="000000"/>
                <w:sz w:val="18"/>
                <w:szCs w:val="18"/>
              </w:rPr>
            </w:pPr>
          </w:p>
        </w:tc>
        <w:tc>
          <w:tcPr>
            <w:tcW w:w="1041" w:type="dxa"/>
            <w:vMerge w:val="continue"/>
            <w:tcBorders>
              <w:left w:val="single" w:color="000000" w:sz="4" w:space="0"/>
              <w:right w:val="single" w:color="000000" w:sz="4" w:space="0"/>
            </w:tcBorders>
            <w:vAlign w:val="center"/>
          </w:tcPr>
          <w:p>
            <w:pPr>
              <w:jc w:val="center"/>
              <w:rPr>
                <w:color w:val="000000"/>
                <w:sz w:val="18"/>
                <w:szCs w:val="18"/>
              </w:rPr>
            </w:pPr>
          </w:p>
        </w:tc>
        <w:tc>
          <w:tcPr>
            <w:tcW w:w="120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color w:val="000000"/>
                <w:sz w:val="18"/>
                <w:szCs w:val="18"/>
              </w:rPr>
            </w:pPr>
            <w:r>
              <w:rPr>
                <w:rFonts w:ascii="宋体" w:hAnsi="宋体" w:cs="宋体"/>
                <w:color w:val="000000"/>
                <w:kern w:val="0"/>
                <w:sz w:val="18"/>
                <w:szCs w:val="18"/>
              </w:rPr>
              <w:t>质量指标</w:t>
            </w:r>
          </w:p>
        </w:tc>
        <w:tc>
          <w:tcPr>
            <w:tcW w:w="126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color w:val="000000"/>
                <w:sz w:val="18"/>
                <w:szCs w:val="18"/>
              </w:rPr>
            </w:pPr>
            <w:r>
              <w:rPr>
                <w:rFonts w:ascii="宋体" w:hAnsi="宋体" w:cs="宋体"/>
                <w:color w:val="000000"/>
                <w:kern w:val="0"/>
                <w:sz w:val="18"/>
                <w:szCs w:val="18"/>
              </w:rPr>
              <w:t>项目完工及时率</w:t>
            </w:r>
          </w:p>
        </w:tc>
        <w:tc>
          <w:tcPr>
            <w:tcW w:w="108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color w:val="000000"/>
                <w:sz w:val="18"/>
                <w:szCs w:val="18"/>
              </w:rPr>
            </w:pPr>
            <w:r>
              <w:rPr>
                <w:rFonts w:ascii="宋体" w:hAnsi="宋体" w:cs="宋体"/>
                <w:color w:val="000000"/>
                <w:kern w:val="0"/>
                <w:sz w:val="18"/>
                <w:szCs w:val="18"/>
              </w:rPr>
              <w:t>＝</w:t>
            </w:r>
          </w:p>
        </w:tc>
        <w:tc>
          <w:tcPr>
            <w:tcW w:w="93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color w:val="000000"/>
                <w:sz w:val="18"/>
                <w:szCs w:val="18"/>
              </w:rPr>
            </w:pPr>
            <w:r>
              <w:rPr>
                <w:rFonts w:ascii="宋体" w:hAnsi="宋体" w:cs="宋体"/>
                <w:color w:val="000000"/>
                <w:kern w:val="0"/>
                <w:sz w:val="18"/>
                <w:szCs w:val="18"/>
              </w:rPr>
              <w:t>100</w:t>
            </w:r>
          </w:p>
        </w:tc>
        <w:tc>
          <w:tcPr>
            <w:tcW w:w="10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color w:val="000000"/>
                <w:sz w:val="18"/>
                <w:szCs w:val="18"/>
              </w:rPr>
            </w:pPr>
            <w:r>
              <w:rPr>
                <w:rFonts w:ascii="宋体" w:hAnsi="宋体" w:cs="宋体"/>
                <w:color w:val="000000"/>
                <w:kern w:val="0"/>
                <w:sz w:val="18"/>
                <w:szCs w:val="18"/>
              </w:rPr>
              <w:t>%</w:t>
            </w:r>
          </w:p>
        </w:tc>
        <w:tc>
          <w:tcPr>
            <w:tcW w:w="90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color w:val="000000"/>
                <w:sz w:val="18"/>
                <w:szCs w:val="18"/>
              </w:rPr>
            </w:pPr>
            <w:r>
              <w:rPr>
                <w:rFonts w:ascii="宋体" w:hAnsi="宋体" w:cs="宋体"/>
                <w:color w:val="000000"/>
                <w:kern w:val="0"/>
                <w:sz w:val="18"/>
                <w:szCs w:val="18"/>
              </w:rPr>
              <w:t>20</w:t>
            </w:r>
          </w:p>
        </w:tc>
        <w:tc>
          <w:tcPr>
            <w:tcW w:w="1777"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18"/>
                <w:szCs w:val="18"/>
              </w:rPr>
            </w:pPr>
            <w:r>
              <w:rPr>
                <w:rFonts w:hint="eastAsia"/>
                <w:color w:val="000000"/>
                <w:sz w:val="18"/>
                <w:szCs w:val="18"/>
              </w:rPr>
              <w:t>1</w:t>
            </w:r>
          </w:p>
        </w:tc>
      </w:tr>
      <w:tr>
        <w:tblPrEx>
          <w:tblCellMar>
            <w:top w:w="15" w:type="dxa"/>
            <w:left w:w="15" w:type="dxa"/>
            <w:bottom w:w="15" w:type="dxa"/>
            <w:right w:w="15" w:type="dxa"/>
          </w:tblCellMar>
        </w:tblPrEx>
        <w:trPr>
          <w:trHeight w:val="342" w:hRule="atLeast"/>
          <w:jc w:val="center"/>
        </w:trPr>
        <w:tc>
          <w:tcPr>
            <w:tcW w:w="628" w:type="dxa"/>
            <w:vMerge w:val="continue"/>
            <w:tcBorders>
              <w:top w:val="single" w:color="000000" w:sz="4" w:space="0"/>
              <w:left w:val="single" w:color="000000" w:sz="4" w:space="0"/>
              <w:bottom w:val="single" w:color="000000" w:sz="4" w:space="0"/>
            </w:tcBorders>
            <w:vAlign w:val="center"/>
          </w:tcPr>
          <w:p>
            <w:pPr>
              <w:spacing w:line="300" w:lineRule="exact"/>
              <w:jc w:val="center"/>
              <w:rPr>
                <w:color w:val="000000"/>
                <w:sz w:val="18"/>
                <w:szCs w:val="18"/>
              </w:rPr>
            </w:pPr>
          </w:p>
        </w:tc>
        <w:tc>
          <w:tcPr>
            <w:tcW w:w="1041" w:type="dxa"/>
            <w:vMerge w:val="continue"/>
            <w:tcBorders>
              <w:left w:val="single" w:color="000000" w:sz="4" w:space="0"/>
              <w:bottom w:val="single" w:color="000000" w:sz="4" w:space="0"/>
              <w:right w:val="single" w:color="000000" w:sz="4" w:space="0"/>
            </w:tcBorders>
            <w:vAlign w:val="center"/>
          </w:tcPr>
          <w:p>
            <w:pPr>
              <w:jc w:val="center"/>
              <w:rPr>
                <w:color w:val="000000"/>
                <w:sz w:val="18"/>
                <w:szCs w:val="18"/>
              </w:rPr>
            </w:pPr>
          </w:p>
        </w:tc>
        <w:tc>
          <w:tcPr>
            <w:tcW w:w="120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color w:val="000000"/>
                <w:sz w:val="18"/>
                <w:szCs w:val="18"/>
              </w:rPr>
            </w:pPr>
            <w:r>
              <w:rPr>
                <w:rFonts w:ascii="宋体" w:hAnsi="宋体" w:cs="宋体"/>
                <w:color w:val="000000"/>
                <w:kern w:val="0"/>
                <w:sz w:val="18"/>
                <w:szCs w:val="18"/>
              </w:rPr>
              <w:t>时效指标</w:t>
            </w:r>
          </w:p>
        </w:tc>
        <w:tc>
          <w:tcPr>
            <w:tcW w:w="126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color w:val="000000"/>
                <w:sz w:val="18"/>
                <w:szCs w:val="18"/>
              </w:rPr>
            </w:pPr>
            <w:r>
              <w:rPr>
                <w:rFonts w:ascii="宋体" w:hAnsi="宋体" w:cs="宋体"/>
                <w:color w:val="000000"/>
                <w:kern w:val="0"/>
                <w:sz w:val="18"/>
                <w:szCs w:val="18"/>
              </w:rPr>
              <w:t>项目完成时间</w:t>
            </w:r>
          </w:p>
        </w:tc>
        <w:tc>
          <w:tcPr>
            <w:tcW w:w="108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color w:val="000000"/>
                <w:sz w:val="18"/>
                <w:szCs w:val="18"/>
              </w:rPr>
            </w:pPr>
            <w:r>
              <w:rPr>
                <w:rFonts w:ascii="宋体" w:hAnsi="宋体" w:cs="宋体"/>
                <w:color w:val="000000"/>
                <w:kern w:val="0"/>
                <w:sz w:val="18"/>
                <w:szCs w:val="18"/>
              </w:rPr>
              <w:t>＝</w:t>
            </w:r>
          </w:p>
        </w:tc>
        <w:tc>
          <w:tcPr>
            <w:tcW w:w="93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color w:val="000000"/>
                <w:sz w:val="18"/>
                <w:szCs w:val="18"/>
              </w:rPr>
            </w:pPr>
            <w:r>
              <w:rPr>
                <w:rFonts w:ascii="宋体" w:hAnsi="宋体" w:cs="宋体"/>
                <w:color w:val="000000"/>
                <w:kern w:val="0"/>
                <w:sz w:val="18"/>
                <w:szCs w:val="18"/>
              </w:rPr>
              <w:t>1</w:t>
            </w:r>
          </w:p>
        </w:tc>
        <w:tc>
          <w:tcPr>
            <w:tcW w:w="10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color w:val="000000"/>
                <w:sz w:val="18"/>
                <w:szCs w:val="18"/>
              </w:rPr>
            </w:pPr>
            <w:r>
              <w:rPr>
                <w:rFonts w:ascii="宋体" w:hAnsi="宋体" w:cs="宋体"/>
                <w:color w:val="000000"/>
                <w:kern w:val="0"/>
                <w:sz w:val="18"/>
                <w:szCs w:val="18"/>
              </w:rPr>
              <w:t>年</w:t>
            </w:r>
          </w:p>
        </w:tc>
        <w:tc>
          <w:tcPr>
            <w:tcW w:w="90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color w:val="000000"/>
                <w:sz w:val="18"/>
                <w:szCs w:val="18"/>
              </w:rPr>
            </w:pPr>
            <w:r>
              <w:rPr>
                <w:rFonts w:ascii="宋体" w:hAnsi="宋体" w:cs="宋体"/>
                <w:color w:val="000000"/>
                <w:kern w:val="0"/>
                <w:sz w:val="18"/>
                <w:szCs w:val="18"/>
              </w:rPr>
              <w:t>10</w:t>
            </w:r>
          </w:p>
        </w:tc>
        <w:tc>
          <w:tcPr>
            <w:tcW w:w="1777"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18"/>
                <w:szCs w:val="18"/>
              </w:rPr>
            </w:pPr>
            <w:r>
              <w:rPr>
                <w:rFonts w:hint="eastAsia"/>
                <w:color w:val="000000"/>
                <w:sz w:val="18"/>
                <w:szCs w:val="18"/>
              </w:rPr>
              <w:t>100</w:t>
            </w:r>
          </w:p>
        </w:tc>
      </w:tr>
      <w:tr>
        <w:tblPrEx>
          <w:tblCellMar>
            <w:top w:w="15" w:type="dxa"/>
            <w:left w:w="15" w:type="dxa"/>
            <w:bottom w:w="15" w:type="dxa"/>
            <w:right w:w="15" w:type="dxa"/>
          </w:tblCellMar>
        </w:tblPrEx>
        <w:trPr>
          <w:trHeight w:val="971" w:hRule="atLeast"/>
          <w:jc w:val="center"/>
        </w:trPr>
        <w:tc>
          <w:tcPr>
            <w:tcW w:w="628" w:type="dxa"/>
            <w:vMerge w:val="continue"/>
            <w:tcBorders>
              <w:top w:val="single" w:color="000000" w:sz="4" w:space="0"/>
              <w:left w:val="single" w:color="000000" w:sz="4" w:space="0"/>
              <w:bottom w:val="single" w:color="000000" w:sz="4" w:space="0"/>
            </w:tcBorders>
            <w:vAlign w:val="center"/>
          </w:tcPr>
          <w:p>
            <w:pPr>
              <w:spacing w:line="300" w:lineRule="exact"/>
              <w:jc w:val="center"/>
              <w:rPr>
                <w:color w:val="000000"/>
                <w:sz w:val="18"/>
                <w:szCs w:val="18"/>
              </w:rPr>
            </w:pPr>
          </w:p>
        </w:tc>
        <w:tc>
          <w:tcPr>
            <w:tcW w:w="1041"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color w:val="000000"/>
                <w:sz w:val="18"/>
                <w:szCs w:val="18"/>
              </w:rPr>
            </w:pPr>
            <w:r>
              <w:rPr>
                <w:rFonts w:ascii="宋体" w:hAnsi="宋体" w:cs="宋体"/>
                <w:color w:val="000000"/>
                <w:kern w:val="0"/>
                <w:sz w:val="18"/>
                <w:szCs w:val="18"/>
              </w:rPr>
              <w:t>效益指标</w:t>
            </w:r>
          </w:p>
        </w:tc>
        <w:tc>
          <w:tcPr>
            <w:tcW w:w="120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color w:val="000000"/>
                <w:sz w:val="18"/>
                <w:szCs w:val="18"/>
              </w:rPr>
            </w:pPr>
            <w:r>
              <w:rPr>
                <w:rFonts w:ascii="宋体" w:hAnsi="宋体" w:cs="宋体"/>
                <w:color w:val="000000"/>
                <w:kern w:val="0"/>
                <w:sz w:val="18"/>
                <w:szCs w:val="18"/>
              </w:rPr>
              <w:t>社会效益指标</w:t>
            </w:r>
          </w:p>
        </w:tc>
        <w:tc>
          <w:tcPr>
            <w:tcW w:w="126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color w:val="000000"/>
                <w:sz w:val="18"/>
                <w:szCs w:val="18"/>
              </w:rPr>
            </w:pPr>
            <w:r>
              <w:rPr>
                <w:rFonts w:ascii="宋体" w:hAnsi="宋体" w:cs="宋体"/>
                <w:color w:val="000000"/>
                <w:kern w:val="0"/>
                <w:sz w:val="18"/>
                <w:szCs w:val="18"/>
              </w:rPr>
              <w:t>效益化率</w:t>
            </w:r>
          </w:p>
        </w:tc>
        <w:tc>
          <w:tcPr>
            <w:tcW w:w="108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color w:val="000000"/>
                <w:sz w:val="18"/>
                <w:szCs w:val="18"/>
              </w:rPr>
            </w:pPr>
            <w:r>
              <w:rPr>
                <w:rFonts w:ascii="宋体" w:hAnsi="宋体" w:cs="宋体"/>
                <w:color w:val="000000"/>
                <w:kern w:val="0"/>
                <w:sz w:val="18"/>
                <w:szCs w:val="18"/>
              </w:rPr>
              <w:t>定性</w:t>
            </w:r>
          </w:p>
        </w:tc>
        <w:tc>
          <w:tcPr>
            <w:tcW w:w="93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color w:val="000000"/>
                <w:sz w:val="18"/>
                <w:szCs w:val="18"/>
              </w:rPr>
            </w:pPr>
            <w:r>
              <w:rPr>
                <w:rFonts w:ascii="宋体" w:hAnsi="宋体" w:cs="宋体"/>
                <w:color w:val="000000"/>
                <w:kern w:val="0"/>
                <w:sz w:val="18"/>
                <w:szCs w:val="18"/>
              </w:rPr>
              <w:t>高中低</w:t>
            </w:r>
          </w:p>
        </w:tc>
        <w:tc>
          <w:tcPr>
            <w:tcW w:w="10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color w:val="000000"/>
                <w:sz w:val="18"/>
                <w:szCs w:val="18"/>
              </w:rPr>
            </w:pPr>
            <w:r>
              <w:rPr>
                <w:rFonts w:ascii="宋体" w:hAnsi="宋体" w:cs="宋体"/>
                <w:color w:val="000000"/>
                <w:kern w:val="0"/>
                <w:sz w:val="18"/>
                <w:szCs w:val="18"/>
              </w:rPr>
              <w:t>其他</w:t>
            </w:r>
          </w:p>
        </w:tc>
        <w:tc>
          <w:tcPr>
            <w:tcW w:w="90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color w:val="000000"/>
                <w:sz w:val="18"/>
                <w:szCs w:val="18"/>
              </w:rPr>
            </w:pPr>
            <w:r>
              <w:rPr>
                <w:rFonts w:ascii="宋体" w:hAnsi="宋体" w:cs="宋体"/>
                <w:color w:val="000000"/>
                <w:kern w:val="0"/>
                <w:sz w:val="18"/>
                <w:szCs w:val="18"/>
              </w:rPr>
              <w:t>10</w:t>
            </w:r>
          </w:p>
        </w:tc>
        <w:tc>
          <w:tcPr>
            <w:tcW w:w="1777"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18"/>
                <w:szCs w:val="18"/>
              </w:rPr>
            </w:pPr>
            <w:r>
              <w:rPr>
                <w:rFonts w:hint="eastAsia"/>
                <w:color w:val="000000"/>
                <w:sz w:val="18"/>
                <w:szCs w:val="18"/>
              </w:rPr>
              <w:t>高</w:t>
            </w:r>
          </w:p>
        </w:tc>
      </w:tr>
      <w:tr>
        <w:tblPrEx>
          <w:tblCellMar>
            <w:top w:w="15" w:type="dxa"/>
            <w:left w:w="15" w:type="dxa"/>
            <w:bottom w:w="15" w:type="dxa"/>
            <w:right w:w="15" w:type="dxa"/>
          </w:tblCellMar>
        </w:tblPrEx>
        <w:trPr>
          <w:trHeight w:val="342" w:hRule="atLeast"/>
          <w:jc w:val="center"/>
        </w:trPr>
        <w:tc>
          <w:tcPr>
            <w:tcW w:w="628" w:type="dxa"/>
            <w:vMerge w:val="continue"/>
            <w:tcBorders>
              <w:top w:val="single" w:color="000000" w:sz="4" w:space="0"/>
              <w:left w:val="single" w:color="000000" w:sz="4" w:space="0"/>
              <w:bottom w:val="single" w:color="000000" w:sz="4" w:space="0"/>
            </w:tcBorders>
            <w:vAlign w:val="center"/>
          </w:tcPr>
          <w:p>
            <w:pPr>
              <w:spacing w:line="300" w:lineRule="exact"/>
              <w:jc w:val="center"/>
              <w:rPr>
                <w:color w:val="000000"/>
                <w:sz w:val="18"/>
                <w:szCs w:val="18"/>
              </w:rPr>
            </w:pPr>
          </w:p>
        </w:tc>
        <w:tc>
          <w:tcPr>
            <w:tcW w:w="1041"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color w:val="000000"/>
                <w:sz w:val="18"/>
                <w:szCs w:val="18"/>
              </w:rPr>
            </w:pPr>
          </w:p>
        </w:tc>
        <w:tc>
          <w:tcPr>
            <w:tcW w:w="120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color w:val="000000"/>
                <w:sz w:val="18"/>
                <w:szCs w:val="18"/>
              </w:rPr>
            </w:pPr>
            <w:r>
              <w:rPr>
                <w:rFonts w:ascii="宋体" w:hAnsi="宋体" w:cs="宋体"/>
                <w:color w:val="000000"/>
                <w:kern w:val="0"/>
                <w:sz w:val="18"/>
                <w:szCs w:val="18"/>
              </w:rPr>
              <w:t>生态效益指标</w:t>
            </w:r>
          </w:p>
        </w:tc>
        <w:tc>
          <w:tcPr>
            <w:tcW w:w="126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color w:val="000000"/>
                <w:sz w:val="18"/>
                <w:szCs w:val="18"/>
              </w:rPr>
            </w:pPr>
            <w:r>
              <w:rPr>
                <w:rFonts w:ascii="宋体" w:hAnsi="宋体" w:cs="宋体"/>
                <w:color w:val="000000"/>
                <w:kern w:val="0"/>
                <w:sz w:val="18"/>
                <w:szCs w:val="18"/>
              </w:rPr>
              <w:t>项目对生态环境影响</w:t>
            </w:r>
          </w:p>
        </w:tc>
        <w:tc>
          <w:tcPr>
            <w:tcW w:w="108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color w:val="000000"/>
                <w:sz w:val="18"/>
                <w:szCs w:val="18"/>
              </w:rPr>
            </w:pPr>
            <w:r>
              <w:rPr>
                <w:rFonts w:ascii="宋体" w:hAnsi="宋体" w:cs="宋体"/>
                <w:color w:val="000000"/>
                <w:kern w:val="0"/>
                <w:sz w:val="18"/>
                <w:szCs w:val="18"/>
              </w:rPr>
              <w:t>定性</w:t>
            </w:r>
          </w:p>
        </w:tc>
        <w:tc>
          <w:tcPr>
            <w:tcW w:w="93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b/>
                <w:bCs/>
                <w:color w:val="000000"/>
                <w:sz w:val="18"/>
                <w:szCs w:val="18"/>
              </w:rPr>
            </w:pPr>
            <w:r>
              <w:rPr>
                <w:rFonts w:ascii="宋体" w:hAnsi="宋体" w:cs="宋体"/>
                <w:color w:val="000000"/>
                <w:kern w:val="0"/>
                <w:sz w:val="18"/>
                <w:szCs w:val="18"/>
              </w:rPr>
              <w:t>高中低</w:t>
            </w:r>
          </w:p>
        </w:tc>
        <w:tc>
          <w:tcPr>
            <w:tcW w:w="10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color w:val="000000"/>
                <w:sz w:val="18"/>
                <w:szCs w:val="18"/>
              </w:rPr>
            </w:pPr>
            <w:r>
              <w:rPr>
                <w:rFonts w:ascii="宋体" w:hAnsi="宋体" w:cs="宋体"/>
                <w:color w:val="000000"/>
                <w:kern w:val="0"/>
                <w:sz w:val="18"/>
                <w:szCs w:val="18"/>
              </w:rPr>
              <w:t>其他</w:t>
            </w:r>
          </w:p>
        </w:tc>
        <w:tc>
          <w:tcPr>
            <w:tcW w:w="90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color w:val="000000"/>
                <w:sz w:val="18"/>
                <w:szCs w:val="18"/>
              </w:rPr>
            </w:pPr>
            <w:r>
              <w:rPr>
                <w:rFonts w:ascii="宋体" w:hAnsi="宋体" w:cs="宋体"/>
                <w:color w:val="000000"/>
                <w:kern w:val="0"/>
                <w:sz w:val="18"/>
                <w:szCs w:val="18"/>
              </w:rPr>
              <w:t>10</w:t>
            </w:r>
          </w:p>
        </w:tc>
        <w:tc>
          <w:tcPr>
            <w:tcW w:w="1777"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18"/>
                <w:szCs w:val="18"/>
              </w:rPr>
            </w:pPr>
            <w:r>
              <w:rPr>
                <w:rFonts w:hint="eastAsia"/>
                <w:color w:val="000000"/>
                <w:sz w:val="18"/>
                <w:szCs w:val="18"/>
              </w:rPr>
              <w:t>高</w:t>
            </w:r>
          </w:p>
        </w:tc>
      </w:tr>
      <w:tr>
        <w:tblPrEx>
          <w:tblCellMar>
            <w:top w:w="15" w:type="dxa"/>
            <w:left w:w="15" w:type="dxa"/>
            <w:bottom w:w="15" w:type="dxa"/>
            <w:right w:w="15" w:type="dxa"/>
          </w:tblCellMar>
        </w:tblPrEx>
        <w:trPr>
          <w:trHeight w:val="342" w:hRule="atLeast"/>
          <w:jc w:val="center"/>
        </w:trPr>
        <w:tc>
          <w:tcPr>
            <w:tcW w:w="628" w:type="dxa"/>
            <w:vMerge w:val="continue"/>
            <w:tcBorders>
              <w:top w:val="single" w:color="000000" w:sz="4" w:space="0"/>
              <w:left w:val="single" w:color="000000" w:sz="4" w:space="0"/>
              <w:bottom w:val="single" w:color="000000" w:sz="4" w:space="0"/>
            </w:tcBorders>
            <w:vAlign w:val="center"/>
          </w:tcPr>
          <w:p>
            <w:pPr>
              <w:spacing w:line="300" w:lineRule="exact"/>
              <w:jc w:val="center"/>
              <w:rPr>
                <w:color w:val="000000"/>
                <w:sz w:val="18"/>
                <w:szCs w:val="18"/>
              </w:rPr>
            </w:pPr>
          </w:p>
        </w:tc>
        <w:tc>
          <w:tcPr>
            <w:tcW w:w="104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color w:val="000000"/>
                <w:sz w:val="18"/>
                <w:szCs w:val="18"/>
              </w:rPr>
            </w:pPr>
            <w:r>
              <w:rPr>
                <w:rFonts w:ascii="宋体" w:hAnsi="宋体" w:cs="宋体"/>
                <w:color w:val="000000"/>
                <w:kern w:val="0"/>
                <w:sz w:val="18"/>
                <w:szCs w:val="18"/>
              </w:rPr>
              <w:t>满意度指标</w:t>
            </w:r>
          </w:p>
        </w:tc>
        <w:tc>
          <w:tcPr>
            <w:tcW w:w="120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color w:val="000000"/>
                <w:sz w:val="18"/>
                <w:szCs w:val="18"/>
              </w:rPr>
            </w:pPr>
            <w:r>
              <w:rPr>
                <w:rFonts w:ascii="宋体" w:hAnsi="宋体" w:cs="宋体"/>
                <w:color w:val="000000"/>
                <w:kern w:val="0"/>
                <w:sz w:val="18"/>
                <w:szCs w:val="18"/>
              </w:rPr>
              <w:t>服务对象满意度指标</w:t>
            </w:r>
          </w:p>
        </w:tc>
        <w:tc>
          <w:tcPr>
            <w:tcW w:w="126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color w:val="000000"/>
                <w:sz w:val="18"/>
                <w:szCs w:val="18"/>
              </w:rPr>
            </w:pPr>
            <w:r>
              <w:rPr>
                <w:rFonts w:ascii="宋体" w:hAnsi="宋体" w:cs="宋体"/>
                <w:color w:val="000000"/>
                <w:kern w:val="0"/>
                <w:sz w:val="18"/>
                <w:szCs w:val="18"/>
              </w:rPr>
              <w:t>服务对象满意度</w:t>
            </w:r>
          </w:p>
        </w:tc>
        <w:tc>
          <w:tcPr>
            <w:tcW w:w="108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color w:val="000000"/>
                <w:sz w:val="18"/>
                <w:szCs w:val="18"/>
              </w:rPr>
            </w:pPr>
            <w:r>
              <w:rPr>
                <w:rFonts w:ascii="宋体" w:hAnsi="宋体" w:cs="宋体"/>
                <w:color w:val="000000"/>
                <w:kern w:val="0"/>
                <w:sz w:val="18"/>
                <w:szCs w:val="18"/>
              </w:rPr>
              <w:t>≥</w:t>
            </w:r>
          </w:p>
        </w:tc>
        <w:tc>
          <w:tcPr>
            <w:tcW w:w="93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color w:val="000000"/>
                <w:sz w:val="18"/>
                <w:szCs w:val="18"/>
              </w:rPr>
            </w:pPr>
            <w:r>
              <w:rPr>
                <w:rFonts w:ascii="宋体" w:hAnsi="宋体" w:cs="宋体"/>
                <w:color w:val="000000"/>
                <w:kern w:val="0"/>
                <w:sz w:val="18"/>
                <w:szCs w:val="18"/>
              </w:rPr>
              <w:t>95</w:t>
            </w:r>
          </w:p>
        </w:tc>
        <w:tc>
          <w:tcPr>
            <w:tcW w:w="10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color w:val="000000"/>
                <w:sz w:val="18"/>
                <w:szCs w:val="18"/>
              </w:rPr>
            </w:pPr>
            <w:r>
              <w:rPr>
                <w:rFonts w:ascii="宋体" w:hAnsi="宋体" w:cs="宋体"/>
                <w:color w:val="000000"/>
                <w:kern w:val="0"/>
                <w:sz w:val="18"/>
                <w:szCs w:val="18"/>
              </w:rPr>
              <w:t>%</w:t>
            </w:r>
          </w:p>
        </w:tc>
        <w:tc>
          <w:tcPr>
            <w:tcW w:w="90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color w:val="000000"/>
                <w:sz w:val="18"/>
                <w:szCs w:val="18"/>
              </w:rPr>
            </w:pPr>
            <w:r>
              <w:rPr>
                <w:rFonts w:ascii="宋体" w:hAnsi="宋体" w:cs="宋体"/>
                <w:color w:val="000000"/>
                <w:kern w:val="0"/>
                <w:sz w:val="18"/>
                <w:szCs w:val="18"/>
              </w:rPr>
              <w:t>10</w:t>
            </w:r>
          </w:p>
        </w:tc>
        <w:tc>
          <w:tcPr>
            <w:tcW w:w="1777"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18"/>
                <w:szCs w:val="18"/>
              </w:rPr>
            </w:pPr>
            <w:r>
              <w:rPr>
                <w:rFonts w:hint="eastAsia"/>
                <w:color w:val="000000"/>
                <w:sz w:val="18"/>
                <w:szCs w:val="18"/>
              </w:rPr>
              <w:t>85</w:t>
            </w:r>
          </w:p>
        </w:tc>
      </w:tr>
      <w:tr>
        <w:tblPrEx>
          <w:tblCellMar>
            <w:top w:w="15" w:type="dxa"/>
            <w:left w:w="15" w:type="dxa"/>
            <w:bottom w:w="15" w:type="dxa"/>
            <w:right w:w="15" w:type="dxa"/>
          </w:tblCellMar>
        </w:tblPrEx>
        <w:trPr>
          <w:trHeight w:val="342" w:hRule="atLeast"/>
          <w:jc w:val="center"/>
        </w:trPr>
        <w:tc>
          <w:tcPr>
            <w:tcW w:w="628" w:type="dxa"/>
            <w:vMerge w:val="continue"/>
            <w:tcBorders>
              <w:top w:val="single" w:color="000000" w:sz="4" w:space="0"/>
              <w:left w:val="single" w:color="000000" w:sz="4" w:space="0"/>
              <w:bottom w:val="single" w:color="000000" w:sz="4" w:space="0"/>
            </w:tcBorders>
            <w:vAlign w:val="center"/>
          </w:tcPr>
          <w:p>
            <w:pPr>
              <w:spacing w:line="300" w:lineRule="exact"/>
              <w:jc w:val="center"/>
              <w:rPr>
                <w:color w:val="000000"/>
                <w:sz w:val="18"/>
                <w:szCs w:val="18"/>
              </w:rPr>
            </w:pPr>
          </w:p>
        </w:tc>
        <w:tc>
          <w:tcPr>
            <w:tcW w:w="104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color w:val="000000"/>
                <w:sz w:val="18"/>
                <w:szCs w:val="18"/>
              </w:rPr>
            </w:pPr>
            <w:r>
              <w:rPr>
                <w:rFonts w:ascii="宋体" w:hAnsi="宋体" w:cs="宋体"/>
                <w:color w:val="000000"/>
                <w:kern w:val="0"/>
                <w:sz w:val="18"/>
                <w:szCs w:val="18"/>
              </w:rPr>
              <w:t>成本指标</w:t>
            </w:r>
          </w:p>
        </w:tc>
        <w:tc>
          <w:tcPr>
            <w:tcW w:w="120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color w:val="000000"/>
                <w:sz w:val="18"/>
                <w:szCs w:val="18"/>
              </w:rPr>
            </w:pPr>
            <w:r>
              <w:rPr>
                <w:rFonts w:ascii="宋体" w:hAnsi="宋体" w:cs="宋体"/>
                <w:color w:val="000000"/>
                <w:kern w:val="0"/>
                <w:sz w:val="18"/>
                <w:szCs w:val="18"/>
              </w:rPr>
              <w:t>经济成本指标</w:t>
            </w:r>
          </w:p>
        </w:tc>
        <w:tc>
          <w:tcPr>
            <w:tcW w:w="126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color w:val="000000"/>
                <w:sz w:val="18"/>
                <w:szCs w:val="18"/>
              </w:rPr>
            </w:pPr>
            <w:r>
              <w:rPr>
                <w:rFonts w:ascii="宋体" w:hAnsi="宋体" w:cs="宋体"/>
                <w:color w:val="000000"/>
                <w:kern w:val="0"/>
                <w:sz w:val="18"/>
                <w:szCs w:val="18"/>
              </w:rPr>
              <w:t>项目下达资金</w:t>
            </w:r>
          </w:p>
        </w:tc>
        <w:tc>
          <w:tcPr>
            <w:tcW w:w="108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color w:val="000000"/>
                <w:sz w:val="18"/>
                <w:szCs w:val="18"/>
              </w:rPr>
            </w:pPr>
            <w:r>
              <w:rPr>
                <w:rFonts w:ascii="宋体" w:hAnsi="宋体" w:cs="宋体"/>
                <w:color w:val="000000"/>
                <w:kern w:val="0"/>
                <w:sz w:val="18"/>
                <w:szCs w:val="18"/>
              </w:rPr>
              <w:t>＝</w:t>
            </w:r>
          </w:p>
        </w:tc>
        <w:tc>
          <w:tcPr>
            <w:tcW w:w="93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color w:val="000000"/>
                <w:sz w:val="18"/>
                <w:szCs w:val="18"/>
              </w:rPr>
            </w:pPr>
            <w:r>
              <w:rPr>
                <w:rFonts w:hint="eastAsia" w:ascii="宋体" w:hAnsi="宋体" w:cs="宋体"/>
                <w:color w:val="000000"/>
                <w:kern w:val="0"/>
                <w:sz w:val="18"/>
                <w:szCs w:val="18"/>
              </w:rPr>
              <w:t>10.00</w:t>
            </w:r>
          </w:p>
        </w:tc>
        <w:tc>
          <w:tcPr>
            <w:tcW w:w="10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color w:val="000000"/>
                <w:sz w:val="18"/>
                <w:szCs w:val="18"/>
              </w:rPr>
            </w:pPr>
            <w:r>
              <w:rPr>
                <w:rFonts w:hint="eastAsia" w:ascii="宋体" w:hAnsi="宋体" w:cs="宋体"/>
                <w:color w:val="000000"/>
                <w:kern w:val="0"/>
                <w:sz w:val="18"/>
                <w:szCs w:val="18"/>
              </w:rPr>
              <w:t>万</w:t>
            </w:r>
            <w:r>
              <w:rPr>
                <w:rFonts w:ascii="宋体" w:hAnsi="宋体" w:cs="宋体"/>
                <w:color w:val="000000"/>
                <w:kern w:val="0"/>
                <w:sz w:val="18"/>
                <w:szCs w:val="18"/>
              </w:rPr>
              <w:t>元</w:t>
            </w:r>
          </w:p>
        </w:tc>
        <w:tc>
          <w:tcPr>
            <w:tcW w:w="90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color w:val="000000"/>
                <w:sz w:val="18"/>
                <w:szCs w:val="18"/>
              </w:rPr>
            </w:pPr>
            <w:r>
              <w:rPr>
                <w:rFonts w:ascii="宋体" w:hAnsi="宋体" w:cs="宋体"/>
                <w:color w:val="000000"/>
                <w:kern w:val="0"/>
                <w:sz w:val="18"/>
                <w:szCs w:val="18"/>
              </w:rPr>
              <w:t>20</w:t>
            </w:r>
          </w:p>
        </w:tc>
        <w:tc>
          <w:tcPr>
            <w:tcW w:w="1777"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18"/>
                <w:szCs w:val="18"/>
              </w:rPr>
            </w:pPr>
            <w:r>
              <w:rPr>
                <w:rFonts w:hint="eastAsia"/>
                <w:color w:val="000000"/>
                <w:sz w:val="18"/>
                <w:szCs w:val="18"/>
              </w:rPr>
              <w:t>9.68</w:t>
            </w:r>
          </w:p>
        </w:tc>
      </w:tr>
    </w:tbl>
    <w:p>
      <w:pPr>
        <w:pStyle w:val="13"/>
      </w:pPr>
    </w:p>
    <w:p>
      <w:pPr>
        <w:pStyle w:val="13"/>
      </w:pPr>
    </w:p>
    <w:p>
      <w:pPr>
        <w:pStyle w:val="13"/>
      </w:pPr>
    </w:p>
    <w:p>
      <w:pPr>
        <w:pStyle w:val="13"/>
      </w:pPr>
    </w:p>
    <w:p>
      <w:pPr>
        <w:pStyle w:val="13"/>
      </w:pPr>
    </w:p>
    <w:p>
      <w:pPr>
        <w:pStyle w:val="13"/>
      </w:pPr>
    </w:p>
    <w:p>
      <w:pPr>
        <w:pStyle w:val="13"/>
      </w:pPr>
    </w:p>
    <w:p>
      <w:pPr>
        <w:pStyle w:val="13"/>
      </w:pPr>
    </w:p>
    <w:p>
      <w:pPr>
        <w:pStyle w:val="13"/>
      </w:pPr>
    </w:p>
    <w:p>
      <w:pPr>
        <w:pStyle w:val="13"/>
      </w:pPr>
    </w:p>
    <w:p>
      <w:pPr>
        <w:pStyle w:val="13"/>
      </w:pPr>
    </w:p>
    <w:p>
      <w:pPr>
        <w:pStyle w:val="13"/>
      </w:pPr>
    </w:p>
    <w:tbl>
      <w:tblPr>
        <w:tblStyle w:val="19"/>
        <w:tblW w:w="9468" w:type="dxa"/>
        <w:jc w:val="center"/>
        <w:tblLayout w:type="fixed"/>
        <w:tblCellMar>
          <w:top w:w="15" w:type="dxa"/>
          <w:left w:w="15" w:type="dxa"/>
          <w:bottom w:w="15" w:type="dxa"/>
          <w:right w:w="15" w:type="dxa"/>
        </w:tblCellMar>
      </w:tblPr>
      <w:tblGrid>
        <w:gridCol w:w="933"/>
        <w:gridCol w:w="726"/>
        <w:gridCol w:w="1197"/>
        <w:gridCol w:w="1257"/>
        <w:gridCol w:w="1079"/>
        <w:gridCol w:w="929"/>
        <w:gridCol w:w="1017"/>
        <w:gridCol w:w="898"/>
        <w:gridCol w:w="1432"/>
      </w:tblGrid>
      <w:tr>
        <w:tblPrEx>
          <w:tblCellMar>
            <w:top w:w="15" w:type="dxa"/>
            <w:left w:w="15" w:type="dxa"/>
            <w:bottom w:w="15" w:type="dxa"/>
            <w:right w:w="15" w:type="dxa"/>
          </w:tblCellMar>
        </w:tblPrEx>
        <w:trPr>
          <w:trHeight w:val="747" w:hRule="atLeast"/>
          <w:jc w:val="center"/>
        </w:trPr>
        <w:tc>
          <w:tcPr>
            <w:tcW w:w="9468" w:type="dxa"/>
            <w:gridSpan w:val="9"/>
            <w:vAlign w:val="center"/>
          </w:tcPr>
          <w:p>
            <w:pPr>
              <w:widowControl/>
              <w:spacing w:line="600" w:lineRule="exact"/>
              <w:jc w:val="center"/>
              <w:textAlignment w:val="center"/>
              <w:rPr>
                <w:rFonts w:eastAsia="黑体"/>
                <w:color w:val="000000"/>
                <w:sz w:val="30"/>
                <w:szCs w:val="30"/>
              </w:rPr>
            </w:pPr>
            <w:r>
              <w:rPr>
                <w:rFonts w:eastAsia="方正小标宋简体"/>
                <w:color w:val="000000"/>
                <w:kern w:val="0"/>
                <w:sz w:val="40"/>
                <w:szCs w:val="40"/>
              </w:rPr>
              <w:t>专项预算项目绩效目标完成情况自评表</w:t>
            </w:r>
          </w:p>
        </w:tc>
      </w:tr>
      <w:tr>
        <w:tblPrEx>
          <w:tblCellMar>
            <w:top w:w="15" w:type="dxa"/>
            <w:left w:w="15" w:type="dxa"/>
            <w:bottom w:w="15" w:type="dxa"/>
            <w:right w:w="15" w:type="dxa"/>
          </w:tblCellMar>
        </w:tblPrEx>
        <w:trPr>
          <w:trHeight w:val="403" w:hRule="atLeast"/>
          <w:jc w:val="center"/>
        </w:trPr>
        <w:tc>
          <w:tcPr>
            <w:tcW w:w="4113" w:type="dxa"/>
            <w:gridSpan w:val="4"/>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left"/>
              <w:textAlignment w:val="center"/>
              <w:rPr>
                <w:color w:val="000000"/>
                <w:sz w:val="24"/>
              </w:rPr>
            </w:pPr>
            <w:r>
              <w:rPr>
                <w:color w:val="000000"/>
                <w:kern w:val="0"/>
                <w:sz w:val="24"/>
              </w:rPr>
              <w:t>项目名称</w:t>
            </w:r>
          </w:p>
        </w:tc>
        <w:tc>
          <w:tcPr>
            <w:tcW w:w="5355" w:type="dxa"/>
            <w:gridSpan w:val="5"/>
            <w:tcBorders>
              <w:top w:val="single" w:color="000000" w:sz="4" w:space="0"/>
              <w:left w:val="single" w:color="000000" w:sz="4" w:space="0"/>
              <w:bottom w:val="single" w:color="000000" w:sz="4" w:space="0"/>
              <w:right w:val="single" w:color="000000" w:sz="4" w:space="0"/>
            </w:tcBorders>
            <w:vAlign w:val="center"/>
          </w:tcPr>
          <w:p>
            <w:pPr>
              <w:spacing w:line="300" w:lineRule="exact"/>
              <w:rPr>
                <w:color w:val="000000"/>
                <w:sz w:val="24"/>
              </w:rPr>
            </w:pPr>
            <w:r>
              <w:rPr>
                <w:rFonts w:hint="eastAsia"/>
                <w:color w:val="000000"/>
                <w:sz w:val="24"/>
              </w:rPr>
              <w:t>51322324T000011905709-2024年人大工作经费</w:t>
            </w:r>
          </w:p>
        </w:tc>
      </w:tr>
      <w:tr>
        <w:tblPrEx>
          <w:tblCellMar>
            <w:top w:w="15" w:type="dxa"/>
            <w:left w:w="15" w:type="dxa"/>
            <w:bottom w:w="15" w:type="dxa"/>
            <w:right w:w="15" w:type="dxa"/>
          </w:tblCellMar>
        </w:tblPrEx>
        <w:trPr>
          <w:trHeight w:val="590" w:hRule="atLeast"/>
          <w:jc w:val="center"/>
        </w:trPr>
        <w:tc>
          <w:tcPr>
            <w:tcW w:w="4113" w:type="dxa"/>
            <w:gridSpan w:val="4"/>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left"/>
              <w:textAlignment w:val="center"/>
              <w:rPr>
                <w:color w:val="000000"/>
                <w:sz w:val="24"/>
              </w:rPr>
            </w:pPr>
            <w:r>
              <w:rPr>
                <w:color w:val="000000"/>
                <w:kern w:val="0"/>
                <w:sz w:val="24"/>
              </w:rPr>
              <w:t>预算单位</w:t>
            </w:r>
          </w:p>
        </w:tc>
        <w:tc>
          <w:tcPr>
            <w:tcW w:w="5355" w:type="dxa"/>
            <w:gridSpan w:val="5"/>
            <w:tcBorders>
              <w:top w:val="single" w:color="000000" w:sz="4" w:space="0"/>
              <w:left w:val="single" w:color="000000" w:sz="4" w:space="0"/>
              <w:bottom w:val="single" w:color="000000" w:sz="4" w:space="0"/>
              <w:right w:val="single" w:color="000000" w:sz="4" w:space="0"/>
            </w:tcBorders>
            <w:vAlign w:val="center"/>
          </w:tcPr>
          <w:p>
            <w:pPr>
              <w:spacing w:line="300" w:lineRule="exact"/>
              <w:rPr>
                <w:color w:val="000000"/>
                <w:sz w:val="24"/>
              </w:rPr>
            </w:pPr>
            <w:r>
              <w:rPr>
                <w:rFonts w:hint="eastAsia"/>
                <w:color w:val="000000"/>
                <w:sz w:val="24"/>
              </w:rPr>
              <w:t>茂县南新镇人民政府（行政）</w:t>
            </w:r>
          </w:p>
        </w:tc>
      </w:tr>
      <w:tr>
        <w:tblPrEx>
          <w:tblCellMar>
            <w:top w:w="15" w:type="dxa"/>
            <w:left w:w="15" w:type="dxa"/>
            <w:bottom w:w="15" w:type="dxa"/>
            <w:right w:w="15" w:type="dxa"/>
          </w:tblCellMar>
        </w:tblPrEx>
        <w:trPr>
          <w:trHeight w:val="403" w:hRule="atLeast"/>
          <w:jc w:val="center"/>
        </w:trPr>
        <w:tc>
          <w:tcPr>
            <w:tcW w:w="4113" w:type="dxa"/>
            <w:gridSpan w:val="4"/>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left"/>
              <w:textAlignment w:val="center"/>
              <w:rPr>
                <w:color w:val="000000"/>
                <w:sz w:val="24"/>
              </w:rPr>
            </w:pPr>
            <w:r>
              <w:rPr>
                <w:color w:val="000000"/>
                <w:kern w:val="0"/>
                <w:sz w:val="24"/>
              </w:rPr>
              <w:t>项目类型</w:t>
            </w:r>
          </w:p>
        </w:tc>
        <w:tc>
          <w:tcPr>
            <w:tcW w:w="5355" w:type="dxa"/>
            <w:gridSpan w:val="5"/>
            <w:tcBorders>
              <w:top w:val="single" w:color="000000" w:sz="4" w:space="0"/>
              <w:left w:val="single" w:color="000000" w:sz="4" w:space="0"/>
              <w:bottom w:val="single" w:color="000000" w:sz="4" w:space="0"/>
              <w:right w:val="single" w:color="000000" w:sz="4" w:space="0"/>
            </w:tcBorders>
            <w:vAlign w:val="center"/>
          </w:tcPr>
          <w:p>
            <w:pPr>
              <w:spacing w:line="300" w:lineRule="exact"/>
              <w:jc w:val="left"/>
              <w:rPr>
                <w:color w:val="000000"/>
                <w:sz w:val="24"/>
              </w:rPr>
            </w:pPr>
          </w:p>
        </w:tc>
      </w:tr>
      <w:tr>
        <w:tblPrEx>
          <w:tblCellMar>
            <w:top w:w="15" w:type="dxa"/>
            <w:left w:w="15" w:type="dxa"/>
            <w:bottom w:w="15" w:type="dxa"/>
            <w:right w:w="15" w:type="dxa"/>
          </w:tblCellMar>
        </w:tblPrEx>
        <w:trPr>
          <w:trHeight w:val="403" w:hRule="atLeast"/>
          <w:jc w:val="center"/>
        </w:trPr>
        <w:tc>
          <w:tcPr>
            <w:tcW w:w="933" w:type="dxa"/>
            <w:vMerge w:val="restart"/>
            <w:tcBorders>
              <w:top w:val="single" w:color="000000" w:sz="4" w:space="0"/>
              <w:left w:val="single" w:color="000000" w:sz="4" w:space="0"/>
              <w:right w:val="single" w:color="000000" w:sz="4" w:space="0"/>
            </w:tcBorders>
            <w:vAlign w:val="center"/>
          </w:tcPr>
          <w:p>
            <w:pPr>
              <w:spacing w:line="300" w:lineRule="exact"/>
              <w:rPr>
                <w:color w:val="000000"/>
                <w:sz w:val="24"/>
              </w:rPr>
            </w:pPr>
          </w:p>
        </w:tc>
        <w:tc>
          <w:tcPr>
            <w:tcW w:w="3180"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left"/>
              <w:textAlignment w:val="center"/>
              <w:rPr>
                <w:color w:val="000000"/>
                <w:sz w:val="24"/>
              </w:rPr>
            </w:pPr>
            <w:r>
              <w:rPr>
                <w:color w:val="000000"/>
                <w:kern w:val="0"/>
                <w:sz w:val="24"/>
              </w:rPr>
              <w:t>资金管理办法（名称、文号）</w:t>
            </w:r>
          </w:p>
        </w:tc>
        <w:tc>
          <w:tcPr>
            <w:tcW w:w="5355" w:type="dxa"/>
            <w:gridSpan w:val="5"/>
            <w:tcBorders>
              <w:top w:val="single" w:color="000000" w:sz="4" w:space="0"/>
              <w:left w:val="single" w:color="000000" w:sz="4" w:space="0"/>
              <w:bottom w:val="single" w:color="000000" w:sz="4" w:space="0"/>
              <w:right w:val="single" w:color="000000" w:sz="4" w:space="0"/>
            </w:tcBorders>
            <w:vAlign w:val="center"/>
          </w:tcPr>
          <w:p>
            <w:pPr>
              <w:spacing w:line="300" w:lineRule="exact"/>
              <w:jc w:val="left"/>
              <w:rPr>
                <w:color w:val="000000"/>
                <w:sz w:val="24"/>
              </w:rPr>
            </w:pPr>
          </w:p>
        </w:tc>
      </w:tr>
      <w:tr>
        <w:tblPrEx>
          <w:tblCellMar>
            <w:top w:w="15" w:type="dxa"/>
            <w:left w:w="15" w:type="dxa"/>
            <w:bottom w:w="15" w:type="dxa"/>
            <w:right w:w="15" w:type="dxa"/>
          </w:tblCellMar>
        </w:tblPrEx>
        <w:trPr>
          <w:trHeight w:val="759" w:hRule="atLeast"/>
          <w:jc w:val="center"/>
        </w:trPr>
        <w:tc>
          <w:tcPr>
            <w:tcW w:w="933" w:type="dxa"/>
            <w:vMerge w:val="continue"/>
            <w:tcBorders>
              <w:top w:val="single" w:color="000000" w:sz="4" w:space="0"/>
              <w:left w:val="single" w:color="000000" w:sz="4" w:space="0"/>
              <w:bottom w:val="single" w:color="000000" w:sz="4" w:space="0"/>
              <w:right w:val="single" w:color="000000" w:sz="4" w:space="0"/>
            </w:tcBorders>
            <w:vAlign w:val="center"/>
          </w:tcPr>
          <w:p>
            <w:pPr>
              <w:spacing w:line="300" w:lineRule="exact"/>
              <w:rPr>
                <w:color w:val="000000"/>
                <w:sz w:val="24"/>
              </w:rPr>
            </w:pPr>
          </w:p>
        </w:tc>
        <w:tc>
          <w:tcPr>
            <w:tcW w:w="3180"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left"/>
              <w:textAlignment w:val="center"/>
              <w:rPr>
                <w:color w:val="000000"/>
                <w:sz w:val="24"/>
              </w:rPr>
            </w:pPr>
            <w:r>
              <w:rPr>
                <w:color w:val="000000"/>
                <w:kern w:val="0"/>
                <w:sz w:val="24"/>
              </w:rPr>
              <w:t>绩效分配方式</w:t>
            </w:r>
          </w:p>
        </w:tc>
        <w:tc>
          <w:tcPr>
            <w:tcW w:w="1079"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left"/>
              <w:textAlignment w:val="center"/>
              <w:rPr>
                <w:rFonts w:eastAsia="Wingdings 2"/>
                <w:color w:val="000000"/>
                <w:sz w:val="24"/>
              </w:rPr>
            </w:pPr>
            <w:r>
              <w:rPr>
                <w:rFonts w:eastAsia="Wingdings 2"/>
                <w:color w:val="000000"/>
                <w:kern w:val="0"/>
                <w:sz w:val="24"/>
              </w:rPr>
              <w:t>£</w:t>
            </w:r>
            <w:r>
              <w:rPr>
                <w:color w:val="000000"/>
                <w:kern w:val="0"/>
                <w:sz w:val="24"/>
              </w:rPr>
              <w:t>因素法</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rFonts w:eastAsia="Wingdings 2"/>
                <w:color w:val="000000"/>
                <w:sz w:val="24"/>
              </w:rPr>
            </w:pPr>
            <w:r>
              <w:rPr>
                <w:rFonts w:eastAsia="Wingdings 2"/>
                <w:color w:val="000000"/>
                <w:kern w:val="0"/>
                <w:sz w:val="24"/>
              </w:rPr>
              <w:t>£项目法</w:t>
            </w:r>
          </w:p>
        </w:tc>
        <w:tc>
          <w:tcPr>
            <w:tcW w:w="898"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rFonts w:eastAsia="Wingdings 2"/>
                <w:color w:val="000000"/>
                <w:sz w:val="24"/>
              </w:rPr>
            </w:pPr>
            <w:r>
              <w:rPr>
                <w:rFonts w:eastAsia="Wingdings 2"/>
                <w:color w:val="000000"/>
                <w:kern w:val="0"/>
                <w:sz w:val="24"/>
              </w:rPr>
              <w:t>£</w:t>
            </w:r>
            <w:r>
              <w:rPr>
                <w:color w:val="000000"/>
                <w:kern w:val="0"/>
                <w:sz w:val="24"/>
              </w:rPr>
              <w:t>据实据效</w:t>
            </w:r>
          </w:p>
        </w:tc>
        <w:tc>
          <w:tcPr>
            <w:tcW w:w="1432"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rFonts w:eastAsia="Wingdings 2"/>
                <w:color w:val="000000"/>
                <w:sz w:val="24"/>
              </w:rPr>
            </w:pPr>
            <w:r>
              <w:rPr>
                <w:rFonts w:eastAsia="Wingdings 2"/>
                <w:color w:val="000000"/>
                <w:kern w:val="0"/>
                <w:sz w:val="24"/>
              </w:rPr>
              <w:t>£</w:t>
            </w:r>
            <w:r>
              <w:rPr>
                <w:color w:val="000000"/>
                <w:kern w:val="0"/>
                <w:sz w:val="24"/>
              </w:rPr>
              <w:t>因素法与项目法相结合</w:t>
            </w:r>
          </w:p>
        </w:tc>
      </w:tr>
      <w:tr>
        <w:tblPrEx>
          <w:tblCellMar>
            <w:top w:w="15" w:type="dxa"/>
            <w:left w:w="15" w:type="dxa"/>
            <w:bottom w:w="15" w:type="dxa"/>
            <w:right w:w="15" w:type="dxa"/>
          </w:tblCellMar>
        </w:tblPrEx>
        <w:trPr>
          <w:trHeight w:val="403" w:hRule="atLeast"/>
          <w:jc w:val="center"/>
        </w:trPr>
        <w:tc>
          <w:tcPr>
            <w:tcW w:w="933" w:type="dxa"/>
            <w:vMerge w:val="continue"/>
            <w:tcBorders>
              <w:top w:val="single" w:color="000000" w:sz="4" w:space="0"/>
              <w:left w:val="single" w:color="000000" w:sz="4" w:space="0"/>
              <w:bottom w:val="single" w:color="000000" w:sz="4" w:space="0"/>
              <w:right w:val="single" w:color="000000" w:sz="4" w:space="0"/>
            </w:tcBorders>
            <w:vAlign w:val="center"/>
          </w:tcPr>
          <w:p>
            <w:pPr>
              <w:spacing w:line="300" w:lineRule="exact"/>
              <w:rPr>
                <w:color w:val="000000"/>
                <w:sz w:val="24"/>
              </w:rPr>
            </w:pPr>
          </w:p>
        </w:tc>
        <w:tc>
          <w:tcPr>
            <w:tcW w:w="3180"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left"/>
              <w:textAlignment w:val="center"/>
              <w:rPr>
                <w:color w:val="000000"/>
                <w:sz w:val="24"/>
              </w:rPr>
            </w:pPr>
            <w:r>
              <w:rPr>
                <w:color w:val="000000"/>
                <w:kern w:val="0"/>
                <w:sz w:val="24"/>
              </w:rPr>
              <w:t>立项依据</w:t>
            </w:r>
          </w:p>
        </w:tc>
        <w:tc>
          <w:tcPr>
            <w:tcW w:w="5355" w:type="dxa"/>
            <w:gridSpan w:val="5"/>
            <w:tcBorders>
              <w:top w:val="single" w:color="000000" w:sz="4" w:space="0"/>
              <w:left w:val="single" w:color="000000" w:sz="4" w:space="0"/>
              <w:bottom w:val="single" w:color="000000" w:sz="4" w:space="0"/>
              <w:right w:val="single" w:color="000000" w:sz="4" w:space="0"/>
            </w:tcBorders>
            <w:vAlign w:val="center"/>
          </w:tcPr>
          <w:p>
            <w:pPr>
              <w:spacing w:line="300" w:lineRule="exact"/>
              <w:jc w:val="left"/>
              <w:rPr>
                <w:color w:val="000000"/>
                <w:sz w:val="24"/>
              </w:rPr>
            </w:pPr>
          </w:p>
        </w:tc>
      </w:tr>
      <w:tr>
        <w:tblPrEx>
          <w:tblCellMar>
            <w:top w:w="15" w:type="dxa"/>
            <w:left w:w="15" w:type="dxa"/>
            <w:bottom w:w="15" w:type="dxa"/>
            <w:right w:w="15" w:type="dxa"/>
          </w:tblCellMar>
        </w:tblPrEx>
        <w:trPr>
          <w:trHeight w:val="403" w:hRule="atLeast"/>
          <w:jc w:val="center"/>
        </w:trPr>
        <w:tc>
          <w:tcPr>
            <w:tcW w:w="933" w:type="dxa"/>
            <w:vMerge w:val="continue"/>
            <w:tcBorders>
              <w:top w:val="single" w:color="000000" w:sz="4" w:space="0"/>
              <w:left w:val="single" w:color="000000" w:sz="4" w:space="0"/>
              <w:bottom w:val="single" w:color="000000" w:sz="4" w:space="0"/>
              <w:right w:val="single" w:color="000000" w:sz="4" w:space="0"/>
            </w:tcBorders>
            <w:vAlign w:val="center"/>
          </w:tcPr>
          <w:p>
            <w:pPr>
              <w:spacing w:line="300" w:lineRule="exact"/>
              <w:rPr>
                <w:color w:val="000000"/>
                <w:sz w:val="24"/>
              </w:rPr>
            </w:pPr>
          </w:p>
        </w:tc>
        <w:tc>
          <w:tcPr>
            <w:tcW w:w="3180"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left"/>
              <w:textAlignment w:val="center"/>
              <w:rPr>
                <w:color w:val="000000"/>
                <w:sz w:val="24"/>
              </w:rPr>
            </w:pPr>
            <w:r>
              <w:rPr>
                <w:color w:val="000000"/>
                <w:kern w:val="0"/>
                <w:sz w:val="24"/>
              </w:rPr>
              <w:t>使用范围</w:t>
            </w:r>
          </w:p>
        </w:tc>
        <w:tc>
          <w:tcPr>
            <w:tcW w:w="5355" w:type="dxa"/>
            <w:gridSpan w:val="5"/>
            <w:tcBorders>
              <w:top w:val="single" w:color="000000" w:sz="4" w:space="0"/>
              <w:left w:val="single" w:color="000000" w:sz="4" w:space="0"/>
              <w:bottom w:val="single" w:color="000000" w:sz="4" w:space="0"/>
              <w:right w:val="single" w:color="000000" w:sz="4" w:space="0"/>
            </w:tcBorders>
            <w:vAlign w:val="center"/>
          </w:tcPr>
          <w:p>
            <w:pPr>
              <w:spacing w:line="300" w:lineRule="exact"/>
              <w:jc w:val="left"/>
              <w:rPr>
                <w:color w:val="000000"/>
                <w:sz w:val="24"/>
              </w:rPr>
            </w:pPr>
          </w:p>
        </w:tc>
      </w:tr>
      <w:tr>
        <w:tblPrEx>
          <w:tblCellMar>
            <w:top w:w="15" w:type="dxa"/>
            <w:left w:w="15" w:type="dxa"/>
            <w:bottom w:w="15" w:type="dxa"/>
            <w:right w:w="15" w:type="dxa"/>
          </w:tblCellMar>
        </w:tblPrEx>
        <w:trPr>
          <w:trHeight w:val="403" w:hRule="atLeast"/>
          <w:jc w:val="center"/>
        </w:trPr>
        <w:tc>
          <w:tcPr>
            <w:tcW w:w="933" w:type="dxa"/>
            <w:vMerge w:val="continue"/>
            <w:tcBorders>
              <w:top w:val="single" w:color="000000" w:sz="4" w:space="0"/>
              <w:left w:val="single" w:color="000000" w:sz="4" w:space="0"/>
              <w:bottom w:val="single" w:color="000000" w:sz="4" w:space="0"/>
              <w:right w:val="single" w:color="000000" w:sz="4" w:space="0"/>
            </w:tcBorders>
            <w:vAlign w:val="center"/>
          </w:tcPr>
          <w:p>
            <w:pPr>
              <w:spacing w:line="300" w:lineRule="exact"/>
              <w:rPr>
                <w:color w:val="000000"/>
                <w:sz w:val="24"/>
              </w:rPr>
            </w:pPr>
          </w:p>
        </w:tc>
        <w:tc>
          <w:tcPr>
            <w:tcW w:w="3180"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left"/>
              <w:textAlignment w:val="center"/>
              <w:rPr>
                <w:color w:val="000000"/>
                <w:sz w:val="24"/>
              </w:rPr>
            </w:pPr>
            <w:r>
              <w:rPr>
                <w:color w:val="000000"/>
                <w:kern w:val="0"/>
                <w:sz w:val="24"/>
              </w:rPr>
              <w:t>申报（补助）条件</w:t>
            </w:r>
          </w:p>
        </w:tc>
        <w:tc>
          <w:tcPr>
            <w:tcW w:w="5355" w:type="dxa"/>
            <w:gridSpan w:val="5"/>
            <w:tcBorders>
              <w:top w:val="single" w:color="000000" w:sz="4" w:space="0"/>
              <w:left w:val="single" w:color="000000" w:sz="4" w:space="0"/>
              <w:bottom w:val="single" w:color="000000" w:sz="4" w:space="0"/>
              <w:right w:val="single" w:color="000000" w:sz="4" w:space="0"/>
            </w:tcBorders>
            <w:vAlign w:val="center"/>
          </w:tcPr>
          <w:p>
            <w:pPr>
              <w:spacing w:line="300" w:lineRule="exact"/>
              <w:jc w:val="left"/>
              <w:rPr>
                <w:color w:val="000000"/>
                <w:sz w:val="24"/>
              </w:rPr>
            </w:pPr>
          </w:p>
        </w:tc>
      </w:tr>
      <w:tr>
        <w:tblPrEx>
          <w:tblCellMar>
            <w:top w:w="15" w:type="dxa"/>
            <w:left w:w="15" w:type="dxa"/>
            <w:bottom w:w="15" w:type="dxa"/>
            <w:right w:w="15" w:type="dxa"/>
          </w:tblCellMar>
        </w:tblPrEx>
        <w:trPr>
          <w:trHeight w:val="403" w:hRule="atLeast"/>
          <w:jc w:val="center"/>
        </w:trPr>
        <w:tc>
          <w:tcPr>
            <w:tcW w:w="933" w:type="dxa"/>
            <w:vMerge w:val="continue"/>
            <w:tcBorders>
              <w:top w:val="single" w:color="000000" w:sz="4" w:space="0"/>
              <w:left w:val="single" w:color="000000" w:sz="4" w:space="0"/>
              <w:bottom w:val="single" w:color="000000" w:sz="4" w:space="0"/>
              <w:right w:val="single" w:color="000000" w:sz="4" w:space="0"/>
            </w:tcBorders>
            <w:vAlign w:val="center"/>
          </w:tcPr>
          <w:p>
            <w:pPr>
              <w:spacing w:line="300" w:lineRule="exact"/>
              <w:rPr>
                <w:color w:val="000000"/>
                <w:sz w:val="24"/>
              </w:rPr>
            </w:pPr>
          </w:p>
        </w:tc>
        <w:tc>
          <w:tcPr>
            <w:tcW w:w="3180"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left"/>
              <w:textAlignment w:val="center"/>
              <w:rPr>
                <w:color w:val="000000"/>
                <w:sz w:val="24"/>
              </w:rPr>
            </w:pPr>
            <w:r>
              <w:rPr>
                <w:color w:val="000000"/>
                <w:kern w:val="0"/>
                <w:sz w:val="24"/>
              </w:rPr>
              <w:t>项目起止年限</w:t>
            </w:r>
          </w:p>
        </w:tc>
        <w:tc>
          <w:tcPr>
            <w:tcW w:w="5355" w:type="dxa"/>
            <w:gridSpan w:val="5"/>
            <w:tcBorders>
              <w:top w:val="single" w:color="000000" w:sz="4" w:space="0"/>
              <w:left w:val="single" w:color="000000" w:sz="4" w:space="0"/>
              <w:bottom w:val="single" w:color="000000" w:sz="4" w:space="0"/>
              <w:right w:val="single" w:color="000000" w:sz="4" w:space="0"/>
            </w:tcBorders>
            <w:vAlign w:val="center"/>
          </w:tcPr>
          <w:p>
            <w:pPr>
              <w:spacing w:line="300" w:lineRule="exact"/>
              <w:rPr>
                <w:color w:val="000000"/>
                <w:sz w:val="24"/>
              </w:rPr>
            </w:pPr>
            <w:r>
              <w:rPr>
                <w:rFonts w:hint="eastAsia"/>
                <w:color w:val="000000"/>
                <w:sz w:val="24"/>
              </w:rPr>
              <w:t>2024.01-2024.12</w:t>
            </w:r>
          </w:p>
        </w:tc>
      </w:tr>
      <w:tr>
        <w:tblPrEx>
          <w:tblCellMar>
            <w:top w:w="15" w:type="dxa"/>
            <w:left w:w="15" w:type="dxa"/>
            <w:bottom w:w="15" w:type="dxa"/>
            <w:right w:w="15" w:type="dxa"/>
          </w:tblCellMar>
        </w:tblPrEx>
        <w:trPr>
          <w:trHeight w:val="403" w:hRule="atLeast"/>
          <w:jc w:val="center"/>
        </w:trPr>
        <w:tc>
          <w:tcPr>
            <w:tcW w:w="1659" w:type="dxa"/>
            <w:gridSpan w:val="2"/>
            <w:vMerge w:val="restart"/>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color w:val="000000"/>
                <w:kern w:val="0"/>
                <w:sz w:val="24"/>
              </w:rPr>
            </w:pPr>
            <w:r>
              <w:rPr>
                <w:color w:val="000000"/>
                <w:kern w:val="0"/>
                <w:sz w:val="24"/>
              </w:rPr>
              <w:t>项目资金</w:t>
            </w:r>
          </w:p>
          <w:p>
            <w:pPr>
              <w:widowControl/>
              <w:spacing w:line="300" w:lineRule="exact"/>
              <w:jc w:val="center"/>
              <w:textAlignment w:val="center"/>
              <w:rPr>
                <w:color w:val="000000"/>
                <w:sz w:val="24"/>
              </w:rPr>
            </w:pPr>
            <w:r>
              <w:rPr>
                <w:color w:val="000000"/>
                <w:kern w:val="0"/>
                <w:sz w:val="24"/>
              </w:rPr>
              <w:t>（万元）</w:t>
            </w:r>
          </w:p>
        </w:tc>
        <w:tc>
          <w:tcPr>
            <w:tcW w:w="2454"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left"/>
              <w:textAlignment w:val="center"/>
              <w:rPr>
                <w:color w:val="000000"/>
                <w:sz w:val="24"/>
              </w:rPr>
            </w:pPr>
            <w:r>
              <w:rPr>
                <w:color w:val="000000"/>
                <w:kern w:val="0"/>
                <w:sz w:val="24"/>
              </w:rPr>
              <w:t xml:space="preserve">  年度资金总额：</w:t>
            </w:r>
          </w:p>
        </w:tc>
        <w:tc>
          <w:tcPr>
            <w:tcW w:w="5355" w:type="dxa"/>
            <w:gridSpan w:val="5"/>
            <w:tcBorders>
              <w:top w:val="single" w:color="000000" w:sz="4" w:space="0"/>
              <w:left w:val="single" w:color="000000" w:sz="4" w:space="0"/>
              <w:bottom w:val="single" w:color="000000" w:sz="4" w:space="0"/>
              <w:right w:val="single" w:color="000000" w:sz="4" w:space="0"/>
            </w:tcBorders>
            <w:vAlign w:val="center"/>
          </w:tcPr>
          <w:p>
            <w:pPr>
              <w:tabs>
                <w:tab w:val="left" w:pos="2135"/>
              </w:tabs>
              <w:spacing w:line="300" w:lineRule="exact"/>
              <w:jc w:val="left"/>
              <w:rPr>
                <w:color w:val="000000"/>
                <w:sz w:val="24"/>
              </w:rPr>
            </w:pPr>
            <w:r>
              <w:rPr>
                <w:rFonts w:hint="eastAsia"/>
                <w:color w:val="000000"/>
                <w:sz w:val="24"/>
              </w:rPr>
              <w:tab/>
            </w:r>
            <w:r>
              <w:rPr>
                <w:rFonts w:hint="eastAsia"/>
                <w:color w:val="000000"/>
                <w:sz w:val="24"/>
              </w:rPr>
              <w:t>10.00</w:t>
            </w:r>
          </w:p>
        </w:tc>
      </w:tr>
      <w:tr>
        <w:tblPrEx>
          <w:tblCellMar>
            <w:top w:w="15" w:type="dxa"/>
            <w:left w:w="15" w:type="dxa"/>
            <w:bottom w:w="15" w:type="dxa"/>
            <w:right w:w="15" w:type="dxa"/>
          </w:tblCellMar>
        </w:tblPrEx>
        <w:trPr>
          <w:trHeight w:val="403" w:hRule="atLeast"/>
          <w:jc w:val="center"/>
        </w:trPr>
        <w:tc>
          <w:tcPr>
            <w:tcW w:w="1659" w:type="dxa"/>
            <w:gridSpan w:val="2"/>
            <w:vMerge w:val="continue"/>
            <w:tcBorders>
              <w:top w:val="single" w:color="000000" w:sz="4" w:space="0"/>
              <w:left w:val="single" w:color="000000" w:sz="4" w:space="0"/>
              <w:bottom w:val="single" w:color="000000" w:sz="4" w:space="0"/>
              <w:right w:val="single" w:color="000000" w:sz="4" w:space="0"/>
            </w:tcBorders>
            <w:vAlign w:val="center"/>
          </w:tcPr>
          <w:p>
            <w:pPr>
              <w:spacing w:line="300" w:lineRule="exact"/>
              <w:rPr>
                <w:color w:val="000000"/>
                <w:sz w:val="24"/>
              </w:rPr>
            </w:pPr>
          </w:p>
        </w:tc>
        <w:tc>
          <w:tcPr>
            <w:tcW w:w="2454"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left"/>
              <w:textAlignment w:val="center"/>
              <w:rPr>
                <w:color w:val="000000"/>
                <w:sz w:val="24"/>
              </w:rPr>
            </w:pPr>
            <w:r>
              <w:rPr>
                <w:color w:val="000000"/>
                <w:kern w:val="0"/>
                <w:sz w:val="24"/>
              </w:rPr>
              <w:t xml:space="preserve">      其中：财政拨款</w:t>
            </w:r>
          </w:p>
        </w:tc>
        <w:tc>
          <w:tcPr>
            <w:tcW w:w="5355" w:type="dxa"/>
            <w:gridSpan w:val="5"/>
            <w:tcBorders>
              <w:top w:val="single" w:color="000000" w:sz="4" w:space="0"/>
              <w:left w:val="single" w:color="000000" w:sz="4" w:space="0"/>
              <w:bottom w:val="single" w:color="000000" w:sz="4" w:space="0"/>
              <w:right w:val="single" w:color="000000" w:sz="4" w:space="0"/>
            </w:tcBorders>
            <w:vAlign w:val="center"/>
          </w:tcPr>
          <w:p>
            <w:pPr>
              <w:tabs>
                <w:tab w:val="left" w:pos="2300"/>
              </w:tabs>
              <w:spacing w:line="300" w:lineRule="exact"/>
              <w:ind w:firstLine="2160" w:firstLineChars="900"/>
              <w:jc w:val="left"/>
              <w:rPr>
                <w:color w:val="000000"/>
                <w:sz w:val="24"/>
              </w:rPr>
            </w:pPr>
            <w:r>
              <w:rPr>
                <w:rFonts w:hint="eastAsia"/>
                <w:color w:val="000000"/>
                <w:sz w:val="24"/>
              </w:rPr>
              <w:t>10.00</w:t>
            </w:r>
          </w:p>
        </w:tc>
      </w:tr>
      <w:tr>
        <w:tblPrEx>
          <w:tblCellMar>
            <w:top w:w="15" w:type="dxa"/>
            <w:left w:w="15" w:type="dxa"/>
            <w:bottom w:w="15" w:type="dxa"/>
            <w:right w:w="15" w:type="dxa"/>
          </w:tblCellMar>
        </w:tblPrEx>
        <w:trPr>
          <w:trHeight w:val="403" w:hRule="atLeast"/>
          <w:jc w:val="center"/>
        </w:trPr>
        <w:tc>
          <w:tcPr>
            <w:tcW w:w="1659" w:type="dxa"/>
            <w:gridSpan w:val="2"/>
            <w:vMerge w:val="continue"/>
            <w:tcBorders>
              <w:top w:val="single" w:color="000000" w:sz="4" w:space="0"/>
              <w:left w:val="single" w:color="000000" w:sz="4" w:space="0"/>
              <w:bottom w:val="single" w:color="000000" w:sz="4" w:space="0"/>
              <w:right w:val="single" w:color="000000" w:sz="4" w:space="0"/>
            </w:tcBorders>
            <w:vAlign w:val="center"/>
          </w:tcPr>
          <w:p>
            <w:pPr>
              <w:spacing w:line="300" w:lineRule="exact"/>
              <w:rPr>
                <w:color w:val="000000"/>
                <w:sz w:val="24"/>
              </w:rPr>
            </w:pPr>
          </w:p>
        </w:tc>
        <w:tc>
          <w:tcPr>
            <w:tcW w:w="2454"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left"/>
              <w:textAlignment w:val="center"/>
              <w:rPr>
                <w:color w:val="000000"/>
                <w:sz w:val="24"/>
              </w:rPr>
            </w:pPr>
            <w:r>
              <w:rPr>
                <w:color w:val="000000"/>
                <w:kern w:val="0"/>
                <w:sz w:val="24"/>
              </w:rPr>
              <w:t xml:space="preserve">            其他资金</w:t>
            </w:r>
          </w:p>
        </w:tc>
        <w:tc>
          <w:tcPr>
            <w:tcW w:w="5355" w:type="dxa"/>
            <w:gridSpan w:val="5"/>
            <w:tcBorders>
              <w:top w:val="single" w:color="000000" w:sz="4" w:space="0"/>
              <w:left w:val="single" w:color="000000" w:sz="4" w:space="0"/>
              <w:bottom w:val="single" w:color="000000" w:sz="4" w:space="0"/>
              <w:right w:val="single" w:color="000000" w:sz="4" w:space="0"/>
            </w:tcBorders>
            <w:vAlign w:val="center"/>
          </w:tcPr>
          <w:p>
            <w:pPr>
              <w:spacing w:line="300" w:lineRule="exact"/>
              <w:jc w:val="right"/>
              <w:rPr>
                <w:color w:val="000000"/>
                <w:sz w:val="24"/>
              </w:rPr>
            </w:pPr>
          </w:p>
        </w:tc>
      </w:tr>
      <w:tr>
        <w:tblPrEx>
          <w:tblCellMar>
            <w:top w:w="15" w:type="dxa"/>
            <w:left w:w="15" w:type="dxa"/>
            <w:bottom w:w="15" w:type="dxa"/>
            <w:right w:w="15" w:type="dxa"/>
          </w:tblCellMar>
        </w:tblPrEx>
        <w:trPr>
          <w:trHeight w:val="403" w:hRule="atLeast"/>
          <w:jc w:val="center"/>
        </w:trPr>
        <w:tc>
          <w:tcPr>
            <w:tcW w:w="933"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color w:val="000000"/>
                <w:sz w:val="24"/>
              </w:rPr>
            </w:pPr>
            <w:r>
              <w:rPr>
                <w:color w:val="000000"/>
                <w:kern w:val="0"/>
                <w:sz w:val="24"/>
              </w:rPr>
              <w:t>总体 目标</w:t>
            </w:r>
          </w:p>
        </w:tc>
        <w:tc>
          <w:tcPr>
            <w:tcW w:w="8535" w:type="dxa"/>
            <w:gridSpan w:val="8"/>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color w:val="000000"/>
                <w:sz w:val="24"/>
              </w:rPr>
            </w:pPr>
            <w:r>
              <w:rPr>
                <w:color w:val="000000"/>
                <w:kern w:val="0"/>
                <w:sz w:val="24"/>
              </w:rPr>
              <w:t>年度目标</w:t>
            </w:r>
          </w:p>
        </w:tc>
      </w:tr>
      <w:tr>
        <w:tblPrEx>
          <w:tblCellMar>
            <w:top w:w="15" w:type="dxa"/>
            <w:left w:w="15" w:type="dxa"/>
            <w:bottom w:w="15" w:type="dxa"/>
            <w:right w:w="15" w:type="dxa"/>
          </w:tblCellMar>
        </w:tblPrEx>
        <w:trPr>
          <w:trHeight w:val="403" w:hRule="atLeast"/>
          <w:jc w:val="center"/>
        </w:trPr>
        <w:tc>
          <w:tcPr>
            <w:tcW w:w="933" w:type="dxa"/>
            <w:vMerge w:val="continue"/>
            <w:tcBorders>
              <w:top w:val="single" w:color="000000" w:sz="4" w:space="0"/>
              <w:left w:val="single" w:color="000000" w:sz="4" w:space="0"/>
              <w:bottom w:val="single" w:color="000000" w:sz="4" w:space="0"/>
              <w:right w:val="single" w:color="000000" w:sz="4" w:space="0"/>
            </w:tcBorders>
            <w:vAlign w:val="center"/>
          </w:tcPr>
          <w:p>
            <w:pPr>
              <w:spacing w:line="300" w:lineRule="exact"/>
              <w:rPr>
                <w:color w:val="000000"/>
                <w:sz w:val="24"/>
              </w:rPr>
            </w:pPr>
          </w:p>
        </w:tc>
        <w:tc>
          <w:tcPr>
            <w:tcW w:w="8535" w:type="dxa"/>
            <w:gridSpan w:val="8"/>
            <w:tcBorders>
              <w:top w:val="single" w:color="000000" w:sz="4" w:space="0"/>
              <w:left w:val="single" w:color="000000" w:sz="4" w:space="0"/>
              <w:bottom w:val="single" w:color="000000" w:sz="4" w:space="0"/>
              <w:right w:val="single" w:color="000000" w:sz="4" w:space="0"/>
            </w:tcBorders>
            <w:vAlign w:val="center"/>
          </w:tcPr>
          <w:p>
            <w:pPr>
              <w:spacing w:line="300" w:lineRule="exact"/>
              <w:rPr>
                <w:color w:val="000000"/>
                <w:sz w:val="24"/>
              </w:rPr>
            </w:pPr>
          </w:p>
        </w:tc>
      </w:tr>
      <w:tr>
        <w:tblPrEx>
          <w:tblCellMar>
            <w:top w:w="15" w:type="dxa"/>
            <w:left w:w="15" w:type="dxa"/>
            <w:bottom w:w="15" w:type="dxa"/>
            <w:right w:w="15" w:type="dxa"/>
          </w:tblCellMar>
        </w:tblPrEx>
        <w:trPr>
          <w:trHeight w:val="403" w:hRule="atLeast"/>
          <w:jc w:val="center"/>
        </w:trPr>
        <w:tc>
          <w:tcPr>
            <w:tcW w:w="933" w:type="dxa"/>
            <w:vMerge w:val="restart"/>
            <w:tcBorders>
              <w:top w:val="single" w:color="000000" w:sz="4" w:space="0"/>
              <w:left w:val="single" w:color="000000" w:sz="4" w:space="0"/>
              <w:bottom w:val="single" w:color="000000" w:sz="4" w:space="0"/>
            </w:tcBorders>
            <w:vAlign w:val="center"/>
          </w:tcPr>
          <w:p>
            <w:pPr>
              <w:widowControl/>
              <w:spacing w:line="300" w:lineRule="exact"/>
              <w:jc w:val="center"/>
              <w:textAlignment w:val="center"/>
              <w:rPr>
                <w:color w:val="000000"/>
                <w:sz w:val="24"/>
              </w:rPr>
            </w:pPr>
            <w:r>
              <w:rPr>
                <w:color w:val="000000"/>
                <w:kern w:val="0"/>
                <w:sz w:val="24"/>
              </w:rPr>
              <w:t>绩效 指标</w:t>
            </w:r>
          </w:p>
        </w:tc>
        <w:tc>
          <w:tcPr>
            <w:tcW w:w="726"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color w:val="000000"/>
                <w:sz w:val="24"/>
              </w:rPr>
            </w:pPr>
            <w:r>
              <w:rPr>
                <w:color w:val="000000"/>
                <w:kern w:val="0"/>
                <w:sz w:val="24"/>
              </w:rPr>
              <w:t>一级指标</w:t>
            </w:r>
          </w:p>
        </w:tc>
        <w:tc>
          <w:tcPr>
            <w:tcW w:w="1197"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color w:val="000000"/>
                <w:sz w:val="24"/>
              </w:rPr>
            </w:pPr>
            <w:r>
              <w:rPr>
                <w:color w:val="000000"/>
                <w:kern w:val="0"/>
                <w:sz w:val="24"/>
              </w:rPr>
              <w:t>二级指标</w:t>
            </w:r>
          </w:p>
        </w:tc>
        <w:tc>
          <w:tcPr>
            <w:tcW w:w="1257"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color w:val="000000"/>
                <w:sz w:val="24"/>
              </w:rPr>
            </w:pPr>
            <w:r>
              <w:rPr>
                <w:color w:val="000000"/>
                <w:kern w:val="0"/>
                <w:sz w:val="24"/>
              </w:rPr>
              <w:t>三级指标</w:t>
            </w:r>
          </w:p>
        </w:tc>
        <w:tc>
          <w:tcPr>
            <w:tcW w:w="1079"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color w:val="000000"/>
                <w:sz w:val="24"/>
              </w:rPr>
            </w:pPr>
            <w:r>
              <w:rPr>
                <w:color w:val="000000"/>
                <w:kern w:val="0"/>
                <w:sz w:val="24"/>
              </w:rPr>
              <w:t>指标性质</w:t>
            </w:r>
          </w:p>
        </w:tc>
        <w:tc>
          <w:tcPr>
            <w:tcW w:w="929"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color w:val="000000"/>
                <w:sz w:val="24"/>
              </w:rPr>
            </w:pPr>
            <w:r>
              <w:rPr>
                <w:color w:val="000000"/>
                <w:kern w:val="0"/>
                <w:sz w:val="24"/>
              </w:rPr>
              <w:t>指标值</w:t>
            </w:r>
          </w:p>
        </w:tc>
        <w:tc>
          <w:tcPr>
            <w:tcW w:w="1017"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color w:val="000000"/>
                <w:sz w:val="24"/>
              </w:rPr>
            </w:pPr>
            <w:r>
              <w:rPr>
                <w:color w:val="000000"/>
                <w:kern w:val="0"/>
                <w:sz w:val="24"/>
              </w:rPr>
              <w:t>度量单位</w:t>
            </w:r>
          </w:p>
        </w:tc>
        <w:tc>
          <w:tcPr>
            <w:tcW w:w="898"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color w:val="000000"/>
                <w:sz w:val="24"/>
              </w:rPr>
            </w:pPr>
            <w:r>
              <w:rPr>
                <w:color w:val="000000"/>
                <w:kern w:val="0"/>
                <w:sz w:val="24"/>
              </w:rPr>
              <w:t>权重</w:t>
            </w:r>
          </w:p>
        </w:tc>
        <w:tc>
          <w:tcPr>
            <w:tcW w:w="1432"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color w:val="000000"/>
                <w:sz w:val="24"/>
              </w:rPr>
            </w:pPr>
            <w:r>
              <w:rPr>
                <w:color w:val="000000"/>
                <w:kern w:val="0"/>
                <w:sz w:val="24"/>
              </w:rPr>
              <w:t>实际完成指标值</w:t>
            </w:r>
          </w:p>
        </w:tc>
      </w:tr>
      <w:tr>
        <w:tblPrEx>
          <w:tblCellMar>
            <w:top w:w="15" w:type="dxa"/>
            <w:left w:w="15" w:type="dxa"/>
            <w:bottom w:w="15" w:type="dxa"/>
            <w:right w:w="15" w:type="dxa"/>
          </w:tblCellMar>
        </w:tblPrEx>
        <w:trPr>
          <w:trHeight w:val="417" w:hRule="atLeast"/>
          <w:jc w:val="center"/>
        </w:trPr>
        <w:tc>
          <w:tcPr>
            <w:tcW w:w="933" w:type="dxa"/>
            <w:vMerge w:val="continue"/>
            <w:tcBorders>
              <w:top w:val="single" w:color="000000" w:sz="4" w:space="0"/>
              <w:left w:val="single" w:color="000000" w:sz="4" w:space="0"/>
              <w:bottom w:val="single" w:color="000000" w:sz="4" w:space="0"/>
            </w:tcBorders>
            <w:vAlign w:val="center"/>
          </w:tcPr>
          <w:p>
            <w:pPr>
              <w:spacing w:line="300" w:lineRule="exact"/>
              <w:jc w:val="center"/>
              <w:rPr>
                <w:color w:val="000000"/>
                <w:sz w:val="24"/>
              </w:rPr>
            </w:pPr>
          </w:p>
        </w:tc>
        <w:tc>
          <w:tcPr>
            <w:tcW w:w="726"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color w:val="000000"/>
                <w:sz w:val="24"/>
              </w:rPr>
            </w:pPr>
            <w:r>
              <w:rPr>
                <w:color w:val="000000"/>
                <w:kern w:val="0"/>
                <w:sz w:val="24"/>
              </w:rPr>
              <w:t>产出指标</w:t>
            </w:r>
          </w:p>
        </w:tc>
        <w:tc>
          <w:tcPr>
            <w:tcW w:w="1197"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color w:val="000000"/>
                <w:sz w:val="24"/>
              </w:rPr>
            </w:pPr>
            <w:r>
              <w:rPr>
                <w:color w:val="000000"/>
                <w:kern w:val="0"/>
                <w:sz w:val="24"/>
              </w:rPr>
              <w:t>数量指标</w:t>
            </w:r>
          </w:p>
        </w:tc>
        <w:tc>
          <w:tcPr>
            <w:tcW w:w="125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color w:val="000000"/>
                <w:sz w:val="24"/>
              </w:rPr>
            </w:pPr>
            <w:r>
              <w:rPr>
                <w:rFonts w:ascii="宋体" w:hAnsi="宋体" w:cs="宋体"/>
                <w:color w:val="000000"/>
                <w:kern w:val="0"/>
                <w:sz w:val="18"/>
                <w:szCs w:val="18"/>
              </w:rPr>
              <w:t>涉及村个数</w:t>
            </w:r>
          </w:p>
        </w:tc>
        <w:tc>
          <w:tcPr>
            <w:tcW w:w="10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color w:val="000000"/>
                <w:sz w:val="24"/>
              </w:rPr>
            </w:pPr>
            <w:r>
              <w:rPr>
                <w:rFonts w:ascii="宋体" w:hAnsi="宋体" w:cs="宋体"/>
                <w:color w:val="000000"/>
                <w:kern w:val="0"/>
                <w:sz w:val="18"/>
                <w:szCs w:val="18"/>
              </w:rPr>
              <w:t>＝</w:t>
            </w:r>
          </w:p>
        </w:tc>
        <w:tc>
          <w:tcPr>
            <w:tcW w:w="92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color w:val="000000"/>
                <w:sz w:val="24"/>
              </w:rPr>
            </w:pPr>
            <w:r>
              <w:rPr>
                <w:rFonts w:ascii="宋体" w:hAnsi="宋体" w:cs="宋体"/>
                <w:color w:val="000000"/>
                <w:kern w:val="0"/>
                <w:sz w:val="18"/>
                <w:szCs w:val="18"/>
              </w:rPr>
              <w:t>8</w:t>
            </w:r>
          </w:p>
        </w:tc>
        <w:tc>
          <w:tcPr>
            <w:tcW w:w="101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color w:val="000000"/>
                <w:sz w:val="24"/>
              </w:rPr>
            </w:pPr>
            <w:r>
              <w:rPr>
                <w:rFonts w:hint="eastAsia" w:ascii="宋体" w:hAnsi="宋体" w:cs="宋体"/>
                <w:color w:val="000000"/>
                <w:kern w:val="0"/>
                <w:sz w:val="18"/>
                <w:szCs w:val="18"/>
              </w:rPr>
              <w:t>个</w:t>
            </w:r>
          </w:p>
        </w:tc>
        <w:tc>
          <w:tcPr>
            <w:tcW w:w="89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color w:val="000000"/>
                <w:sz w:val="24"/>
              </w:rPr>
            </w:pPr>
            <w:r>
              <w:rPr>
                <w:rFonts w:hint="eastAsia"/>
                <w:color w:val="000000"/>
                <w:sz w:val="24"/>
              </w:rPr>
              <w:t>20</w:t>
            </w:r>
          </w:p>
        </w:tc>
        <w:tc>
          <w:tcPr>
            <w:tcW w:w="1432"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24"/>
              </w:rPr>
            </w:pPr>
            <w:r>
              <w:rPr>
                <w:rFonts w:hint="eastAsia"/>
                <w:color w:val="000000"/>
                <w:sz w:val="24"/>
              </w:rPr>
              <w:t>8</w:t>
            </w:r>
          </w:p>
        </w:tc>
      </w:tr>
      <w:tr>
        <w:tblPrEx>
          <w:tblCellMar>
            <w:top w:w="15" w:type="dxa"/>
            <w:left w:w="15" w:type="dxa"/>
            <w:bottom w:w="15" w:type="dxa"/>
            <w:right w:w="15" w:type="dxa"/>
          </w:tblCellMar>
        </w:tblPrEx>
        <w:trPr>
          <w:trHeight w:val="417" w:hRule="atLeast"/>
          <w:jc w:val="center"/>
        </w:trPr>
        <w:tc>
          <w:tcPr>
            <w:tcW w:w="933" w:type="dxa"/>
            <w:vMerge w:val="continue"/>
            <w:tcBorders>
              <w:top w:val="single" w:color="000000" w:sz="4" w:space="0"/>
              <w:left w:val="single" w:color="000000" w:sz="4" w:space="0"/>
              <w:bottom w:val="single" w:color="000000" w:sz="4" w:space="0"/>
            </w:tcBorders>
            <w:vAlign w:val="center"/>
          </w:tcPr>
          <w:p>
            <w:pPr>
              <w:spacing w:line="300" w:lineRule="exact"/>
              <w:jc w:val="center"/>
              <w:rPr>
                <w:color w:val="000000"/>
                <w:sz w:val="24"/>
              </w:rPr>
            </w:pPr>
          </w:p>
        </w:tc>
        <w:tc>
          <w:tcPr>
            <w:tcW w:w="726" w:type="dxa"/>
            <w:vMerge w:val="continue"/>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24"/>
              </w:rPr>
            </w:pPr>
          </w:p>
        </w:tc>
        <w:tc>
          <w:tcPr>
            <w:tcW w:w="1197"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color w:val="000000"/>
                <w:sz w:val="24"/>
              </w:rPr>
            </w:pPr>
            <w:r>
              <w:rPr>
                <w:color w:val="000000"/>
                <w:kern w:val="0"/>
                <w:sz w:val="24"/>
              </w:rPr>
              <w:t>时效指标</w:t>
            </w:r>
          </w:p>
        </w:tc>
        <w:tc>
          <w:tcPr>
            <w:tcW w:w="125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color w:val="000000"/>
                <w:sz w:val="24"/>
              </w:rPr>
            </w:pPr>
            <w:r>
              <w:rPr>
                <w:rFonts w:ascii="宋体" w:hAnsi="宋体" w:cs="宋体"/>
                <w:color w:val="000000"/>
                <w:kern w:val="0"/>
                <w:sz w:val="18"/>
                <w:szCs w:val="18"/>
              </w:rPr>
              <w:t>完成时间</w:t>
            </w:r>
          </w:p>
        </w:tc>
        <w:tc>
          <w:tcPr>
            <w:tcW w:w="10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color w:val="000000"/>
                <w:sz w:val="24"/>
              </w:rPr>
            </w:pPr>
            <w:r>
              <w:rPr>
                <w:rFonts w:ascii="宋体" w:hAnsi="宋体" w:cs="宋体"/>
                <w:color w:val="000000"/>
                <w:kern w:val="0"/>
                <w:sz w:val="18"/>
                <w:szCs w:val="18"/>
              </w:rPr>
              <w:t>＝</w:t>
            </w:r>
          </w:p>
        </w:tc>
        <w:tc>
          <w:tcPr>
            <w:tcW w:w="92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color w:val="000000"/>
                <w:sz w:val="24"/>
              </w:rPr>
            </w:pPr>
            <w:r>
              <w:rPr>
                <w:rFonts w:ascii="宋体" w:hAnsi="宋体" w:cs="宋体"/>
                <w:color w:val="000000"/>
                <w:kern w:val="0"/>
                <w:sz w:val="18"/>
                <w:szCs w:val="18"/>
              </w:rPr>
              <w:t>1</w:t>
            </w:r>
          </w:p>
        </w:tc>
        <w:tc>
          <w:tcPr>
            <w:tcW w:w="101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color w:val="000000"/>
                <w:sz w:val="24"/>
              </w:rPr>
            </w:pPr>
            <w:r>
              <w:rPr>
                <w:rFonts w:hint="eastAsia" w:ascii="宋体" w:hAnsi="宋体" w:cs="宋体"/>
                <w:color w:val="000000"/>
                <w:kern w:val="0"/>
                <w:sz w:val="18"/>
                <w:szCs w:val="18"/>
              </w:rPr>
              <w:t>年</w:t>
            </w:r>
          </w:p>
        </w:tc>
        <w:tc>
          <w:tcPr>
            <w:tcW w:w="898"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24"/>
              </w:rPr>
            </w:pPr>
            <w:r>
              <w:rPr>
                <w:rFonts w:hint="eastAsia"/>
                <w:color w:val="000000"/>
                <w:sz w:val="24"/>
              </w:rPr>
              <w:t>20</w:t>
            </w:r>
          </w:p>
        </w:tc>
        <w:tc>
          <w:tcPr>
            <w:tcW w:w="1432"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24"/>
              </w:rPr>
            </w:pPr>
            <w:r>
              <w:rPr>
                <w:rFonts w:hint="eastAsia"/>
                <w:color w:val="000000"/>
                <w:sz w:val="24"/>
              </w:rPr>
              <w:t>1</w:t>
            </w:r>
          </w:p>
        </w:tc>
      </w:tr>
      <w:tr>
        <w:tblPrEx>
          <w:tblCellMar>
            <w:top w:w="15" w:type="dxa"/>
            <w:left w:w="15" w:type="dxa"/>
            <w:bottom w:w="15" w:type="dxa"/>
            <w:right w:w="15" w:type="dxa"/>
          </w:tblCellMar>
        </w:tblPrEx>
        <w:trPr>
          <w:trHeight w:val="787" w:hRule="atLeast"/>
          <w:jc w:val="center"/>
        </w:trPr>
        <w:tc>
          <w:tcPr>
            <w:tcW w:w="933" w:type="dxa"/>
            <w:vMerge w:val="continue"/>
            <w:tcBorders>
              <w:top w:val="single" w:color="000000" w:sz="4" w:space="0"/>
              <w:left w:val="single" w:color="000000" w:sz="4" w:space="0"/>
              <w:bottom w:val="single" w:color="000000" w:sz="4" w:space="0"/>
            </w:tcBorders>
            <w:vAlign w:val="center"/>
          </w:tcPr>
          <w:p>
            <w:pPr>
              <w:spacing w:line="300" w:lineRule="exact"/>
              <w:jc w:val="center"/>
              <w:rPr>
                <w:color w:val="000000"/>
                <w:sz w:val="24"/>
              </w:rPr>
            </w:pPr>
          </w:p>
        </w:tc>
        <w:tc>
          <w:tcPr>
            <w:tcW w:w="726"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color w:val="000000"/>
                <w:sz w:val="24"/>
              </w:rPr>
            </w:pPr>
            <w:r>
              <w:rPr>
                <w:color w:val="000000"/>
                <w:kern w:val="0"/>
                <w:sz w:val="24"/>
              </w:rPr>
              <w:t>效益指标</w:t>
            </w:r>
          </w:p>
        </w:tc>
        <w:tc>
          <w:tcPr>
            <w:tcW w:w="119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color w:val="000000"/>
                <w:sz w:val="24"/>
              </w:rPr>
            </w:pPr>
            <w:r>
              <w:rPr>
                <w:rFonts w:ascii="宋体" w:hAnsi="宋体" w:cs="宋体"/>
                <w:color w:val="000000"/>
                <w:kern w:val="0"/>
                <w:sz w:val="18"/>
                <w:szCs w:val="18"/>
              </w:rPr>
              <w:t>社会效益指标</w:t>
            </w:r>
          </w:p>
        </w:tc>
        <w:tc>
          <w:tcPr>
            <w:tcW w:w="125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color w:val="000000"/>
                <w:sz w:val="24"/>
              </w:rPr>
            </w:pPr>
            <w:r>
              <w:rPr>
                <w:rFonts w:ascii="宋体" w:hAnsi="宋体" w:cs="宋体"/>
                <w:color w:val="000000"/>
                <w:kern w:val="0"/>
                <w:sz w:val="18"/>
                <w:szCs w:val="18"/>
              </w:rPr>
              <w:t>确保人大工作有序开展</w:t>
            </w:r>
          </w:p>
        </w:tc>
        <w:tc>
          <w:tcPr>
            <w:tcW w:w="10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color w:val="000000"/>
                <w:sz w:val="24"/>
              </w:rPr>
            </w:pPr>
            <w:r>
              <w:rPr>
                <w:rFonts w:ascii="宋体" w:hAnsi="宋体" w:cs="宋体"/>
                <w:color w:val="000000"/>
                <w:kern w:val="0"/>
                <w:sz w:val="18"/>
                <w:szCs w:val="18"/>
              </w:rPr>
              <w:t>定性</w:t>
            </w:r>
          </w:p>
        </w:tc>
        <w:tc>
          <w:tcPr>
            <w:tcW w:w="92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color w:val="000000"/>
                <w:sz w:val="24"/>
              </w:rPr>
            </w:pPr>
            <w:r>
              <w:rPr>
                <w:rFonts w:ascii="宋体" w:hAnsi="宋体" w:cs="宋体"/>
                <w:color w:val="000000"/>
                <w:kern w:val="0"/>
                <w:sz w:val="18"/>
                <w:szCs w:val="18"/>
              </w:rPr>
              <w:t>进一步提高</w:t>
            </w:r>
          </w:p>
        </w:tc>
        <w:tc>
          <w:tcPr>
            <w:tcW w:w="1017" w:type="dxa"/>
            <w:tcBorders>
              <w:top w:val="single" w:color="000000" w:sz="4" w:space="0"/>
              <w:left w:val="single" w:color="000000" w:sz="4" w:space="0"/>
              <w:bottom w:val="single" w:color="000000" w:sz="4" w:space="0"/>
              <w:right w:val="single" w:color="000000" w:sz="4" w:space="0"/>
            </w:tcBorders>
            <w:vAlign w:val="center"/>
          </w:tcPr>
          <w:p>
            <w:pPr>
              <w:jc w:val="center"/>
              <w:rPr>
                <w:color w:val="000000"/>
                <w:sz w:val="24"/>
              </w:rPr>
            </w:pPr>
          </w:p>
        </w:tc>
        <w:tc>
          <w:tcPr>
            <w:tcW w:w="898"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24"/>
              </w:rPr>
            </w:pPr>
            <w:r>
              <w:rPr>
                <w:rFonts w:hint="eastAsia"/>
                <w:color w:val="000000"/>
                <w:sz w:val="24"/>
              </w:rPr>
              <w:t>10</w:t>
            </w:r>
          </w:p>
        </w:tc>
        <w:tc>
          <w:tcPr>
            <w:tcW w:w="1432"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24"/>
              </w:rPr>
            </w:pPr>
            <w:r>
              <w:rPr>
                <w:rFonts w:hint="eastAsia"/>
                <w:color w:val="000000"/>
                <w:sz w:val="24"/>
              </w:rPr>
              <w:t>高</w:t>
            </w:r>
          </w:p>
        </w:tc>
      </w:tr>
      <w:tr>
        <w:tblPrEx>
          <w:tblCellMar>
            <w:top w:w="15" w:type="dxa"/>
            <w:left w:w="15" w:type="dxa"/>
            <w:bottom w:w="15" w:type="dxa"/>
            <w:right w:w="15" w:type="dxa"/>
          </w:tblCellMar>
        </w:tblPrEx>
        <w:trPr>
          <w:trHeight w:val="787" w:hRule="atLeast"/>
          <w:jc w:val="center"/>
        </w:trPr>
        <w:tc>
          <w:tcPr>
            <w:tcW w:w="933" w:type="dxa"/>
            <w:vMerge w:val="continue"/>
            <w:tcBorders>
              <w:top w:val="single" w:color="000000" w:sz="4" w:space="0"/>
              <w:left w:val="single" w:color="000000" w:sz="4" w:space="0"/>
              <w:bottom w:val="single" w:color="000000" w:sz="4" w:space="0"/>
            </w:tcBorders>
            <w:vAlign w:val="center"/>
          </w:tcPr>
          <w:p>
            <w:pPr>
              <w:spacing w:line="300" w:lineRule="exact"/>
              <w:jc w:val="center"/>
              <w:rPr>
                <w:color w:val="000000"/>
                <w:sz w:val="24"/>
              </w:rPr>
            </w:pPr>
          </w:p>
        </w:tc>
        <w:tc>
          <w:tcPr>
            <w:tcW w:w="726" w:type="dxa"/>
            <w:vMerge w:val="continue"/>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24"/>
              </w:rPr>
            </w:pPr>
          </w:p>
        </w:tc>
        <w:tc>
          <w:tcPr>
            <w:tcW w:w="1197" w:type="dxa"/>
            <w:tcBorders>
              <w:top w:val="single" w:color="000000" w:sz="4" w:space="0"/>
              <w:left w:val="single" w:color="000000" w:sz="4" w:space="0"/>
              <w:right w:val="single" w:color="000000" w:sz="4" w:space="0"/>
            </w:tcBorders>
            <w:vAlign w:val="center"/>
          </w:tcPr>
          <w:p>
            <w:pPr>
              <w:widowControl/>
              <w:jc w:val="center"/>
              <w:textAlignment w:val="center"/>
              <w:rPr>
                <w:color w:val="000000"/>
                <w:sz w:val="24"/>
              </w:rPr>
            </w:pPr>
            <w:r>
              <w:rPr>
                <w:rFonts w:ascii="宋体" w:hAnsi="宋体" w:cs="宋体"/>
                <w:color w:val="000000"/>
                <w:kern w:val="0"/>
                <w:sz w:val="18"/>
                <w:szCs w:val="18"/>
              </w:rPr>
              <w:t>可持续发展指标</w:t>
            </w:r>
          </w:p>
        </w:tc>
        <w:tc>
          <w:tcPr>
            <w:tcW w:w="125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color w:val="000000"/>
                <w:sz w:val="24"/>
              </w:rPr>
            </w:pPr>
            <w:r>
              <w:rPr>
                <w:rFonts w:ascii="宋体" w:hAnsi="宋体" w:cs="宋体"/>
                <w:color w:val="000000"/>
                <w:kern w:val="0"/>
                <w:sz w:val="18"/>
                <w:szCs w:val="18"/>
              </w:rPr>
              <w:t>可持续发展</w:t>
            </w:r>
          </w:p>
        </w:tc>
        <w:tc>
          <w:tcPr>
            <w:tcW w:w="10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color w:val="000000"/>
                <w:sz w:val="24"/>
              </w:rPr>
            </w:pPr>
            <w:r>
              <w:rPr>
                <w:rFonts w:ascii="宋体" w:hAnsi="宋体" w:cs="宋体"/>
                <w:color w:val="000000"/>
                <w:kern w:val="0"/>
                <w:sz w:val="18"/>
                <w:szCs w:val="18"/>
              </w:rPr>
              <w:t>定性</w:t>
            </w:r>
          </w:p>
        </w:tc>
        <w:tc>
          <w:tcPr>
            <w:tcW w:w="92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color w:val="000000"/>
                <w:sz w:val="24"/>
              </w:rPr>
            </w:pPr>
            <w:r>
              <w:rPr>
                <w:rFonts w:ascii="宋体" w:hAnsi="宋体" w:cs="宋体"/>
                <w:color w:val="000000"/>
                <w:kern w:val="0"/>
                <w:sz w:val="18"/>
                <w:szCs w:val="18"/>
              </w:rPr>
              <w:t>高中低</w:t>
            </w:r>
          </w:p>
        </w:tc>
        <w:tc>
          <w:tcPr>
            <w:tcW w:w="101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color w:val="000000"/>
                <w:sz w:val="24"/>
              </w:rPr>
            </w:pPr>
            <w:r>
              <w:rPr>
                <w:rFonts w:ascii="宋体" w:hAnsi="宋体" w:cs="宋体"/>
                <w:color w:val="000000"/>
                <w:kern w:val="0"/>
                <w:sz w:val="18"/>
                <w:szCs w:val="18"/>
              </w:rPr>
              <w:t>其他</w:t>
            </w:r>
          </w:p>
        </w:tc>
        <w:tc>
          <w:tcPr>
            <w:tcW w:w="898"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24"/>
              </w:rPr>
            </w:pPr>
            <w:r>
              <w:rPr>
                <w:rFonts w:hint="eastAsia"/>
                <w:color w:val="000000"/>
                <w:sz w:val="24"/>
              </w:rPr>
              <w:t>10</w:t>
            </w:r>
          </w:p>
        </w:tc>
        <w:tc>
          <w:tcPr>
            <w:tcW w:w="1432"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24"/>
              </w:rPr>
            </w:pPr>
            <w:r>
              <w:rPr>
                <w:rFonts w:hint="eastAsia"/>
                <w:color w:val="000000"/>
                <w:sz w:val="24"/>
              </w:rPr>
              <w:t>高</w:t>
            </w:r>
          </w:p>
        </w:tc>
      </w:tr>
      <w:tr>
        <w:tblPrEx>
          <w:tblCellMar>
            <w:top w:w="15" w:type="dxa"/>
            <w:left w:w="15" w:type="dxa"/>
            <w:bottom w:w="15" w:type="dxa"/>
            <w:right w:w="15" w:type="dxa"/>
          </w:tblCellMar>
        </w:tblPrEx>
        <w:trPr>
          <w:trHeight w:val="787" w:hRule="atLeast"/>
          <w:jc w:val="center"/>
        </w:trPr>
        <w:tc>
          <w:tcPr>
            <w:tcW w:w="933" w:type="dxa"/>
            <w:vMerge w:val="continue"/>
            <w:tcBorders>
              <w:top w:val="single" w:color="000000" w:sz="4" w:space="0"/>
              <w:left w:val="single" w:color="000000" w:sz="4" w:space="0"/>
              <w:bottom w:val="single" w:color="000000" w:sz="4" w:space="0"/>
            </w:tcBorders>
            <w:vAlign w:val="center"/>
          </w:tcPr>
          <w:p>
            <w:pPr>
              <w:spacing w:line="300" w:lineRule="exact"/>
              <w:jc w:val="center"/>
              <w:rPr>
                <w:color w:val="000000"/>
                <w:sz w:val="24"/>
              </w:rPr>
            </w:pPr>
          </w:p>
        </w:tc>
        <w:tc>
          <w:tcPr>
            <w:tcW w:w="726" w:type="dxa"/>
            <w:vMerge w:val="continue"/>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24"/>
              </w:rPr>
            </w:pPr>
          </w:p>
        </w:tc>
        <w:tc>
          <w:tcPr>
            <w:tcW w:w="119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color w:val="000000"/>
                <w:sz w:val="24"/>
              </w:rPr>
            </w:pPr>
            <w:r>
              <w:rPr>
                <w:rFonts w:ascii="宋体" w:hAnsi="宋体" w:cs="宋体"/>
                <w:color w:val="000000"/>
                <w:kern w:val="0"/>
                <w:sz w:val="18"/>
                <w:szCs w:val="18"/>
              </w:rPr>
              <w:t>可持续影响指标</w:t>
            </w:r>
          </w:p>
        </w:tc>
        <w:tc>
          <w:tcPr>
            <w:tcW w:w="125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color w:val="000000"/>
                <w:sz w:val="24"/>
              </w:rPr>
            </w:pPr>
            <w:r>
              <w:rPr>
                <w:rFonts w:ascii="宋体" w:hAnsi="宋体" w:cs="宋体"/>
                <w:color w:val="000000"/>
                <w:kern w:val="0"/>
                <w:sz w:val="18"/>
                <w:szCs w:val="18"/>
              </w:rPr>
              <w:t>可持续影响</w:t>
            </w:r>
          </w:p>
        </w:tc>
        <w:tc>
          <w:tcPr>
            <w:tcW w:w="10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color w:val="000000"/>
                <w:sz w:val="24"/>
              </w:rPr>
            </w:pPr>
            <w:r>
              <w:rPr>
                <w:rFonts w:ascii="宋体" w:hAnsi="宋体" w:cs="宋体"/>
                <w:color w:val="000000"/>
                <w:kern w:val="0"/>
                <w:sz w:val="18"/>
                <w:szCs w:val="18"/>
              </w:rPr>
              <w:t>定性</w:t>
            </w:r>
          </w:p>
        </w:tc>
        <w:tc>
          <w:tcPr>
            <w:tcW w:w="92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color w:val="000000"/>
                <w:sz w:val="24"/>
              </w:rPr>
            </w:pPr>
            <w:r>
              <w:rPr>
                <w:rFonts w:ascii="宋体" w:hAnsi="宋体" w:cs="宋体"/>
                <w:color w:val="000000"/>
                <w:kern w:val="0"/>
                <w:sz w:val="18"/>
                <w:szCs w:val="18"/>
              </w:rPr>
              <w:t>高中低</w:t>
            </w:r>
          </w:p>
        </w:tc>
        <w:tc>
          <w:tcPr>
            <w:tcW w:w="101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color w:val="000000"/>
                <w:sz w:val="24"/>
              </w:rPr>
            </w:pPr>
            <w:r>
              <w:rPr>
                <w:rFonts w:ascii="宋体" w:hAnsi="宋体" w:cs="宋体"/>
                <w:color w:val="000000"/>
                <w:kern w:val="0"/>
                <w:sz w:val="18"/>
                <w:szCs w:val="18"/>
              </w:rPr>
              <w:t>其他</w:t>
            </w:r>
          </w:p>
        </w:tc>
        <w:tc>
          <w:tcPr>
            <w:tcW w:w="898"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24"/>
              </w:rPr>
            </w:pPr>
            <w:r>
              <w:rPr>
                <w:rFonts w:hint="eastAsia"/>
                <w:color w:val="000000"/>
                <w:sz w:val="24"/>
              </w:rPr>
              <w:t>10</w:t>
            </w:r>
          </w:p>
        </w:tc>
        <w:tc>
          <w:tcPr>
            <w:tcW w:w="1432"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24"/>
              </w:rPr>
            </w:pPr>
            <w:r>
              <w:rPr>
                <w:rFonts w:hint="eastAsia"/>
                <w:color w:val="000000"/>
                <w:sz w:val="24"/>
              </w:rPr>
              <w:t>高</w:t>
            </w:r>
          </w:p>
        </w:tc>
      </w:tr>
      <w:tr>
        <w:tblPrEx>
          <w:tblCellMar>
            <w:top w:w="15" w:type="dxa"/>
            <w:left w:w="15" w:type="dxa"/>
            <w:bottom w:w="15" w:type="dxa"/>
            <w:right w:w="15" w:type="dxa"/>
          </w:tblCellMar>
        </w:tblPrEx>
        <w:trPr>
          <w:trHeight w:val="787" w:hRule="atLeast"/>
          <w:jc w:val="center"/>
        </w:trPr>
        <w:tc>
          <w:tcPr>
            <w:tcW w:w="933" w:type="dxa"/>
            <w:vMerge w:val="continue"/>
            <w:tcBorders>
              <w:top w:val="single" w:color="000000" w:sz="4" w:space="0"/>
              <w:left w:val="single" w:color="000000" w:sz="4" w:space="0"/>
              <w:bottom w:val="single" w:color="000000" w:sz="4" w:space="0"/>
            </w:tcBorders>
            <w:vAlign w:val="center"/>
          </w:tcPr>
          <w:p>
            <w:pPr>
              <w:spacing w:line="300" w:lineRule="exact"/>
              <w:jc w:val="center"/>
              <w:rPr>
                <w:color w:val="000000"/>
                <w:sz w:val="24"/>
              </w:rPr>
            </w:pPr>
          </w:p>
        </w:tc>
        <w:tc>
          <w:tcPr>
            <w:tcW w:w="726" w:type="dxa"/>
            <w:tcBorders>
              <w:top w:val="single" w:color="000000" w:sz="4" w:space="0"/>
              <w:left w:val="single" w:color="000000" w:sz="4" w:space="0"/>
              <w:right w:val="single" w:color="000000" w:sz="4" w:space="0"/>
            </w:tcBorders>
            <w:vAlign w:val="center"/>
          </w:tcPr>
          <w:p>
            <w:pPr>
              <w:widowControl/>
              <w:spacing w:line="300" w:lineRule="exact"/>
              <w:jc w:val="center"/>
              <w:textAlignment w:val="center"/>
              <w:rPr>
                <w:color w:val="000000"/>
                <w:kern w:val="0"/>
                <w:sz w:val="24"/>
              </w:rPr>
            </w:pPr>
            <w:r>
              <w:rPr>
                <w:color w:val="000000"/>
                <w:kern w:val="0"/>
                <w:sz w:val="24"/>
              </w:rPr>
              <w:t>满意度</w:t>
            </w:r>
          </w:p>
          <w:p>
            <w:pPr>
              <w:widowControl/>
              <w:spacing w:line="300" w:lineRule="exact"/>
              <w:jc w:val="center"/>
              <w:textAlignment w:val="center"/>
              <w:rPr>
                <w:color w:val="000000"/>
                <w:sz w:val="24"/>
              </w:rPr>
            </w:pPr>
            <w:r>
              <w:rPr>
                <w:color w:val="000000"/>
                <w:kern w:val="0"/>
                <w:sz w:val="24"/>
              </w:rPr>
              <w:t>指标</w:t>
            </w:r>
          </w:p>
        </w:tc>
        <w:tc>
          <w:tcPr>
            <w:tcW w:w="1197" w:type="dxa"/>
            <w:tcBorders>
              <w:top w:val="single" w:color="000000" w:sz="4" w:space="0"/>
              <w:left w:val="single" w:color="000000" w:sz="4" w:space="0"/>
              <w:right w:val="single" w:color="000000" w:sz="4" w:space="0"/>
            </w:tcBorders>
            <w:vAlign w:val="center"/>
          </w:tcPr>
          <w:p>
            <w:pPr>
              <w:widowControl/>
              <w:jc w:val="center"/>
              <w:textAlignment w:val="center"/>
              <w:rPr>
                <w:color w:val="000000"/>
                <w:sz w:val="24"/>
              </w:rPr>
            </w:pPr>
            <w:r>
              <w:rPr>
                <w:rFonts w:ascii="宋体" w:hAnsi="宋体" w:cs="宋体"/>
                <w:color w:val="000000"/>
                <w:kern w:val="0"/>
                <w:sz w:val="18"/>
                <w:szCs w:val="18"/>
              </w:rPr>
              <w:t>服务对象满意度指标</w:t>
            </w:r>
          </w:p>
        </w:tc>
        <w:tc>
          <w:tcPr>
            <w:tcW w:w="125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color w:val="000000"/>
                <w:sz w:val="24"/>
              </w:rPr>
            </w:pPr>
            <w:r>
              <w:rPr>
                <w:rFonts w:ascii="宋体" w:hAnsi="宋体" w:cs="宋体"/>
                <w:color w:val="000000"/>
                <w:kern w:val="0"/>
                <w:sz w:val="18"/>
                <w:szCs w:val="18"/>
              </w:rPr>
              <w:t>受益对象满意度</w:t>
            </w:r>
          </w:p>
        </w:tc>
        <w:tc>
          <w:tcPr>
            <w:tcW w:w="10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color w:val="000000"/>
                <w:sz w:val="24"/>
              </w:rPr>
            </w:pPr>
            <w:r>
              <w:rPr>
                <w:rFonts w:ascii="宋体" w:hAnsi="宋体" w:cs="宋体"/>
                <w:color w:val="000000"/>
                <w:kern w:val="0"/>
                <w:sz w:val="18"/>
                <w:szCs w:val="18"/>
              </w:rPr>
              <w:t>≥</w:t>
            </w:r>
          </w:p>
        </w:tc>
        <w:tc>
          <w:tcPr>
            <w:tcW w:w="92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color w:val="000000"/>
                <w:sz w:val="24"/>
              </w:rPr>
            </w:pPr>
            <w:r>
              <w:rPr>
                <w:rFonts w:hint="eastAsia" w:ascii="宋体" w:hAnsi="宋体" w:cs="宋体"/>
                <w:color w:val="000000"/>
                <w:kern w:val="0"/>
                <w:sz w:val="18"/>
                <w:szCs w:val="18"/>
              </w:rPr>
              <w:t>8</w:t>
            </w:r>
            <w:r>
              <w:rPr>
                <w:rFonts w:ascii="宋体" w:hAnsi="宋体" w:cs="宋体"/>
                <w:color w:val="000000"/>
                <w:kern w:val="0"/>
                <w:sz w:val="18"/>
                <w:szCs w:val="18"/>
              </w:rPr>
              <w:t>5</w:t>
            </w:r>
          </w:p>
        </w:tc>
        <w:tc>
          <w:tcPr>
            <w:tcW w:w="101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color w:val="000000"/>
                <w:sz w:val="24"/>
              </w:rPr>
            </w:pPr>
            <w:r>
              <w:rPr>
                <w:rFonts w:ascii="宋体" w:hAnsi="宋体" w:cs="宋体"/>
                <w:color w:val="000000"/>
                <w:kern w:val="0"/>
                <w:sz w:val="18"/>
                <w:szCs w:val="18"/>
              </w:rPr>
              <w:t>%</w:t>
            </w:r>
          </w:p>
        </w:tc>
        <w:tc>
          <w:tcPr>
            <w:tcW w:w="89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color w:val="000000"/>
                <w:sz w:val="24"/>
              </w:rPr>
            </w:pPr>
            <w:r>
              <w:rPr>
                <w:rFonts w:hint="eastAsia" w:ascii="宋体" w:hAnsi="宋体" w:cs="宋体"/>
                <w:color w:val="000000"/>
                <w:kern w:val="0"/>
                <w:sz w:val="18"/>
                <w:szCs w:val="18"/>
              </w:rPr>
              <w:t>10</w:t>
            </w:r>
          </w:p>
        </w:tc>
        <w:tc>
          <w:tcPr>
            <w:tcW w:w="1432"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24"/>
              </w:rPr>
            </w:pPr>
            <w:r>
              <w:rPr>
                <w:rFonts w:hint="eastAsia"/>
                <w:color w:val="000000"/>
                <w:sz w:val="24"/>
              </w:rPr>
              <w:t>85</w:t>
            </w:r>
          </w:p>
        </w:tc>
      </w:tr>
      <w:tr>
        <w:tblPrEx>
          <w:tblCellMar>
            <w:top w:w="15" w:type="dxa"/>
            <w:left w:w="15" w:type="dxa"/>
            <w:bottom w:w="15" w:type="dxa"/>
            <w:right w:w="15" w:type="dxa"/>
          </w:tblCellMar>
        </w:tblPrEx>
        <w:trPr>
          <w:trHeight w:val="429" w:hRule="atLeast"/>
          <w:jc w:val="center"/>
        </w:trPr>
        <w:tc>
          <w:tcPr>
            <w:tcW w:w="933" w:type="dxa"/>
            <w:vMerge w:val="continue"/>
            <w:tcBorders>
              <w:top w:val="single" w:color="000000" w:sz="4" w:space="0"/>
              <w:left w:val="single" w:color="000000" w:sz="4" w:space="0"/>
              <w:bottom w:val="single" w:color="000000" w:sz="4" w:space="0"/>
            </w:tcBorders>
            <w:vAlign w:val="center"/>
          </w:tcPr>
          <w:p>
            <w:pPr>
              <w:spacing w:line="300" w:lineRule="exact"/>
              <w:jc w:val="center"/>
              <w:rPr>
                <w:color w:val="000000"/>
                <w:sz w:val="24"/>
              </w:rPr>
            </w:pPr>
          </w:p>
        </w:tc>
        <w:tc>
          <w:tcPr>
            <w:tcW w:w="726"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color w:val="000000"/>
                <w:sz w:val="24"/>
              </w:rPr>
            </w:pPr>
            <w:r>
              <w:rPr>
                <w:color w:val="000000"/>
                <w:kern w:val="0"/>
                <w:sz w:val="24"/>
              </w:rPr>
              <w:t>成本指标</w:t>
            </w:r>
          </w:p>
        </w:tc>
        <w:tc>
          <w:tcPr>
            <w:tcW w:w="119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color w:val="000000"/>
                <w:sz w:val="24"/>
              </w:rPr>
            </w:pPr>
            <w:r>
              <w:rPr>
                <w:rFonts w:ascii="宋体" w:hAnsi="宋体" w:cs="宋体"/>
                <w:color w:val="000000"/>
                <w:kern w:val="0"/>
                <w:sz w:val="18"/>
                <w:szCs w:val="18"/>
              </w:rPr>
              <w:t>经济成本指标</w:t>
            </w:r>
          </w:p>
        </w:tc>
        <w:tc>
          <w:tcPr>
            <w:tcW w:w="1257" w:type="dxa"/>
            <w:tcBorders>
              <w:top w:val="single" w:color="000000" w:sz="4" w:space="0"/>
              <w:bottom w:val="single" w:color="000000" w:sz="4" w:space="0"/>
              <w:right w:val="single" w:color="000000" w:sz="4" w:space="0"/>
            </w:tcBorders>
            <w:vAlign w:val="center"/>
          </w:tcPr>
          <w:p>
            <w:pPr>
              <w:widowControl/>
              <w:jc w:val="center"/>
              <w:textAlignment w:val="center"/>
              <w:rPr>
                <w:color w:val="000000"/>
                <w:sz w:val="24"/>
              </w:rPr>
            </w:pPr>
            <w:r>
              <w:rPr>
                <w:rFonts w:ascii="宋体" w:hAnsi="宋体" w:cs="宋体"/>
                <w:color w:val="000000"/>
                <w:kern w:val="0"/>
                <w:sz w:val="18"/>
                <w:szCs w:val="18"/>
              </w:rPr>
              <w:t>金额</w:t>
            </w:r>
          </w:p>
        </w:tc>
        <w:tc>
          <w:tcPr>
            <w:tcW w:w="10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color w:val="000000"/>
                <w:sz w:val="24"/>
              </w:rPr>
            </w:pPr>
            <w:r>
              <w:rPr>
                <w:rFonts w:ascii="宋体" w:hAnsi="宋体" w:cs="宋体"/>
                <w:color w:val="000000"/>
                <w:kern w:val="0"/>
                <w:sz w:val="18"/>
                <w:szCs w:val="18"/>
              </w:rPr>
              <w:t>＝</w:t>
            </w:r>
          </w:p>
        </w:tc>
        <w:tc>
          <w:tcPr>
            <w:tcW w:w="92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color w:val="000000"/>
                <w:sz w:val="24"/>
              </w:rPr>
            </w:pPr>
            <w:r>
              <w:rPr>
                <w:rFonts w:ascii="宋体" w:hAnsi="宋体" w:cs="宋体"/>
                <w:color w:val="000000"/>
                <w:kern w:val="0"/>
                <w:sz w:val="18"/>
                <w:szCs w:val="18"/>
              </w:rPr>
              <w:t>10</w:t>
            </w:r>
            <w:r>
              <w:rPr>
                <w:rFonts w:hint="eastAsia" w:ascii="宋体" w:hAnsi="宋体" w:cs="宋体"/>
                <w:color w:val="000000"/>
                <w:kern w:val="0"/>
                <w:sz w:val="18"/>
                <w:szCs w:val="18"/>
              </w:rPr>
              <w:t>.00</w:t>
            </w:r>
          </w:p>
        </w:tc>
        <w:tc>
          <w:tcPr>
            <w:tcW w:w="101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color w:val="000000"/>
                <w:sz w:val="24"/>
              </w:rPr>
            </w:pPr>
            <w:r>
              <w:rPr>
                <w:rFonts w:ascii="宋体" w:hAnsi="宋体" w:cs="宋体"/>
                <w:color w:val="000000"/>
                <w:kern w:val="0"/>
                <w:sz w:val="18"/>
                <w:szCs w:val="18"/>
              </w:rPr>
              <w:t>万元</w:t>
            </w:r>
          </w:p>
        </w:tc>
        <w:tc>
          <w:tcPr>
            <w:tcW w:w="89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color w:val="000000"/>
                <w:sz w:val="24"/>
              </w:rPr>
            </w:pPr>
            <w:r>
              <w:rPr>
                <w:rFonts w:hint="eastAsia" w:ascii="宋体" w:hAnsi="宋体" w:cs="宋体"/>
                <w:color w:val="000000"/>
                <w:kern w:val="0"/>
                <w:sz w:val="18"/>
                <w:szCs w:val="18"/>
              </w:rPr>
              <w:t>10</w:t>
            </w:r>
          </w:p>
        </w:tc>
        <w:tc>
          <w:tcPr>
            <w:tcW w:w="1432"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24"/>
              </w:rPr>
            </w:pPr>
            <w:r>
              <w:rPr>
                <w:rFonts w:hint="eastAsia"/>
                <w:color w:val="000000"/>
                <w:sz w:val="24"/>
              </w:rPr>
              <w:t>10</w:t>
            </w:r>
          </w:p>
        </w:tc>
      </w:tr>
    </w:tbl>
    <w:p>
      <w:pPr>
        <w:pStyle w:val="13"/>
      </w:pPr>
    </w:p>
    <w:p>
      <w:pPr>
        <w:pStyle w:val="13"/>
      </w:pPr>
    </w:p>
    <w:p>
      <w:pPr>
        <w:pStyle w:val="13"/>
      </w:pPr>
    </w:p>
    <w:tbl>
      <w:tblPr>
        <w:tblStyle w:val="19"/>
        <w:tblW w:w="9940" w:type="dxa"/>
        <w:jc w:val="center"/>
        <w:tblLayout w:type="fixed"/>
        <w:tblCellMar>
          <w:top w:w="15" w:type="dxa"/>
          <w:left w:w="15" w:type="dxa"/>
          <w:bottom w:w="15" w:type="dxa"/>
          <w:right w:w="15" w:type="dxa"/>
        </w:tblCellMar>
      </w:tblPr>
      <w:tblGrid>
        <w:gridCol w:w="652"/>
        <w:gridCol w:w="1081"/>
        <w:gridCol w:w="1250"/>
        <w:gridCol w:w="1312"/>
        <w:gridCol w:w="1127"/>
        <w:gridCol w:w="971"/>
        <w:gridCol w:w="1061"/>
        <w:gridCol w:w="938"/>
        <w:gridCol w:w="1548"/>
      </w:tblGrid>
      <w:tr>
        <w:tblPrEx>
          <w:tblCellMar>
            <w:top w:w="15" w:type="dxa"/>
            <w:left w:w="15" w:type="dxa"/>
            <w:bottom w:w="15" w:type="dxa"/>
            <w:right w:w="15" w:type="dxa"/>
          </w:tblCellMar>
        </w:tblPrEx>
        <w:trPr>
          <w:trHeight w:val="576" w:hRule="atLeast"/>
          <w:jc w:val="center"/>
        </w:trPr>
        <w:tc>
          <w:tcPr>
            <w:tcW w:w="9940" w:type="dxa"/>
            <w:gridSpan w:val="9"/>
            <w:vAlign w:val="center"/>
          </w:tcPr>
          <w:p>
            <w:pPr>
              <w:widowControl/>
              <w:spacing w:line="600" w:lineRule="exact"/>
              <w:jc w:val="center"/>
              <w:textAlignment w:val="center"/>
              <w:rPr>
                <w:rFonts w:eastAsia="黑体"/>
                <w:color w:val="000000"/>
                <w:sz w:val="30"/>
                <w:szCs w:val="30"/>
              </w:rPr>
            </w:pPr>
            <w:r>
              <w:rPr>
                <w:rFonts w:eastAsia="方正小标宋简体"/>
                <w:color w:val="000000"/>
                <w:kern w:val="0"/>
                <w:sz w:val="40"/>
                <w:szCs w:val="40"/>
              </w:rPr>
              <w:t>专项预算项目绩效目标完成情况自评表</w:t>
            </w:r>
          </w:p>
        </w:tc>
      </w:tr>
      <w:tr>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left"/>
              <w:textAlignment w:val="center"/>
              <w:rPr>
                <w:color w:val="000000"/>
                <w:sz w:val="24"/>
              </w:rPr>
            </w:pPr>
            <w:r>
              <w:rPr>
                <w:color w:val="000000"/>
                <w:kern w:val="0"/>
                <w:sz w:val="24"/>
              </w:rPr>
              <w:t>项目名称</w:t>
            </w:r>
          </w:p>
        </w:tc>
        <w:tc>
          <w:tcPr>
            <w:tcW w:w="5645" w:type="dxa"/>
            <w:gridSpan w:val="5"/>
            <w:tcBorders>
              <w:top w:val="single" w:color="000000" w:sz="4" w:space="0"/>
              <w:left w:val="single" w:color="000000" w:sz="4" w:space="0"/>
              <w:bottom w:val="single" w:color="000000" w:sz="4" w:space="0"/>
              <w:right w:val="single" w:color="000000" w:sz="4" w:space="0"/>
            </w:tcBorders>
            <w:vAlign w:val="center"/>
          </w:tcPr>
          <w:p>
            <w:pPr>
              <w:spacing w:line="300" w:lineRule="exact"/>
              <w:rPr>
                <w:color w:val="000000"/>
                <w:sz w:val="24"/>
              </w:rPr>
            </w:pPr>
            <w:r>
              <w:rPr>
                <w:rFonts w:hint="eastAsia"/>
                <w:color w:val="000000"/>
                <w:sz w:val="24"/>
              </w:rPr>
              <w:t>51322325T000012853644-奖励南新镇党纪学习教育费用</w:t>
            </w:r>
          </w:p>
        </w:tc>
      </w:tr>
      <w:tr>
        <w:tblPrEx>
          <w:tblCellMar>
            <w:top w:w="15" w:type="dxa"/>
            <w:left w:w="15" w:type="dxa"/>
            <w:bottom w:w="15" w:type="dxa"/>
            <w:right w:w="15" w:type="dxa"/>
          </w:tblCellMar>
        </w:tblPrEx>
        <w:trPr>
          <w:trHeight w:val="458"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left"/>
              <w:textAlignment w:val="center"/>
              <w:rPr>
                <w:color w:val="000000"/>
                <w:sz w:val="24"/>
              </w:rPr>
            </w:pPr>
            <w:r>
              <w:rPr>
                <w:color w:val="000000"/>
                <w:kern w:val="0"/>
                <w:sz w:val="24"/>
              </w:rPr>
              <w:t>预算单位</w:t>
            </w:r>
          </w:p>
        </w:tc>
        <w:tc>
          <w:tcPr>
            <w:tcW w:w="5645" w:type="dxa"/>
            <w:gridSpan w:val="5"/>
            <w:tcBorders>
              <w:top w:val="single" w:color="000000" w:sz="4" w:space="0"/>
              <w:left w:val="single" w:color="000000" w:sz="4" w:space="0"/>
              <w:bottom w:val="single" w:color="000000" w:sz="4" w:space="0"/>
              <w:right w:val="single" w:color="000000" w:sz="4" w:space="0"/>
            </w:tcBorders>
            <w:vAlign w:val="center"/>
          </w:tcPr>
          <w:p>
            <w:pPr>
              <w:spacing w:line="300" w:lineRule="exact"/>
              <w:rPr>
                <w:color w:val="000000"/>
                <w:sz w:val="24"/>
              </w:rPr>
            </w:pPr>
            <w:r>
              <w:rPr>
                <w:rFonts w:hint="eastAsia"/>
                <w:color w:val="000000"/>
                <w:sz w:val="24"/>
              </w:rPr>
              <w:t>茂县南新镇人民政府</w:t>
            </w:r>
          </w:p>
        </w:tc>
      </w:tr>
      <w:tr>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left"/>
              <w:textAlignment w:val="center"/>
              <w:rPr>
                <w:color w:val="000000"/>
                <w:sz w:val="24"/>
              </w:rPr>
            </w:pPr>
            <w:r>
              <w:rPr>
                <w:color w:val="000000"/>
                <w:kern w:val="0"/>
                <w:sz w:val="24"/>
              </w:rPr>
              <w:t>项目类型</w:t>
            </w:r>
          </w:p>
        </w:tc>
        <w:tc>
          <w:tcPr>
            <w:tcW w:w="5645" w:type="dxa"/>
            <w:gridSpan w:val="5"/>
            <w:tcBorders>
              <w:top w:val="single" w:color="000000" w:sz="4" w:space="0"/>
              <w:left w:val="single" w:color="000000" w:sz="4" w:space="0"/>
              <w:bottom w:val="single" w:color="000000" w:sz="4" w:space="0"/>
              <w:right w:val="single" w:color="000000" w:sz="4" w:space="0"/>
            </w:tcBorders>
            <w:vAlign w:val="center"/>
          </w:tcPr>
          <w:p>
            <w:pPr>
              <w:spacing w:line="300" w:lineRule="exact"/>
              <w:jc w:val="left"/>
              <w:rPr>
                <w:color w:val="000000"/>
                <w:sz w:val="24"/>
              </w:rPr>
            </w:pPr>
          </w:p>
        </w:tc>
      </w:tr>
      <w:tr>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color w:val="000000"/>
                <w:sz w:val="24"/>
              </w:rPr>
            </w:pPr>
            <w:r>
              <w:rPr>
                <w:color w:val="000000"/>
                <w:kern w:val="0"/>
                <w:sz w:val="24"/>
              </w:rPr>
              <w:t>项目 概况</w:t>
            </w:r>
          </w:p>
        </w:tc>
        <w:tc>
          <w:tcPr>
            <w:tcW w:w="3643"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left"/>
              <w:textAlignment w:val="center"/>
              <w:rPr>
                <w:color w:val="000000"/>
                <w:kern w:val="0"/>
                <w:sz w:val="24"/>
              </w:rPr>
            </w:pPr>
            <w:r>
              <w:rPr>
                <w:color w:val="000000"/>
                <w:kern w:val="0"/>
                <w:sz w:val="24"/>
              </w:rPr>
              <w:t>中长期规划（名称、文号，仅指</w:t>
            </w:r>
          </w:p>
          <w:p>
            <w:pPr>
              <w:widowControl/>
              <w:spacing w:line="300" w:lineRule="exact"/>
              <w:jc w:val="left"/>
              <w:textAlignment w:val="center"/>
              <w:rPr>
                <w:color w:val="000000"/>
                <w:sz w:val="24"/>
              </w:rPr>
            </w:pPr>
            <w:r>
              <w:rPr>
                <w:color w:val="000000"/>
                <w:kern w:val="0"/>
                <w:sz w:val="24"/>
              </w:rPr>
              <w:t>常年项目）</w:t>
            </w:r>
          </w:p>
        </w:tc>
        <w:tc>
          <w:tcPr>
            <w:tcW w:w="5645" w:type="dxa"/>
            <w:gridSpan w:val="5"/>
            <w:tcBorders>
              <w:top w:val="single" w:color="000000" w:sz="4" w:space="0"/>
              <w:left w:val="single" w:color="000000" w:sz="4" w:space="0"/>
              <w:bottom w:val="single" w:color="000000" w:sz="4" w:space="0"/>
              <w:right w:val="single" w:color="000000" w:sz="4" w:space="0"/>
            </w:tcBorders>
            <w:vAlign w:val="center"/>
          </w:tcPr>
          <w:p>
            <w:pPr>
              <w:spacing w:line="300" w:lineRule="exact"/>
              <w:jc w:val="left"/>
              <w:rPr>
                <w:color w:val="000000"/>
                <w:sz w:val="24"/>
              </w:rPr>
            </w:pP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vAlign w:val="center"/>
          </w:tcPr>
          <w:p>
            <w:pPr>
              <w:spacing w:line="300" w:lineRule="exact"/>
              <w:rPr>
                <w:color w:val="000000"/>
                <w:sz w:val="24"/>
              </w:rPr>
            </w:pPr>
          </w:p>
        </w:tc>
        <w:tc>
          <w:tcPr>
            <w:tcW w:w="3643"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left"/>
              <w:textAlignment w:val="center"/>
              <w:rPr>
                <w:color w:val="000000"/>
                <w:sz w:val="24"/>
              </w:rPr>
            </w:pPr>
            <w:r>
              <w:rPr>
                <w:color w:val="000000"/>
                <w:kern w:val="0"/>
                <w:sz w:val="24"/>
              </w:rPr>
              <w:t>资金管理办法（名称、文号）</w:t>
            </w:r>
          </w:p>
        </w:tc>
        <w:tc>
          <w:tcPr>
            <w:tcW w:w="5645" w:type="dxa"/>
            <w:gridSpan w:val="5"/>
            <w:tcBorders>
              <w:top w:val="single" w:color="000000" w:sz="4" w:space="0"/>
              <w:left w:val="single" w:color="000000" w:sz="4" w:space="0"/>
              <w:bottom w:val="single" w:color="000000" w:sz="4" w:space="0"/>
              <w:right w:val="single" w:color="000000" w:sz="4" w:space="0"/>
            </w:tcBorders>
            <w:vAlign w:val="center"/>
          </w:tcPr>
          <w:p>
            <w:pPr>
              <w:spacing w:line="300" w:lineRule="exact"/>
              <w:jc w:val="left"/>
              <w:rPr>
                <w:color w:val="000000"/>
                <w:sz w:val="24"/>
              </w:rPr>
            </w:pP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vAlign w:val="center"/>
          </w:tcPr>
          <w:p>
            <w:pPr>
              <w:spacing w:line="300" w:lineRule="exact"/>
              <w:rPr>
                <w:color w:val="000000"/>
                <w:sz w:val="24"/>
              </w:rPr>
            </w:pPr>
          </w:p>
        </w:tc>
        <w:tc>
          <w:tcPr>
            <w:tcW w:w="3643"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left"/>
              <w:textAlignment w:val="center"/>
              <w:rPr>
                <w:color w:val="000000"/>
                <w:sz w:val="24"/>
              </w:rPr>
            </w:pPr>
            <w:r>
              <w:rPr>
                <w:color w:val="000000"/>
                <w:kern w:val="0"/>
                <w:sz w:val="24"/>
              </w:rPr>
              <w:t>绩效分配方式</w:t>
            </w:r>
          </w:p>
        </w:tc>
        <w:tc>
          <w:tcPr>
            <w:tcW w:w="1127"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left"/>
              <w:textAlignment w:val="center"/>
              <w:rPr>
                <w:rFonts w:eastAsia="Wingdings 2"/>
                <w:color w:val="000000"/>
                <w:sz w:val="24"/>
              </w:rPr>
            </w:pPr>
            <w:r>
              <w:rPr>
                <w:rFonts w:ascii="Wingdings 2" w:hAnsi="Wingdings 2" w:eastAsia="Wingdings 2" w:cs="Wingdings 2"/>
                <w:color w:val="000000"/>
                <w:kern w:val="0"/>
                <w:sz w:val="24"/>
              </w:rPr>
              <w:t></w:t>
            </w:r>
            <w:r>
              <w:rPr>
                <w:rFonts w:ascii="宋体" w:hAnsi="宋体" w:cs="宋体"/>
                <w:color w:val="000000"/>
                <w:kern w:val="0"/>
                <w:sz w:val="24"/>
              </w:rPr>
              <w:t>因素法</w:t>
            </w:r>
          </w:p>
        </w:tc>
        <w:tc>
          <w:tcPr>
            <w:tcW w:w="2032"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rFonts w:eastAsia="Wingdings 2"/>
                <w:color w:val="000000"/>
                <w:sz w:val="24"/>
              </w:rPr>
            </w:pPr>
            <w:r>
              <w:rPr>
                <w:rFonts w:ascii="Wingdings 2" w:hAnsi="Wingdings 2" w:eastAsia="Wingdings 2" w:cs="Wingdings 2"/>
                <w:color w:val="000000"/>
                <w:kern w:val="0"/>
                <w:sz w:val="24"/>
              </w:rPr>
              <w:t>项目法</w:t>
            </w:r>
          </w:p>
        </w:tc>
        <w:tc>
          <w:tcPr>
            <w:tcW w:w="938"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rFonts w:eastAsia="Wingdings 2"/>
                <w:color w:val="000000"/>
                <w:sz w:val="24"/>
              </w:rPr>
            </w:pPr>
            <w:r>
              <w:rPr>
                <w:rFonts w:ascii="Wingdings 2" w:hAnsi="Wingdings 2" w:eastAsia="Wingdings 2" w:cs="Wingdings 2"/>
                <w:color w:val="000000"/>
                <w:kern w:val="0"/>
                <w:sz w:val="24"/>
              </w:rPr>
              <w:t></w:t>
            </w:r>
            <w:r>
              <w:rPr>
                <w:rFonts w:ascii="宋体" w:hAnsi="宋体" w:cs="宋体"/>
                <w:color w:val="000000"/>
                <w:kern w:val="0"/>
                <w:sz w:val="24"/>
              </w:rPr>
              <w:t>据实据效</w:t>
            </w:r>
          </w:p>
        </w:tc>
        <w:tc>
          <w:tcPr>
            <w:tcW w:w="1548"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rFonts w:eastAsia="Wingdings 2"/>
                <w:color w:val="000000"/>
                <w:sz w:val="24"/>
              </w:rPr>
            </w:pPr>
            <w:r>
              <w:rPr>
                <w:rFonts w:ascii="Wingdings 2" w:hAnsi="Wingdings 2" w:eastAsia="Wingdings 2" w:cs="Wingdings 2"/>
                <w:color w:val="000000"/>
                <w:kern w:val="0"/>
                <w:sz w:val="24"/>
              </w:rPr>
              <w:t></w:t>
            </w:r>
            <w:r>
              <w:rPr>
                <w:rFonts w:ascii="宋体" w:hAnsi="宋体" w:cs="宋体"/>
                <w:color w:val="000000"/>
                <w:kern w:val="0"/>
                <w:sz w:val="24"/>
              </w:rPr>
              <w:t>因素法与项目法相结合</w:t>
            </w: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vAlign w:val="center"/>
          </w:tcPr>
          <w:p>
            <w:pPr>
              <w:spacing w:line="300" w:lineRule="exact"/>
              <w:rPr>
                <w:color w:val="000000"/>
                <w:sz w:val="24"/>
              </w:rPr>
            </w:pPr>
          </w:p>
        </w:tc>
        <w:tc>
          <w:tcPr>
            <w:tcW w:w="3643"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left"/>
              <w:textAlignment w:val="center"/>
              <w:rPr>
                <w:color w:val="000000"/>
                <w:sz w:val="24"/>
              </w:rPr>
            </w:pPr>
            <w:r>
              <w:rPr>
                <w:color w:val="000000"/>
                <w:kern w:val="0"/>
                <w:sz w:val="24"/>
              </w:rPr>
              <w:t>立项依据</w:t>
            </w:r>
          </w:p>
        </w:tc>
        <w:tc>
          <w:tcPr>
            <w:tcW w:w="5645" w:type="dxa"/>
            <w:gridSpan w:val="5"/>
            <w:tcBorders>
              <w:top w:val="single" w:color="000000" w:sz="4" w:space="0"/>
              <w:left w:val="single" w:color="000000" w:sz="4" w:space="0"/>
              <w:bottom w:val="single" w:color="000000" w:sz="4" w:space="0"/>
              <w:right w:val="single" w:color="000000" w:sz="4" w:space="0"/>
            </w:tcBorders>
            <w:vAlign w:val="center"/>
          </w:tcPr>
          <w:p>
            <w:pPr>
              <w:spacing w:line="300" w:lineRule="exact"/>
              <w:jc w:val="left"/>
              <w:rPr>
                <w:color w:val="000000"/>
                <w:sz w:val="24"/>
              </w:rPr>
            </w:pP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vAlign w:val="center"/>
          </w:tcPr>
          <w:p>
            <w:pPr>
              <w:spacing w:line="300" w:lineRule="exact"/>
              <w:rPr>
                <w:color w:val="000000"/>
                <w:sz w:val="24"/>
              </w:rPr>
            </w:pPr>
          </w:p>
        </w:tc>
        <w:tc>
          <w:tcPr>
            <w:tcW w:w="3643"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left"/>
              <w:textAlignment w:val="center"/>
              <w:rPr>
                <w:color w:val="000000"/>
                <w:sz w:val="24"/>
              </w:rPr>
            </w:pPr>
            <w:r>
              <w:rPr>
                <w:color w:val="000000"/>
                <w:kern w:val="0"/>
                <w:sz w:val="24"/>
              </w:rPr>
              <w:t>使用范围</w:t>
            </w:r>
          </w:p>
        </w:tc>
        <w:tc>
          <w:tcPr>
            <w:tcW w:w="5645" w:type="dxa"/>
            <w:gridSpan w:val="5"/>
            <w:tcBorders>
              <w:top w:val="single" w:color="000000" w:sz="4" w:space="0"/>
              <w:left w:val="single" w:color="000000" w:sz="4" w:space="0"/>
              <w:bottom w:val="single" w:color="000000" w:sz="4" w:space="0"/>
              <w:right w:val="single" w:color="000000" w:sz="4" w:space="0"/>
            </w:tcBorders>
            <w:vAlign w:val="center"/>
          </w:tcPr>
          <w:p>
            <w:pPr>
              <w:spacing w:line="300" w:lineRule="exact"/>
              <w:jc w:val="left"/>
              <w:rPr>
                <w:color w:val="000000"/>
                <w:sz w:val="24"/>
              </w:rPr>
            </w:pP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vAlign w:val="center"/>
          </w:tcPr>
          <w:p>
            <w:pPr>
              <w:spacing w:line="300" w:lineRule="exact"/>
              <w:rPr>
                <w:color w:val="000000"/>
                <w:sz w:val="24"/>
              </w:rPr>
            </w:pPr>
          </w:p>
        </w:tc>
        <w:tc>
          <w:tcPr>
            <w:tcW w:w="3643"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left"/>
              <w:textAlignment w:val="center"/>
              <w:rPr>
                <w:color w:val="000000"/>
                <w:sz w:val="24"/>
              </w:rPr>
            </w:pPr>
            <w:r>
              <w:rPr>
                <w:color w:val="000000"/>
                <w:kern w:val="0"/>
                <w:sz w:val="24"/>
              </w:rPr>
              <w:t>申报（补助）条件</w:t>
            </w:r>
          </w:p>
        </w:tc>
        <w:tc>
          <w:tcPr>
            <w:tcW w:w="5645" w:type="dxa"/>
            <w:gridSpan w:val="5"/>
            <w:tcBorders>
              <w:top w:val="single" w:color="000000" w:sz="4" w:space="0"/>
              <w:left w:val="single" w:color="000000" w:sz="4" w:space="0"/>
              <w:bottom w:val="single" w:color="000000" w:sz="4" w:space="0"/>
              <w:right w:val="single" w:color="000000" w:sz="4" w:space="0"/>
            </w:tcBorders>
            <w:vAlign w:val="center"/>
          </w:tcPr>
          <w:p>
            <w:pPr>
              <w:spacing w:line="300" w:lineRule="exact"/>
              <w:jc w:val="left"/>
              <w:rPr>
                <w:color w:val="000000"/>
                <w:sz w:val="24"/>
              </w:rPr>
            </w:pP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vAlign w:val="center"/>
          </w:tcPr>
          <w:p>
            <w:pPr>
              <w:spacing w:line="300" w:lineRule="exact"/>
              <w:rPr>
                <w:color w:val="000000"/>
                <w:sz w:val="24"/>
              </w:rPr>
            </w:pPr>
          </w:p>
        </w:tc>
        <w:tc>
          <w:tcPr>
            <w:tcW w:w="3643"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left"/>
              <w:textAlignment w:val="center"/>
              <w:rPr>
                <w:color w:val="000000"/>
                <w:sz w:val="24"/>
              </w:rPr>
            </w:pPr>
            <w:r>
              <w:rPr>
                <w:color w:val="000000"/>
                <w:kern w:val="0"/>
                <w:sz w:val="24"/>
              </w:rPr>
              <w:t>项目起止年限</w:t>
            </w:r>
          </w:p>
        </w:tc>
        <w:tc>
          <w:tcPr>
            <w:tcW w:w="5645" w:type="dxa"/>
            <w:gridSpan w:val="5"/>
            <w:tcBorders>
              <w:top w:val="single" w:color="000000" w:sz="4" w:space="0"/>
              <w:left w:val="single" w:color="000000" w:sz="4" w:space="0"/>
              <w:bottom w:val="single" w:color="000000" w:sz="4" w:space="0"/>
              <w:right w:val="single" w:color="000000" w:sz="4" w:space="0"/>
            </w:tcBorders>
            <w:vAlign w:val="center"/>
          </w:tcPr>
          <w:p>
            <w:pPr>
              <w:spacing w:line="300" w:lineRule="exact"/>
              <w:rPr>
                <w:color w:val="000000"/>
                <w:sz w:val="24"/>
              </w:rPr>
            </w:pPr>
            <w:r>
              <w:rPr>
                <w:rFonts w:hint="eastAsia" w:ascii="宋体" w:hAnsi="宋体" w:cs="宋体"/>
                <w:color w:val="000000"/>
                <w:sz w:val="24"/>
              </w:rPr>
              <w:t>2024年1月至2024年12月</w:t>
            </w:r>
          </w:p>
        </w:tc>
      </w:tr>
      <w:tr>
        <w:tblPrEx>
          <w:tblCellMar>
            <w:top w:w="15" w:type="dxa"/>
            <w:left w:w="15" w:type="dxa"/>
            <w:bottom w:w="15" w:type="dxa"/>
            <w:right w:w="15" w:type="dxa"/>
          </w:tblCellMar>
        </w:tblPrEx>
        <w:trPr>
          <w:trHeight w:val="23" w:hRule="atLeast"/>
          <w:jc w:val="center"/>
        </w:trPr>
        <w:tc>
          <w:tcPr>
            <w:tcW w:w="1733" w:type="dxa"/>
            <w:gridSpan w:val="2"/>
            <w:vMerge w:val="restart"/>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color w:val="000000"/>
                <w:kern w:val="0"/>
                <w:sz w:val="24"/>
              </w:rPr>
            </w:pPr>
            <w:r>
              <w:rPr>
                <w:color w:val="000000"/>
                <w:kern w:val="0"/>
                <w:sz w:val="24"/>
              </w:rPr>
              <w:t>项目资金</w:t>
            </w:r>
          </w:p>
          <w:p>
            <w:pPr>
              <w:widowControl/>
              <w:spacing w:line="300" w:lineRule="exact"/>
              <w:jc w:val="center"/>
              <w:textAlignment w:val="center"/>
              <w:rPr>
                <w:color w:val="000000"/>
                <w:sz w:val="24"/>
              </w:rPr>
            </w:pPr>
            <w:r>
              <w:rPr>
                <w:color w:val="000000"/>
                <w:kern w:val="0"/>
                <w:sz w:val="24"/>
              </w:rPr>
              <w:t>（万元）</w:t>
            </w:r>
          </w:p>
        </w:tc>
        <w:tc>
          <w:tcPr>
            <w:tcW w:w="2562"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left"/>
              <w:textAlignment w:val="center"/>
              <w:rPr>
                <w:color w:val="000000"/>
                <w:sz w:val="24"/>
              </w:rPr>
            </w:pPr>
            <w:r>
              <w:rPr>
                <w:color w:val="000000"/>
                <w:kern w:val="0"/>
                <w:sz w:val="24"/>
              </w:rPr>
              <w:t xml:space="preserve">  年度资金总额：</w:t>
            </w:r>
          </w:p>
        </w:tc>
        <w:tc>
          <w:tcPr>
            <w:tcW w:w="5645" w:type="dxa"/>
            <w:gridSpan w:val="5"/>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24"/>
              </w:rPr>
            </w:pPr>
            <w:r>
              <w:rPr>
                <w:rFonts w:hint="eastAsia"/>
                <w:color w:val="000000"/>
                <w:sz w:val="24"/>
              </w:rPr>
              <w:t>0.30</w:t>
            </w:r>
          </w:p>
        </w:tc>
      </w:tr>
      <w:tr>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vAlign w:val="center"/>
          </w:tcPr>
          <w:p>
            <w:pPr>
              <w:spacing w:line="300" w:lineRule="exact"/>
              <w:rPr>
                <w:color w:val="000000"/>
                <w:sz w:val="24"/>
              </w:rPr>
            </w:pPr>
          </w:p>
        </w:tc>
        <w:tc>
          <w:tcPr>
            <w:tcW w:w="2562"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left"/>
              <w:textAlignment w:val="center"/>
              <w:rPr>
                <w:color w:val="000000"/>
                <w:sz w:val="24"/>
              </w:rPr>
            </w:pPr>
            <w:r>
              <w:rPr>
                <w:color w:val="000000"/>
                <w:kern w:val="0"/>
                <w:sz w:val="24"/>
              </w:rPr>
              <w:t xml:space="preserve">      其中：财政拨款</w:t>
            </w:r>
          </w:p>
        </w:tc>
        <w:tc>
          <w:tcPr>
            <w:tcW w:w="5645" w:type="dxa"/>
            <w:gridSpan w:val="5"/>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24"/>
              </w:rPr>
            </w:pPr>
            <w:r>
              <w:rPr>
                <w:rFonts w:hint="eastAsia"/>
                <w:color w:val="000000"/>
                <w:sz w:val="24"/>
              </w:rPr>
              <w:t>0.30</w:t>
            </w:r>
          </w:p>
        </w:tc>
      </w:tr>
      <w:tr>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vAlign w:val="center"/>
          </w:tcPr>
          <w:p>
            <w:pPr>
              <w:spacing w:line="300" w:lineRule="exact"/>
              <w:rPr>
                <w:color w:val="000000"/>
                <w:sz w:val="24"/>
              </w:rPr>
            </w:pPr>
          </w:p>
        </w:tc>
        <w:tc>
          <w:tcPr>
            <w:tcW w:w="2562"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left"/>
              <w:textAlignment w:val="center"/>
              <w:rPr>
                <w:color w:val="000000"/>
                <w:sz w:val="24"/>
              </w:rPr>
            </w:pPr>
            <w:r>
              <w:rPr>
                <w:color w:val="000000"/>
                <w:kern w:val="0"/>
                <w:sz w:val="24"/>
              </w:rPr>
              <w:t xml:space="preserve">            其他资金</w:t>
            </w:r>
          </w:p>
        </w:tc>
        <w:tc>
          <w:tcPr>
            <w:tcW w:w="5645" w:type="dxa"/>
            <w:gridSpan w:val="5"/>
            <w:tcBorders>
              <w:top w:val="single" w:color="000000" w:sz="4" w:space="0"/>
              <w:left w:val="single" w:color="000000" w:sz="4" w:space="0"/>
              <w:bottom w:val="single" w:color="000000" w:sz="4" w:space="0"/>
              <w:right w:val="single" w:color="000000" w:sz="4" w:space="0"/>
            </w:tcBorders>
            <w:vAlign w:val="center"/>
          </w:tcPr>
          <w:p>
            <w:pPr>
              <w:spacing w:line="300" w:lineRule="exact"/>
              <w:jc w:val="right"/>
              <w:rPr>
                <w:color w:val="000000"/>
                <w:sz w:val="24"/>
              </w:rPr>
            </w:pPr>
          </w:p>
        </w:tc>
      </w:tr>
      <w:tr>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color w:val="000000"/>
                <w:sz w:val="24"/>
              </w:rPr>
            </w:pPr>
            <w:r>
              <w:rPr>
                <w:color w:val="000000"/>
                <w:kern w:val="0"/>
                <w:sz w:val="24"/>
              </w:rPr>
              <w:t>总体 目标</w:t>
            </w:r>
          </w:p>
        </w:tc>
        <w:tc>
          <w:tcPr>
            <w:tcW w:w="9288" w:type="dxa"/>
            <w:gridSpan w:val="8"/>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color w:val="000000"/>
                <w:sz w:val="24"/>
              </w:rPr>
            </w:pPr>
            <w:r>
              <w:rPr>
                <w:color w:val="000000"/>
                <w:kern w:val="0"/>
                <w:sz w:val="24"/>
              </w:rPr>
              <w:t>年度目标</w:t>
            </w: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vAlign w:val="center"/>
          </w:tcPr>
          <w:p>
            <w:pPr>
              <w:spacing w:line="300" w:lineRule="exact"/>
              <w:rPr>
                <w:color w:val="000000"/>
                <w:sz w:val="24"/>
              </w:rPr>
            </w:pPr>
          </w:p>
        </w:tc>
        <w:tc>
          <w:tcPr>
            <w:tcW w:w="9288" w:type="dxa"/>
            <w:gridSpan w:val="8"/>
            <w:tcBorders>
              <w:top w:val="single" w:color="000000" w:sz="4" w:space="0"/>
              <w:left w:val="single" w:color="000000" w:sz="4" w:space="0"/>
              <w:bottom w:val="single" w:color="000000" w:sz="4" w:space="0"/>
              <w:right w:val="single" w:color="000000" w:sz="4" w:space="0"/>
            </w:tcBorders>
            <w:vAlign w:val="center"/>
          </w:tcPr>
          <w:p>
            <w:pPr>
              <w:spacing w:line="300" w:lineRule="exact"/>
              <w:rPr>
                <w:color w:val="000000"/>
                <w:sz w:val="24"/>
              </w:rPr>
            </w:pPr>
            <w:r>
              <w:rPr>
                <w:rFonts w:hint="eastAsia"/>
                <w:color w:val="000000"/>
                <w:sz w:val="24"/>
              </w:rPr>
              <w:t>南新镇主题教育工作经费：中共茂县县委组织部安排我镇教育工作经费3000.00元，用于我镇开展党员教育。</w:t>
            </w:r>
          </w:p>
        </w:tc>
      </w:tr>
      <w:tr>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tcBorders>
            <w:vAlign w:val="center"/>
          </w:tcPr>
          <w:p>
            <w:pPr>
              <w:widowControl/>
              <w:spacing w:line="300" w:lineRule="exact"/>
              <w:jc w:val="center"/>
              <w:textAlignment w:val="center"/>
              <w:rPr>
                <w:color w:val="000000"/>
                <w:sz w:val="24"/>
              </w:rPr>
            </w:pPr>
            <w:r>
              <w:rPr>
                <w:color w:val="000000"/>
                <w:kern w:val="0"/>
                <w:sz w:val="24"/>
              </w:rPr>
              <w:t>绩效 指标</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color w:val="000000"/>
                <w:sz w:val="24"/>
              </w:rPr>
            </w:pPr>
            <w:r>
              <w:rPr>
                <w:color w:val="000000"/>
                <w:kern w:val="0"/>
                <w:sz w:val="24"/>
              </w:rPr>
              <w:t>一级指标</w:t>
            </w:r>
          </w:p>
        </w:tc>
        <w:tc>
          <w:tcPr>
            <w:tcW w:w="1250"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color w:val="000000"/>
                <w:sz w:val="24"/>
              </w:rPr>
            </w:pPr>
            <w:r>
              <w:rPr>
                <w:color w:val="000000"/>
                <w:kern w:val="0"/>
                <w:sz w:val="24"/>
              </w:rPr>
              <w:t>二级指标</w:t>
            </w:r>
          </w:p>
        </w:tc>
        <w:tc>
          <w:tcPr>
            <w:tcW w:w="1312"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color w:val="000000"/>
                <w:sz w:val="24"/>
              </w:rPr>
            </w:pPr>
            <w:r>
              <w:rPr>
                <w:color w:val="000000"/>
                <w:kern w:val="0"/>
                <w:sz w:val="24"/>
              </w:rPr>
              <w:t>三级指标</w:t>
            </w:r>
          </w:p>
        </w:tc>
        <w:tc>
          <w:tcPr>
            <w:tcW w:w="1127"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color w:val="000000"/>
                <w:sz w:val="24"/>
              </w:rPr>
            </w:pPr>
            <w:r>
              <w:rPr>
                <w:color w:val="000000"/>
                <w:kern w:val="0"/>
                <w:sz w:val="24"/>
              </w:rPr>
              <w:t>指标性质</w:t>
            </w:r>
          </w:p>
        </w:tc>
        <w:tc>
          <w:tcPr>
            <w:tcW w:w="971"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color w:val="000000"/>
                <w:sz w:val="24"/>
              </w:rPr>
            </w:pPr>
            <w:r>
              <w:rPr>
                <w:color w:val="000000"/>
                <w:kern w:val="0"/>
                <w:sz w:val="24"/>
              </w:rPr>
              <w:t>指标值</w:t>
            </w:r>
          </w:p>
        </w:tc>
        <w:tc>
          <w:tcPr>
            <w:tcW w:w="1061"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color w:val="000000"/>
                <w:sz w:val="24"/>
              </w:rPr>
            </w:pPr>
            <w:r>
              <w:rPr>
                <w:color w:val="000000"/>
                <w:kern w:val="0"/>
                <w:sz w:val="24"/>
              </w:rPr>
              <w:t>度量单位</w:t>
            </w:r>
          </w:p>
        </w:tc>
        <w:tc>
          <w:tcPr>
            <w:tcW w:w="938"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color w:val="000000"/>
                <w:sz w:val="24"/>
              </w:rPr>
            </w:pPr>
            <w:r>
              <w:rPr>
                <w:color w:val="000000"/>
                <w:kern w:val="0"/>
                <w:sz w:val="24"/>
              </w:rPr>
              <w:t>权重</w:t>
            </w:r>
          </w:p>
        </w:tc>
        <w:tc>
          <w:tcPr>
            <w:tcW w:w="1548"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color w:val="000000"/>
                <w:sz w:val="24"/>
              </w:rPr>
            </w:pPr>
            <w:r>
              <w:rPr>
                <w:color w:val="000000"/>
                <w:kern w:val="0"/>
                <w:sz w:val="24"/>
              </w:rPr>
              <w:t>实际完成指标值</w:t>
            </w: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vAlign w:val="center"/>
          </w:tcPr>
          <w:p>
            <w:pPr>
              <w:spacing w:line="300" w:lineRule="exact"/>
              <w:jc w:val="center"/>
              <w:rPr>
                <w:color w:val="000000"/>
                <w:sz w:val="24"/>
              </w:rPr>
            </w:pPr>
          </w:p>
        </w:tc>
        <w:tc>
          <w:tcPr>
            <w:tcW w:w="1081" w:type="dxa"/>
            <w:vMerge w:val="restart"/>
            <w:tcBorders>
              <w:top w:val="single" w:color="000000" w:sz="4" w:space="0"/>
              <w:left w:val="single" w:color="000000" w:sz="4" w:space="0"/>
              <w:right w:val="single" w:color="000000" w:sz="4" w:space="0"/>
            </w:tcBorders>
            <w:vAlign w:val="center"/>
          </w:tcPr>
          <w:p>
            <w:pPr>
              <w:spacing w:line="300" w:lineRule="exact"/>
              <w:jc w:val="center"/>
              <w:rPr>
                <w:color w:val="000000"/>
                <w:sz w:val="24"/>
              </w:rPr>
            </w:pPr>
          </w:p>
        </w:tc>
        <w:tc>
          <w:tcPr>
            <w:tcW w:w="1250"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color w:val="000000"/>
                <w:sz w:val="24"/>
              </w:rPr>
            </w:pPr>
            <w:r>
              <w:rPr>
                <w:color w:val="000000"/>
                <w:kern w:val="0"/>
                <w:sz w:val="24"/>
              </w:rPr>
              <w:t>质量指标</w:t>
            </w:r>
          </w:p>
        </w:tc>
        <w:tc>
          <w:tcPr>
            <w:tcW w:w="1312"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color w:val="000000"/>
                <w:kern w:val="0"/>
                <w:sz w:val="24"/>
              </w:rPr>
            </w:pPr>
            <w:r>
              <w:rPr>
                <w:color w:val="000000"/>
                <w:kern w:val="0"/>
                <w:sz w:val="24"/>
              </w:rPr>
              <w:t>项目验收合格率</w:t>
            </w:r>
          </w:p>
        </w:tc>
        <w:tc>
          <w:tcPr>
            <w:tcW w:w="1127"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color w:val="000000"/>
                <w:kern w:val="0"/>
                <w:sz w:val="24"/>
              </w:rPr>
            </w:pPr>
            <w:r>
              <w:rPr>
                <w:color w:val="000000"/>
                <w:kern w:val="0"/>
                <w:sz w:val="24"/>
              </w:rPr>
              <w:t>＝</w:t>
            </w:r>
          </w:p>
        </w:tc>
        <w:tc>
          <w:tcPr>
            <w:tcW w:w="971"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color w:val="000000"/>
                <w:kern w:val="0"/>
                <w:sz w:val="24"/>
              </w:rPr>
            </w:pPr>
            <w:r>
              <w:rPr>
                <w:color w:val="000000"/>
                <w:kern w:val="0"/>
                <w:sz w:val="24"/>
              </w:rPr>
              <w:t>100</w:t>
            </w:r>
          </w:p>
        </w:tc>
        <w:tc>
          <w:tcPr>
            <w:tcW w:w="1061"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color w:val="000000"/>
                <w:kern w:val="0"/>
                <w:sz w:val="24"/>
              </w:rPr>
            </w:pPr>
            <w:r>
              <w:rPr>
                <w:color w:val="000000"/>
                <w:kern w:val="0"/>
                <w:sz w:val="24"/>
              </w:rPr>
              <w:t>%</w:t>
            </w:r>
          </w:p>
        </w:tc>
        <w:tc>
          <w:tcPr>
            <w:tcW w:w="938"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color w:val="000000"/>
                <w:kern w:val="0"/>
                <w:sz w:val="24"/>
              </w:rPr>
            </w:pPr>
            <w:r>
              <w:rPr>
                <w:color w:val="000000"/>
                <w:kern w:val="0"/>
                <w:sz w:val="24"/>
              </w:rPr>
              <w:t>20</w:t>
            </w:r>
          </w:p>
        </w:tc>
        <w:tc>
          <w:tcPr>
            <w:tcW w:w="1548"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24"/>
              </w:rPr>
            </w:pPr>
            <w:r>
              <w:rPr>
                <w:rFonts w:hint="eastAsia"/>
                <w:color w:val="000000"/>
                <w:sz w:val="24"/>
              </w:rPr>
              <w:t>100</w:t>
            </w: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vAlign w:val="center"/>
          </w:tcPr>
          <w:p>
            <w:pPr>
              <w:spacing w:line="300" w:lineRule="exact"/>
              <w:jc w:val="center"/>
              <w:rPr>
                <w:color w:val="000000"/>
                <w:sz w:val="24"/>
              </w:rPr>
            </w:pPr>
          </w:p>
        </w:tc>
        <w:tc>
          <w:tcPr>
            <w:tcW w:w="1081" w:type="dxa"/>
            <w:vMerge w:val="continue"/>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24"/>
              </w:rPr>
            </w:pPr>
          </w:p>
        </w:tc>
        <w:tc>
          <w:tcPr>
            <w:tcW w:w="1250"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color w:val="000000"/>
                <w:sz w:val="24"/>
              </w:rPr>
            </w:pPr>
            <w:r>
              <w:rPr>
                <w:color w:val="000000"/>
                <w:kern w:val="0"/>
                <w:sz w:val="24"/>
              </w:rPr>
              <w:t>时效指标</w:t>
            </w:r>
          </w:p>
        </w:tc>
        <w:tc>
          <w:tcPr>
            <w:tcW w:w="1312"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color w:val="000000"/>
                <w:kern w:val="0"/>
                <w:sz w:val="24"/>
              </w:rPr>
            </w:pPr>
            <w:r>
              <w:rPr>
                <w:color w:val="000000"/>
                <w:kern w:val="0"/>
                <w:sz w:val="24"/>
              </w:rPr>
              <w:t>项目完成年限</w:t>
            </w:r>
          </w:p>
        </w:tc>
        <w:tc>
          <w:tcPr>
            <w:tcW w:w="1127"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color w:val="000000"/>
                <w:kern w:val="0"/>
                <w:sz w:val="24"/>
              </w:rPr>
            </w:pPr>
            <w:r>
              <w:rPr>
                <w:color w:val="000000"/>
                <w:kern w:val="0"/>
                <w:sz w:val="24"/>
              </w:rPr>
              <w:t>＝</w:t>
            </w:r>
          </w:p>
        </w:tc>
        <w:tc>
          <w:tcPr>
            <w:tcW w:w="971"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color w:val="000000"/>
                <w:kern w:val="0"/>
                <w:sz w:val="24"/>
              </w:rPr>
            </w:pPr>
            <w:r>
              <w:rPr>
                <w:color w:val="000000"/>
                <w:kern w:val="0"/>
                <w:sz w:val="24"/>
              </w:rPr>
              <w:t>1</w:t>
            </w:r>
          </w:p>
        </w:tc>
        <w:tc>
          <w:tcPr>
            <w:tcW w:w="1061"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color w:val="000000"/>
                <w:kern w:val="0"/>
                <w:sz w:val="24"/>
              </w:rPr>
            </w:pPr>
            <w:r>
              <w:rPr>
                <w:color w:val="000000"/>
                <w:kern w:val="0"/>
                <w:sz w:val="24"/>
              </w:rPr>
              <w:t>年</w:t>
            </w:r>
          </w:p>
        </w:tc>
        <w:tc>
          <w:tcPr>
            <w:tcW w:w="938"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color w:val="000000"/>
                <w:kern w:val="0"/>
                <w:sz w:val="24"/>
              </w:rPr>
            </w:pPr>
            <w:r>
              <w:rPr>
                <w:color w:val="000000"/>
                <w:kern w:val="0"/>
                <w:sz w:val="24"/>
              </w:rPr>
              <w:t>20</w:t>
            </w:r>
          </w:p>
        </w:tc>
        <w:tc>
          <w:tcPr>
            <w:tcW w:w="1548"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24"/>
              </w:rPr>
            </w:pPr>
            <w:r>
              <w:rPr>
                <w:rFonts w:hint="eastAsia"/>
                <w:color w:val="000000"/>
                <w:sz w:val="24"/>
              </w:rPr>
              <w:t>1</w:t>
            </w: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vAlign w:val="center"/>
          </w:tcPr>
          <w:p>
            <w:pPr>
              <w:spacing w:line="300" w:lineRule="exact"/>
              <w:jc w:val="center"/>
              <w:rPr>
                <w:color w:val="000000"/>
                <w:sz w:val="24"/>
              </w:rPr>
            </w:pPr>
          </w:p>
        </w:tc>
        <w:tc>
          <w:tcPr>
            <w:tcW w:w="1081"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color w:val="000000"/>
                <w:sz w:val="24"/>
              </w:rPr>
            </w:pPr>
            <w:r>
              <w:rPr>
                <w:color w:val="000000"/>
                <w:kern w:val="0"/>
                <w:sz w:val="24"/>
              </w:rPr>
              <w:t>效益指标</w:t>
            </w:r>
          </w:p>
        </w:tc>
        <w:tc>
          <w:tcPr>
            <w:tcW w:w="1250"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color w:val="000000"/>
                <w:kern w:val="0"/>
                <w:sz w:val="24"/>
              </w:rPr>
            </w:pPr>
            <w:r>
              <w:rPr>
                <w:color w:val="000000"/>
                <w:kern w:val="0"/>
                <w:sz w:val="24"/>
              </w:rPr>
              <w:t>经济效益</w:t>
            </w:r>
          </w:p>
          <w:p>
            <w:pPr>
              <w:widowControl/>
              <w:spacing w:line="300" w:lineRule="exact"/>
              <w:jc w:val="center"/>
              <w:textAlignment w:val="center"/>
              <w:rPr>
                <w:color w:val="000000"/>
                <w:sz w:val="24"/>
              </w:rPr>
            </w:pPr>
            <w:r>
              <w:rPr>
                <w:color w:val="000000"/>
                <w:kern w:val="0"/>
                <w:sz w:val="24"/>
              </w:rPr>
              <w:t>指标</w:t>
            </w:r>
          </w:p>
        </w:tc>
        <w:tc>
          <w:tcPr>
            <w:tcW w:w="1312"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color w:val="000000"/>
                <w:kern w:val="0"/>
                <w:sz w:val="24"/>
              </w:rPr>
            </w:pPr>
          </w:p>
        </w:tc>
        <w:tc>
          <w:tcPr>
            <w:tcW w:w="1127"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color w:val="000000"/>
                <w:kern w:val="0"/>
                <w:sz w:val="24"/>
              </w:rPr>
            </w:pPr>
          </w:p>
        </w:tc>
        <w:tc>
          <w:tcPr>
            <w:tcW w:w="971"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color w:val="000000"/>
                <w:kern w:val="0"/>
                <w:sz w:val="24"/>
              </w:rPr>
            </w:pPr>
          </w:p>
        </w:tc>
        <w:tc>
          <w:tcPr>
            <w:tcW w:w="1061"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color w:val="000000"/>
                <w:kern w:val="0"/>
                <w:sz w:val="24"/>
              </w:rPr>
            </w:pPr>
          </w:p>
        </w:tc>
        <w:tc>
          <w:tcPr>
            <w:tcW w:w="938"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color w:val="000000"/>
                <w:kern w:val="0"/>
                <w:sz w:val="24"/>
              </w:rPr>
            </w:pPr>
          </w:p>
        </w:tc>
        <w:tc>
          <w:tcPr>
            <w:tcW w:w="1548"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24"/>
              </w:rPr>
            </w:pP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vAlign w:val="center"/>
          </w:tcPr>
          <w:p>
            <w:pPr>
              <w:spacing w:line="300" w:lineRule="exact"/>
              <w:jc w:val="center"/>
              <w:rPr>
                <w:color w:val="000000"/>
                <w:sz w:val="24"/>
              </w:rPr>
            </w:pPr>
          </w:p>
        </w:tc>
        <w:tc>
          <w:tcPr>
            <w:tcW w:w="1081" w:type="dxa"/>
            <w:vMerge w:val="continue"/>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24"/>
              </w:rPr>
            </w:pPr>
          </w:p>
        </w:tc>
        <w:tc>
          <w:tcPr>
            <w:tcW w:w="1250" w:type="dxa"/>
            <w:vMerge w:val="continue"/>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24"/>
              </w:rPr>
            </w:pPr>
          </w:p>
        </w:tc>
        <w:tc>
          <w:tcPr>
            <w:tcW w:w="1312"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color w:val="000000"/>
                <w:kern w:val="0"/>
                <w:sz w:val="24"/>
              </w:rPr>
            </w:pPr>
          </w:p>
        </w:tc>
        <w:tc>
          <w:tcPr>
            <w:tcW w:w="1127"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color w:val="000000"/>
                <w:kern w:val="0"/>
                <w:sz w:val="24"/>
              </w:rPr>
            </w:pPr>
          </w:p>
        </w:tc>
        <w:tc>
          <w:tcPr>
            <w:tcW w:w="971"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color w:val="000000"/>
                <w:kern w:val="0"/>
                <w:sz w:val="24"/>
              </w:rPr>
            </w:pPr>
          </w:p>
        </w:tc>
        <w:tc>
          <w:tcPr>
            <w:tcW w:w="1061"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color w:val="000000"/>
                <w:kern w:val="0"/>
                <w:sz w:val="24"/>
              </w:rPr>
            </w:pPr>
          </w:p>
        </w:tc>
        <w:tc>
          <w:tcPr>
            <w:tcW w:w="938"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color w:val="000000"/>
                <w:kern w:val="0"/>
                <w:sz w:val="24"/>
              </w:rPr>
            </w:pPr>
          </w:p>
        </w:tc>
        <w:tc>
          <w:tcPr>
            <w:tcW w:w="1548"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24"/>
              </w:rPr>
            </w:pP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vAlign w:val="center"/>
          </w:tcPr>
          <w:p>
            <w:pPr>
              <w:spacing w:line="300" w:lineRule="exact"/>
              <w:jc w:val="center"/>
              <w:rPr>
                <w:color w:val="000000"/>
                <w:sz w:val="24"/>
              </w:rPr>
            </w:pPr>
          </w:p>
        </w:tc>
        <w:tc>
          <w:tcPr>
            <w:tcW w:w="1081" w:type="dxa"/>
            <w:vMerge w:val="continue"/>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24"/>
              </w:rPr>
            </w:pPr>
          </w:p>
        </w:tc>
        <w:tc>
          <w:tcPr>
            <w:tcW w:w="1250" w:type="dxa"/>
            <w:vMerge w:val="restart"/>
            <w:tcBorders>
              <w:top w:val="single" w:color="000000" w:sz="4" w:space="0"/>
              <w:left w:val="single" w:color="000000" w:sz="4" w:space="0"/>
              <w:right w:val="single" w:color="000000" w:sz="4" w:space="0"/>
            </w:tcBorders>
            <w:vAlign w:val="center"/>
          </w:tcPr>
          <w:p>
            <w:pPr>
              <w:widowControl/>
              <w:spacing w:line="300" w:lineRule="exact"/>
              <w:jc w:val="center"/>
              <w:textAlignment w:val="center"/>
              <w:rPr>
                <w:color w:val="000000"/>
                <w:kern w:val="0"/>
                <w:sz w:val="24"/>
              </w:rPr>
            </w:pPr>
            <w:r>
              <w:rPr>
                <w:color w:val="000000"/>
                <w:kern w:val="0"/>
                <w:sz w:val="24"/>
              </w:rPr>
              <w:t>社会效益</w:t>
            </w:r>
          </w:p>
          <w:p>
            <w:pPr>
              <w:widowControl/>
              <w:spacing w:line="300" w:lineRule="exact"/>
              <w:jc w:val="center"/>
              <w:textAlignment w:val="center"/>
              <w:rPr>
                <w:color w:val="000000"/>
                <w:sz w:val="24"/>
              </w:rPr>
            </w:pPr>
            <w:r>
              <w:rPr>
                <w:color w:val="000000"/>
                <w:kern w:val="0"/>
                <w:sz w:val="24"/>
              </w:rPr>
              <w:t>指标</w:t>
            </w:r>
          </w:p>
        </w:tc>
        <w:tc>
          <w:tcPr>
            <w:tcW w:w="1312"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color w:val="000000"/>
                <w:kern w:val="0"/>
                <w:sz w:val="24"/>
              </w:rPr>
            </w:pPr>
            <w:r>
              <w:rPr>
                <w:color w:val="000000"/>
                <w:kern w:val="0"/>
                <w:sz w:val="24"/>
              </w:rPr>
              <w:t>开展党员教育，提高党员思想</w:t>
            </w:r>
          </w:p>
        </w:tc>
        <w:tc>
          <w:tcPr>
            <w:tcW w:w="1127"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color w:val="000000"/>
                <w:kern w:val="0"/>
                <w:sz w:val="24"/>
              </w:rPr>
            </w:pPr>
            <w:r>
              <w:rPr>
                <w:color w:val="000000"/>
                <w:kern w:val="0"/>
                <w:sz w:val="24"/>
              </w:rPr>
              <w:t>定性</w:t>
            </w:r>
          </w:p>
        </w:tc>
        <w:tc>
          <w:tcPr>
            <w:tcW w:w="971"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color w:val="000000"/>
                <w:kern w:val="0"/>
                <w:sz w:val="24"/>
              </w:rPr>
            </w:pPr>
            <w:r>
              <w:rPr>
                <w:color w:val="000000"/>
                <w:kern w:val="0"/>
                <w:sz w:val="24"/>
              </w:rPr>
              <w:t>进一步保障</w:t>
            </w:r>
          </w:p>
        </w:tc>
        <w:tc>
          <w:tcPr>
            <w:tcW w:w="1061"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color w:val="000000"/>
                <w:kern w:val="0"/>
                <w:sz w:val="24"/>
              </w:rPr>
            </w:pPr>
          </w:p>
        </w:tc>
        <w:tc>
          <w:tcPr>
            <w:tcW w:w="938"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color w:val="000000"/>
                <w:kern w:val="0"/>
                <w:sz w:val="24"/>
              </w:rPr>
            </w:pPr>
            <w:r>
              <w:rPr>
                <w:rFonts w:hint="eastAsia"/>
                <w:color w:val="000000"/>
                <w:kern w:val="0"/>
                <w:sz w:val="24"/>
              </w:rPr>
              <w:t>20</w:t>
            </w:r>
          </w:p>
        </w:tc>
        <w:tc>
          <w:tcPr>
            <w:tcW w:w="1548"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24"/>
              </w:rPr>
            </w:pPr>
            <w:r>
              <w:rPr>
                <w:color w:val="000000"/>
                <w:kern w:val="0"/>
                <w:sz w:val="24"/>
              </w:rPr>
              <w:t>进一步保障</w:t>
            </w: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vAlign w:val="center"/>
          </w:tcPr>
          <w:p>
            <w:pPr>
              <w:spacing w:line="300" w:lineRule="exact"/>
              <w:jc w:val="center"/>
              <w:rPr>
                <w:color w:val="000000"/>
                <w:sz w:val="24"/>
              </w:rPr>
            </w:pPr>
          </w:p>
        </w:tc>
        <w:tc>
          <w:tcPr>
            <w:tcW w:w="1081" w:type="dxa"/>
            <w:vMerge w:val="continue"/>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24"/>
              </w:rPr>
            </w:pPr>
          </w:p>
        </w:tc>
        <w:tc>
          <w:tcPr>
            <w:tcW w:w="1250" w:type="dxa"/>
            <w:vMerge w:val="continue"/>
            <w:tcBorders>
              <w:top w:val="single" w:color="000000" w:sz="4" w:space="0"/>
              <w:left w:val="single" w:color="000000" w:sz="4" w:space="0"/>
              <w:right w:val="single" w:color="000000" w:sz="4" w:space="0"/>
            </w:tcBorders>
            <w:vAlign w:val="center"/>
          </w:tcPr>
          <w:p>
            <w:pPr>
              <w:spacing w:line="300" w:lineRule="exact"/>
              <w:jc w:val="center"/>
              <w:rPr>
                <w:color w:val="000000"/>
                <w:sz w:val="24"/>
              </w:rPr>
            </w:pPr>
          </w:p>
        </w:tc>
        <w:tc>
          <w:tcPr>
            <w:tcW w:w="1312" w:type="dxa"/>
            <w:tcBorders>
              <w:top w:val="single" w:color="000000" w:sz="4" w:space="0"/>
              <w:left w:val="single" w:color="000000" w:sz="4" w:space="0"/>
              <w:bottom w:val="single" w:color="000000" w:sz="4" w:space="0"/>
              <w:right w:val="single" w:color="000000" w:sz="4" w:space="0"/>
            </w:tcBorders>
            <w:vAlign w:val="center"/>
          </w:tcPr>
          <w:p>
            <w:pPr>
              <w:spacing w:line="300" w:lineRule="exact"/>
              <w:rPr>
                <w:color w:val="000000"/>
                <w:sz w:val="24"/>
              </w:rPr>
            </w:pPr>
          </w:p>
        </w:tc>
        <w:tc>
          <w:tcPr>
            <w:tcW w:w="1127"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24"/>
              </w:rPr>
            </w:pPr>
          </w:p>
        </w:tc>
        <w:tc>
          <w:tcPr>
            <w:tcW w:w="971"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24"/>
              </w:rPr>
            </w:pPr>
          </w:p>
        </w:tc>
        <w:tc>
          <w:tcPr>
            <w:tcW w:w="1061"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24"/>
              </w:rPr>
            </w:pPr>
          </w:p>
        </w:tc>
        <w:tc>
          <w:tcPr>
            <w:tcW w:w="938"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24"/>
              </w:rPr>
            </w:pPr>
          </w:p>
        </w:tc>
        <w:tc>
          <w:tcPr>
            <w:tcW w:w="1548"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24"/>
              </w:rPr>
            </w:pP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vAlign w:val="center"/>
          </w:tcPr>
          <w:p>
            <w:pPr>
              <w:spacing w:line="300" w:lineRule="exact"/>
              <w:jc w:val="center"/>
              <w:rPr>
                <w:color w:val="000000"/>
                <w:sz w:val="24"/>
              </w:rPr>
            </w:pPr>
          </w:p>
        </w:tc>
        <w:tc>
          <w:tcPr>
            <w:tcW w:w="1081" w:type="dxa"/>
            <w:vMerge w:val="continue"/>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24"/>
              </w:rPr>
            </w:pPr>
          </w:p>
        </w:tc>
        <w:tc>
          <w:tcPr>
            <w:tcW w:w="1250"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color w:val="000000"/>
                <w:sz w:val="24"/>
              </w:rPr>
            </w:pPr>
            <w:r>
              <w:rPr>
                <w:color w:val="000000"/>
                <w:kern w:val="0"/>
                <w:sz w:val="24"/>
              </w:rPr>
              <w:t>......</w:t>
            </w:r>
          </w:p>
        </w:tc>
        <w:tc>
          <w:tcPr>
            <w:tcW w:w="1312" w:type="dxa"/>
            <w:tcBorders>
              <w:top w:val="single" w:color="000000" w:sz="4" w:space="0"/>
              <w:left w:val="single" w:color="000000" w:sz="4" w:space="0"/>
              <w:bottom w:val="single" w:color="000000" w:sz="4" w:space="0"/>
              <w:right w:val="single" w:color="000000" w:sz="4" w:space="0"/>
            </w:tcBorders>
            <w:vAlign w:val="center"/>
          </w:tcPr>
          <w:p>
            <w:pPr>
              <w:spacing w:line="300" w:lineRule="exact"/>
              <w:rPr>
                <w:color w:val="000000"/>
                <w:sz w:val="24"/>
              </w:rPr>
            </w:pPr>
          </w:p>
        </w:tc>
        <w:tc>
          <w:tcPr>
            <w:tcW w:w="1127"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24"/>
              </w:rPr>
            </w:pPr>
          </w:p>
        </w:tc>
        <w:tc>
          <w:tcPr>
            <w:tcW w:w="971"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24"/>
              </w:rPr>
            </w:pPr>
          </w:p>
        </w:tc>
        <w:tc>
          <w:tcPr>
            <w:tcW w:w="1061"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24"/>
              </w:rPr>
            </w:pPr>
          </w:p>
        </w:tc>
        <w:tc>
          <w:tcPr>
            <w:tcW w:w="938"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24"/>
              </w:rPr>
            </w:pPr>
          </w:p>
        </w:tc>
        <w:tc>
          <w:tcPr>
            <w:tcW w:w="1548"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24"/>
              </w:rPr>
            </w:pP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vAlign w:val="center"/>
          </w:tcPr>
          <w:p>
            <w:pPr>
              <w:spacing w:line="300" w:lineRule="exact"/>
              <w:jc w:val="center"/>
              <w:rPr>
                <w:color w:val="000000"/>
                <w:sz w:val="24"/>
              </w:rPr>
            </w:pPr>
          </w:p>
        </w:tc>
        <w:tc>
          <w:tcPr>
            <w:tcW w:w="1081" w:type="dxa"/>
            <w:tcBorders>
              <w:top w:val="single" w:color="000000" w:sz="4" w:space="0"/>
              <w:left w:val="single" w:color="000000" w:sz="4" w:space="0"/>
              <w:right w:val="single" w:color="000000" w:sz="4" w:space="0"/>
            </w:tcBorders>
            <w:vAlign w:val="center"/>
          </w:tcPr>
          <w:p>
            <w:pPr>
              <w:widowControl/>
              <w:spacing w:line="300" w:lineRule="exact"/>
              <w:jc w:val="center"/>
              <w:textAlignment w:val="center"/>
              <w:rPr>
                <w:color w:val="000000"/>
                <w:kern w:val="0"/>
                <w:sz w:val="24"/>
              </w:rPr>
            </w:pPr>
            <w:r>
              <w:rPr>
                <w:color w:val="000000"/>
                <w:kern w:val="0"/>
                <w:sz w:val="24"/>
              </w:rPr>
              <w:t>满意度</w:t>
            </w:r>
          </w:p>
          <w:p>
            <w:pPr>
              <w:widowControl/>
              <w:spacing w:line="300" w:lineRule="exact"/>
              <w:jc w:val="center"/>
              <w:textAlignment w:val="center"/>
              <w:rPr>
                <w:color w:val="000000"/>
                <w:sz w:val="24"/>
              </w:rPr>
            </w:pPr>
            <w:r>
              <w:rPr>
                <w:color w:val="000000"/>
                <w:kern w:val="0"/>
                <w:sz w:val="24"/>
              </w:rPr>
              <w:t>指标</w:t>
            </w:r>
          </w:p>
        </w:tc>
        <w:tc>
          <w:tcPr>
            <w:tcW w:w="1250" w:type="dxa"/>
            <w:tcBorders>
              <w:top w:val="single" w:color="000000" w:sz="4" w:space="0"/>
              <w:left w:val="single" w:color="000000" w:sz="4" w:space="0"/>
              <w:right w:val="single" w:color="000000" w:sz="4" w:space="0"/>
            </w:tcBorders>
            <w:vAlign w:val="center"/>
          </w:tcPr>
          <w:p>
            <w:pPr>
              <w:widowControl/>
              <w:spacing w:line="300" w:lineRule="exact"/>
              <w:jc w:val="center"/>
              <w:textAlignment w:val="center"/>
              <w:rPr>
                <w:color w:val="000000"/>
                <w:kern w:val="0"/>
                <w:sz w:val="24"/>
              </w:rPr>
            </w:pPr>
            <w:r>
              <w:rPr>
                <w:color w:val="000000"/>
                <w:kern w:val="0"/>
                <w:sz w:val="24"/>
              </w:rPr>
              <w:t>服务对象</w:t>
            </w:r>
          </w:p>
          <w:p>
            <w:pPr>
              <w:widowControl/>
              <w:spacing w:line="300" w:lineRule="exact"/>
              <w:jc w:val="center"/>
              <w:textAlignment w:val="center"/>
              <w:rPr>
                <w:color w:val="000000"/>
                <w:sz w:val="24"/>
              </w:rPr>
            </w:pPr>
            <w:r>
              <w:rPr>
                <w:color w:val="000000"/>
                <w:kern w:val="0"/>
                <w:sz w:val="24"/>
              </w:rPr>
              <w:t>满意度指标</w:t>
            </w:r>
          </w:p>
        </w:tc>
        <w:tc>
          <w:tcPr>
            <w:tcW w:w="13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color w:val="000000"/>
                <w:sz w:val="24"/>
              </w:rPr>
            </w:pPr>
            <w:r>
              <w:rPr>
                <w:rFonts w:hint="eastAsia"/>
                <w:color w:val="000000"/>
                <w:sz w:val="24"/>
              </w:rPr>
              <w:t>受益党员满意度</w:t>
            </w:r>
          </w:p>
        </w:tc>
        <w:tc>
          <w:tcPr>
            <w:tcW w:w="112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color w:val="000000"/>
                <w:sz w:val="24"/>
              </w:rPr>
            </w:pPr>
            <w:r>
              <w:rPr>
                <w:rFonts w:ascii="宋体" w:hAnsi="宋体" w:cs="宋体"/>
                <w:color w:val="000000"/>
                <w:kern w:val="0"/>
                <w:sz w:val="18"/>
                <w:szCs w:val="18"/>
              </w:rPr>
              <w:t>≥</w:t>
            </w:r>
          </w:p>
        </w:tc>
        <w:tc>
          <w:tcPr>
            <w:tcW w:w="97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color w:val="000000"/>
                <w:sz w:val="24"/>
              </w:rPr>
            </w:pPr>
            <w:r>
              <w:rPr>
                <w:rFonts w:ascii="宋体" w:hAnsi="宋体" w:cs="宋体"/>
                <w:color w:val="000000"/>
                <w:kern w:val="0"/>
                <w:sz w:val="18"/>
                <w:szCs w:val="18"/>
              </w:rPr>
              <w:t>95</w:t>
            </w:r>
          </w:p>
        </w:tc>
        <w:tc>
          <w:tcPr>
            <w:tcW w:w="10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color w:val="000000"/>
                <w:sz w:val="24"/>
              </w:rPr>
            </w:pPr>
            <w:r>
              <w:rPr>
                <w:rFonts w:ascii="宋体" w:hAnsi="宋体" w:cs="宋体"/>
                <w:color w:val="000000"/>
                <w:kern w:val="0"/>
                <w:sz w:val="18"/>
                <w:szCs w:val="18"/>
              </w:rPr>
              <w:t>%</w:t>
            </w:r>
          </w:p>
        </w:tc>
        <w:tc>
          <w:tcPr>
            <w:tcW w:w="938"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24"/>
              </w:rPr>
            </w:pPr>
            <w:r>
              <w:rPr>
                <w:rFonts w:hint="eastAsia"/>
                <w:color w:val="000000"/>
                <w:sz w:val="24"/>
              </w:rPr>
              <w:t>10</w:t>
            </w:r>
          </w:p>
        </w:tc>
        <w:tc>
          <w:tcPr>
            <w:tcW w:w="1548"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24"/>
              </w:rPr>
            </w:pPr>
            <w:r>
              <w:rPr>
                <w:rFonts w:hint="eastAsia"/>
                <w:color w:val="000000"/>
                <w:sz w:val="24"/>
              </w:rPr>
              <w:t>95</w:t>
            </w: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vAlign w:val="center"/>
          </w:tcPr>
          <w:p>
            <w:pPr>
              <w:spacing w:line="300" w:lineRule="exact"/>
              <w:jc w:val="center"/>
              <w:rPr>
                <w:color w:val="000000"/>
                <w:sz w:val="24"/>
              </w:rPr>
            </w:pPr>
          </w:p>
        </w:tc>
        <w:tc>
          <w:tcPr>
            <w:tcW w:w="1081"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color w:val="000000"/>
                <w:sz w:val="24"/>
              </w:rPr>
            </w:pPr>
            <w:r>
              <w:rPr>
                <w:color w:val="000000"/>
                <w:kern w:val="0"/>
                <w:sz w:val="24"/>
              </w:rPr>
              <w:t>成本指标</w:t>
            </w:r>
          </w:p>
        </w:tc>
        <w:tc>
          <w:tcPr>
            <w:tcW w:w="1250"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color w:val="000000"/>
                <w:kern w:val="0"/>
                <w:sz w:val="24"/>
              </w:rPr>
            </w:pPr>
            <w:r>
              <w:rPr>
                <w:color w:val="000000"/>
                <w:kern w:val="0"/>
                <w:sz w:val="24"/>
              </w:rPr>
              <w:t>经济成本</w:t>
            </w:r>
          </w:p>
          <w:p>
            <w:pPr>
              <w:widowControl/>
              <w:spacing w:line="300" w:lineRule="exact"/>
              <w:jc w:val="center"/>
              <w:textAlignment w:val="center"/>
              <w:rPr>
                <w:color w:val="000000"/>
                <w:sz w:val="24"/>
              </w:rPr>
            </w:pPr>
            <w:r>
              <w:rPr>
                <w:color w:val="000000"/>
                <w:kern w:val="0"/>
                <w:sz w:val="24"/>
              </w:rPr>
              <w:t>指标</w:t>
            </w:r>
          </w:p>
        </w:tc>
        <w:tc>
          <w:tcPr>
            <w:tcW w:w="1312" w:type="dxa"/>
            <w:tcBorders>
              <w:top w:val="single" w:color="000000" w:sz="4" w:space="0"/>
              <w:bottom w:val="single" w:color="000000" w:sz="4" w:space="0"/>
              <w:right w:val="single" w:color="000000" w:sz="4" w:space="0"/>
            </w:tcBorders>
            <w:vAlign w:val="center"/>
          </w:tcPr>
          <w:p>
            <w:pPr>
              <w:widowControl/>
              <w:jc w:val="center"/>
              <w:textAlignment w:val="center"/>
              <w:rPr>
                <w:color w:val="000000"/>
                <w:sz w:val="24"/>
              </w:rPr>
            </w:pPr>
            <w:r>
              <w:rPr>
                <w:rFonts w:hint="eastAsia"/>
                <w:color w:val="000000"/>
                <w:sz w:val="24"/>
              </w:rPr>
              <w:t>项目预算资金</w:t>
            </w:r>
          </w:p>
        </w:tc>
        <w:tc>
          <w:tcPr>
            <w:tcW w:w="112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color w:val="000000"/>
                <w:sz w:val="24"/>
              </w:rPr>
            </w:pPr>
            <w:r>
              <w:rPr>
                <w:rFonts w:hint="eastAsia"/>
                <w:color w:val="000000"/>
                <w:sz w:val="24"/>
              </w:rPr>
              <w:t>＝</w:t>
            </w:r>
          </w:p>
        </w:tc>
        <w:tc>
          <w:tcPr>
            <w:tcW w:w="97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color w:val="000000"/>
                <w:sz w:val="24"/>
              </w:rPr>
            </w:pPr>
            <w:r>
              <w:rPr>
                <w:rFonts w:hint="eastAsia"/>
                <w:color w:val="000000"/>
                <w:sz w:val="24"/>
              </w:rPr>
              <w:t>0.30</w:t>
            </w:r>
          </w:p>
        </w:tc>
        <w:tc>
          <w:tcPr>
            <w:tcW w:w="10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color w:val="000000"/>
                <w:sz w:val="24"/>
              </w:rPr>
            </w:pPr>
            <w:r>
              <w:rPr>
                <w:rFonts w:hint="eastAsia"/>
                <w:color w:val="000000"/>
                <w:sz w:val="24"/>
              </w:rPr>
              <w:t>万元</w:t>
            </w:r>
          </w:p>
        </w:tc>
        <w:tc>
          <w:tcPr>
            <w:tcW w:w="93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color w:val="000000"/>
                <w:sz w:val="24"/>
              </w:rPr>
            </w:pPr>
            <w:r>
              <w:rPr>
                <w:rFonts w:hint="eastAsia"/>
                <w:color w:val="000000"/>
                <w:sz w:val="24"/>
              </w:rPr>
              <w:t>20</w:t>
            </w:r>
          </w:p>
        </w:tc>
        <w:tc>
          <w:tcPr>
            <w:tcW w:w="1548"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24"/>
              </w:rPr>
            </w:pPr>
            <w:r>
              <w:rPr>
                <w:rFonts w:hint="eastAsia"/>
                <w:color w:val="000000"/>
                <w:sz w:val="24"/>
              </w:rPr>
              <w:t>0.30</w:t>
            </w:r>
          </w:p>
        </w:tc>
      </w:tr>
      <w:tr>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vAlign w:val="center"/>
          </w:tcPr>
          <w:p>
            <w:pPr>
              <w:spacing w:line="300" w:lineRule="exact"/>
              <w:jc w:val="center"/>
              <w:rPr>
                <w:color w:val="000000"/>
                <w:sz w:val="24"/>
              </w:rPr>
            </w:pPr>
          </w:p>
        </w:tc>
        <w:tc>
          <w:tcPr>
            <w:tcW w:w="1081" w:type="dxa"/>
            <w:vMerge w:val="continue"/>
            <w:tcBorders>
              <w:top w:val="single" w:color="000000" w:sz="4" w:space="0"/>
              <w:left w:val="single" w:color="000000" w:sz="4" w:space="0"/>
              <w:bottom w:val="single" w:color="000000" w:sz="4" w:space="0"/>
              <w:right w:val="single" w:color="000000" w:sz="4" w:space="0"/>
            </w:tcBorders>
            <w:vAlign w:val="center"/>
          </w:tcPr>
          <w:p>
            <w:pPr>
              <w:spacing w:line="300" w:lineRule="exact"/>
              <w:jc w:val="left"/>
              <w:rPr>
                <w:color w:val="000000"/>
                <w:sz w:val="24"/>
              </w:rPr>
            </w:pPr>
          </w:p>
        </w:tc>
        <w:tc>
          <w:tcPr>
            <w:tcW w:w="1250"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color w:val="000000"/>
                <w:sz w:val="24"/>
              </w:rPr>
            </w:pPr>
            <w:r>
              <w:rPr>
                <w:color w:val="000000"/>
                <w:kern w:val="0"/>
                <w:sz w:val="24"/>
              </w:rPr>
              <w:t>......</w:t>
            </w:r>
          </w:p>
        </w:tc>
        <w:tc>
          <w:tcPr>
            <w:tcW w:w="1312" w:type="dxa"/>
            <w:tcBorders>
              <w:top w:val="single" w:color="000000" w:sz="4" w:space="0"/>
              <w:bottom w:val="single" w:color="000000" w:sz="4" w:space="0"/>
              <w:right w:val="single" w:color="000000" w:sz="4" w:space="0"/>
            </w:tcBorders>
            <w:vAlign w:val="center"/>
          </w:tcPr>
          <w:p>
            <w:pPr>
              <w:spacing w:line="300" w:lineRule="exact"/>
              <w:rPr>
                <w:color w:val="000000"/>
                <w:sz w:val="24"/>
              </w:rPr>
            </w:pPr>
          </w:p>
        </w:tc>
        <w:tc>
          <w:tcPr>
            <w:tcW w:w="1127"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24"/>
              </w:rPr>
            </w:pPr>
          </w:p>
        </w:tc>
        <w:tc>
          <w:tcPr>
            <w:tcW w:w="971"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24"/>
              </w:rPr>
            </w:pPr>
          </w:p>
        </w:tc>
        <w:tc>
          <w:tcPr>
            <w:tcW w:w="1061"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24"/>
              </w:rPr>
            </w:pPr>
          </w:p>
        </w:tc>
        <w:tc>
          <w:tcPr>
            <w:tcW w:w="938"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24"/>
              </w:rPr>
            </w:pPr>
          </w:p>
        </w:tc>
        <w:tc>
          <w:tcPr>
            <w:tcW w:w="1548"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color w:val="000000"/>
                <w:sz w:val="24"/>
              </w:rPr>
            </w:pPr>
          </w:p>
        </w:tc>
      </w:tr>
    </w:tbl>
    <w:p>
      <w:pPr>
        <w:pStyle w:val="13"/>
      </w:pPr>
    </w:p>
    <w:p>
      <w:pPr>
        <w:pStyle w:val="13"/>
      </w:pPr>
    </w:p>
    <w:p>
      <w:pPr>
        <w:pStyle w:val="13"/>
      </w:pPr>
    </w:p>
    <w:p>
      <w:pPr>
        <w:pStyle w:val="13"/>
      </w:pPr>
    </w:p>
    <w:p>
      <w:pPr>
        <w:pStyle w:val="13"/>
      </w:pPr>
    </w:p>
    <w:p>
      <w:pPr>
        <w:pStyle w:val="13"/>
      </w:pPr>
    </w:p>
    <w:p>
      <w:pPr>
        <w:pStyle w:val="13"/>
      </w:pPr>
    </w:p>
    <w:p>
      <w:pPr>
        <w:pStyle w:val="13"/>
      </w:pPr>
    </w:p>
    <w:p>
      <w:pPr>
        <w:pStyle w:val="13"/>
      </w:pPr>
    </w:p>
    <w:p>
      <w:pPr>
        <w:pStyle w:val="13"/>
      </w:pPr>
    </w:p>
    <w:p>
      <w:pPr>
        <w:pStyle w:val="13"/>
      </w:pPr>
    </w:p>
    <w:p>
      <w:pPr>
        <w:pStyle w:val="13"/>
      </w:pPr>
    </w:p>
    <w:p>
      <w:pPr>
        <w:pStyle w:val="13"/>
      </w:pPr>
    </w:p>
    <w:p>
      <w:pPr>
        <w:pStyle w:val="13"/>
      </w:pPr>
    </w:p>
    <w:p>
      <w:pPr>
        <w:pStyle w:val="13"/>
      </w:pPr>
    </w:p>
    <w:p>
      <w:pPr>
        <w:pStyle w:val="13"/>
      </w:pPr>
    </w:p>
    <w:p>
      <w:pPr>
        <w:pStyle w:val="13"/>
      </w:pPr>
    </w:p>
    <w:p>
      <w:pPr>
        <w:pStyle w:val="13"/>
      </w:pPr>
    </w:p>
    <w:p>
      <w:pPr>
        <w:pStyle w:val="13"/>
      </w:pPr>
    </w:p>
    <w:p>
      <w:pPr>
        <w:pStyle w:val="13"/>
      </w:pPr>
    </w:p>
    <w:p>
      <w:pPr>
        <w:pStyle w:val="13"/>
      </w:pPr>
    </w:p>
    <w:p>
      <w:pPr>
        <w:pStyle w:val="13"/>
      </w:pPr>
    </w:p>
    <w:p>
      <w:pPr>
        <w:pStyle w:val="13"/>
      </w:pPr>
    </w:p>
    <w:p>
      <w:pPr>
        <w:pStyle w:val="13"/>
      </w:pPr>
    </w:p>
    <w:p>
      <w:pPr>
        <w:pStyle w:val="13"/>
      </w:pPr>
    </w:p>
    <w:p>
      <w:pPr>
        <w:pStyle w:val="13"/>
      </w:pPr>
    </w:p>
    <w:p>
      <w:pPr>
        <w:pStyle w:val="13"/>
      </w:pPr>
    </w:p>
    <w:p>
      <w:pPr>
        <w:pStyle w:val="3"/>
        <w:jc w:val="center"/>
        <w:rPr>
          <w:rFonts w:ascii="黑体" w:eastAsia="黑体" w:cs="黑体"/>
          <w:b w:val="0"/>
          <w:bCs w:val="0"/>
        </w:rPr>
      </w:pPr>
      <w:bookmarkStart w:id="66" w:name="_Toc79163885"/>
      <w:bookmarkStart w:id="67" w:name="_Toc18435"/>
      <w:bookmarkStart w:id="68" w:name="_Toc111208512"/>
      <w:bookmarkStart w:id="69" w:name="_Toc79163635"/>
      <w:r>
        <w:rPr>
          <w:rFonts w:hint="eastAsia" w:ascii="黑体" w:eastAsia="黑体" w:cs="黑体"/>
          <w:b w:val="0"/>
          <w:bCs w:val="0"/>
        </w:rPr>
        <w:t>第五部分 附表</w:t>
      </w:r>
      <w:bookmarkEnd w:id="66"/>
      <w:bookmarkEnd w:id="67"/>
      <w:bookmarkEnd w:id="68"/>
      <w:bookmarkEnd w:id="69"/>
    </w:p>
    <w:p>
      <w:pPr>
        <w:pStyle w:val="4"/>
        <w:ind w:firstLine="640" w:firstLineChars="200"/>
        <w:rPr>
          <w:rFonts w:ascii="黑体" w:eastAsia="黑体"/>
          <w:b w:val="0"/>
          <w:bCs w:val="0"/>
          <w:color w:val="000000"/>
        </w:rPr>
      </w:pPr>
      <w:bookmarkStart w:id="70" w:name="_Toc10701"/>
      <w:r>
        <w:rPr>
          <w:rFonts w:hint="eastAsia" w:ascii="黑体" w:eastAsia="黑体"/>
          <w:b w:val="0"/>
          <w:bCs w:val="0"/>
          <w:color w:val="000000"/>
        </w:rPr>
        <w:t>一、收入支出决算总表</w:t>
      </w:r>
      <w:bookmarkEnd w:id="70"/>
    </w:p>
    <w:p>
      <w:pPr>
        <w:pStyle w:val="4"/>
        <w:ind w:firstLine="640" w:firstLineChars="200"/>
        <w:rPr>
          <w:rFonts w:ascii="黑体" w:eastAsia="黑体"/>
          <w:b w:val="0"/>
          <w:bCs w:val="0"/>
          <w:color w:val="000000"/>
        </w:rPr>
      </w:pPr>
      <w:bookmarkStart w:id="71" w:name="_Toc21586"/>
      <w:r>
        <w:rPr>
          <w:rFonts w:hint="eastAsia" w:ascii="黑体" w:eastAsia="黑体"/>
          <w:b w:val="0"/>
          <w:bCs w:val="0"/>
          <w:color w:val="000000"/>
        </w:rPr>
        <w:t>二、收入决算表</w:t>
      </w:r>
      <w:bookmarkEnd w:id="71"/>
    </w:p>
    <w:p>
      <w:pPr>
        <w:pStyle w:val="4"/>
        <w:ind w:firstLine="640" w:firstLineChars="200"/>
        <w:rPr>
          <w:rFonts w:ascii="黑体" w:eastAsia="黑体"/>
          <w:b w:val="0"/>
          <w:bCs w:val="0"/>
          <w:color w:val="000000"/>
        </w:rPr>
      </w:pPr>
      <w:bookmarkStart w:id="72" w:name="_Toc11911"/>
      <w:r>
        <w:rPr>
          <w:rFonts w:hint="eastAsia" w:ascii="黑体" w:eastAsia="黑体"/>
          <w:b w:val="0"/>
          <w:bCs w:val="0"/>
          <w:color w:val="000000"/>
        </w:rPr>
        <w:t>三、支出决算表</w:t>
      </w:r>
      <w:bookmarkEnd w:id="72"/>
    </w:p>
    <w:p>
      <w:pPr>
        <w:pStyle w:val="4"/>
        <w:ind w:firstLine="640" w:firstLineChars="200"/>
        <w:rPr>
          <w:rFonts w:ascii="黑体" w:eastAsia="黑体"/>
          <w:b w:val="0"/>
          <w:bCs w:val="0"/>
          <w:color w:val="000000"/>
        </w:rPr>
      </w:pPr>
      <w:bookmarkStart w:id="73" w:name="_Toc30281"/>
      <w:r>
        <w:rPr>
          <w:rFonts w:hint="eastAsia" w:ascii="黑体" w:eastAsia="黑体"/>
          <w:b w:val="0"/>
          <w:bCs w:val="0"/>
          <w:color w:val="000000"/>
        </w:rPr>
        <w:t>四、财政拨款收入支出决算总表</w:t>
      </w:r>
      <w:bookmarkEnd w:id="73"/>
    </w:p>
    <w:p>
      <w:pPr>
        <w:pStyle w:val="4"/>
        <w:ind w:firstLine="640" w:firstLineChars="200"/>
        <w:rPr>
          <w:rFonts w:ascii="黑体" w:eastAsia="黑体"/>
          <w:b w:val="0"/>
          <w:bCs w:val="0"/>
          <w:color w:val="000000"/>
        </w:rPr>
      </w:pPr>
      <w:bookmarkStart w:id="74" w:name="_Toc12497"/>
      <w:r>
        <w:rPr>
          <w:rFonts w:hint="eastAsia" w:ascii="黑体" w:eastAsia="黑体"/>
          <w:b w:val="0"/>
          <w:bCs w:val="0"/>
          <w:color w:val="000000"/>
        </w:rPr>
        <w:t>五、财政拨款支出决算明细表</w:t>
      </w:r>
      <w:bookmarkEnd w:id="74"/>
    </w:p>
    <w:p>
      <w:pPr>
        <w:pStyle w:val="4"/>
        <w:ind w:firstLine="640" w:firstLineChars="200"/>
        <w:rPr>
          <w:rFonts w:ascii="黑体" w:eastAsia="黑体"/>
          <w:b w:val="0"/>
          <w:bCs w:val="0"/>
          <w:color w:val="000000"/>
        </w:rPr>
      </w:pPr>
      <w:bookmarkStart w:id="75" w:name="_Toc19709"/>
      <w:r>
        <w:rPr>
          <w:rFonts w:hint="eastAsia" w:ascii="黑体" w:eastAsia="黑体"/>
          <w:b w:val="0"/>
          <w:bCs w:val="0"/>
          <w:color w:val="000000"/>
        </w:rPr>
        <w:t>六、一般公共预算财政拨款支出决算表</w:t>
      </w:r>
      <w:bookmarkEnd w:id="75"/>
    </w:p>
    <w:p>
      <w:pPr>
        <w:pStyle w:val="4"/>
        <w:ind w:firstLine="640" w:firstLineChars="200"/>
        <w:rPr>
          <w:rFonts w:ascii="黑体" w:eastAsia="黑体"/>
          <w:b w:val="0"/>
          <w:bCs w:val="0"/>
          <w:color w:val="000000"/>
        </w:rPr>
      </w:pPr>
      <w:bookmarkStart w:id="76" w:name="_Toc20892"/>
      <w:r>
        <w:rPr>
          <w:rFonts w:hint="eastAsia" w:ascii="黑体" w:eastAsia="黑体"/>
          <w:b w:val="0"/>
          <w:bCs w:val="0"/>
          <w:color w:val="000000"/>
        </w:rPr>
        <w:t>七、一般公共预算财政拨款支出决算明细表</w:t>
      </w:r>
      <w:bookmarkEnd w:id="76"/>
    </w:p>
    <w:p>
      <w:pPr>
        <w:pStyle w:val="4"/>
        <w:ind w:firstLine="640" w:firstLineChars="200"/>
        <w:rPr>
          <w:rFonts w:ascii="黑体" w:eastAsia="黑体"/>
          <w:b w:val="0"/>
          <w:bCs w:val="0"/>
          <w:color w:val="000000"/>
        </w:rPr>
      </w:pPr>
      <w:bookmarkStart w:id="77" w:name="_Toc17160"/>
      <w:r>
        <w:rPr>
          <w:rFonts w:hint="eastAsia" w:ascii="黑体" w:eastAsia="黑体"/>
          <w:b w:val="0"/>
          <w:bCs w:val="0"/>
          <w:color w:val="000000"/>
        </w:rPr>
        <w:t>八、一般公共预算财政拨款基本支出决算表</w:t>
      </w:r>
      <w:bookmarkEnd w:id="77"/>
    </w:p>
    <w:p>
      <w:pPr>
        <w:pStyle w:val="4"/>
        <w:ind w:firstLine="640" w:firstLineChars="200"/>
        <w:rPr>
          <w:rFonts w:ascii="黑体" w:eastAsia="黑体"/>
          <w:b w:val="0"/>
          <w:bCs w:val="0"/>
          <w:color w:val="000000"/>
        </w:rPr>
      </w:pPr>
      <w:bookmarkStart w:id="78" w:name="_Toc4317"/>
      <w:r>
        <w:rPr>
          <w:rFonts w:hint="eastAsia" w:ascii="黑体" w:eastAsia="黑体"/>
          <w:b w:val="0"/>
          <w:bCs w:val="0"/>
          <w:color w:val="000000"/>
        </w:rPr>
        <w:t>九、一般公共预算财政拨款项目支出决算表</w:t>
      </w:r>
      <w:bookmarkEnd w:id="78"/>
    </w:p>
    <w:p>
      <w:pPr>
        <w:pStyle w:val="4"/>
        <w:ind w:firstLine="640" w:firstLineChars="200"/>
        <w:rPr>
          <w:rFonts w:ascii="黑体" w:eastAsia="黑体"/>
          <w:b w:val="0"/>
          <w:bCs w:val="0"/>
          <w:color w:val="000000"/>
        </w:rPr>
      </w:pPr>
      <w:bookmarkStart w:id="79" w:name="_Toc8510"/>
      <w:r>
        <w:rPr>
          <w:rFonts w:hint="eastAsia" w:ascii="黑体" w:eastAsia="黑体"/>
          <w:b w:val="0"/>
          <w:bCs w:val="0"/>
          <w:color w:val="000000"/>
        </w:rPr>
        <w:t>十、政府性基金预算财政拨款收入支出决算表</w:t>
      </w:r>
      <w:bookmarkEnd w:id="79"/>
    </w:p>
    <w:p>
      <w:pPr>
        <w:pStyle w:val="4"/>
        <w:ind w:firstLine="640" w:firstLineChars="200"/>
        <w:rPr>
          <w:rFonts w:ascii="黑体" w:eastAsia="黑体"/>
          <w:b w:val="0"/>
          <w:bCs w:val="0"/>
          <w:color w:val="000000"/>
        </w:rPr>
      </w:pPr>
      <w:bookmarkStart w:id="80" w:name="_Toc8680"/>
      <w:r>
        <w:rPr>
          <w:rFonts w:hint="eastAsia" w:ascii="黑体" w:eastAsia="黑体"/>
          <w:b w:val="0"/>
          <w:bCs w:val="0"/>
          <w:color w:val="000000"/>
        </w:rPr>
        <w:t>十一、国有资本经营预算财政拨款收入支出决算表</w:t>
      </w:r>
      <w:bookmarkEnd w:id="80"/>
    </w:p>
    <w:p>
      <w:pPr>
        <w:pStyle w:val="4"/>
        <w:ind w:firstLine="640" w:firstLineChars="200"/>
        <w:rPr>
          <w:rFonts w:ascii="黑体" w:eastAsia="黑体"/>
          <w:b w:val="0"/>
          <w:bCs w:val="0"/>
          <w:color w:val="000000"/>
        </w:rPr>
      </w:pPr>
      <w:bookmarkStart w:id="81" w:name="_Toc27700"/>
      <w:r>
        <w:rPr>
          <w:rFonts w:hint="eastAsia" w:ascii="黑体" w:eastAsia="黑体"/>
          <w:b w:val="0"/>
          <w:bCs w:val="0"/>
          <w:color w:val="000000"/>
        </w:rPr>
        <w:t>十二、国有资本经营预算财政拨款支出决算表</w:t>
      </w:r>
      <w:bookmarkEnd w:id="81"/>
    </w:p>
    <w:p>
      <w:pPr>
        <w:pStyle w:val="4"/>
        <w:ind w:firstLine="640" w:firstLineChars="200"/>
        <w:rPr>
          <w:rFonts w:ascii="黑体" w:eastAsia="黑体"/>
          <w:b w:val="0"/>
          <w:bCs w:val="0"/>
          <w:color w:val="000000"/>
        </w:rPr>
      </w:pPr>
      <w:bookmarkStart w:id="82" w:name="_Toc17252"/>
      <w:r>
        <w:rPr>
          <w:rFonts w:hint="eastAsia" w:ascii="黑体" w:eastAsia="黑体"/>
          <w:b w:val="0"/>
          <w:bCs w:val="0"/>
          <w:color w:val="000000"/>
        </w:rPr>
        <w:t>十三、财政拨款“三公”经费支出决算表</w:t>
      </w:r>
      <w:bookmarkEnd w:id="82"/>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0" w:usb3="00000000" w:csb0="00000000"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0000019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Lucida Sans">
    <w:altName w:val="Noto Naskh Arabic"/>
    <w:panose1 w:val="020B0602030504020204"/>
    <w:charset w:val="01"/>
    <w:family w:val="auto"/>
    <w:pitch w:val="default"/>
    <w:sig w:usb0="00000000" w:usb1="00000000" w:usb2="00000000" w:usb3="00000000" w:csb0="00000000" w:csb1="00000000"/>
  </w:font>
  <w:font w:name="Wingdings 2">
    <w:panose1 w:val="05020102010507070707"/>
    <w:charset w:val="02"/>
    <w:family w:val="roman"/>
    <w:pitch w:val="default"/>
    <w:sig w:usb0="00000000" w:usb1="00000000" w:usb2="00000000" w:usb3="00000000" w:csb0="80000000" w:csb1="00000000"/>
  </w:font>
  <w:font w:name="方正书宋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文泉驿正黑">
    <w:panose1 w:val="02000603000000000000"/>
    <w:charset w:val="86"/>
    <w:family w:val="auto"/>
    <w:pitch w:val="default"/>
    <w:sig w:usb0="900002BF" w:usb1="2BDF7DFB" w:usb2="00000036" w:usb3="00000000" w:csb0="603E000D" w:csb1="D2D70000"/>
  </w:font>
  <w:font w:name="方正仿宋_GBK">
    <w:panose1 w:val="02000000000000000000"/>
    <w:charset w:val="86"/>
    <w:family w:val="auto"/>
    <w:pitch w:val="default"/>
    <w:sig w:usb0="A00002BF" w:usb1="38CF7CFA" w:usb2="00082016" w:usb3="00000000" w:csb0="00040001" w:csb1="00000000"/>
  </w:font>
  <w:font w:name="Noto Sans Syriac Eastern">
    <w:panose1 w:val="02040503050306020203"/>
    <w:charset w:val="86"/>
    <w:family w:val="auto"/>
    <w:pitch w:val="default"/>
    <w:sig w:usb0="00000000" w:usb1="00000000" w:usb2="00000080" w:usb3="00000000" w:csb0="203E0161" w:csb1="D7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pPr>
          <w:pStyle w:val="13"/>
          <w:jc w:val="center"/>
        </w:pPr>
        <w:r>
          <w:fldChar w:fldCharType="begin"/>
        </w:r>
        <w:r>
          <w:instrText xml:space="preserve">PAGE   \* MERGEFORMAT</w:instrText>
        </w:r>
        <w:r>
          <w:fldChar w:fldCharType="separate"/>
        </w:r>
        <w:r>
          <w:rPr>
            <w:lang w:val="zh-CN"/>
          </w:rPr>
          <w:t>3</w:t>
        </w:r>
        <w:r>
          <w:fldChar w:fldCharType="end"/>
        </w:r>
      </w:p>
    </w:sdtContent>
  </w:sdt>
  <w:p>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FA047D"/>
    <w:multiLevelType w:val="singleLevel"/>
    <w:tmpl w:val="E2FA047D"/>
    <w:lvl w:ilvl="0" w:tentative="0">
      <w:start w:val="3"/>
      <w:numFmt w:val="chineseCounting"/>
      <w:suff w:val="space"/>
      <w:lvlText w:val="第%1部分"/>
      <w:lvlJc w:val="left"/>
      <w:rPr>
        <w:rFonts w:hint="eastAsia" w:ascii="黑体" w:hAnsi="黑体" w:eastAsia="黑体" w:cs="黑体"/>
        <w:sz w:val="44"/>
        <w:szCs w:val="44"/>
      </w:rPr>
    </w:lvl>
  </w:abstractNum>
  <w:abstractNum w:abstractNumId="1">
    <w:nsid w:val="443FA922"/>
    <w:multiLevelType w:val="singleLevel"/>
    <w:tmpl w:val="443FA922"/>
    <w:lvl w:ilvl="0" w:tentative="0">
      <w:start w:val="3"/>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dit="readOnly" w:enforcement="0"/>
  <w:defaultTabStop w:val="420"/>
  <w:drawingGridHorizontalSpacing w:val="105"/>
  <w:drawingGridVerticalSpacing w:val="156"/>
  <w:noPunctuationKerning w:val="1"/>
  <w:characterSpacingControl w:val="compressPunctuation"/>
  <w:compat>
    <w:spaceForUL/>
    <w:balanceSingleByteDoubleByteWidth/>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Q1YTUwNmMwNTRjM2JmNGQ4NmRkYzUwOGZlNjkwMTUifQ=="/>
  </w:docVars>
  <w:rsids>
    <w:rsidRoot w:val="00C90F54"/>
    <w:rsid w:val="00C06478"/>
    <w:rsid w:val="00C90F54"/>
    <w:rsid w:val="00EC3365"/>
    <w:rsid w:val="011E1FE4"/>
    <w:rsid w:val="01680E90"/>
    <w:rsid w:val="03E5328D"/>
    <w:rsid w:val="043400F8"/>
    <w:rsid w:val="06FE6B3F"/>
    <w:rsid w:val="08087E41"/>
    <w:rsid w:val="0984310B"/>
    <w:rsid w:val="12331DD5"/>
    <w:rsid w:val="14321BD6"/>
    <w:rsid w:val="14D47131"/>
    <w:rsid w:val="152359C3"/>
    <w:rsid w:val="1609344E"/>
    <w:rsid w:val="170F0A7C"/>
    <w:rsid w:val="18DC6E72"/>
    <w:rsid w:val="1A493575"/>
    <w:rsid w:val="1D322F3A"/>
    <w:rsid w:val="1DDC6B5F"/>
    <w:rsid w:val="1F1B1694"/>
    <w:rsid w:val="1FFFCCF0"/>
    <w:rsid w:val="21FC44C6"/>
    <w:rsid w:val="22AB05A0"/>
    <w:rsid w:val="2399097C"/>
    <w:rsid w:val="23F724F4"/>
    <w:rsid w:val="286538A1"/>
    <w:rsid w:val="2E2A1718"/>
    <w:rsid w:val="2F145784"/>
    <w:rsid w:val="32002097"/>
    <w:rsid w:val="32A60CE7"/>
    <w:rsid w:val="33E84AD3"/>
    <w:rsid w:val="34521F12"/>
    <w:rsid w:val="348002E4"/>
    <w:rsid w:val="3AA047E2"/>
    <w:rsid w:val="3AD8588A"/>
    <w:rsid w:val="3B984D46"/>
    <w:rsid w:val="3C19156B"/>
    <w:rsid w:val="3CFC3398"/>
    <w:rsid w:val="3D0748B7"/>
    <w:rsid w:val="3D954E00"/>
    <w:rsid w:val="3E9F3D09"/>
    <w:rsid w:val="431F0CA0"/>
    <w:rsid w:val="437A037E"/>
    <w:rsid w:val="445F4429"/>
    <w:rsid w:val="45BB73CE"/>
    <w:rsid w:val="4A111F5F"/>
    <w:rsid w:val="4A5F092C"/>
    <w:rsid w:val="4AD06550"/>
    <w:rsid w:val="4B87070A"/>
    <w:rsid w:val="4CC76A20"/>
    <w:rsid w:val="4D06088D"/>
    <w:rsid w:val="4F162706"/>
    <w:rsid w:val="4FA436B8"/>
    <w:rsid w:val="541B303D"/>
    <w:rsid w:val="59253085"/>
    <w:rsid w:val="59F7625F"/>
    <w:rsid w:val="5BBD24B9"/>
    <w:rsid w:val="5CFB23C4"/>
    <w:rsid w:val="5F7A2B10"/>
    <w:rsid w:val="60653B68"/>
    <w:rsid w:val="60F32C4A"/>
    <w:rsid w:val="61CB1252"/>
    <w:rsid w:val="62EB255A"/>
    <w:rsid w:val="67F7830D"/>
    <w:rsid w:val="68132EF5"/>
    <w:rsid w:val="69963611"/>
    <w:rsid w:val="6A964B0D"/>
    <w:rsid w:val="6AEA6876"/>
    <w:rsid w:val="6BB9332F"/>
    <w:rsid w:val="6C247B71"/>
    <w:rsid w:val="6E8403F6"/>
    <w:rsid w:val="6EB10CA6"/>
    <w:rsid w:val="6FC20E0C"/>
    <w:rsid w:val="75F38D7B"/>
    <w:rsid w:val="7715608F"/>
    <w:rsid w:val="77316C41"/>
    <w:rsid w:val="77560441"/>
    <w:rsid w:val="77711C40"/>
    <w:rsid w:val="7A0917AF"/>
    <w:rsid w:val="7A632C76"/>
    <w:rsid w:val="7DB73259"/>
    <w:rsid w:val="7F1D0D27"/>
    <w:rsid w:val="7F5FB1F7"/>
    <w:rsid w:val="7F8BEB5A"/>
    <w:rsid w:val="F257B9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1"/>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spacing w:before="260" w:after="260" w:line="415" w:lineRule="auto"/>
      <w:outlineLvl w:val="1"/>
    </w:pPr>
    <w:rPr>
      <w:rFonts w:ascii="Cambria" w:hAnsi="Cambria"/>
      <w:b/>
      <w:bCs/>
      <w:sz w:val="32"/>
      <w:szCs w:val="32"/>
    </w:rPr>
  </w:style>
  <w:style w:type="paragraph" w:styleId="5">
    <w:name w:val="heading 3"/>
    <w:basedOn w:val="1"/>
    <w:next w:val="1"/>
    <w:qFormat/>
    <w:uiPriority w:val="0"/>
    <w:pPr>
      <w:keepNext/>
      <w:keepLines/>
      <w:spacing w:before="260" w:after="260" w:line="415" w:lineRule="auto"/>
      <w:outlineLvl w:val="2"/>
    </w:pPr>
    <w:rPr>
      <w:b/>
      <w:bCs/>
      <w:sz w:val="32"/>
      <w:szCs w:val="32"/>
    </w:rPr>
  </w:style>
  <w:style w:type="character" w:default="1" w:styleId="20">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customStyle="1" w:styleId="2">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paragraph" w:styleId="6">
    <w:name w:val="Normal Indent"/>
    <w:basedOn w:val="1"/>
    <w:qFormat/>
    <w:uiPriority w:val="0"/>
    <w:pPr>
      <w:ind w:firstLine="680"/>
    </w:pPr>
  </w:style>
  <w:style w:type="paragraph" w:styleId="7">
    <w:name w:val="annotation text"/>
    <w:basedOn w:val="1"/>
    <w:qFormat/>
    <w:uiPriority w:val="0"/>
    <w:pPr>
      <w:jc w:val="left"/>
    </w:pPr>
  </w:style>
  <w:style w:type="paragraph" w:styleId="8">
    <w:name w:val="Body Text"/>
    <w:basedOn w:val="1"/>
    <w:qFormat/>
    <w:uiPriority w:val="0"/>
    <w:pPr>
      <w:spacing w:beforeLines="30"/>
    </w:pPr>
    <w:rPr>
      <w:rFonts w:ascii="仿宋_GB2312" w:eastAsia="仿宋_GB2312"/>
      <w:kern w:val="0"/>
      <w:sz w:val="30"/>
    </w:rPr>
  </w:style>
  <w:style w:type="paragraph" w:styleId="9">
    <w:name w:val="Body Text Indent"/>
    <w:basedOn w:val="1"/>
    <w:next w:val="10"/>
    <w:qFormat/>
    <w:uiPriority w:val="0"/>
    <w:pPr>
      <w:spacing w:after="120"/>
      <w:ind w:left="200" w:leftChars="200"/>
    </w:pPr>
    <w:rPr>
      <w:rFonts w:ascii="仿宋_GB2312"/>
      <w:szCs w:val="32"/>
    </w:rPr>
  </w:style>
  <w:style w:type="paragraph" w:styleId="10">
    <w:name w:val="Body Text First Indent 2"/>
    <w:basedOn w:val="9"/>
    <w:unhideWhenUsed/>
    <w:qFormat/>
    <w:uiPriority w:val="99"/>
    <w:pPr>
      <w:ind w:firstLine="420" w:firstLineChars="200"/>
    </w:pPr>
  </w:style>
  <w:style w:type="paragraph" w:styleId="11">
    <w:name w:val="toc 3"/>
    <w:basedOn w:val="1"/>
    <w:next w:val="1"/>
    <w:qFormat/>
    <w:uiPriority w:val="0"/>
    <w:pPr>
      <w:tabs>
        <w:tab w:val="right" w:leader="dot" w:pos="8296"/>
      </w:tabs>
      <w:ind w:left="400" w:leftChars="400"/>
    </w:pPr>
  </w:style>
  <w:style w:type="paragraph" w:styleId="12">
    <w:name w:val="Balloon Text"/>
    <w:basedOn w:val="1"/>
    <w:qFormat/>
    <w:uiPriority w:val="0"/>
    <w:rPr>
      <w:sz w:val="18"/>
      <w:szCs w:val="18"/>
    </w:rPr>
  </w:style>
  <w:style w:type="paragraph" w:styleId="13">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4">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5">
    <w:name w:val="toc 1"/>
    <w:basedOn w:val="1"/>
    <w:next w:val="1"/>
    <w:qFormat/>
    <w:uiPriority w:val="0"/>
    <w:pPr>
      <w:tabs>
        <w:tab w:val="right" w:leader="dot" w:pos="8296"/>
      </w:tabs>
      <w:spacing w:before="93"/>
      <w:jc w:val="center"/>
    </w:pPr>
    <w:rPr>
      <w:rFonts w:ascii="仿宋" w:eastAsia="仿宋"/>
      <w:sz w:val="28"/>
      <w:szCs w:val="28"/>
    </w:rPr>
  </w:style>
  <w:style w:type="paragraph" w:styleId="16">
    <w:name w:val="footnote text"/>
    <w:basedOn w:val="1"/>
    <w:next w:val="10"/>
    <w:semiHidden/>
    <w:qFormat/>
    <w:uiPriority w:val="0"/>
    <w:pPr>
      <w:snapToGrid w:val="0"/>
      <w:jc w:val="left"/>
    </w:pPr>
    <w:rPr>
      <w:sz w:val="18"/>
      <w:szCs w:val="18"/>
    </w:rPr>
  </w:style>
  <w:style w:type="paragraph" w:styleId="17">
    <w:name w:val="table of figures"/>
    <w:basedOn w:val="1"/>
    <w:next w:val="1"/>
    <w:qFormat/>
    <w:uiPriority w:val="0"/>
    <w:pPr>
      <w:ind w:left="400" w:leftChars="200" w:hanging="200" w:hangingChars="200"/>
    </w:pPr>
  </w:style>
  <w:style w:type="paragraph" w:styleId="18">
    <w:name w:val="toc 2"/>
    <w:basedOn w:val="1"/>
    <w:next w:val="1"/>
    <w:qFormat/>
    <w:uiPriority w:val="0"/>
    <w:pPr>
      <w:tabs>
        <w:tab w:val="right" w:leader="dot" w:pos="8296"/>
      </w:tabs>
      <w:ind w:left="200" w:leftChars="200"/>
    </w:pPr>
  </w:style>
  <w:style w:type="character" w:styleId="21">
    <w:name w:val="Strong"/>
    <w:basedOn w:val="20"/>
    <w:qFormat/>
    <w:uiPriority w:val="0"/>
    <w:rPr>
      <w:b/>
    </w:rPr>
  </w:style>
  <w:style w:type="character" w:styleId="22">
    <w:name w:val="Hyperlink"/>
    <w:basedOn w:val="20"/>
    <w:qFormat/>
    <w:uiPriority w:val="0"/>
    <w:rPr>
      <w:color w:val="0000FF"/>
      <w:u w:val="single"/>
    </w:rPr>
  </w:style>
  <w:style w:type="character" w:styleId="23">
    <w:name w:val="annotation reference"/>
    <w:basedOn w:val="20"/>
    <w:qFormat/>
    <w:uiPriority w:val="0"/>
    <w:rPr>
      <w:sz w:val="21"/>
      <w:szCs w:val="21"/>
    </w:rPr>
  </w:style>
  <w:style w:type="character" w:customStyle="1" w:styleId="24">
    <w:name w:val="heading 1 Char"/>
    <w:basedOn w:val="20"/>
    <w:link w:val="3"/>
    <w:qFormat/>
    <w:uiPriority w:val="0"/>
    <w:rPr>
      <w:rFonts w:ascii="Times New Roman" w:hAnsi="Times New Roman" w:eastAsia="宋体" w:cs="Times New Roman"/>
      <w:b/>
      <w:bCs/>
      <w:kern w:val="44"/>
      <w:sz w:val="44"/>
      <w:szCs w:val="44"/>
      <w:lang w:val="en-US" w:eastAsia="zh-CN" w:bidi="ar-SA"/>
    </w:rPr>
  </w:style>
  <w:style w:type="paragraph" w:customStyle="1" w:styleId="25">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character" w:customStyle="1" w:styleId="26">
    <w:name w:val="Header Char"/>
    <w:basedOn w:val="20"/>
    <w:qFormat/>
    <w:uiPriority w:val="0"/>
    <w:rPr>
      <w:rFonts w:ascii="Times New Roman" w:hAnsi="Times New Roman"/>
      <w:sz w:val="18"/>
      <w:szCs w:val="18"/>
    </w:rPr>
  </w:style>
  <w:style w:type="character" w:customStyle="1" w:styleId="27">
    <w:name w:val="Footer Char"/>
    <w:basedOn w:val="20"/>
    <w:qFormat/>
    <w:uiPriority w:val="0"/>
    <w:rPr>
      <w:rFonts w:ascii="Times New Roman" w:hAnsi="Times New Roman"/>
      <w:sz w:val="18"/>
      <w:szCs w:val="18"/>
    </w:rPr>
  </w:style>
  <w:style w:type="character" w:customStyle="1" w:styleId="28">
    <w:name w:val="Body Text Char"/>
    <w:basedOn w:val="20"/>
    <w:qFormat/>
    <w:uiPriority w:val="0"/>
    <w:rPr>
      <w:rFonts w:ascii="Times New Roman" w:hAnsi="Times New Roman"/>
      <w:szCs w:val="24"/>
    </w:rPr>
  </w:style>
  <w:style w:type="paragraph" w:styleId="29">
    <w:name w:val="List Paragraph"/>
    <w:basedOn w:val="1"/>
    <w:qFormat/>
    <w:uiPriority w:val="0"/>
    <w:pPr>
      <w:ind w:firstLine="200" w:firstLineChars="200"/>
    </w:pPr>
  </w:style>
  <w:style w:type="paragraph" w:customStyle="1" w:styleId="30">
    <w:name w:val="TOC 标题1"/>
    <w:basedOn w:val="3"/>
    <w:next w:val="1"/>
    <w:qFormat/>
    <w:uiPriority w:val="0"/>
    <w:pPr>
      <w:widowControl/>
      <w:spacing w:before="480" w:after="0" w:line="276" w:lineRule="auto"/>
      <w:jc w:val="left"/>
      <w:outlineLvl w:val="9"/>
    </w:pPr>
    <w:rPr>
      <w:rFonts w:ascii="Cambria" w:hAnsi="Cambria"/>
      <w:color w:val="376092"/>
      <w:kern w:val="0"/>
      <w:sz w:val="28"/>
      <w:szCs w:val="28"/>
    </w:rPr>
  </w:style>
  <w:style w:type="character" w:customStyle="1" w:styleId="31">
    <w:name w:val="标题 1 Char"/>
    <w:basedOn w:val="20"/>
    <w:link w:val="3"/>
    <w:qFormat/>
    <w:uiPriority w:val="9"/>
    <w:rPr>
      <w:rFonts w:ascii="Times New Roman" w:hAnsi="Times New Roman"/>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0" vertOverflow="ellipsis" vert="horz" wrap="square" anchor="ctr" anchorCtr="1"/>
          <a:lstStyle/>
          <a:p>
            <a:pPr defTabSz="914400">
              <a:defRPr lang="zh-CN" sz="1400" b="1" i="0" u="none" strike="noStrike" kern="1200" baseline="0">
                <a:solidFill>
                  <a:schemeClr val="dk1">
                    <a:lumMod val="75000"/>
                    <a:lumOff val="25000"/>
                  </a:schemeClr>
                </a:solidFill>
                <a:latin typeface="+mn-lt"/>
                <a:ea typeface="+mn-ea"/>
                <a:cs typeface="+mn-cs"/>
              </a:defRPr>
            </a:pPr>
            <a:r>
              <a:t>收、支决算总计变动情况表</a:t>
            </a:r>
          </a:p>
          <a:p>
            <a:pPr defTabSz="914400">
              <a:defRPr lang="zh-CN" sz="1400" b="1" i="0" u="none" strike="noStrike" kern="1200" baseline="0">
                <a:solidFill>
                  <a:schemeClr val="dk1">
                    <a:lumMod val="75000"/>
                    <a:lumOff val="25000"/>
                  </a:schemeClr>
                </a:solidFill>
                <a:latin typeface="+mn-lt"/>
                <a:ea typeface="+mn-ea"/>
                <a:cs typeface="+mn-cs"/>
              </a:defRPr>
            </a:pPr>
          </a:p>
        </c:rich>
      </c:tx>
      <c:layout/>
      <c:overlay val="0"/>
      <c:spPr>
        <a:noFill/>
        <a:ln>
          <a:noFill/>
        </a:ln>
        <a:effectLst/>
      </c:spPr>
    </c:title>
    <c:autoTitleDeleted val="0"/>
    <c:plotArea>
      <c:layout>
        <c:manualLayout>
          <c:layoutTarget val="inner"/>
          <c:xMode val="edge"/>
          <c:yMode val="edge"/>
          <c:x val="0.0614399613433196"/>
          <c:y val="0.233319167020824"/>
          <c:w val="0.908359507127325"/>
          <c:h val="0.567658308542286"/>
        </c:manualLayout>
      </c:layout>
      <c:barChart>
        <c:barDir val="col"/>
        <c:grouping val="stacked"/>
        <c:varyColors val="0"/>
        <c:ser>
          <c:idx val="0"/>
          <c:order val="0"/>
          <c:tx>
            <c:strRef>
              <c:f>Sheet1!$B$1</c:f>
              <c:strCache>
                <c:ptCount val="1"/>
                <c:pt idx="0">
                  <c:v>收、支决算总计变动情况图</c:v>
                </c:pt>
              </c:strCache>
            </c:strRef>
          </c:tx>
          <c:spPr>
            <a:gradFill>
              <a:gsLst>
                <a:gs pos="100000">
                  <a:schemeClr val="accent2"/>
                </a:gs>
                <a:gs pos="0">
                  <a:schemeClr val="accent2">
                    <a:hueOff val="-1670000"/>
                  </a:schemeClr>
                </a:gs>
              </a:gsLst>
              <a:lin ang="5400000" scaled="0"/>
            </a:gradFill>
            <a:ln>
              <a:gradFill>
                <a:gsLst>
                  <a:gs pos="100000">
                    <a:schemeClr val="accent2">
                      <a:lumMod val="75000"/>
                    </a:schemeClr>
                  </a:gs>
                  <a:gs pos="0">
                    <a:schemeClr val="accent2">
                      <a:lumMod val="75000"/>
                      <a:hueOff val="-1670000"/>
                    </a:schemeClr>
                  </a:gs>
                </a:gsLst>
                <a:lin ang="4620000" scaled="0"/>
              </a:grad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dk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35000"/>
                          <a:lumOff val="65000"/>
                        </a:schemeClr>
                      </a:solidFill>
                    </a:ln>
                    <a:effectLst/>
                  </c:spPr>
                </c15:leaderLines>
              </c:ext>
            </c:extLst>
          </c:dLbls>
          <c:cat>
            <c:strRef>
              <c:f>Sheet1!$A$2:$A$3</c:f>
              <c:strCache>
                <c:ptCount val="2"/>
                <c:pt idx="0">
                  <c:v>2023年</c:v>
                </c:pt>
                <c:pt idx="1">
                  <c:v>2024年</c:v>
                </c:pt>
              </c:strCache>
            </c:strRef>
          </c:cat>
          <c:val>
            <c:numRef>
              <c:f>Sheet1!$B$2:$B$3</c:f>
              <c:numCache>
                <c:formatCode>General</c:formatCode>
                <c:ptCount val="2"/>
                <c:pt idx="0">
                  <c:v>1106.53</c:v>
                </c:pt>
                <c:pt idx="1">
                  <c:v>1187.29</c:v>
                </c:pt>
              </c:numCache>
            </c:numRef>
          </c:val>
        </c:ser>
        <c:dLbls>
          <c:showLegendKey val="0"/>
          <c:showVal val="1"/>
          <c:showCatName val="0"/>
          <c:showSerName val="0"/>
          <c:showPercent val="0"/>
          <c:showBubbleSize val="0"/>
        </c:dLbls>
        <c:gapWidth val="500"/>
        <c:overlap val="100"/>
        <c:axId val="110612864"/>
        <c:axId val="110614784"/>
      </c:barChart>
      <c:catAx>
        <c:axId val="110612864"/>
        <c:scaling>
          <c:orientation val="minMax"/>
        </c:scaling>
        <c:delete val="0"/>
        <c:axPos val="b"/>
        <c:majorTickMark val="none"/>
        <c:minorTickMark val="none"/>
        <c:tickLblPos val="nextTo"/>
        <c:spPr>
          <a:noFill/>
          <a:ln w="9525" cap="flat" cmpd="sng" algn="ctr">
            <a:solidFill>
              <a:schemeClr val="dk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crossAx val="110614784"/>
        <c:crosses val="autoZero"/>
        <c:auto val="1"/>
        <c:lblAlgn val="ctr"/>
        <c:lblOffset val="100"/>
        <c:noMultiLvlLbl val="0"/>
      </c:catAx>
      <c:valAx>
        <c:axId val="110614784"/>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crossAx val="110612864"/>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legend>
    <c:plotVisOnly val="1"/>
    <c:dispBlanksAs val="gap"/>
    <c:showDLblsOverMax val="0"/>
  </c:chart>
  <c:spPr>
    <a:solidFill>
      <a:schemeClr val="lt1">
        <a:lumMod val="96000"/>
      </a:schemeClr>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t" anchorCtr="0"/>
          <a:lstStyle/>
          <a:p>
            <a:pPr>
              <a:defRPr lang="zh-CN" sz="1800" b="1" i="0" u="none" strike="noStrike" kern="1200" baseline="0">
                <a:solidFill>
                  <a:srgbClr val="000000"/>
                </a:solidFill>
                <a:latin typeface="Times New Roman" panose="02020603050405020304"/>
                <a:ea typeface="宋体" charset="-122"/>
                <a:cs typeface="Lucida Sans" panose="020B0602030504020204"/>
              </a:defRPr>
            </a:pPr>
            <a:r>
              <a:rPr lang="zh-CN"/>
              <a:t>收入决算结构图</a:t>
            </a:r>
            <a:endParaRPr lang="zh-CN"/>
          </a:p>
        </c:rich>
      </c:tx>
      <c:layout/>
      <c:overlay val="0"/>
      <c:spPr>
        <a:ln>
          <a:noFill/>
        </a:ln>
      </c:spPr>
    </c:title>
    <c:autoTitleDeleted val="0"/>
    <c:plotArea>
      <c:layout/>
      <c:pieChart>
        <c:varyColors val="1"/>
        <c:ser>
          <c:idx val="1"/>
          <c:order val="0"/>
          <c:spPr>
            <a:solidFill>
              <a:srgbClr val="C0504D"/>
            </a:solidFill>
            <a:ln>
              <a:noFill/>
            </a:ln>
          </c:spPr>
          <c:explosion val="0"/>
          <c:dPt>
            <c:idx val="0"/>
            <c:bubble3D val="0"/>
            <c:spPr>
              <a:solidFill>
                <a:srgbClr val="4572A7"/>
              </a:solidFill>
              <a:ln>
                <a:noFill/>
              </a:ln>
            </c:spPr>
          </c:dPt>
          <c:dPt>
            <c:idx val="1"/>
            <c:bubble3D val="0"/>
            <c:spPr>
              <a:solidFill>
                <a:srgbClr val="AA4643"/>
              </a:solidFill>
              <a:ln>
                <a:noFill/>
              </a:ln>
            </c:spPr>
          </c:dPt>
          <c:dPt>
            <c:idx val="2"/>
            <c:bubble3D val="0"/>
            <c:spPr>
              <a:solidFill>
                <a:srgbClr val="89A54E"/>
              </a:solidFill>
              <a:ln>
                <a:noFill/>
              </a:ln>
            </c:spPr>
          </c:dPt>
          <c:dPt>
            <c:idx val="3"/>
            <c:bubble3D val="0"/>
            <c:spPr>
              <a:solidFill>
                <a:srgbClr val="71588F"/>
              </a:solidFill>
              <a:ln>
                <a:noFill/>
              </a:ln>
            </c:spPr>
          </c:dPt>
          <c:dPt>
            <c:idx val="4"/>
            <c:bubble3D val="0"/>
            <c:spPr>
              <a:solidFill>
                <a:srgbClr val="4198AF"/>
              </a:solidFill>
              <a:ln>
                <a:noFill/>
              </a:ln>
            </c:spPr>
          </c:dPt>
          <c:dPt>
            <c:idx val="5"/>
            <c:bubble3D val="0"/>
            <c:spPr>
              <a:solidFill>
                <a:srgbClr val="DB843D"/>
              </a:solidFill>
              <a:ln>
                <a:noFill/>
              </a:ln>
            </c:spPr>
          </c:dPt>
          <c:dPt>
            <c:idx val="6"/>
            <c:bubble3D val="0"/>
            <c:spPr>
              <a:solidFill>
                <a:srgbClr val="93A9CF"/>
              </a:solidFill>
              <a:ln>
                <a:noFill/>
              </a:ln>
            </c:spPr>
          </c:dPt>
          <c:dPt>
            <c:idx val="7"/>
            <c:bubble3D val="0"/>
            <c:spPr>
              <a:solidFill>
                <a:srgbClr val="D19392"/>
              </a:solidFill>
              <a:ln>
                <a:noFill/>
              </a:ln>
            </c:spPr>
          </c:dPt>
          <c:dLbls>
            <c:numFmt formatCode="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charset="-122"/>
                    <a:cs typeface="Lucida Sans" panose="020B0602030504020204"/>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{"一般公共预算财政拨款收入","政府性基金预算财政拨款收入","国有资本经营预算财政拨款收入","上级补助收入","事业收入","经营收入","附属单位上缴收入","其他收入"}</c:f>
              <c:strCache>
                <c:ptCount val="8"/>
                <c:pt idx="0">
                  <c:v>一般公共预算财政拨款收入</c:v>
                </c:pt>
                <c:pt idx="1">
                  <c:v>政府性基金预算财政拨款收入</c:v>
                </c:pt>
                <c:pt idx="2">
                  <c:v>国有资本经营预算财政拨款收入</c:v>
                </c:pt>
                <c:pt idx="3">
                  <c:v>上级补助收入</c:v>
                </c:pt>
                <c:pt idx="4">
                  <c:v>事业收入</c:v>
                </c:pt>
                <c:pt idx="5">
                  <c:v>经营收入</c:v>
                </c:pt>
                <c:pt idx="6">
                  <c:v>附属单位上缴收入</c:v>
                </c:pt>
                <c:pt idx="7">
                  <c:v>其他收入</c:v>
                </c:pt>
              </c:strCache>
            </c:strRef>
          </c:cat>
          <c:val>
            <c:numRef>
              <c:f>{6107287.36,0,0,0,0,0,0,0}</c:f>
              <c:numCache>
                <c:formatCode>General</c:formatCode>
                <c:ptCount val="8"/>
                <c:pt idx="0">
                  <c:v>6107287.36</c:v>
                </c:pt>
                <c:pt idx="1">
                  <c:v>0</c:v>
                </c:pt>
                <c:pt idx="2">
                  <c:v>0</c:v>
                </c:pt>
                <c:pt idx="3">
                  <c:v>0</c:v>
                </c:pt>
                <c:pt idx="4">
                  <c:v>0</c:v>
                </c:pt>
                <c:pt idx="5">
                  <c:v>0</c:v>
                </c:pt>
                <c:pt idx="6">
                  <c:v>0</c:v>
                </c:pt>
                <c:pt idx="7">
                  <c:v>0</c:v>
                </c:pt>
              </c:numCache>
            </c:numRef>
          </c:val>
        </c:ser>
        <c:dLbls>
          <c:showLegendKey val="0"/>
          <c:showVal val="0"/>
          <c:showCatName val="0"/>
          <c:showSerName val="0"/>
          <c:showPercent val="1"/>
          <c:showBubbleSize val="0"/>
          <c:showLeaderLines val="1"/>
        </c:dLbls>
        <c:firstSliceAng val="0"/>
      </c:pieChart>
      <c:spPr>
        <a:noFill/>
        <a:ln>
          <a:noFill/>
        </a:ln>
      </c:spPr>
    </c:plotArea>
    <c:legend>
      <c:legendPos val="r"/>
      <c:layout/>
      <c:overlay val="0"/>
      <c:spPr>
        <a:solidFill>
          <a:srgbClr val="F2F2F2">
            <a:alpha val="39000"/>
          </a:srgbClr>
        </a:solidFill>
        <a:ln>
          <a:noFill/>
        </a:ln>
      </c:spPr>
      <c:txPr>
        <a:bodyPr rot="0" spcFirstLastPara="0" vertOverflow="ellipsis" vert="horz" wrap="square" anchor="ctr" anchorCtr="1"/>
        <a:lstStyle/>
        <a:p>
          <a:pPr>
            <a:defRPr lang="zh-CN" sz="900" b="0" i="0" u="none" strike="noStrike" kern="1200" baseline="0">
              <a:solidFill>
                <a:srgbClr val="404040"/>
              </a:solidFill>
              <a:latin typeface="Times New Roman" panose="02020603050405020304"/>
              <a:ea typeface="宋体" charset="-122"/>
              <a:cs typeface="Lucida Sans" panose="020B0602030504020204"/>
            </a:defRPr>
          </a:pPr>
        </a:p>
      </c:txPr>
    </c:legend>
    <c:plotVisOnly val="1"/>
    <c:dispBlanksAs val="zero"/>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cap="flat" cmpd="sng" algn="ctr">
      <a:solidFill>
        <a:srgbClr val="BFBFBF"/>
      </a:solidFill>
      <a:prstDash val="solid"/>
      <a:round/>
    </a:ln>
  </c:spPr>
  <c:txPr>
    <a:bodyPr/>
    <a:lstStyle/>
    <a:p>
      <a:pPr>
        <a:defRPr lang="zh-CN" sz="1000" b="0" i="0" u="none" strike="noStrike" baseline="0">
          <a:solidFill>
            <a:srgbClr val="000000"/>
          </a:solidFill>
          <a:latin typeface="Times New Roman" panose="02020603050405020304"/>
          <a:ea typeface="宋体" charset="-122"/>
          <a:cs typeface="Lucida Sans" panose="020B0602030504020204"/>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支出决算结构图</a:t>
            </a:r>
          </a:p>
        </c:rich>
      </c:tx>
      <c:layout/>
      <c:overlay val="0"/>
      <c:spPr>
        <a:noFill/>
        <a:ln>
          <a:noFill/>
        </a:ln>
        <a:effectLst/>
      </c:spPr>
    </c:title>
    <c:autoTitleDeleted val="0"/>
    <c:plotArea>
      <c:layout/>
      <c:pieChart>
        <c:varyColors val="1"/>
        <c:ser>
          <c:idx val="0"/>
          <c:order val="0"/>
          <c:tx>
            <c:strRef>
              <c:f>Sheet1!$B$1</c:f>
              <c:strCache>
                <c:ptCount val="1"/>
                <c:pt idx="0">
                  <c:v>支出决算结构图</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dLbl>
              <c:idx val="0"/>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1"/>
                      </a:solidFill>
                      <a:latin typeface="+mn-lt"/>
                      <a:ea typeface="+mn-ea"/>
                      <a:cs typeface="+mn-cs"/>
                    </a:defRPr>
                  </a:pPr>
                </a:p>
              </c:txPr>
              <c:dLblPos val="outEnd"/>
              <c:showLegendKey val="0"/>
              <c:showVal val="1"/>
              <c:showCatName val="1"/>
              <c:showSerName val="0"/>
              <c:showPercent val="0"/>
              <c:showBubbleSize val="0"/>
              <c:extLst>
                <c:ext xmlns:c15="http://schemas.microsoft.com/office/drawing/2012/chart" uri="{CE6537A1-D6FC-4f65-9D91-7224C49458BB}"/>
              </c:extLst>
            </c:dLbl>
            <c:dLbl>
              <c:idx val="1"/>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2"/>
                      </a:solidFill>
                      <a:latin typeface="+mn-lt"/>
                      <a:ea typeface="+mn-ea"/>
                      <a:cs typeface="+mn-cs"/>
                    </a:defRPr>
                  </a:pPr>
                </a:p>
              </c:txPr>
              <c:dLblPos val="bestFit"/>
              <c:showLegendKey val="0"/>
              <c:showVal val="1"/>
              <c:showCatName val="1"/>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1"/>
                    </a:solidFill>
                    <a:latin typeface="+mn-lt"/>
                    <a:ea typeface="+mn-ea"/>
                    <a:cs typeface="+mn-cs"/>
                  </a:defRPr>
                </a:pPr>
              </a:p>
            </c:txPr>
            <c:dLblPos val="outEnd"/>
            <c:showLegendKey val="0"/>
            <c:showVal val="1"/>
            <c:showCatName val="1"/>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633.59</c:v>
                </c:pt>
                <c:pt idx="1">
                  <c:v>553.71</c:v>
                </c:pt>
              </c:numCache>
            </c:numRef>
          </c:val>
        </c:ser>
        <c:dLbls>
          <c:showLegendKey val="0"/>
          <c:showVal val="1"/>
          <c:showCatName val="0"/>
          <c:showSerName val="0"/>
          <c:showPercent val="0"/>
          <c:showBubbleSize val="0"/>
          <c:showLeaderLines val="1"/>
        </c:dLbls>
        <c:firstSliceAng val="0"/>
      </c:pieChart>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0" vertOverflow="ellipsis" vert="horz" wrap="square" anchor="ctr" anchorCtr="1"/>
          <a:lstStyle/>
          <a:p>
            <a:pPr defTabSz="914400">
              <a:defRPr lang="zh-CN" sz="1400" b="1" i="0" u="none" strike="noStrike" kern="1200" baseline="0">
                <a:solidFill>
                  <a:schemeClr val="dk1">
                    <a:lumMod val="75000"/>
                    <a:lumOff val="25000"/>
                  </a:schemeClr>
                </a:solidFill>
                <a:latin typeface="+mn-lt"/>
                <a:ea typeface="+mn-ea"/>
                <a:cs typeface="+mn-cs"/>
              </a:defRPr>
            </a:pPr>
            <a:r>
              <a:t>收、支决算总计变动情况表</a:t>
            </a:r>
          </a:p>
          <a:p>
            <a:pPr defTabSz="914400">
              <a:defRPr lang="zh-CN" sz="1400" b="1" i="0" u="none" strike="noStrike" kern="1200" baseline="0">
                <a:solidFill>
                  <a:schemeClr val="dk1">
                    <a:lumMod val="75000"/>
                    <a:lumOff val="25000"/>
                  </a:schemeClr>
                </a:solidFill>
                <a:latin typeface="+mn-lt"/>
                <a:ea typeface="+mn-ea"/>
                <a:cs typeface="+mn-cs"/>
              </a:defRPr>
            </a:pPr>
          </a:p>
        </c:rich>
      </c:tx>
      <c:layout/>
      <c:overlay val="0"/>
      <c:spPr>
        <a:noFill/>
        <a:ln>
          <a:noFill/>
        </a:ln>
        <a:effectLst/>
      </c:spPr>
    </c:title>
    <c:autoTitleDeleted val="0"/>
    <c:plotArea>
      <c:layout>
        <c:manualLayout>
          <c:layoutTarget val="inner"/>
          <c:xMode val="edge"/>
          <c:yMode val="edge"/>
          <c:x val="0.0614399613433196"/>
          <c:y val="0.233319167020824"/>
          <c:w val="0.908359507127325"/>
          <c:h val="0.567658308542286"/>
        </c:manualLayout>
      </c:layout>
      <c:barChart>
        <c:barDir val="col"/>
        <c:grouping val="stacked"/>
        <c:varyColors val="0"/>
        <c:ser>
          <c:idx val="0"/>
          <c:order val="0"/>
          <c:tx>
            <c:strRef>
              <c:f>Sheet1!$B$1</c:f>
              <c:strCache>
                <c:ptCount val="1"/>
                <c:pt idx="0">
                  <c:v>收、支决算总计变动情况图</c:v>
                </c:pt>
              </c:strCache>
            </c:strRef>
          </c:tx>
          <c:spPr>
            <a:gradFill>
              <a:gsLst>
                <a:gs pos="100000">
                  <a:schemeClr val="accent2"/>
                </a:gs>
                <a:gs pos="0">
                  <a:schemeClr val="accent2">
                    <a:hueOff val="-1670000"/>
                  </a:schemeClr>
                </a:gs>
              </a:gsLst>
              <a:lin ang="5400000" scaled="0"/>
            </a:gradFill>
            <a:ln>
              <a:gradFill>
                <a:gsLst>
                  <a:gs pos="100000">
                    <a:schemeClr val="accent2">
                      <a:lumMod val="75000"/>
                    </a:schemeClr>
                  </a:gs>
                  <a:gs pos="0">
                    <a:schemeClr val="accent2">
                      <a:lumMod val="75000"/>
                      <a:hueOff val="-1670000"/>
                    </a:schemeClr>
                  </a:gs>
                </a:gsLst>
                <a:lin ang="4620000" scaled="0"/>
              </a:grad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dk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35000"/>
                          <a:lumOff val="65000"/>
                        </a:schemeClr>
                      </a:solidFill>
                    </a:ln>
                    <a:effectLst/>
                  </c:spPr>
                </c15:leaderLines>
              </c:ext>
            </c:extLst>
          </c:dLbls>
          <c:cat>
            <c:strRef>
              <c:f>Sheet1!$A$2:$A$3</c:f>
              <c:strCache>
                <c:ptCount val="2"/>
                <c:pt idx="0">
                  <c:v>2023年</c:v>
                </c:pt>
                <c:pt idx="1">
                  <c:v>2024年</c:v>
                </c:pt>
              </c:strCache>
            </c:strRef>
          </c:cat>
          <c:val>
            <c:numRef>
              <c:f>Sheet1!$B$2:$B$3</c:f>
              <c:numCache>
                <c:formatCode>General</c:formatCode>
                <c:ptCount val="2"/>
                <c:pt idx="0">
                  <c:v>1106.53</c:v>
                </c:pt>
                <c:pt idx="1">
                  <c:v>1187.29</c:v>
                </c:pt>
              </c:numCache>
            </c:numRef>
          </c:val>
        </c:ser>
        <c:dLbls>
          <c:showLegendKey val="0"/>
          <c:showVal val="1"/>
          <c:showCatName val="0"/>
          <c:showSerName val="0"/>
          <c:showPercent val="0"/>
          <c:showBubbleSize val="0"/>
        </c:dLbls>
        <c:gapWidth val="500"/>
        <c:overlap val="100"/>
        <c:axId val="139626752"/>
        <c:axId val="139636736"/>
      </c:barChart>
      <c:catAx>
        <c:axId val="139626752"/>
        <c:scaling>
          <c:orientation val="minMax"/>
        </c:scaling>
        <c:delete val="0"/>
        <c:axPos val="b"/>
        <c:majorTickMark val="none"/>
        <c:minorTickMark val="none"/>
        <c:tickLblPos val="nextTo"/>
        <c:spPr>
          <a:noFill/>
          <a:ln w="9525" cap="flat" cmpd="sng" algn="ctr">
            <a:solidFill>
              <a:schemeClr val="dk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crossAx val="139636736"/>
        <c:crosses val="autoZero"/>
        <c:auto val="1"/>
        <c:lblAlgn val="ctr"/>
        <c:lblOffset val="100"/>
        <c:noMultiLvlLbl val="0"/>
      </c:catAx>
      <c:valAx>
        <c:axId val="139636736"/>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crossAx val="139626752"/>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legend>
    <c:plotVisOnly val="1"/>
    <c:dispBlanksAs val="gap"/>
    <c:showDLblsOverMax val="0"/>
  </c:chart>
  <c:spPr>
    <a:solidFill>
      <a:schemeClr val="lt1">
        <a:lumMod val="96000"/>
      </a:schemeClr>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一般公共预算财政拨款支出决算变动情况</a:t>
            </a:r>
          </a:p>
        </c:rich>
      </c:tx>
      <c:layout>
        <c:manualLayout>
          <c:xMode val="edge"/>
          <c:yMode val="edge"/>
          <c:x val="0.210074897318193"/>
          <c:y val="0.0212494687632809"/>
        </c:manualLayout>
      </c:layout>
      <c:overlay val="0"/>
      <c:spPr>
        <a:noFill/>
        <a:ln>
          <a:noFill/>
        </a:ln>
        <a:effectLst/>
      </c:spPr>
    </c:title>
    <c:autoTitleDeleted val="0"/>
    <c:plotArea>
      <c:layout/>
      <c:barChart>
        <c:barDir val="col"/>
        <c:grouping val="clustered"/>
        <c:varyColors val="0"/>
        <c:ser>
          <c:idx val="2"/>
          <c:order val="0"/>
          <c:tx>
            <c:strRef>
              <c:f>Sheet1!$B$1</c:f>
              <c:strCache>
                <c:ptCount val="1"/>
                <c:pt idx="0">
                  <c:v>一般公共预算财政拨款支出决算变动情况图</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2023年</c:v>
                </c:pt>
                <c:pt idx="1">
                  <c:v>2024年</c:v>
                </c:pt>
              </c:strCache>
            </c:strRef>
          </c:cat>
          <c:val>
            <c:numRef>
              <c:f>Sheet1!$B$2:$B$3</c:f>
              <c:numCache>
                <c:formatCode>General</c:formatCode>
                <c:ptCount val="2"/>
                <c:pt idx="0">
                  <c:v>1069.78</c:v>
                </c:pt>
                <c:pt idx="1">
                  <c:v>1187.29</c:v>
                </c:pt>
              </c:numCache>
            </c:numRef>
          </c:val>
        </c:ser>
        <c:dLbls>
          <c:showLegendKey val="0"/>
          <c:showVal val="1"/>
          <c:showCatName val="0"/>
          <c:showSerName val="0"/>
          <c:showPercent val="0"/>
          <c:showBubbleSize val="0"/>
        </c:dLbls>
        <c:gapWidth val="246"/>
        <c:overlap val="-28"/>
        <c:axId val="132915968"/>
        <c:axId val="132917504"/>
      </c:barChart>
      <c:catAx>
        <c:axId val="13291596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32917504"/>
        <c:crosses val="autoZero"/>
        <c:auto val="1"/>
        <c:lblAlgn val="ctr"/>
        <c:lblOffset val="100"/>
        <c:noMultiLvlLbl val="0"/>
      </c:catAx>
      <c:valAx>
        <c:axId val="132917504"/>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32915968"/>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218772650398647"/>
          <c:y val="0.0229494262643434"/>
        </c:manualLayout>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dk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一般公共预算财政拨款支出决算结构</c:v>
                </c:pt>
              </c:strCache>
            </c:strRef>
          </c:tx>
          <c:spPr/>
          <c:explosion val="0"/>
          <c:dPt>
            <c:idx val="0"/>
            <c:bubble3D val="0"/>
            <c:spPr>
              <a:gradFill>
                <a:gsLst>
                  <a:gs pos="0">
                    <a:schemeClr val="accent1">
                      <a:hueOff val="-1670000"/>
                    </a:schemeClr>
                  </a:gs>
                  <a:gs pos="100000">
                    <a:schemeClr val="accent1"/>
                  </a:gs>
                </a:gsLst>
                <a:lin ang="5400000" scaled="0"/>
              </a:gradFill>
              <a:ln>
                <a:gradFill>
                  <a:gsLst>
                    <a:gs pos="0">
                      <a:schemeClr val="accent1">
                        <a:lumMod val="75000"/>
                        <a:hueOff val="-1670000"/>
                      </a:schemeClr>
                    </a:gs>
                    <a:gs pos="100000">
                      <a:schemeClr val="accent1">
                        <a:lumMod val="75000"/>
                      </a:schemeClr>
                    </a:gs>
                  </a:gsLst>
                  <a:lin ang="5400000" scaled="1"/>
                </a:gradFill>
              </a:ln>
              <a:effectLst/>
            </c:spPr>
          </c:dPt>
          <c:dPt>
            <c:idx val="1"/>
            <c:bubble3D val="0"/>
            <c:spPr>
              <a:gradFill>
                <a:gsLst>
                  <a:gs pos="0">
                    <a:schemeClr val="accent2">
                      <a:hueOff val="-1670000"/>
                    </a:schemeClr>
                  </a:gs>
                  <a:gs pos="100000">
                    <a:schemeClr val="accent2"/>
                  </a:gs>
                </a:gsLst>
                <a:lin ang="5400000" scaled="0"/>
              </a:gradFill>
              <a:ln>
                <a:gradFill>
                  <a:gsLst>
                    <a:gs pos="0">
                      <a:schemeClr val="accent2">
                        <a:lumMod val="75000"/>
                        <a:hueOff val="-1670000"/>
                      </a:schemeClr>
                    </a:gs>
                    <a:gs pos="100000">
                      <a:schemeClr val="accent2">
                        <a:lumMod val="75000"/>
                      </a:schemeClr>
                    </a:gs>
                  </a:gsLst>
                  <a:lin ang="5400000" scaled="1"/>
                </a:gradFill>
              </a:ln>
              <a:effectLst/>
            </c:spPr>
          </c:dPt>
          <c:dPt>
            <c:idx val="2"/>
            <c:bubble3D val="0"/>
            <c:spPr>
              <a:gradFill>
                <a:gsLst>
                  <a:gs pos="0">
                    <a:schemeClr val="accent3">
                      <a:hueOff val="-1670000"/>
                    </a:schemeClr>
                  </a:gs>
                  <a:gs pos="100000">
                    <a:schemeClr val="accent3"/>
                  </a:gs>
                </a:gsLst>
                <a:lin ang="5400000" scaled="0"/>
              </a:gradFill>
              <a:ln>
                <a:gradFill>
                  <a:gsLst>
                    <a:gs pos="0">
                      <a:schemeClr val="accent3">
                        <a:lumMod val="75000"/>
                        <a:hueOff val="-1670000"/>
                      </a:schemeClr>
                    </a:gs>
                    <a:gs pos="100000">
                      <a:schemeClr val="accent3">
                        <a:lumMod val="75000"/>
                      </a:schemeClr>
                    </a:gs>
                  </a:gsLst>
                  <a:lin ang="5400000" scaled="1"/>
                </a:gradFill>
              </a:ln>
              <a:effectLst/>
            </c:spPr>
          </c:dPt>
          <c:dPt>
            <c:idx val="3"/>
            <c:bubble3D val="0"/>
            <c:spPr>
              <a:gradFill>
                <a:gsLst>
                  <a:gs pos="0">
                    <a:schemeClr val="accent4">
                      <a:hueOff val="-1670000"/>
                    </a:schemeClr>
                  </a:gs>
                  <a:gs pos="100000">
                    <a:schemeClr val="accent4"/>
                  </a:gs>
                </a:gsLst>
                <a:lin ang="5400000" scaled="0"/>
              </a:gradFill>
              <a:ln>
                <a:gradFill>
                  <a:gsLst>
                    <a:gs pos="0">
                      <a:schemeClr val="accent4">
                        <a:lumMod val="75000"/>
                        <a:hueOff val="-1670000"/>
                      </a:schemeClr>
                    </a:gs>
                    <a:gs pos="100000">
                      <a:schemeClr val="accent4">
                        <a:lumMod val="75000"/>
                      </a:schemeClr>
                    </a:gs>
                  </a:gsLst>
                  <a:lin ang="5400000" scaled="1"/>
                </a:gradFill>
              </a:ln>
              <a:effectLst/>
            </c:spPr>
          </c:dPt>
          <c:dPt>
            <c:idx val="4"/>
            <c:bubble3D val="0"/>
            <c:spPr>
              <a:gradFill>
                <a:gsLst>
                  <a:gs pos="0">
                    <a:schemeClr val="accent5">
                      <a:hueOff val="-1670000"/>
                    </a:schemeClr>
                  </a:gs>
                  <a:gs pos="100000">
                    <a:schemeClr val="accent5"/>
                  </a:gs>
                </a:gsLst>
                <a:lin ang="5400000" scaled="0"/>
              </a:gradFill>
              <a:ln>
                <a:gradFill>
                  <a:gsLst>
                    <a:gs pos="0">
                      <a:schemeClr val="accent5">
                        <a:lumMod val="75000"/>
                        <a:hueOff val="-1670000"/>
                      </a:schemeClr>
                    </a:gs>
                    <a:gs pos="100000">
                      <a:schemeClr val="accent5">
                        <a:lumMod val="75000"/>
                      </a:schemeClr>
                    </a:gs>
                  </a:gsLst>
                  <a:lin ang="5400000" scaled="1"/>
                </a:gradFill>
              </a:ln>
              <a:effectLst/>
            </c:spPr>
          </c:dPt>
          <c:dPt>
            <c:idx val="5"/>
            <c:bubble3D val="0"/>
            <c:spPr>
              <a:gradFill>
                <a:gsLst>
                  <a:gs pos="0">
                    <a:schemeClr val="accent6">
                      <a:hueOff val="-1670000"/>
                    </a:schemeClr>
                  </a:gs>
                  <a:gs pos="100000">
                    <a:schemeClr val="accent6"/>
                  </a:gs>
                </a:gsLst>
                <a:lin ang="5400000" scaled="0"/>
              </a:gradFill>
              <a:ln>
                <a:gradFill>
                  <a:gsLst>
                    <a:gs pos="0">
                      <a:schemeClr val="accent6">
                        <a:lumMod val="75000"/>
                        <a:hueOff val="-1670000"/>
                      </a:schemeClr>
                    </a:gs>
                    <a:gs pos="100000">
                      <a:schemeClr val="accent6">
                        <a:lumMod val="75000"/>
                      </a:schemeClr>
                    </a:gs>
                  </a:gsLst>
                  <a:lin ang="5400000" scaled="1"/>
                </a:gradFill>
              </a:ln>
              <a:effectLst/>
            </c:spPr>
          </c:dPt>
          <c:dPt>
            <c:idx val="6"/>
            <c:bubble3D val="0"/>
            <c:spPr>
              <a:gradFill>
                <a:gsLst>
                  <a:gs pos="0">
                    <a:schemeClr val="accent1">
                      <a:lumMod val="60000"/>
                      <a:hueOff val="-1670000"/>
                    </a:schemeClr>
                  </a:gs>
                  <a:gs pos="100000">
                    <a:schemeClr val="accent1">
                      <a:lumMod val="60000"/>
                    </a:schemeClr>
                  </a:gs>
                </a:gsLst>
                <a:lin ang="5400000" scaled="0"/>
              </a:gradFill>
              <a:ln>
                <a:gradFill>
                  <a:gsLst>
                    <a:gs pos="0">
                      <a:schemeClr val="accent1">
                        <a:lumMod val="60000"/>
                        <a:lumMod val="75000"/>
                        <a:hueOff val="-1670000"/>
                      </a:schemeClr>
                    </a:gs>
                    <a:gs pos="100000">
                      <a:schemeClr val="accent1">
                        <a:lumMod val="60000"/>
                        <a:lumMod val="75000"/>
                      </a:schemeClr>
                    </a:gs>
                  </a:gsLst>
                  <a:lin ang="5400000" scaled="1"/>
                </a:gradFill>
              </a:ln>
              <a:effectLst/>
            </c:spPr>
          </c:dPt>
          <c:dPt>
            <c:idx val="7"/>
            <c:bubble3D val="0"/>
            <c:spPr>
              <a:gradFill>
                <a:gsLst>
                  <a:gs pos="0">
                    <a:schemeClr val="accent2">
                      <a:lumMod val="60000"/>
                      <a:hueOff val="-1670000"/>
                    </a:schemeClr>
                  </a:gs>
                  <a:gs pos="100000">
                    <a:schemeClr val="accent2">
                      <a:lumMod val="60000"/>
                    </a:schemeClr>
                  </a:gs>
                </a:gsLst>
                <a:lin ang="5400000" scaled="0"/>
              </a:gradFill>
              <a:ln>
                <a:gradFill>
                  <a:gsLst>
                    <a:gs pos="0">
                      <a:schemeClr val="accent2">
                        <a:lumMod val="60000"/>
                        <a:lumMod val="75000"/>
                        <a:hueOff val="-1670000"/>
                      </a:schemeClr>
                    </a:gs>
                    <a:gs pos="100000">
                      <a:schemeClr val="accent2">
                        <a:lumMod val="60000"/>
                        <a:lumMod val="75000"/>
                      </a:schemeClr>
                    </a:gs>
                  </a:gsLst>
                  <a:lin ang="5400000" scaled="1"/>
                </a:gradFill>
              </a:ln>
              <a:effectLst/>
            </c:spPr>
          </c:dPt>
          <c:dPt>
            <c:idx val="8"/>
            <c:bubble3D val="0"/>
            <c:spPr>
              <a:gradFill>
                <a:gsLst>
                  <a:gs pos="0">
                    <a:schemeClr val="accent3">
                      <a:lumMod val="60000"/>
                      <a:hueOff val="-1670000"/>
                    </a:schemeClr>
                  </a:gs>
                  <a:gs pos="100000">
                    <a:schemeClr val="accent3">
                      <a:lumMod val="60000"/>
                    </a:schemeClr>
                  </a:gs>
                </a:gsLst>
                <a:lin ang="5400000" scaled="0"/>
              </a:gradFill>
              <a:ln>
                <a:gradFill>
                  <a:gsLst>
                    <a:gs pos="0">
                      <a:schemeClr val="accent3">
                        <a:lumMod val="60000"/>
                        <a:lumMod val="75000"/>
                        <a:hueOff val="-1670000"/>
                      </a:schemeClr>
                    </a:gs>
                    <a:gs pos="100000">
                      <a:schemeClr val="accent3">
                        <a:lumMod val="60000"/>
                        <a:lumMod val="75000"/>
                      </a:schemeClr>
                    </a:gs>
                  </a:gsLst>
                  <a:lin ang="5400000" scaled="1"/>
                </a:gradFill>
              </a:ln>
              <a:effectLst/>
            </c:spPr>
          </c:dPt>
          <c:dLbls>
            <c:dLbl>
              <c:idx val="0"/>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1"/>
                      </a:solidFill>
                      <a:latin typeface="+mn-lt"/>
                      <a:ea typeface="+mn-ea"/>
                      <a:cs typeface="+mn-cs"/>
                    </a:defRPr>
                  </a:pPr>
                </a:p>
              </c:txPr>
              <c:dLblPos val="outEnd"/>
              <c:showLegendKey val="0"/>
              <c:showVal val="0"/>
              <c:showCatName val="1"/>
              <c:showSerName val="0"/>
              <c:showPercent val="1"/>
              <c:showBubbleSize val="0"/>
              <c:separator>
</c:separator>
              <c:extLst>
                <c:ext xmlns:c15="http://schemas.microsoft.com/office/drawing/2012/chart" uri="{CE6537A1-D6FC-4f65-9D91-7224C49458BB}"/>
              </c:extLst>
            </c:dLbl>
            <c:dLbl>
              <c:idx val="1"/>
              <c:layout>
                <c:manualLayout>
                  <c:x val="0.290045904807925"/>
                  <c:y val="0.0488737781555461"/>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2"/>
                      </a:solidFill>
                      <a:latin typeface="+mn-lt"/>
                      <a:ea typeface="+mn-ea"/>
                      <a:cs typeface="+mn-cs"/>
                    </a:defRPr>
                  </a:pPr>
                </a:p>
              </c:txPr>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2"/>
              <c:layout>
                <c:manualLayout>
                  <c:x val="0.173834259482967"/>
                  <c:y val="0.142796430089248"/>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3"/>
                      </a:solidFill>
                      <a:latin typeface="+mn-lt"/>
                      <a:ea typeface="+mn-ea"/>
                      <a:cs typeface="+mn-cs"/>
                    </a:defRPr>
                  </a:pPr>
                </a:p>
              </c:txPr>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3"/>
              <c:layout>
                <c:manualLayout>
                  <c:x val="-0.130466296206813"/>
                  <c:y val="-0.127496812579686"/>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4"/>
                      </a:solidFill>
                      <a:latin typeface="+mn-lt"/>
                      <a:ea typeface="+mn-ea"/>
                      <a:cs typeface="+mn-cs"/>
                    </a:defRPr>
                  </a:pPr>
                </a:p>
              </c:txPr>
              <c:dLblPos val="bestFit"/>
              <c:showLegendKey val="0"/>
              <c:showVal val="0"/>
              <c:showCatName val="1"/>
              <c:showSerName val="0"/>
              <c:showPercent val="1"/>
              <c:showBubbleSize val="0"/>
              <c:separator>
</c:separator>
              <c:extLst>
                <c:ext xmlns:c15="http://schemas.microsoft.com/office/drawing/2012/chart" uri="{CE6537A1-D6FC-4f65-9D91-7224C49458BB}">
                  <c15:layout>
                    <c:manualLayout>
                      <c:w val="0.377385841990819"/>
                      <c:h val="0.116234594135147"/>
                    </c:manualLayout>
                  </c15:layout>
                </c:ext>
              </c:extLst>
            </c:dLbl>
            <c:dLbl>
              <c:idx val="4"/>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5"/>
                      </a:solidFill>
                      <a:latin typeface="+mn-lt"/>
                      <a:ea typeface="+mn-ea"/>
                      <a:cs typeface="+mn-cs"/>
                    </a:defRPr>
                  </a:pPr>
                </a:p>
              </c:txPr>
              <c:dLblPos val="outEnd"/>
              <c:showLegendKey val="0"/>
              <c:showVal val="0"/>
              <c:showCatName val="1"/>
              <c:showSerName val="0"/>
              <c:showPercent val="1"/>
              <c:showBubbleSize val="0"/>
              <c:separator>
</c:separator>
              <c:extLst>
                <c:ext xmlns:c15="http://schemas.microsoft.com/office/drawing/2012/chart" uri="{CE6537A1-D6FC-4f65-9D91-7224C49458BB}"/>
              </c:extLst>
            </c:dLbl>
            <c:dLbl>
              <c:idx val="5"/>
              <c:layout>
                <c:manualLayout>
                  <c:x val="0.00241604252234839"/>
                  <c:y val="0.0722481937951551"/>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6"/>
                      </a:solidFill>
                      <a:latin typeface="+mn-lt"/>
                      <a:ea typeface="+mn-ea"/>
                      <a:cs typeface="+mn-cs"/>
                    </a:defRPr>
                  </a:pPr>
                </a:p>
              </c:txPr>
              <c:dLblPos val="bestFit"/>
              <c:showLegendKey val="0"/>
              <c:showVal val="0"/>
              <c:showCatName val="1"/>
              <c:showSerName val="0"/>
              <c:showPercent val="1"/>
              <c:showBubbleSize val="0"/>
              <c:separator>
</c:separator>
              <c:extLst>
                <c:ext xmlns:c15="http://schemas.microsoft.com/office/drawing/2012/chart" uri="{CE6537A1-D6FC-4f65-9D91-7224C49458BB}">
                  <c15:layout>
                    <c:manualLayout>
                      <c:w val="0.800193283401788"/>
                      <c:h val="0.140883977900552"/>
                    </c:manualLayout>
                  </c15:layout>
                </c:ext>
              </c:extLst>
            </c:dLbl>
            <c:dLbl>
              <c:idx val="6"/>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1"/>
                      </a:solidFill>
                      <a:latin typeface="+mn-lt"/>
                      <a:ea typeface="+mn-ea"/>
                      <a:cs typeface="+mn-cs"/>
                    </a:defRPr>
                  </a:pPr>
                </a:p>
              </c:txPr>
              <c:dLblPos val="outEnd"/>
              <c:showLegendKey val="0"/>
              <c:showVal val="0"/>
              <c:showCatName val="1"/>
              <c:showSerName val="0"/>
              <c:showPercent val="1"/>
              <c:showBubbleSize val="0"/>
              <c:separator>
</c:separator>
              <c:extLst>
                <c:ext xmlns:c15="http://schemas.microsoft.com/office/drawing/2012/chart" uri="{CE6537A1-D6FC-4f65-9D91-7224C49458BB}"/>
              </c:extLst>
            </c:dLbl>
            <c:dLbl>
              <c:idx val="7"/>
              <c:layout>
                <c:manualLayout>
                  <c:x val="-0.271683981638077"/>
                  <c:y val="0.100722481937952"/>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1"/>
                      </a:solidFill>
                      <a:latin typeface="+mn-lt"/>
                      <a:ea typeface="+mn-ea"/>
                      <a:cs typeface="+mn-cs"/>
                    </a:defRPr>
                  </a:pPr>
                </a:p>
              </c:txPr>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8"/>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1"/>
                      </a:solidFill>
                      <a:latin typeface="+mn-lt"/>
                      <a:ea typeface="+mn-ea"/>
                      <a:cs typeface="+mn-cs"/>
                    </a:defRPr>
                  </a:pPr>
                </a:p>
              </c:txPr>
              <c:dLblPos val="outEnd"/>
              <c:showLegendKey val="0"/>
              <c:showVal val="0"/>
              <c:showCatName val="1"/>
              <c:showSerName val="0"/>
              <c:showPercent val="1"/>
              <c:showBubbleSize val="0"/>
              <c:separator>
</c:separator>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1"/>
                    </a:solidFill>
                    <a:latin typeface="+mn-lt"/>
                    <a:ea typeface="+mn-ea"/>
                    <a:cs typeface="+mn-cs"/>
                  </a:defRPr>
                </a:pPr>
              </a:p>
            </c:txPr>
            <c:dLblPos val="out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a:solidFill>
                        <a:schemeClr val="dk1">
                          <a:lumMod val="35000"/>
                          <a:lumOff val="65000"/>
                        </a:schemeClr>
                      </a:solidFill>
                    </a:ln>
                    <a:effectLst/>
                  </c:spPr>
                </c15:leaderLines>
              </c:ext>
            </c:extLst>
          </c:dLbls>
          <c:cat>
            <c:strRef>
              <c:f>Sheet1!$A$2:$A$10</c:f>
              <c:strCache>
                <c:ptCount val="9"/>
                <c:pt idx="1">
                  <c:v>社会保障和就业（类）支出</c:v>
                </c:pt>
                <c:pt idx="2">
                  <c:v>卫生健康（类）支出</c:v>
                </c:pt>
                <c:pt idx="4">
                  <c:v>农林水（类）支出</c:v>
                </c:pt>
                <c:pt idx="5">
                  <c:v>住房保障（类）支出</c:v>
                </c:pt>
                <c:pt idx="6">
                  <c:v>一般公共服务（类）支出</c:v>
                </c:pt>
                <c:pt idx="7">
                  <c:v>文化旅游体育与传媒支出</c:v>
                </c:pt>
                <c:pt idx="8">
                  <c:v>灾害防治及应急管理（类）支出</c:v>
                </c:pt>
              </c:strCache>
            </c:strRef>
          </c:cat>
          <c:val>
            <c:numRef>
              <c:f>Sheet1!$B$2:$B$10</c:f>
              <c:numCache>
                <c:formatCode>General</c:formatCode>
                <c:ptCount val="9"/>
                <c:pt idx="1">
                  <c:v>83.98</c:v>
                </c:pt>
                <c:pt idx="2">
                  <c:v>32.58</c:v>
                </c:pt>
                <c:pt idx="4">
                  <c:v>475.33</c:v>
                </c:pt>
                <c:pt idx="5">
                  <c:v>43.04</c:v>
                </c:pt>
                <c:pt idx="6">
                  <c:v>541.36</c:v>
                </c:pt>
                <c:pt idx="7">
                  <c:v>1</c:v>
                </c:pt>
                <c:pt idx="8">
                  <c:v>10</c:v>
                </c:pt>
              </c:numCache>
            </c:numRef>
          </c:val>
        </c:ser>
        <c:dLbls>
          <c:showLegendKey val="0"/>
          <c:showVal val="0"/>
          <c:showCatName val="1"/>
          <c:showSerName val="0"/>
          <c:showPercent val="0"/>
          <c:showBubbleSize val="0"/>
          <c:showLeaderLines val="1"/>
        </c:dLbls>
        <c:firstSliceAng val="0"/>
      </c:pieChart>
      <c:spPr>
        <a:noFill/>
        <a:ln>
          <a:noFill/>
        </a:ln>
        <a:effectLst/>
      </c:spPr>
    </c:plotArea>
    <c:plotVisOnly val="1"/>
    <c:dispBlanksAs val="zero"/>
    <c:showDLblsOverMax val="0"/>
  </c:chart>
  <c:spPr>
    <a:solidFill>
      <a:schemeClr val="lt1">
        <a:lumMod val="96000"/>
      </a:schemeClr>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forceAA="0"/>
          <a:lstStyle/>
          <a:p>
            <a:pPr defTabSz="914400">
              <a:defRPr lang="zh-CN" sz="1400" b="0" i="0" u="none" strike="noStrike" kern="1200" spc="0" baseline="0">
                <a:solidFill>
                  <a:schemeClr val="bg1"/>
                </a:solidFill>
                <a:latin typeface="+mn-lt"/>
                <a:ea typeface="+mn-ea"/>
                <a:cs typeface="+mn-cs"/>
              </a:defRPr>
            </a:pPr>
            <a:r>
              <a:rPr lang="en-US" altLang="zh-CN"/>
              <a:t>“</a:t>
            </a:r>
            <a:r>
              <a:rPr altLang="en-US"/>
              <a:t>三公</a:t>
            </a:r>
            <a:r>
              <a:rPr lang="en-US" altLang="zh-CN"/>
              <a:t>”</a:t>
            </a:r>
            <a:r>
              <a:rPr altLang="en-US"/>
              <a:t>经费财政拨款支出结构图</a:t>
            </a:r>
            <a:endParaRPr altLang="en-US"/>
          </a:p>
        </c:rich>
      </c:tx>
      <c:layout/>
      <c:overlay val="0"/>
      <c:spPr>
        <a:noFill/>
        <a:ln>
          <a:noFill/>
        </a:ln>
        <a:effectLst/>
      </c:spPr>
    </c:title>
    <c:autoTitleDeleted val="0"/>
    <c:plotArea>
      <c:layout/>
      <c:pieChart>
        <c:varyColors val="1"/>
        <c:ser>
          <c:idx val="0"/>
          <c:order val="0"/>
          <c:tx>
            <c:strRef>
              <c:f>Sheet1!$B$1</c:f>
              <c:strCache>
                <c:ptCount val="1"/>
                <c:pt idx="0">
                  <c:v>“三公”经费财政拨款支出结构</c:v>
                </c:pt>
              </c:strCache>
            </c:strRef>
          </c:tx>
          <c:spPr>
            <a:ln w="22225" cmpd="sng">
              <a:solidFill>
                <a:schemeClr val="bg1"/>
              </a:solidFill>
              <a:prstDash val="solid"/>
            </a:ln>
            <a:effectLst>
              <a:outerShdw blurRad="50800" dist="38100" dir="2700000" algn="tl" rotWithShape="0">
                <a:prstClr val="black">
                  <a:alpha val="40000"/>
                </a:prstClr>
              </a:outerShdw>
            </a:effectLst>
            <a:sp3d contourW="22225"/>
          </c:spPr>
          <c:explosion val="0"/>
          <c:dPt>
            <c:idx val="0"/>
            <c:bubble3D val="0"/>
            <c:explosion val="5"/>
            <c:spPr>
              <a:gradFill>
                <a:gsLst>
                  <a:gs pos="0">
                    <a:schemeClr val="accent1">
                      <a:lumMod val="60000"/>
                      <a:lumOff val="40000"/>
                    </a:schemeClr>
                  </a:gs>
                  <a:gs pos="50000">
                    <a:schemeClr val="accent1"/>
                  </a:gs>
                </a:gsLst>
                <a:lin ang="2700000" scaled="0"/>
              </a:gradFill>
              <a:ln w="22225" cmpd="sng">
                <a:solidFill>
                  <a:schemeClr val="bg1"/>
                </a:solidFill>
                <a:prstDash val="solid"/>
              </a:ln>
              <a:effectLst>
                <a:outerShdw blurRad="50800" dist="38100" dir="2700000" algn="tl" rotWithShape="0">
                  <a:prstClr val="black">
                    <a:alpha val="40000"/>
                  </a:prstClr>
                </a:outerShdw>
              </a:effectLst>
              <a:sp3d contourW="22225"/>
            </c:spPr>
          </c:dPt>
          <c:dPt>
            <c:idx val="1"/>
            <c:bubble3D val="0"/>
            <c:explosion val="5"/>
            <c:spPr>
              <a:gradFill>
                <a:gsLst>
                  <a:gs pos="0">
                    <a:schemeClr val="accent2">
                      <a:lumMod val="60000"/>
                      <a:lumOff val="40000"/>
                    </a:schemeClr>
                  </a:gs>
                  <a:gs pos="60000">
                    <a:schemeClr val="accent2"/>
                  </a:gs>
                </a:gsLst>
                <a:lin ang="2700000" scaled="0"/>
              </a:gradFill>
              <a:ln w="22225" cmpd="sng">
                <a:solidFill>
                  <a:schemeClr val="bg1"/>
                </a:solidFill>
                <a:prstDash val="solid"/>
              </a:ln>
              <a:effectLst>
                <a:outerShdw blurRad="50800" dist="38100" dir="2700000" algn="tl" rotWithShape="0">
                  <a:prstClr val="black">
                    <a:alpha val="40000"/>
                  </a:prstClr>
                </a:outerShdw>
              </a:effectLst>
              <a:sp3d contourW="22225"/>
            </c:spPr>
          </c:dPt>
          <c:dPt>
            <c:idx val="2"/>
            <c:bubble3D val="0"/>
            <c:explosion val="5"/>
            <c:spPr>
              <a:gradFill>
                <a:gsLst>
                  <a:gs pos="0">
                    <a:schemeClr val="accent6">
                      <a:lumMod val="60000"/>
                      <a:lumOff val="40000"/>
                    </a:schemeClr>
                  </a:gs>
                  <a:gs pos="60000">
                    <a:schemeClr val="accent6"/>
                  </a:gs>
                </a:gsLst>
                <a:lin ang="2700000" scaled="0"/>
              </a:gradFill>
              <a:ln w="22225" cmpd="sng">
                <a:solidFill>
                  <a:schemeClr val="bg1"/>
                </a:solidFill>
                <a:prstDash val="solid"/>
              </a:ln>
              <a:effectLst>
                <a:outerShdw blurRad="50800" dist="38100" dir="2700000" algn="tl" rotWithShape="0">
                  <a:prstClr val="black">
                    <a:alpha val="40000"/>
                  </a:prstClr>
                </a:outerShdw>
              </a:effectLst>
              <a:sp3d contourW="22225"/>
            </c:spPr>
          </c:dPt>
          <c:dLbls>
            <c:spPr>
              <a:noFill/>
              <a:ln>
                <a:noFill/>
              </a:ln>
              <a:effectLst/>
            </c:spPr>
            <c:txPr>
              <a:bodyPr rot="0" spcFirstLastPara="0" vertOverflow="ellipsis" vert="horz" wrap="square" lIns="38100" tIns="19050" rIns="38100" bIns="19050" anchor="ctr" anchorCtr="1" forceAA="0"/>
              <a:lstStyle/>
              <a:p>
                <a:pPr>
                  <a:defRPr lang="zh-CN" sz="900" b="0" i="0" u="none" strike="noStrike" kern="1200" baseline="0">
                    <a:solidFill>
                      <a:schemeClr val="bg1"/>
                    </a:solidFill>
                    <a:effectLst>
                      <a:outerShdw blurRad="50800" dist="38100" dir="2700000" algn="tl" rotWithShape="0">
                        <a:prstClr val="black">
                          <a:alpha val="40000"/>
                        </a:prstClr>
                      </a:outerShdw>
                    </a:effectLst>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公务用车购置及运行维护费支出</c:v>
                </c:pt>
                <c:pt idx="1">
                  <c:v>因公出国（境）费支出</c:v>
                </c:pt>
                <c:pt idx="2">
                  <c:v>公务接待费支出</c:v>
                </c:pt>
              </c:strCache>
            </c:strRef>
          </c:cat>
          <c:val>
            <c:numRef>
              <c:f>Sheet1!$B$2:$B$4</c:f>
              <c:numCache>
                <c:formatCode>General</c:formatCode>
                <c:ptCount val="3"/>
                <c:pt idx="0">
                  <c:v>7</c:v>
                </c:pt>
                <c:pt idx="1">
                  <c:v>0</c:v>
                </c:pt>
                <c:pt idx="2">
                  <c:v>0</c:v>
                </c:pt>
              </c:numCache>
            </c:numRef>
          </c:val>
        </c:ser>
        <c:dLbls>
          <c:showLegendKey val="0"/>
          <c:showVal val="1"/>
          <c:showCatName val="0"/>
          <c:showSerName val="0"/>
          <c:showPercent val="0"/>
          <c:showBubbleSize val="0"/>
          <c:showLeaderLines val="1"/>
        </c:dLbls>
        <c:firstSliceAng val="285"/>
      </c:pieChart>
      <c:spPr>
        <a:noFill/>
        <a:ln>
          <a:noFill/>
        </a:ln>
        <a:effectLst/>
      </c:spPr>
    </c:plotArea>
    <c:legend>
      <c:legendPos val="r"/>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bg1">
                  <a:lumMod val="75000"/>
                </a:schemeClr>
              </a:solidFill>
              <a:latin typeface="+mn-lt"/>
              <a:ea typeface="+mn-ea"/>
              <a:cs typeface="+mn-cs"/>
            </a:defRPr>
          </a:pPr>
        </a:p>
      </c:txPr>
    </c:legend>
    <c:plotVisOnly val="1"/>
    <c:dispBlanksAs val="zero"/>
    <c:showDLblsOverMax val="0"/>
  </c:chart>
  <c:spPr>
    <a:gradFill>
      <a:gsLst>
        <a:gs pos="0">
          <a:schemeClr val="dk1">
            <a:lumMod val="65000"/>
            <a:lumOff val="35000"/>
          </a:schemeClr>
        </a:gs>
        <a:gs pos="100000">
          <a:schemeClr val="dk1">
            <a:lumMod val="85000"/>
            <a:lumOff val="15000"/>
          </a:schemeClr>
        </a:gs>
      </a:gsLst>
      <a:path path="circle">
        <a:fillToRect l="50000" t="50000" r="50000" b="50000"/>
      </a:path>
      <a:tileRect/>
    </a:gradFill>
    <a:ln w="9525" cap="flat" cmpd="sng" algn="ctr">
      <a:solidFill>
        <a:schemeClr val="bg1">
          <a:lumMod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withinLinear" id="15">
  <a:schemeClr val="accent2"/>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withinLinear" id="15">
  <a:schemeClr val="accent2"/>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16">
  <cs:axisTitle>
    <cs:lnRef idx="0"/>
    <cs:fillRef idx="0"/>
    <cs:effectRef idx="0"/>
    <cs:fontRef idx="minor">
      <a:schemeClr val="dk1">
        <a:lumMod val="65000"/>
        <a:lumOff val="35000"/>
      </a:schemeClr>
    </cs:fontRef>
    <cs:defRPr sz="1000"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lt1">
          <a:lumMod val="96000"/>
        </a:schemeClr>
      </a:solidFill>
      <a:ln w="9525" cap="flat" cmpd="sng" algn="ctr">
        <a:solidFill>
          <a:schemeClr val="tx1">
            <a:lumMod val="15000"/>
            <a:lumOff val="85000"/>
          </a:schemeClr>
        </a:solidFill>
        <a:round/>
      </a:ln>
    </cs:spPr>
    <cs:defRPr sz="1000" kern="1200"/>
  </cs:chartArea>
  <cs:dataLabel>
    <cs:lnRef idx="0"/>
    <cs:fillRef idx="0"/>
    <cs:effectRef idx="0"/>
    <cs:fontRef idx="minor">
      <a:schemeClr val="dk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100000">
            <a:schemeClr val="phClr"/>
          </a:gs>
          <a:gs pos="0">
            <a:schemeClr val="phClr">
              <a:hueOff val="-1670000"/>
            </a:schemeClr>
          </a:gs>
        </a:gsLst>
        <a:lin ang="5400000" scaled="0"/>
      </a:gradFill>
      <a:ln>
        <a:gradFill>
          <a:gsLst>
            <a:gs pos="100000">
              <a:schemeClr val="phClr">
                <a:lumMod val="75000"/>
              </a:schemeClr>
            </a:gs>
            <a:gs pos="0">
              <a:schemeClr val="phClr">
                <a:lumMod val="75000"/>
                <a:hueOff val="-1670000"/>
              </a:schemeClr>
            </a:gs>
          </a:gsLst>
          <a:lin ang="4620000" scaled="0"/>
        </a:grad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a:solidFill>
          <a:schemeClr val="dk1">
            <a:lumMod val="35000"/>
            <a:lumOff val="65000"/>
          </a:schemeClr>
        </a:solidFill>
      </a:ln>
    </cs:spPr>
  </cs:dropLine>
  <cs:errorBar>
    <cs:lnRef idx="0"/>
    <cs:fillRef idx="0"/>
    <cs:effectRef idx="0"/>
    <cs:fontRef idx="minor">
      <a:schemeClr val="tx1"/>
    </cs:fontRef>
    <cs:spPr>
      <a:ln w="9525" cap="flat" cmpd="sng" algn="ctr">
        <a:solidFill>
          <a:schemeClr val="dk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a:solidFill>
          <a:schemeClr val="dk1">
            <a:lumMod val="75000"/>
            <a:lumOff val="25000"/>
          </a:schemeClr>
        </a:solidFill>
      </a:ln>
    </cs:spPr>
  </cs:hiLoLine>
  <cs:leaderLine>
    <cs:lnRef idx="0"/>
    <cs:fillRef idx="0"/>
    <cs:effectRef idx="0"/>
    <cs:fontRef idx="minor">
      <a:schemeClr val="tx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tx1"/>
    </cs:fontRef>
    <cs:spPr>
      <a:ln w="9525">
        <a:solidFill>
          <a:schemeClr val="dk1">
            <a:lumMod val="35000"/>
            <a:lumOff val="65000"/>
          </a:schemeClr>
        </a:solidFill>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84">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cs:styleClr val="auto"/>
    </cs:fontRef>
    <cs:defRPr sz="1000" b="1" i="0" u="none" strike="noStrike" kern="1200" spc="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16">
  <cs:axisTitle>
    <cs:lnRef idx="0"/>
    <cs:fillRef idx="0"/>
    <cs:effectRef idx="0"/>
    <cs:fontRef idx="minor">
      <a:schemeClr val="dk1">
        <a:lumMod val="65000"/>
        <a:lumOff val="35000"/>
      </a:schemeClr>
    </cs:fontRef>
    <cs:defRPr sz="1000"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lt1">
          <a:lumMod val="96000"/>
        </a:schemeClr>
      </a:solidFill>
      <a:ln w="9525" cap="flat" cmpd="sng" algn="ctr">
        <a:solidFill>
          <a:schemeClr val="tx1">
            <a:lumMod val="15000"/>
            <a:lumOff val="85000"/>
          </a:schemeClr>
        </a:solidFill>
        <a:round/>
      </a:ln>
    </cs:spPr>
    <cs:defRPr sz="1000" kern="1200"/>
  </cs:chartArea>
  <cs:dataLabel>
    <cs:lnRef idx="0"/>
    <cs:fillRef idx="0"/>
    <cs:effectRef idx="0"/>
    <cs:fontRef idx="minor">
      <a:schemeClr val="dk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100000">
            <a:schemeClr val="phClr"/>
          </a:gs>
          <a:gs pos="0">
            <a:schemeClr val="phClr">
              <a:hueOff val="-1670000"/>
            </a:schemeClr>
          </a:gs>
        </a:gsLst>
        <a:lin ang="5400000" scaled="0"/>
      </a:gradFill>
      <a:ln>
        <a:gradFill>
          <a:gsLst>
            <a:gs pos="100000">
              <a:schemeClr val="phClr">
                <a:lumMod val="75000"/>
              </a:schemeClr>
            </a:gs>
            <a:gs pos="0">
              <a:schemeClr val="phClr">
                <a:lumMod val="75000"/>
                <a:hueOff val="-1670000"/>
              </a:schemeClr>
            </a:gs>
          </a:gsLst>
          <a:lin ang="4620000" scaled="0"/>
        </a:grad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a:solidFill>
          <a:schemeClr val="dk1">
            <a:lumMod val="35000"/>
            <a:lumOff val="65000"/>
          </a:schemeClr>
        </a:solidFill>
      </a:ln>
    </cs:spPr>
  </cs:dropLine>
  <cs:errorBar>
    <cs:lnRef idx="0"/>
    <cs:fillRef idx="0"/>
    <cs:effectRef idx="0"/>
    <cs:fontRef idx="minor">
      <a:schemeClr val="tx1"/>
    </cs:fontRef>
    <cs:spPr>
      <a:ln w="9525" cap="flat" cmpd="sng" algn="ctr">
        <a:solidFill>
          <a:schemeClr val="dk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a:solidFill>
          <a:schemeClr val="dk1">
            <a:lumMod val="75000"/>
            <a:lumOff val="25000"/>
          </a:schemeClr>
        </a:solidFill>
      </a:ln>
    </cs:spPr>
  </cs:hiLoLine>
  <cs:leaderLine>
    <cs:lnRef idx="0"/>
    <cs:fillRef idx="0"/>
    <cs:effectRef idx="0"/>
    <cs:fontRef idx="minor">
      <a:schemeClr val="tx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tx1"/>
    </cs:fontRef>
    <cs:spPr>
      <a:ln w="9525">
        <a:solidFill>
          <a:schemeClr val="dk1">
            <a:lumMod val="35000"/>
            <a:lumOff val="65000"/>
          </a:schemeClr>
        </a:solidFill>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90">
  <cs:axisTitle>
    <cs:lnRef idx="0"/>
    <cs:fillRef idx="0"/>
    <cs:effectRef idx="0"/>
    <cs:fontRef idx="minor">
      <a:schemeClr val="dk1">
        <a:lumMod val="65000"/>
        <a:lumOff val="35000"/>
      </a:schemeClr>
    </cs:fontRef>
    <cs:defRPr sz="1000"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lt1">
          <a:lumMod val="96000"/>
        </a:schemeClr>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hueOff val="-1670000"/>
            </a:schemeClr>
          </a:gs>
          <a:gs pos="100000">
            <a:schemeClr val="phClr"/>
          </a:gs>
        </a:gsLst>
        <a:lin ang="5400000" scaled="0"/>
      </a:gradFill>
      <a:ln>
        <a:gradFill>
          <a:gsLst>
            <a:gs pos="0">
              <a:schemeClr val="phClr">
                <a:lumMod val="75000"/>
                <a:hueOff val="-1670000"/>
              </a:schemeClr>
            </a:gs>
            <a:gs pos="100000">
              <a:schemeClr val="phClr">
                <a:lumMod val="75000"/>
              </a:schemeClr>
            </a:gs>
          </a:gsLst>
          <a:lin ang="5400000" scaled="1"/>
        </a:gra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a:solidFill>
          <a:schemeClr val="dk1">
            <a:lumMod val="35000"/>
            <a:lumOff val="65000"/>
          </a:schemeClr>
        </a:solidFill>
      </a:ln>
    </cs:spPr>
  </cs:dropLine>
  <cs:errorBar>
    <cs:lnRef idx="0"/>
    <cs:fillRef idx="0"/>
    <cs:effectRef idx="0"/>
    <cs:fontRef idx="minor">
      <a:schemeClr val="tx1"/>
    </cs:fontRef>
    <cs:spPr>
      <a:ln w="9525" cap="flat" cmpd="sng" algn="ctr">
        <a:solidFill>
          <a:schemeClr val="dk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a:solidFill>
          <a:schemeClr val="dk1">
            <a:lumMod val="75000"/>
            <a:lumOff val="25000"/>
          </a:schemeClr>
        </a:solidFill>
      </a:ln>
    </cs:spPr>
  </cs:hiLoLine>
  <cs:leaderLine>
    <cs:lnRef idx="0"/>
    <cs:fillRef idx="0"/>
    <cs:effectRef idx="0"/>
    <cs:fontRef idx="minor">
      <a:schemeClr val="tx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tx1"/>
    </cs:fontRef>
    <cs:spPr>
      <a:ln w="9525">
        <a:solidFill>
          <a:schemeClr val="dk1">
            <a:lumMod val="35000"/>
            <a:lumOff val="65000"/>
          </a:schemeClr>
        </a:solidFill>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29</Pages>
  <Words>2038</Words>
  <Characters>11618</Characters>
  <Lines>96</Lines>
  <Paragraphs>27</Paragraphs>
  <TotalTime>15</TotalTime>
  <ScaleCrop>false</ScaleCrop>
  <LinksUpToDate>false</LinksUpToDate>
  <CharactersWithSpaces>13629</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2023-08-20T07:28:00Z</dcterms:created>
  <dc:creator>pjf</dc:creator>
  <cp:lastModifiedBy>user</cp:lastModifiedBy>
  <cp:lastPrinted>2025-09-11T03:39:00Z</cp:lastPrinted>
  <dcterms:modified xsi:type="dcterms:W3CDTF">2026-05-06T09:31:32Z</dcterms:modified>
  <dc:title>四川省决算编制说明</dc:title>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B93CA6F4BEAD4F359769D1203595D585</vt:lpwstr>
  </property>
  <property fmtid="{D5CDD505-2E9C-101B-9397-08002B2CF9AE}" pid="4" name="KSOTemplateDocerSaveRecord">
    <vt:lpwstr>eyJoZGlkIjoiZjJmMjk1MjI0M2Q4YmQ0YzU1NGJlNzdmNzY1MzI2MTkiLCJ1c2VySWQiOiIxMzM2MDI1OTUwIn0=</vt:lpwstr>
  </property>
</Properties>
</file>