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方正小标宋简体" w:eastAsia="方正小标宋简体"/>
          <w:sz w:val="72"/>
          <w:szCs w:val="72"/>
        </w:rPr>
      </w:pPr>
      <w:bookmarkStart w:id="2" w:name="_Toc15378441"/>
      <w:bookmarkStart w:id="3" w:name="_Toc15377425"/>
      <w:bookmarkStart w:id="4" w:name="_Toc15396475"/>
      <w:bookmarkStart w:id="5" w:name="_Toc15377193"/>
      <w:bookmarkStart w:id="6" w:name="_Toc15396597"/>
      <w:r>
        <w:rPr>
          <w:rFonts w:ascii="方正小标宋简体" w:eastAsia="方正小标宋简体"/>
          <w:sz w:val="72"/>
          <w:szCs w:val="72"/>
        </w:rPr>
        <w:t>2021</w:t>
      </w:r>
      <w:r>
        <w:rPr>
          <w:rFonts w:ascii="方正小标宋简体" w:eastAsia="方正小标宋简体" w:hint="eastAsia"/>
          <w:sz w:val="72"/>
          <w:szCs w:val="72"/>
        </w:rPr>
        <w:t>年度</w:t>
      </w:r>
      <w:bookmarkEnd w:id="2"/>
      <w:bookmarkEnd w:id="3"/>
      <w:bookmarkEnd w:id="4"/>
      <w:bookmarkEnd w:id="5"/>
      <w:bookmarkEnd w:id="6"/>
    </w:p>
    <w:p>
      <w:pPr>
        <w:jc w:val="center"/>
        <w:rPr>
          <w:rFonts w:ascii="方正小标宋简体" w:eastAsia="方正小标宋简体"/>
          <w:sz w:val="72"/>
          <w:szCs w:val="72"/>
        </w:rPr>
      </w:pPr>
      <w:bookmarkStart w:id="7" w:name="_Toc15377426"/>
      <w:bookmarkStart w:id="8" w:name="_Toc15378442"/>
      <w:bookmarkStart w:id="9" w:name="_Toc15396598"/>
      <w:bookmarkStart w:id="10" w:name="_Toc15396476"/>
      <w:bookmarkStart w:id="11" w:name="_Toc15377194"/>
      <w:r>
        <w:rPr>
          <w:rFonts w:ascii="方正小标宋简体" w:eastAsia="方正小标宋简体" w:hint="eastAsia"/>
          <w:sz w:val="72"/>
          <w:szCs w:val="72"/>
        </w:rPr>
        <w:t>四川省茂县</w:t>
      </w:r>
      <w:bookmarkStart w:id="12" w:name="_Toc15306268"/>
      <w:bookmarkEnd w:id="0"/>
      <w:r>
        <w:rPr>
          <w:rFonts w:ascii="方正小标宋简体" w:eastAsia="方正小标宋简体" w:hint="eastAsia"/>
          <w:sz w:val="72"/>
          <w:szCs w:val="72"/>
        </w:rPr>
        <w:t>叠溪镇人民政府部门决算</w:t>
      </w:r>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仿宋_GB2312" w:eastAsia="仿宋_GB2312" w:cs="仿宋_GB2312" w:hint="eastAsia"/>
          <w:sz w:val="32"/>
          <w:szCs w:val="32"/>
        </w:rPr>
      </w:pPr>
      <w:r>
        <w:rPr>
          <w:rFonts w:ascii="仿宋_GB2312" w:eastAsia="仿宋_GB2312" w:cs="仿宋_GB2312" w:hint="eastAsia"/>
          <w:sz w:val="32"/>
          <w:szCs w:val="32"/>
        </w:rPr>
        <w:t>保密审查情况：</w:t>
      </w:r>
    </w:p>
    <w:p>
      <w:pPr>
        <w:autoSpaceDE w:val="0"/>
        <w:autoSpaceDN w:val="0"/>
        <w:adjustRightInd w:val="0"/>
        <w:ind w:leftChars="200" w:left="420"/>
        <w:jc w:val="left"/>
        <w:rPr>
          <w:rFonts w:ascii="仿宋_GB2312" w:eastAsia="仿宋_GB2312" w:hint="eastAsia"/>
          <w:sz w:val="32"/>
          <w:szCs w:val="32"/>
        </w:rPr>
      </w:pPr>
      <w:r>
        <w:rPr>
          <w:rFonts w:ascii="仿宋_GB2312" w:eastAsia="仿宋_GB2312" w:cs="仿宋_GB2312" w:hint="eastAsia"/>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hint="eastAsia"/>
          <w:color w:val="000000"/>
          <w:sz w:val="48"/>
          <w:szCs w:val="48"/>
        </w:rPr>
      </w:pPr>
      <w:r>
        <w:rPr>
          <w:rFonts w:ascii="方正小标宋简体" w:eastAsia="方正小标宋简体"/>
          <w:sz w:val="36"/>
          <w:szCs w:val="36"/>
        </w:rPr>
        <w:br w:type="page"/>
      </w:r>
      <w:r>
        <w:rPr>
          <w:rFonts w:ascii="方正小标宋简体" w:eastAsia="方正小标宋简体" w:hint="eastAsia"/>
          <w:color w:val="000000"/>
          <w:sz w:val="48"/>
          <w:szCs w:val="48"/>
        </w:rPr>
        <w:t>目  录</w:t>
      </w:r>
    </w:p>
    <w:p>
      <w:pPr>
        <w:pStyle w:val="24"/>
        <w:jc w:val="center"/>
        <w:rPr>
          <w:rFonts w:ascii="仿宋_GB2312" w:eastAsia="仿宋_GB2312" w:hint="eastAsia"/>
          <w:b w:val="0"/>
          <w:bCs w:val="0"/>
          <w:sz w:val="24"/>
          <w:szCs w:val="24"/>
        </w:rPr>
      </w:pPr>
      <w:r>
        <w:rPr>
          <w:rFonts w:ascii="仿宋_GB2312" w:eastAsia="仿宋_GB2312" w:hint="eastAsia"/>
          <w:b w:val="0"/>
          <w:bCs w:val="0"/>
          <w:sz w:val="24"/>
          <w:szCs w:val="24"/>
        </w:rPr>
        <w:t>公开时间：2022年</w:t>
      </w:r>
      <w:r>
        <w:rPr>
          <w:rFonts w:ascii="仿宋_GB2312" w:eastAsia="仿宋_GB2312" w:hint="eastAsia"/>
          <w:b w:val="0"/>
          <w:bCs w:val="0"/>
          <w:sz w:val="24"/>
          <w:szCs w:val="24"/>
          <w:lang w:val="en-US" w:eastAsia="zh-CN"/>
        </w:rPr>
        <w:t>9</w:t>
      </w:r>
      <w:r>
        <w:rPr>
          <w:rFonts w:ascii="仿宋_GB2312" w:eastAsia="仿宋_GB2312" w:hint="eastAsia"/>
          <w:b w:val="0"/>
          <w:bCs w:val="0"/>
          <w:sz w:val="24"/>
          <w:szCs w:val="24"/>
        </w:rPr>
        <w:t xml:space="preserve">月 </w:t>
      </w:r>
      <w:r>
        <w:rPr>
          <w:rFonts w:ascii="仿宋_GB2312" w:eastAsia="仿宋_GB2312" w:hint="eastAsia"/>
          <w:b w:val="0"/>
          <w:bCs w:val="0"/>
          <w:sz w:val="24"/>
          <w:szCs w:val="24"/>
          <w:lang w:val="en-US" w:eastAsia="zh-CN"/>
        </w:rPr>
        <w:t>27</w:t>
      </w:r>
      <w:r>
        <w:rPr>
          <w:rFonts w:ascii="仿宋_GB2312" w:eastAsia="仿宋_GB2312" w:hint="eastAsia"/>
          <w:b w:val="0"/>
          <w:bCs w:val="0"/>
          <w:sz w:val="24"/>
          <w:szCs w:val="24"/>
        </w:rPr>
        <w:t>日</w:t>
      </w:r>
    </w:p>
    <w:p>
      <w:pPr>
        <w:pStyle w:val="24"/>
        <w:tabs>
          <w:tab w:val="right" w:leader="dot" w:pos="8296"/>
        </w:tabs>
        <w:rPr>
          <w:rFonts w:ascii="仿宋_GB2312" w:eastAsia="仿宋_GB2312" w:hint="eastAsia"/>
          <w:b w:val="0"/>
          <w:bCs w:val="0"/>
          <w:caps w:val="0"/>
          <w:smallCaps/>
          <w:sz w:val="24"/>
          <w:szCs w:val="24"/>
        </w:rPr>
      </w:pPr>
      <w:r>
        <w:rPr>
          <w:rFonts w:ascii="仿宋_GB2312" w:eastAsia="仿宋_GB2312" w:hint="eastAsia"/>
          <w:b w:val="0"/>
          <w:bCs w:val="0"/>
          <w:caps w:val="0"/>
          <w:smallCaps/>
          <w:sz w:val="24"/>
          <w:szCs w:val="24"/>
        </w:rPr>
        <w:fldChar w:fldCharType="begin"/>
      </w:r>
      <w:r>
        <w:rPr>
          <w:rFonts w:ascii="仿宋_GB2312" w:eastAsia="仿宋_GB2312" w:hint="eastAsia"/>
          <w:b w:val="0"/>
          <w:bCs w:val="0"/>
          <w:caps w:val="0"/>
          <w:smallCaps/>
          <w:sz w:val="24"/>
          <w:szCs w:val="24"/>
        </w:rPr>
        <w:instrText xml:space="preserve"> TOC \o \u </w:instrText>
      </w:r>
      <w:r>
        <w:rPr>
          <w:rFonts w:ascii="仿宋_GB2312" w:eastAsia="仿宋_GB2312" w:hint="eastAsia"/>
          <w:b w:val="0"/>
          <w:bCs w:val="0"/>
          <w:caps w:val="0"/>
          <w:smallCaps/>
          <w:sz w:val="24"/>
          <w:szCs w:val="24"/>
        </w:rPr>
        <w:fldChar w:fldCharType="separate"/>
      </w:r>
      <w:r>
        <w:rPr>
          <w:rFonts w:ascii="仿宋_GB2312" w:eastAsia="仿宋_GB2312" w:hint="eastAsia"/>
          <w:b w:val="0"/>
          <w:bCs w:val="0"/>
          <w:caps w:val="0"/>
          <w:smallCaps/>
          <w:sz w:val="24"/>
          <w:szCs w:val="24"/>
        </w:rPr>
        <w:t>第一部分 部门概况</w:t>
        <w:tab/>
      </w:r>
      <w:r>
        <w:rPr>
          <w:rFonts w:ascii="仿宋_GB2312" w:eastAsia="仿宋_GB2312" w:hint="eastAsia"/>
          <w:b w:val="0"/>
          <w:bCs w:val="0"/>
          <w:caps w:val="0"/>
          <w:smallCaps/>
          <w:sz w:val="24"/>
          <w:szCs w:val="24"/>
        </w:rPr>
        <w:fldChar w:fldCharType="begin"/>
      </w:r>
      <w:r>
        <w:rPr>
          <w:rFonts w:ascii="仿宋_GB2312" w:eastAsia="仿宋_GB2312" w:hint="eastAsia"/>
          <w:b w:val="0"/>
          <w:bCs w:val="0"/>
          <w:caps w:val="0"/>
          <w:smallCaps/>
          <w:sz w:val="24"/>
          <w:szCs w:val="24"/>
        </w:rPr>
        <w:instrText xml:space="preserve"> PAGEREF _Toc79163851 \h </w:instrText>
      </w:r>
      <w:r>
        <w:rPr>
          <w:rFonts w:ascii="仿宋_GB2312" w:eastAsia="仿宋_GB2312" w:hint="eastAsia"/>
          <w:b w:val="0"/>
          <w:bCs w:val="0"/>
          <w:caps w:val="0"/>
          <w:smallCaps/>
          <w:sz w:val="24"/>
          <w:szCs w:val="24"/>
        </w:rPr>
        <w:fldChar w:fldCharType="separate"/>
      </w:r>
      <w:r>
        <w:rPr>
          <w:rFonts w:ascii="仿宋_GB2312" w:eastAsia="仿宋_GB2312"/>
          <w:b w:val="0"/>
          <w:bCs w:val="0"/>
          <w:caps w:val="0"/>
          <w:smallCaps/>
          <w:sz w:val="24"/>
          <w:szCs w:val="24"/>
        </w:rPr>
        <w:t>4</w:t>
      </w:r>
      <w:r>
        <w:rPr>
          <w:rFonts w:ascii="仿宋_GB2312" w:eastAsia="仿宋_GB2312" w:hint="eastAsia"/>
          <w:b w:val="0"/>
          <w:bCs w:val="0"/>
          <w:caps w:val="0"/>
          <w:smallCaps/>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一、基本职能及主要工作</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_Toc79163852 \h </w:instrText>
      </w:r>
      <w:r>
        <w:rPr>
          <w:rFonts w:ascii="仿宋_GB2312" w:eastAsia="仿宋_GB2312" w:hint="eastAsia"/>
          <w:sz w:val="24"/>
          <w:szCs w:val="24"/>
        </w:rPr>
        <w:fldChar w:fldCharType="separate"/>
      </w:r>
      <w:r>
        <w:rPr>
          <w:rFonts w:ascii="仿宋_GB2312" w:eastAsia="仿宋_GB2312"/>
          <w:sz w:val="24"/>
          <w:szCs w:val="24"/>
        </w:rPr>
        <w:t>4</w:t>
      </w:r>
      <w:r>
        <w:rPr>
          <w:rFonts w:ascii="仿宋_GB2312" w:eastAsia="仿宋_GB2312" w:hint="eastAsia"/>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（一）主要职能。</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_Toc79163853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4</w:t>
      </w:r>
      <w:r>
        <w:rPr>
          <w:rFonts w:ascii="仿宋_GB2312" w:eastAsia="仿宋_GB2312" w:hint="eastAsia"/>
          <w:i w:val="0"/>
          <w:iCs w:val="0"/>
          <w:caps w:val="0"/>
          <w:smallCaps/>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（二）2021年重点工作完成情况。</w:t>
        <w:tab/>
        <w:t>5</w:t>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二、机构设置</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_Toc79163855 \h </w:instrText>
      </w:r>
      <w:r>
        <w:rPr>
          <w:rFonts w:ascii="仿宋_GB2312" w:eastAsia="仿宋_GB2312" w:hint="eastAsia"/>
          <w:sz w:val="24"/>
          <w:szCs w:val="24"/>
        </w:rPr>
        <w:fldChar w:fldCharType="separate"/>
      </w:r>
      <w:r>
        <w:rPr>
          <w:rFonts w:ascii="仿宋_GB2312" w:eastAsia="仿宋_GB2312"/>
          <w:sz w:val="24"/>
          <w:szCs w:val="24"/>
        </w:rPr>
        <w:t>8</w:t>
      </w:r>
      <w:r>
        <w:rPr>
          <w:rFonts w:ascii="仿宋_GB2312" w:eastAsia="仿宋_GB2312" w:hint="eastAsia"/>
          <w:sz w:val="24"/>
          <w:szCs w:val="24"/>
        </w:rPr>
        <w:fldChar w:fldCharType="end"/>
      </w:r>
    </w:p>
    <w:p>
      <w:pPr>
        <w:pStyle w:val="24"/>
        <w:tabs>
          <w:tab w:val="right" w:leader="dot" w:pos="8296"/>
        </w:tabs>
        <w:rPr>
          <w:rFonts w:ascii="仿宋_GB2312" w:eastAsia="仿宋_GB2312" w:hint="eastAsia"/>
          <w:b w:val="0"/>
          <w:bCs w:val="0"/>
          <w:caps w:val="0"/>
          <w:smallCaps/>
          <w:sz w:val="24"/>
          <w:szCs w:val="24"/>
        </w:rPr>
      </w:pPr>
      <w:r>
        <w:rPr>
          <w:rFonts w:ascii="仿宋_GB2312" w:eastAsia="仿宋_GB2312" w:hint="eastAsia"/>
          <w:b w:val="0"/>
          <w:bCs w:val="0"/>
          <w:caps w:val="0"/>
          <w:smallCaps/>
          <w:sz w:val="24"/>
          <w:szCs w:val="24"/>
        </w:rPr>
        <w:t>第二部分 2021年度部门决算情况说明</w:t>
        <w:tab/>
      </w:r>
      <w:r>
        <w:rPr>
          <w:rFonts w:ascii="仿宋_GB2312" w:eastAsia="仿宋_GB2312" w:hint="eastAsia"/>
          <w:b w:val="0"/>
          <w:bCs w:val="0"/>
          <w:caps w:val="0"/>
          <w:smallCaps/>
          <w:sz w:val="24"/>
          <w:szCs w:val="24"/>
        </w:rPr>
        <w:fldChar w:fldCharType="begin"/>
      </w:r>
      <w:r>
        <w:rPr>
          <w:rFonts w:ascii="仿宋_GB2312" w:eastAsia="仿宋_GB2312" w:hint="eastAsia"/>
          <w:b w:val="0"/>
          <w:bCs w:val="0"/>
          <w:caps w:val="0"/>
          <w:smallCaps/>
          <w:sz w:val="24"/>
          <w:szCs w:val="24"/>
        </w:rPr>
        <w:instrText xml:space="preserve"> PAGEREF _Toc79163859 \h </w:instrText>
      </w:r>
      <w:r>
        <w:rPr>
          <w:rFonts w:ascii="仿宋_GB2312" w:eastAsia="仿宋_GB2312" w:hint="eastAsia"/>
          <w:b w:val="0"/>
          <w:bCs w:val="0"/>
          <w:caps w:val="0"/>
          <w:smallCaps/>
          <w:sz w:val="24"/>
          <w:szCs w:val="24"/>
        </w:rPr>
        <w:fldChar w:fldCharType="separate"/>
      </w:r>
      <w:r>
        <w:rPr>
          <w:rFonts w:ascii="仿宋_GB2312" w:eastAsia="仿宋_GB2312"/>
          <w:b w:val="0"/>
          <w:bCs w:val="0"/>
          <w:caps w:val="0"/>
          <w:smallCaps/>
          <w:sz w:val="24"/>
          <w:szCs w:val="24"/>
        </w:rPr>
        <w:t>9</w:t>
      </w:r>
      <w:r>
        <w:rPr>
          <w:rFonts w:ascii="仿宋_GB2312" w:eastAsia="仿宋_GB2312" w:hint="eastAsia"/>
          <w:b w:val="0"/>
          <w:bCs w:val="0"/>
          <w:caps w:val="0"/>
          <w:smallCaps/>
          <w:sz w:val="24"/>
          <w:szCs w:val="24"/>
        </w:rPr>
        <w:fldChar w:fldCharType="end"/>
      </w:r>
    </w:p>
    <w:p>
      <w:pPr>
        <w:pStyle w:val="28"/>
        <w:tabs>
          <w:tab w:val="left" w:pos="840"/>
          <w:tab w:val="right" w:leader="dot" w:pos="8296"/>
        </w:tabs>
        <w:rPr>
          <w:rFonts w:ascii="仿宋_GB2312" w:eastAsia="仿宋_GB2312" w:hint="eastAsia"/>
          <w:sz w:val="24"/>
          <w:szCs w:val="24"/>
        </w:rPr>
      </w:pPr>
      <w:r>
        <w:rPr>
          <w:rFonts w:ascii="仿宋_GB2312" w:eastAsia="仿宋_GB2312" w:hint="eastAsia"/>
          <w:sz w:val="24"/>
          <w:szCs w:val="24"/>
        </w:rPr>
        <w:t>一、</w:t>
        <w:tab/>
        <w:t>收入支出决算总体情况说明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_Toc79163860 \h </w:instrText>
      </w:r>
      <w:r>
        <w:rPr>
          <w:rFonts w:ascii="仿宋_GB2312" w:eastAsia="仿宋_GB2312" w:hint="eastAsia"/>
          <w:sz w:val="24"/>
          <w:szCs w:val="24"/>
        </w:rPr>
        <w:fldChar w:fldCharType="separate"/>
      </w:r>
      <w:r>
        <w:rPr>
          <w:rFonts w:ascii="仿宋_GB2312" w:eastAsia="仿宋_GB2312"/>
          <w:sz w:val="24"/>
          <w:szCs w:val="24"/>
        </w:rPr>
        <w:t>9</w:t>
      </w:r>
      <w:r>
        <w:rPr>
          <w:rFonts w:ascii="仿宋_GB2312" w:eastAsia="仿宋_GB2312" w:hint="eastAsia"/>
          <w:sz w:val="24"/>
          <w:szCs w:val="24"/>
        </w:rPr>
        <w:fldChar w:fldCharType="end"/>
      </w:r>
    </w:p>
    <w:p>
      <w:pPr>
        <w:pStyle w:val="28"/>
        <w:tabs>
          <w:tab w:val="left" w:pos="840"/>
          <w:tab w:val="right" w:leader="dot" w:pos="8296"/>
        </w:tabs>
        <w:rPr>
          <w:rFonts w:ascii="仿宋_GB2312" w:eastAsia="仿宋_GB2312" w:hint="eastAsia"/>
          <w:sz w:val="24"/>
          <w:szCs w:val="24"/>
        </w:rPr>
      </w:pPr>
      <w:r>
        <w:rPr>
          <w:rFonts w:ascii="仿宋_GB2312" w:eastAsia="仿宋_GB2312" w:hint="eastAsia"/>
          <w:sz w:val="24"/>
          <w:szCs w:val="24"/>
        </w:rPr>
        <w:t>二、</w:t>
        <w:tab/>
        <w:t>收入决算情况说明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_Toc79163861 \h </w:instrText>
      </w:r>
      <w:r>
        <w:rPr>
          <w:rFonts w:ascii="仿宋_GB2312" w:eastAsia="仿宋_GB2312" w:hint="eastAsia"/>
          <w:sz w:val="24"/>
          <w:szCs w:val="24"/>
        </w:rPr>
        <w:fldChar w:fldCharType="separate"/>
      </w:r>
      <w:r>
        <w:rPr>
          <w:rFonts w:ascii="仿宋_GB2312" w:eastAsia="仿宋_GB2312"/>
          <w:sz w:val="24"/>
          <w:szCs w:val="24"/>
        </w:rPr>
        <w:t>9</w:t>
      </w:r>
      <w:r>
        <w:rPr>
          <w:rFonts w:ascii="仿宋_GB2312" w:eastAsia="仿宋_GB2312" w:hint="eastAsia"/>
          <w:sz w:val="24"/>
          <w:szCs w:val="24"/>
        </w:rPr>
        <w:fldChar w:fldCharType="end"/>
      </w:r>
    </w:p>
    <w:p>
      <w:pPr>
        <w:pStyle w:val="28"/>
        <w:tabs>
          <w:tab w:val="left" w:pos="840"/>
          <w:tab w:val="right" w:leader="dot" w:pos="8296"/>
        </w:tabs>
        <w:rPr>
          <w:rFonts w:ascii="仿宋_GB2312" w:eastAsia="仿宋_GB2312" w:hint="eastAsia"/>
          <w:sz w:val="24"/>
          <w:szCs w:val="24"/>
        </w:rPr>
      </w:pPr>
      <w:r>
        <w:rPr>
          <w:rFonts w:ascii="仿宋_GB2312" w:eastAsia="仿宋_GB2312" w:hint="eastAsia"/>
          <w:sz w:val="24"/>
          <w:szCs w:val="24"/>
        </w:rPr>
        <w:t>三、</w:t>
        <w:tab/>
        <w:t>支出决算情况说明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_Toc79163862 \h </w:instrText>
      </w:r>
      <w:r>
        <w:rPr>
          <w:rFonts w:ascii="仿宋_GB2312" w:eastAsia="仿宋_GB2312" w:hint="eastAsia"/>
          <w:sz w:val="24"/>
          <w:szCs w:val="24"/>
        </w:rPr>
        <w:fldChar w:fldCharType="separate"/>
      </w:r>
      <w:r>
        <w:rPr>
          <w:rFonts w:ascii="仿宋_GB2312" w:eastAsia="仿宋_GB2312"/>
          <w:sz w:val="24"/>
          <w:szCs w:val="24"/>
        </w:rPr>
        <w:t>10</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四、财政拨款收入支出决算总体情况说明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_Toc79163863 \h </w:instrText>
      </w:r>
      <w:r>
        <w:rPr>
          <w:rFonts w:ascii="仿宋_GB2312" w:eastAsia="仿宋_GB2312" w:hint="eastAsia"/>
          <w:sz w:val="24"/>
          <w:szCs w:val="24"/>
        </w:rPr>
        <w:fldChar w:fldCharType="separate"/>
      </w:r>
      <w:r>
        <w:rPr>
          <w:rFonts w:ascii="仿宋_GB2312" w:eastAsia="仿宋_GB2312"/>
          <w:sz w:val="24"/>
          <w:szCs w:val="24"/>
        </w:rPr>
        <w:t>11</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五、一般公共预算财政拨款支出决算情况说明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_Toc79163864 \h </w:instrText>
      </w:r>
      <w:r>
        <w:rPr>
          <w:rFonts w:ascii="仿宋_GB2312" w:eastAsia="仿宋_GB2312" w:hint="eastAsia"/>
          <w:sz w:val="24"/>
          <w:szCs w:val="24"/>
        </w:rPr>
        <w:fldChar w:fldCharType="separate"/>
      </w:r>
      <w:r>
        <w:rPr>
          <w:rFonts w:ascii="仿宋_GB2312" w:eastAsia="仿宋_GB2312"/>
          <w:sz w:val="24"/>
          <w:szCs w:val="24"/>
        </w:rPr>
        <w:t>11</w:t>
      </w:r>
      <w:r>
        <w:rPr>
          <w:rFonts w:ascii="仿宋_GB2312" w:eastAsia="仿宋_GB2312" w:hint="eastAsia"/>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（一）一般公共预算财政拨款支出决算总体情况</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_Toc79163865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11</w:t>
      </w:r>
      <w:r>
        <w:rPr>
          <w:rFonts w:ascii="仿宋_GB2312" w:eastAsia="仿宋_GB2312" w:hint="eastAsia"/>
          <w:i w:val="0"/>
          <w:iCs w:val="0"/>
          <w:caps w:val="0"/>
          <w:smallCaps/>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（二）一般公共预算财政拨款支出决算结构情况</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_Toc79163866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12</w:t>
      </w:r>
      <w:r>
        <w:rPr>
          <w:rFonts w:ascii="仿宋_GB2312" w:eastAsia="仿宋_GB2312" w:hint="eastAsia"/>
          <w:i w:val="0"/>
          <w:iCs w:val="0"/>
          <w:caps w:val="0"/>
          <w:smallCaps/>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（三）一般公共预算财政拨款支出决算具体情况</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_Toc79163867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13</w:t>
      </w:r>
      <w:r>
        <w:rPr>
          <w:rFonts w:ascii="仿宋_GB2312" w:eastAsia="仿宋_GB2312" w:hint="eastAsia"/>
          <w:i w:val="0"/>
          <w:iCs w:val="0"/>
          <w:caps w:val="0"/>
          <w:smallCaps/>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六、一般公共预算财政拨款基本支出决算情况说明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_Toc79163868 \h </w:instrText>
      </w:r>
      <w:r>
        <w:rPr>
          <w:rFonts w:ascii="仿宋_GB2312" w:eastAsia="仿宋_GB2312" w:hint="eastAsia"/>
          <w:sz w:val="24"/>
          <w:szCs w:val="24"/>
        </w:rPr>
        <w:fldChar w:fldCharType="separate"/>
      </w:r>
      <w:r>
        <w:rPr>
          <w:rFonts w:ascii="仿宋_GB2312" w:eastAsia="仿宋_GB2312"/>
          <w:sz w:val="24"/>
          <w:szCs w:val="24"/>
        </w:rPr>
        <w:t>15</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七、“三公”经费财政拨款支出决算情况说明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_Toc79163869 \h </w:instrText>
      </w:r>
      <w:r>
        <w:rPr>
          <w:rFonts w:ascii="仿宋_GB2312" w:eastAsia="仿宋_GB2312" w:hint="eastAsia"/>
          <w:sz w:val="24"/>
          <w:szCs w:val="24"/>
        </w:rPr>
        <w:fldChar w:fldCharType="separate"/>
      </w:r>
      <w:r>
        <w:rPr>
          <w:rFonts w:ascii="仿宋_GB2312" w:eastAsia="仿宋_GB2312"/>
          <w:sz w:val="24"/>
          <w:szCs w:val="24"/>
        </w:rPr>
        <w:t>16</w:t>
      </w:r>
      <w:r>
        <w:rPr>
          <w:rFonts w:ascii="仿宋_GB2312" w:eastAsia="仿宋_GB2312" w:hint="eastAsia"/>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（一）“三公”经费财政拨款支出决算总体情况说明</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_Toc79163870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16</w:t>
      </w:r>
      <w:r>
        <w:rPr>
          <w:rFonts w:ascii="仿宋_GB2312" w:eastAsia="仿宋_GB2312" w:hint="eastAsia"/>
          <w:i w:val="0"/>
          <w:iCs w:val="0"/>
          <w:caps w:val="0"/>
          <w:smallCaps/>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（二）“三公”经费财政拨款支出决算具体情况说明</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_Toc79163871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16</w:t>
      </w:r>
      <w:r>
        <w:rPr>
          <w:rFonts w:ascii="仿宋_GB2312" w:eastAsia="仿宋_GB2312" w:hint="eastAsia"/>
          <w:i w:val="0"/>
          <w:iCs w:val="0"/>
          <w:caps w:val="0"/>
          <w:smallCaps/>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八、政府性基金预算支出决算情况说明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_Toc79163872 \h </w:instrText>
      </w:r>
      <w:r>
        <w:rPr>
          <w:rFonts w:ascii="仿宋_GB2312" w:eastAsia="仿宋_GB2312" w:hint="eastAsia"/>
          <w:sz w:val="24"/>
          <w:szCs w:val="24"/>
        </w:rPr>
        <w:fldChar w:fldCharType="separate"/>
      </w:r>
      <w:r>
        <w:rPr>
          <w:rFonts w:ascii="仿宋_GB2312" w:eastAsia="仿宋_GB2312"/>
          <w:sz w:val="24"/>
          <w:szCs w:val="24"/>
        </w:rPr>
        <w:t>18</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九、 国有资本经营预算支出决算情况说明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_Toc79163873 \h </w:instrText>
      </w:r>
      <w:r>
        <w:rPr>
          <w:rFonts w:ascii="仿宋_GB2312" w:eastAsia="仿宋_GB2312" w:hint="eastAsia"/>
          <w:sz w:val="24"/>
          <w:szCs w:val="24"/>
        </w:rPr>
        <w:fldChar w:fldCharType="separate"/>
      </w:r>
      <w:r>
        <w:rPr>
          <w:rFonts w:ascii="仿宋_GB2312" w:eastAsia="仿宋_GB2312"/>
          <w:sz w:val="24"/>
          <w:szCs w:val="24"/>
        </w:rPr>
        <w:t>18</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十、其他重要事项的情况说明</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_Toc79163874 \h </w:instrText>
      </w:r>
      <w:r>
        <w:rPr>
          <w:rFonts w:ascii="仿宋_GB2312" w:eastAsia="仿宋_GB2312" w:hint="eastAsia"/>
          <w:sz w:val="24"/>
          <w:szCs w:val="24"/>
        </w:rPr>
        <w:fldChar w:fldCharType="separate"/>
      </w:r>
      <w:r>
        <w:rPr>
          <w:rFonts w:ascii="仿宋_GB2312" w:eastAsia="仿宋_GB2312"/>
          <w:sz w:val="24"/>
          <w:szCs w:val="24"/>
        </w:rPr>
        <w:t>18</w:t>
      </w:r>
      <w:r>
        <w:rPr>
          <w:rFonts w:ascii="仿宋_GB2312" w:eastAsia="仿宋_GB2312" w:hint="eastAsia"/>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（一）机关运行经费支出情况</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_Toc79163875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18</w:t>
      </w:r>
      <w:r>
        <w:rPr>
          <w:rFonts w:ascii="仿宋_GB2312" w:eastAsia="仿宋_GB2312" w:hint="eastAsia"/>
          <w:i w:val="0"/>
          <w:iCs w:val="0"/>
          <w:caps w:val="0"/>
          <w:smallCaps/>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（二）政府采购支出情况</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_Toc79163876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18</w:t>
      </w:r>
      <w:r>
        <w:rPr>
          <w:rFonts w:ascii="仿宋_GB2312" w:eastAsia="仿宋_GB2312" w:hint="eastAsia"/>
          <w:i w:val="0"/>
          <w:iCs w:val="0"/>
          <w:caps w:val="0"/>
          <w:smallCaps/>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（三）国有资产占有使用情况</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_Toc79163877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18</w:t>
      </w:r>
      <w:r>
        <w:rPr>
          <w:rFonts w:ascii="仿宋_GB2312" w:eastAsia="仿宋_GB2312" w:hint="eastAsia"/>
          <w:i w:val="0"/>
          <w:iCs w:val="0"/>
          <w:caps w:val="0"/>
          <w:smallCaps/>
          <w:sz w:val="24"/>
          <w:szCs w:val="24"/>
        </w:rPr>
        <w:fldChar w:fldCharType="end"/>
      </w:r>
    </w:p>
    <w:p>
      <w:pPr>
        <w:pStyle w:val="19"/>
        <w:tabs>
          <w:tab w:val="right" w:leader="dot" w:pos="8296"/>
        </w:tabs>
        <w:rPr>
          <w:rFonts w:ascii="仿宋_GB2312" w:eastAsia="仿宋_GB2312" w:hint="eastAsia"/>
          <w:i w:val="0"/>
          <w:iCs w:val="0"/>
          <w:caps w:val="0"/>
          <w:smallCaps/>
          <w:sz w:val="24"/>
          <w:szCs w:val="24"/>
        </w:rPr>
      </w:pPr>
      <w:r>
        <w:rPr>
          <w:rFonts w:ascii="仿宋_GB2312" w:eastAsia="仿宋_GB2312" w:hint="eastAsia"/>
          <w:i w:val="0"/>
          <w:iCs w:val="0"/>
          <w:caps w:val="0"/>
          <w:smallCaps/>
          <w:sz w:val="24"/>
          <w:szCs w:val="24"/>
        </w:rPr>
        <w:t>（四）预算绩效管理情况。</w:t>
        <w:tab/>
      </w:r>
      <w:r>
        <w:rPr>
          <w:rFonts w:ascii="仿宋_GB2312" w:eastAsia="仿宋_GB2312" w:hint="eastAsia"/>
          <w:i w:val="0"/>
          <w:iCs w:val="0"/>
          <w:caps w:val="0"/>
          <w:smallCaps/>
          <w:sz w:val="24"/>
          <w:szCs w:val="24"/>
        </w:rPr>
        <w:fldChar w:fldCharType="begin"/>
      </w:r>
      <w:r>
        <w:rPr>
          <w:rFonts w:ascii="仿宋_GB2312" w:eastAsia="仿宋_GB2312" w:hint="eastAsia"/>
          <w:i w:val="0"/>
          <w:iCs w:val="0"/>
          <w:caps w:val="0"/>
          <w:smallCaps/>
          <w:sz w:val="24"/>
          <w:szCs w:val="24"/>
        </w:rPr>
        <w:instrText xml:space="preserve"> PAGEREF _Toc79163878 \h </w:instrText>
      </w:r>
      <w:r>
        <w:rPr>
          <w:rFonts w:ascii="仿宋_GB2312" w:eastAsia="仿宋_GB2312" w:hint="eastAsia"/>
          <w:i w:val="0"/>
          <w:iCs w:val="0"/>
          <w:caps w:val="0"/>
          <w:smallCaps/>
          <w:sz w:val="24"/>
          <w:szCs w:val="24"/>
        </w:rPr>
        <w:fldChar w:fldCharType="separate"/>
      </w:r>
      <w:r>
        <w:rPr>
          <w:rFonts w:ascii="仿宋_GB2312" w:eastAsia="仿宋_GB2312"/>
          <w:i w:val="0"/>
          <w:iCs w:val="0"/>
          <w:caps w:val="0"/>
          <w:smallCaps/>
          <w:sz w:val="24"/>
          <w:szCs w:val="24"/>
        </w:rPr>
        <w:t>19</w:t>
      </w:r>
      <w:r>
        <w:rPr>
          <w:rFonts w:ascii="仿宋_GB2312" w:eastAsia="仿宋_GB2312" w:hint="eastAsia"/>
          <w:i w:val="0"/>
          <w:iCs w:val="0"/>
          <w:caps w:val="0"/>
          <w:smallCaps/>
          <w:sz w:val="24"/>
          <w:szCs w:val="24"/>
        </w:rPr>
        <w:fldChar w:fldCharType="end"/>
      </w:r>
    </w:p>
    <w:p>
      <w:pPr>
        <w:pStyle w:val="24"/>
        <w:tabs>
          <w:tab w:val="right" w:leader="dot" w:pos="8296"/>
        </w:tabs>
        <w:rPr>
          <w:rFonts w:ascii="仿宋_GB2312" w:eastAsia="仿宋_GB2312" w:hint="eastAsia"/>
          <w:b w:val="0"/>
          <w:bCs w:val="0"/>
          <w:caps w:val="0"/>
          <w:smallCaps/>
          <w:sz w:val="24"/>
          <w:szCs w:val="24"/>
        </w:rPr>
      </w:pPr>
      <w:r>
        <w:rPr>
          <w:rFonts w:ascii="仿宋_GB2312" w:eastAsia="仿宋_GB2312" w:hint="eastAsia"/>
          <w:b w:val="0"/>
          <w:bCs w:val="0"/>
          <w:caps w:val="0"/>
          <w:smallCaps/>
          <w:sz w:val="24"/>
          <w:szCs w:val="24"/>
        </w:rPr>
        <w:t>第三部分 名词解释</w:t>
        <w:tab/>
      </w:r>
      <w:r>
        <w:rPr>
          <w:rFonts w:ascii="仿宋_GB2312" w:eastAsia="仿宋_GB2312" w:hint="eastAsia"/>
          <w:b w:val="0"/>
          <w:bCs w:val="0"/>
          <w:caps w:val="0"/>
          <w:smallCaps/>
          <w:sz w:val="24"/>
          <w:szCs w:val="24"/>
        </w:rPr>
        <w:fldChar w:fldCharType="begin"/>
      </w:r>
      <w:r>
        <w:rPr>
          <w:rFonts w:ascii="仿宋_GB2312" w:eastAsia="仿宋_GB2312" w:hint="eastAsia"/>
          <w:b w:val="0"/>
          <w:bCs w:val="0"/>
          <w:caps w:val="0"/>
          <w:smallCaps/>
          <w:sz w:val="24"/>
          <w:szCs w:val="24"/>
        </w:rPr>
        <w:instrText xml:space="preserve"> PAGEREF _Toc79163879 \h </w:instrText>
      </w:r>
      <w:r>
        <w:rPr>
          <w:rFonts w:ascii="仿宋_GB2312" w:eastAsia="仿宋_GB2312" w:hint="eastAsia"/>
          <w:b w:val="0"/>
          <w:bCs w:val="0"/>
          <w:caps w:val="0"/>
          <w:smallCaps/>
          <w:sz w:val="24"/>
          <w:szCs w:val="24"/>
        </w:rPr>
        <w:fldChar w:fldCharType="separate"/>
      </w:r>
      <w:r>
        <w:rPr>
          <w:rFonts w:ascii="仿宋_GB2312" w:eastAsia="仿宋_GB2312"/>
          <w:b w:val="0"/>
          <w:bCs w:val="0"/>
          <w:caps w:val="0"/>
          <w:smallCaps/>
          <w:sz w:val="24"/>
          <w:szCs w:val="24"/>
        </w:rPr>
        <w:t>29</w:t>
      </w:r>
      <w:r>
        <w:rPr>
          <w:rFonts w:ascii="仿宋_GB2312" w:eastAsia="仿宋_GB2312" w:hint="eastAsia"/>
          <w:b w:val="0"/>
          <w:bCs w:val="0"/>
          <w:caps w:val="0"/>
          <w:smallCaps/>
          <w:sz w:val="24"/>
          <w:szCs w:val="24"/>
        </w:rPr>
        <w:fldChar w:fldCharType="end"/>
      </w:r>
    </w:p>
    <w:p>
      <w:pPr>
        <w:pStyle w:val="24"/>
        <w:tabs>
          <w:tab w:val="right" w:leader="dot" w:pos="8296"/>
        </w:tabs>
        <w:rPr>
          <w:rFonts w:ascii="仿宋_GB2312" w:eastAsia="仿宋_GB2312" w:hint="eastAsia"/>
          <w:b w:val="0"/>
          <w:bCs w:val="0"/>
          <w:caps w:val="0"/>
          <w:smallCaps/>
          <w:sz w:val="24"/>
          <w:szCs w:val="24"/>
        </w:rPr>
      </w:pPr>
      <w:r>
        <w:rPr>
          <w:rFonts w:ascii="仿宋_GB2312" w:eastAsia="仿宋_GB2312" w:hint="eastAsia"/>
          <w:b w:val="0"/>
          <w:bCs w:val="0"/>
          <w:caps w:val="0"/>
          <w:smallCaps/>
          <w:sz w:val="24"/>
          <w:szCs w:val="24"/>
        </w:rPr>
        <w:t>第四部分 附件</w:t>
        <w:tab/>
      </w:r>
      <w:r>
        <w:rPr>
          <w:rFonts w:ascii="仿宋_GB2312" w:eastAsia="仿宋_GB2312" w:hint="eastAsia"/>
          <w:b w:val="0"/>
          <w:bCs w:val="0"/>
          <w:caps w:val="0"/>
          <w:smallCaps/>
          <w:sz w:val="24"/>
          <w:szCs w:val="24"/>
        </w:rPr>
        <w:fldChar w:fldCharType="begin"/>
      </w:r>
      <w:r>
        <w:rPr>
          <w:rFonts w:ascii="仿宋_GB2312" w:eastAsia="仿宋_GB2312" w:hint="eastAsia"/>
          <w:b w:val="0"/>
          <w:bCs w:val="0"/>
          <w:caps w:val="0"/>
          <w:smallCaps/>
          <w:sz w:val="24"/>
          <w:szCs w:val="24"/>
        </w:rPr>
        <w:instrText xml:space="preserve"> PAGEREF _Toc79163880 \h </w:instrText>
      </w:r>
      <w:r>
        <w:rPr>
          <w:rFonts w:ascii="仿宋_GB2312" w:eastAsia="仿宋_GB2312" w:hint="eastAsia"/>
          <w:b w:val="0"/>
          <w:bCs w:val="0"/>
          <w:caps w:val="0"/>
          <w:smallCaps/>
          <w:sz w:val="24"/>
          <w:szCs w:val="24"/>
        </w:rPr>
        <w:fldChar w:fldCharType="separate"/>
      </w:r>
      <w:r>
        <w:rPr>
          <w:rFonts w:ascii="仿宋_GB2312" w:eastAsia="仿宋_GB2312"/>
          <w:b w:val="0"/>
          <w:bCs w:val="0"/>
          <w:caps w:val="0"/>
          <w:smallCaps/>
          <w:sz w:val="24"/>
          <w:szCs w:val="24"/>
        </w:rPr>
        <w:t>34</w:t>
      </w:r>
      <w:r>
        <w:rPr>
          <w:rFonts w:ascii="仿宋_GB2312" w:eastAsia="仿宋_GB2312" w:hint="eastAsia"/>
          <w:b w:val="0"/>
          <w:bCs w:val="0"/>
          <w:caps w:val="0"/>
          <w:smallCaps/>
          <w:sz w:val="24"/>
          <w:szCs w:val="24"/>
        </w:rPr>
        <w:fldChar w:fldCharType="end"/>
      </w:r>
    </w:p>
    <w:p>
      <w:pPr>
        <w:pStyle w:val="24"/>
        <w:tabs>
          <w:tab w:val="right" w:leader="dot" w:pos="8296"/>
        </w:tabs>
        <w:rPr>
          <w:rFonts w:ascii="仿宋_GB2312" w:eastAsia="仿宋_GB2312" w:hint="eastAsia"/>
          <w:b w:val="0"/>
          <w:bCs w:val="0"/>
          <w:caps w:val="0"/>
          <w:smallCaps/>
          <w:sz w:val="24"/>
          <w:szCs w:val="24"/>
        </w:rPr>
      </w:pPr>
      <w:r>
        <w:rPr>
          <w:rFonts w:ascii="仿宋_GB2312" w:eastAsia="仿宋_GB2312" w:hint="eastAsia"/>
          <w:b w:val="0"/>
          <w:bCs w:val="0"/>
          <w:caps w:val="0"/>
          <w:smallCaps/>
          <w:sz w:val="24"/>
          <w:szCs w:val="24"/>
        </w:rPr>
        <w:t>附件1</w:t>
        <w:tab/>
      </w:r>
      <w:r>
        <w:rPr>
          <w:rFonts w:ascii="仿宋_GB2312" w:eastAsia="仿宋_GB2312" w:hint="eastAsia"/>
          <w:b w:val="0"/>
          <w:bCs w:val="0"/>
          <w:caps w:val="0"/>
          <w:smallCaps/>
          <w:sz w:val="24"/>
          <w:szCs w:val="24"/>
        </w:rPr>
        <w:fldChar w:fldCharType="begin"/>
      </w:r>
      <w:r>
        <w:rPr>
          <w:rFonts w:ascii="仿宋_GB2312" w:eastAsia="仿宋_GB2312" w:hint="eastAsia"/>
          <w:b w:val="0"/>
          <w:bCs w:val="0"/>
          <w:caps w:val="0"/>
          <w:smallCaps/>
          <w:sz w:val="24"/>
          <w:szCs w:val="24"/>
        </w:rPr>
        <w:instrText xml:space="preserve"> PAGEREF _Toc79163881 \h </w:instrText>
      </w:r>
      <w:r>
        <w:rPr>
          <w:rFonts w:ascii="仿宋_GB2312" w:eastAsia="仿宋_GB2312" w:hint="eastAsia"/>
          <w:b w:val="0"/>
          <w:bCs w:val="0"/>
          <w:caps w:val="0"/>
          <w:smallCaps/>
          <w:sz w:val="24"/>
          <w:szCs w:val="24"/>
        </w:rPr>
        <w:fldChar w:fldCharType="separate"/>
      </w:r>
      <w:r>
        <w:rPr>
          <w:rFonts w:ascii="仿宋_GB2312" w:eastAsia="仿宋_GB2312"/>
          <w:b w:val="0"/>
          <w:bCs w:val="0"/>
          <w:caps w:val="0"/>
          <w:smallCaps/>
          <w:sz w:val="24"/>
          <w:szCs w:val="24"/>
        </w:rPr>
        <w:t>34</w:t>
      </w:r>
      <w:r>
        <w:rPr>
          <w:rFonts w:ascii="仿宋_GB2312" w:eastAsia="仿宋_GB2312" w:hint="eastAsia"/>
          <w:b w:val="0"/>
          <w:bCs w:val="0"/>
          <w:caps w:val="0"/>
          <w:smallCaps/>
          <w:sz w:val="24"/>
          <w:szCs w:val="24"/>
        </w:rPr>
        <w:fldChar w:fldCharType="end"/>
      </w:r>
    </w:p>
    <w:p>
      <w:pPr>
        <w:pStyle w:val="24"/>
        <w:tabs>
          <w:tab w:val="right" w:leader="dot" w:pos="8296"/>
        </w:tabs>
        <w:rPr>
          <w:rFonts w:ascii="仿宋_GB2312" w:eastAsia="仿宋_GB2312" w:hint="eastAsia"/>
          <w:b w:val="0"/>
          <w:bCs w:val="0"/>
          <w:caps w:val="0"/>
          <w:smallCaps/>
          <w:sz w:val="24"/>
          <w:szCs w:val="24"/>
        </w:rPr>
      </w:pPr>
      <w:r>
        <w:rPr>
          <w:rFonts w:ascii="仿宋_GB2312" w:eastAsia="仿宋_GB2312" w:hint="eastAsia"/>
          <w:b w:val="0"/>
          <w:bCs w:val="0"/>
          <w:caps w:val="0"/>
          <w:smallCaps/>
          <w:sz w:val="24"/>
          <w:szCs w:val="24"/>
        </w:rPr>
        <w:t>茂县叠溪镇人民政府2021年部门整体支出绩效评价报告</w:t>
        <w:tab/>
      </w:r>
      <w:r>
        <w:rPr>
          <w:rFonts w:ascii="仿宋_GB2312" w:eastAsia="仿宋_GB2312" w:hint="eastAsia"/>
          <w:b w:val="0"/>
          <w:bCs w:val="0"/>
          <w:caps w:val="0"/>
          <w:smallCaps/>
          <w:sz w:val="24"/>
          <w:szCs w:val="24"/>
        </w:rPr>
        <w:fldChar w:fldCharType="begin"/>
      </w:r>
      <w:r>
        <w:rPr>
          <w:rFonts w:ascii="仿宋_GB2312" w:eastAsia="仿宋_GB2312" w:hint="eastAsia"/>
          <w:b w:val="0"/>
          <w:bCs w:val="0"/>
          <w:caps w:val="0"/>
          <w:smallCaps/>
          <w:sz w:val="24"/>
          <w:szCs w:val="24"/>
        </w:rPr>
        <w:instrText xml:space="preserve"> PAGEREF _Toc79163882 \h </w:instrText>
      </w:r>
      <w:r>
        <w:rPr>
          <w:rFonts w:ascii="仿宋_GB2312" w:eastAsia="仿宋_GB2312" w:hint="eastAsia"/>
          <w:b w:val="0"/>
          <w:bCs w:val="0"/>
          <w:caps w:val="0"/>
          <w:smallCaps/>
          <w:sz w:val="24"/>
          <w:szCs w:val="24"/>
        </w:rPr>
        <w:fldChar w:fldCharType="separate"/>
      </w:r>
      <w:r>
        <w:rPr>
          <w:rFonts w:ascii="仿宋_GB2312" w:eastAsia="仿宋_GB2312"/>
          <w:b w:val="0"/>
          <w:bCs w:val="0"/>
          <w:caps w:val="0"/>
          <w:smallCaps/>
          <w:sz w:val="24"/>
          <w:szCs w:val="24"/>
        </w:rPr>
        <w:t>34</w:t>
      </w:r>
      <w:r>
        <w:rPr>
          <w:rFonts w:ascii="仿宋_GB2312" w:eastAsia="仿宋_GB2312" w:hint="eastAsia"/>
          <w:b w:val="0"/>
          <w:bCs w:val="0"/>
          <w:caps w:val="0"/>
          <w:smallCaps/>
          <w:sz w:val="24"/>
          <w:szCs w:val="24"/>
        </w:rPr>
        <w:fldChar w:fldCharType="end"/>
      </w:r>
    </w:p>
    <w:p>
      <w:pPr>
        <w:pStyle w:val="24"/>
        <w:tabs>
          <w:tab w:val="right" w:leader="dot" w:pos="8296"/>
        </w:tabs>
        <w:rPr>
          <w:rFonts w:ascii="仿宋_GB2312" w:eastAsia="仿宋_GB2312" w:hint="eastAsia"/>
          <w:b w:val="0"/>
          <w:bCs w:val="0"/>
          <w:caps w:val="0"/>
          <w:smallCaps/>
          <w:sz w:val="24"/>
          <w:szCs w:val="24"/>
        </w:rPr>
      </w:pPr>
      <w:r>
        <w:rPr>
          <w:rFonts w:ascii="仿宋_GB2312" w:eastAsia="仿宋_GB2312" w:hint="eastAsia"/>
          <w:b w:val="0"/>
          <w:bCs w:val="0"/>
          <w:caps w:val="0"/>
          <w:smallCaps/>
          <w:sz w:val="24"/>
          <w:szCs w:val="24"/>
        </w:rPr>
        <w:t>附件2</w:t>
        <w:tab/>
      </w:r>
      <w:r>
        <w:rPr>
          <w:rFonts w:ascii="仿宋_GB2312" w:eastAsia="仿宋_GB2312" w:hint="eastAsia"/>
          <w:b w:val="0"/>
          <w:bCs w:val="0"/>
          <w:caps w:val="0"/>
          <w:smallCaps/>
          <w:sz w:val="24"/>
          <w:szCs w:val="24"/>
        </w:rPr>
        <w:fldChar w:fldCharType="begin"/>
      </w:r>
      <w:r>
        <w:rPr>
          <w:rFonts w:ascii="仿宋_GB2312" w:eastAsia="仿宋_GB2312" w:hint="eastAsia"/>
          <w:b w:val="0"/>
          <w:bCs w:val="0"/>
          <w:caps w:val="0"/>
          <w:smallCaps/>
          <w:sz w:val="24"/>
          <w:szCs w:val="24"/>
        </w:rPr>
        <w:instrText xml:space="preserve"> PAGEREF _Toc79163883 \h </w:instrText>
      </w:r>
      <w:r>
        <w:rPr>
          <w:rFonts w:ascii="仿宋_GB2312" w:eastAsia="仿宋_GB2312" w:hint="eastAsia"/>
          <w:b w:val="0"/>
          <w:bCs w:val="0"/>
          <w:caps w:val="0"/>
          <w:smallCaps/>
          <w:sz w:val="24"/>
          <w:szCs w:val="24"/>
        </w:rPr>
        <w:fldChar w:fldCharType="separate"/>
      </w:r>
      <w:r>
        <w:rPr>
          <w:rFonts w:ascii="仿宋_GB2312" w:eastAsia="仿宋_GB2312"/>
          <w:b w:val="0"/>
          <w:bCs w:val="0"/>
          <w:caps w:val="0"/>
          <w:smallCaps/>
          <w:sz w:val="24"/>
          <w:szCs w:val="24"/>
        </w:rPr>
        <w:t>41</w:t>
      </w:r>
      <w:r>
        <w:rPr>
          <w:rFonts w:ascii="仿宋_GB2312" w:eastAsia="仿宋_GB2312" w:hint="eastAsia"/>
          <w:b w:val="0"/>
          <w:bCs w:val="0"/>
          <w:caps w:val="0"/>
          <w:smallCaps/>
          <w:sz w:val="24"/>
          <w:szCs w:val="24"/>
        </w:rPr>
        <w:fldChar w:fldCharType="end"/>
      </w:r>
    </w:p>
    <w:p>
      <w:pPr>
        <w:pStyle w:val="24"/>
        <w:tabs>
          <w:tab w:val="right" w:leader="dot" w:pos="8296"/>
        </w:tabs>
        <w:rPr>
          <w:rFonts w:ascii="仿宋_GB2312" w:eastAsia="仿宋_GB2312" w:hint="eastAsia"/>
          <w:b w:val="0"/>
          <w:bCs w:val="0"/>
          <w:caps w:val="0"/>
          <w:smallCaps/>
          <w:sz w:val="24"/>
          <w:szCs w:val="24"/>
        </w:rPr>
      </w:pPr>
      <w:r>
        <w:rPr>
          <w:rFonts w:ascii="仿宋_GB2312" w:eastAsia="仿宋_GB2312" w:hint="eastAsia"/>
          <w:b w:val="0"/>
          <w:bCs w:val="0"/>
          <w:caps w:val="0"/>
          <w:smallCaps/>
          <w:sz w:val="24"/>
          <w:szCs w:val="24"/>
        </w:rPr>
        <w:t>茂县叠溪镇人民政府项目2021年绩效评价报告</w:t>
        <w:tab/>
        <w:t>41</w:t>
      </w:r>
    </w:p>
    <w:p>
      <w:pPr>
        <w:pStyle w:val="24"/>
        <w:tabs>
          <w:tab w:val="right" w:leader="dot" w:pos="8296"/>
        </w:tabs>
        <w:rPr>
          <w:rFonts w:ascii="仿宋_GB2312" w:eastAsia="仿宋_GB2312" w:hint="eastAsia"/>
          <w:b w:val="0"/>
          <w:bCs w:val="0"/>
          <w:caps w:val="0"/>
          <w:smallCaps/>
          <w:sz w:val="24"/>
          <w:szCs w:val="24"/>
        </w:rPr>
      </w:pPr>
      <w:r>
        <w:rPr>
          <w:rFonts w:ascii="仿宋_GB2312" w:eastAsia="仿宋_GB2312" w:hint="eastAsia"/>
          <w:b w:val="0"/>
          <w:bCs w:val="0"/>
          <w:caps w:val="0"/>
          <w:smallCaps/>
          <w:sz w:val="24"/>
          <w:szCs w:val="24"/>
        </w:rPr>
        <w:t>第五部分 附表</w:t>
        <w:tab/>
      </w:r>
      <w:r>
        <w:rPr>
          <w:rFonts w:ascii="仿宋_GB2312" w:eastAsia="仿宋_GB2312" w:hint="eastAsia"/>
          <w:b w:val="0"/>
          <w:bCs w:val="0"/>
          <w:caps w:val="0"/>
          <w:smallCaps/>
          <w:sz w:val="24"/>
          <w:szCs w:val="24"/>
        </w:rPr>
        <w:fldChar w:fldCharType="begin"/>
      </w:r>
      <w:r>
        <w:rPr>
          <w:rFonts w:ascii="仿宋_GB2312" w:eastAsia="仿宋_GB2312" w:hint="eastAsia"/>
          <w:b w:val="0"/>
          <w:bCs w:val="0"/>
          <w:caps w:val="0"/>
          <w:smallCaps/>
          <w:sz w:val="24"/>
          <w:szCs w:val="24"/>
        </w:rPr>
        <w:instrText xml:space="preserve"> PAGEREF _Toc79163885 \h </w:instrText>
      </w:r>
      <w:r>
        <w:rPr>
          <w:rFonts w:ascii="仿宋_GB2312" w:eastAsia="仿宋_GB2312" w:hint="eastAsia"/>
          <w:b w:val="0"/>
          <w:bCs w:val="0"/>
          <w:caps w:val="0"/>
          <w:smallCaps/>
          <w:sz w:val="24"/>
          <w:szCs w:val="24"/>
        </w:rPr>
        <w:fldChar w:fldCharType="separate"/>
      </w:r>
      <w:r>
        <w:rPr>
          <w:rFonts w:ascii="仿宋_GB2312" w:eastAsia="仿宋_GB2312"/>
          <w:b w:val="0"/>
          <w:bCs w:val="0"/>
          <w:caps w:val="0"/>
          <w:smallCaps/>
          <w:sz w:val="24"/>
          <w:szCs w:val="24"/>
        </w:rPr>
        <w:t>62</w:t>
      </w:r>
      <w:r>
        <w:rPr>
          <w:rFonts w:ascii="仿宋_GB2312" w:eastAsia="仿宋_GB2312" w:hint="eastAsia"/>
          <w:b w:val="0"/>
          <w:bCs w:val="0"/>
          <w:caps w:val="0"/>
          <w:smallCaps/>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一、收入支出决算总表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_Toc79163886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二、收入决算表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_Toc79163887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三、支出决算表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_Toc79163888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四、财政拨款收入支出决算总表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_Toc79163889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五、财政拨款支出决算明细表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_Toc79163890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六、一般公共预算财政拨款支出决算表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_Toc79163891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七、一般公共预算财政拨款支出决算明细表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_Toc79163892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八、一般公共预算财政拨款基本支出决算表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_Toc79163893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九、一般公共预算财政拨款项目支出决算表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_Toc79163894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十、一般公共预算财政拨款“三公”经费支出决算表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_Toc79163895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十一、政府性基金预算财政拨款收入支出决算表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_Toc79163896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十二、政府性基金预算财政拨款“三公”经费支出决算表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_Toc79163897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十三、国有资本经营预算财政拨款支出决算表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_Toc79163898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pPr>
        <w:pStyle w:val="28"/>
        <w:tabs>
          <w:tab w:val="right" w:leader="dot" w:pos="8296"/>
        </w:tabs>
        <w:rPr>
          <w:rFonts w:ascii="仿宋_GB2312" w:eastAsia="仿宋_GB2312" w:hint="eastAsia"/>
          <w:sz w:val="24"/>
          <w:szCs w:val="24"/>
        </w:rPr>
      </w:pPr>
      <w:r>
        <w:rPr>
          <w:rFonts w:ascii="仿宋_GB2312" w:eastAsia="仿宋_GB2312" w:hint="eastAsia"/>
          <w:sz w:val="24"/>
          <w:szCs w:val="24"/>
        </w:rPr>
        <w:t>十四、国有资本经营预算财政拨款支出决算表</w:t>
        <w:tab/>
      </w:r>
      <w:r>
        <w:rPr>
          <w:rFonts w:ascii="仿宋_GB2312" w:eastAsia="仿宋_GB2312" w:hint="eastAsia"/>
          <w:sz w:val="24"/>
          <w:szCs w:val="24"/>
        </w:rPr>
        <w:fldChar w:fldCharType="begin"/>
      </w:r>
      <w:r>
        <w:rPr>
          <w:rFonts w:ascii="仿宋_GB2312" w:eastAsia="仿宋_GB2312" w:hint="eastAsia"/>
          <w:sz w:val="24"/>
          <w:szCs w:val="24"/>
        </w:rPr>
        <w:instrText xml:space="preserve"> PAGEREF _Toc79163899 \h </w:instrText>
      </w:r>
      <w:r>
        <w:rPr>
          <w:rFonts w:ascii="仿宋_GB2312" w:eastAsia="仿宋_GB2312" w:hint="eastAsia"/>
          <w:sz w:val="24"/>
          <w:szCs w:val="24"/>
        </w:rPr>
        <w:fldChar w:fldCharType="separate"/>
      </w:r>
      <w:r>
        <w:rPr>
          <w:rFonts w:ascii="仿宋_GB2312" w:eastAsia="仿宋_GB2312"/>
          <w:sz w:val="24"/>
          <w:szCs w:val="24"/>
        </w:rPr>
        <w:t>62</w:t>
      </w:r>
      <w:r>
        <w:rPr>
          <w:rFonts w:ascii="仿宋_GB2312" w:eastAsia="仿宋_GB2312" w:hint="eastAsia"/>
          <w:sz w:val="24"/>
          <w:szCs w:val="24"/>
        </w:rPr>
        <w:fldChar w:fldCharType="end"/>
      </w:r>
    </w:p>
    <w:p>
      <w:r>
        <w:rPr>
          <w:rFonts w:ascii="仿宋_GB2312" w:eastAsia="仿宋_GB2312" w:hint="eastAsia"/>
          <w:caps w:val="0"/>
          <w:smallCaps/>
          <w:sz w:val="24"/>
        </w:rPr>
        <w:fldChar w:fldCharType="end"/>
      </w:r>
    </w:p>
    <w:p>
      <w:pPr>
        <w:widowControl/>
        <w:spacing w:line="440" w:lineRule="exact"/>
        <w:jc w:val="left"/>
        <w:rPr>
          <w:rFonts w:ascii="仿宋" w:eastAsia="仿宋"/>
          <w:bCs/>
          <w:kern w:val="44"/>
          <w:sz w:val="24"/>
        </w:rPr>
      </w:pPr>
      <w:bookmarkStart w:id="13" w:name="_Toc15396599"/>
      <w:bookmarkStart w:id="14" w:name="_Toc15377196"/>
      <w:r>
        <w:rPr>
          <w:rFonts w:ascii="仿宋" w:eastAsia="仿宋"/>
          <w:b/>
          <w:sz w:val="24"/>
        </w:rPr>
        <w:br w:type="page"/>
      </w:r>
    </w:p>
    <w:p>
      <w:pPr>
        <w:pStyle w:val="1"/>
        <w:spacing w:line="576" w:lineRule="exact"/>
        <w:jc w:val="center"/>
        <w:rPr>
          <w:rFonts w:ascii="方正小标宋简体" w:eastAsia="方正小标宋简体"/>
          <w:bCs w:val="0"/>
        </w:rPr>
      </w:pPr>
      <w:bookmarkStart w:id="15" w:name="_Toc79163851"/>
      <w:bookmarkStart w:id="16" w:name="_Toc79163601"/>
      <w:r>
        <w:rPr>
          <w:rFonts w:ascii="方正小标宋简体" w:eastAsia="方正小标宋简体" w:hint="eastAsia"/>
          <w:b w:val="0"/>
        </w:rPr>
        <w:t xml:space="preserve">第一部分 </w:t>
      </w:r>
      <w:r>
        <w:rPr>
          <w:rStyle w:val="1Char"/>
          <w:rFonts w:ascii="方正小标宋简体" w:eastAsia="方正小标宋简体" w:hint="eastAsia"/>
          <w:b w:val="0"/>
          <w:bCs w:val="0"/>
        </w:rPr>
        <w:t>部门概况</w:t>
      </w:r>
      <w:bookmarkEnd w:id="13"/>
      <w:bookmarkEnd w:id="14"/>
      <w:bookmarkEnd w:id="15"/>
      <w:bookmarkEnd w:id="16"/>
    </w:p>
    <w:p>
      <w:pPr>
        <w:pStyle w:val="2"/>
        <w:spacing w:before="0" w:after="0" w:line="576" w:lineRule="exact"/>
        <w:jc w:val="left"/>
        <w:rPr>
          <w:rStyle w:val="2Char"/>
          <w:rFonts w:ascii="仿宋" w:eastAsia="仿宋"/>
          <w:b w:val="0"/>
          <w:bCs w:val="0"/>
        </w:rPr>
      </w:pPr>
      <w:bookmarkStart w:id="17" w:name="_Toc15377197"/>
      <w:bookmarkStart w:id="18" w:name="_Toc15396600"/>
      <w:bookmarkStart w:id="19" w:name="_Toc79163852"/>
      <w:bookmarkStart w:id="20" w:name="_Toc79163602"/>
      <w:r>
        <w:rPr>
          <w:rFonts w:ascii="黑体" w:eastAsia="黑体" w:hint="eastAsia"/>
          <w:b w:val="0"/>
          <w:color w:val="000000"/>
        </w:rPr>
        <w:t>一、基</w:t>
      </w:r>
      <w:r>
        <w:rPr>
          <w:rStyle w:val="2Char"/>
          <w:rFonts w:ascii="黑体" w:eastAsia="黑体" w:hint="eastAsia"/>
          <w:b w:val="0"/>
          <w:bCs w:val="0"/>
        </w:rPr>
        <w:t>本职能及主要工作</w:t>
      </w:r>
      <w:bookmarkEnd w:id="17"/>
      <w:bookmarkEnd w:id="18"/>
      <w:bookmarkEnd w:id="19"/>
      <w:bookmarkEnd w:id="20"/>
    </w:p>
    <w:p>
      <w:pPr>
        <w:pStyle w:val="16"/>
        <w:adjustRightInd w:val="0"/>
        <w:snapToGrid w:val="0"/>
        <w:spacing w:beforeLines="0" w:before="30" w:line="576" w:lineRule="exact"/>
        <w:ind w:firstLineChars="208" w:firstLine="669"/>
        <w:jc w:val="left"/>
        <w:outlineLvl w:val="2"/>
        <w:rPr>
          <w:rFonts w:ascii="楷体_GB2312" w:eastAsia="楷体_GB2312"/>
          <w:b/>
          <w:bCs/>
          <w:color w:val="000000"/>
          <w:sz w:val="32"/>
          <w:szCs w:val="32"/>
        </w:rPr>
      </w:pPr>
      <w:bookmarkStart w:id="21" w:name="_Toc79163603"/>
      <w:bookmarkStart w:id="22" w:name="_Toc79163853"/>
      <w:bookmarkStart w:id="23" w:name="_Toc15378445"/>
      <w:bookmarkStart w:id="24" w:name="_Toc15377198"/>
      <w:r>
        <w:rPr>
          <w:rFonts w:ascii="楷体_GB2312" w:eastAsia="楷体_GB2312" w:hint="eastAsia"/>
          <w:b/>
          <w:bCs/>
          <w:color w:val="000000"/>
          <w:sz w:val="32"/>
          <w:szCs w:val="32"/>
        </w:rPr>
        <w:t>（一）主要职能</w:t>
      </w:r>
      <w:bookmarkEnd w:id="21"/>
      <w:bookmarkEnd w:id="22"/>
    </w:p>
    <w:p>
      <w:pPr>
        <w:spacing w:line="576" w:lineRule="exact"/>
        <w:ind w:firstLineChars="200" w:firstLine="640"/>
        <w:jc w:val="left"/>
        <w:rPr>
          <w:rFonts w:ascii="仿宋_GB2312" w:eastAsia="仿宋_GB2312" w:cs="仿宋_GB2312"/>
          <w:sz w:val="32"/>
          <w:szCs w:val="32"/>
        </w:rPr>
      </w:pPr>
      <w:bookmarkStart w:id="25" w:name="_Toc79163854"/>
      <w:bookmarkStart w:id="26" w:name="_Toc79163604"/>
      <w:bookmarkStart w:id="27" w:name="_Toc15377199"/>
      <w:bookmarkStart w:id="28" w:name="_Toc15378446"/>
      <w:bookmarkEnd w:id="23"/>
      <w:bookmarkEnd w:id="24"/>
      <w:r>
        <w:rPr>
          <w:rFonts w:ascii="仿宋_GB2312" w:eastAsia="仿宋_GB2312" w:cs="仿宋_GB2312" w:hint="eastAsia"/>
          <w:sz w:val="32"/>
          <w:szCs w:val="32"/>
        </w:rPr>
        <w:t>1.贯彻执行党和国家的路线方针政策和上级党委、政府各项决策部署，以及本级党员代表大会(党员大会)人民代表大会的决议决定。</w:t>
      </w:r>
    </w:p>
    <w:p>
      <w:pPr>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3.领导镇政权机关、群团组织和其他各类组织，加强指导和规范，支持和保证这些机关和组织依照国家法律法规以及各自章程履行职责。</w:t>
      </w:r>
    </w:p>
    <w:p>
      <w:pPr>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4.加强党的建设。坚持全面从严治党，落实管党治党主体责任，全面加强党的政治建设、思想建设、组织建设作风建设、纪律建设、制度建设等工作。不断强化自身建设和村(社区)党组织建设，以及其他隶属仪镇党委的党组织建设，抓好发展党员工作，加强党员队伍建设。维护和执行党的纪律，监督党员干部和其他工作人员严格遵守国家法律法规。</w:t>
      </w:r>
    </w:p>
    <w:p>
      <w:pPr>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5.按照干部管理权限，负责对干部的教育、培训、选拔、考核和监督工作。协助管理县级有关部门驻镇单位的干部。做好人才服务和引进工作。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7.强化基层治理。负责本辖区社会治理，加强社会主义民主法治建设和精神文明建设，加快推进基层社会治理体系和治理能力现代化;指导村(居)委会建设，健全自治平合，组织群众和单位参与村(居)委会建设和管理。负责统筹协调辖区内依法授权或委托授权的行政执法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8.优化公共服务。推进服务型政府建设，组织实施并优化教育、卫生健康、文化、民政、社会保障、退役军人事务等各项公共服务。</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9.负责辖区范围内的应急管理、社会稳定、安全生产、生态环境保护、社会信用体系建设和审批服务便民化等工作。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10.负责辖区农村经营管理体系建设工作。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11.完成县委、县人民政府交办的其他任务。</w:t>
      </w:r>
    </w:p>
    <w:p>
      <w:pPr>
        <w:pStyle w:val="16"/>
        <w:adjustRightInd w:val="0"/>
        <w:snapToGrid w:val="0"/>
        <w:spacing w:beforeLines="0" w:before="30" w:line="576" w:lineRule="exact"/>
        <w:ind w:firstLineChars="208" w:firstLine="669"/>
        <w:outlineLvl w:val="2"/>
        <w:rPr>
          <w:rFonts w:ascii="楷体_GB2312" w:eastAsia="楷体_GB2312"/>
          <w:b/>
          <w:bCs/>
          <w:color w:val="000000"/>
          <w:sz w:val="32"/>
          <w:szCs w:val="32"/>
        </w:rPr>
      </w:pPr>
      <w:r>
        <w:rPr>
          <w:rFonts w:ascii="楷体_GB2312" w:eastAsia="楷体_GB2312" w:hint="eastAsia"/>
          <w:b/>
          <w:bCs/>
          <w:color w:val="000000"/>
          <w:sz w:val="32"/>
          <w:szCs w:val="32"/>
        </w:rPr>
        <w:t>（二）2021年重点工作完成情况</w:t>
      </w:r>
      <w:bookmarkEnd w:id="25"/>
      <w:bookmarkEnd w:id="26"/>
      <w:bookmarkEnd w:id="27"/>
      <w:bookmarkEnd w:id="28"/>
    </w:p>
    <w:p>
      <w:pPr>
        <w:spacing w:line="576" w:lineRule="exact"/>
        <w:ind w:firstLineChars="200" w:firstLine="640"/>
        <w:rPr>
          <w:rFonts w:ascii="仿宋_GB2312" w:eastAsia="仿宋_GB2312"/>
          <w:sz w:val="32"/>
          <w:szCs w:val="32"/>
        </w:rPr>
      </w:pPr>
      <w:r>
        <w:rPr>
          <w:rFonts w:ascii="仿宋_GB2312" w:eastAsia="仿宋_GB2312" w:cs="楷体" w:hint="eastAsia"/>
          <w:b/>
          <w:bCs/>
          <w:sz w:val="32"/>
          <w:szCs w:val="32"/>
        </w:rPr>
        <w:t>1.疫情防控成效显著。</w:t>
      </w:r>
      <w:r>
        <w:rPr>
          <w:rFonts w:ascii="仿宋_GB2312" w:eastAsia="仿宋_GB2312" w:hint="eastAsia"/>
          <w:b/>
          <w:sz w:val="32"/>
          <w:szCs w:val="32"/>
        </w:rPr>
        <w:t>一是</w:t>
      </w:r>
      <w:r>
        <w:rPr>
          <w:rFonts w:ascii="仿宋_GB2312" w:eastAsia="仿宋_GB2312" w:hint="eastAsia"/>
          <w:sz w:val="32"/>
          <w:szCs w:val="32"/>
        </w:rPr>
        <w:t>认真开展疫情防控宣传。结合“两联一进”、护林防火，驻村干部和村两干部带头逐户走访宣传，发放宣传单3000份，张贴海报200份，出动宣传车100余台次。</w:t>
      </w:r>
      <w:r>
        <w:rPr>
          <w:rFonts w:ascii="仿宋_GB2312" w:eastAsia="仿宋_GB2312" w:hint="eastAsia"/>
          <w:b/>
          <w:sz w:val="32"/>
          <w:szCs w:val="32"/>
        </w:rPr>
        <w:t>二是</w:t>
      </w:r>
      <w:r>
        <w:rPr>
          <w:rFonts w:ascii="仿宋_GB2312" w:eastAsia="仿宋_GB2312" w:hint="eastAsia"/>
          <w:sz w:val="32"/>
          <w:szCs w:val="32"/>
        </w:rPr>
        <w:t>做好重点人员排查。做好网格管理，加强对州外返县人员的管控摸排，共摸排181人，并对返县人员切实做好居家监测。</w:t>
      </w:r>
      <w:r>
        <w:rPr>
          <w:rFonts w:ascii="仿宋_GB2312" w:eastAsia="仿宋_GB2312" w:hint="eastAsia"/>
          <w:b/>
          <w:sz w:val="32"/>
          <w:szCs w:val="32"/>
        </w:rPr>
        <w:t>三是</w:t>
      </w:r>
      <w:r>
        <w:rPr>
          <w:rFonts w:ascii="仿宋_GB2312" w:eastAsia="仿宋_GB2312" w:hint="eastAsia"/>
          <w:sz w:val="32"/>
          <w:szCs w:val="32"/>
        </w:rPr>
        <w:t>积极组织疫苗接种。呼吁群众应接尽接，就近就地接种。全镇累计完成第一针接种5288人次、第二针接种5075人次，切实为人民群众筑牢安全屏障。</w:t>
      </w:r>
    </w:p>
    <w:p>
      <w:pPr>
        <w:spacing w:line="576" w:lineRule="exact"/>
        <w:ind w:firstLineChars="200" w:firstLine="640"/>
        <w:rPr>
          <w:rFonts w:ascii="仿宋_GB2312" w:eastAsia="仿宋_GB2312"/>
          <w:sz w:val="32"/>
          <w:szCs w:val="32"/>
        </w:rPr>
      </w:pPr>
      <w:r>
        <w:rPr>
          <w:rFonts w:ascii="仿宋_GB2312" w:eastAsia="仿宋_GB2312" w:cs="楷体" w:hint="eastAsia"/>
          <w:b/>
          <w:bCs/>
          <w:sz w:val="32"/>
          <w:szCs w:val="32"/>
        </w:rPr>
        <w:t>2.稳步推进两项改革“后半篇”文章。</w:t>
      </w:r>
      <w:r>
        <w:rPr>
          <w:rFonts w:ascii="仿宋_GB2312" w:eastAsia="仿宋_GB2312" w:hint="eastAsia"/>
          <w:b/>
          <w:sz w:val="32"/>
          <w:szCs w:val="32"/>
        </w:rPr>
        <w:t>一是</w:t>
      </w:r>
      <w:r>
        <w:rPr>
          <w:rFonts w:ascii="仿宋_GB2312" w:eastAsia="仿宋_GB2312" w:hint="eastAsia"/>
          <w:sz w:val="32"/>
          <w:szCs w:val="32"/>
        </w:rPr>
        <w:t>依法稳步推进村党支部书记、村委会主任“一肩挑”工作，圆满完成换届任务</w:t>
      </w:r>
      <w:r>
        <w:rPr>
          <w:rFonts w:ascii="仿宋_GB2312" w:eastAsia="仿宋_GB2312" w:hint="eastAsia"/>
          <w:b/>
          <w:sz w:val="32"/>
          <w:szCs w:val="32"/>
        </w:rPr>
        <w:t>。二是</w:t>
      </w:r>
      <w:r>
        <w:rPr>
          <w:rFonts w:ascii="仿宋_GB2312" w:eastAsia="仿宋_GB2312" w:hint="eastAsia"/>
          <w:sz w:val="32"/>
          <w:szCs w:val="32"/>
        </w:rPr>
        <w:t>盘活闲置资产，提高资产利用率，并圆满完成两项改革“后半篇”文章现场会推进。</w:t>
      </w:r>
      <w:r>
        <w:rPr>
          <w:rFonts w:ascii="仿宋_GB2312" w:eastAsia="仿宋_GB2312" w:hint="eastAsia"/>
          <w:b/>
          <w:sz w:val="32"/>
          <w:szCs w:val="32"/>
        </w:rPr>
        <w:t>三是</w:t>
      </w:r>
      <w:r>
        <w:rPr>
          <w:rFonts w:ascii="仿宋_GB2312" w:eastAsia="仿宋_GB2312" w:hint="eastAsia"/>
          <w:sz w:val="32"/>
          <w:szCs w:val="32"/>
        </w:rPr>
        <w:t>统筹乡村设施布局，联合国土等部门全覆盖编制了叠溪镇国土空间总体规划、实用性村庄规划。</w:t>
      </w:r>
    </w:p>
    <w:p>
      <w:pPr>
        <w:spacing w:line="576" w:lineRule="exact"/>
        <w:ind w:firstLineChars="200" w:firstLine="640"/>
        <w:rPr>
          <w:rFonts w:ascii="仿宋_GB2312" w:eastAsia="仿宋_GB2312"/>
          <w:sz w:val="32"/>
          <w:szCs w:val="32"/>
        </w:rPr>
      </w:pPr>
      <w:r>
        <w:rPr>
          <w:rFonts w:ascii="仿宋_GB2312" w:eastAsia="仿宋_GB2312" w:cs="楷体" w:hint="eastAsia"/>
          <w:b/>
          <w:bCs/>
          <w:sz w:val="32"/>
          <w:szCs w:val="32"/>
        </w:rPr>
        <w:t>3.持续巩固脱贫攻坚成效。</w:t>
      </w:r>
      <w:r>
        <w:rPr>
          <w:rFonts w:ascii="仿宋_GB2312" w:eastAsia="仿宋_GB2312" w:hint="eastAsia"/>
          <w:sz w:val="32"/>
          <w:szCs w:val="32"/>
        </w:rPr>
        <w:t>针对脱贫不稳定、边缘易致贫、因病因灾返贫的群众，我镇主动作为，早发现早纳入。镇、村组干部开展经常性走访，及时掌握群体的生活情况，对于发现因病因灾等刚性支出较大或收入大幅缩减导致基本生活严重困难的人口，按程序及时纳入监测范围。全镇目前有脱贫不稳定户8户25人，实施一户一帮扶计划，帮扶措施及时跟进，后期将加大帮扶力度，确保收入持续增收，生产生活条件明显改善，返贫致贫风险及时消除。</w:t>
      </w:r>
    </w:p>
    <w:p>
      <w:pPr>
        <w:widowControl/>
        <w:snapToGrid w:val="0"/>
        <w:spacing w:line="576" w:lineRule="exact"/>
        <w:ind w:firstLineChars="200" w:firstLine="640"/>
        <w:textAlignment w:val="baseline"/>
        <w:rPr>
          <w:rStyle w:val="42"/>
          <w:rFonts w:ascii="仿宋_GB2312" w:eastAsia="仿宋_GB2312"/>
          <w:sz w:val="32"/>
          <w:szCs w:val="32"/>
        </w:rPr>
      </w:pPr>
      <w:r>
        <w:rPr>
          <w:rFonts w:ascii="仿宋_GB2312" w:eastAsia="仿宋_GB2312" w:cs="楷体" w:hint="eastAsia"/>
          <w:b/>
          <w:bCs/>
          <w:sz w:val="32"/>
          <w:szCs w:val="32"/>
        </w:rPr>
        <w:t>4.加快推进乡村振兴。</w:t>
      </w:r>
      <w:r>
        <w:rPr>
          <w:rStyle w:val="42"/>
          <w:rFonts w:ascii="仿宋_GB2312" w:eastAsia="仿宋_GB2312" w:hint="eastAsia"/>
          <w:sz w:val="32"/>
          <w:szCs w:val="32"/>
        </w:rPr>
        <w:t>今年来，叠溪镇依托现有优势资源和“6.24”灾后恢复重建成果，通过农旅、文旅、工旅的有效结合，有力有序推进乡村振兴建设。</w:t>
      </w:r>
      <w:r>
        <w:rPr>
          <w:rStyle w:val="42"/>
          <w:rFonts w:ascii="仿宋_GB2312" w:eastAsia="仿宋_GB2312" w:hint="eastAsia"/>
          <w:b/>
          <w:sz w:val="32"/>
          <w:szCs w:val="32"/>
        </w:rPr>
        <w:t>一是</w:t>
      </w:r>
      <w:r>
        <w:rPr>
          <w:rStyle w:val="42"/>
          <w:rFonts w:ascii="仿宋_GB2312" w:eastAsia="仿宋_GB2312" w:hint="eastAsia"/>
          <w:sz w:val="32"/>
          <w:szCs w:val="32"/>
        </w:rPr>
        <w:t>明确“五个方向”，以产业振兴为前提，以项目建设为支撑，以生态宜居为关键，以组织振兴为保障，以人才振兴为基础有序推动乡村振兴先进镇建设。</w:t>
      </w:r>
      <w:r>
        <w:rPr>
          <w:rStyle w:val="42"/>
          <w:rFonts w:ascii="仿宋_GB2312" w:eastAsia="仿宋_GB2312" w:hint="eastAsia"/>
          <w:b/>
          <w:sz w:val="32"/>
          <w:szCs w:val="32"/>
        </w:rPr>
        <w:t>二是</w:t>
      </w:r>
      <w:r>
        <w:rPr>
          <w:rStyle w:val="42"/>
          <w:rFonts w:ascii="仿宋_GB2312" w:eastAsia="仿宋_GB2312" w:hint="eastAsia"/>
          <w:sz w:val="32"/>
          <w:szCs w:val="32"/>
        </w:rPr>
        <w:t>对照“五项指标”，特色产业、村落宜居、村风文明、村级治理、村民生活等五项具体指标，查漏补短，极积推进创建工作。</w:t>
      </w:r>
    </w:p>
    <w:p>
      <w:pPr>
        <w:spacing w:line="576" w:lineRule="exact"/>
        <w:ind w:firstLineChars="200" w:firstLine="640"/>
        <w:rPr>
          <w:rFonts w:ascii="仿宋_GB2312" w:eastAsia="仿宋_GB2312"/>
          <w:sz w:val="32"/>
          <w:szCs w:val="32"/>
        </w:rPr>
      </w:pPr>
      <w:r>
        <w:rPr>
          <w:rFonts w:ascii="仿宋_GB2312" w:eastAsia="仿宋_GB2312" w:cs="楷体" w:hint="eastAsia"/>
          <w:b/>
          <w:bCs/>
          <w:sz w:val="32"/>
          <w:szCs w:val="32"/>
        </w:rPr>
        <w:t>5.社会事业协调发展。</w:t>
      </w:r>
      <w:r>
        <w:rPr>
          <w:rFonts w:ascii="仿宋_GB2312" w:eastAsia="仿宋_GB2312" w:hint="eastAsia"/>
          <w:b/>
          <w:sz w:val="32"/>
          <w:szCs w:val="32"/>
        </w:rPr>
        <w:t>一是</w:t>
      </w:r>
      <w:r>
        <w:rPr>
          <w:rFonts w:ascii="仿宋_GB2312" w:eastAsia="仿宋_GB2312" w:hint="eastAsia"/>
          <w:sz w:val="32"/>
          <w:szCs w:val="32"/>
        </w:rPr>
        <w:t>顺利完成2021年度城乡居民医疗保险的征缴任务，2021年参保人数8160人，实现全镇医疗保险覆盖率99%以上。</w:t>
      </w:r>
      <w:r>
        <w:rPr>
          <w:rFonts w:ascii="仿宋_GB2312" w:eastAsia="仿宋_GB2312" w:hint="eastAsia"/>
          <w:b/>
          <w:sz w:val="32"/>
          <w:szCs w:val="32"/>
        </w:rPr>
        <w:t>二是</w:t>
      </w:r>
      <w:r>
        <w:rPr>
          <w:rFonts w:ascii="仿宋_GB2312" w:eastAsia="仿宋_GB2312" w:hint="eastAsia"/>
          <w:sz w:val="32"/>
          <w:szCs w:val="32"/>
        </w:rPr>
        <w:t>民政临时救助10户，农村低保救助37户87人，城市低保救助47户57人。</w:t>
      </w:r>
      <w:r>
        <w:rPr>
          <w:rFonts w:ascii="仿宋_GB2312" w:eastAsia="仿宋_GB2312" w:hint="eastAsia"/>
          <w:b/>
          <w:sz w:val="32"/>
          <w:szCs w:val="32"/>
        </w:rPr>
        <w:t>三是</w:t>
      </w:r>
      <w:r>
        <w:rPr>
          <w:rFonts w:ascii="仿宋_GB2312" w:eastAsia="仿宋_GB2312" w:hint="eastAsia"/>
          <w:sz w:val="32"/>
          <w:szCs w:val="32"/>
        </w:rPr>
        <w:t>养老保险参保人数3983人，其中待遇发放992人。</w:t>
      </w:r>
      <w:r>
        <w:rPr>
          <w:rFonts w:ascii="仿宋_GB2312" w:eastAsia="仿宋_GB2312" w:hint="eastAsia"/>
          <w:b/>
          <w:sz w:val="32"/>
          <w:szCs w:val="32"/>
        </w:rPr>
        <w:t>四是</w:t>
      </w:r>
      <w:r>
        <w:rPr>
          <w:rFonts w:ascii="仿宋_GB2312" w:eastAsia="仿宋_GB2312" w:hint="eastAsia"/>
          <w:sz w:val="32"/>
          <w:szCs w:val="32"/>
        </w:rPr>
        <w:t>组织60余名学员开展乡村旅游能力培训,组织辖区内76余名脱贫户公益岗位开展“安全生产”培训。</w:t>
      </w:r>
      <w:r>
        <w:rPr>
          <w:rFonts w:ascii="仿宋_GB2312" w:eastAsia="仿宋_GB2312" w:hint="eastAsia"/>
          <w:b/>
          <w:sz w:val="32"/>
          <w:szCs w:val="32"/>
        </w:rPr>
        <w:t>五是</w:t>
      </w:r>
      <w:r>
        <w:rPr>
          <w:rFonts w:ascii="仿宋_GB2312" w:eastAsia="仿宋_GB2312" w:hint="eastAsia"/>
          <w:sz w:val="32"/>
          <w:szCs w:val="32"/>
        </w:rPr>
        <w:t>加强民兵应急队伍的管理，组建4支120人的民兵整组，完成兵役登记73人，春夏季征兵入伍6人。</w:t>
      </w:r>
    </w:p>
    <w:p>
      <w:pPr>
        <w:spacing w:line="576" w:lineRule="exact"/>
        <w:ind w:firstLineChars="200" w:firstLine="640"/>
        <w:rPr>
          <w:rFonts w:ascii="仿宋_GB2312" w:eastAsia="仿宋_GB2312"/>
          <w:sz w:val="32"/>
          <w:szCs w:val="32"/>
        </w:rPr>
      </w:pPr>
      <w:r>
        <w:rPr>
          <w:rFonts w:ascii="仿宋_GB2312" w:eastAsia="仿宋_GB2312" w:cs="楷体" w:hint="eastAsia"/>
          <w:b/>
          <w:bCs/>
          <w:sz w:val="32"/>
          <w:szCs w:val="32"/>
        </w:rPr>
        <w:t>6.基层治理高效推进。</w:t>
      </w:r>
      <w:r>
        <w:rPr>
          <w:rFonts w:ascii="仿宋_GB2312" w:eastAsia="仿宋_GB2312" w:hint="eastAsia"/>
          <w:b/>
          <w:sz w:val="32"/>
          <w:szCs w:val="32"/>
        </w:rPr>
        <w:t>一是</w:t>
      </w:r>
      <w:r>
        <w:rPr>
          <w:rFonts w:ascii="仿宋_GB2312" w:eastAsia="仿宋_GB2312" w:hint="eastAsia"/>
          <w:sz w:val="32"/>
          <w:szCs w:val="32"/>
        </w:rPr>
        <w:t>盘活闲置资源，建立第三综合应急救援中心,构建区域应急保障体系，提高综合应急救援能力。</w:t>
      </w:r>
      <w:r>
        <w:rPr>
          <w:rFonts w:ascii="仿宋_GB2312" w:eastAsia="仿宋_GB2312" w:hint="eastAsia"/>
          <w:b/>
          <w:sz w:val="32"/>
          <w:szCs w:val="32"/>
        </w:rPr>
        <w:t>二是</w:t>
      </w:r>
      <w:r>
        <w:rPr>
          <w:rFonts w:ascii="仿宋_GB2312" w:eastAsia="仿宋_GB2312" w:hint="eastAsia"/>
          <w:sz w:val="32"/>
          <w:szCs w:val="32"/>
        </w:rPr>
        <w:t>整合资源、优化布局、建立九环线茂县急救分中心，提升综合服务能力。</w:t>
      </w:r>
      <w:r>
        <w:rPr>
          <w:rFonts w:ascii="仿宋_GB2312" w:eastAsia="仿宋_GB2312" w:hint="eastAsia"/>
          <w:b/>
          <w:sz w:val="32"/>
          <w:szCs w:val="32"/>
        </w:rPr>
        <w:t>三是</w:t>
      </w:r>
      <w:r>
        <w:rPr>
          <w:rFonts w:ascii="仿宋_GB2312" w:eastAsia="仿宋_GB2312" w:hint="eastAsia"/>
          <w:sz w:val="32"/>
          <w:szCs w:val="32"/>
        </w:rPr>
        <w:t>通过集中办公、集约管理、集成服务，率先在全县乡镇探索打造“一站式”法治服务小院。</w:t>
      </w:r>
      <w:r>
        <w:rPr>
          <w:rFonts w:ascii="仿宋_GB2312" w:eastAsia="仿宋_GB2312" w:hint="eastAsia"/>
          <w:b/>
          <w:sz w:val="32"/>
          <w:szCs w:val="32"/>
        </w:rPr>
        <w:t>四是</w:t>
      </w:r>
      <w:r>
        <w:rPr>
          <w:rFonts w:ascii="仿宋_GB2312" w:eastAsia="仿宋_GB2312" w:hint="eastAsia"/>
          <w:sz w:val="32"/>
          <w:szCs w:val="32"/>
        </w:rPr>
        <w:t>健全“扫黑除恶、化解矛盾纠纷、应急管理”等机制，深入开展矛盾纠纷多元化解，确保社会大局持续稳定。</w:t>
      </w:r>
    </w:p>
    <w:p>
      <w:pPr>
        <w:spacing w:line="576" w:lineRule="exact"/>
        <w:ind w:firstLineChars="200" w:firstLine="640"/>
        <w:rPr>
          <w:rFonts w:ascii="仿宋_GB2312" w:eastAsia="仿宋_GB2312"/>
          <w:sz w:val="32"/>
          <w:szCs w:val="32"/>
        </w:rPr>
      </w:pPr>
      <w:r>
        <w:rPr>
          <w:rFonts w:ascii="仿宋_GB2312" w:eastAsia="仿宋_GB2312" w:cs="楷体" w:hint="eastAsia"/>
          <w:b/>
          <w:bCs/>
          <w:sz w:val="32"/>
          <w:szCs w:val="32"/>
        </w:rPr>
        <w:t>7.全面守牢安全防线。</w:t>
      </w:r>
      <w:r>
        <w:rPr>
          <w:rFonts w:ascii="仿宋_GB2312" w:eastAsia="仿宋_GB2312" w:hint="eastAsia"/>
          <w:b/>
          <w:sz w:val="32"/>
          <w:szCs w:val="32"/>
        </w:rPr>
        <w:t>一是</w:t>
      </w:r>
      <w:r>
        <w:rPr>
          <w:rFonts w:ascii="仿宋_GB2312" w:eastAsia="仿宋_GB2312" w:hint="eastAsia"/>
          <w:sz w:val="32"/>
          <w:szCs w:val="32"/>
        </w:rPr>
        <w:t>专题研究安全生产及防汛工作会议12次，组织学习习近平总书记重要批示精神以及省州县安全生产工作会议精神20余次。</w:t>
      </w:r>
      <w:r>
        <w:rPr>
          <w:rFonts w:ascii="仿宋_GB2312" w:eastAsia="仿宋_GB2312" w:hint="eastAsia"/>
          <w:b/>
          <w:sz w:val="32"/>
          <w:szCs w:val="32"/>
        </w:rPr>
        <w:t>二是</w:t>
      </w:r>
      <w:r>
        <w:rPr>
          <w:rFonts w:ascii="仿宋_GB2312" w:eastAsia="仿宋_GB2312" w:hint="eastAsia"/>
          <w:sz w:val="32"/>
          <w:szCs w:val="32"/>
        </w:rPr>
        <w:t>加强各行业重点领域安全大检查。协同县安办、综合执法等部门对全镇企业、学校、景区等重点单位场所开展安全大检查10余次，排查和整改各类隐患60余个。</w:t>
      </w:r>
      <w:r>
        <w:rPr>
          <w:rFonts w:ascii="仿宋_GB2312" w:eastAsia="仿宋_GB2312" w:hint="eastAsia"/>
          <w:b/>
          <w:sz w:val="32"/>
          <w:szCs w:val="32"/>
        </w:rPr>
        <w:t>三是</w:t>
      </w:r>
      <w:r>
        <w:rPr>
          <w:rFonts w:ascii="仿宋_GB2312" w:eastAsia="仿宋_GB2312" w:hint="eastAsia"/>
          <w:sz w:val="32"/>
          <w:szCs w:val="32"/>
        </w:rPr>
        <w:t>认真完善修订各类应急预案，组织镇级应急演练2次，村级应急演练20余次。</w:t>
      </w:r>
      <w:r>
        <w:rPr>
          <w:rFonts w:ascii="仿宋_GB2312" w:eastAsia="仿宋_GB2312" w:hint="eastAsia"/>
          <w:b/>
          <w:sz w:val="32"/>
          <w:szCs w:val="32"/>
        </w:rPr>
        <w:t>四是</w:t>
      </w:r>
      <w:r>
        <w:rPr>
          <w:rFonts w:ascii="仿宋_GB2312" w:eastAsia="仿宋_GB2312" w:hint="eastAsia"/>
          <w:sz w:val="32"/>
          <w:szCs w:val="32"/>
        </w:rPr>
        <w:t>做好汛期安全生产，全镇落实监测人员135名，对139个地质灾害隐患点进行全天监测，并严格执行汛期镇村干部24小时值班值守制，发放一表两卡共计2000余份，完成危房重建8户，确保了今年安全</w:t>
      </w:r>
      <w:r>
        <w:rPr>
          <w:rFonts w:ascii="仿宋_GB2312" w:eastAsia="仿宋_GB2312" w:hint="eastAsia"/>
          <w:sz w:val="32"/>
          <w:szCs w:val="32"/>
          <w:lang w:eastAsia="zh-CN"/>
        </w:rPr>
        <w:t>度</w:t>
      </w:r>
      <w:r>
        <w:rPr>
          <w:rFonts w:ascii="仿宋_GB2312" w:eastAsia="仿宋_GB2312" w:hint="eastAsia"/>
          <w:sz w:val="32"/>
          <w:szCs w:val="32"/>
        </w:rPr>
        <w:t>汛。</w:t>
      </w:r>
      <w:bookmarkStart w:id="29" w:name="_Toc79163855"/>
      <w:bookmarkStart w:id="30" w:name="_Toc15377200"/>
      <w:bookmarkStart w:id="31" w:name="_Toc15396601"/>
      <w:bookmarkStart w:id="32" w:name="_Toc79163605"/>
    </w:p>
    <w:p>
      <w:pPr>
        <w:spacing w:line="576" w:lineRule="exact"/>
        <w:ind w:firstLineChars="200" w:firstLine="640"/>
        <w:rPr>
          <w:rStyle w:val="2Char"/>
          <w:rFonts w:ascii="黑体" w:eastAsia="黑体"/>
          <w:b w:val="0"/>
          <w:bCs w:val="0"/>
        </w:rPr>
      </w:pPr>
      <w:r>
        <w:rPr>
          <w:rFonts w:ascii="黑体" w:eastAsia="黑体" w:hint="eastAsia"/>
          <w:color w:val="000000"/>
          <w:sz w:val="32"/>
          <w:szCs w:val="32"/>
        </w:rPr>
        <w:t>二、机</w:t>
      </w:r>
      <w:r>
        <w:rPr>
          <w:rStyle w:val="2Char"/>
          <w:rFonts w:ascii="黑体" w:eastAsia="黑体" w:hint="eastAsia"/>
        </w:rPr>
        <w:t>构设置</w:t>
      </w:r>
      <w:bookmarkEnd w:id="29"/>
      <w:bookmarkEnd w:id="30"/>
      <w:bookmarkEnd w:id="31"/>
      <w:bookmarkEnd w:id="32"/>
    </w:p>
    <w:p>
      <w:pPr>
        <w:spacing w:line="576" w:lineRule="exact"/>
        <w:ind w:firstLineChars="200" w:firstLine="640"/>
        <w:rPr>
          <w:rFonts w:ascii="仿宋_GB2312" w:eastAsia="仿宋_GB2312"/>
          <w:sz w:val="32"/>
          <w:szCs w:val="32"/>
        </w:rPr>
      </w:pPr>
      <w:r>
        <w:rPr>
          <w:rFonts w:ascii="仿宋_GB2312" w:eastAsia="仿宋_GB2312" w:hint="eastAsia"/>
          <w:sz w:val="32"/>
          <w:szCs w:val="32"/>
        </w:rPr>
        <w:t>茂县叠溪镇人民政府下属二级单位0个，其中行政单位0个，参照公务员法管理的事业单位</w:t>
      </w:r>
      <w:r>
        <w:rPr>
          <w:rFonts w:ascii="仿宋_GB2312" w:eastAsia="仿宋_GB2312" w:hint="eastAsia"/>
          <w:bCs/>
          <w:sz w:val="32"/>
          <w:szCs w:val="32"/>
        </w:rPr>
        <w:t>0</w:t>
      </w:r>
      <w:r>
        <w:rPr>
          <w:rFonts w:ascii="仿宋_GB2312" w:eastAsia="仿宋_GB2312" w:hint="eastAsia"/>
          <w:sz w:val="32"/>
          <w:szCs w:val="32"/>
        </w:rPr>
        <w:t>个，其他事业单位0个。其中内设机构11个,(1)茂县叠溪镇党政办公室,(2)叠溪镇党建工作办公室,(3)叠溪镇维护稳定和综合行政执法办公室,(4)叠溪镇经济发展和乡村振兴办公室,(5)叠溪镇社会事务办公室,(6)叠溪镇生态环境和应急管理办公室,(7)叠溪镇财经审查工作办公室,(8)叠溪镇便民服务中心,(9)叠溪镇经济发展服务中心,(10)叠溪镇农业农村服务中心,(11)叠溪镇综合文化服务中心。</w:t>
      </w:r>
      <w:r>
        <w:rPr>
          <w:rFonts w:ascii="仿宋_GB2312" w:eastAsia="仿宋_GB2312" w:hint="eastAsia"/>
          <w:color w:val="000000"/>
          <w:sz w:val="32"/>
          <w:szCs w:val="32"/>
        </w:rPr>
        <w:br w:type="page"/>
      </w:r>
    </w:p>
    <w:p>
      <w:pPr>
        <w:pStyle w:val="1"/>
        <w:spacing w:line="576" w:lineRule="exact"/>
        <w:ind w:right="440"/>
        <w:jc w:val="right"/>
        <w:rPr>
          <w:rFonts w:ascii="方正小标宋简体" w:eastAsia="方正小标宋简体"/>
          <w:b w:val="0"/>
          <w:bCs w:val="0"/>
        </w:rPr>
      </w:pPr>
      <w:bookmarkStart w:id="33" w:name="_Toc79163609"/>
      <w:bookmarkStart w:id="34" w:name="_Toc15377204"/>
      <w:bookmarkStart w:id="35" w:name="_Toc15396602"/>
      <w:bookmarkStart w:id="36" w:name="_Toc79163859"/>
      <w:r>
        <w:rPr>
          <w:rFonts w:ascii="方正小标宋简体" w:eastAsia="方正小标宋简体" w:hint="eastAsia"/>
          <w:b w:val="0"/>
          <w:color w:val="000000"/>
        </w:rPr>
        <w:t>第二部分</w:t>
      </w:r>
      <w:r>
        <w:rPr>
          <w:rFonts w:ascii="方正小标宋简体" w:eastAsia="方正小标宋简体" w:hint="eastAsia"/>
          <w:color w:val="000000"/>
        </w:rPr>
        <w:t xml:space="preserve"> </w:t>
      </w:r>
      <w:r>
        <w:rPr>
          <w:rStyle w:val="1Char"/>
          <w:rFonts w:ascii="方正小标宋简体" w:eastAsia="方正小标宋简体" w:hint="eastAsia"/>
          <w:b w:val="0"/>
          <w:bCs w:val="0"/>
        </w:rPr>
        <w:t>2021年度部门决算情况说明</w:t>
      </w:r>
      <w:bookmarkEnd w:id="33"/>
      <w:bookmarkEnd w:id="34"/>
      <w:bookmarkEnd w:id="35"/>
      <w:bookmarkEnd w:id="36"/>
    </w:p>
    <w:p>
      <w:pPr>
        <w:pStyle w:val="38"/>
        <w:numPr>
          <w:ilvl w:val="0"/>
          <w:numId w:val="1"/>
        </w:numPr>
        <w:spacing w:line="576" w:lineRule="exact"/>
        <w:ind w:firstLineChars="0"/>
        <w:outlineLvl w:val="1"/>
        <w:rPr>
          <w:rStyle w:val="2Char"/>
          <w:rFonts w:ascii="黑体" w:eastAsia="黑体"/>
          <w:b w:val="0"/>
        </w:rPr>
      </w:pPr>
      <w:bookmarkStart w:id="37" w:name="_Toc15377205"/>
      <w:bookmarkStart w:id="38" w:name="_Toc15396603"/>
      <w:bookmarkStart w:id="39" w:name="_Toc79163610"/>
      <w:bookmarkStart w:id="40" w:name="_Toc79163860"/>
      <w:r>
        <w:rPr>
          <w:rFonts w:ascii="黑体" w:eastAsia="黑体" w:hint="eastAsia"/>
          <w:color w:val="000000"/>
          <w:sz w:val="32"/>
          <w:szCs w:val="32"/>
        </w:rPr>
        <w:t>收</w:t>
      </w:r>
      <w:r>
        <w:rPr>
          <w:rStyle w:val="2Char"/>
          <w:rFonts w:ascii="黑体" w:eastAsia="黑体" w:hint="eastAsia"/>
          <w:b w:val="0"/>
        </w:rPr>
        <w:t>入支出决算总体情况说明</w:t>
      </w:r>
      <w:bookmarkEnd w:id="37"/>
      <w:bookmarkEnd w:id="38"/>
      <w:bookmarkEnd w:id="39"/>
      <w:bookmarkEnd w:id="40"/>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drawing>
          <wp:anchor distT="0" distB="0" distL="114300" distR="114300" simplePos="0" relativeHeight="18" behindDoc="0" locked="0" layoutInCell="1" hidden="0" allowOverlap="1">
            <wp:simplePos x="0" y="0"/>
            <wp:positionH relativeFrom="column">
              <wp:posOffset>76200</wp:posOffset>
            </wp:positionH>
            <wp:positionV relativeFrom="paragraph">
              <wp:posOffset>2031365</wp:posOffset>
            </wp:positionV>
            <wp:extent cx="5274310" cy="3079750"/>
            <wp:effectExtent l="0" t="0" r="17" b="16"/>
            <wp:wrapSquare wrapText="bothSides"/>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仿宋_GB2312" w:eastAsia="仿宋_GB2312" w:hint="eastAsia"/>
          <w:color w:val="000000"/>
          <w:sz w:val="32"/>
          <w:szCs w:val="32"/>
        </w:rPr>
        <w:t>2021年度收、支总计2504.92万元。与2020年相比，收、支总计各减少990.05万元，下降28.33%。主要变动原因是项目减少，支出减少。</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（图1：收、支决算总计变动情况图）（柱状图）</w:t>
      </w:r>
    </w:p>
    <w:p>
      <w:pPr>
        <w:spacing w:line="600" w:lineRule="exact"/>
        <w:jc w:val="left"/>
        <w:rPr>
          <w:rFonts w:ascii="仿宋_GB2312" w:eastAsia="仿宋_GB2312"/>
          <w:color w:val="000000"/>
          <w:sz w:val="32"/>
          <w:szCs w:val="32"/>
        </w:rPr>
      </w:pPr>
    </w:p>
    <w:p>
      <w:pPr>
        <w:pStyle w:val="38"/>
        <w:spacing w:line="576" w:lineRule="exact"/>
        <w:outlineLvl w:val="1"/>
        <w:rPr>
          <w:rStyle w:val="2Char"/>
          <w:rFonts w:ascii="黑体" w:eastAsia="黑体"/>
          <w:b w:val="0"/>
        </w:rPr>
      </w:pPr>
      <w:bookmarkStart w:id="41" w:name="_Toc79163861"/>
      <w:bookmarkStart w:id="42" w:name="_Toc15396604"/>
      <w:bookmarkStart w:id="43" w:name="_Toc79163611"/>
      <w:bookmarkStart w:id="44" w:name="_Toc15377206"/>
      <w:r>
        <w:rPr>
          <w:rFonts w:ascii="黑体" w:eastAsia="黑体" w:hint="eastAsia"/>
          <w:color w:val="000000"/>
          <w:sz w:val="32"/>
          <w:szCs w:val="32"/>
        </w:rPr>
        <w:t>二、收</w:t>
      </w:r>
      <w:r>
        <w:rPr>
          <w:rStyle w:val="2Char"/>
          <w:rFonts w:ascii="黑体" w:eastAsia="黑体" w:hint="eastAsia"/>
          <w:b w:val="0"/>
        </w:rPr>
        <w:t>入决算情况说明</w:t>
      </w:r>
      <w:bookmarkEnd w:id="41"/>
      <w:bookmarkEnd w:id="42"/>
      <w:bookmarkEnd w:id="43"/>
      <w:bookmarkEnd w:id="44"/>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本年收入合计2173.29万元，其中：一般公共预算财政拨款收入2173.29万元，占100.00%；政府性基金预算财政拨款收入0.00万元，占0.00%；上级补助收入0.00万元，占0.00%；事业收入0.00万元，占0.00%；经营收入0.00万元，占0.00%；附属单位上缴收入0.00万元，占0.00%；其他收入0.00万元，占0.00%。</w:t>
      </w:r>
    </w:p>
    <w:p>
      <w:pPr>
        <w:spacing w:line="600" w:lineRule="exact"/>
        <w:jc w:val="center"/>
        <w:rPr>
          <w:rFonts w:ascii="仿宋_GB2312" w:eastAsia="仿宋_GB2312"/>
          <w:color w:val="000000"/>
          <w:sz w:val="32"/>
          <w:szCs w:val="32"/>
        </w:rPr>
      </w:pPr>
      <w:r>
        <w:rPr>
          <w:rFonts w:ascii="仿宋_GB2312" w:eastAsia="仿宋_GB2312" w:hint="eastAsia"/>
          <w:color w:val="000000"/>
          <w:sz w:val="32"/>
          <w:szCs w:val="32"/>
        </w:rPr>
        <w:t>（图2：收入决算结构图）（饼状图）</w:t>
      </w:r>
    </w:p>
    <w:p>
      <w:pPr>
        <w:spacing w:line="600" w:lineRule="exact"/>
        <w:ind w:firstLineChars="200" w:firstLine="640"/>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0" behindDoc="0" locked="0" layoutInCell="1" hidden="0" allowOverlap="1">
            <wp:simplePos x="0" y="0"/>
            <wp:positionH relativeFrom="column">
              <wp:posOffset>0</wp:posOffset>
            </wp:positionH>
            <wp:positionV relativeFrom="paragraph">
              <wp:posOffset>0</wp:posOffset>
            </wp:positionV>
            <wp:extent cx="5274310" cy="3076575"/>
            <wp:effectExtent l="0" t="0" r="17" b="47"/>
            <wp:wrapSquare wrapText="bothSides"/>
            <wp:docPr id="2" name="图表 2"/>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38"/>
        <w:spacing w:line="600" w:lineRule="exact"/>
        <w:outlineLvl w:val="1"/>
        <w:rPr>
          <w:rStyle w:val="2Char"/>
          <w:rFonts w:ascii="黑体" w:eastAsia="黑体"/>
          <w:b w:val="0"/>
        </w:rPr>
      </w:pPr>
      <w:bookmarkStart w:id="45" w:name="_Toc79163612"/>
      <w:bookmarkStart w:id="46" w:name="_Toc15396605"/>
      <w:bookmarkStart w:id="47" w:name="_Toc15377207"/>
      <w:bookmarkStart w:id="48" w:name="_Toc79163862"/>
      <w:r>
        <w:rPr>
          <w:rFonts w:ascii="黑体" w:eastAsia="黑体" w:hint="eastAsia"/>
          <w:color w:val="000000"/>
          <w:sz w:val="32"/>
          <w:szCs w:val="32"/>
        </w:rPr>
        <w:t>三、支</w:t>
      </w:r>
      <w:r>
        <w:rPr>
          <w:rStyle w:val="2Char"/>
          <w:rFonts w:ascii="黑体" w:eastAsia="黑体" w:hint="eastAsia"/>
          <w:b w:val="0"/>
        </w:rPr>
        <w:t>出决算情况说明</w:t>
      </w:r>
      <w:bookmarkEnd w:id="45"/>
      <w:bookmarkEnd w:id="46"/>
      <w:bookmarkEnd w:id="47"/>
      <w:bookmarkEnd w:id="48"/>
    </w:p>
    <w:p>
      <w:pPr>
        <w:spacing w:line="576" w:lineRule="exact"/>
        <w:ind w:firstLineChars="200" w:firstLine="640"/>
        <w:rPr>
          <w:rFonts w:ascii="仿宋_GB2312" w:eastAsia="仿宋_GB2312"/>
          <w:sz w:val="32"/>
          <w:szCs w:val="32"/>
        </w:rPr>
      </w:pPr>
      <w:r>
        <w:rPr>
          <w:rFonts w:ascii="仿宋_GB2312" w:eastAsia="仿宋_GB2312" w:hint="eastAsia"/>
          <w:sz w:val="32"/>
          <w:szCs w:val="32"/>
        </w:rPr>
        <w:t>2021年本年支出合计2504.92万元，其中：基本支出1181.50万元，占47.17%；项目支出1323.42万元，占52.83%；上缴上级支出0.00万元，占0.00%；经营支出0.00万元，占0.00%；对附属单位补助支出0.00万元，占0.00%。</w:t>
      </w:r>
    </w:p>
    <w:p>
      <w:pPr>
        <w:spacing w:line="576" w:lineRule="exact"/>
        <w:jc w:val="center"/>
        <w:rPr>
          <w:rFonts w:ascii="仿宋_GB2312" w:eastAsia="仿宋_GB2312"/>
          <w:color w:val="000000"/>
          <w:sz w:val="32"/>
          <w:szCs w:val="32"/>
        </w:rPr>
      </w:pPr>
      <w:r>
        <w:rPr>
          <w:rFonts w:ascii="仿宋_GB2312" w:eastAsia="仿宋_GB2312" w:hint="eastAsia"/>
          <w:color w:val="000000"/>
          <w:sz w:val="32"/>
          <w:szCs w:val="32"/>
        </w:rPr>
        <w:drawing>
          <wp:anchor distT="0" distB="0" distL="114300" distR="114300" simplePos="0" relativeHeight="22" behindDoc="0" locked="0" layoutInCell="1" hidden="0" allowOverlap="1">
            <wp:simplePos x="0" y="0"/>
            <wp:positionH relativeFrom="column">
              <wp:posOffset>66675</wp:posOffset>
            </wp:positionH>
            <wp:positionV relativeFrom="paragraph">
              <wp:posOffset>451485</wp:posOffset>
            </wp:positionV>
            <wp:extent cx="5274310" cy="3076575"/>
            <wp:effectExtent l="0" t="0" r="17" b="47"/>
            <wp:wrapSquare wrapText="bothSides"/>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_GB2312" w:eastAsia="仿宋_GB2312" w:hint="eastAsia"/>
          <w:color w:val="000000"/>
          <w:sz w:val="32"/>
          <w:szCs w:val="32"/>
        </w:rPr>
        <w:t>（图3：支出决算结构图）（饼状图）</w:t>
      </w:r>
    </w:p>
    <w:p>
      <w:pPr>
        <w:spacing w:line="576" w:lineRule="exact"/>
        <w:ind w:firstLineChars="200" w:firstLine="640"/>
        <w:outlineLvl w:val="1"/>
        <w:rPr>
          <w:rStyle w:val="2Char"/>
          <w:rFonts w:ascii="黑体" w:eastAsia="黑体"/>
          <w:b w:val="0"/>
        </w:rPr>
      </w:pPr>
      <w:bookmarkStart w:id="49" w:name="_Toc79163863"/>
      <w:bookmarkStart w:id="50" w:name="_Toc15377208"/>
      <w:bookmarkStart w:id="51" w:name="_Toc79163613"/>
      <w:bookmarkStart w:id="52"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9"/>
      <w:bookmarkEnd w:id="50"/>
      <w:bookmarkEnd w:id="51"/>
      <w:bookmarkEnd w:id="52"/>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2021年财政拨款收、支总计2504.92万元。与2020年相比，财政拨款收、支总计各减少990.05万元，下降28.33%。主要变动原因是项目减少，支出减少。</w:t>
      </w:r>
    </w:p>
    <w:p>
      <w:pPr>
        <w:spacing w:line="576" w:lineRule="exact"/>
        <w:ind w:firstLine="200"/>
        <w:jc w:val="center"/>
        <w:rPr>
          <w:rFonts w:ascii="仿宋_GB2312" w:eastAsia="仿宋_GB2312"/>
          <w:color w:val="000000"/>
          <w:sz w:val="32"/>
          <w:szCs w:val="32"/>
        </w:rPr>
      </w:pPr>
      <w:r>
        <w:rPr>
          <w:rFonts w:ascii="仿宋_GB2312" w:eastAsia="仿宋_GB2312" w:hint="eastAsia"/>
          <w:color w:val="000000"/>
          <w:sz w:val="32"/>
          <w:szCs w:val="32"/>
        </w:rPr>
        <w:drawing>
          <wp:anchor distT="0" distB="0" distL="114300" distR="114300" simplePos="0" relativeHeight="24" behindDoc="0" locked="0" layoutInCell="1" hidden="0" allowOverlap="1">
            <wp:simplePos x="0" y="0"/>
            <wp:positionH relativeFrom="column">
              <wp:posOffset>1905</wp:posOffset>
            </wp:positionH>
            <wp:positionV relativeFrom="paragraph">
              <wp:posOffset>685800</wp:posOffset>
            </wp:positionV>
            <wp:extent cx="5276215" cy="3073400"/>
            <wp:effectExtent l="0" t="0" r="17" b="15"/>
            <wp:wrapSquare wrapText="bothSides"/>
            <wp:docPr id="4" name="图表 4"/>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仿宋_GB2312" w:eastAsia="仿宋_GB2312" w:hint="eastAsia"/>
          <w:color w:val="000000"/>
          <w:sz w:val="32"/>
          <w:szCs w:val="32"/>
        </w:rPr>
        <w:t>（图4：财政拨款收、支决算总计变动情况）（柱状图）</w:t>
      </w:r>
    </w:p>
    <w:p>
      <w:pPr>
        <w:spacing w:line="576" w:lineRule="exact"/>
        <w:ind w:firstLineChars="200" w:firstLine="640"/>
        <w:outlineLvl w:val="1"/>
        <w:rPr>
          <w:rStyle w:val="2Char"/>
          <w:rFonts w:ascii="黑体" w:eastAsia="黑体"/>
          <w:b w:val="0"/>
        </w:rPr>
      </w:pPr>
      <w:bookmarkStart w:id="53" w:name="_Toc15377209"/>
      <w:bookmarkStart w:id="54" w:name="_Toc79163614"/>
      <w:bookmarkStart w:id="55" w:name="_Toc79163864"/>
      <w:bookmarkStart w:id="56"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pPr>
        <w:spacing w:line="576" w:lineRule="exact"/>
        <w:ind w:firstLineChars="200" w:firstLine="640"/>
        <w:outlineLvl w:val="2"/>
        <w:rPr>
          <w:rFonts w:ascii="楷体_GB2312" w:eastAsia="楷体_GB2312"/>
          <w:b/>
          <w:color w:val="000000"/>
          <w:sz w:val="32"/>
          <w:szCs w:val="32"/>
        </w:rPr>
      </w:pPr>
      <w:bookmarkStart w:id="57" w:name="_Toc15377210"/>
      <w:bookmarkStart w:id="58" w:name="_Toc79163865"/>
      <w:bookmarkStart w:id="59" w:name="_Toc79163615"/>
      <w:r>
        <w:rPr>
          <w:rFonts w:ascii="楷体_GB2312" w:eastAsia="楷体_GB2312" w:hint="eastAsia"/>
          <w:b/>
          <w:color w:val="000000"/>
          <w:sz w:val="32"/>
          <w:szCs w:val="32"/>
        </w:rPr>
        <w:t>（一）一般公共预算财政拨款支出决算总体情况</w:t>
      </w:r>
      <w:bookmarkEnd w:id="57"/>
      <w:bookmarkEnd w:id="58"/>
      <w:bookmarkEnd w:id="59"/>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2021年一般公共预算财政拨款支出2504.92万元，占本年支出合计的99.96%。与2020年相比，一般公共预算财政拨款减少443.41万元，下降15.04%。主要变动原因是项目减少，支出减少。</w:t>
      </w: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_GB2312" w:eastAsia="仿宋_GB2312"/>
          <w:color w:val="000000"/>
          <w:sz w:val="32"/>
          <w:szCs w:val="32"/>
        </w:rPr>
      </w:pPr>
      <w:r>
        <w:rPr>
          <w:rFonts w:ascii="仿宋_GB2312" w:eastAsia="仿宋_GB2312" w:hint="eastAsia"/>
          <w:color w:val="000000"/>
          <w:sz w:val="32"/>
          <w:szCs w:val="32"/>
        </w:rPr>
        <w:t>（图5：一般公共预算财政拨款支出决算变动情况）（柱状图）</w:t>
      </w:r>
    </w:p>
    <w:p>
      <w:pPr>
        <w:spacing w:line="576" w:lineRule="exact"/>
        <w:ind w:firstLineChars="200"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6" behindDoc="0" locked="0" layoutInCell="1" hidden="0" allowOverlap="1">
            <wp:simplePos x="0" y="0"/>
            <wp:positionH relativeFrom="column">
              <wp:posOffset>0</wp:posOffset>
            </wp:positionH>
            <wp:positionV relativeFrom="paragraph">
              <wp:posOffset>0</wp:posOffset>
            </wp:positionV>
            <wp:extent cx="5274310" cy="3076575"/>
            <wp:effectExtent l="0" t="0" r="17" b="47"/>
            <wp:wrapSquare wrapText="bothSides"/>
            <wp:docPr id="5" name="图表 6"/>
            <wp:cNvGraphicFramePr>
              <a:graphicFrameLocks noChangeAspect="0"/>
            </wp:cNvGraphicFramePr>
            <a:graphic>
              <a:graphicData uri="http://schemas.openxmlformats.org/drawingml/2006/chart">
                <c:chart xmlns:c="http://schemas.openxmlformats.org/drawingml/2006/chart" r:id="rId8"/>
              </a:graphicData>
            </a:graphic>
          </wp:anchor>
        </w:drawing>
      </w:r>
      <w:bookmarkStart w:id="60" w:name="_Toc15377211"/>
      <w:bookmarkStart w:id="61" w:name="_Toc79163616"/>
      <w:bookmarkStart w:id="62" w:name="_Toc79163866"/>
      <w:r>
        <w:rPr>
          <w:rFonts w:ascii="楷体_GB2312" w:eastAsia="楷体_GB2312" w:hint="eastAsia"/>
          <w:b/>
          <w:color w:val="000000"/>
          <w:sz w:val="32"/>
          <w:szCs w:val="32"/>
        </w:rPr>
        <w:t>（二）一般公共预算财政拨款支出决算结构情况</w:t>
      </w:r>
      <w:bookmarkEnd w:id="60"/>
      <w:bookmarkEnd w:id="61"/>
      <w:bookmarkEnd w:id="62"/>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一般公共预算财政拨款支出2504.02万元，主要用于以下方面:一般公共服务支出577.56万元，占23.07%；国防支出5.00万元，占0.20%；文化旅游体育与传媒支出17.90万元，占0.71%；社会保障和就业支出141.53万元，占5.65%；</w:t>
      </w:r>
      <w:r>
        <w:rPr>
          <w:rFonts w:ascii="仿宋_GB2312" w:eastAsia="仿宋_GB2312" w:hint="eastAsia"/>
          <w:bCs/>
          <w:color w:val="000000"/>
          <w:sz w:val="32"/>
          <w:szCs w:val="32"/>
        </w:rPr>
        <w:t>卫生健康支出</w:t>
      </w:r>
      <w:r>
        <w:rPr>
          <w:rFonts w:ascii="仿宋_GB2312" w:eastAsia="仿宋_GB2312" w:hint="eastAsia"/>
          <w:color w:val="000000"/>
          <w:sz w:val="32"/>
          <w:szCs w:val="32"/>
        </w:rPr>
        <w:t>51.20万元，占2.04%；节能环保支出4.00万元，占0.16%；农林水支出1590.76万元，占63.53%；住房保障支出78.52万元，占3.14%；其他支出37.56万元，占1.50%。</w:t>
      </w:r>
    </w:p>
    <w:p>
      <w:pPr>
        <w:spacing w:line="576" w:lineRule="exact"/>
        <w:jc w:val="center"/>
        <w:rPr>
          <w:rFonts w:ascii="仿宋_GB2312" w:eastAsia="仿宋_GB2312"/>
          <w:color w:val="000000"/>
          <w:sz w:val="32"/>
          <w:szCs w:val="32"/>
        </w:rPr>
      </w:pPr>
    </w:p>
    <w:p>
      <w:pPr>
        <w:spacing w:line="576" w:lineRule="exact"/>
        <w:jc w:val="center"/>
        <w:rPr>
          <w:rFonts w:ascii="仿宋_GB2312" w:eastAsia="仿宋_GB2312"/>
          <w:color w:val="000000"/>
          <w:sz w:val="32"/>
          <w:szCs w:val="32"/>
        </w:rPr>
      </w:pPr>
    </w:p>
    <w:p>
      <w:pPr>
        <w:spacing w:line="576" w:lineRule="exact"/>
        <w:jc w:val="center"/>
        <w:rPr>
          <w:rFonts w:ascii="仿宋_GB2312" w:eastAsia="仿宋_GB2312"/>
          <w:color w:val="000000"/>
          <w:sz w:val="32"/>
          <w:szCs w:val="32"/>
        </w:rPr>
      </w:pPr>
    </w:p>
    <w:p>
      <w:pPr>
        <w:spacing w:line="576" w:lineRule="exact"/>
        <w:jc w:val="center"/>
        <w:rPr>
          <w:rFonts w:ascii="仿宋_GB2312" w:eastAsia="仿宋_GB2312"/>
          <w:color w:val="000000"/>
          <w:sz w:val="32"/>
          <w:szCs w:val="32"/>
        </w:rPr>
      </w:pPr>
    </w:p>
    <w:p>
      <w:pPr>
        <w:spacing w:line="576" w:lineRule="exact"/>
        <w:jc w:val="center"/>
        <w:rPr>
          <w:rFonts w:ascii="仿宋_GB2312" w:eastAsia="仿宋_GB2312"/>
          <w:color w:val="000000"/>
          <w:sz w:val="32"/>
          <w:szCs w:val="32"/>
        </w:rPr>
      </w:pPr>
    </w:p>
    <w:p>
      <w:pPr>
        <w:spacing w:line="576" w:lineRule="exact"/>
        <w:jc w:val="center"/>
        <w:rPr>
          <w:rFonts w:ascii="仿宋_GB2312" w:eastAsia="仿宋_GB2312"/>
          <w:color w:val="000000"/>
          <w:sz w:val="32"/>
          <w:szCs w:val="32"/>
        </w:rPr>
      </w:pPr>
      <w:r>
        <w:rPr>
          <w:rFonts w:ascii="仿宋_GB2312" w:eastAsia="仿宋_GB2312" w:hint="eastAsia"/>
          <w:color w:val="000000"/>
          <w:sz w:val="32"/>
          <w:szCs w:val="32"/>
        </w:rPr>
        <w:t>（图6：一般公共预算财政拨款支出决算结构）（饼状图）</w:t>
      </w:r>
    </w:p>
    <w:p>
      <w:pPr>
        <w:spacing w:line="60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drawing>
          <wp:anchor distT="0" distB="0" distL="114300" distR="114300" simplePos="0" relativeHeight="28" behindDoc="0" locked="0" layoutInCell="1" hidden="0" allowOverlap="1">
            <wp:simplePos x="0" y="0"/>
            <wp:positionH relativeFrom="column">
              <wp:posOffset>0</wp:posOffset>
            </wp:positionH>
            <wp:positionV relativeFrom="paragraph">
              <wp:posOffset>0</wp:posOffset>
            </wp:positionV>
            <wp:extent cx="5274310" cy="3076575"/>
            <wp:effectExtent l="0" t="0" r="17" b="47"/>
            <wp:wrapSquare wrapText="bothSides"/>
            <wp:docPr id="6" name="图表 7"/>
            <wp:cNvGraphicFramePr>
              <a:graphicFrameLocks noChangeAspect="0"/>
            </wp:cNvGraphicFramePr>
            <a:graphic>
              <a:graphicData uri="http://schemas.openxmlformats.org/drawingml/2006/chart">
                <c:chart xmlns:c="http://schemas.openxmlformats.org/drawingml/2006/chart" r:id="rId9"/>
              </a:graphicData>
            </a:graphic>
          </wp:anchor>
        </w:drawing>
      </w:r>
      <w:bookmarkStart w:id="63" w:name="_Toc15377212"/>
      <w:bookmarkStart w:id="64" w:name="_Toc79163617"/>
      <w:bookmarkStart w:id="65" w:name="_Toc79163867"/>
      <w:r>
        <w:rPr>
          <w:rFonts w:ascii="楷体_GB2312" w:eastAsia="楷体_GB2312" w:hint="eastAsia"/>
          <w:b/>
          <w:color w:val="000000"/>
          <w:sz w:val="32"/>
          <w:szCs w:val="32"/>
        </w:rPr>
        <w:t>（三）一般公共预算财政拨款支出决算具体情况</w:t>
      </w:r>
      <w:bookmarkEnd w:id="63"/>
      <w:bookmarkEnd w:id="64"/>
      <w:bookmarkEnd w:id="65"/>
    </w:p>
    <w:p>
      <w:pPr>
        <w:spacing w:line="600" w:lineRule="exact"/>
        <w:ind w:firstLineChars="200" w:firstLine="640"/>
        <w:rPr>
          <w:rFonts w:ascii="仿宋_GB2312" w:eastAsia="仿宋_GB2312"/>
          <w:bCs/>
          <w:sz w:val="32"/>
          <w:szCs w:val="32"/>
        </w:rPr>
      </w:pPr>
      <w:bookmarkStart w:id="66" w:name="_Toc15377444"/>
      <w:bookmarkStart w:id="67" w:name="_Toc15377213"/>
      <w:bookmarkStart w:id="68" w:name="_Toc15378460"/>
      <w:r>
        <w:rPr>
          <w:rFonts w:ascii="仿宋_GB2312" w:eastAsia="仿宋_GB2312"/>
          <w:bCs/>
          <w:sz w:val="32"/>
          <w:szCs w:val="32"/>
        </w:rPr>
        <w:t>2021</w:t>
      </w:r>
      <w:r>
        <w:rPr>
          <w:rFonts w:ascii="仿宋_GB2312" w:eastAsia="仿宋_GB2312" w:hint="eastAsia"/>
          <w:bCs/>
          <w:sz w:val="32"/>
          <w:szCs w:val="32"/>
        </w:rPr>
        <w:t>年一般公共预算支出决算数为2504.02</w:t>
      </w:r>
      <w:r>
        <w:rPr>
          <w:rFonts w:ascii="仿宋_GB2312" w:eastAsia="仿宋_GB2312" w:hint="eastAsia"/>
          <w:bCs/>
          <w:sz w:val="32"/>
          <w:szCs w:val="32"/>
          <w:lang w:eastAsia="zh-CN"/>
        </w:rPr>
        <w:t>万元</w:t>
      </w:r>
      <w:r>
        <w:rPr>
          <w:rFonts w:ascii="仿宋_GB2312" w:eastAsia="仿宋_GB2312" w:hint="eastAsia"/>
          <w:bCs/>
          <w:sz w:val="32"/>
          <w:szCs w:val="32"/>
        </w:rPr>
        <w:t>，完成预算100</w:t>
      </w:r>
      <w:r>
        <w:rPr>
          <w:rFonts w:ascii="仿宋_GB2312" w:eastAsia="仿宋_GB2312"/>
          <w:bCs/>
          <w:sz w:val="32"/>
          <w:szCs w:val="32"/>
        </w:rPr>
        <w:t>%</w:t>
      </w:r>
      <w:r>
        <w:rPr>
          <w:rFonts w:ascii="仿宋_GB2312" w:eastAsia="仿宋_GB2312" w:hint="eastAsia"/>
          <w:bCs/>
          <w:sz w:val="32"/>
          <w:szCs w:val="32"/>
        </w:rPr>
        <w:t>。其中：</w:t>
      </w:r>
      <w:bookmarkEnd w:id="66"/>
      <w:bookmarkEnd w:id="67"/>
      <w:bookmarkEnd w:id="68"/>
    </w:p>
    <w:p>
      <w:pPr>
        <w:spacing w:line="576" w:lineRule="exact"/>
        <w:ind w:firstLineChars="200" w:firstLine="640"/>
        <w:rPr>
          <w:rFonts w:ascii="仿宋_GB2312" w:eastAsia="仿宋_GB2312"/>
          <w:b/>
          <w:color w:val="000000"/>
          <w:sz w:val="32"/>
          <w:szCs w:val="32"/>
        </w:rPr>
      </w:pPr>
      <w:r>
        <w:rPr>
          <w:rStyle w:val="32"/>
          <w:rFonts w:ascii="仿宋_GB2312" w:eastAsia="仿宋_GB2312" w:hint="eastAsia"/>
          <w:bCs/>
          <w:color w:val="000000"/>
          <w:sz w:val="32"/>
          <w:szCs w:val="32"/>
        </w:rPr>
        <w:t>1.一般公共服务（201）人大事务（20101）代表工作（2010108）</w:t>
      </w:r>
      <w:r>
        <w:rPr>
          <w:rStyle w:val="32"/>
          <w:rFonts w:ascii="仿宋_GB2312" w:eastAsia="仿宋_GB2312" w:hint="eastAsia"/>
          <w:b w:val="0"/>
          <w:bCs/>
          <w:color w:val="000000"/>
          <w:sz w:val="32"/>
          <w:szCs w:val="32"/>
        </w:rPr>
        <w:t>支出决算为2.82万元，完成预算100%。</w:t>
      </w:r>
    </w:p>
    <w:p>
      <w:pPr>
        <w:spacing w:line="576" w:lineRule="exact"/>
        <w:ind w:firstLineChars="200" w:firstLine="640"/>
        <w:rPr>
          <w:rFonts w:ascii="仿宋_GB2312" w:eastAsia="仿宋_GB2312"/>
          <w:b/>
          <w:color w:val="000000"/>
          <w:sz w:val="32"/>
          <w:szCs w:val="32"/>
        </w:rPr>
      </w:pPr>
      <w:r>
        <w:rPr>
          <w:rStyle w:val="32"/>
          <w:rFonts w:ascii="仿宋_GB2312" w:eastAsia="仿宋_GB2312" w:hint="eastAsia"/>
          <w:bCs/>
          <w:color w:val="000000"/>
          <w:sz w:val="32"/>
          <w:szCs w:val="32"/>
        </w:rPr>
        <w:t>2. 一般公共服务（201）政府办公厅（室）及相关机构事务（20103）行政运行（2010301）</w:t>
      </w:r>
      <w:r>
        <w:rPr>
          <w:rStyle w:val="32"/>
          <w:rFonts w:ascii="仿宋_GB2312" w:eastAsia="仿宋_GB2312" w:hint="eastAsia"/>
          <w:b w:val="0"/>
          <w:bCs/>
          <w:color w:val="000000"/>
          <w:sz w:val="32"/>
          <w:szCs w:val="32"/>
        </w:rPr>
        <w:t>支出决算为463.22万元，完成预算100%。</w:t>
      </w:r>
    </w:p>
    <w:p>
      <w:pPr>
        <w:spacing w:line="576" w:lineRule="exact"/>
        <w:ind w:firstLineChars="200" w:firstLine="640"/>
        <w:rPr>
          <w:rFonts w:ascii="仿宋_GB2312" w:eastAsia="仿宋_GB2312"/>
          <w:b/>
          <w:color w:val="000000"/>
          <w:sz w:val="32"/>
          <w:szCs w:val="32"/>
        </w:rPr>
      </w:pPr>
      <w:r>
        <w:rPr>
          <w:rStyle w:val="32"/>
          <w:rFonts w:ascii="仿宋_GB2312" w:eastAsia="仿宋_GB2312" w:hint="eastAsia"/>
          <w:bCs/>
          <w:color w:val="000000"/>
          <w:sz w:val="32"/>
          <w:szCs w:val="32"/>
        </w:rPr>
        <w:t>3. 一般公共服务（201）政府办公厅（室）及相关机构事务（20103）其他政府办公厅（室）及相关机构事务支出（2010399）</w:t>
      </w:r>
      <w:r>
        <w:rPr>
          <w:rStyle w:val="32"/>
          <w:rFonts w:ascii="仿宋_GB2312" w:eastAsia="仿宋_GB2312" w:hint="eastAsia"/>
          <w:b w:val="0"/>
          <w:bCs/>
          <w:color w:val="000000"/>
          <w:sz w:val="32"/>
          <w:szCs w:val="32"/>
        </w:rPr>
        <w:t>支出决算为28.58万元，完成预算100%。</w:t>
      </w:r>
    </w:p>
    <w:p>
      <w:pPr>
        <w:spacing w:line="576" w:lineRule="exact"/>
        <w:ind w:firstLineChars="200" w:firstLine="640"/>
        <w:rPr>
          <w:rFonts w:ascii="仿宋_GB2312" w:eastAsia="仿宋_GB2312"/>
          <w:b/>
          <w:color w:val="000000"/>
          <w:sz w:val="32"/>
          <w:szCs w:val="32"/>
        </w:rPr>
      </w:pPr>
      <w:r>
        <w:rPr>
          <w:rStyle w:val="32"/>
          <w:rFonts w:ascii="仿宋_GB2312" w:eastAsia="仿宋_GB2312" w:hint="eastAsia"/>
          <w:bCs/>
          <w:color w:val="000000"/>
          <w:sz w:val="32"/>
          <w:szCs w:val="32"/>
        </w:rPr>
        <w:t>4. 一般公共服务（201）财政事务（20106）事业运行（2010650）</w:t>
      </w:r>
      <w:r>
        <w:rPr>
          <w:rStyle w:val="32"/>
          <w:rFonts w:ascii="仿宋_GB2312" w:eastAsia="仿宋_GB2312" w:hint="eastAsia"/>
          <w:b w:val="0"/>
          <w:bCs/>
          <w:color w:val="000000"/>
          <w:sz w:val="32"/>
          <w:szCs w:val="32"/>
        </w:rPr>
        <w:t>支出决算为13.65万元，完成预算100%。</w:t>
      </w:r>
    </w:p>
    <w:p>
      <w:pPr>
        <w:spacing w:line="576" w:lineRule="exact"/>
        <w:ind w:firstLineChars="200" w:firstLine="640"/>
        <w:rPr>
          <w:rFonts w:ascii="仿宋_GB2312" w:eastAsia="仿宋_GB2312"/>
          <w:b/>
          <w:color w:val="000000"/>
          <w:sz w:val="32"/>
          <w:szCs w:val="32"/>
        </w:rPr>
      </w:pPr>
      <w:r>
        <w:rPr>
          <w:rStyle w:val="32"/>
          <w:rFonts w:ascii="仿宋_GB2312" w:eastAsia="仿宋_GB2312" w:hint="eastAsia"/>
          <w:bCs/>
          <w:color w:val="000000"/>
          <w:sz w:val="32"/>
          <w:szCs w:val="32"/>
        </w:rPr>
        <w:t>5. 一般公共服务（201）党委办公厅（室）及相关机构事务（20131）行政运行（2013101）</w:t>
      </w:r>
      <w:r>
        <w:rPr>
          <w:rStyle w:val="32"/>
          <w:rFonts w:ascii="仿宋_GB2312" w:eastAsia="仿宋_GB2312" w:hint="eastAsia"/>
          <w:b w:val="0"/>
          <w:bCs/>
          <w:color w:val="000000"/>
          <w:sz w:val="32"/>
          <w:szCs w:val="32"/>
        </w:rPr>
        <w:t>支出决算为69.29万元，完成预算100%。</w:t>
      </w:r>
    </w:p>
    <w:p>
      <w:pPr>
        <w:spacing w:line="576" w:lineRule="exact"/>
        <w:ind w:firstLineChars="200" w:firstLine="640"/>
        <w:rPr>
          <w:rFonts w:ascii="仿宋_GB2312" w:eastAsia="仿宋_GB2312"/>
          <w:b/>
          <w:bCs/>
          <w:color w:val="000000"/>
          <w:sz w:val="32"/>
          <w:szCs w:val="32"/>
        </w:rPr>
      </w:pPr>
      <w:r>
        <w:rPr>
          <w:rStyle w:val="32"/>
          <w:rFonts w:ascii="仿宋_GB2312" w:eastAsia="仿宋_GB2312" w:hint="eastAsia"/>
          <w:bCs/>
          <w:color w:val="000000"/>
          <w:sz w:val="32"/>
          <w:szCs w:val="32"/>
        </w:rPr>
        <w:t>6.</w:t>
      </w:r>
      <w:r>
        <w:rPr>
          <w:rFonts w:ascii="仿宋_GB2312" w:eastAsia="仿宋_GB2312" w:hint="eastAsia"/>
          <w:b/>
          <w:bCs/>
          <w:color w:val="000000"/>
          <w:sz w:val="32"/>
          <w:szCs w:val="32"/>
        </w:rPr>
        <w:t>国防支出（203）国防动员（20306）民兵（2030607）</w:t>
      </w:r>
      <w:r>
        <w:rPr>
          <w:rFonts w:ascii="仿宋_GB2312" w:eastAsia="仿宋_GB2312" w:hint="eastAsia"/>
          <w:bCs/>
          <w:color w:val="000000"/>
          <w:sz w:val="32"/>
          <w:szCs w:val="32"/>
        </w:rPr>
        <w:t>支出决算5.00万元，完成预算100%。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bCs/>
          <w:color w:val="000000"/>
          <w:sz w:val="32"/>
          <w:szCs w:val="32"/>
        </w:rPr>
        <w:t>7.</w:t>
      </w:r>
      <w:r>
        <w:rPr>
          <w:rFonts w:ascii="仿宋_GB2312" w:eastAsia="仿宋_GB2312" w:hint="eastAsia"/>
          <w:b/>
          <w:color w:val="000000"/>
          <w:sz w:val="32"/>
          <w:szCs w:val="32"/>
        </w:rPr>
        <w:t xml:space="preserve"> 文化旅游体育与传媒支出（207）其他文化旅游体育与传媒支出（20799）其他文化旅游体育与传媒支出（2079999）</w:t>
      </w:r>
      <w:r>
        <w:rPr>
          <w:rFonts w:ascii="仿宋_GB2312" w:eastAsia="仿宋_GB2312" w:hint="eastAsia"/>
          <w:color w:val="000000"/>
          <w:sz w:val="32"/>
          <w:szCs w:val="32"/>
        </w:rPr>
        <w:t>支出决算17.90万元，完成预算100%。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8. 社会保障和就业支出（208）行政事业单位养老支出（20805）机关事业单位基本养老保险缴费支出（2080505）</w:t>
      </w:r>
      <w:r>
        <w:rPr>
          <w:rFonts w:ascii="仿宋_GB2312" w:eastAsia="仿宋_GB2312" w:hint="eastAsia"/>
          <w:color w:val="000000"/>
          <w:sz w:val="32"/>
          <w:szCs w:val="32"/>
        </w:rPr>
        <w:t>支出决算68.40万元，完成预算100%。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9. 社会保障和就业支出（208）行政事业单位养老支出（20805）机关事业单位职业年金缴费支出（2080506）</w:t>
      </w:r>
      <w:r>
        <w:rPr>
          <w:rFonts w:ascii="仿宋_GB2312" w:eastAsia="仿宋_GB2312" w:hint="eastAsia"/>
          <w:color w:val="000000"/>
          <w:sz w:val="32"/>
          <w:szCs w:val="32"/>
        </w:rPr>
        <w:t>支出决算34.22万元，完成预算100%。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10. 社会保障和就业支出（208）社会福利（20810）老年福利（2081002）</w:t>
      </w:r>
      <w:r>
        <w:rPr>
          <w:rFonts w:ascii="仿宋_GB2312" w:eastAsia="仿宋_GB2312" w:hint="eastAsia"/>
          <w:color w:val="000000"/>
          <w:sz w:val="32"/>
          <w:szCs w:val="32"/>
        </w:rPr>
        <w:t>支出决算1.42万元，完成预算100%。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11. 社会保障和就业支出（208）社会福利（20810）养老服务（2081006）</w:t>
      </w:r>
      <w:r>
        <w:rPr>
          <w:rFonts w:ascii="仿宋_GB2312" w:eastAsia="仿宋_GB2312" w:hint="eastAsia"/>
          <w:color w:val="000000"/>
          <w:sz w:val="32"/>
          <w:szCs w:val="32"/>
        </w:rPr>
        <w:t>支出决算37.49万元，完成预算100%。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12. 卫生健康支出（210）行政事业单位医疗（21011）行政单位医疗（2101101）</w:t>
      </w:r>
      <w:r>
        <w:rPr>
          <w:rFonts w:ascii="仿宋_GB2312" w:eastAsia="仿宋_GB2312" w:hint="eastAsia"/>
          <w:color w:val="000000"/>
          <w:sz w:val="32"/>
          <w:szCs w:val="32"/>
        </w:rPr>
        <w:t>支出决算33.50万元，完成预算100%。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13. 卫生健康支出（210）行政事业单位医疗（21011）事业单位医疗（2101102）</w:t>
      </w:r>
      <w:r>
        <w:rPr>
          <w:rFonts w:ascii="仿宋_GB2312" w:eastAsia="仿宋_GB2312" w:hint="eastAsia"/>
          <w:color w:val="000000"/>
          <w:sz w:val="32"/>
          <w:szCs w:val="32"/>
        </w:rPr>
        <w:t>支出决算17.70万元，完成预算100%。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14. 节能环保支出（211）其他节能环保支出（21199）其他节能环保支出（2119999）</w:t>
      </w:r>
      <w:r>
        <w:rPr>
          <w:rFonts w:ascii="仿宋_GB2312" w:eastAsia="仿宋_GB2312" w:hint="eastAsia"/>
          <w:color w:val="000000"/>
          <w:sz w:val="32"/>
          <w:szCs w:val="32"/>
        </w:rPr>
        <w:t>支出决算4.00万元，完成预算100%。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15. 农林水支出（213）农业农村（21301）事业运行（2130104）</w:t>
      </w:r>
      <w:r>
        <w:rPr>
          <w:rFonts w:ascii="仿宋_GB2312" w:eastAsia="仿宋_GB2312" w:hint="eastAsia"/>
          <w:color w:val="000000"/>
          <w:sz w:val="32"/>
          <w:szCs w:val="32"/>
        </w:rPr>
        <w:t>支出决算403.00万元，完成预算100%。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16. 农林水支出（213）扶贫（21305）农村基础设施建设（2130504）</w:t>
      </w:r>
      <w:r>
        <w:rPr>
          <w:rFonts w:ascii="仿宋_GB2312" w:eastAsia="仿宋_GB2312" w:hint="eastAsia"/>
          <w:color w:val="000000"/>
          <w:sz w:val="32"/>
          <w:szCs w:val="32"/>
        </w:rPr>
        <w:t>支出决算223.56万元，完成预算100%。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17. 农林水支出（213）扶贫（21305）社会发展（2130506）</w:t>
      </w:r>
      <w:r>
        <w:rPr>
          <w:rFonts w:ascii="仿宋_GB2312" w:eastAsia="仿宋_GB2312" w:hint="eastAsia"/>
          <w:color w:val="000000"/>
          <w:sz w:val="32"/>
          <w:szCs w:val="32"/>
        </w:rPr>
        <w:t>支出决算14.91万元，完成预算100%。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18. 农林水支出（213）扶贫（21305）其他扶贫支出（2130599）</w:t>
      </w:r>
      <w:r>
        <w:rPr>
          <w:rFonts w:ascii="仿宋_GB2312" w:eastAsia="仿宋_GB2312" w:hint="eastAsia"/>
          <w:color w:val="000000"/>
          <w:sz w:val="32"/>
          <w:szCs w:val="32"/>
        </w:rPr>
        <w:t>支出决算447.13万元，完成预算100%。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19. 农林水支出（213）农村综合改革（21307）对村民委员会和村党支部的补助（2130705）</w:t>
      </w:r>
      <w:r>
        <w:rPr>
          <w:rFonts w:ascii="仿宋_GB2312" w:eastAsia="仿宋_GB2312" w:hint="eastAsia"/>
          <w:color w:val="000000"/>
          <w:sz w:val="32"/>
          <w:szCs w:val="32"/>
        </w:rPr>
        <w:t>支出决算502.15万元，完成预算100%。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20.住房保障支出（221）住房改革支出（22102）住房公积金（2210201）</w:t>
      </w:r>
      <w:r>
        <w:rPr>
          <w:rFonts w:ascii="仿宋_GB2312" w:eastAsia="仿宋_GB2312" w:hint="eastAsia"/>
          <w:color w:val="000000"/>
          <w:sz w:val="32"/>
          <w:szCs w:val="32"/>
        </w:rPr>
        <w:t>支出决算76.29万元，完成预算100%。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21.住房保障支出（221）住房改革支出（22102）购房补贴（2210203）</w:t>
      </w:r>
      <w:r>
        <w:rPr>
          <w:rFonts w:ascii="仿宋_GB2312" w:eastAsia="仿宋_GB2312" w:hint="eastAsia"/>
          <w:color w:val="000000"/>
          <w:sz w:val="32"/>
          <w:szCs w:val="32"/>
        </w:rPr>
        <w:t>支出决算2.23万元，完成预算100%。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22.其他支出（229）其他支出（22999）其他支出（2299999）</w:t>
      </w:r>
      <w:r>
        <w:rPr>
          <w:rFonts w:ascii="仿宋_GB2312" w:eastAsia="仿宋_GB2312" w:hint="eastAsia"/>
          <w:color w:val="000000"/>
          <w:sz w:val="32"/>
          <w:szCs w:val="32"/>
        </w:rPr>
        <w:t>支出决算37.56万元，完成预算100%。</w:t>
      </w:r>
    </w:p>
    <w:p>
      <w:pPr>
        <w:tabs>
          <w:tab w:val="right" w:pos="8306"/>
        </w:tabs>
        <w:spacing w:line="576" w:lineRule="exact"/>
        <w:ind w:firstLineChars="200" w:firstLine="640"/>
        <w:outlineLvl w:val="1"/>
        <w:rPr>
          <w:rStyle w:val="2Char"/>
        </w:rPr>
      </w:pPr>
      <w:bookmarkStart w:id="69" w:name="_Toc79163618"/>
      <w:bookmarkStart w:id="70" w:name="_Toc15396608"/>
      <w:bookmarkStart w:id="71" w:name="_Toc79163868"/>
      <w:bookmarkStart w:id="72" w:name="_Toc15377214"/>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b w:val="0"/>
        </w:rPr>
        <w:tab/>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2021年一般公共预算财政拨款基本支出1181.50万元，其中：</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人员经费1117.96万元，主要包括：基本工资198.25万元、津贴补贴425.06万元、奖金69.15万元、绩效工资155.63万元、机关事业单位基本养老保险缴费68.40万元、职业年金缴费34.22万元、职工基本医疗保险缴费51.20万元、其他社会保障缴费3.03万元、生活补助30.28万元、奖励金0.11万元、住房公积金76.28万元、医疗费6.35万元。</w:t>
        <w:br/>
        <w:t>　　日常公用经费63.53万元，主要包括：办公费16.36万元、电费6.45万元、邮电费1.53万元、差旅费22.96万元、维修（护）费1.44万元、培训费0.49万元、专用燃料费3.37万元、公务用车运行维护费10.94万元。</w:t>
      </w:r>
    </w:p>
    <w:p>
      <w:pPr>
        <w:spacing w:line="576" w:lineRule="exact"/>
        <w:ind w:firstLineChars="200" w:firstLine="640"/>
        <w:outlineLvl w:val="1"/>
        <w:rPr>
          <w:rStyle w:val="2Char"/>
          <w:rFonts w:ascii="黑体" w:eastAsia="黑体"/>
          <w:b w:val="0"/>
        </w:rPr>
      </w:pPr>
      <w:bookmarkStart w:id="73" w:name="_Toc79163619"/>
      <w:bookmarkStart w:id="74" w:name="_Toc79163869"/>
      <w:bookmarkStart w:id="75" w:name="_Toc15377215"/>
      <w:bookmarkStart w:id="76"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pPr>
        <w:spacing w:line="576" w:lineRule="exact"/>
        <w:ind w:firstLineChars="200" w:firstLine="640"/>
        <w:outlineLvl w:val="2"/>
        <w:rPr>
          <w:rFonts w:ascii="楷体_GB2312" w:eastAsia="楷体_GB2312"/>
          <w:b/>
          <w:color w:val="000000"/>
          <w:sz w:val="32"/>
          <w:szCs w:val="32"/>
        </w:rPr>
      </w:pPr>
      <w:bookmarkStart w:id="77" w:name="_Toc15377216"/>
      <w:bookmarkStart w:id="78" w:name="_Toc79163870"/>
      <w:bookmarkStart w:id="79" w:name="_Toc79163620"/>
      <w:r>
        <w:rPr>
          <w:rFonts w:ascii="楷体_GB2312" w:eastAsia="楷体_GB2312" w:hint="eastAsia"/>
          <w:b/>
          <w:color w:val="000000"/>
          <w:sz w:val="32"/>
          <w:szCs w:val="32"/>
        </w:rPr>
        <w:t>（一）“三公”经费财政拨款支出决算总体情况说明</w:t>
      </w:r>
      <w:bookmarkEnd w:id="77"/>
      <w:bookmarkEnd w:id="78"/>
      <w:bookmarkEnd w:id="79"/>
    </w:p>
    <w:p>
      <w:pPr>
        <w:spacing w:line="576"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年“三公”经费财政拨款支出决算为10.94万元，完成预算100</w:t>
      </w:r>
      <w:r>
        <w:rPr>
          <w:rFonts w:ascii="仿宋" w:eastAsia="仿宋"/>
          <w:color w:val="000000"/>
          <w:sz w:val="32"/>
          <w:szCs w:val="32"/>
        </w:rPr>
        <w:t>%</w:t>
      </w:r>
      <w:r>
        <w:rPr>
          <w:rFonts w:ascii="仿宋" w:eastAsia="仿宋" w:hint="eastAsia"/>
          <w:color w:val="000000"/>
          <w:sz w:val="32"/>
          <w:szCs w:val="32"/>
        </w:rPr>
        <w:t>。</w:t>
      </w:r>
    </w:p>
    <w:p>
      <w:pPr>
        <w:spacing w:line="576" w:lineRule="exact"/>
        <w:ind w:firstLineChars="200" w:firstLine="640"/>
        <w:outlineLvl w:val="2"/>
        <w:rPr>
          <w:rFonts w:ascii="楷体_GB2312" w:eastAsia="楷体_GB2312"/>
          <w:b/>
          <w:color w:val="000000"/>
          <w:sz w:val="32"/>
          <w:szCs w:val="32"/>
        </w:rPr>
      </w:pPr>
      <w:bookmarkStart w:id="80" w:name="_Toc79163871"/>
      <w:bookmarkStart w:id="81" w:name="_Toc79163621"/>
      <w:bookmarkStart w:id="82" w:name="_Toc15377217"/>
      <w:r>
        <w:rPr>
          <w:rFonts w:ascii="楷体_GB2312" w:eastAsia="楷体_GB2312" w:hint="eastAsia"/>
          <w:b/>
          <w:color w:val="000000"/>
          <w:sz w:val="32"/>
          <w:szCs w:val="32"/>
        </w:rPr>
        <w:t>（二）“三公”经费财政拨款支出决算具体情况说明</w:t>
      </w:r>
      <w:bookmarkEnd w:id="80"/>
      <w:bookmarkEnd w:id="81"/>
      <w:bookmarkEnd w:id="82"/>
    </w:p>
    <w:p>
      <w:pPr>
        <w:spacing w:line="576"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年“三公”经费财政拨款支出10.94万元，因公出国（境）费支出决算0.00万元，占0.00</w:t>
      </w:r>
      <w:r>
        <w:rPr>
          <w:rFonts w:ascii="仿宋" w:eastAsia="仿宋"/>
          <w:color w:val="000000"/>
          <w:sz w:val="32"/>
          <w:szCs w:val="32"/>
        </w:rPr>
        <w:t>%</w:t>
      </w:r>
      <w:r>
        <w:rPr>
          <w:rFonts w:ascii="仿宋" w:eastAsia="仿宋" w:hint="eastAsia"/>
          <w:color w:val="000000"/>
          <w:sz w:val="32"/>
          <w:szCs w:val="32"/>
        </w:rPr>
        <w:t>；公务用车购置及运行维护费支出决算10.94万元，占100.00</w:t>
      </w:r>
      <w:r>
        <w:rPr>
          <w:rFonts w:ascii="仿宋" w:eastAsia="仿宋"/>
          <w:color w:val="000000"/>
          <w:sz w:val="32"/>
          <w:szCs w:val="32"/>
        </w:rPr>
        <w:t>%</w:t>
      </w:r>
      <w:r>
        <w:rPr>
          <w:rFonts w:ascii="仿宋" w:eastAsia="仿宋" w:hint="eastAsia"/>
          <w:color w:val="000000"/>
          <w:sz w:val="32"/>
          <w:szCs w:val="32"/>
        </w:rPr>
        <w:t>；公务接待费支出决算0.00万元，占0.00</w:t>
      </w:r>
      <w:r>
        <w:rPr>
          <w:rFonts w:ascii="仿宋" w:eastAsia="仿宋"/>
          <w:color w:val="000000"/>
          <w:sz w:val="32"/>
          <w:szCs w:val="32"/>
        </w:rPr>
        <w:t>%</w:t>
      </w:r>
      <w:r>
        <w:rPr>
          <w:rFonts w:ascii="仿宋" w:eastAsia="仿宋" w:hint="eastAsia"/>
          <w:color w:val="000000"/>
          <w:sz w:val="32"/>
          <w:szCs w:val="32"/>
        </w:rPr>
        <w:t>。具体情况如下：</w:t>
      </w: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：“三公”经费财政拨款支出结构）（饼状图）</w:t>
      </w:r>
    </w:p>
    <w:p>
      <w:pPr>
        <w:spacing w:line="600" w:lineRule="exact"/>
        <w:ind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30" behindDoc="0" locked="0" layoutInCell="1" hidden="0" allowOverlap="1">
            <wp:simplePos x="0" y="0"/>
            <wp:positionH relativeFrom="column">
              <wp:posOffset>0</wp:posOffset>
            </wp:positionH>
            <wp:positionV relativeFrom="paragraph">
              <wp:posOffset>0</wp:posOffset>
            </wp:positionV>
            <wp:extent cx="5274310" cy="3076575"/>
            <wp:effectExtent l="0" t="0" r="17" b="47"/>
            <wp:wrapSquare wrapText="bothSides"/>
            <wp:docPr id="7" name="图表 5"/>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576" w:lineRule="exact"/>
        <w:ind w:firstLineChars="200"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0.00万元，</w:t>
      </w:r>
      <w:r>
        <w:rPr>
          <w:rStyle w:val="32"/>
          <w:rFonts w:ascii="仿宋" w:eastAsia="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2020</w:t>
      </w:r>
      <w:r>
        <w:rPr>
          <w:rFonts w:ascii="仿宋_GB2312" w:eastAsia="仿宋_GB2312" w:hint="eastAsia"/>
          <w:color w:val="000000"/>
          <w:sz w:val="32"/>
          <w:szCs w:val="32"/>
        </w:rPr>
        <w:t>年增加0.00万元。</w:t>
      </w:r>
    </w:p>
    <w:p>
      <w:pPr>
        <w:spacing w:line="576" w:lineRule="exact"/>
        <w:ind w:firstLineChars="200"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10.94万元</w:t>
      </w:r>
      <w:r>
        <w:rPr>
          <w:rFonts w:ascii="仿宋_GB2312" w:eastAsia="仿宋_GB2312"/>
          <w:color w:val="000000"/>
          <w:sz w:val="32"/>
          <w:szCs w:val="32"/>
        </w:rPr>
        <w:t>,</w:t>
      </w:r>
      <w:r>
        <w:rPr>
          <w:rStyle w:val="32"/>
          <w:rFonts w:ascii="仿宋" w:eastAsia="仿宋" w:hint="eastAsia"/>
          <w:b w:val="0"/>
          <w:bCs/>
          <w:color w:val="000000"/>
          <w:sz w:val="32"/>
          <w:szCs w:val="32"/>
        </w:rPr>
        <w:t>完成预算100.00</w:t>
      </w:r>
      <w:r>
        <w:rPr>
          <w:rStyle w:val="32"/>
          <w:rFonts w:ascii="仿宋" w:eastAsia="仿宋"/>
          <w:b w:val="0"/>
          <w:bCs/>
          <w:color w:val="000000"/>
          <w:sz w:val="32"/>
          <w:szCs w:val="32"/>
        </w:rPr>
        <w:t>%</w:t>
      </w:r>
      <w:r>
        <w:rPr>
          <w:rStyle w:val="32"/>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年减少32.16万元，下降74.62</w:t>
      </w:r>
      <w:r>
        <w:rPr>
          <w:rFonts w:ascii="仿宋_GB2312" w:eastAsia="仿宋_GB2312"/>
          <w:color w:val="000000"/>
          <w:sz w:val="32"/>
          <w:szCs w:val="32"/>
        </w:rPr>
        <w:t>%</w:t>
      </w:r>
      <w:r>
        <w:rPr>
          <w:rFonts w:ascii="仿宋_GB2312" w:eastAsia="仿宋_GB2312" w:hint="eastAsia"/>
          <w:color w:val="000000"/>
          <w:sz w:val="32"/>
          <w:szCs w:val="32"/>
        </w:rPr>
        <w:t>。主要原因是2020年新购置一辆车，2021年只有公务用车运行维护费。</w:t>
      </w:r>
    </w:p>
    <w:p>
      <w:pPr>
        <w:spacing w:line="576"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0.00万元。全年按规定更新购置公务用车1辆，其中：轿车1辆、金额6.71万元，越野车0辆、金额0.00万元，载客汽车0辆、金额0.00万元。截至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月底，单位共有公务用车2辆，其中：轿车1辆、越野车0辆、载客汽车1辆。</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10.94万元。主要用于党委政府人大开展工作等所需的公务用车燃料费、维修费、过路过桥费、保险费等支出。</w:t>
      </w:r>
    </w:p>
    <w:p>
      <w:pPr>
        <w:spacing w:line="576" w:lineRule="exact"/>
        <w:ind w:firstLineChars="200"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0.00万元</w:t>
      </w:r>
      <w:r>
        <w:rPr>
          <w:rStyle w:val="32"/>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2020</w:t>
      </w:r>
      <w:r>
        <w:rPr>
          <w:rFonts w:ascii="仿宋_GB2312" w:eastAsia="仿宋_GB2312" w:hint="eastAsia"/>
          <w:color w:val="000000"/>
          <w:sz w:val="32"/>
          <w:szCs w:val="32"/>
        </w:rPr>
        <w:t>年增加0.00万元。</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国内公务接待支出</w:t>
      </w:r>
      <w:r>
        <w:rPr>
          <w:rFonts w:ascii="仿宋_GB2312" w:eastAsia="仿宋_GB2312" w:hint="eastAsia"/>
          <w:color w:val="000000"/>
          <w:sz w:val="32"/>
          <w:szCs w:val="32"/>
        </w:rPr>
        <w:t>0.00万元，国内公务接待0批次，0人次（不包括陪同人员），共计支出0.00万元。</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外事接待支出</w:t>
      </w:r>
      <w:r>
        <w:rPr>
          <w:rFonts w:ascii="仿宋_GB2312" w:eastAsia="仿宋_GB2312" w:hint="eastAsia"/>
          <w:color w:val="000000"/>
          <w:sz w:val="32"/>
          <w:szCs w:val="32"/>
        </w:rPr>
        <w:t>0.00万元，外事接待0批次，0人，共计支出0.00万元。</w:t>
      </w:r>
    </w:p>
    <w:p>
      <w:pPr>
        <w:spacing w:line="576" w:lineRule="exact"/>
        <w:ind w:firstLineChars="200" w:firstLine="640"/>
        <w:outlineLvl w:val="1"/>
        <w:rPr>
          <w:rStyle w:val="2Char"/>
          <w:rFonts w:ascii="黑体" w:eastAsia="黑体"/>
        </w:rPr>
      </w:pPr>
      <w:bookmarkStart w:id="83" w:name="_Toc15377218"/>
      <w:bookmarkStart w:id="84" w:name="_Toc15396610"/>
      <w:bookmarkStart w:id="85" w:name="_Toc79163622"/>
      <w:bookmarkStart w:id="86"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年政府性基金预算拨款支出0.90万元。</w:t>
      </w:r>
    </w:p>
    <w:p>
      <w:pPr>
        <w:numPr>
          <w:ilvl w:val="0"/>
          <w:numId w:val="2"/>
        </w:numPr>
        <w:spacing w:line="576" w:lineRule="exact"/>
        <w:ind w:left="0" w:firstLineChars="200" w:firstLine="640"/>
        <w:outlineLvl w:val="1"/>
        <w:rPr>
          <w:rStyle w:val="2Char"/>
          <w:rFonts w:ascii="黑体" w:eastAsia="黑体"/>
          <w:b w:val="0"/>
        </w:rPr>
      </w:pPr>
      <w:bookmarkStart w:id="87" w:name="_Toc79163623"/>
      <w:bookmarkStart w:id="88" w:name="_Toc15396611"/>
      <w:bookmarkStart w:id="89" w:name="_Toc79163873"/>
      <w:bookmarkStart w:id="90" w:name="_Toc15377219"/>
      <w:r>
        <w:rPr>
          <w:rStyle w:val="2Char"/>
          <w:rFonts w:ascii="黑体" w:eastAsia="黑体" w:hint="eastAsia"/>
          <w:b w:val="0"/>
        </w:rPr>
        <w:t>国有资本经营预算支出决算情况说明</w:t>
      </w:r>
      <w:bookmarkEnd w:id="87"/>
      <w:bookmarkEnd w:id="88"/>
      <w:bookmarkEnd w:id="89"/>
      <w:bookmarkEnd w:id="90"/>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年国有资本经营预算拨款支出0.00万元。</w:t>
      </w:r>
    </w:p>
    <w:p>
      <w:pPr>
        <w:spacing w:line="576" w:lineRule="exact"/>
        <w:ind w:firstLineChars="200" w:firstLine="640"/>
        <w:outlineLvl w:val="1"/>
        <w:rPr>
          <w:rStyle w:val="2Char"/>
          <w:rFonts w:ascii="黑体" w:eastAsia="黑体"/>
        </w:rPr>
      </w:pPr>
      <w:bookmarkStart w:id="91" w:name="_Toc15377221"/>
      <w:bookmarkStart w:id="92" w:name="_Toc79163624"/>
      <w:bookmarkStart w:id="93" w:name="_Toc79163874"/>
      <w:bookmarkStart w:id="94" w:name="_Toc15396612"/>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pPr>
        <w:spacing w:line="576" w:lineRule="exact"/>
        <w:ind w:firstLineChars="200" w:firstLine="640"/>
        <w:outlineLvl w:val="2"/>
        <w:rPr>
          <w:rFonts w:ascii="楷体_GB2312" w:eastAsia="楷体_GB2312"/>
          <w:color w:val="000000"/>
          <w:sz w:val="32"/>
          <w:szCs w:val="32"/>
        </w:rPr>
      </w:pPr>
      <w:bookmarkStart w:id="95" w:name="_Toc79163875"/>
      <w:bookmarkStart w:id="96" w:name="_Toc15377222"/>
      <w:bookmarkStart w:id="97" w:name="_Toc79163625"/>
      <w:r>
        <w:rPr>
          <w:rFonts w:ascii="楷体_GB2312" w:eastAsia="楷体_GB2312" w:hint="eastAsia"/>
          <w:b/>
          <w:color w:val="000000"/>
          <w:sz w:val="32"/>
          <w:szCs w:val="32"/>
        </w:rPr>
        <w:t>（一）机关运行经费支出情况</w:t>
      </w:r>
      <w:bookmarkEnd w:id="95"/>
      <w:bookmarkEnd w:id="96"/>
      <w:bookmarkEnd w:id="97"/>
    </w:p>
    <w:p>
      <w:pPr>
        <w:spacing w:line="576" w:lineRule="exact"/>
        <w:ind w:firstLineChars="200" w:firstLine="640"/>
        <w:rPr>
          <w:rFonts w:ascii="仿宋" w:eastAsia="仿宋"/>
          <w:b/>
          <w:color w:val="FF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年，茂县叠溪镇人民政府机关运行经费支出0.00万元，比</w:t>
      </w:r>
      <w:r>
        <w:rPr>
          <w:rFonts w:ascii="仿宋_GB2312" w:eastAsia="仿宋_GB2312"/>
          <w:color w:val="000000"/>
          <w:sz w:val="32"/>
          <w:szCs w:val="32"/>
        </w:rPr>
        <w:t>2020</w:t>
      </w:r>
      <w:r>
        <w:rPr>
          <w:rFonts w:ascii="仿宋_GB2312" w:eastAsia="仿宋_GB2312" w:hint="eastAsia"/>
          <w:color w:val="000000"/>
          <w:sz w:val="32"/>
          <w:szCs w:val="32"/>
        </w:rPr>
        <w:t>年增加0.00万元。</w:t>
      </w:r>
    </w:p>
    <w:p>
      <w:pPr>
        <w:autoSpaceDE w:val="0"/>
        <w:autoSpaceDN w:val="0"/>
        <w:adjustRightInd w:val="0"/>
        <w:spacing w:line="576" w:lineRule="exact"/>
        <w:ind w:firstLineChars="200" w:firstLine="640"/>
        <w:jc w:val="left"/>
        <w:outlineLvl w:val="2"/>
        <w:rPr>
          <w:rFonts w:ascii="楷体_GB2312" w:eastAsia="楷体_GB2312"/>
          <w:b/>
          <w:color w:val="000000"/>
          <w:sz w:val="32"/>
          <w:szCs w:val="32"/>
        </w:rPr>
      </w:pPr>
      <w:bookmarkStart w:id="98" w:name="_Toc79163626"/>
      <w:bookmarkStart w:id="99" w:name="_Toc15377223"/>
      <w:bookmarkStart w:id="100" w:name="_Toc79163876"/>
      <w:r>
        <w:rPr>
          <w:rFonts w:ascii="楷体_GB2312" w:eastAsia="楷体_GB2312" w:hint="eastAsia"/>
          <w:b/>
          <w:color w:val="000000"/>
          <w:sz w:val="32"/>
          <w:szCs w:val="32"/>
        </w:rPr>
        <w:t>（二）政府采购支出情况</w:t>
      </w:r>
      <w:bookmarkEnd w:id="98"/>
      <w:bookmarkEnd w:id="99"/>
      <w:bookmarkEnd w:id="100"/>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年，政府采购支出总额0.00万元，其中：政府采购货物支出0.00万元、政府采购工程支出0.00万元、政府采购服务支出0.00万元。授予中小企业合同金额0.00万元，其中：授予小微企业合同金额0.00万元。</w:t>
      </w:r>
    </w:p>
    <w:p>
      <w:pPr>
        <w:autoSpaceDE w:val="0"/>
        <w:autoSpaceDN w:val="0"/>
        <w:adjustRightInd w:val="0"/>
        <w:spacing w:line="576" w:lineRule="exact"/>
        <w:ind w:firstLineChars="200" w:firstLine="640"/>
        <w:jc w:val="left"/>
        <w:outlineLvl w:val="2"/>
        <w:rPr>
          <w:rFonts w:ascii="楷体_GB2312" w:eastAsia="楷体_GB2312"/>
          <w:b/>
          <w:color w:val="000000"/>
          <w:sz w:val="32"/>
          <w:szCs w:val="32"/>
        </w:rPr>
      </w:pPr>
      <w:bookmarkStart w:id="101" w:name="_Toc79163877"/>
      <w:bookmarkStart w:id="102" w:name="_Toc79163627"/>
      <w:bookmarkStart w:id="103" w:name="_Toc15377224"/>
      <w:r>
        <w:rPr>
          <w:rFonts w:ascii="楷体_GB2312" w:eastAsia="楷体_GB2312" w:hint="eastAsia"/>
          <w:b/>
          <w:color w:val="000000"/>
          <w:sz w:val="32"/>
          <w:szCs w:val="32"/>
        </w:rPr>
        <w:t>（三）国有资产占有使用情况</w:t>
      </w:r>
      <w:bookmarkEnd w:id="101"/>
      <w:bookmarkEnd w:id="102"/>
      <w:bookmarkEnd w:id="103"/>
    </w:p>
    <w:p>
      <w:pPr>
        <w:autoSpaceDE w:val="0"/>
        <w:autoSpaceDN w:val="0"/>
        <w:adjustRightInd w:val="0"/>
        <w:spacing w:line="576"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日，共有车辆2辆，其中：主要领导干部用车0辆、机要通信用车0辆、应急保障用车2辆、其他用车0辆。单价</w:t>
      </w:r>
      <w:r>
        <w:rPr>
          <w:rFonts w:ascii="仿宋_GB2312" w:eastAsia="仿宋_GB2312"/>
          <w:color w:val="000000"/>
          <w:sz w:val="32"/>
          <w:szCs w:val="32"/>
        </w:rPr>
        <w:t>50</w:t>
      </w:r>
      <w:r>
        <w:rPr>
          <w:rFonts w:ascii="仿宋_GB2312" w:eastAsia="仿宋_GB2312" w:hint="eastAsia"/>
          <w:color w:val="000000"/>
          <w:sz w:val="32"/>
          <w:szCs w:val="32"/>
        </w:rPr>
        <w:t>万元以上通用设备0台（套），单价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pPr>
        <w:autoSpaceDE w:val="0"/>
        <w:autoSpaceDN w:val="0"/>
        <w:adjustRightInd w:val="0"/>
        <w:spacing w:line="576" w:lineRule="exact"/>
        <w:ind w:firstLineChars="200" w:firstLine="640"/>
        <w:jc w:val="left"/>
        <w:outlineLvl w:val="2"/>
        <w:rPr>
          <w:rFonts w:ascii="楷体_GB2312" w:eastAsia="楷体_GB2312"/>
          <w:b/>
          <w:color w:val="000000"/>
          <w:sz w:val="32"/>
          <w:szCs w:val="32"/>
        </w:rPr>
      </w:pPr>
      <w:bookmarkStart w:id="104" w:name="_Toc79163878"/>
      <w:bookmarkStart w:id="105" w:name="_Toc79163628"/>
      <w:r>
        <w:rPr>
          <w:rFonts w:ascii="楷体_GB2312" w:eastAsia="楷体_GB2312" w:hint="eastAsia"/>
          <w:b/>
          <w:color w:val="000000"/>
          <w:sz w:val="32"/>
          <w:szCs w:val="32"/>
        </w:rPr>
        <w:t>（四）预算绩效管理情况</w:t>
      </w:r>
      <w:bookmarkEnd w:id="104"/>
      <w:bookmarkEnd w:id="105"/>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根据预算绩效管理要求，本单位在年初预算编制阶段，组织对“茂县叠溪镇2021年公共服务运行维护费”、“</w:t>
      </w:r>
      <w:r>
        <w:rPr>
          <w:rFonts w:ascii="仿宋_GB2312" w:eastAsia="仿宋_GB2312" w:hint="eastAsia"/>
        </w:rPr>
        <w:t xml:space="preserve"> </w:t>
      </w:r>
      <w:r>
        <w:rPr>
          <w:rFonts w:ascii="仿宋_GB2312" w:eastAsia="仿宋_GB2312" w:cs="仿宋_GB2312" w:hint="eastAsia"/>
          <w:sz w:val="32"/>
          <w:szCs w:val="32"/>
        </w:rPr>
        <w:t>茂县叠溪镇路域环境卫生整治”、“</w:t>
      </w:r>
      <w:r>
        <w:rPr>
          <w:rFonts w:ascii="仿宋_GB2312" w:eastAsia="仿宋_GB2312" w:hint="eastAsia"/>
        </w:rPr>
        <w:t xml:space="preserve"> </w:t>
      </w:r>
      <w:r>
        <w:rPr>
          <w:rFonts w:ascii="仿宋_GB2312" w:eastAsia="仿宋_GB2312" w:cs="仿宋_GB2312" w:hint="eastAsia"/>
          <w:sz w:val="32"/>
          <w:szCs w:val="32"/>
        </w:rPr>
        <w:t>茂县叠溪镇松坪沟村扶持壮大村集体经济”、“茂县叠溪镇居家养老服务”</w:t>
      </w:r>
      <w:r>
        <w:rPr>
          <w:rFonts w:ascii="Calibri" w:eastAsia="仿宋_GB2312" w:cs="仿宋_GB2312" w:hAnsi="Calibri" w:hint="eastAsia"/>
          <w:sz w:val="32"/>
          <w:szCs w:val="32"/>
        </w:rPr>
        <w:t>、“</w:t>
      </w:r>
      <w:r>
        <w:rPr>
          <w:rFonts w:ascii="仿宋_GB2312" w:eastAsia="仿宋_GB2312" w:cs="仿宋_GB2312" w:hint="eastAsia"/>
          <w:sz w:val="32"/>
          <w:szCs w:val="32"/>
        </w:rPr>
        <w:t xml:space="preserve"> 叠溪镇基层武装工作专项经费</w:t>
      </w:r>
      <w:r>
        <w:rPr>
          <w:rFonts w:ascii="Calibri" w:eastAsia="仿宋_GB2312" w:cs="仿宋_GB2312" w:hAnsi="Calibri" w:hint="eastAsia"/>
          <w:sz w:val="32"/>
          <w:szCs w:val="32"/>
        </w:rPr>
        <w:t>”</w:t>
      </w:r>
      <w:r>
        <w:rPr>
          <w:rFonts w:ascii="仿宋_GB2312" w:eastAsia="仿宋_GB2312" w:cs="仿宋_GB2312" w:hint="eastAsia"/>
          <w:sz w:val="32"/>
          <w:szCs w:val="32"/>
        </w:rPr>
        <w:t>开展了预算事前绩效评估，对5个项目编制了绩效目标，预算执行过程中，选取5个项目开展绩效监控，年终执行完毕后，对5个项目开展了绩效目标完成情况自评。</w:t>
      </w:r>
    </w:p>
    <w:p>
      <w:pPr>
        <w:spacing w:line="576" w:lineRule="exact"/>
        <w:ind w:firstLineChars="200" w:firstLine="640"/>
        <w:rPr>
          <w:rFonts w:ascii="仿宋_GB2312" w:eastAsia="仿宋_GB2312"/>
          <w:color w:val="000000"/>
          <w:sz w:val="32"/>
          <w:szCs w:val="32"/>
        </w:rPr>
      </w:pPr>
      <w:r>
        <w:rPr>
          <w:rFonts w:ascii="仿宋_GB2312" w:eastAsia="仿宋_GB2312" w:cs="仿宋_GB2312" w:hint="eastAsia"/>
          <w:sz w:val="32"/>
          <w:szCs w:val="32"/>
        </w:rPr>
        <w:t>我单位按要求对2021年部门整体支出开展绩效自评，</w:t>
      </w:r>
      <w:r>
        <w:rPr>
          <w:rFonts w:ascii="仿宋_GB2312" w:eastAsia="仿宋_GB2312" w:hint="eastAsia"/>
          <w:color w:val="000000"/>
          <w:sz w:val="32"/>
          <w:szCs w:val="32"/>
        </w:rPr>
        <w:t>从评价情况来看</w:t>
      </w:r>
      <w:r>
        <w:rPr>
          <w:rFonts w:ascii="仿宋" w:eastAsia="仿宋" w:cs="仿宋"/>
          <w:color w:val="000000"/>
          <w:kern w:val="0"/>
          <w:sz w:val="31"/>
          <w:szCs w:val="31"/>
        </w:rPr>
        <w:t>，</w:t>
      </w:r>
      <w:r>
        <w:rPr>
          <w:rFonts w:ascii="仿宋_GB2312" w:eastAsia="仿宋_GB2312" w:cs="仿宋_GB2312" w:hint="eastAsia"/>
          <w:sz w:val="32"/>
          <w:szCs w:val="32"/>
        </w:rPr>
        <w:t>2021年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spacing w:line="576" w:lineRule="exact"/>
        <w:ind w:firstLineChars="200" w:firstLine="640"/>
        <w:rPr>
          <w:rFonts w:ascii="仿宋_GB2312" w:eastAsia="仿宋_GB2312" w:cs="仿宋_GB2312"/>
          <w:sz w:val="32"/>
          <w:szCs w:val="32"/>
        </w:rPr>
      </w:pPr>
      <w:r>
        <w:rPr>
          <w:rFonts w:ascii="楷体_GB2312" w:eastAsia="楷体_GB2312" w:cs="楷体_GB2312"/>
          <w:b/>
          <w:sz w:val="32"/>
          <w:szCs w:val="32"/>
        </w:rPr>
        <w:t>1.</w:t>
      </w:r>
      <w:r>
        <w:rPr>
          <w:rFonts w:ascii="楷体_GB2312" w:eastAsia="楷体_GB2312" w:cs="楷体_GB2312" w:hint="eastAsia"/>
          <w:b/>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仿宋_GB2312" w:eastAsia="仿宋_GB2312" w:cs="仿宋_GB2312" w:hint="eastAsia"/>
          <w:sz w:val="32"/>
          <w:szCs w:val="32"/>
        </w:rPr>
        <w:t>本单位在</w:t>
      </w:r>
      <w:r>
        <w:rPr>
          <w:rFonts w:ascii="仿宋_GB2312" w:eastAsia="仿宋_GB2312" w:cs="仿宋_GB2312"/>
          <w:sz w:val="32"/>
          <w:szCs w:val="32"/>
        </w:rPr>
        <w:t>2021</w:t>
      </w:r>
      <w:r>
        <w:rPr>
          <w:rFonts w:ascii="仿宋_GB2312" w:eastAsia="仿宋_GB2312" w:cs="仿宋_GB2312" w:hint="eastAsia"/>
          <w:sz w:val="32"/>
          <w:szCs w:val="32"/>
        </w:rPr>
        <w:t>年度部门决算中反映“叠溪镇2021年公共服务运行维护费”“</w:t>
      </w:r>
      <w:r>
        <w:rPr>
          <w:rFonts w:ascii="仿宋_GB2312" w:eastAsia="仿宋_GB2312" w:hint="eastAsia"/>
        </w:rPr>
        <w:t xml:space="preserve"> </w:t>
      </w:r>
      <w:r>
        <w:rPr>
          <w:rFonts w:ascii="仿宋_GB2312" w:eastAsia="仿宋_GB2312" w:cs="仿宋_GB2312" w:hint="eastAsia"/>
          <w:sz w:val="32"/>
          <w:szCs w:val="32"/>
        </w:rPr>
        <w:t>茂县叠溪镇路域环境卫生整治”“</w:t>
      </w:r>
      <w:r>
        <w:rPr>
          <w:rFonts w:ascii="仿宋_GB2312" w:eastAsia="仿宋_GB2312" w:hint="eastAsia"/>
        </w:rPr>
        <w:t xml:space="preserve"> </w:t>
      </w:r>
      <w:r>
        <w:rPr>
          <w:rFonts w:ascii="仿宋_GB2312" w:eastAsia="仿宋_GB2312" w:cs="仿宋_GB2312" w:hint="eastAsia"/>
          <w:sz w:val="32"/>
          <w:szCs w:val="32"/>
        </w:rPr>
        <w:t>茂县叠溪镇松坪沟村扶持壮大村集体经济”等5个项目绩效目标实际完成情况。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）叠溪镇2021年公共服务运行维护费项目绩效目标完成情况综述。项目全年预算数264.00万元，执行数为</w:t>
      </w:r>
      <w:r>
        <w:rPr>
          <w:rFonts w:ascii="仿宋_GB2312" w:eastAsia="仿宋_GB2312" w:cs="仿宋_GB2312"/>
          <w:sz w:val="32"/>
          <w:szCs w:val="32"/>
        </w:rPr>
        <w:t>214.3</w:t>
      </w:r>
      <w:r>
        <w:rPr>
          <w:rFonts w:ascii="仿宋_GB2312" w:eastAsia="仿宋_GB2312" w:cs="仿宋_GB2312" w:hint="eastAsia"/>
          <w:sz w:val="32"/>
          <w:szCs w:val="32"/>
        </w:rPr>
        <w:t>4万元，完成预算的81.19</w:t>
      </w:r>
      <w:r>
        <w:rPr>
          <w:rFonts w:ascii="仿宋_GB2312" w:eastAsia="仿宋_GB2312" w:cs="仿宋_GB2312"/>
          <w:sz w:val="32"/>
          <w:szCs w:val="32"/>
        </w:rPr>
        <w:t>%</w:t>
      </w:r>
      <w:r>
        <w:rPr>
          <w:rFonts w:ascii="仿宋_GB2312" w:eastAsia="仿宋_GB2312" w:cs="仿宋_GB2312" w:hint="eastAsia"/>
          <w:sz w:val="32"/>
          <w:szCs w:val="32"/>
        </w:rPr>
        <w:t>。通过项目实施，完善基础设施建设，进一步改善了村级的基础设施和公共服务，扩大了农村基层民主，完善了村民自治，密切了党和政府同农民群众的关系，满足了农民群众的需求，也为我镇的村级项目建设起到了示范和引领作用。发现的主要问题：村基层组织活动和公共服务运行经费工程实施较慢、报账进度慢；村基层组织活动和公共服务运行经费资金管理需加强；村基层组织活动和公共服务运行经费缺乏有效的考核机制。下一步改进措施：强化组织领导。镇党委政府督促村两委会实施农村公共服务运行维护工程，未完成的村在保障工程质量的情况下加快工程进度。报账资料不完善的村督促其按照要求完善报账资料。严格资金管理。农村公共服务运行维护机制建设补助资金实行专款专用。严格督查考核。我镇党委、政府将农村公共服务运行维护工作纳入年度农业农村工作综合考核，考核结果将作为核定农村公共服务运行维护补助资金以及年度评优评先的重要依据。</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）茂县叠溪镇路域环境卫生整治项目绩效目标完成情况综述。项目全年预算数217.00万元，执行数为</w:t>
      </w:r>
      <w:r>
        <w:rPr>
          <w:rFonts w:ascii="仿宋_GB2312" w:eastAsia="仿宋_GB2312" w:cs="仿宋_GB2312" w:hint="eastAsia"/>
          <w:color w:val="000000"/>
          <w:kern w:val="0"/>
          <w:sz w:val="32"/>
          <w:szCs w:val="32"/>
          <w:shd w:val="clear" w:color="auto" w:fill="FFFFFF"/>
        </w:rPr>
        <w:t>217.00</w:t>
      </w:r>
      <w:r>
        <w:rPr>
          <w:rFonts w:ascii="仿宋_GB2312" w:eastAsia="仿宋_GB2312" w:cs="仿宋_GB2312" w:hint="eastAsia"/>
          <w:sz w:val="32"/>
          <w:szCs w:val="32"/>
        </w:rPr>
        <w:t>万元，完成预算的100.00</w:t>
      </w:r>
      <w:r>
        <w:rPr>
          <w:rFonts w:ascii="仿宋_GB2312" w:eastAsia="仿宋_GB2312" w:cs="仿宋_GB2312"/>
          <w:sz w:val="32"/>
          <w:szCs w:val="32"/>
        </w:rPr>
        <w:t>%</w:t>
      </w:r>
      <w:r>
        <w:rPr>
          <w:rFonts w:ascii="仿宋_GB2312" w:eastAsia="仿宋_GB2312" w:cs="仿宋_GB2312" w:hint="eastAsia"/>
          <w:sz w:val="32"/>
          <w:szCs w:val="32"/>
        </w:rPr>
        <w:t>。通过项目实施，以人居环境整治、文旅配套完善、环境品质提升为抓手，推动茂县生态环境、人居环境、旅游环境实现整体提升和阶段性质变。对标“美化”要求，采取庭院整治、建筑风貌改造、店招标牌规范等措施，实现村庄环境整洁清爽，结合乡村振兴示范建设，对沿线特色村落进行重点打造，为下步发展乡村旅游、引进新业态打下基础。</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3</w:t>
      </w:r>
      <w:r>
        <w:rPr>
          <w:rFonts w:ascii="仿宋_GB2312" w:eastAsia="仿宋_GB2312" w:cs="仿宋_GB2312" w:hint="eastAsia"/>
          <w:sz w:val="32"/>
          <w:szCs w:val="32"/>
        </w:rPr>
        <w:t>）茂县叠溪镇松坪沟村扶持壮大村集体经济项目绩效目标完成情况综述。项目全年预算数100.00万元，执行数为100.00万元，完成预算的100.00</w:t>
      </w:r>
      <w:r>
        <w:rPr>
          <w:rFonts w:ascii="仿宋_GB2312" w:eastAsia="仿宋_GB2312" w:cs="仿宋_GB2312"/>
          <w:sz w:val="32"/>
          <w:szCs w:val="32"/>
        </w:rPr>
        <w:t>%</w:t>
      </w:r>
      <w:r>
        <w:rPr>
          <w:rFonts w:ascii="仿宋_GB2312" w:eastAsia="仿宋_GB2312" w:cs="仿宋_GB2312" w:hint="eastAsia"/>
          <w:sz w:val="32"/>
          <w:szCs w:val="32"/>
        </w:rPr>
        <w:t>。通过项目实施，一是坚持党组织领导，在镇党委领导下，由村党支部牵头带领村民发展村级集体经济。二是坚持符合民心，村集体经济发展相关重大事宜需征求村民意见并经村民大会审议，获得超过三分之二村民同意后方可实施。三是坚持因地制宜，立足现有资源、气候、技术等条件，结合市场需求，确定发展项目。</w:t>
      </w:r>
    </w:p>
    <w:p>
      <w:pPr>
        <w:pStyle w:val="30"/>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（4）茂县叠溪镇居家养老服务项目绩效目标完成情况综述。项目全年预算数3.99万元，执行数为3.99万元，完成预算的100.00</w:t>
      </w:r>
      <w:r>
        <w:rPr>
          <w:rFonts w:ascii="仿宋_GB2312" w:eastAsia="仿宋_GB2312" w:cs="仿宋_GB2312"/>
          <w:sz w:val="32"/>
          <w:szCs w:val="32"/>
        </w:rPr>
        <w:t>%</w:t>
      </w:r>
      <w:r>
        <w:rPr>
          <w:rFonts w:ascii="仿宋_GB2312" w:eastAsia="仿宋_GB2312" w:cs="仿宋_GB2312" w:hint="eastAsia"/>
          <w:sz w:val="32"/>
          <w:szCs w:val="32"/>
        </w:rPr>
        <w:t>。通过项目实施，更好的关爱老年人，关注老人身体健康，根据老人需求，为老年人提供医疗保健、精神慰藉、生活照料、文化娱乐等</w:t>
      </w:r>
      <w:r>
        <w:rPr>
          <w:rFonts w:ascii="仿宋_GB2312" w:eastAsia="仿宋_GB2312" w:cs="仿宋_GB2312" w:hint="eastAsia"/>
          <w:kern w:val="0"/>
          <w:sz w:val="32"/>
          <w:szCs w:val="32"/>
        </w:rPr>
        <w:t>相关</w:t>
      </w:r>
      <w:r>
        <w:rPr>
          <w:rFonts w:ascii="仿宋_GB2312" w:eastAsia="仿宋_GB2312" w:cs="仿宋_GB2312" w:hint="eastAsia"/>
          <w:sz w:val="32"/>
          <w:szCs w:val="32"/>
        </w:rPr>
        <w:t>服务。因服务人群的特殊性，大多数老人行动不便、身体机能下降，以实用、贴合实际为目的，由茂县代阳中医诊所为我镇133位老年人提供服务提供疾病预防、康复护理、健康教育等居家养老服务，标准按300元/人进行预算。</w:t>
      </w:r>
    </w:p>
    <w:p>
      <w:pPr>
        <w:pStyle w:val="30"/>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（5）叠溪镇</w:t>
      </w:r>
      <w:r>
        <w:rPr>
          <w:rFonts w:ascii="仿宋_GB2312" w:cs="仿宋_GB2312" w:hAnsi="仿宋_GB2312" w:hint="eastAsia"/>
          <w:sz w:val="32"/>
          <w:szCs w:val="32"/>
        </w:rPr>
        <w:t>基层武装工作专项经费</w:t>
      </w:r>
      <w:r>
        <w:rPr>
          <w:rFonts w:ascii="仿宋_GB2312" w:eastAsia="仿宋_GB2312" w:cs="仿宋_GB2312" w:hint="eastAsia"/>
          <w:sz w:val="32"/>
          <w:szCs w:val="32"/>
        </w:rPr>
        <w:t>绩效完成情况综述。项目全年预算数5.00万元，执行数为5.00万元，完成预算的100%。通过项目实施，提升了当地民兵的身体素质及军队规范化的训练，有效提高年轻人生活质量，下一步改进措施：进一步统一思想、加强领导，完善制度、强化责任，改进措施、提高水平，把民兵工作做得更好。</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44"/>
                <w:szCs w:val="44"/>
              </w:rPr>
            </w:pPr>
            <w:r>
              <w:rPr>
                <w:rFonts w:ascii="黑体" w:eastAsia="黑体" w:cs="宋体" w:hint="eastAsia"/>
                <w:bCs/>
                <w:color w:val="000000"/>
                <w:kern w:val="0"/>
                <w:sz w:val="44"/>
                <w:szCs w:val="44"/>
              </w:rPr>
              <w:t>项目绩效目标完成情况表</w:t>
            </w:r>
            <w:r>
              <w:rPr>
                <w:rFonts w:ascii="宋体" w:cs="宋体"/>
                <w:b/>
                <w:bCs/>
                <w:color w:val="000000"/>
                <w:kern w:val="0"/>
                <w:sz w:val="44"/>
                <w:szCs w:val="44"/>
              </w:rPr>
              <w:br/>
            </w:r>
            <w:r>
              <w:rPr>
                <w:rFonts w:ascii="仿宋_GB2312" w:eastAsia="仿宋_GB2312" w:cs="宋体" w:hint="eastAsia"/>
                <w:color w:val="000000"/>
                <w:kern w:val="0"/>
                <w:sz w:val="44"/>
                <w:szCs w:val="44"/>
              </w:rPr>
              <w:t>（2021年度）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茂县叠溪镇2021年公共服务运行维护费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茂县叠溪镇人民政府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264.00万元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214.34万元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264.00万元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214.34万元</w:t>
            </w:r>
          </w:p>
        </w:tc>
      </w:tr>
      <w:tr>
        <w:trPr>
          <w:trHeight w:val="2328"/>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实际完成目标</w:t>
            </w:r>
          </w:p>
        </w:tc>
      </w:tr>
      <w:tr>
        <w:trPr>
          <w:trHeight w:val="2762"/>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sz w:val="24"/>
              </w:rPr>
            </w:pPr>
            <w:r>
              <w:rPr>
                <w:rFonts w:ascii="仿宋_GB2312" w:eastAsia="仿宋_GB2312" w:cs="宋体" w:hint="eastAsia"/>
                <w:color w:val="000000"/>
                <w:szCs w:val="21"/>
              </w:rPr>
              <w:t>农村基础设施和环境项目类的运行维护，包括村辖区内村道、组道、田间道理的维护和看管，沟渠养护（人工、材料、机具）；购置防雹弹村食品药品监管人员、网格化管理人员、人畜饮水管护人员、村保洁员、村发药品员、防烟花弹燃放人员等发放工资。</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sz w:val="24"/>
              </w:rPr>
            </w:pPr>
            <w:r>
              <w:rPr>
                <w:rFonts w:ascii="仿宋_GB2312" w:eastAsia="仿宋_GB2312" w:cs="宋体" w:hint="eastAsia"/>
                <w:color w:val="000000"/>
                <w:szCs w:val="21"/>
              </w:rPr>
              <w:t>农村基础设施和环境项目类的运行维护，包括村辖区内村道、组道、田间道理的维护和看管，沟渠养护（人工、材料、机具）；购置防雹弹村食品药品监管人员、网格化管理人员、人畜饮水管护人员、村保洁员、村发药品员、防烟花弹燃放人员等发放工资。</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村数量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13个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13个</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项目验收合格率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项目完工及时率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项目成本</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264.00万元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214.34万元</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kern w:val="0"/>
                <w:sz w:val="24"/>
              </w:rPr>
            </w:pPr>
            <w:r>
              <w:rPr>
                <w:rFonts w:ascii="仿宋_GB2312" w:eastAsia="仿宋_GB2312" w:cs="宋体" w:hint="eastAsia"/>
                <w:color w:val="000000"/>
                <w:kern w:val="0"/>
                <w:sz w:val="24"/>
              </w:rPr>
              <w:t>完善基础设施建设，进一步改善了村级的基础设施和公共服务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kern w:val="0"/>
                <w:sz w:val="24"/>
              </w:rPr>
            </w:pPr>
            <w:r>
              <w:rPr>
                <w:rFonts w:ascii="仿宋_GB2312" w:eastAsia="仿宋_GB2312" w:cs="宋体" w:hint="eastAsia"/>
                <w:color w:val="000000"/>
                <w:kern w:val="0"/>
                <w:sz w:val="24"/>
              </w:rPr>
              <w:t>完善基础设施建设，进一步改善了村级的基础设施和公共服务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kern w:val="0"/>
                <w:sz w:val="24"/>
              </w:rPr>
            </w:pPr>
            <w:r>
              <w:rPr>
                <w:rFonts w:ascii="仿宋_GB2312" w:eastAsia="仿宋_GB2312" w:cs="宋体" w:hint="eastAsia"/>
                <w:color w:val="000000"/>
                <w:kern w:val="0"/>
                <w:sz w:val="24"/>
              </w:rPr>
              <w:t>完善基础设施建设，进一步改善了村级的基础设施和公共服务</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满意度</w:t>
            </w:r>
          </w:p>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受益群众满意度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r>
    </w:tbl>
    <w:p>
      <w:pPr>
        <w:spacing w:line="580" w:lineRule="exact"/>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cs="宋体"/>
                <w:b/>
                <w:bCs/>
                <w:color w:val="000000"/>
                <w:kern w:val="0"/>
                <w:sz w:val="36"/>
                <w:szCs w:val="36"/>
              </w:rPr>
            </w:pPr>
          </w:p>
          <w:p>
            <w:pPr>
              <w:widowControl/>
              <w:jc w:val="center"/>
              <w:textAlignment w:val="center"/>
              <w:rPr>
                <w:rFonts w:ascii="宋体" w:cs="宋体"/>
                <w:color w:val="000000"/>
                <w:sz w:val="36"/>
                <w:szCs w:val="36"/>
              </w:rPr>
            </w:pPr>
            <w:r>
              <w:rPr>
                <w:rFonts w:ascii="黑体" w:eastAsia="黑体" w:cs="宋体" w:hint="eastAsia"/>
                <w:bCs/>
                <w:color w:val="000000"/>
                <w:kern w:val="0"/>
                <w:sz w:val="44"/>
                <w:szCs w:val="44"/>
              </w:rPr>
              <w:t>项目绩效目标完成情况表</w:t>
            </w:r>
            <w:r>
              <w:rPr>
                <w:rFonts w:ascii="黑体" w:eastAsia="黑体" w:cs="宋体"/>
                <w:bCs/>
                <w:color w:val="000000"/>
                <w:kern w:val="0"/>
                <w:sz w:val="36"/>
                <w:szCs w:val="36"/>
              </w:rPr>
              <w:br/>
            </w:r>
            <w:r>
              <w:rPr>
                <w:rFonts w:ascii="仿宋_GB2312" w:eastAsia="仿宋_GB2312" w:cs="宋体" w:hint="eastAsia"/>
                <w:color w:val="000000"/>
                <w:kern w:val="0"/>
                <w:sz w:val="44"/>
                <w:szCs w:val="44"/>
              </w:rPr>
              <w:t>（2021年度）</w:t>
            </w:r>
          </w:p>
        </w:tc>
      </w:tr>
      <w:tr>
        <w:trPr>
          <w:trHeight w:val="702"/>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茂县叠溪镇路域环境卫生整治项目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茂县叠溪镇人民政府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217.00万元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217.00万元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217.00万元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217.00万元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sz w:val="24"/>
              </w:rPr>
            </w:pPr>
            <w:r>
              <w:rPr>
                <w:rFonts w:ascii="仿宋_GB2312" w:eastAsia="仿宋_GB2312" w:cs="宋体" w:hint="eastAsia"/>
                <w:color w:val="000000"/>
                <w:szCs w:val="21"/>
              </w:rPr>
              <w:t>以人居环境整治、文旅配套完善、环境品质提升为抓手，推动茂县生态环境、人居环境、旅游环境实现整体提升和阶段性质变。对标“美化”要求，采取庭院整治、建筑风貌改造、店招标牌规范等措施，实现村庄环境整洁清爽，结合乡村振兴示范建设，对沿线特色村落进行重点打造，为下步发展乡村旅游、引进新业态打下基础。</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sz w:val="24"/>
              </w:rPr>
            </w:pPr>
            <w:r>
              <w:rPr>
                <w:rFonts w:ascii="仿宋_GB2312" w:eastAsia="仿宋_GB2312" w:cs="宋体" w:hint="eastAsia"/>
                <w:color w:val="000000"/>
                <w:szCs w:val="21"/>
              </w:rPr>
              <w:t>以人居环境整治、文旅配套完善、环境品质提升为抓手，推动茂县生态环境、人居环境、旅游环境实现整体提升和阶段性质变。对标“美化”要求，采取庭院整治、建筑风貌改造、店招标牌规范等措施，实现村庄环境整洁清爽，结合乡村振兴示范建设，对沿线特色村落进行重点打造，为下步发展乡村旅游、引进新业态打下基础。</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项目验收合格率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项目完工及时率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项目成本</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217.00万元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217.00万元</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color w:val="000000"/>
                <w:sz w:val="28"/>
                <w:szCs w:val="28"/>
              </w:rPr>
            </w:pPr>
            <w:r>
              <w:rPr>
                <w:rFonts w:ascii="仿宋_GB2312" w:eastAsia="仿宋_GB2312" w:cs="宋体" w:hint="eastAsia"/>
                <w:color w:val="000000"/>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left"/>
              <w:textAlignment w:val="top"/>
              <w:rPr>
                <w:rFonts w:ascii="仿宋_GB2312" w:eastAsia="仿宋_GB2312" w:cs="宋体"/>
                <w:color w:val="000000"/>
                <w:szCs w:val="21"/>
              </w:rPr>
            </w:pPr>
            <w:r>
              <w:rPr>
                <w:rFonts w:ascii="仿宋_GB2312" w:eastAsia="仿宋_GB2312" w:cs="宋体" w:hint="eastAsia"/>
                <w:color w:val="000000"/>
                <w:szCs w:val="21"/>
              </w:rPr>
              <w:t>改善我镇的环境卫生，提高生活质量，解决制约村经济发展的主要因素，</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left"/>
              <w:textAlignment w:val="bottom"/>
              <w:rPr>
                <w:rFonts w:ascii="仿宋_GB2312" w:eastAsia="仿宋_GB2312" w:cs="宋体"/>
                <w:color w:val="000000"/>
                <w:szCs w:val="21"/>
              </w:rPr>
            </w:pPr>
            <w:r>
              <w:rPr>
                <w:rFonts w:ascii="仿宋_GB2312" w:eastAsia="仿宋_GB2312" w:cs="宋体" w:hint="eastAsia"/>
                <w:color w:val="000000"/>
                <w:szCs w:val="21"/>
              </w:rPr>
              <w:t>改善我镇的环境卫生，提高生活质量，解决制约村经济发展的主要因素，</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left"/>
              <w:textAlignment w:val="bottom"/>
              <w:rPr>
                <w:rFonts w:ascii="仿宋_GB2312" w:eastAsia="仿宋_GB2312" w:cs="宋体"/>
                <w:color w:val="000000"/>
                <w:szCs w:val="21"/>
              </w:rPr>
            </w:pPr>
            <w:r>
              <w:rPr>
                <w:rFonts w:ascii="仿宋_GB2312" w:eastAsia="仿宋_GB2312" w:cs="宋体" w:hint="eastAsia"/>
                <w:color w:val="000000"/>
                <w:szCs w:val="21"/>
              </w:rPr>
              <w:t>改善我镇的环境卫生，提高生活质量，解决制约村经济发展的主要因素，</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生态效益指标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left"/>
              <w:textAlignment w:val="top"/>
              <w:rPr>
                <w:rFonts w:ascii="仿宋_GB2312" w:eastAsia="仿宋_GB2312" w:cs="宋体"/>
                <w:color w:val="000000"/>
                <w:szCs w:val="21"/>
              </w:rPr>
            </w:pPr>
            <w:r>
              <w:rPr>
                <w:rFonts w:ascii="仿宋_GB2312" w:eastAsia="仿宋_GB2312" w:cs="宋体" w:hint="eastAsia"/>
                <w:color w:val="000000"/>
                <w:szCs w:val="21"/>
              </w:rPr>
              <w:t>美化村容村貌，保护了我镇的生态环境，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left"/>
              <w:textAlignment w:val="top"/>
              <w:rPr>
                <w:rFonts w:ascii="仿宋_GB2312" w:eastAsia="仿宋_GB2312" w:cs="宋体"/>
                <w:color w:val="000000"/>
                <w:szCs w:val="21"/>
              </w:rPr>
            </w:pPr>
            <w:r>
              <w:rPr>
                <w:rFonts w:ascii="仿宋_GB2312" w:eastAsia="仿宋_GB2312" w:cs="宋体" w:hint="eastAsia"/>
                <w:color w:val="000000"/>
                <w:szCs w:val="21"/>
              </w:rPr>
              <w:t>美化村容村貌，保护了我镇的生态环境，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320" w:lineRule="exact"/>
              <w:jc w:val="left"/>
              <w:textAlignment w:val="top"/>
              <w:rPr>
                <w:rFonts w:ascii="仿宋_GB2312" w:eastAsia="仿宋_GB2312" w:cs="宋体"/>
                <w:color w:val="000000"/>
                <w:szCs w:val="21"/>
              </w:rPr>
            </w:pPr>
            <w:r>
              <w:rPr>
                <w:rFonts w:ascii="仿宋_GB2312" w:eastAsia="仿宋_GB2312" w:cs="宋体" w:hint="eastAsia"/>
                <w:color w:val="000000"/>
                <w:szCs w:val="21"/>
              </w:rPr>
              <w:t>美化村容村貌，保护了我镇的生态环境，</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满意度</w:t>
            </w:r>
          </w:p>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受益群众满意度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r>
    </w:tbl>
    <w:p>
      <w:pPr>
        <w:spacing w:line="580" w:lineRule="exact"/>
        <w:ind w:left="630"/>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93"/>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44"/>
                <w:szCs w:val="44"/>
              </w:rPr>
            </w:pPr>
            <w:r>
              <w:rPr>
                <w:rFonts w:ascii="黑体" w:eastAsia="黑体" w:cs="宋体" w:hint="eastAsia"/>
                <w:bCs/>
                <w:color w:val="000000"/>
                <w:kern w:val="0"/>
                <w:sz w:val="44"/>
                <w:szCs w:val="44"/>
              </w:rPr>
              <w:t>项目绩效目标完成情况表</w:t>
            </w:r>
            <w:r>
              <w:rPr>
                <w:rFonts w:ascii="宋体" w:cs="宋体"/>
                <w:b/>
                <w:bCs/>
                <w:color w:val="000000"/>
                <w:kern w:val="0"/>
                <w:sz w:val="44"/>
                <w:szCs w:val="44"/>
              </w:rPr>
              <w:br/>
            </w:r>
            <w:r>
              <w:rPr>
                <w:rFonts w:ascii="宋体" w:cs="宋体"/>
                <w:color w:val="000000"/>
                <w:kern w:val="0"/>
                <w:sz w:val="44"/>
                <w:szCs w:val="44"/>
              </w:rPr>
              <w:t>（2021</w:t>
            </w:r>
            <w:r>
              <w:rPr>
                <w:rFonts w:ascii="宋体" w:cs="宋体" w:hint="eastAsia"/>
                <w:color w:val="000000"/>
                <w:kern w:val="0"/>
                <w:sz w:val="44"/>
                <w:szCs w:val="44"/>
              </w:rPr>
              <w:t>年度</w:t>
            </w:r>
            <w:r>
              <w:rPr>
                <w:rFonts w:ascii="宋体" w:cs="宋体"/>
                <w:color w:val="000000"/>
                <w:kern w:val="0"/>
                <w:sz w:val="44"/>
                <w:szCs w:val="44"/>
              </w:rPr>
              <w:t>）</w:t>
            </w:r>
          </w:p>
        </w:tc>
      </w:tr>
      <w:tr>
        <w:trPr>
          <w:trHeight w:val="292"/>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茂县叠溪镇松坪沟村扶持壮大村集体经济项目</w:t>
            </w:r>
          </w:p>
        </w:tc>
      </w:tr>
      <w:tr>
        <w:trPr>
          <w:trHeight w:val="292"/>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茂县叠溪镇人民政府</w:t>
            </w:r>
          </w:p>
        </w:tc>
      </w:tr>
      <w:tr>
        <w:trPr>
          <w:trHeight w:val="29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100.00万元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100.00万元</w:t>
            </w:r>
          </w:p>
        </w:tc>
      </w:tr>
      <w:tr>
        <w:trPr>
          <w:trHeight w:val="292"/>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100.00万元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100.00万元</w:t>
            </w:r>
          </w:p>
        </w:tc>
      </w:tr>
      <w:tr>
        <w:trPr>
          <w:trHeight w:val="1597"/>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color w:val="000000"/>
                <w:sz w:val="24"/>
              </w:rPr>
            </w:pPr>
          </w:p>
        </w:tc>
      </w:tr>
      <w:tr>
        <w:trPr>
          <w:trHeight w:val="29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实际完成目标</w:t>
            </w:r>
          </w:p>
        </w:tc>
      </w:tr>
      <w:tr>
        <w:trPr>
          <w:trHeight w:val="1225"/>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sz w:val="24"/>
              </w:rPr>
            </w:pPr>
            <w:r>
              <w:rPr>
                <w:rFonts w:ascii="仿宋_GB2312" w:eastAsia="仿宋_GB2312" w:cs="宋体" w:hint="eastAsia"/>
                <w:color w:val="000000"/>
                <w:szCs w:val="21"/>
              </w:rPr>
              <w:t>一是坚持党组织领导，在镇党委领导下，由村党支部牵头带领村民发展村级集体经济。二是坚持符合民心，村集体经济发展相关重大事宜需征求村民意见并经村民大会审议，获得超过三分之二村民同意后方可实施。三是坚持因地制宜，立足现有资源、气候、技术等条件，结合市场需求，确定发展项目。</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sz w:val="24"/>
              </w:rPr>
            </w:pPr>
            <w:r>
              <w:rPr>
                <w:rFonts w:ascii="仿宋_GB2312" w:eastAsia="仿宋_GB2312" w:cs="宋体" w:hint="eastAsia"/>
                <w:color w:val="000000"/>
                <w:szCs w:val="21"/>
              </w:rPr>
              <w:t>一是坚持党组织领导，在镇党委领导下，由村党支部牵头带领村民发展村级集体经济。二是坚持符合民心，村集体经济发展相关重大事宜需征求村民意见并经村民大会审议，获得超过三分之二村民同意后方可实施。三是坚持因地制宜，立足现有资源、气候、技术等条件，结合市场需求，确定发展项目。</w:t>
            </w:r>
          </w:p>
        </w:tc>
      </w:tr>
      <w:tr>
        <w:trPr>
          <w:trHeight w:val="894"/>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实际完成指标值（包含数字及文字描述）</w:t>
            </w:r>
          </w:p>
        </w:tc>
      </w:tr>
      <w:tr>
        <w:trPr>
          <w:trHeight w:val="100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村数量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1个</w:t>
            </w:r>
          </w:p>
        </w:tc>
      </w:tr>
      <w:tr>
        <w:trPr>
          <w:trHeight w:val="1371"/>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项目验收合格率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10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项目完工及时率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10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项目成本</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100.00万元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100.34万元</w:t>
            </w:r>
          </w:p>
        </w:tc>
      </w:tr>
      <w:tr>
        <w:trPr>
          <w:trHeight w:val="110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发展村集体经济，提高收入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发展村集体经济，提高收入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发展村集体经济，提高收入</w:t>
            </w:r>
          </w:p>
        </w:tc>
      </w:tr>
      <w:tr>
        <w:trPr>
          <w:trHeight w:val="111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满意度</w:t>
            </w:r>
          </w:p>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受益群众满意度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r>
    </w:tbl>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44"/>
                <w:szCs w:val="44"/>
              </w:rPr>
            </w:pPr>
            <w:r>
              <w:rPr>
                <w:rFonts w:ascii="黑体" w:eastAsia="黑体" w:cs="宋体" w:hint="eastAsia"/>
                <w:bCs/>
                <w:color w:val="000000"/>
                <w:kern w:val="0"/>
                <w:sz w:val="44"/>
                <w:szCs w:val="44"/>
              </w:rPr>
              <w:t>项目绩效目标完成情况表</w:t>
            </w:r>
            <w:r>
              <w:rPr>
                <w:rFonts w:ascii="宋体" w:cs="宋体"/>
                <w:b/>
                <w:bCs/>
                <w:color w:val="000000"/>
                <w:kern w:val="0"/>
                <w:sz w:val="44"/>
                <w:szCs w:val="44"/>
              </w:rPr>
              <w:br/>
            </w:r>
            <w:r>
              <w:rPr>
                <w:rFonts w:ascii="宋体" w:cs="宋体"/>
                <w:color w:val="000000"/>
                <w:kern w:val="0"/>
                <w:sz w:val="44"/>
                <w:szCs w:val="44"/>
              </w:rPr>
              <w:t>（2021</w:t>
            </w:r>
            <w:r>
              <w:rPr>
                <w:rFonts w:ascii="宋体" w:cs="宋体" w:hint="eastAsia"/>
                <w:color w:val="000000"/>
                <w:kern w:val="0"/>
                <w:sz w:val="44"/>
                <w:szCs w:val="44"/>
              </w:rPr>
              <w:t>年度</w:t>
            </w:r>
            <w:r>
              <w:rPr>
                <w:rFonts w:ascii="宋体" w:cs="宋体"/>
                <w:color w:val="000000"/>
                <w:kern w:val="0"/>
                <w:sz w:val="44"/>
                <w:szCs w:val="44"/>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茂县叠溪镇居家养老服务项目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茂县叠溪镇人民政府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3.99万元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3.99万元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3.99万元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3.99万元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sz w:val="24"/>
              </w:rPr>
            </w:pPr>
            <w:r>
              <w:rPr>
                <w:rFonts w:ascii="仿宋_GB2312" w:eastAsia="仿宋_GB2312" w:cs="宋体" w:hint="eastAsia"/>
                <w:color w:val="000000"/>
                <w:szCs w:val="21"/>
              </w:rPr>
              <w:t>更好的关爱老年人，关注老人身体健康，根据老人需求，为老年人提供医疗保健、精神慰藉、生活照料、文化娱乐等相关服务</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宋体"/>
                <w:color w:val="000000"/>
                <w:sz w:val="24"/>
              </w:rPr>
            </w:pPr>
            <w:r>
              <w:rPr>
                <w:rFonts w:ascii="仿宋_GB2312" w:eastAsia="仿宋_GB2312" w:cs="宋体" w:hint="eastAsia"/>
                <w:color w:val="000000"/>
                <w:szCs w:val="21"/>
              </w:rPr>
              <w:t>更好的关爱老年人，关注老人身体健康，根据老人需求，为老年人提供医疗保健、精神慰藉、生活照料、文化娱乐等相关服务</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服务对象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133人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133人</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项目验收合格率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项目完工及时率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项目成本</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3.99万元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3.99万元</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szCs w:val="21"/>
              </w:rPr>
              <w:t>更好的关爱老年人，关注老人身体健康，根据老人需求，为老年人提供医疗保健、精神慰藉、生活照料、文化娱乐等相关服务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szCs w:val="21"/>
              </w:rPr>
              <w:t>更好的关爱老年人，关注老人身体健康，根据老人需求，为老年人提供医疗保健、精神慰藉、生活照料、文化娱乐等相关服务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szCs w:val="21"/>
              </w:rPr>
              <w:t>更好的关爱老年人，关注老人身体健康，根据老人需求，为老年人提供医疗保健、精神慰藉、生活照料、文化娱乐等相关服务</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满意度</w:t>
            </w:r>
          </w:p>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受益群众满意度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r>
    </w:tbl>
    <w:p>
      <w:pPr>
        <w:spacing w:line="580" w:lineRule="exact"/>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44"/>
                <w:szCs w:val="44"/>
              </w:rPr>
            </w:pPr>
            <w:r>
              <w:rPr>
                <w:rFonts w:ascii="黑体" w:eastAsia="黑体" w:cs="宋体" w:hint="eastAsia"/>
                <w:bCs/>
                <w:color w:val="000000"/>
                <w:kern w:val="0"/>
                <w:sz w:val="44"/>
                <w:szCs w:val="44"/>
              </w:rPr>
              <w:t>项目绩效目标完成情况表</w:t>
            </w:r>
            <w:r>
              <w:rPr>
                <w:rFonts w:ascii="宋体" w:cs="宋体"/>
                <w:b/>
                <w:bCs/>
                <w:color w:val="000000"/>
                <w:kern w:val="0"/>
                <w:sz w:val="44"/>
                <w:szCs w:val="44"/>
              </w:rPr>
              <w:br/>
            </w:r>
            <w:r>
              <w:rPr>
                <w:rFonts w:ascii="宋体" w:cs="宋体"/>
                <w:color w:val="000000"/>
                <w:kern w:val="0"/>
                <w:sz w:val="44"/>
                <w:szCs w:val="44"/>
              </w:rPr>
              <w:t>（2021</w:t>
            </w:r>
            <w:r>
              <w:rPr>
                <w:rFonts w:ascii="宋体" w:cs="宋体" w:hint="eastAsia"/>
                <w:color w:val="000000"/>
                <w:kern w:val="0"/>
                <w:sz w:val="44"/>
                <w:szCs w:val="44"/>
              </w:rPr>
              <w:t>年度</w:t>
            </w:r>
            <w:r>
              <w:rPr>
                <w:rFonts w:ascii="宋体" w:cs="宋体"/>
                <w:color w:val="000000"/>
                <w:kern w:val="0"/>
                <w:sz w:val="44"/>
                <w:szCs w:val="44"/>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仿宋_GB2312" w:hint="eastAsia"/>
                <w:sz w:val="24"/>
              </w:rPr>
              <w:t>叠溪镇基层武装工作专项经费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茂县叠溪镇人民政府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5.00万元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5.00万元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5.00万元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5.00万元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Cs w:val="21"/>
              </w:rPr>
              <w:t>提升了当地民兵的身体素质及军队规范化的训练，有效提高年轻人生活质量，下一步改进措施：进一步统一思想、加强领导，完善制度、强化责任，改进措施、提高水平，把民兵工作做得更好。</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Cs w:val="21"/>
              </w:rPr>
              <w:t>提升了当地民兵的身体素质及军队规范化的训练，有效提高年轻人生活质量，下一步改进措施：进一步统一思想、加强领导，完善制度、强化责任，改进措施、提高水平，把民兵工作做得更好。</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村数量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13个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13个</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项目验收合格率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项目完工及时率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项目成本</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5.00万元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5.00万元</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szCs w:val="21"/>
              </w:rPr>
              <w:t>提升了当地民兵的身体素质及军队规范化的训练，有效提高年轻人生活质量，下一步改进措施：进一步统一思想、加强领导，完善制度、强化责任，改进措施、提高水平，把民兵工作做得更好。</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szCs w:val="21"/>
              </w:rPr>
              <w:t>提升了当地民兵的身体素质及军队规范化的训练，有效提高年轻人生活质量，下一步改进措施：进一步统一思想、加强领导，完善制度、强化责任，改进措施、提高水平，把民兵工作做得更好。</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szCs w:val="21"/>
              </w:rPr>
              <w:t>提升了当地民兵的身体素质及军队规范化的训练，有效提高年轻人生活质量，下一步改进措施：进一步统一思想、加强领导，完善制度、强化责任，改进措施、提高水平，把民兵工作做得更好。</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满意度</w:t>
            </w:r>
          </w:p>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受益群众满意度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color w:val="000000"/>
                <w:kern w:val="0"/>
                <w:sz w:val="24"/>
              </w:rPr>
            </w:pPr>
            <w:r>
              <w:rPr>
                <w:rFonts w:ascii="仿宋_GB2312" w:eastAsia="仿宋_GB2312" w:cs="宋体" w:hint="eastAsia"/>
                <w:color w:val="000000"/>
                <w:kern w:val="0"/>
                <w:sz w:val="24"/>
              </w:rPr>
              <w:t>≥95%</w:t>
            </w:r>
          </w:p>
        </w:tc>
      </w:tr>
    </w:tbl>
    <w:p>
      <w:pPr>
        <w:pStyle w:val="30"/>
        <w:widowControl/>
        <w:spacing w:line="500" w:lineRule="exact"/>
        <w:rPr>
          <w:rFonts w:ascii="仿宋_GB2312" w:eastAsia="仿宋_GB2312" w:cs="仿宋_GB2312"/>
          <w:sz w:val="32"/>
          <w:szCs w:val="32"/>
        </w:rPr>
      </w:pPr>
    </w:p>
    <w:p>
      <w:pPr>
        <w:spacing w:line="576" w:lineRule="exact"/>
        <w:ind w:left="630"/>
        <w:rPr>
          <w:rFonts w:ascii="仿宋_GB2312" w:eastAsia="仿宋_GB2312" w:cs="仿宋_GB2312"/>
          <w:b/>
          <w:sz w:val="32"/>
          <w:szCs w:val="32"/>
        </w:rPr>
      </w:pPr>
      <w:r>
        <w:rPr>
          <w:rFonts w:ascii="楷体_GB2312" w:eastAsia="楷体_GB2312" w:cs="楷体_GB2312"/>
          <w:b/>
          <w:sz w:val="32"/>
          <w:szCs w:val="32"/>
        </w:rPr>
        <w:t>2.</w:t>
      </w:r>
      <w:r>
        <w:rPr>
          <w:rFonts w:ascii="楷体_GB2312" w:eastAsia="楷体_GB2312" w:cs="楷体_GB2312" w:hint="eastAsia"/>
          <w:b/>
          <w:sz w:val="32"/>
          <w:szCs w:val="32"/>
        </w:rPr>
        <w:t>部门绩效评价结果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年部门整体支出绩效评价情况开展自评，《茂县叠溪镇人民政府</w:t>
      </w:r>
      <w:r>
        <w:rPr>
          <w:rFonts w:ascii="仿宋_GB2312" w:eastAsia="仿宋_GB2312" w:cs="仿宋_GB2312"/>
          <w:sz w:val="32"/>
          <w:szCs w:val="32"/>
        </w:rPr>
        <w:t>2021</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spacing w:line="576" w:lineRule="exact"/>
        <w:ind w:firstLineChars="200" w:firstLine="640"/>
        <w:rPr>
          <w:rFonts w:ascii="仿宋_GB2312" w:eastAsia="仿宋_GB2312"/>
          <w:b/>
          <w:color w:val="000000"/>
          <w:sz w:val="32"/>
          <w:szCs w:val="32"/>
        </w:rPr>
      </w:pPr>
      <w:r>
        <w:rPr>
          <w:rFonts w:ascii="仿宋_GB2312" w:eastAsia="仿宋_GB2312" w:cs="仿宋_GB2312" w:hint="eastAsia"/>
          <w:sz w:val="32"/>
          <w:szCs w:val="32"/>
        </w:rPr>
        <w:t>本部门自行组织对“茂县叠溪镇2021年公共服务运行维护费”、“</w:t>
      </w:r>
      <w:r>
        <w:rPr>
          <w:rFonts w:ascii="仿宋_GB2312" w:eastAsia="仿宋_GB2312" w:hint="eastAsia"/>
        </w:rPr>
        <w:t xml:space="preserve"> </w:t>
      </w:r>
      <w:r>
        <w:rPr>
          <w:rFonts w:ascii="仿宋_GB2312" w:eastAsia="仿宋_GB2312" w:cs="仿宋_GB2312" w:hint="eastAsia"/>
          <w:sz w:val="32"/>
          <w:szCs w:val="32"/>
        </w:rPr>
        <w:t>茂县叠溪镇路域环境卫生整治”、“</w:t>
      </w:r>
      <w:r>
        <w:rPr>
          <w:rFonts w:ascii="仿宋_GB2312" w:eastAsia="仿宋_GB2312" w:hint="eastAsia"/>
        </w:rPr>
        <w:t xml:space="preserve"> </w:t>
      </w:r>
      <w:r>
        <w:rPr>
          <w:rFonts w:ascii="仿宋_GB2312" w:eastAsia="仿宋_GB2312" w:cs="仿宋_GB2312" w:hint="eastAsia"/>
          <w:sz w:val="32"/>
          <w:szCs w:val="32"/>
        </w:rPr>
        <w:t>茂县叠溪镇松坪沟村扶持壮大村集体经济”、“茂县叠溪镇居家养老服务”</w:t>
      </w:r>
      <w:r>
        <w:rPr>
          <w:rFonts w:ascii="Calibri" w:eastAsia="仿宋_GB2312" w:cs="仿宋_GB2312" w:hAnsi="Calibri" w:hint="eastAsia"/>
          <w:sz w:val="32"/>
          <w:szCs w:val="32"/>
        </w:rPr>
        <w:t>、“</w:t>
      </w:r>
      <w:r>
        <w:rPr>
          <w:rFonts w:ascii="仿宋_GB2312" w:eastAsia="仿宋_GB2312" w:cs="仿宋_GB2312" w:hint="eastAsia"/>
          <w:sz w:val="32"/>
          <w:szCs w:val="32"/>
        </w:rPr>
        <w:t xml:space="preserve"> 叠溪镇</w:t>
      </w:r>
      <w:r>
        <w:rPr>
          <w:rFonts w:ascii="仿宋_GB2312" w:cs="仿宋_GB2312" w:hAnsi="仿宋_GB2312" w:hint="eastAsia"/>
          <w:sz w:val="32"/>
          <w:szCs w:val="32"/>
        </w:rPr>
        <w:t>基层武装工作专项经费</w:t>
      </w:r>
      <w:r>
        <w:rPr>
          <w:rFonts w:ascii="Calibri" w:eastAsia="仿宋_GB2312" w:cs="仿宋_GB2312" w:hAnsi="Calibri" w:hint="eastAsia"/>
          <w:sz w:val="32"/>
          <w:szCs w:val="32"/>
        </w:rPr>
        <w:t>”</w:t>
      </w:r>
      <w:r>
        <w:rPr>
          <w:rFonts w:ascii="仿宋_GB2312" w:eastAsia="仿宋_GB2312" w:cs="仿宋_GB2312" w:hint="eastAsia"/>
          <w:sz w:val="32"/>
          <w:szCs w:val="32"/>
        </w:rPr>
        <w:t>项目开展了绩效评价，《茂县叠溪镇人民政府项目</w:t>
      </w:r>
      <w:r>
        <w:rPr>
          <w:rFonts w:ascii="仿宋_GB2312" w:eastAsia="仿宋_GB2312" w:cs="仿宋_GB2312"/>
          <w:sz w:val="32"/>
          <w:szCs w:val="32"/>
        </w:rPr>
        <w:t>2021</w:t>
      </w:r>
      <w:r>
        <w:rPr>
          <w:rFonts w:ascii="仿宋_GB2312" w:eastAsia="仿宋_GB2312" w:cs="仿宋_GB2312" w:hint="eastAsia"/>
          <w:sz w:val="32"/>
          <w:szCs w:val="32"/>
        </w:rPr>
        <w:t>年绩效评价报告》见附件（附件</w:t>
      </w:r>
      <w:r>
        <w:rPr>
          <w:rFonts w:ascii="仿宋_GB2312" w:eastAsia="仿宋_GB2312" w:cs="仿宋_GB2312"/>
          <w:sz w:val="32"/>
          <w:szCs w:val="32"/>
        </w:rPr>
        <w:t>2</w:t>
      </w:r>
      <w:r>
        <w:rPr>
          <w:rFonts w:ascii="仿宋_GB2312" w:eastAsia="仿宋_GB2312" w:cs="仿宋_GB2312" w:hint="eastAsia"/>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spacing w:line="576" w:lineRule="exact"/>
        <w:jc w:val="center"/>
        <w:outlineLvl w:val="0"/>
        <w:rPr>
          <w:rStyle w:val="1Char"/>
          <w:rFonts w:ascii="方正小标宋简体" w:eastAsia="方正小标宋简体"/>
          <w:b w:val="0"/>
        </w:rPr>
      </w:pPr>
      <w:bookmarkStart w:id="106" w:name="_Toc79163629"/>
      <w:bookmarkStart w:id="107" w:name="_Toc15377225"/>
      <w:bookmarkStart w:id="108" w:name="_Toc79163879"/>
      <w:bookmarkStart w:id="109" w:name="_Toc15396613"/>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bookmarkEnd w:id="106"/>
      <w:bookmarkEnd w:id="107"/>
      <w:bookmarkEnd w:id="108"/>
      <w:bookmarkEnd w:id="109"/>
    </w:p>
    <w:p>
      <w:pPr>
        <w:spacing w:line="576" w:lineRule="exact"/>
        <w:jc w:val="left"/>
        <w:rPr>
          <w:rFonts w:ascii="宋体"/>
          <w:b/>
          <w:color w:val="000000"/>
          <w:sz w:val="44"/>
          <w:szCs w:val="44"/>
        </w:rPr>
      </w:pPr>
    </w:p>
    <w:p>
      <w:pPr>
        <w:pStyle w:val="37"/>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7"/>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7"/>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7"/>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37"/>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p>
    <w:p>
      <w:pPr>
        <w:pStyle w:val="37"/>
        <w:spacing w:line="576"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pPr>
        <w:pStyle w:val="37"/>
        <w:spacing w:line="576"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37"/>
        <w:spacing w:line="576"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9.一般公共服务支出（201）人大事务（20101）代表工作（2010108）：反映人大代表开展各类视察等方面的支出。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10.一般公共服务支出（201）政府办公厅（室）及相关机构事务（20103）行政运行（2010301）：反映行政单位（包括实行公务员管理的事业单位）的基本支出。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11.一般公共服务支出（201）政府办公厅（室）及相关机构事务（20103）其他政府办公厅（室）及相关机构事务支出（2010399）：反映除上述项目以外的其他政府办公厅（室）及相关机构事务支出。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12.一般公共服务支出（201）财政事务（20106）事业运行（2010650）：反映事业单位的基本支出，不包括行政单位（包括实行公务员管理的事业单位）后勤服务中心、医务室等附属事业单位。</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13.一般公共服务支出（201）党委办公厅（室）及相关机构事务（20131）行政运行（2013101）：反映行政单位（包括实行公务员管理的事业单位）的基本支出。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14.国防支出（203）国防动员（20306）民兵（2030607）:反映用于民兵建设与管理等方面的支出。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15.文化旅游体育与传媒支出（207）其他文化旅游体育与传媒支出（20799）其他文化旅游体育与传媒支出（2079999）:反映除上述项目以外其他用于文化旅游体育与传媒方面的支出。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16.社会保障和就业支出（208）行政事业单位养老支出（20805）机关事业单位基本养老保险缴费支出（2080505）：反映机关事业单位实施养老保险制度由单位缴纳的基本养老保险费支出。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17.社会保障和就业支出（208）行政事业单位养老支出（20805）机关事业单位职业年金缴费支出（2080506）:反映机关事业单位实施养老保险制度由单位实际缴纳的职业年金支出。</w:t>
      </w:r>
    </w:p>
    <w:p>
      <w:pPr>
        <w:tabs>
          <w:tab w:val="right" w:pos="8306"/>
        </w:tabs>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18.社会保障和就业支出（208）社会福利（20810）老年福利（2081002）：反映对老年人提供福利服务方面的支出，包括为经济困难的高龄、失能等老年人提供基本养老服务保障的资金补助等支出。</w:t>
      </w:r>
    </w:p>
    <w:p>
      <w:pPr>
        <w:tabs>
          <w:tab w:val="right" w:pos="8306"/>
        </w:tabs>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19.社会保障和就业支出（208）社会福利（20810）养老服务（2081006）：反映财政在养老服务方面的补助支出，包括支持居家养老服务、社区养老服务和机构养老服务的支出，对养老服务机构的运营、建设补助支出等，不包括对社会福利事业单位的补助支出。</w:t>
      </w:r>
    </w:p>
    <w:p>
      <w:pPr>
        <w:tabs>
          <w:tab w:val="right" w:pos="8306"/>
        </w:tabs>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21.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22.节能环保支出（211）其他节能环保支出（21199）其他节能环保支出（2119999）：反映除上述项目以外其他用于节能环保方面的支出。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23.农林水支出（213）农业农村（21301）事业运行（2130104）：反映用于农业事业单位基本支出，事业单位设施、系统运行与资产维护等方面的支出。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24.农林水支出（213）扶贫（21305）农村基础设施建设（2130504）:反映用于农村贫困地区乡村道路、住房、基本农田、水利设施、人畜饮水、生态环境保护等生产生活条件改善方面的支出。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25. 农林水支出（213）扶贫（21305）社会发展（2130506）:反映用于农村欠发达地区小学教育、文化、广播、电视、卫生健康等方面的项目支出。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26.农林水支出（213）扶贫（21305）其他扶贫支出（2130599）:反映除上述项目以外其他用于扶贫方面的支出。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27.农林水支出（213）农村综合改革（21307）对村民委员会和村党支部的补助（2130705）：反映各级财政对村民委员会和村党支部的补助支出，以及支持建立县级基本财力保障机制安排的村级组织运转奖补资金。</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28.住房保障支出（221）住房改革支出（22102）住房公积金（2210201）：反映行政事业单位按人力资源和社会保障部、财政部规定的基本工资和津贴补贴以及规定比例为职工缴纳的住房公积金。</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29.住房保障支出（221）住房改革支出（22102）购房补贴（2210203）：反映按房改政策规定，行政事业单位向符合条件职工（含离退休人员）、军队（含武警）向转役复员离退休人员发放的用于购买住房的补贴。</w:t>
      </w:r>
    </w:p>
    <w:p>
      <w:pPr>
        <w:spacing w:line="576" w:lineRule="exact"/>
        <w:ind w:firstLineChars="200" w:firstLine="640"/>
        <w:rPr>
          <w:rFonts w:ascii="仿宋_GB2312" w:eastAsia="仿宋_GB2312" w:cs="仿宋_GB2312"/>
          <w:color w:val="000000"/>
          <w:sz w:val="32"/>
          <w:szCs w:val="32"/>
        </w:rPr>
      </w:pPr>
      <w:r>
        <w:rPr>
          <w:rFonts w:ascii="仿宋_GB2312" w:eastAsia="仿宋_GB2312" w:hint="eastAsia"/>
          <w:color w:val="000000"/>
          <w:sz w:val="32"/>
          <w:szCs w:val="32"/>
        </w:rPr>
        <w:t>30.其他支出（229）其他支出（22999）其他支出（2299999）:</w:t>
      </w:r>
      <w:r>
        <w:rPr>
          <w:rFonts w:ascii="仿宋_GB2312" w:eastAsia="仿宋_GB2312" w:cs="仿宋" w:hint="eastAsia"/>
          <w:bCs/>
          <w:color w:val="000000"/>
          <w:sz w:val="32"/>
          <w:szCs w:val="32"/>
        </w:rPr>
        <w:t>反映单位的其他支出。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31</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32</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33</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37"/>
        <w:spacing w:line="576" w:lineRule="exact"/>
        <w:ind w:firstLineChars="200" w:firstLine="640"/>
        <w:rPr>
          <w:rFonts w:ascii="仿宋_GB2312" w:eastAsia="仿宋_GB2312"/>
          <w:sz w:val="32"/>
          <w:szCs w:val="32"/>
        </w:rPr>
      </w:pPr>
      <w:r>
        <w:rPr>
          <w:rFonts w:ascii="仿宋_GB2312" w:eastAsia="仿宋_GB2312" w:hint="eastAsia"/>
          <w:sz w:val="32"/>
          <w:szCs w:val="32"/>
        </w:rPr>
        <w:t>34</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76" w:lineRule="exact"/>
        <w:ind w:firstLineChars="200" w:firstLine="640"/>
        <w:rPr>
          <w:rFonts w:ascii="仿宋_GB2312" w:eastAsia="仿宋_GB2312"/>
          <w:sz w:val="32"/>
          <w:szCs w:val="32"/>
        </w:rPr>
      </w:pPr>
      <w:r>
        <w:rPr>
          <w:rFonts w:ascii="仿宋_GB2312" w:eastAsia="仿宋_GB2312" w:hint="eastAsia"/>
          <w:sz w:val="32"/>
          <w:szCs w:val="32"/>
        </w:rPr>
        <w:t>35</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7"/>
        <w:spacing w:line="560" w:lineRule="exact"/>
        <w:ind w:firstLineChars="200" w:firstLine="640"/>
        <w:jc w:val="both"/>
        <w:rPr>
          <w:rFonts w:ascii="仿宋_GB2312" w:eastAsia="仿宋_GB2312"/>
          <w:sz w:val="32"/>
          <w:szCs w:val="32"/>
        </w:rPr>
      </w:pPr>
    </w:p>
    <w:p>
      <w:pPr>
        <w:spacing w:line="576" w:lineRule="exact"/>
        <w:jc w:val="center"/>
        <w:outlineLvl w:val="0"/>
        <w:rPr>
          <w:rStyle w:val="1Char"/>
          <w:rFonts w:ascii="方正小标宋简体" w:eastAsia="方正小标宋简体"/>
          <w:b w:val="0"/>
        </w:rPr>
      </w:pPr>
      <w:bookmarkStart w:id="110" w:name="_Toc15377226"/>
      <w:r>
        <w:rPr>
          <w:rFonts w:ascii="宋体"/>
          <w:b/>
          <w:color w:val="000000"/>
          <w:sz w:val="44"/>
          <w:szCs w:val="44"/>
        </w:rPr>
        <w:br w:type="page"/>
      </w:r>
      <w:bookmarkStart w:id="111" w:name="_Toc79163880"/>
      <w:bookmarkStart w:id="112" w:name="_Toc79163630"/>
      <w:bookmarkStart w:id="113" w:name="_Toc15396614"/>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 附件</w:t>
      </w:r>
      <w:bookmarkEnd w:id="111"/>
      <w:bookmarkEnd w:id="112"/>
      <w:bookmarkEnd w:id="113"/>
    </w:p>
    <w:p>
      <w:pPr>
        <w:spacing w:line="576" w:lineRule="exact"/>
        <w:jc w:val="left"/>
        <w:outlineLvl w:val="0"/>
        <w:rPr>
          <w:rFonts w:ascii="方正小标宋简体" w:eastAsia="方正小标宋简体" w:cs="方正小标宋简体"/>
          <w:sz w:val="32"/>
          <w:szCs w:val="32"/>
        </w:rPr>
      </w:pPr>
      <w:bookmarkStart w:id="114" w:name="_Toc79163881"/>
      <w:bookmarkStart w:id="115" w:name="_Toc79163631"/>
      <w:r>
        <w:rPr>
          <w:rFonts w:ascii="黑体" w:eastAsia="黑体" w:cs="黑体" w:hint="eastAsia"/>
          <w:sz w:val="32"/>
          <w:szCs w:val="32"/>
        </w:rPr>
        <w:t>附件</w:t>
      </w:r>
      <w:r>
        <w:rPr>
          <w:rFonts w:ascii="黑体" w:eastAsia="黑体" w:cs="黑体"/>
          <w:sz w:val="32"/>
          <w:szCs w:val="32"/>
        </w:rPr>
        <w:t>1</w:t>
      </w:r>
      <w:bookmarkEnd w:id="114"/>
      <w:bookmarkEnd w:id="115"/>
    </w:p>
    <w:p>
      <w:pPr>
        <w:spacing w:line="576" w:lineRule="exact"/>
        <w:jc w:val="center"/>
        <w:rPr>
          <w:rFonts w:ascii="方正小标宋简体" w:eastAsia="方正小标宋简体" w:cs="方正小标宋简体"/>
          <w:sz w:val="44"/>
          <w:szCs w:val="44"/>
        </w:rPr>
      </w:pPr>
    </w:p>
    <w:p>
      <w:pPr>
        <w:spacing w:line="576" w:lineRule="exact"/>
        <w:jc w:val="center"/>
        <w:outlineLvl w:val="0"/>
        <w:rPr>
          <w:rFonts w:ascii="方正小标宋简体" w:eastAsia="方正小标宋简体" w:cs="黑体"/>
          <w:sz w:val="44"/>
          <w:szCs w:val="44"/>
        </w:rPr>
      </w:pPr>
      <w:bookmarkStart w:id="116" w:name="_Toc79163632"/>
      <w:bookmarkStart w:id="117" w:name="_Toc79163882"/>
      <w:r>
        <w:rPr>
          <w:rFonts w:ascii="方正小标宋简体" w:eastAsia="方正小标宋简体" w:cs="黑体" w:hint="eastAsia"/>
          <w:sz w:val="44"/>
          <w:szCs w:val="44"/>
        </w:rPr>
        <w:t>茂县叠溪镇人民政府</w:t>
      </w: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sz w:val="44"/>
          <w:szCs w:val="44"/>
        </w:rPr>
        <w:t>2021</w:t>
      </w:r>
      <w:r>
        <w:rPr>
          <w:rFonts w:ascii="方正小标宋简体" w:eastAsia="方正小标宋简体" w:cs="黑体" w:hint="eastAsia"/>
          <w:sz w:val="44"/>
          <w:szCs w:val="44"/>
        </w:rPr>
        <w:t>年部门整体支出绩效评价报告</w:t>
      </w:r>
      <w:bookmarkEnd w:id="116"/>
      <w:bookmarkEnd w:id="117"/>
    </w:p>
    <w:p>
      <w:pPr>
        <w:widowControl/>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（一）机构组成</w:t>
      </w:r>
    </w:p>
    <w:p>
      <w:pPr>
        <w:widowControl/>
        <w:adjustRightInd w:val="0"/>
        <w:snapToGrid w:val="0"/>
        <w:spacing w:line="576"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仿宋_GB2312" w:hint="eastAsia"/>
          <w:color w:val="000000"/>
          <w:sz w:val="32"/>
          <w:szCs w:val="32"/>
          <w:shd w:val="clear" w:color="auto" w:fill="FFFFFF"/>
          <w:lang w:val="zh-CN"/>
        </w:rPr>
        <w:t>茂县叠溪镇人民政府内设机构</w:t>
      </w:r>
      <w:r>
        <w:rPr>
          <w:rFonts w:ascii="仿宋_GB2312" w:eastAsia="仿宋_GB2312" w:cs="仿宋_GB2312" w:hint="eastAsia"/>
          <w:color w:val="000000"/>
          <w:sz w:val="32"/>
          <w:szCs w:val="32"/>
          <w:shd w:val="clear" w:color="auto" w:fill="FFFFFF"/>
        </w:rPr>
        <w:t>7个办公室，</w:t>
      </w:r>
      <w:r>
        <w:rPr>
          <w:rFonts w:ascii="仿宋_GB2312" w:eastAsia="仿宋_GB2312" w:cs="仿宋_GB2312" w:hint="eastAsia"/>
          <w:sz w:val="32"/>
          <w:szCs w:val="32"/>
          <w:lang w:val="zh-CN"/>
        </w:rPr>
        <w:t>事业机构4个</w:t>
      </w:r>
      <w:r>
        <w:rPr>
          <w:rFonts w:ascii="仿宋_GB2312" w:eastAsia="仿宋_GB2312" w:cs="仿宋_GB2312" w:hint="eastAsia"/>
          <w:color w:val="000000"/>
          <w:sz w:val="32"/>
          <w:szCs w:val="32"/>
          <w:shd w:val="clear" w:color="auto" w:fill="FFFFFF"/>
        </w:rPr>
        <w:t>。分别是</w:t>
      </w:r>
      <w:r>
        <w:rPr>
          <w:rFonts w:ascii="仿宋_GB2312" w:eastAsia="仿宋_GB2312" w:hint="eastAsia"/>
          <w:sz w:val="32"/>
          <w:szCs w:val="32"/>
        </w:rPr>
        <w:t>：党政办公室、党建工作办公室、维护稳定和综合行政执法办公室、经济发展和乡村振兴办公室、社会事务办公室、生态环境和应急管理办公室、财经审查工作办公室、便民服务中心、经济发展服务中心、农业农村服务中心、综合文化服务中心。</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（二）机构职能</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1.贯彻执行党和国家的路线方针政策和上级党委、政府各项决策部署，以及本级党员代表大会(党员大会)人民代表大会的决议决定。</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3.领导镇政权机关、群团组织和其他各类组织，加强指导和规范，支持和保证这些机关和组织依照国家法律法规以及各自章程履行职责。</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4.加强党的建设。坚持全面从严治党，落实管党治党主体责任，全面加强党的政治建设、思想建设、组织建设作风建设、纪律建设、制度建设等工作。不断强化自身建设和村(社区)党组织建设，以及其他隶属仪镇党委的党组织建设，抓好发展党员工作，加强党员队伍建设。维护和执行党的纪律，监督党员干部和其他工作人员严格遵守国家法律法规。</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5.按照干部管理权限，负责对干部的教育、培训、选拔、考核和监督工作。协助管理县级有关部门驻镇单位的干部。做好人才服务和引进工作。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7.强化基层治理。负责本辖区社会治理，加强社会主义民主法治建设和精神文明建设，加快推进基层社会治理体系和治理能力现代化;指导村(居)委会建设，健全自治平合，组织群众和单位参与村(居)委会建设和管理。负责统筹协调辖区内依法授权或委托授权的行政执法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8.优化公共服务。推进服务型政府建设，组织实施并优化教育、卫生健康、文化、民政、社会保障、退役军人事务等各项公共服务。</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9.负责辖区范围内的应急管理、社会稳定、安全生产、生态环境保护、社会信用体系建设和审批服务便民化等工作。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10.负责辖区农村经营管理体系建设工作。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11.完成县委、县人民政府交办的其他任务。</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（三）人员概况</w:t>
      </w:r>
    </w:p>
    <w:p>
      <w:pPr>
        <w:pStyle w:val="16"/>
        <w:spacing w:beforeLines="0" w:before="93" w:line="576" w:lineRule="exact"/>
        <w:ind w:firstLineChars="200" w:firstLine="640"/>
        <w:outlineLvl w:val="2"/>
        <w:rPr>
          <w:rFonts w:cs="仿宋_GB2312"/>
          <w:color w:val="000000"/>
          <w:sz w:val="32"/>
          <w:szCs w:val="32"/>
          <w:shd w:val="clear" w:color="auto" w:fill="FFFFFF"/>
          <w:lang w:val="zh-CN"/>
        </w:rPr>
      </w:pPr>
      <w:bookmarkStart w:id="118" w:name="_Toc114676128"/>
      <w:r>
        <w:rPr>
          <w:rFonts w:cs="仿宋_GB2312" w:hint="eastAsia"/>
          <w:color w:val="000000"/>
          <w:sz w:val="32"/>
          <w:szCs w:val="32"/>
          <w:shd w:val="clear" w:color="auto" w:fill="FFFFFF"/>
          <w:lang w:val="zh-CN"/>
        </w:rPr>
        <w:t>我镇编制数为70人其中：行政编制40人（含行政工勤编制5人），事业编制30人。我镇2021年度年末实有人数为55人,其中:行政编制30人(含行政工勤4人)，事业编制25人。退休职工12人，遗嘱人员6人。</w:t>
      </w:r>
      <w:bookmarkEnd w:id="118"/>
    </w:p>
    <w:p>
      <w:pPr>
        <w:widowControl/>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（一）部门财政资金收入情况</w:t>
      </w:r>
    </w:p>
    <w:p>
      <w:pPr>
        <w:widowControl/>
        <w:adjustRightInd w:val="0"/>
        <w:snapToGrid w:val="0"/>
        <w:spacing w:line="576"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2021</w:t>
      </w:r>
      <w:r>
        <w:rPr>
          <w:rFonts w:ascii="仿宋_GB2312" w:eastAsia="仿宋_GB2312" w:cs="仿宋_GB2312" w:hint="eastAsia"/>
          <w:color w:val="000000"/>
          <w:kern w:val="0"/>
          <w:sz w:val="32"/>
          <w:szCs w:val="32"/>
          <w:shd w:val="clear" w:color="auto" w:fill="FFFFFF"/>
          <w:lang w:val="zh-CN"/>
        </w:rPr>
        <w:t>年本年收入合计</w:t>
      </w:r>
      <w:r>
        <w:rPr>
          <w:rFonts w:ascii="仿宋_GB2312" w:eastAsia="仿宋_GB2312" w:cs="仿宋_GB2312"/>
          <w:color w:val="000000"/>
          <w:kern w:val="0"/>
          <w:sz w:val="32"/>
          <w:szCs w:val="32"/>
          <w:shd w:val="clear" w:color="auto" w:fill="FFFFFF"/>
          <w:lang w:val="zh-CN"/>
        </w:rPr>
        <w:t>25049201.48</w:t>
      </w:r>
      <w:r>
        <w:rPr>
          <w:rFonts w:ascii="仿宋_GB2312" w:eastAsia="仿宋_GB2312" w:cs="仿宋_GB2312" w:hint="eastAsia"/>
          <w:color w:val="000000"/>
          <w:kern w:val="0"/>
          <w:sz w:val="32"/>
          <w:szCs w:val="32"/>
          <w:shd w:val="clear" w:color="auto" w:fill="FFFFFF"/>
          <w:lang w:val="zh-CN"/>
        </w:rPr>
        <w:t>元，其中：一般公共预算财政拨款收入</w:t>
      </w:r>
      <w:r>
        <w:rPr>
          <w:rFonts w:ascii="仿宋_GB2312" w:eastAsia="仿宋_GB2312" w:cs="仿宋_GB2312"/>
          <w:color w:val="000000"/>
          <w:kern w:val="0"/>
          <w:sz w:val="32"/>
          <w:szCs w:val="32"/>
          <w:shd w:val="clear" w:color="auto" w:fill="FFFFFF"/>
          <w:lang w:val="zh-CN"/>
        </w:rPr>
        <w:t>25049201.48</w:t>
      </w:r>
      <w:r>
        <w:rPr>
          <w:rFonts w:ascii="仿宋_GB2312" w:eastAsia="仿宋_GB2312" w:cs="仿宋_GB2312" w:hint="eastAsia"/>
          <w:color w:val="000000"/>
          <w:kern w:val="0"/>
          <w:sz w:val="32"/>
          <w:szCs w:val="32"/>
          <w:shd w:val="clear" w:color="auto" w:fill="FFFFFF"/>
          <w:lang w:val="zh-CN"/>
        </w:rPr>
        <w:t>元，占</w:t>
      </w:r>
      <w:r>
        <w:rPr>
          <w:rFonts w:ascii="仿宋_GB2312" w:eastAsia="仿宋_GB2312" w:cs="仿宋_GB2312"/>
          <w:color w:val="000000"/>
          <w:kern w:val="0"/>
          <w:sz w:val="32"/>
          <w:szCs w:val="32"/>
          <w:shd w:val="clear" w:color="auto" w:fill="FFFFFF"/>
          <w:lang w:val="zh-CN"/>
        </w:rPr>
        <w:t>100%</w:t>
      </w:r>
      <w:r>
        <w:rPr>
          <w:rFonts w:ascii="仿宋_GB2312" w:eastAsia="仿宋_GB2312" w:cs="仿宋_GB2312" w:hint="eastAsia"/>
          <w:color w:val="000000"/>
          <w:kern w:val="0"/>
          <w:sz w:val="32"/>
          <w:szCs w:val="32"/>
          <w:shd w:val="clear" w:color="auto" w:fill="FFFFFF"/>
          <w:lang w:val="zh-CN"/>
        </w:rPr>
        <w:t>；完成预算</w:t>
      </w:r>
      <w:r>
        <w:rPr>
          <w:rFonts w:ascii="仿宋_GB2312" w:eastAsia="仿宋_GB2312" w:cs="仿宋_GB2312"/>
          <w:color w:val="000000"/>
          <w:kern w:val="0"/>
          <w:sz w:val="32"/>
          <w:szCs w:val="32"/>
          <w:shd w:val="clear" w:color="auto" w:fill="FFFFFF"/>
          <w:lang w:val="zh-CN"/>
        </w:rPr>
        <w:t>100%</w:t>
      </w:r>
      <w:r>
        <w:rPr>
          <w:rFonts w:ascii="仿宋_GB2312" w:eastAsia="仿宋_GB2312" w:cs="仿宋_GB2312" w:hint="eastAsia"/>
          <w:color w:val="000000"/>
          <w:kern w:val="0"/>
          <w:sz w:val="32"/>
          <w:szCs w:val="32"/>
          <w:shd w:val="clear" w:color="auto" w:fill="FFFFFF"/>
          <w:lang w:val="zh-CN"/>
        </w:rPr>
        <w:t>。</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（二）部门财政资金支出情况</w:t>
      </w:r>
    </w:p>
    <w:p>
      <w:pPr>
        <w:widowControl/>
        <w:adjustRightInd w:val="0"/>
        <w:snapToGrid w:val="0"/>
        <w:spacing w:line="576"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2021</w:t>
      </w:r>
      <w:r>
        <w:rPr>
          <w:rFonts w:ascii="仿宋_GB2312" w:eastAsia="仿宋_GB2312" w:cs="仿宋_GB2312" w:hint="eastAsia"/>
          <w:color w:val="000000"/>
          <w:kern w:val="0"/>
          <w:sz w:val="32"/>
          <w:szCs w:val="32"/>
          <w:shd w:val="clear" w:color="auto" w:fill="FFFFFF"/>
          <w:lang w:val="zh-CN"/>
        </w:rPr>
        <w:t>年本年支出合计</w:t>
      </w:r>
      <w:r>
        <w:rPr>
          <w:rFonts w:ascii="仿宋_GB2312" w:eastAsia="仿宋_GB2312" w:cs="仿宋_GB2312"/>
          <w:color w:val="000000"/>
          <w:kern w:val="0"/>
          <w:sz w:val="32"/>
          <w:szCs w:val="32"/>
          <w:shd w:val="clear" w:color="auto" w:fill="FFFFFF"/>
          <w:lang w:val="zh-CN"/>
        </w:rPr>
        <w:t>25049201.48</w:t>
      </w:r>
      <w:r>
        <w:rPr>
          <w:rFonts w:ascii="仿宋_GB2312" w:eastAsia="仿宋_GB2312" w:cs="仿宋_GB2312" w:hint="eastAsia"/>
          <w:color w:val="000000"/>
          <w:kern w:val="0"/>
          <w:sz w:val="32"/>
          <w:szCs w:val="32"/>
          <w:shd w:val="clear" w:color="auto" w:fill="FFFFFF"/>
          <w:lang w:val="zh-CN"/>
        </w:rPr>
        <w:t>元，其中：基本支出</w:t>
      </w:r>
      <w:r>
        <w:rPr>
          <w:rFonts w:ascii="仿宋_GB2312" w:eastAsia="仿宋_GB2312" w:cs="仿宋_GB2312"/>
          <w:color w:val="000000"/>
          <w:kern w:val="0"/>
          <w:sz w:val="32"/>
          <w:szCs w:val="32"/>
          <w:shd w:val="clear" w:color="auto" w:fill="FFFFFF"/>
          <w:lang w:val="zh-CN"/>
        </w:rPr>
        <w:t>11814968.44</w:t>
      </w:r>
      <w:r>
        <w:rPr>
          <w:rFonts w:ascii="仿宋_GB2312" w:eastAsia="仿宋_GB2312" w:cs="仿宋_GB2312" w:hint="eastAsia"/>
          <w:color w:val="000000"/>
          <w:kern w:val="0"/>
          <w:sz w:val="32"/>
          <w:szCs w:val="32"/>
          <w:shd w:val="clear" w:color="auto" w:fill="FFFFFF"/>
          <w:lang w:val="zh-CN"/>
        </w:rPr>
        <w:t>元，占47.17</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；项目支出</w:t>
      </w:r>
      <w:r>
        <w:rPr>
          <w:rFonts w:ascii="仿宋_GB2312" w:eastAsia="仿宋_GB2312" w:cs="仿宋_GB2312"/>
          <w:color w:val="000000"/>
          <w:kern w:val="0"/>
          <w:sz w:val="32"/>
          <w:szCs w:val="32"/>
          <w:shd w:val="clear" w:color="auto" w:fill="FFFFFF"/>
          <w:lang w:val="zh-CN"/>
        </w:rPr>
        <w:t>13234233.04</w:t>
      </w:r>
      <w:r>
        <w:rPr>
          <w:rFonts w:ascii="仿宋_GB2312" w:eastAsia="仿宋_GB2312" w:cs="仿宋_GB2312" w:hint="eastAsia"/>
          <w:color w:val="000000"/>
          <w:kern w:val="0"/>
          <w:sz w:val="32"/>
          <w:szCs w:val="32"/>
          <w:shd w:val="clear" w:color="auto" w:fill="FFFFFF"/>
          <w:lang w:val="zh-CN"/>
        </w:rPr>
        <w:t>元，占52.83</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；完成预算</w:t>
      </w:r>
      <w:r>
        <w:rPr>
          <w:rFonts w:ascii="仿宋_GB2312" w:eastAsia="仿宋_GB2312" w:cs="仿宋_GB2312"/>
          <w:color w:val="000000"/>
          <w:kern w:val="0"/>
          <w:sz w:val="32"/>
          <w:szCs w:val="32"/>
          <w:shd w:val="clear" w:color="auto" w:fill="FFFFFF"/>
          <w:lang w:val="zh-CN"/>
        </w:rPr>
        <w:t>100%</w:t>
      </w:r>
      <w:r>
        <w:rPr>
          <w:rFonts w:ascii="仿宋_GB2312" w:eastAsia="仿宋_GB2312" w:cs="仿宋_GB2312" w:hint="eastAsia"/>
          <w:color w:val="000000"/>
          <w:kern w:val="0"/>
          <w:sz w:val="32"/>
          <w:szCs w:val="32"/>
          <w:shd w:val="clear" w:color="auto" w:fill="FFFFFF"/>
          <w:lang w:val="zh-CN"/>
        </w:rPr>
        <w:t>。</w:t>
      </w:r>
    </w:p>
    <w:p>
      <w:pPr>
        <w:widowControl/>
        <w:adjustRightInd w:val="0"/>
        <w:snapToGrid w:val="0"/>
        <w:spacing w:line="576"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202</w:t>
      </w:r>
      <w:r>
        <w:rPr>
          <w:rFonts w:ascii="仿宋_GB2312" w:eastAsia="仿宋_GB2312" w:cs="仿宋_GB2312" w:hint="eastAsia"/>
          <w:color w:val="000000"/>
          <w:kern w:val="0"/>
          <w:sz w:val="32"/>
          <w:szCs w:val="32"/>
          <w:shd w:val="clear" w:color="auto" w:fill="FFFFFF"/>
          <w:lang w:val="zh-CN"/>
        </w:rPr>
        <w:t>1年“三公”经费财政拨款支出决算为</w:t>
      </w:r>
      <w:r>
        <w:rPr>
          <w:rFonts w:ascii="仿宋_GB2312" w:eastAsia="仿宋_GB2312" w:cs="仿宋_GB2312"/>
          <w:color w:val="000000"/>
          <w:kern w:val="0"/>
          <w:sz w:val="32"/>
          <w:szCs w:val="32"/>
          <w:shd w:val="clear" w:color="auto" w:fill="FFFFFF"/>
          <w:lang w:val="zh-CN"/>
        </w:rPr>
        <w:t>109364.63</w:t>
      </w:r>
      <w:r>
        <w:rPr>
          <w:rFonts w:ascii="仿宋_GB2312" w:eastAsia="仿宋_GB2312" w:cs="仿宋_GB2312" w:hint="eastAsia"/>
          <w:color w:val="000000"/>
          <w:kern w:val="0"/>
          <w:sz w:val="32"/>
          <w:szCs w:val="32"/>
          <w:shd w:val="clear" w:color="auto" w:fill="FFFFFF"/>
          <w:lang w:val="zh-CN"/>
        </w:rPr>
        <w:t>元，完成预算</w:t>
      </w:r>
      <w:r>
        <w:rPr>
          <w:rFonts w:ascii="仿宋_GB2312" w:eastAsia="仿宋_GB2312" w:cs="仿宋_GB2312"/>
          <w:color w:val="000000"/>
          <w:kern w:val="0"/>
          <w:sz w:val="32"/>
          <w:szCs w:val="32"/>
          <w:shd w:val="clear" w:color="auto" w:fill="FFFFFF"/>
          <w:lang w:val="zh-CN"/>
        </w:rPr>
        <w:t>100%</w:t>
      </w:r>
      <w:r>
        <w:rPr>
          <w:rFonts w:ascii="仿宋_GB2312" w:eastAsia="仿宋_GB2312" w:cs="仿宋_GB2312" w:hint="eastAsia"/>
          <w:color w:val="000000"/>
          <w:kern w:val="0"/>
          <w:sz w:val="32"/>
          <w:szCs w:val="32"/>
          <w:shd w:val="clear" w:color="auto" w:fill="FFFFFF"/>
          <w:lang w:val="zh-CN"/>
        </w:rPr>
        <w:t>。</w:t>
      </w:r>
    </w:p>
    <w:p>
      <w:pPr>
        <w:widowControl/>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（一）部门预算管理</w:t>
      </w:r>
    </w:p>
    <w:p>
      <w:pPr>
        <w:widowControl/>
        <w:adjustRightInd w:val="0"/>
        <w:snapToGrid w:val="0"/>
        <w:spacing w:line="576"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按照</w:t>
      </w:r>
      <w:r>
        <w:rPr>
          <w:rFonts w:ascii="仿宋_GB2312" w:eastAsia="仿宋_GB2312" w:cs="仿宋_GB2312"/>
          <w:color w:val="000000"/>
          <w:kern w:val="0"/>
          <w:sz w:val="32"/>
          <w:szCs w:val="32"/>
          <w:shd w:val="clear" w:color="auto" w:fill="FFFFFF"/>
          <w:lang w:val="zh-CN"/>
        </w:rPr>
        <w:t>2021</w:t>
      </w:r>
      <w:r>
        <w:rPr>
          <w:rFonts w:ascii="仿宋_GB2312" w:eastAsia="仿宋_GB2312" w:cs="仿宋_GB2312" w:hint="eastAsia"/>
          <w:color w:val="000000"/>
          <w:kern w:val="0"/>
          <w:sz w:val="32"/>
          <w:szCs w:val="32"/>
          <w:shd w:val="clear" w:color="auto" w:fill="FFFFFF"/>
          <w:lang w:val="zh-CN"/>
        </w:rPr>
        <w:t>年部门预算编制编审要求，根据我单位职能职责，结合年度工作计划，明确了年度主要工作任务及年度内履职所要达到的效果。按照综合预算的原则，茂县县委叠溪镇所有收入和支出均纳入部门预算管理。收入包括：一般公共预算拨款收入</w:t>
      </w:r>
      <w:r>
        <w:rPr>
          <w:rFonts w:ascii="仿宋_GB2312" w:eastAsia="仿宋_GB2312" w:cs="仿宋_GB2312"/>
          <w:color w:val="000000"/>
          <w:kern w:val="0"/>
          <w:sz w:val="32"/>
          <w:szCs w:val="32"/>
          <w:shd w:val="clear" w:color="auto" w:fill="FFFFFF"/>
          <w:lang w:val="zh-CN"/>
        </w:rPr>
        <w:t>25049201.48</w:t>
      </w:r>
      <w:r>
        <w:rPr>
          <w:rFonts w:ascii="仿宋_GB2312" w:eastAsia="仿宋_GB2312" w:cs="仿宋_GB2312" w:hint="eastAsia"/>
          <w:color w:val="000000"/>
          <w:kern w:val="0"/>
          <w:sz w:val="32"/>
          <w:szCs w:val="32"/>
          <w:shd w:val="clear" w:color="auto" w:fill="FFFFFF"/>
          <w:lang w:val="zh-CN"/>
        </w:rPr>
        <w:t>元；支出包括：一般公共服务支出</w:t>
      </w:r>
      <w:r>
        <w:rPr>
          <w:rFonts w:ascii="仿宋_GB2312" w:eastAsia="仿宋_GB2312" w:cs="仿宋_GB2312"/>
          <w:color w:val="000000"/>
          <w:kern w:val="0"/>
          <w:sz w:val="32"/>
          <w:szCs w:val="32"/>
          <w:shd w:val="clear" w:color="auto" w:fill="FFFFFF"/>
          <w:lang w:val="zh-CN"/>
        </w:rPr>
        <w:t>5775557.61</w:t>
      </w:r>
      <w:r>
        <w:rPr>
          <w:rFonts w:ascii="仿宋_GB2312" w:eastAsia="仿宋_GB2312" w:cs="仿宋_GB2312" w:hint="eastAsia"/>
          <w:color w:val="000000"/>
          <w:kern w:val="0"/>
          <w:sz w:val="32"/>
          <w:szCs w:val="32"/>
          <w:shd w:val="clear" w:color="auto" w:fill="FFFFFF"/>
          <w:lang w:val="zh-CN"/>
        </w:rPr>
        <w:t>元，国防安全支出</w:t>
      </w:r>
      <w:r>
        <w:rPr>
          <w:rFonts w:ascii="仿宋_GB2312" w:eastAsia="仿宋_GB2312" w:cs="仿宋_GB2312"/>
          <w:color w:val="000000"/>
          <w:kern w:val="0"/>
          <w:sz w:val="32"/>
          <w:szCs w:val="32"/>
          <w:shd w:val="clear" w:color="auto" w:fill="FFFFFF"/>
          <w:lang w:val="zh-CN"/>
        </w:rPr>
        <w:t>50000</w:t>
      </w:r>
      <w:r>
        <w:rPr>
          <w:rFonts w:ascii="仿宋_GB2312" w:eastAsia="仿宋_GB2312" w:cs="仿宋_GB2312" w:hint="eastAsia"/>
          <w:color w:val="000000"/>
          <w:kern w:val="0"/>
          <w:sz w:val="32"/>
          <w:szCs w:val="32"/>
          <w:shd w:val="clear" w:color="auto" w:fill="FFFFFF"/>
          <w:lang w:val="zh-CN"/>
        </w:rPr>
        <w:t>元,文化旅游体育与传媒支出</w:t>
      </w:r>
      <w:r>
        <w:rPr>
          <w:rFonts w:ascii="仿宋_GB2312" w:eastAsia="仿宋_GB2312" w:cs="仿宋_GB2312"/>
          <w:color w:val="000000"/>
          <w:kern w:val="0"/>
          <w:sz w:val="32"/>
          <w:szCs w:val="32"/>
          <w:shd w:val="clear" w:color="auto" w:fill="FFFFFF"/>
          <w:lang w:val="zh-CN"/>
        </w:rPr>
        <w:t>178969.12</w:t>
      </w:r>
      <w:r>
        <w:rPr>
          <w:rFonts w:ascii="仿宋_GB2312" w:eastAsia="仿宋_GB2312" w:cs="仿宋_GB2312" w:hint="eastAsia"/>
          <w:color w:val="000000"/>
          <w:kern w:val="0"/>
          <w:sz w:val="32"/>
          <w:szCs w:val="32"/>
          <w:shd w:val="clear" w:color="auto" w:fill="FFFFFF"/>
          <w:lang w:val="zh-CN"/>
        </w:rPr>
        <w:t>元,社会保障和就业支出</w:t>
      </w:r>
      <w:r>
        <w:rPr>
          <w:rFonts w:ascii="仿宋_GB2312" w:eastAsia="仿宋_GB2312" w:cs="仿宋_GB2312"/>
          <w:color w:val="000000"/>
          <w:kern w:val="0"/>
          <w:sz w:val="32"/>
          <w:szCs w:val="32"/>
          <w:shd w:val="clear" w:color="auto" w:fill="FFFFFF"/>
          <w:lang w:val="zh-CN"/>
        </w:rPr>
        <w:t>1415293.12</w:t>
      </w:r>
      <w:r>
        <w:rPr>
          <w:rFonts w:ascii="仿宋_GB2312" w:eastAsia="仿宋_GB2312" w:cs="仿宋_GB2312" w:hint="eastAsia"/>
          <w:color w:val="000000"/>
          <w:kern w:val="0"/>
          <w:sz w:val="32"/>
          <w:szCs w:val="32"/>
          <w:shd w:val="clear" w:color="auto" w:fill="FFFFFF"/>
          <w:lang w:val="zh-CN"/>
        </w:rPr>
        <w:t>元，卫生健康支出</w:t>
      </w:r>
      <w:r>
        <w:rPr>
          <w:rFonts w:ascii="仿宋_GB2312" w:eastAsia="仿宋_GB2312" w:cs="仿宋_GB2312"/>
          <w:color w:val="000000"/>
          <w:kern w:val="0"/>
          <w:sz w:val="32"/>
          <w:szCs w:val="32"/>
          <w:shd w:val="clear" w:color="auto" w:fill="FFFFFF"/>
          <w:lang w:val="zh-CN"/>
        </w:rPr>
        <w:t>511989.21</w:t>
      </w:r>
      <w:r>
        <w:rPr>
          <w:rFonts w:ascii="仿宋_GB2312" w:eastAsia="仿宋_GB2312" w:cs="仿宋_GB2312" w:hint="eastAsia"/>
          <w:color w:val="000000"/>
          <w:kern w:val="0"/>
          <w:sz w:val="32"/>
          <w:szCs w:val="32"/>
          <w:shd w:val="clear" w:color="auto" w:fill="FFFFFF"/>
          <w:lang w:val="zh-CN"/>
        </w:rPr>
        <w:t>元，节能环保支出40000元,农林水支出</w:t>
      </w:r>
      <w:r>
        <w:rPr>
          <w:rFonts w:ascii="仿宋_GB2312" w:eastAsia="仿宋_GB2312" w:cs="仿宋_GB2312"/>
          <w:color w:val="000000"/>
          <w:kern w:val="0"/>
          <w:sz w:val="32"/>
          <w:szCs w:val="32"/>
          <w:shd w:val="clear" w:color="auto" w:fill="FFFFFF"/>
          <w:lang w:val="zh-CN"/>
        </w:rPr>
        <w:t>15907631.42</w:t>
      </w:r>
      <w:r>
        <w:rPr>
          <w:rFonts w:ascii="仿宋_GB2312" w:eastAsia="仿宋_GB2312" w:cs="仿宋_GB2312" w:hint="eastAsia"/>
          <w:color w:val="000000"/>
          <w:kern w:val="0"/>
          <w:sz w:val="32"/>
          <w:szCs w:val="32"/>
          <w:shd w:val="clear" w:color="auto" w:fill="FFFFFF"/>
          <w:lang w:val="zh-CN"/>
        </w:rPr>
        <w:t>元,住房保障支出</w:t>
      </w:r>
      <w:r>
        <w:rPr>
          <w:rFonts w:ascii="仿宋_GB2312" w:eastAsia="仿宋_GB2312" w:cs="仿宋_GB2312"/>
          <w:color w:val="000000"/>
          <w:kern w:val="0"/>
          <w:sz w:val="32"/>
          <w:szCs w:val="32"/>
          <w:shd w:val="clear" w:color="auto" w:fill="FFFFFF"/>
          <w:lang w:val="zh-CN"/>
        </w:rPr>
        <w:t>785161</w:t>
      </w:r>
      <w:r>
        <w:rPr>
          <w:rFonts w:ascii="仿宋_GB2312" w:eastAsia="仿宋_GB2312" w:cs="仿宋_GB2312" w:hint="eastAsia"/>
          <w:color w:val="000000"/>
          <w:kern w:val="0"/>
          <w:sz w:val="32"/>
          <w:szCs w:val="32"/>
          <w:shd w:val="clear" w:color="auto" w:fill="FFFFFF"/>
          <w:lang w:val="zh-CN"/>
        </w:rPr>
        <w:t>元，其他支出</w:t>
      </w:r>
      <w:r>
        <w:rPr>
          <w:rFonts w:ascii="仿宋_GB2312" w:eastAsia="仿宋_GB2312" w:cs="仿宋_GB2312"/>
          <w:color w:val="000000"/>
          <w:kern w:val="0"/>
          <w:sz w:val="32"/>
          <w:szCs w:val="32"/>
          <w:shd w:val="clear" w:color="auto" w:fill="FFFFFF"/>
          <w:lang w:val="zh-CN"/>
        </w:rPr>
        <w:t>384600</w:t>
      </w:r>
      <w:r>
        <w:rPr>
          <w:rFonts w:ascii="仿宋_GB2312" w:eastAsia="仿宋_GB2312" w:cs="仿宋_GB2312" w:hint="eastAsia"/>
          <w:color w:val="000000"/>
          <w:kern w:val="0"/>
          <w:sz w:val="32"/>
          <w:szCs w:val="32"/>
          <w:shd w:val="clear" w:color="auto" w:fill="FFFFFF"/>
          <w:lang w:val="zh-CN"/>
        </w:rPr>
        <w:t>元。</w:t>
      </w:r>
    </w:p>
    <w:p>
      <w:pPr>
        <w:widowControl/>
        <w:adjustRightInd w:val="0"/>
        <w:snapToGrid w:val="0"/>
        <w:spacing w:line="576"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叠溪镇</w:t>
      </w:r>
      <w:r>
        <w:rPr>
          <w:rFonts w:ascii="仿宋_GB2312" w:eastAsia="仿宋_GB2312" w:cs="仿宋_GB2312"/>
          <w:color w:val="000000"/>
          <w:kern w:val="0"/>
          <w:sz w:val="32"/>
          <w:szCs w:val="32"/>
          <w:shd w:val="clear" w:color="auto" w:fill="FFFFFF"/>
          <w:lang w:val="zh-CN"/>
        </w:rPr>
        <w:t>2021</w:t>
      </w:r>
      <w:r>
        <w:rPr>
          <w:rFonts w:ascii="仿宋_GB2312" w:eastAsia="仿宋_GB2312" w:cs="仿宋_GB2312" w:hint="eastAsia"/>
          <w:color w:val="000000"/>
          <w:kern w:val="0"/>
          <w:sz w:val="32"/>
          <w:szCs w:val="32"/>
          <w:shd w:val="clear" w:color="auto" w:fill="FFFFFF"/>
          <w:lang w:val="zh-CN"/>
        </w:rPr>
        <w:t>年“三公”经费财政拨款预算数</w:t>
      </w:r>
      <w:r>
        <w:rPr>
          <w:rFonts w:ascii="仿宋_GB2312" w:eastAsia="仿宋_GB2312" w:cs="仿宋_GB2312"/>
          <w:color w:val="000000"/>
          <w:kern w:val="0"/>
          <w:sz w:val="32"/>
          <w:szCs w:val="32"/>
          <w:shd w:val="clear" w:color="auto" w:fill="FFFFFF"/>
          <w:lang w:val="zh-CN"/>
        </w:rPr>
        <w:t>109364.63</w:t>
      </w:r>
      <w:r>
        <w:rPr>
          <w:rFonts w:ascii="仿宋_GB2312" w:eastAsia="仿宋_GB2312" w:cs="仿宋_GB2312" w:hint="eastAsia"/>
          <w:color w:val="000000"/>
          <w:kern w:val="0"/>
          <w:sz w:val="32"/>
          <w:szCs w:val="32"/>
          <w:shd w:val="clear" w:color="auto" w:fill="FFFFFF"/>
          <w:lang w:val="zh-CN"/>
        </w:rPr>
        <w:t>元，其中：无因公出国（境）经费，公务接待费</w:t>
      </w:r>
      <w:r>
        <w:rPr>
          <w:rFonts w:ascii="仿宋_GB2312" w:eastAsia="仿宋_GB2312" w:cs="仿宋_GB2312"/>
          <w:color w:val="000000"/>
          <w:kern w:val="0"/>
          <w:sz w:val="32"/>
          <w:szCs w:val="32"/>
          <w:shd w:val="clear" w:color="auto" w:fill="FFFFFF"/>
          <w:lang w:val="zh-CN"/>
        </w:rPr>
        <w:t xml:space="preserve"> </w:t>
      </w:r>
      <w:r>
        <w:rPr>
          <w:rFonts w:ascii="仿宋_GB2312" w:eastAsia="仿宋_GB2312" w:cs="仿宋_GB2312" w:hint="eastAsia"/>
          <w:color w:val="000000"/>
          <w:kern w:val="0"/>
          <w:sz w:val="32"/>
          <w:szCs w:val="32"/>
          <w:shd w:val="clear" w:color="auto" w:fill="FFFFFF"/>
          <w:lang w:val="zh-CN"/>
        </w:rPr>
        <w:t>0元，公务用车购置及运行维护费</w:t>
      </w:r>
      <w:r>
        <w:rPr>
          <w:rFonts w:ascii="仿宋_GB2312" w:eastAsia="仿宋_GB2312" w:cs="仿宋_GB2312"/>
          <w:color w:val="000000"/>
          <w:kern w:val="0"/>
          <w:sz w:val="32"/>
          <w:szCs w:val="32"/>
          <w:shd w:val="clear" w:color="auto" w:fill="FFFFFF"/>
          <w:lang w:val="zh-CN"/>
        </w:rPr>
        <w:t xml:space="preserve">109364.63 </w:t>
      </w:r>
      <w:r>
        <w:rPr>
          <w:rFonts w:ascii="仿宋_GB2312" w:eastAsia="仿宋_GB2312" w:cs="仿宋_GB2312" w:hint="eastAsia"/>
          <w:color w:val="000000"/>
          <w:kern w:val="0"/>
          <w:sz w:val="32"/>
          <w:szCs w:val="32"/>
          <w:shd w:val="clear" w:color="auto" w:fill="FFFFFF"/>
          <w:lang w:val="zh-CN"/>
        </w:rPr>
        <w:t>元。</w:t>
      </w:r>
    </w:p>
    <w:p>
      <w:pPr>
        <w:widowControl/>
        <w:adjustRightInd w:val="0"/>
        <w:snapToGrid w:val="0"/>
        <w:spacing w:line="576"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我单位细化预算编制工作，加强财务管理，严格按照相关财经制度执行，公务用车运行维护费的审核审批程序，“三公”经费较好地控制在预算范围之内。勤俭办公</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厉行节约，促进党风廉政建设</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保证宣传文化工作、行政后勤等各项工作的顺利进行，我部严格按照财务管理制度，固定资产管理制度，《会计法》《会计档案管理办法》《预算法》进行会计账务处理和会计档案管理。</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（二）结果应用情况</w:t>
      </w:r>
    </w:p>
    <w:p>
      <w:pPr>
        <w:widowControl/>
        <w:adjustRightInd w:val="0"/>
        <w:snapToGrid w:val="0"/>
        <w:spacing w:line="576" w:lineRule="exact"/>
        <w:ind w:firstLineChars="200" w:firstLine="640"/>
        <w:contextualSpacing/>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2021</w:t>
      </w:r>
      <w:r>
        <w:rPr>
          <w:rFonts w:ascii="仿宋_GB2312" w:eastAsia="仿宋_GB2312" w:cs="仿宋_GB2312" w:hint="eastAsia"/>
          <w:color w:val="000000"/>
          <w:kern w:val="0"/>
          <w:sz w:val="32"/>
          <w:szCs w:val="32"/>
          <w:shd w:val="clear" w:color="auto" w:fill="FFFFFF"/>
          <w:lang w:val="zh-CN"/>
        </w:rPr>
        <w:t>年，按照规定我单位在政府网站上进行了预决算公开，根据绩效评价相关文件要求，我单位成立了自评工作小组，制定自评方案，按照自评方案要求，对照各实施项目的内容逐条逐项自评，在自评过程中发现问题，查找原因，及时纠正偏差，为下一步工作夯实基础。</w:t>
      </w:r>
    </w:p>
    <w:p>
      <w:pPr>
        <w:widowControl/>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（一）评价结论</w:t>
      </w:r>
    </w:p>
    <w:p>
      <w:pPr>
        <w:spacing w:line="576" w:lineRule="exact"/>
        <w:ind w:firstLine="72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我镇按照预算法按时完成预决算编制。在执行过程中有计划进行资金申报使用，完善资金管理及内部控制制度，确保资金安全，做到账款、账账、账实相符。为全镇经济和社会事业发展提供资金保障。</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（二）存在问题</w:t>
      </w:r>
    </w:p>
    <w:p>
      <w:pPr>
        <w:spacing w:line="576" w:lineRule="exact"/>
        <w:ind w:firstLine="72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1.需更进一步规范财务报账资料。</w:t>
      </w:r>
    </w:p>
    <w:p>
      <w:pPr>
        <w:spacing w:line="576" w:lineRule="exact"/>
        <w:ind w:firstLine="72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2.属于公务卡结算目录内的费用,应加大使用公务卡结算比例。</w:t>
      </w:r>
    </w:p>
    <w:p>
      <w:pPr>
        <w:spacing w:line="576" w:lineRule="exact"/>
        <w:ind w:firstLine="72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3.需严格报账审批，切实履行各自职能职责，保障会计资料的真实性、完整性。</w:t>
      </w:r>
    </w:p>
    <w:p>
      <w:pPr>
        <w:spacing w:line="576" w:lineRule="exact"/>
        <w:ind w:firstLine="72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4.财务核算和档案管理需进一步规范。</w:t>
      </w:r>
    </w:p>
    <w:p>
      <w:pPr>
        <w:spacing w:line="576" w:lineRule="exact"/>
        <w:ind w:firstLine="72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5.财务人员工作量大、业务水平要求更高，需要进一步提高会计业务水平。</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（三）改进建议</w:t>
      </w:r>
    </w:p>
    <w:p>
      <w:pPr>
        <w:spacing w:line="576" w:lineRule="exact"/>
        <w:ind w:firstLine="72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1.进一步加强单位预算编制、支出执行、决算编制等工作的管理，特别是应加快专项资金的预算执行进度。</w:t>
      </w:r>
    </w:p>
    <w:p>
      <w:pPr>
        <w:spacing w:line="576" w:lineRule="exact"/>
        <w:ind w:firstLine="72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2.在会计核算过程中，严格按照单位内控制度、财务管理制度，加强票据审核，报销凭证应为真实、合法、有效的票据；严禁超范围、超标准、进行报销。</w:t>
      </w:r>
    </w:p>
    <w:p>
      <w:pPr>
        <w:spacing w:line="576" w:lineRule="exact"/>
        <w:ind w:firstLine="720"/>
        <w:rPr>
          <w:rFonts w:ascii="仿宋_GB2312" w:eastAsia="仿宋_GB2312" w:cs="仿宋_GB2312"/>
          <w:color w:val="000000"/>
          <w:kern w:val="0"/>
          <w:sz w:val="32"/>
          <w:szCs w:val="32"/>
          <w:shd w:val="clear" w:color="auto" w:fill="FFFFFF"/>
          <w:lang w:val="zh-CN"/>
        </w:rPr>
      </w:pPr>
    </w:p>
    <w:p>
      <w:pPr>
        <w:spacing w:line="576" w:lineRule="exact"/>
        <w:ind w:firstLine="720"/>
        <w:rPr>
          <w:rFonts w:ascii="仿宋_GB2312" w:eastAsia="仿宋_GB2312" w:cs="仿宋_GB2312"/>
          <w:color w:val="000000"/>
          <w:kern w:val="0"/>
          <w:sz w:val="32"/>
          <w:szCs w:val="32"/>
          <w:shd w:val="clear" w:color="auto" w:fill="FFFFFF"/>
          <w:lang w:val="zh-CN"/>
        </w:rPr>
      </w:pPr>
    </w:p>
    <w:p>
      <w:pPr>
        <w:spacing w:line="576" w:lineRule="exact"/>
        <w:ind w:firstLine="720"/>
        <w:rPr>
          <w:rFonts w:ascii="仿宋_GB2312" w:eastAsia="仿宋_GB2312" w:cs="仿宋_GB2312"/>
          <w:color w:val="000000"/>
          <w:kern w:val="0"/>
          <w:sz w:val="32"/>
          <w:szCs w:val="32"/>
          <w:shd w:val="clear" w:color="auto" w:fill="FFFFFF"/>
          <w:lang w:val="zh-CN"/>
        </w:rPr>
      </w:pPr>
    </w:p>
    <w:p>
      <w:pPr>
        <w:spacing w:line="576" w:lineRule="exact"/>
        <w:rPr>
          <w:rFonts w:ascii="仿宋_GB2312" w:eastAsia="仿宋_GB2312" w:cs="仿宋_GB2312"/>
          <w:color w:val="000000"/>
          <w:kern w:val="0"/>
          <w:sz w:val="32"/>
          <w:szCs w:val="32"/>
          <w:shd w:val="clear" w:color="auto" w:fill="FFFFFF"/>
          <w:lang w:val="zh-CN"/>
        </w:rPr>
      </w:pPr>
    </w:p>
    <w:p>
      <w:pPr>
        <w:spacing w:line="576" w:lineRule="exact"/>
        <w:rPr>
          <w:rFonts w:ascii="仿宋_GB2312" w:eastAsia="仿宋_GB2312" w:cs="仿宋_GB2312"/>
          <w:color w:val="000000"/>
          <w:kern w:val="0"/>
          <w:sz w:val="32"/>
          <w:szCs w:val="32"/>
          <w:shd w:val="clear" w:color="auto" w:fill="FFFFFF"/>
          <w:lang w:val="zh-CN"/>
        </w:rPr>
      </w:pPr>
    </w:p>
    <w:tbl>
      <w:tblPr>
        <w:tblpPr w:leftFromText="180" w:rightFromText="180" w:vertAnchor="text" w:horzAnchor="margin" w:tblpXSpec="center" w:tblpY="139"/>
        <w:tblW w:w="1022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81"/>
        <w:gridCol w:w="1081"/>
        <w:gridCol w:w="1075"/>
        <w:gridCol w:w="754"/>
        <w:gridCol w:w="1893"/>
        <w:gridCol w:w="3375"/>
        <w:gridCol w:w="970"/>
      </w:tblGrid>
      <w:tr>
        <w:trPr>
          <w:trHeight w:val="63"/>
        </w:trPr>
        <w:tc>
          <w:tcPr>
            <w:tcW w:w="10229" w:type="dxa"/>
            <w:gridSpan w:val="7"/>
            <w:tcBorders>
              <w:top w:val="nil"/>
              <w:left w:val="nil"/>
              <w:bottom w:val="single" w:sz="4" w:space="0" w:color="auto"/>
              <w:right w:val="nil"/>
            </w:tcBorders>
            <w:vAlign w:val="center"/>
          </w:tcPr>
          <w:p>
            <w:pPr>
              <w:widowControl/>
              <w:rPr>
                <w:rFonts w:ascii="宋体" w:cs="宋体"/>
                <w:b/>
                <w:bCs/>
                <w:kern w:val="0"/>
                <w:sz w:val="32"/>
                <w:szCs w:val="32"/>
              </w:rPr>
            </w:pPr>
          </w:p>
          <w:p>
            <w:pPr>
              <w:widowControl/>
              <w:jc w:val="center"/>
              <w:rPr>
                <w:rFonts w:ascii="方正小标宋简体" w:eastAsia="方正小标宋简体" w:cs="宋体"/>
                <w:b/>
                <w:bCs/>
                <w:kern w:val="0"/>
                <w:sz w:val="32"/>
                <w:szCs w:val="32"/>
              </w:rPr>
            </w:pPr>
            <w:r>
              <w:rPr>
                <w:rFonts w:ascii="方正小标宋简体" w:eastAsia="方正小标宋简体" w:cs="宋体" w:hint="eastAsia"/>
                <w:b/>
                <w:bCs/>
                <w:kern w:val="0"/>
                <w:sz w:val="32"/>
                <w:szCs w:val="32"/>
              </w:rPr>
              <w:t>茂县叠溪镇人民政府2022年度县级部门整体支出绩效评价指标体系</w:t>
            </w:r>
          </w:p>
        </w:tc>
      </w:tr>
      <w:tr>
        <w:trPr>
          <w:trHeight w:val="63"/>
        </w:trPr>
        <w:tc>
          <w:tcPr>
            <w:tcW w:w="3237"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ascii="宋体" w:cs="宋体"/>
                <w:b/>
                <w:bCs/>
                <w:kern w:val="0"/>
                <w:szCs w:val="21"/>
              </w:rPr>
            </w:pPr>
            <w:r>
              <w:rPr>
                <w:rFonts w:ascii="宋体" w:cs="宋体" w:hint="eastAsia"/>
                <w:b/>
                <w:bCs/>
                <w:kern w:val="0"/>
                <w:szCs w:val="21"/>
              </w:rPr>
              <w:t>绩效指标</w:t>
            </w:r>
          </w:p>
        </w:tc>
        <w:tc>
          <w:tcPr>
            <w:tcW w:w="754"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b/>
                <w:bCs/>
                <w:kern w:val="0"/>
                <w:szCs w:val="21"/>
              </w:rPr>
            </w:pPr>
            <w:r>
              <w:rPr>
                <w:rFonts w:ascii="宋体" w:cs="宋体" w:hint="eastAsia"/>
                <w:b/>
                <w:bCs/>
                <w:kern w:val="0"/>
                <w:szCs w:val="21"/>
              </w:rPr>
              <w:t>指标分值</w:t>
            </w:r>
          </w:p>
        </w:tc>
        <w:tc>
          <w:tcPr>
            <w:tcW w:w="1893"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b/>
                <w:bCs/>
                <w:kern w:val="0"/>
                <w:szCs w:val="21"/>
              </w:rPr>
            </w:pPr>
            <w:r>
              <w:rPr>
                <w:rFonts w:ascii="宋体" w:cs="宋体" w:hint="eastAsia"/>
                <w:b/>
                <w:bCs/>
                <w:kern w:val="0"/>
                <w:szCs w:val="21"/>
              </w:rPr>
              <w:t>指标解释</w:t>
            </w:r>
          </w:p>
        </w:tc>
        <w:tc>
          <w:tcPr>
            <w:tcW w:w="3375" w:type="dxa"/>
            <w:vMerge w:val="restart"/>
            <w:tcBorders>
              <w:top w:val="nil"/>
              <w:left w:val="nil"/>
              <w:bottom w:val="single" w:sz="4" w:space="0" w:color="000000"/>
              <w:right w:val="single" w:sz="4" w:space="0" w:color="auto"/>
            </w:tcBorders>
            <w:vAlign w:val="center"/>
          </w:tcPr>
          <w:p>
            <w:pPr>
              <w:widowControl/>
              <w:jc w:val="center"/>
              <w:rPr>
                <w:rFonts w:ascii="宋体" w:cs="宋体"/>
                <w:b/>
                <w:bCs/>
                <w:kern w:val="0"/>
                <w:szCs w:val="21"/>
              </w:rPr>
            </w:pPr>
            <w:r>
              <w:rPr>
                <w:rFonts w:ascii="宋体" w:cs="宋体" w:hint="eastAsia"/>
                <w:b/>
                <w:bCs/>
                <w:kern w:val="0"/>
                <w:szCs w:val="21"/>
              </w:rPr>
              <w:t>计分标准</w:t>
            </w:r>
          </w:p>
        </w:tc>
        <w:tc>
          <w:tcPr>
            <w:tcW w:w="970" w:type="dxa"/>
            <w:vMerge w:val="restart"/>
            <w:tcBorders>
              <w:top w:val="nil"/>
              <w:left w:val="single" w:sz="4" w:space="0" w:color="auto"/>
              <w:bottom w:val="single" w:sz="4" w:space="0" w:color="000000"/>
              <w:right w:val="single" w:sz="4" w:space="0" w:color="auto"/>
            </w:tcBorders>
            <w:vAlign w:val="center"/>
          </w:tcPr>
          <w:p>
            <w:pPr>
              <w:widowControl/>
              <w:jc w:val="center"/>
              <w:rPr>
                <w:rFonts w:ascii="宋体" w:cs="宋体"/>
                <w:b/>
                <w:bCs/>
                <w:kern w:val="0"/>
                <w:szCs w:val="21"/>
              </w:rPr>
            </w:pPr>
            <w:r>
              <w:rPr>
                <w:rFonts w:ascii="宋体" w:cs="宋体" w:hint="eastAsia"/>
                <w:b/>
                <w:bCs/>
                <w:kern w:val="0"/>
                <w:szCs w:val="21"/>
              </w:rPr>
              <w:t>自评得分</w:t>
            </w:r>
          </w:p>
        </w:tc>
      </w:tr>
      <w:tr>
        <w:trPr>
          <w:trHeight w:val="31"/>
        </w:trPr>
        <w:tc>
          <w:tcPr>
            <w:tcW w:w="1081" w:type="dxa"/>
            <w:tcBorders>
              <w:top w:val="nil"/>
              <w:left w:val="single" w:sz="4" w:space="0" w:color="auto"/>
              <w:bottom w:val="single" w:sz="4" w:space="0" w:color="auto"/>
              <w:right w:val="single" w:sz="4" w:space="0" w:color="auto"/>
            </w:tcBorders>
            <w:vAlign w:val="center"/>
          </w:tcPr>
          <w:p>
            <w:pPr>
              <w:widowControl/>
              <w:jc w:val="center"/>
              <w:rPr>
                <w:rFonts w:ascii="宋体" w:cs="宋体"/>
                <w:b/>
                <w:bCs/>
                <w:kern w:val="0"/>
                <w:szCs w:val="21"/>
              </w:rPr>
            </w:pPr>
            <w:r>
              <w:rPr>
                <w:rFonts w:ascii="宋体" w:cs="宋体" w:hint="eastAsia"/>
                <w:b/>
                <w:bCs/>
                <w:kern w:val="0"/>
                <w:szCs w:val="21"/>
              </w:rPr>
              <w:t>一级指标</w:t>
            </w:r>
          </w:p>
        </w:tc>
        <w:tc>
          <w:tcPr>
            <w:tcW w:w="1081" w:type="dxa"/>
            <w:tcBorders>
              <w:top w:val="nil"/>
              <w:left w:val="nil"/>
              <w:bottom w:val="single" w:sz="4" w:space="0" w:color="auto"/>
              <w:right w:val="single" w:sz="4" w:space="0" w:color="auto"/>
            </w:tcBorders>
            <w:vAlign w:val="center"/>
          </w:tcPr>
          <w:p>
            <w:pPr>
              <w:widowControl/>
              <w:jc w:val="center"/>
              <w:rPr>
                <w:rFonts w:ascii="宋体" w:cs="宋体"/>
                <w:b/>
                <w:bCs/>
                <w:kern w:val="0"/>
                <w:szCs w:val="21"/>
              </w:rPr>
            </w:pPr>
            <w:r>
              <w:rPr>
                <w:rFonts w:ascii="宋体" w:cs="宋体" w:hint="eastAsia"/>
                <w:b/>
                <w:bCs/>
                <w:kern w:val="0"/>
                <w:szCs w:val="21"/>
              </w:rPr>
              <w:t>二级指标</w:t>
            </w:r>
          </w:p>
        </w:tc>
        <w:tc>
          <w:tcPr>
            <w:tcW w:w="1075" w:type="dxa"/>
            <w:tcBorders>
              <w:top w:val="nil"/>
              <w:left w:val="nil"/>
              <w:bottom w:val="single" w:sz="4" w:space="0" w:color="auto"/>
              <w:right w:val="single" w:sz="4" w:space="0" w:color="auto"/>
            </w:tcBorders>
            <w:vAlign w:val="center"/>
          </w:tcPr>
          <w:p>
            <w:pPr>
              <w:widowControl/>
              <w:jc w:val="center"/>
              <w:rPr>
                <w:rFonts w:ascii="宋体" w:cs="宋体"/>
                <w:b/>
                <w:bCs/>
                <w:kern w:val="0"/>
                <w:szCs w:val="21"/>
              </w:rPr>
            </w:pPr>
            <w:r>
              <w:rPr>
                <w:rFonts w:ascii="宋体" w:cs="宋体" w:hint="eastAsia"/>
                <w:b/>
                <w:bCs/>
                <w:kern w:val="0"/>
                <w:szCs w:val="21"/>
              </w:rPr>
              <w:t>三级指标</w:t>
            </w:r>
          </w:p>
        </w:tc>
        <w:tc>
          <w:tcPr>
            <w:tcW w:w="754" w:type="dxa"/>
            <w:vMerge/>
            <w:tcBorders>
              <w:top w:val="nil"/>
              <w:left w:val="single" w:sz="4" w:space="0" w:color="auto"/>
              <w:bottom w:val="single" w:sz="4" w:space="0" w:color="auto"/>
              <w:right w:val="single" w:sz="4" w:space="0" w:color="auto"/>
            </w:tcBorders>
            <w:vAlign w:val="center"/>
          </w:tcPr>
          <w:p/>
        </w:tc>
        <w:tc>
          <w:tcPr>
            <w:tcW w:w="1893" w:type="dxa"/>
            <w:vMerge/>
            <w:tcBorders>
              <w:top w:val="nil"/>
              <w:left w:val="single" w:sz="4" w:space="0" w:color="auto"/>
              <w:bottom w:val="single" w:sz="4" w:space="0" w:color="auto"/>
              <w:right w:val="single" w:sz="4" w:space="0" w:color="auto"/>
            </w:tcBorders>
            <w:vAlign w:val="center"/>
          </w:tcPr>
          <w:p/>
        </w:tc>
        <w:tc>
          <w:tcPr>
            <w:tcW w:w="3375" w:type="dxa"/>
            <w:vMerge/>
            <w:tcBorders>
              <w:top w:val="nil"/>
              <w:left w:val="nil"/>
              <w:bottom w:val="single" w:sz="4" w:space="0" w:color="000000"/>
              <w:right w:val="single" w:sz="4" w:space="0" w:color="auto"/>
            </w:tcBorders>
            <w:vAlign w:val="center"/>
          </w:tcPr>
          <w:p/>
        </w:tc>
        <w:tc>
          <w:tcPr>
            <w:tcW w:w="970" w:type="dxa"/>
            <w:vMerge/>
            <w:tcBorders>
              <w:top w:val="nil"/>
              <w:left w:val="single" w:sz="4" w:space="0" w:color="auto"/>
              <w:bottom w:val="single" w:sz="4" w:space="0" w:color="000000"/>
              <w:right w:val="single" w:sz="4" w:space="0" w:color="auto"/>
            </w:tcBorders>
            <w:vAlign w:val="center"/>
          </w:tcPr>
          <w:p/>
        </w:tc>
      </w:tr>
      <w:tr>
        <w:trPr>
          <w:trHeight w:val="140"/>
        </w:trPr>
        <w:tc>
          <w:tcPr>
            <w:tcW w:w="1081" w:type="dxa"/>
            <w:vMerge w:val="restart"/>
            <w:tcBorders>
              <w:top w:val="nil"/>
              <w:left w:val="single" w:sz="4" w:space="0" w:color="auto"/>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部门预算管理（60分）</w:t>
            </w:r>
          </w:p>
        </w:tc>
        <w:tc>
          <w:tcPr>
            <w:tcW w:w="1081" w:type="dxa"/>
            <w:vMerge w:val="restart"/>
            <w:tcBorders>
              <w:top w:val="nil"/>
              <w:left w:val="single" w:sz="4" w:space="0" w:color="auto"/>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预算编制（24分）</w:t>
            </w: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目标制定</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评价部门绩效目标是否要素完整、细化量化。</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1.绩效目标编制要素完整的，得4分，否则酌情扣分。2.绩效指标细化量化的，得4分，否则酌情扣分。有项目绩效目标的部门（单位），根据项目绩效目标编制质量打分，无项目绩效目标的部门，根据部门整体支出绩效目标打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r>
      <w:tr>
        <w:trPr>
          <w:trHeight w:val="161"/>
        </w:trPr>
        <w:tc>
          <w:tcPr>
            <w:tcW w:w="1081" w:type="dxa"/>
            <w:vMerge/>
            <w:tcBorders>
              <w:top w:val="nil"/>
              <w:left w:val="single" w:sz="4" w:space="0" w:color="auto"/>
              <w:bottom w:val="single" w:sz="4" w:space="0" w:color="auto"/>
              <w:right w:val="single" w:sz="4" w:space="0" w:color="auto"/>
            </w:tcBorders>
            <w:vAlign w:val="center"/>
          </w:tcPr>
          <w:p/>
        </w:tc>
        <w:tc>
          <w:tcPr>
            <w:tcW w:w="1081" w:type="dxa"/>
            <w:vMerge/>
            <w:tcBorders>
              <w:top w:val="nil"/>
              <w:left w:val="single" w:sz="4" w:space="0" w:color="auto"/>
              <w:bottom w:val="single" w:sz="4" w:space="0" w:color="auto"/>
              <w:right w:val="single" w:sz="4" w:space="0" w:color="auto"/>
            </w:tcBorders>
            <w:vAlign w:val="center"/>
          </w:tcP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目标实现</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评价部门绩效目标实际实现程度与预期目标的偏离度。</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color w:val="000000"/>
                <w:kern w:val="0"/>
                <w:szCs w:val="21"/>
              </w:rPr>
            </w:pPr>
            <w:r>
              <w:rPr>
                <w:rFonts w:ascii="仿宋_GB2312" w:eastAsia="仿宋_GB2312" w:cs="宋体" w:hint="eastAsia"/>
                <w:color w:val="000000"/>
                <w:kern w:val="0"/>
                <w:szCs w:val="21"/>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r>
      <w:tr>
        <w:trPr>
          <w:trHeight w:val="124"/>
        </w:trPr>
        <w:tc>
          <w:tcPr>
            <w:tcW w:w="1081" w:type="dxa"/>
            <w:vMerge/>
            <w:tcBorders>
              <w:top w:val="nil"/>
              <w:left w:val="single" w:sz="4" w:space="0" w:color="auto"/>
              <w:bottom w:val="single" w:sz="4" w:space="0" w:color="auto"/>
              <w:right w:val="single" w:sz="4" w:space="0" w:color="auto"/>
            </w:tcBorders>
            <w:vAlign w:val="center"/>
          </w:tcPr>
          <w:p/>
        </w:tc>
        <w:tc>
          <w:tcPr>
            <w:tcW w:w="1081" w:type="dxa"/>
            <w:vMerge/>
            <w:tcBorders>
              <w:top w:val="nil"/>
              <w:left w:val="single" w:sz="4" w:space="0" w:color="auto"/>
              <w:bottom w:val="single" w:sz="4" w:space="0" w:color="auto"/>
              <w:right w:val="single" w:sz="4" w:space="0" w:color="auto"/>
            </w:tcBorders>
            <w:vAlign w:val="center"/>
          </w:tcP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编制准确</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评价部门年初预算编制是否科学准确。</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指标得分=（1-（10×部门全年预算调剂金额/年初部门预算数））*指标分值。其中：若部门全年预算调剂金额/年初部门预算数&gt;0.1，此项得0分。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r>
      <w:tr>
        <w:trPr>
          <w:trHeight w:val="158"/>
        </w:trPr>
        <w:tc>
          <w:tcPr>
            <w:tcW w:w="1081" w:type="dxa"/>
            <w:vMerge/>
            <w:tcBorders>
              <w:top w:val="nil"/>
              <w:left w:val="single" w:sz="4" w:space="0" w:color="auto"/>
              <w:bottom w:val="single" w:sz="4" w:space="0" w:color="auto"/>
              <w:right w:val="single" w:sz="4" w:space="0" w:color="auto"/>
            </w:tcBorders>
            <w:vAlign w:val="center"/>
          </w:tcPr>
          <w:p/>
        </w:tc>
        <w:tc>
          <w:tcPr>
            <w:tcW w:w="1081" w:type="dxa"/>
            <w:vMerge w:val="restart"/>
            <w:tcBorders>
              <w:top w:val="nil"/>
              <w:left w:val="single" w:sz="4" w:space="0" w:color="auto"/>
              <w:bottom w:val="single" w:sz="4" w:space="0" w:color="000000"/>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预算执行（20分）</w:t>
            </w: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支出控制</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6</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部门公用经费及非定额公用支出控制情况。</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计算部门日常公用经费、项目支出中“办公费、印刷费、水费、电费、物业管理费”等科目年初预算数与决算数偏差程度预决算偏差程度在10%以内的，得6分。偏差度在10%-20%之间的，得3分，偏差度超过20%的，不得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3</w:t>
            </w:r>
          </w:p>
        </w:tc>
      </w:tr>
      <w:tr>
        <w:trPr>
          <w:trHeight w:val="209"/>
        </w:trPr>
        <w:tc>
          <w:tcPr>
            <w:tcW w:w="1081" w:type="dxa"/>
            <w:vMerge/>
            <w:tcBorders>
              <w:top w:val="nil"/>
              <w:left w:val="single" w:sz="4" w:space="0" w:color="auto"/>
              <w:bottom w:val="single" w:sz="4" w:space="0" w:color="auto"/>
              <w:right w:val="single" w:sz="4" w:space="0" w:color="auto"/>
            </w:tcBorders>
            <w:vAlign w:val="center"/>
          </w:tcPr>
          <w:p/>
        </w:tc>
        <w:tc>
          <w:tcPr>
            <w:tcW w:w="1081" w:type="dxa"/>
            <w:vMerge/>
            <w:tcBorders>
              <w:top w:val="nil"/>
              <w:left w:val="single" w:sz="4" w:space="0" w:color="auto"/>
              <w:bottom w:val="single" w:sz="4" w:space="0" w:color="000000"/>
              <w:right w:val="single" w:sz="4" w:space="0" w:color="auto"/>
            </w:tcBorders>
            <w:vAlign w:val="center"/>
          </w:tcP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动态调整</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评价部门开展绩效运行监控后，将绩效监控结果应用到预算调整的情况。</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1.当部门绩效监控调整取消额和结余注销额均不为零时，指标得分=部门项目支出绩效监控调整取消额÷(部门绩效监控调整取消额+预算结余注销额）*82.当部门绩效监控调整取消额为零，结余注销额不为零时，指标得分=（1-10*结余注销额/年度预算总额）*8，结余注销额超过部门年度预算总额10%的，指标不得分。3.当部门绩效监控调整取消额与结余注销额均为零时，得满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r>
      <w:tr>
        <w:trPr>
          <w:trHeight w:val="156"/>
        </w:trPr>
        <w:tc>
          <w:tcPr>
            <w:tcW w:w="1081" w:type="dxa"/>
            <w:vMerge/>
            <w:tcBorders>
              <w:top w:val="nil"/>
              <w:left w:val="single" w:sz="4" w:space="0" w:color="auto"/>
              <w:bottom w:val="single" w:sz="4" w:space="0" w:color="auto"/>
              <w:right w:val="single" w:sz="4" w:space="0" w:color="auto"/>
            </w:tcBorders>
            <w:vAlign w:val="center"/>
          </w:tcPr>
          <w:p/>
        </w:tc>
        <w:tc>
          <w:tcPr>
            <w:tcW w:w="1081" w:type="dxa"/>
            <w:vMerge/>
            <w:tcBorders>
              <w:top w:val="nil"/>
              <w:left w:val="single" w:sz="4" w:space="0" w:color="auto"/>
              <w:bottom w:val="single" w:sz="4" w:space="0" w:color="000000"/>
              <w:right w:val="single" w:sz="4" w:space="0" w:color="auto"/>
            </w:tcBorders>
            <w:vAlign w:val="center"/>
          </w:tcP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执行进度</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6</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评价部门在6、9、11月的预算执行情况。</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部门预算执行进度在6、9、11月应达到序时进度的80%、90%、90%，即实际支出进度分别达到40%、67.5%、82.5%。6、9、11月部门预算执行进度达到量化指标的各得2分，未达到目标进度的按其实际进度占目标进度的比重计算得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0</w:t>
            </w:r>
          </w:p>
        </w:tc>
      </w:tr>
      <w:tr>
        <w:trPr>
          <w:trHeight w:val="158"/>
        </w:trPr>
        <w:tc>
          <w:tcPr>
            <w:tcW w:w="1081" w:type="dxa"/>
            <w:vMerge/>
            <w:tcBorders>
              <w:top w:val="nil"/>
              <w:left w:val="single" w:sz="4" w:space="0" w:color="auto"/>
              <w:bottom w:val="single" w:sz="4" w:space="0" w:color="auto"/>
              <w:right w:val="single" w:sz="4" w:space="0" w:color="auto"/>
            </w:tcBorders>
            <w:vAlign w:val="center"/>
          </w:tcPr>
          <w:p/>
        </w:tc>
        <w:tc>
          <w:tcPr>
            <w:tcW w:w="1081" w:type="dxa"/>
            <w:vMerge w:val="restart"/>
            <w:tcBorders>
              <w:top w:val="nil"/>
              <w:left w:val="single" w:sz="4" w:space="0" w:color="auto"/>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完成结果（16分）</w:t>
            </w: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预算完成</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评价部门预算项目年终预算执行情况。</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部门预算项目12月预算执行进度达到100%的，得8分，未达100%的，按照实际进度量化计算得分。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r>
      <w:tr>
        <w:trPr>
          <w:trHeight w:val="158"/>
        </w:trPr>
        <w:tc>
          <w:tcPr>
            <w:tcW w:w="1081" w:type="dxa"/>
            <w:vMerge/>
            <w:tcBorders>
              <w:top w:val="nil"/>
              <w:left w:val="single" w:sz="4" w:space="0" w:color="auto"/>
              <w:bottom w:val="single" w:sz="4" w:space="0" w:color="auto"/>
              <w:right w:val="single" w:sz="4" w:space="0" w:color="auto"/>
            </w:tcBorders>
            <w:vAlign w:val="center"/>
          </w:tcPr>
          <w:p/>
        </w:tc>
        <w:tc>
          <w:tcPr>
            <w:tcW w:w="1081" w:type="dxa"/>
            <w:vMerge/>
            <w:tcBorders>
              <w:top w:val="nil"/>
              <w:left w:val="single" w:sz="4" w:space="0" w:color="auto"/>
              <w:bottom w:val="single" w:sz="4" w:space="0" w:color="auto"/>
              <w:right w:val="single" w:sz="4" w:space="0" w:color="auto"/>
            </w:tcBorders>
            <w:vAlign w:val="center"/>
          </w:tcP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违规记录</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根据审计监督、财政检查结果反映部门上一年度部门预算管理是否合规。</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依据评价年度审计监督、财政检查结果，出现部门预算管理方面违纪违规问题的，每个问题扣0.5分，直至扣完。</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8</w:t>
            </w:r>
          </w:p>
        </w:tc>
      </w:tr>
      <w:tr>
        <w:trPr>
          <w:trHeight w:val="158"/>
        </w:trPr>
        <w:tc>
          <w:tcPr>
            <w:tcW w:w="1081" w:type="dxa"/>
            <w:tcBorders>
              <w:top w:val="nil"/>
              <w:left w:val="single" w:sz="4" w:space="0" w:color="auto"/>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专项预算管理（20分）</w:t>
            </w:r>
          </w:p>
        </w:tc>
        <w:tc>
          <w:tcPr>
            <w:tcW w:w="8178" w:type="dxa"/>
            <w:gridSpan w:val="5"/>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部门按照专项项目自评工作要求对本部门管理的专项进行自评并打分，形成自评报告，本次提交部门整体支出绩效评价报告时暂无需提供专项自评报告。评价组将对部门专项自评报告进行质量审核，根据质量审核得分，对专项自评得分进行调整，作为重点评价得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18</w:t>
            </w:r>
          </w:p>
        </w:tc>
      </w:tr>
      <w:tr>
        <w:trPr>
          <w:trHeight w:val="114"/>
        </w:trPr>
        <w:tc>
          <w:tcPr>
            <w:tcW w:w="1081" w:type="dxa"/>
            <w:vMerge w:val="restart"/>
            <w:tcBorders>
              <w:top w:val="nil"/>
              <w:left w:val="single" w:sz="4" w:space="0" w:color="auto"/>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绩效结果应用（10分）</w:t>
            </w:r>
          </w:p>
        </w:tc>
        <w:tc>
          <w:tcPr>
            <w:tcW w:w="1081"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信息公开（2分）</w:t>
            </w: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自评公开</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2</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评价部门是否按要求将部门整体绩效自评情况和自行组织的评价情况向社会公开。</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按要求将相关绩效信息随同决算公开的，得2分，否则不得分。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2</w:t>
            </w:r>
          </w:p>
        </w:tc>
      </w:tr>
      <w:tr>
        <w:trPr>
          <w:trHeight w:val="122"/>
        </w:trPr>
        <w:tc>
          <w:tcPr>
            <w:tcW w:w="1081" w:type="dxa"/>
            <w:vMerge/>
            <w:tcBorders>
              <w:top w:val="nil"/>
              <w:left w:val="single" w:sz="4" w:space="0" w:color="auto"/>
              <w:bottom w:val="single" w:sz="4" w:space="0" w:color="auto"/>
              <w:right w:val="single" w:sz="4" w:space="0" w:color="auto"/>
            </w:tcBorders>
            <w:vAlign w:val="center"/>
          </w:tcPr>
          <w:p/>
        </w:tc>
        <w:tc>
          <w:tcPr>
            <w:tcW w:w="1081" w:type="dxa"/>
            <w:vMerge w:val="restart"/>
            <w:tcBorders>
              <w:top w:val="nil"/>
              <w:left w:val="single" w:sz="4" w:space="0" w:color="auto"/>
              <w:bottom w:val="single" w:sz="4" w:space="0" w:color="000000"/>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整改反馈（8分）</w:t>
            </w: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结果整改</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4</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评价部门根据绩效管理结果整改问题、完善政策、改进管理的情况。</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针对绩效管理过程中（包括绩效目标核查、绩效监控核查和重点绩效评价）提出的问题进行整改，将绩效管理结果与预算安排进行挂钩的，得4分。否则，酌情扣分。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4</w:t>
            </w:r>
          </w:p>
        </w:tc>
      </w:tr>
      <w:tr>
        <w:trPr>
          <w:trHeight w:val="102"/>
        </w:trPr>
        <w:tc>
          <w:tcPr>
            <w:tcW w:w="1081" w:type="dxa"/>
            <w:vMerge/>
            <w:tcBorders>
              <w:top w:val="nil"/>
              <w:left w:val="single" w:sz="4" w:space="0" w:color="auto"/>
              <w:bottom w:val="single" w:sz="4" w:space="0" w:color="auto"/>
              <w:right w:val="single" w:sz="4" w:space="0" w:color="auto"/>
            </w:tcBorders>
            <w:vAlign w:val="center"/>
          </w:tcPr>
          <w:p/>
        </w:tc>
        <w:tc>
          <w:tcPr>
            <w:tcW w:w="1081" w:type="dxa"/>
            <w:vMerge/>
            <w:tcBorders>
              <w:top w:val="nil"/>
              <w:left w:val="single" w:sz="4" w:space="0" w:color="auto"/>
              <w:bottom w:val="single" w:sz="4" w:space="0" w:color="000000"/>
              <w:right w:val="single" w:sz="4" w:space="0" w:color="auto"/>
            </w:tcBorders>
            <w:vAlign w:val="center"/>
          </w:tcP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应用反馈</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4</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评价部门按要求及时向财政部门反馈结果应用情况。</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部门在规定时间内向财政部门反馈应用绩效结果报告的，得满分，否则不得分。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4</w:t>
            </w:r>
          </w:p>
        </w:tc>
      </w:tr>
      <w:tr>
        <w:trPr>
          <w:trHeight w:val="114"/>
        </w:trPr>
        <w:tc>
          <w:tcPr>
            <w:tcW w:w="1081" w:type="dxa"/>
            <w:tcBorders>
              <w:top w:val="nil"/>
              <w:left w:val="single" w:sz="4" w:space="0" w:color="auto"/>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自评质量（10分）</w:t>
            </w:r>
          </w:p>
        </w:tc>
        <w:tc>
          <w:tcPr>
            <w:tcW w:w="1081"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自评质量（10分）</w:t>
            </w:r>
          </w:p>
        </w:tc>
        <w:tc>
          <w:tcPr>
            <w:tcW w:w="1075"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自评准确</w:t>
            </w:r>
          </w:p>
        </w:tc>
        <w:tc>
          <w:tcPr>
            <w:tcW w:w="754"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10</w:t>
            </w:r>
          </w:p>
        </w:tc>
        <w:tc>
          <w:tcPr>
            <w:tcW w:w="1893"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评价部门整体支出自评准确率。</w:t>
            </w:r>
          </w:p>
        </w:tc>
        <w:tc>
          <w:tcPr>
            <w:tcW w:w="3375" w:type="dxa"/>
            <w:tcBorders>
              <w:top w:val="nil"/>
              <w:left w:val="nil"/>
              <w:bottom w:val="single" w:sz="4" w:space="0" w:color="auto"/>
              <w:right w:val="single" w:sz="4" w:space="0" w:color="auto"/>
            </w:tcBorders>
            <w:vAlign w:val="center"/>
          </w:tcPr>
          <w:p>
            <w:pPr>
              <w:widowControl/>
              <w:jc w:val="left"/>
              <w:rPr>
                <w:rFonts w:ascii="仿宋_GB2312" w:eastAsia="仿宋_GB2312" w:cs="宋体"/>
                <w:kern w:val="0"/>
                <w:szCs w:val="21"/>
              </w:rPr>
            </w:pPr>
            <w:r>
              <w:rPr>
                <w:rFonts w:ascii="仿宋_GB2312" w:eastAsia="仿宋_GB2312" w:cs="宋体" w:hint="eastAsia"/>
                <w:kern w:val="0"/>
                <w:szCs w:val="21"/>
              </w:rPr>
              <w:t>部门整体支出自评得分与评价组抽查得分差异在5%以内的，不扣分；在5%-10%之间的，扣4分，在10%-20%的，扣8分，在20%以上的，扣10分。（部门在自评时，此项指标无需打分，部门自评满分为90分）</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p>
        </w:tc>
      </w:tr>
      <w:tr>
        <w:trPr>
          <w:trHeight w:val="52"/>
        </w:trPr>
        <w:tc>
          <w:tcPr>
            <w:tcW w:w="9259" w:type="dxa"/>
            <w:gridSpan w:val="6"/>
            <w:tcBorders>
              <w:top w:val="single" w:sz="4" w:space="0" w:color="auto"/>
              <w:left w:val="single" w:sz="4" w:space="0" w:color="auto"/>
              <w:bottom w:val="single" w:sz="4" w:space="0" w:color="auto"/>
              <w:right w:val="single" w:sz="4" w:space="0" w:color="000000"/>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合计</w:t>
            </w:r>
          </w:p>
        </w:tc>
        <w:tc>
          <w:tcPr>
            <w:tcW w:w="970" w:type="dxa"/>
            <w:tcBorders>
              <w:top w:val="nil"/>
              <w:left w:val="nil"/>
              <w:bottom w:val="single" w:sz="4" w:space="0" w:color="auto"/>
              <w:right w:val="single" w:sz="4" w:space="0" w:color="auto"/>
            </w:tcBorders>
            <w:vAlign w:val="center"/>
          </w:tcPr>
          <w:p>
            <w:pPr>
              <w:widowControl/>
              <w:jc w:val="center"/>
              <w:rPr>
                <w:rFonts w:ascii="仿宋_GB2312" w:eastAsia="仿宋_GB2312" w:cs="宋体"/>
                <w:kern w:val="0"/>
                <w:szCs w:val="21"/>
              </w:rPr>
            </w:pPr>
            <w:r>
              <w:rPr>
                <w:rFonts w:ascii="仿宋_GB2312" w:eastAsia="仿宋_GB2312" w:cs="宋体" w:hint="eastAsia"/>
                <w:kern w:val="0"/>
                <w:szCs w:val="21"/>
              </w:rPr>
              <w:t>79</w:t>
            </w:r>
          </w:p>
        </w:tc>
      </w:tr>
    </w:tbl>
    <w:p>
      <w:pPr>
        <w:spacing w:line="580" w:lineRule="exact"/>
        <w:rPr>
          <w:rFonts w:ascii="仿宋_GB2312" w:eastAsia="仿宋_GB2312" w:cs="仿宋_GB2312"/>
          <w:sz w:val="32"/>
          <w:szCs w:val="32"/>
        </w:rPr>
      </w:pPr>
    </w:p>
    <w:p>
      <w:pPr>
        <w:spacing w:line="576" w:lineRule="exact"/>
        <w:jc w:val="left"/>
        <w:outlineLvl w:val="0"/>
        <w:rPr>
          <w:rFonts w:ascii="黑体" w:eastAsia="黑体" w:cs="黑体"/>
          <w:sz w:val="32"/>
          <w:szCs w:val="32"/>
        </w:rPr>
      </w:pPr>
      <w:bookmarkStart w:id="119" w:name="_Toc79163883"/>
      <w:bookmarkStart w:id="120" w:name="_Toc79163633"/>
      <w:r>
        <w:rPr>
          <w:rFonts w:ascii="黑体" w:eastAsia="黑体" w:cs="黑体" w:hint="eastAsia"/>
          <w:sz w:val="32"/>
          <w:szCs w:val="32"/>
        </w:rPr>
        <w:t>附件</w:t>
      </w:r>
      <w:r>
        <w:rPr>
          <w:rFonts w:ascii="黑体" w:eastAsia="黑体" w:cs="黑体"/>
          <w:sz w:val="32"/>
          <w:szCs w:val="32"/>
        </w:rPr>
        <w:t>2</w:t>
      </w:r>
      <w:bookmarkEnd w:id="119"/>
      <w:bookmarkEnd w:id="120"/>
    </w:p>
    <w:p>
      <w:pPr>
        <w:spacing w:line="576" w:lineRule="exact"/>
        <w:jc w:val="center"/>
        <w:rPr>
          <w:rFonts w:ascii="方正小标宋简体" w:eastAsia="方正小标宋简体" w:cs="宋体"/>
          <w:sz w:val="44"/>
          <w:szCs w:val="44"/>
        </w:rPr>
      </w:pPr>
      <w:r>
        <w:rPr>
          <w:rFonts w:ascii="方正小标宋简体" w:eastAsia="方正小标宋简体" w:cs="宋体" w:hint="eastAsia"/>
          <w:sz w:val="44"/>
          <w:szCs w:val="44"/>
        </w:rPr>
        <w:t>茂县基层组织活动和公共服务运行补助经费支出绩效评价报告</w:t>
      </w:r>
    </w:p>
    <w:p>
      <w:pPr>
        <w:adjustRightInd w:val="0"/>
        <w:snapToGrid w:val="0"/>
        <w:spacing w:line="576"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720"/>
        <w:rPr>
          <w:rFonts w:ascii="仿宋_GB2312" w:cs="仿宋_GB2312" w:hAnsi="仿宋_GB2312"/>
          <w:sz w:val="32"/>
          <w:szCs w:val="32"/>
        </w:rPr>
      </w:pPr>
      <w:r>
        <w:rPr>
          <w:rFonts w:ascii="楷体_GB2312" w:eastAsia="楷体_GB2312" w:hint="eastAsia"/>
          <w:b/>
          <w:sz w:val="32"/>
          <w:szCs w:val="32"/>
          <w:lang w:val="zh-CN"/>
        </w:rPr>
        <w:t>（一）项目基本情况</w:t>
      </w:r>
    </w:p>
    <w:p>
      <w:pPr>
        <w:adjustRightInd w:val="0"/>
        <w:snapToGrid w:val="0"/>
        <w:spacing w:line="576" w:lineRule="exact"/>
        <w:ind w:firstLine="720"/>
        <w:rPr>
          <w:rFonts w:ascii="仿宋_GB2312" w:eastAsia="仿宋_GB2312"/>
          <w:sz w:val="32"/>
          <w:szCs w:val="32"/>
        </w:rPr>
      </w:pPr>
      <w:r>
        <w:rPr>
          <w:rFonts w:ascii="仿宋_GB2312" w:eastAsia="仿宋_GB2312" w:cs="仿宋_GB2312" w:hint="eastAsia"/>
          <w:b/>
          <w:sz w:val="32"/>
          <w:szCs w:val="32"/>
        </w:rPr>
        <w:t>1.帮扶资金。</w:t>
      </w:r>
      <w:r>
        <w:rPr>
          <w:rFonts w:ascii="仿宋_GB2312" w:eastAsia="仿宋_GB2312" w:cs="仿宋_GB2312" w:hint="eastAsia"/>
          <w:kern w:val="2"/>
          <w:sz w:val="32"/>
          <w:szCs w:val="32"/>
        </w:rPr>
        <w:t>我镇</w:t>
      </w:r>
      <w:r>
        <w:rPr>
          <w:rFonts w:ascii="仿宋_GB2312" w:eastAsia="仿宋_GB2312" w:hint="eastAsia"/>
          <w:sz w:val="32"/>
          <w:szCs w:val="32"/>
        </w:rPr>
        <w:t>基层组织活动和公共服务运行补助经费</w:t>
      </w:r>
      <w:r>
        <w:rPr>
          <w:rFonts w:ascii="仿宋_GB2312" w:eastAsia="仿宋_GB2312" w:cs="仿宋_GB2312" w:hint="eastAsia"/>
          <w:kern w:val="2"/>
          <w:sz w:val="32"/>
          <w:szCs w:val="32"/>
        </w:rPr>
        <w:t>应收到财政下拨264万元，按合并前每个村11万元下达，</w:t>
      </w:r>
      <w:r>
        <w:rPr>
          <w:rFonts w:ascii="仿宋_GB2312" w:eastAsia="仿宋_GB2312" w:hint="eastAsia"/>
          <w:sz w:val="32"/>
          <w:szCs w:val="32"/>
        </w:rPr>
        <w:t>其中：省财政补助每村7万元/年,社区4万元/年；州财政补助每村2万元/年，社区2万元/年；县财政补助每村2万元/年，社区2万元/年。</w:t>
      </w:r>
    </w:p>
    <w:p>
      <w:pPr>
        <w:adjustRightInd w:val="0"/>
        <w:snapToGrid w:val="0"/>
        <w:spacing w:line="576" w:lineRule="exact"/>
        <w:ind w:firstLine="720"/>
        <w:rPr>
          <w:rFonts w:ascii="仿宋_GB2312" w:eastAsia="仿宋_GB2312"/>
          <w:sz w:val="32"/>
          <w:szCs w:val="32"/>
        </w:rPr>
      </w:pPr>
      <w:r>
        <w:rPr>
          <w:rFonts w:ascii="仿宋_GB2312" w:eastAsia="仿宋_GB2312" w:cs="仿宋_GB2312" w:hint="eastAsia"/>
          <w:b/>
          <w:sz w:val="32"/>
          <w:szCs w:val="32"/>
        </w:rPr>
        <w:t>2.资金使用方向。</w:t>
      </w:r>
      <w:r>
        <w:rPr>
          <w:rFonts w:ascii="仿宋_GB2312" w:eastAsia="仿宋_GB2312" w:cs="楷体" w:hint="eastAsia"/>
          <w:bCs/>
          <w:sz w:val="32"/>
          <w:szCs w:val="32"/>
        </w:rPr>
        <w:t>一是农村基础设施和环境类项目的运行维护。</w:t>
      </w:r>
      <w:r>
        <w:rPr>
          <w:rFonts w:ascii="仿宋_GB2312" w:eastAsia="仿宋_GB2312" w:hint="eastAsia"/>
          <w:sz w:val="32"/>
          <w:szCs w:val="32"/>
        </w:rPr>
        <w:t>包括村内户外道路、水利、供水、供电、通讯、互联网等基础设施，农村垃圾、污水集中处理，农村客运、邮政、园林绿化等。</w:t>
      </w:r>
      <w:r>
        <w:rPr>
          <w:rFonts w:ascii="仿宋_GB2312" w:eastAsia="仿宋_GB2312" w:cs="楷体" w:hint="eastAsia"/>
          <w:bCs/>
          <w:sz w:val="32"/>
          <w:szCs w:val="32"/>
        </w:rPr>
        <w:t>二是农业生产服务类项目的运行维护。</w:t>
      </w:r>
      <w:r>
        <w:rPr>
          <w:rFonts w:ascii="仿宋_GB2312" w:eastAsia="仿宋_GB2312" w:hint="eastAsia"/>
          <w:sz w:val="32"/>
          <w:szCs w:val="32"/>
        </w:rPr>
        <w:t>包括农业科技推广、动植物疫病防控、农产品流通、农用生产资料供应、农业信息化、种养业良种服务、农业资源与生态保护、农村防灾减灾、农村金融服务等。三是</w:t>
      </w:r>
      <w:r>
        <w:rPr>
          <w:rFonts w:ascii="仿宋_GB2312" w:eastAsia="仿宋_GB2312" w:cs="楷体" w:hint="eastAsia"/>
          <w:bCs/>
          <w:sz w:val="32"/>
          <w:szCs w:val="32"/>
        </w:rPr>
        <w:t>农村生活服务类项目的运行维护。</w:t>
      </w:r>
      <w:r>
        <w:rPr>
          <w:rFonts w:ascii="仿宋_GB2312" w:eastAsia="仿宋_GB2312" w:hint="eastAsia"/>
          <w:sz w:val="32"/>
          <w:szCs w:val="32"/>
        </w:rPr>
        <w:t>包括广播电视“村村通”、电影放映服务、报刊图书阅览服务、文体及健身活动、文艺演出和展览服务。</w:t>
      </w:r>
      <w:r>
        <w:rPr>
          <w:rFonts w:ascii="仿宋_GB2312" w:eastAsia="仿宋_GB2312" w:cs="楷体" w:hint="eastAsia"/>
          <w:bCs/>
          <w:sz w:val="32"/>
          <w:szCs w:val="32"/>
        </w:rPr>
        <w:t>四是农村社会管理类项目的运行维护。</w:t>
      </w:r>
      <w:r>
        <w:rPr>
          <w:rFonts w:ascii="仿宋_GB2312" w:eastAsia="仿宋_GB2312" w:hint="eastAsia"/>
          <w:sz w:val="32"/>
          <w:szCs w:val="32"/>
        </w:rPr>
        <w:t>包括农村治安保卫、环境卫生监督管理、政策宣传、法律咨询和援助，农村土地规划管理、建筑物建设管理，农村传染病防控和食品安全保障等。</w:t>
      </w:r>
      <w:r>
        <w:rPr>
          <w:rFonts w:ascii="仿宋_GB2312" w:eastAsia="仿宋_GB2312" w:cs="楷体" w:hint="eastAsia"/>
          <w:bCs/>
          <w:sz w:val="32"/>
          <w:szCs w:val="32"/>
        </w:rPr>
        <w:t>五是村基层组织活动。</w:t>
      </w:r>
      <w:r>
        <w:rPr>
          <w:rFonts w:ascii="仿宋_GB2312" w:eastAsia="仿宋_GB2312" w:hint="eastAsia"/>
          <w:sz w:val="32"/>
          <w:szCs w:val="32"/>
        </w:rPr>
        <w:t>主要包括基层党组织开展组织活动，党员干部教育培训，激励创先争优，走访慰问，群团活动开展，组织活动场所维护等。</w:t>
      </w:r>
      <w:r>
        <w:rPr>
          <w:rFonts w:ascii="仿宋_GB2312" w:eastAsia="仿宋_GB2312" w:cs="楷体" w:hint="eastAsia"/>
          <w:bCs/>
          <w:sz w:val="32"/>
          <w:szCs w:val="32"/>
        </w:rPr>
        <w:t>六是村日常办公运转，</w:t>
      </w:r>
      <w:r>
        <w:rPr>
          <w:rFonts w:ascii="仿宋_GB2312" w:eastAsia="仿宋_GB2312" w:hint="eastAsia"/>
          <w:sz w:val="32"/>
          <w:szCs w:val="32"/>
        </w:rPr>
        <w:t>包括必要的办公用品费、水电费、报刊征订费等维持村正常运转以及村务监督委员会等其他形式村务机构开展工作所必须的支出。</w:t>
      </w:r>
    </w:p>
    <w:p>
      <w:pPr>
        <w:adjustRightInd w:val="0"/>
        <w:snapToGrid w:val="0"/>
        <w:spacing w:line="576" w:lineRule="exact"/>
        <w:ind w:firstLine="720"/>
        <w:rPr>
          <w:rFonts w:ascii="仿宋_GB2312" w:cs="仿宋_GB2312" w:hAnsi="仿宋_GB2312"/>
          <w:sz w:val="32"/>
          <w:szCs w:val="32"/>
        </w:rPr>
      </w:pPr>
      <w:r>
        <w:rPr>
          <w:rFonts w:ascii="楷体_GB2312" w:eastAsia="楷体_GB2312" w:hint="eastAsia"/>
          <w:b/>
          <w:sz w:val="32"/>
          <w:szCs w:val="32"/>
          <w:lang w:val="zh-CN"/>
        </w:rPr>
        <w:t>（二）项目绩效目标</w:t>
      </w:r>
    </w:p>
    <w:p>
      <w:pPr>
        <w:spacing w:line="576" w:lineRule="exact"/>
        <w:ind w:firstLineChars="200" w:firstLine="640"/>
        <w:rPr>
          <w:rFonts w:ascii="仿宋_GB2312" w:eastAsia="仿宋_GB2312" w:cs="仿宋_GB2312"/>
          <w:kern w:val="2"/>
          <w:sz w:val="32"/>
          <w:szCs w:val="32"/>
        </w:rPr>
      </w:pPr>
      <w:r>
        <w:rPr>
          <w:rFonts w:ascii="仿宋_GB2312" w:eastAsia="仿宋_GB2312" w:cs="仿宋_GB2312" w:hint="eastAsia"/>
          <w:b/>
          <w:kern w:val="2"/>
          <w:sz w:val="32"/>
          <w:szCs w:val="32"/>
        </w:rPr>
        <w:t>1.实现“一个目标”。</w:t>
      </w:r>
      <w:r>
        <w:rPr>
          <w:rFonts w:ascii="仿宋_GB2312" w:eastAsia="仿宋_GB2312" w:cs="仿宋_GB2312" w:hint="eastAsia"/>
          <w:kern w:val="2"/>
          <w:sz w:val="32"/>
          <w:szCs w:val="32"/>
        </w:rPr>
        <w:t>通过改革创新，实现“小改革、大机制，小资金、大舞台”的工作目标，为创新农村社会管理机制体制探索新路径。</w:t>
      </w:r>
    </w:p>
    <w:p>
      <w:pPr>
        <w:spacing w:line="576" w:lineRule="exact"/>
        <w:ind w:firstLineChars="200" w:firstLine="640"/>
        <w:rPr>
          <w:rFonts w:ascii="仿宋_GB2312" w:eastAsia="仿宋_GB2312" w:cs="仿宋_GB2312"/>
          <w:kern w:val="2"/>
          <w:sz w:val="32"/>
          <w:szCs w:val="32"/>
        </w:rPr>
      </w:pPr>
      <w:r>
        <w:rPr>
          <w:rFonts w:ascii="仿宋_GB2312" w:eastAsia="仿宋_GB2312" w:cs="仿宋_GB2312" w:hint="eastAsia"/>
          <w:b/>
          <w:kern w:val="2"/>
          <w:sz w:val="32"/>
          <w:szCs w:val="32"/>
        </w:rPr>
        <w:t>2.树立“两个理念”。</w:t>
      </w:r>
      <w:r>
        <w:rPr>
          <w:rFonts w:ascii="仿宋_GB2312" w:eastAsia="仿宋_GB2312" w:cs="仿宋_GB2312" w:hint="eastAsia"/>
          <w:kern w:val="2"/>
          <w:sz w:val="32"/>
          <w:szCs w:val="32"/>
        </w:rPr>
        <w:t>一是树立“自治”理念，全面推进民主决策、民主管理和民主监督，让广大农民群众直接行使民主权利，依法办理自己的事情。二是树立“普惠”理念，坚持按农村人口、幅员面积、地理区位、村集体收入和工作绩效等因素配置财政资金，让公共财政的阳光普照广大农村。</w:t>
      </w:r>
    </w:p>
    <w:p>
      <w:pPr>
        <w:spacing w:line="576" w:lineRule="exact"/>
        <w:ind w:firstLineChars="200" w:firstLine="640"/>
        <w:rPr>
          <w:rFonts w:ascii="仿宋_GB2312" w:eastAsia="仿宋_GB2312" w:cs="仿宋_GB2312"/>
          <w:kern w:val="2"/>
          <w:sz w:val="32"/>
          <w:szCs w:val="32"/>
        </w:rPr>
      </w:pPr>
      <w:r>
        <w:rPr>
          <w:rFonts w:ascii="仿宋_GB2312" w:eastAsia="仿宋_GB2312" w:cs="仿宋_GB2312" w:hint="eastAsia"/>
          <w:b/>
          <w:kern w:val="2"/>
          <w:sz w:val="32"/>
          <w:szCs w:val="32"/>
        </w:rPr>
        <w:t>3.推进“三个创新”。</w:t>
      </w:r>
      <w:r>
        <w:rPr>
          <w:rFonts w:ascii="仿宋_GB2312" w:eastAsia="仿宋_GB2312" w:cs="仿宋_GB2312" w:hint="eastAsia"/>
          <w:kern w:val="2"/>
          <w:sz w:val="32"/>
          <w:szCs w:val="32"/>
        </w:rPr>
        <w:t>一是创新议事机制。建立村级民主决策议事机制，资金使用坚持“村民议、村民定”，项目确定采取“三步量分法”。二是创新管理机制。建立镇镇政府指导，“村两委”组织、引导、协调、服务，村民自我管理，社会组织多方参与的农村社会管理机制，把村务管理权交给村民。三是创新监督机制。充分发挥村民理财小组、质量监督小组等群众组织的监督作用，建立政府（部门）与群众自治组织相结合的监督机制，实现对项目、资金监督的全覆盖。</w:t>
      </w:r>
    </w:p>
    <w:p>
      <w:pPr>
        <w:spacing w:line="576" w:lineRule="exact"/>
        <w:ind w:firstLineChars="200" w:firstLine="640"/>
        <w:rPr>
          <w:rFonts w:ascii="仿宋_GB2312" w:eastAsia="仿宋_GB2312" w:cs="仿宋_GB2312"/>
          <w:kern w:val="2"/>
          <w:sz w:val="32"/>
          <w:szCs w:val="32"/>
        </w:rPr>
      </w:pPr>
      <w:r>
        <w:rPr>
          <w:rFonts w:ascii="仿宋_GB2312" w:eastAsia="仿宋_GB2312" w:cs="仿宋_GB2312" w:hint="eastAsia"/>
          <w:b/>
          <w:kern w:val="2"/>
          <w:sz w:val="32"/>
          <w:szCs w:val="32"/>
        </w:rPr>
        <w:t>4.坚持“四个注重”。</w:t>
      </w:r>
      <w:r>
        <w:rPr>
          <w:rFonts w:ascii="仿宋_GB2312" w:eastAsia="仿宋_GB2312" w:cs="仿宋_GB2312" w:hint="eastAsia"/>
          <w:kern w:val="2"/>
          <w:sz w:val="32"/>
          <w:szCs w:val="32"/>
        </w:rPr>
        <w:t>一是注重发挥村级组织的战斗堡垒作用，提升其凝聚力和向心力。二是注重发挥广大农民群众的智慧，激发群众参与运行维护机制建设的积极性。三是注重发挥各类资金的整体合力，搞好与相关专项资金整合。四是注重发挥市场机制的作用，引导社会力量多方参与。</w:t>
      </w:r>
    </w:p>
    <w:p>
      <w:pPr>
        <w:spacing w:line="576" w:lineRule="exact"/>
        <w:ind w:firstLineChars="200" w:firstLine="640"/>
        <w:rPr>
          <w:rFonts w:ascii="仿宋_GB2312" w:eastAsia="仿宋_GB2312" w:cs="仿宋_GB2312"/>
          <w:kern w:val="2"/>
          <w:sz w:val="32"/>
          <w:szCs w:val="32"/>
        </w:rPr>
      </w:pPr>
      <w:r>
        <w:rPr>
          <w:rFonts w:ascii="仿宋_GB2312" w:eastAsia="仿宋_GB2312" w:cs="仿宋_GB2312" w:hint="eastAsia"/>
          <w:b/>
          <w:kern w:val="2"/>
          <w:sz w:val="32"/>
          <w:szCs w:val="32"/>
        </w:rPr>
        <w:t>5.做好“五个公开”。</w:t>
      </w:r>
      <w:r>
        <w:rPr>
          <w:rFonts w:ascii="仿宋_GB2312" w:eastAsia="仿宋_GB2312" w:cs="仿宋_GB2312" w:hint="eastAsia"/>
          <w:kern w:val="2"/>
          <w:sz w:val="32"/>
          <w:szCs w:val="32"/>
        </w:rPr>
        <w:t>一是公开资金规模用途。年初，公示本年度资金额度、用途和要求。二是公开村民建议意见。在村民（代表）会议前，公示项目需求建议、排序情况、实施草案、服务队伍（人员）选择条件等内容。三是公开村民会议决议。在村民（代表）会议后，公示会议议定的所有事项。四是公开项目完成情况。项目完工后，公示项目实施、资金使用、验收意见等内容。五是公开绩效评价结果。考评结束后，公示资金绩效评价结果。</w:t>
      </w:r>
    </w:p>
    <w:p>
      <w:pPr>
        <w:spacing w:line="576" w:lineRule="exact"/>
        <w:ind w:firstLineChars="200" w:firstLine="640"/>
        <w:rPr>
          <w:rFonts w:ascii="仿宋_GB2312" w:eastAsia="仿宋_GB2312" w:cs="仿宋_GB2312"/>
          <w:kern w:val="2"/>
          <w:sz w:val="32"/>
          <w:szCs w:val="32"/>
        </w:rPr>
      </w:pPr>
      <w:r>
        <w:rPr>
          <w:rFonts w:ascii="仿宋_GB2312" w:eastAsia="仿宋_GB2312" w:cs="仿宋_GB2312" w:hint="eastAsia"/>
          <w:b/>
          <w:kern w:val="2"/>
          <w:sz w:val="32"/>
          <w:szCs w:val="32"/>
        </w:rPr>
        <w:t>6.促进“六个转变”。</w:t>
      </w:r>
      <w:r>
        <w:rPr>
          <w:rFonts w:ascii="仿宋_GB2312" w:eastAsia="仿宋_GB2312" w:cs="仿宋_GB2312" w:hint="eastAsia"/>
          <w:kern w:val="2"/>
          <w:sz w:val="32"/>
          <w:szCs w:val="32"/>
        </w:rPr>
        <w:t>一是促进项目决策由政府替民做主向群众民主议定转变。二是促进项目来源由自上而下安排向自下而上建议转变。三是促进资金分配由项目引导向因素测算转变。四是促进项目实施由政府负责向群众自建转变。五是促进监督方式由政府部门监督为主向群众组织监督为主转变。六是促进工作结果由政府评价向政府与群众共同评价转变。</w:t>
      </w:r>
    </w:p>
    <w:p>
      <w:pPr>
        <w:spacing w:line="576" w:lineRule="exact"/>
        <w:ind w:firstLineChars="200" w:firstLine="640"/>
        <w:rPr>
          <w:rFonts w:ascii="仿宋_GB2312" w:eastAsia="仿宋_GB2312" w:cs="仿宋_GB2312"/>
          <w:kern w:val="2"/>
          <w:sz w:val="32"/>
          <w:szCs w:val="32"/>
        </w:rPr>
      </w:pPr>
      <w:r>
        <w:rPr>
          <w:rFonts w:ascii="仿宋_GB2312" w:eastAsia="仿宋_GB2312" w:cs="仿宋_GB2312" w:hint="eastAsia"/>
          <w:b/>
          <w:kern w:val="2"/>
          <w:sz w:val="32"/>
          <w:szCs w:val="32"/>
        </w:rPr>
        <w:t>7.搭建“七个平台”。</w:t>
      </w:r>
      <w:r>
        <w:rPr>
          <w:rFonts w:ascii="仿宋_GB2312" w:eastAsia="仿宋_GB2312" w:cs="仿宋_GB2312" w:hint="eastAsia"/>
          <w:kern w:val="2"/>
          <w:sz w:val="32"/>
          <w:szCs w:val="32"/>
        </w:rPr>
        <w:t>一是搭建村民民主参与村务管理的议事平台。二是搭建基层干部为民办实事的服务平台。三是搭建“小事不出村”的保障平台。四是搭建已建项目绩效提升的支撑平台。五是搭建农村富余劳动力的利用平台。六是搭建公共财政普惠广大农民的操作平台。七是搭建涉农项目资金的整合平台。</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adjustRightInd w:val="0"/>
        <w:snapToGrid w:val="0"/>
        <w:spacing w:line="576" w:lineRule="exact"/>
        <w:ind w:firstLine="720"/>
        <w:rPr>
          <w:rFonts w:ascii="仿宋_GB2312" w:eastAsia="仿宋_GB2312"/>
          <w:sz w:val="32"/>
          <w:szCs w:val="32"/>
          <w:lang w:val="zh-CN"/>
        </w:rPr>
      </w:pPr>
      <w:r>
        <w:rPr>
          <w:rFonts w:ascii="仿宋_GB2312" w:eastAsia="仿宋_GB2312" w:hint="eastAsia"/>
          <w:sz w:val="32"/>
          <w:szCs w:val="32"/>
          <w:lang w:val="zh-CN"/>
        </w:rPr>
        <w:t>本项目采取自评与他评相结合的方式，成立项目自评小组，结合评价内容，做到有计划，有安排，扎实开展本次自评工作。针对申报内容、实施情况、资金拨付、财务管理、社会效益等做出自我评价。</w:t>
      </w:r>
    </w:p>
    <w:p>
      <w:pPr>
        <w:adjustRightInd w:val="0"/>
        <w:snapToGrid w:val="0"/>
        <w:spacing w:line="576" w:lineRule="exact"/>
        <w:ind w:firstLine="720"/>
        <w:rPr>
          <w:rFonts w:ascii="黑体" w:eastAsia="黑体"/>
          <w:sz w:val="32"/>
          <w:szCs w:val="32"/>
        </w:rPr>
      </w:pPr>
      <w:r>
        <w:rPr>
          <w:rFonts w:ascii="黑体" w:eastAsia="黑体" w:hint="eastAsia"/>
          <w:sz w:val="32"/>
          <w:szCs w:val="32"/>
        </w:rPr>
        <w:t>二、项目资金申报及使用情况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pPr>
        <w:spacing w:line="576" w:lineRule="exact"/>
        <w:ind w:firstLine="660"/>
        <w:rPr>
          <w:rFonts w:ascii="仿宋_GB2312" w:eastAsia="仿宋_GB2312"/>
          <w:sz w:val="32"/>
          <w:szCs w:val="32"/>
          <w:lang w:val="zh-CN"/>
        </w:rPr>
      </w:pPr>
      <w:r>
        <w:rPr>
          <w:rFonts w:ascii="仿宋_GB2312" w:eastAsia="仿宋_GB2312" w:hint="eastAsia"/>
          <w:sz w:val="32"/>
          <w:szCs w:val="32"/>
          <w:lang w:val="zh-CN"/>
        </w:rPr>
        <w:t>我镇基层组织活动和公共服务运行补助经费应收到财政下拨264万元，按合并前每个村11万元下达，其中：省财政补助每村7万元/年,社区4万元/年；州财政补助每村2万元/年，社区2万元/年；县财政补助每村2万元/年，社区2万元/年。</w:t>
      </w:r>
    </w:p>
    <w:p>
      <w:pPr>
        <w:adjustRightInd w:val="0"/>
        <w:snapToGrid w:val="0"/>
        <w:spacing w:line="576" w:lineRule="exact"/>
        <w:ind w:firstLine="720"/>
        <w:rPr>
          <w:rFonts w:ascii="仿宋_GB2312" w:hAnsi="仿宋_GB2312"/>
          <w:sz w:val="32"/>
          <w:szCs w:val="32"/>
          <w:lang w:val="zh-CN"/>
        </w:rPr>
      </w:pPr>
      <w:r>
        <w:rPr>
          <w:rFonts w:ascii="楷体_GB2312" w:eastAsia="楷体_GB2312" w:hint="eastAsia"/>
          <w:b/>
          <w:sz w:val="32"/>
          <w:szCs w:val="32"/>
          <w:lang w:val="zh-CN"/>
        </w:rPr>
        <w:t>（二）资金计划、到位及使用情况</w:t>
      </w:r>
    </w:p>
    <w:p>
      <w:pPr>
        <w:spacing w:line="576" w:lineRule="exact"/>
        <w:ind w:firstLine="660"/>
        <w:rPr>
          <w:rFonts w:ascii="仿宋_GB2312" w:eastAsia="仿宋_GB2312"/>
          <w:sz w:val="32"/>
          <w:szCs w:val="32"/>
          <w:lang w:val="zh-CN"/>
        </w:rPr>
      </w:pPr>
      <w:r>
        <w:rPr>
          <w:rFonts w:ascii="仿宋_GB2312" w:eastAsia="仿宋_GB2312"/>
          <w:b/>
          <w:sz w:val="32"/>
          <w:szCs w:val="32"/>
          <w:lang w:val="zh-CN"/>
        </w:rPr>
        <w:t>1</w:t>
      </w:r>
      <w:r>
        <w:rPr>
          <w:rFonts w:ascii="仿宋_GB2312" w:eastAsia="仿宋_GB2312" w:hint="eastAsia"/>
          <w:b/>
          <w:sz w:val="32"/>
          <w:szCs w:val="32"/>
          <w:lang w:val="zh-CN"/>
        </w:rPr>
        <w:t>．资金计划。</w:t>
      </w:r>
      <w:r>
        <w:rPr>
          <w:rFonts w:ascii="仿宋_GB2312" w:eastAsia="仿宋_GB2312" w:hint="eastAsia"/>
          <w:sz w:val="32"/>
          <w:szCs w:val="32"/>
          <w:lang w:val="zh-CN"/>
        </w:rPr>
        <w:t>我镇基层组织活动和公共服务运行补助经费应收到财政下拨264万元。</w:t>
      </w:r>
    </w:p>
    <w:p>
      <w:pPr>
        <w:spacing w:line="576" w:lineRule="exact"/>
        <w:ind w:firstLine="660"/>
        <w:rPr>
          <w:rFonts w:ascii="仿宋_GB2312" w:eastAsia="仿宋_GB2312"/>
          <w:sz w:val="32"/>
          <w:szCs w:val="32"/>
          <w:lang w:val="zh-CN"/>
        </w:rPr>
      </w:pPr>
      <w:r>
        <w:rPr>
          <w:rFonts w:ascii="仿宋_GB2312" w:eastAsia="仿宋_GB2312"/>
          <w:b/>
          <w:sz w:val="32"/>
          <w:szCs w:val="32"/>
          <w:lang w:val="zh-CN"/>
        </w:rPr>
        <w:t>2</w:t>
      </w:r>
      <w:r>
        <w:rPr>
          <w:rFonts w:ascii="仿宋_GB2312" w:eastAsia="仿宋_GB2312" w:hint="eastAsia"/>
          <w:b/>
          <w:sz w:val="32"/>
          <w:szCs w:val="32"/>
          <w:lang w:val="zh-CN"/>
        </w:rPr>
        <w:t>．资金到位。</w:t>
      </w:r>
      <w:r>
        <w:rPr>
          <w:rFonts w:ascii="仿宋_GB2312" w:eastAsia="仿宋_GB2312" w:hint="eastAsia"/>
          <w:sz w:val="32"/>
          <w:szCs w:val="32"/>
          <w:lang w:val="zh-CN"/>
        </w:rPr>
        <w:t>我镇结合各村地理位置、党员人数、服务人口及半径、村集体收入、工作绩效等因数分村确定具体补助标准：太平村11万元，牛尾村11万元，杨柳村33万元，沙湾村22万元，石大关村11万元，大店村22万元，桃花村11万元，拴马村11万元，较场村11万元，蚕丛村33万元，龙池村22万元，两河口22万元，松坪沟村44万元。</w:t>
      </w:r>
    </w:p>
    <w:p>
      <w:pPr>
        <w:spacing w:line="576" w:lineRule="exact"/>
        <w:ind w:firstLine="660"/>
        <w:rPr>
          <w:rFonts w:ascii="仿宋_GB2312" w:eastAsia="仿宋_GB2312"/>
          <w:b/>
          <w:sz w:val="32"/>
          <w:szCs w:val="32"/>
          <w:lang w:val="zh-CN"/>
        </w:rPr>
      </w:pPr>
      <w:r>
        <w:rPr>
          <w:rFonts w:ascii="仿宋_GB2312" w:eastAsia="仿宋_GB2312"/>
          <w:b/>
          <w:sz w:val="32"/>
          <w:szCs w:val="32"/>
          <w:lang w:val="zh-CN"/>
        </w:rPr>
        <w:t>3</w:t>
      </w:r>
      <w:r>
        <w:rPr>
          <w:rFonts w:ascii="仿宋_GB2312" w:eastAsia="仿宋_GB2312" w:hint="eastAsia"/>
          <w:b/>
          <w:sz w:val="32"/>
          <w:szCs w:val="32"/>
          <w:lang w:val="zh-CN"/>
        </w:rPr>
        <w:t>．资金使用。</w:t>
      </w:r>
    </w:p>
    <w:p>
      <w:pPr>
        <w:spacing w:line="576" w:lineRule="exact"/>
        <w:ind w:firstLine="660"/>
        <w:rPr>
          <w:rFonts w:ascii="仿宋_GB2312" w:eastAsia="仿宋_GB2312"/>
          <w:sz w:val="32"/>
          <w:szCs w:val="32"/>
          <w:lang w:val="zh-CN"/>
        </w:rPr>
      </w:pPr>
      <w:r>
        <w:rPr>
          <w:rFonts w:ascii="仿宋_GB2312" w:eastAsia="仿宋_GB2312" w:hint="eastAsia"/>
          <w:sz w:val="32"/>
          <w:szCs w:val="32"/>
          <w:lang w:val="zh-CN"/>
        </w:rPr>
        <w:t>一是农村基础设施和环境类项目的运行维护。</w:t>
      </w:r>
    </w:p>
    <w:p>
      <w:pPr>
        <w:spacing w:line="576" w:lineRule="exact"/>
        <w:ind w:firstLine="660"/>
        <w:rPr>
          <w:rFonts w:ascii="仿宋_GB2312" w:eastAsia="仿宋_GB2312"/>
          <w:sz w:val="32"/>
          <w:szCs w:val="32"/>
          <w:lang w:val="zh-CN"/>
        </w:rPr>
      </w:pPr>
      <w:r>
        <w:rPr>
          <w:rFonts w:ascii="仿宋_GB2312" w:eastAsia="仿宋_GB2312" w:hint="eastAsia"/>
          <w:sz w:val="32"/>
          <w:szCs w:val="32"/>
          <w:lang w:val="zh-CN"/>
        </w:rPr>
        <w:t>二是农业生产服务类项目的运行维护。</w:t>
      </w:r>
    </w:p>
    <w:p>
      <w:pPr>
        <w:spacing w:line="576" w:lineRule="exact"/>
        <w:ind w:firstLine="660"/>
        <w:rPr>
          <w:rFonts w:ascii="仿宋_GB2312" w:eastAsia="仿宋_GB2312"/>
          <w:sz w:val="32"/>
          <w:szCs w:val="32"/>
          <w:lang w:val="zh-CN"/>
        </w:rPr>
      </w:pPr>
      <w:r>
        <w:rPr>
          <w:rFonts w:ascii="仿宋_GB2312" w:eastAsia="仿宋_GB2312" w:hint="eastAsia"/>
          <w:sz w:val="32"/>
          <w:szCs w:val="32"/>
          <w:lang w:val="zh-CN"/>
        </w:rPr>
        <w:t>三是农村生活服务类项目的运行维护。</w:t>
      </w:r>
    </w:p>
    <w:p>
      <w:pPr>
        <w:spacing w:line="576" w:lineRule="exact"/>
        <w:ind w:firstLine="660"/>
        <w:rPr>
          <w:rFonts w:ascii="仿宋_GB2312" w:eastAsia="仿宋_GB2312"/>
          <w:sz w:val="32"/>
          <w:szCs w:val="32"/>
          <w:lang w:val="zh-CN"/>
        </w:rPr>
      </w:pPr>
      <w:r>
        <w:rPr>
          <w:rFonts w:ascii="仿宋_GB2312" w:eastAsia="仿宋_GB2312" w:hint="eastAsia"/>
          <w:sz w:val="32"/>
          <w:szCs w:val="32"/>
          <w:lang w:val="zh-CN"/>
        </w:rPr>
        <w:t>四是农村社会管理类项目的运行维护。</w:t>
      </w:r>
    </w:p>
    <w:p>
      <w:pPr>
        <w:spacing w:line="576" w:lineRule="exact"/>
        <w:ind w:firstLine="660"/>
        <w:rPr>
          <w:rFonts w:ascii="仿宋_GB2312" w:eastAsia="仿宋_GB2312"/>
          <w:sz w:val="32"/>
          <w:szCs w:val="32"/>
          <w:lang w:val="zh-CN"/>
        </w:rPr>
      </w:pPr>
      <w:r>
        <w:rPr>
          <w:rFonts w:ascii="仿宋_GB2312" w:eastAsia="仿宋_GB2312" w:hint="eastAsia"/>
          <w:sz w:val="32"/>
          <w:szCs w:val="32"/>
          <w:lang w:val="zh-CN"/>
        </w:rPr>
        <w:t>五是村基层组织活动。</w:t>
      </w:r>
    </w:p>
    <w:p>
      <w:pPr>
        <w:spacing w:line="576" w:lineRule="exact"/>
        <w:ind w:firstLine="660"/>
        <w:rPr>
          <w:rFonts w:ascii="仿宋_GB2312" w:eastAsia="仿宋_GB2312"/>
          <w:sz w:val="32"/>
          <w:szCs w:val="32"/>
          <w:lang w:val="zh-CN"/>
        </w:rPr>
      </w:pPr>
      <w:r>
        <w:rPr>
          <w:rFonts w:ascii="仿宋_GB2312" w:eastAsia="仿宋_GB2312" w:hint="eastAsia"/>
          <w:sz w:val="32"/>
          <w:szCs w:val="32"/>
          <w:lang w:val="zh-CN"/>
        </w:rPr>
        <w:t>六是村日常办公运转。</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（三）项目财务管理情况。</w:t>
      </w:r>
    </w:p>
    <w:p>
      <w:pPr>
        <w:spacing w:line="576" w:lineRule="exact"/>
        <w:ind w:firstLine="660"/>
        <w:rPr>
          <w:rFonts w:ascii="仿宋_GB2312" w:eastAsia="仿宋_GB2312"/>
          <w:sz w:val="32"/>
          <w:szCs w:val="32"/>
          <w:lang w:val="zh-CN"/>
        </w:rPr>
      </w:pPr>
      <w:r>
        <w:rPr>
          <w:rFonts w:ascii="仿宋_GB2312" w:eastAsia="仿宋_GB2312" w:hint="eastAsia"/>
          <w:sz w:val="32"/>
          <w:szCs w:val="32"/>
          <w:lang w:val="zh-CN"/>
        </w:rPr>
        <w:t>单位财务管理制度健全，严格执行财务管理制度，账务处理及时，会计核算规范。</w:t>
      </w:r>
    </w:p>
    <w:p>
      <w:pPr>
        <w:adjustRightInd w:val="0"/>
        <w:snapToGrid w:val="0"/>
        <w:spacing w:line="576" w:lineRule="exact"/>
        <w:ind w:firstLine="720"/>
        <w:rPr>
          <w:rFonts w:ascii="黑体" w:eastAsia="黑体"/>
          <w:sz w:val="32"/>
          <w:szCs w:val="32"/>
        </w:rPr>
      </w:pPr>
      <w:r>
        <w:rPr>
          <w:rFonts w:ascii="黑体" w:eastAsia="黑体" w:hint="eastAsia"/>
          <w:sz w:val="32"/>
          <w:szCs w:val="32"/>
        </w:rPr>
        <w:t>三、项目实施及管理情况</w:t>
      </w:r>
    </w:p>
    <w:p>
      <w:pPr>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（一）基层组织活动和公共服务运行补助经费时间安排</w:t>
      </w:r>
    </w:p>
    <w:p>
      <w:pPr>
        <w:spacing w:line="576" w:lineRule="exact"/>
        <w:ind w:firstLineChars="200" w:firstLine="640"/>
        <w:rPr>
          <w:rFonts w:ascii="楷体_GB2312" w:eastAsia="楷体_GB2312"/>
          <w:b/>
          <w:sz w:val="32"/>
          <w:szCs w:val="32"/>
          <w:lang w:val="zh-CN"/>
        </w:rPr>
      </w:pPr>
      <w:r>
        <w:rPr>
          <w:rFonts w:ascii="仿宋_GB2312" w:cs="仿宋_GB2312" w:hAnsi="仿宋_GB2312" w:hint="eastAsia"/>
          <w:sz w:val="32"/>
          <w:szCs w:val="32"/>
        </w:rPr>
        <w:t>2</w:t>
      </w:r>
      <w:r>
        <w:rPr>
          <w:rFonts w:ascii="仿宋_GB2312" w:eastAsia="仿宋_GB2312" w:hint="eastAsia"/>
          <w:sz w:val="32"/>
          <w:szCs w:val="32"/>
          <w:lang w:val="zh-CN"/>
        </w:rPr>
        <w:t>021年3月，围绕工作要求，专题研究讨论，拟定初步实施方案;2021年1-12月项目实施阶段。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（二）项目管理情况</w:t>
      </w:r>
    </w:p>
    <w:p>
      <w:pPr>
        <w:adjustRightInd w:val="0"/>
        <w:snapToGrid w:val="0"/>
        <w:spacing w:line="576" w:lineRule="exact"/>
        <w:ind w:firstLine="720"/>
        <w:rPr>
          <w:rFonts w:ascii="仿宋_GB2312" w:hAnsi="仿宋_GB2312"/>
          <w:sz w:val="32"/>
          <w:szCs w:val="32"/>
          <w:lang w:val="zh-CN"/>
        </w:rPr>
      </w:pPr>
      <w:r>
        <w:rPr>
          <w:rFonts w:ascii="仿宋_GB2312" w:eastAsia="仿宋_GB2312" w:hint="eastAsia"/>
          <w:sz w:val="32"/>
          <w:szCs w:val="32"/>
          <w:lang w:val="zh-CN"/>
        </w:rPr>
        <w:t>项目实施过程中，严格按照相关法律法规及项目管理制度进行管理。</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（三）项目监管情况</w:t>
      </w:r>
    </w:p>
    <w:p>
      <w:pPr>
        <w:adjustRightInd w:val="0"/>
        <w:snapToGrid w:val="0"/>
        <w:spacing w:line="576" w:lineRule="exact"/>
        <w:ind w:firstLine="720"/>
        <w:rPr>
          <w:rFonts w:ascii="仿宋_GB2312" w:eastAsia="仿宋_GB2312"/>
          <w:sz w:val="32"/>
          <w:szCs w:val="32"/>
          <w:lang w:val="zh-CN"/>
        </w:rPr>
      </w:pPr>
      <w:r>
        <w:rPr>
          <w:rFonts w:ascii="仿宋_GB2312" w:eastAsia="仿宋_GB2312" w:hint="eastAsia"/>
          <w:sz w:val="32"/>
          <w:szCs w:val="32"/>
          <w:lang w:val="zh-CN"/>
        </w:rPr>
        <w:t>项目实施实施过程中，项目主管部门坚持制度管人、督促项目实施单位建立健全内部监督各项制度，最大限度地预防工程质量安全事故，项目资金损失浪费和违法违纪行为的发生。</w:t>
      </w:r>
    </w:p>
    <w:p>
      <w:pPr>
        <w:adjustRightInd w:val="0"/>
        <w:snapToGrid w:val="0"/>
        <w:spacing w:line="576" w:lineRule="exact"/>
        <w:ind w:firstLine="720"/>
        <w:rPr>
          <w:rFonts w:ascii="仿宋_GB2312" w:hAnsi="仿宋_GB2312"/>
          <w:sz w:val="32"/>
          <w:szCs w:val="32"/>
          <w:lang w:val="zh-CN"/>
        </w:rPr>
      </w:pPr>
      <w:r>
        <w:rPr>
          <w:rFonts w:ascii="黑体" w:eastAsia="黑体" w:hint="eastAsia"/>
          <w:sz w:val="32"/>
          <w:szCs w:val="32"/>
        </w:rPr>
        <w:t>四、项目绩效情况</w:t>
      </w:r>
      <w:r>
        <w:rPr>
          <w:rFonts w:ascii="仿宋_GB2312" w:hAnsi="仿宋_GB2312"/>
          <w:sz w:val="32"/>
          <w:szCs w:val="32"/>
          <w:lang w:val="zh-CN"/>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spacing w:line="576" w:lineRule="exact"/>
        <w:ind w:firstLineChars="200" w:firstLine="640"/>
        <w:rPr>
          <w:rFonts w:ascii="仿宋_GB2312" w:eastAsia="仿宋_GB2312"/>
          <w:sz w:val="32"/>
          <w:szCs w:val="32"/>
          <w:lang w:val="zh-CN"/>
        </w:rPr>
      </w:pPr>
      <w:r>
        <w:rPr>
          <w:rFonts w:ascii="仿宋_GB2312" w:eastAsia="仿宋_GB2312" w:hint="eastAsia"/>
          <w:sz w:val="32"/>
          <w:szCs w:val="32"/>
          <w:lang w:val="zh-CN"/>
        </w:rPr>
        <w:t>2021年3月，围绕工作要求，专题研究讨论，拟定初步实施方案;2021年1-12月项目实施阶段。整个项目投入资金264万元。</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pPr>
        <w:adjustRightInd w:val="0"/>
        <w:snapToGrid w:val="0"/>
        <w:spacing w:line="576" w:lineRule="exact"/>
        <w:ind w:firstLine="720"/>
        <w:rPr>
          <w:rFonts w:ascii="仿宋_GB2312" w:eastAsia="仿宋_GB2312"/>
          <w:sz w:val="32"/>
          <w:szCs w:val="32"/>
          <w:lang w:val="zh-CN"/>
        </w:rPr>
      </w:pPr>
      <w:r>
        <w:rPr>
          <w:rFonts w:ascii="仿宋_GB2312" w:eastAsia="仿宋_GB2312" w:hint="eastAsia"/>
          <w:sz w:val="32"/>
          <w:szCs w:val="32"/>
          <w:lang w:val="zh-CN"/>
        </w:rPr>
        <w:t>涵盖了村内户外公益事业项目，着力解决村内急需、群众最急盼、受益最直接的突出问题。</w:t>
      </w:r>
    </w:p>
    <w:p>
      <w:pPr>
        <w:adjustRightInd w:val="0"/>
        <w:snapToGrid w:val="0"/>
        <w:spacing w:line="576" w:lineRule="exact"/>
        <w:ind w:firstLine="720"/>
        <w:rPr>
          <w:rFonts w:ascii="黑体" w:eastAsia="黑体"/>
          <w:sz w:val="32"/>
          <w:szCs w:val="32"/>
        </w:rPr>
      </w:pPr>
      <w:r>
        <w:rPr>
          <w:rFonts w:ascii="黑体" w:eastAsia="黑体" w:hint="eastAsia"/>
          <w:sz w:val="32"/>
          <w:szCs w:val="32"/>
        </w:rPr>
        <w:t>五、评价结论及建议</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pPr>
        <w:spacing w:line="576" w:lineRule="exact"/>
        <w:ind w:firstLine="645"/>
        <w:rPr>
          <w:rFonts w:ascii="仿宋_GB2312" w:eastAsia="仿宋_GB2312"/>
          <w:sz w:val="32"/>
          <w:szCs w:val="32"/>
          <w:lang w:val="zh-CN"/>
        </w:rPr>
      </w:pPr>
      <w:r>
        <w:rPr>
          <w:rFonts w:ascii="仿宋_GB2312" w:eastAsia="仿宋_GB2312" w:hint="eastAsia"/>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576" w:lineRule="exact"/>
        <w:ind w:firstLineChars="200" w:firstLine="640"/>
        <w:rPr>
          <w:rFonts w:ascii="仿宋_GB2312" w:eastAsia="仿宋_GB2312"/>
          <w:sz w:val="32"/>
          <w:szCs w:val="32"/>
          <w:lang w:val="zh-CN"/>
        </w:rPr>
      </w:pPr>
      <w:r>
        <w:rPr>
          <w:rFonts w:ascii="仿宋_GB2312" w:eastAsia="仿宋_GB2312" w:hint="eastAsia"/>
          <w:sz w:val="32"/>
          <w:szCs w:val="32"/>
          <w:lang w:val="zh-CN"/>
        </w:rPr>
        <w:t>无</w:t>
      </w:r>
      <w:r>
        <w:rPr>
          <w:rFonts w:ascii="仿宋_GB2312" w:eastAsia="仿宋_GB2312"/>
          <w:sz w:val="32"/>
          <w:szCs w:val="32"/>
          <w:lang w:val="zh-CN"/>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pPr>
        <w:adjustRightInd w:val="0"/>
        <w:snapToGrid w:val="0"/>
        <w:spacing w:line="576" w:lineRule="exact"/>
        <w:ind w:firstLineChars="200" w:firstLine="640"/>
        <w:rPr>
          <w:rFonts w:ascii="仿宋_GB2312" w:eastAsia="仿宋_GB2312"/>
          <w:sz w:val="32"/>
          <w:szCs w:val="32"/>
          <w:lang w:val="zh-CN"/>
        </w:rPr>
      </w:pPr>
      <w:r>
        <w:rPr>
          <w:rFonts w:ascii="仿宋_GB2312" w:eastAsia="仿宋_GB2312" w:hint="eastAsia"/>
          <w:sz w:val="32"/>
          <w:szCs w:val="32"/>
          <w:lang w:val="zh-CN"/>
        </w:rPr>
        <w:t>无</w:t>
      </w: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宋体" w:cs="宋体"/>
          <w:sz w:val="44"/>
          <w:szCs w:val="44"/>
        </w:rPr>
      </w:pPr>
    </w:p>
    <w:p>
      <w:pPr>
        <w:autoSpaceDE w:val="0"/>
        <w:autoSpaceDN w:val="0"/>
        <w:adjustRightInd w:val="0"/>
        <w:spacing w:line="576" w:lineRule="exact"/>
        <w:jc w:val="center"/>
        <w:rPr>
          <w:rFonts w:ascii="方正小标宋简体" w:eastAsia="方正小标宋简体" w:cs="宋体"/>
          <w:sz w:val="44"/>
          <w:szCs w:val="44"/>
        </w:rPr>
      </w:pPr>
      <w:r>
        <w:rPr>
          <w:rFonts w:ascii="方正小标宋简体" w:eastAsia="方正小标宋简体" w:cs="宋体" w:hint="eastAsia"/>
          <w:sz w:val="44"/>
          <w:szCs w:val="44"/>
        </w:rPr>
        <w:t>茂县叠溪镇环境综合整治项目</w:t>
      </w:r>
    </w:p>
    <w:p>
      <w:pPr>
        <w:autoSpaceDE w:val="0"/>
        <w:autoSpaceDN w:val="0"/>
        <w:adjustRightInd w:val="0"/>
        <w:spacing w:line="576" w:lineRule="exact"/>
        <w:jc w:val="center"/>
        <w:rPr>
          <w:rFonts w:ascii="方正小标宋简体" w:eastAsia="方正小标宋简体" w:cs="宋体"/>
          <w:sz w:val="44"/>
          <w:szCs w:val="44"/>
        </w:rPr>
      </w:pPr>
      <w:r>
        <w:rPr>
          <w:rFonts w:ascii="方正小标宋简体" w:eastAsia="方正小标宋简体" w:cs="宋体" w:hint="eastAsia"/>
          <w:sz w:val="44"/>
          <w:szCs w:val="44"/>
        </w:rPr>
        <w:t>绩效评价报告</w:t>
      </w:r>
    </w:p>
    <w:p>
      <w:pPr>
        <w:adjustRightInd w:val="0"/>
        <w:snapToGrid w:val="0"/>
        <w:spacing w:line="576"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720"/>
        <w:rPr>
          <w:rFonts w:ascii="仿宋_GB2312" w:cs="仿宋_GB2312" w:hAnsi="仿宋_GB2312"/>
          <w:sz w:val="32"/>
          <w:szCs w:val="32"/>
        </w:rPr>
      </w:pPr>
      <w:r>
        <w:rPr>
          <w:rFonts w:ascii="楷体_GB2312" w:eastAsia="楷体_GB2312" w:hint="eastAsia"/>
          <w:b/>
          <w:sz w:val="32"/>
          <w:szCs w:val="32"/>
          <w:lang w:val="zh-CN"/>
        </w:rPr>
        <w:t>（一）项目基本情况。</w:t>
      </w:r>
    </w:p>
    <w:p>
      <w:pPr>
        <w:autoSpaceDE w:val="0"/>
        <w:autoSpaceDN w:val="0"/>
        <w:adjustRightInd w:val="0"/>
        <w:spacing w:line="576" w:lineRule="exact"/>
        <w:ind w:firstLineChars="200" w:firstLine="640"/>
        <w:rPr>
          <w:rFonts w:ascii="仿宋_GB2312" w:eastAsia="仿宋_GB2312" w:cs="仿宋"/>
          <w:bCs/>
          <w:sz w:val="32"/>
          <w:szCs w:val="32"/>
        </w:rPr>
      </w:pPr>
      <w:r>
        <w:rPr>
          <w:rFonts w:ascii="仿宋_GB2312" w:eastAsia="仿宋_GB2312" w:cs="仿宋" w:hint="eastAsia"/>
          <w:b/>
          <w:sz w:val="32"/>
          <w:szCs w:val="32"/>
        </w:rPr>
        <w:t>1.项目名称：</w:t>
      </w:r>
      <w:r>
        <w:rPr>
          <w:rFonts w:ascii="仿宋_GB2312" w:eastAsia="仿宋_GB2312" w:cs="仿宋" w:hint="eastAsia"/>
          <w:bCs/>
          <w:sz w:val="32"/>
          <w:szCs w:val="32"/>
        </w:rPr>
        <w:t>茂县叠溪镇服务省文旅大会建设“美丽四川·宜居乡村”环境综合整治项目</w:t>
      </w:r>
    </w:p>
    <w:p>
      <w:pPr>
        <w:spacing w:line="576" w:lineRule="exact"/>
        <w:ind w:firstLineChars="200" w:firstLine="640"/>
        <w:rPr>
          <w:rFonts w:ascii="仿宋_GB2312" w:eastAsia="仿宋_GB2312" w:cs="仿宋"/>
          <w:bCs/>
          <w:sz w:val="32"/>
          <w:szCs w:val="32"/>
        </w:rPr>
      </w:pPr>
      <w:r>
        <w:rPr>
          <w:rFonts w:ascii="仿宋_GB2312" w:eastAsia="仿宋_GB2312" w:cs="仿宋" w:hint="eastAsia"/>
          <w:b/>
          <w:sz w:val="32"/>
          <w:szCs w:val="32"/>
        </w:rPr>
        <w:t>2.项目实施单位：</w:t>
      </w:r>
      <w:r>
        <w:rPr>
          <w:rFonts w:ascii="仿宋_GB2312" w:eastAsia="仿宋_GB2312" w:cs="仿宋" w:hint="eastAsia"/>
          <w:bCs/>
          <w:sz w:val="32"/>
          <w:szCs w:val="32"/>
        </w:rPr>
        <w:t>茂县叠溪镇人民政府</w:t>
      </w:r>
    </w:p>
    <w:p>
      <w:pPr>
        <w:spacing w:line="576" w:lineRule="exact"/>
        <w:ind w:firstLineChars="200" w:firstLine="640"/>
        <w:rPr>
          <w:rFonts w:ascii="仿宋_GB2312" w:eastAsia="仿宋_GB2312" w:cs="仿宋"/>
          <w:bCs/>
          <w:sz w:val="32"/>
          <w:szCs w:val="32"/>
        </w:rPr>
      </w:pPr>
      <w:r>
        <w:rPr>
          <w:rFonts w:ascii="仿宋_GB2312" w:eastAsia="仿宋_GB2312" w:cs="仿宋" w:hint="eastAsia"/>
          <w:b/>
          <w:sz w:val="32"/>
          <w:szCs w:val="32"/>
        </w:rPr>
        <w:t>3.项目实施主体：</w:t>
      </w:r>
      <w:r>
        <w:rPr>
          <w:rFonts w:ascii="仿宋_GB2312" w:eastAsia="仿宋_GB2312" w:cs="仿宋" w:hint="eastAsia"/>
          <w:bCs/>
          <w:sz w:val="32"/>
          <w:szCs w:val="32"/>
        </w:rPr>
        <w:t>叠溪镇人民政府、石大关村、大店村、蚕丛村、龙池村、较场村、沙湾村、杨柳村、太平村、牛尾村村两委</w:t>
      </w:r>
    </w:p>
    <w:p>
      <w:pPr>
        <w:pStyle w:val="44"/>
        <w:spacing w:line="576" w:lineRule="exact"/>
        <w:rPr>
          <w:rFonts w:ascii="仿宋_GB2312" w:cs="仿宋"/>
          <w:bCs/>
          <w:kern w:val="2"/>
          <w:sz w:val="32"/>
          <w:szCs w:val="32"/>
        </w:rPr>
      </w:pPr>
      <w:r>
        <w:rPr>
          <w:rFonts w:ascii="仿宋_GB2312" w:cs="仿宋" w:hint="eastAsia"/>
          <w:bCs/>
          <w:kern w:val="2"/>
          <w:sz w:val="32"/>
          <w:szCs w:val="32"/>
        </w:rPr>
        <w:t xml:space="preserve"> </w:t>
      </w:r>
      <w:r>
        <w:rPr>
          <w:rFonts w:ascii="仿宋_GB2312" w:cs="仿宋" w:hint="eastAsia"/>
          <w:b/>
          <w:kern w:val="2"/>
          <w:sz w:val="32"/>
          <w:szCs w:val="32"/>
        </w:rPr>
        <w:t xml:space="preserve">   4.项目责任单位：</w:t>
      </w:r>
      <w:r>
        <w:rPr>
          <w:rFonts w:ascii="仿宋_GB2312" w:cs="仿宋" w:hint="eastAsia"/>
          <w:bCs/>
          <w:kern w:val="2"/>
          <w:sz w:val="32"/>
          <w:szCs w:val="32"/>
        </w:rPr>
        <w:t>茂县科农局</w:t>
      </w:r>
    </w:p>
    <w:p>
      <w:pPr>
        <w:spacing w:line="576" w:lineRule="exact"/>
        <w:ind w:firstLineChars="200" w:firstLine="640"/>
        <w:rPr>
          <w:rFonts w:ascii="仿宋_GB2312" w:eastAsia="仿宋_GB2312" w:cs="仿宋"/>
          <w:bCs/>
          <w:sz w:val="32"/>
          <w:szCs w:val="32"/>
        </w:rPr>
      </w:pPr>
      <w:r>
        <w:rPr>
          <w:rFonts w:ascii="仿宋_GB2312" w:eastAsia="仿宋_GB2312" w:cs="仿宋" w:hint="eastAsia"/>
          <w:b/>
          <w:sz w:val="32"/>
          <w:szCs w:val="32"/>
        </w:rPr>
        <w:t>5.项目建设地点：</w:t>
      </w:r>
      <w:r>
        <w:rPr>
          <w:rFonts w:ascii="仿宋_GB2312" w:eastAsia="仿宋_GB2312" w:cs="仿宋" w:hint="eastAsia"/>
          <w:bCs/>
          <w:sz w:val="32"/>
          <w:szCs w:val="32"/>
        </w:rPr>
        <w:t>茂县叠溪镇</w:t>
      </w:r>
    </w:p>
    <w:p>
      <w:pPr>
        <w:pStyle w:val="27"/>
        <w:spacing w:line="576" w:lineRule="exact"/>
        <w:ind w:leftChars="0" w:left="0" w:firstLineChars="200" w:firstLine="640"/>
        <w:rPr>
          <w:rFonts w:ascii="仿宋_GB2312" w:cs="仿宋"/>
          <w:bCs/>
        </w:rPr>
      </w:pPr>
      <w:r>
        <w:rPr>
          <w:rFonts w:ascii="仿宋_GB2312" w:cs="仿宋" w:hint="eastAsia"/>
          <w:b/>
        </w:rPr>
        <w:t>6.建设规模及内容：</w:t>
      </w:r>
      <w:r>
        <w:rPr>
          <w:rFonts w:ascii="仿宋_GB2312" w:cs="仿宋" w:hint="eastAsia"/>
          <w:bCs/>
        </w:rPr>
        <w:t>叠溪镇境内国道沿线各村可视范围内，涉及农房风貌改造、绿化美化提升、环境卫生整治、微景观建设（雕塑、花台、石墙建设）、店招店牌更换、彩钢棚整治、农产品销售摊位建设、农房美化文化元素打造等内容。</w:t>
      </w:r>
    </w:p>
    <w:p>
      <w:pPr>
        <w:spacing w:line="576" w:lineRule="exact"/>
        <w:rPr>
          <w:rFonts w:ascii="仿宋_GB2312" w:eastAsia="仿宋_GB2312" w:cs="仿宋"/>
          <w:bCs/>
          <w:sz w:val="32"/>
          <w:szCs w:val="32"/>
        </w:rPr>
      </w:pPr>
      <w:r>
        <w:rPr>
          <w:rFonts w:ascii="仿宋_GB2312" w:eastAsia="仿宋_GB2312" w:cs="仿宋" w:hint="eastAsia"/>
          <w:bCs/>
          <w:sz w:val="32"/>
          <w:szCs w:val="32"/>
        </w:rPr>
        <w:t xml:space="preserve">    </w:t>
      </w:r>
      <w:r>
        <w:rPr>
          <w:rFonts w:ascii="仿宋_GB2312" w:eastAsia="仿宋_GB2312" w:cs="仿宋" w:hint="eastAsia"/>
          <w:b/>
          <w:sz w:val="32"/>
          <w:szCs w:val="32"/>
        </w:rPr>
        <w:t>7.建设方式：</w:t>
      </w:r>
      <w:r>
        <w:rPr>
          <w:rFonts w:ascii="仿宋_GB2312" w:eastAsia="仿宋_GB2312" w:cs="仿宋" w:hint="eastAsia"/>
          <w:bCs/>
          <w:sz w:val="32"/>
          <w:szCs w:val="32"/>
        </w:rPr>
        <w:t>按照相关文件要求，对于绿化美化涉及花草树木类由镇政府采取询价的方式组织实施；对于涉及工程建设类的由相关村按照一事一议的方式委托施工方进行建设，或者采取由村民自建，先建后补的方式实施；对于破旧拆除，按照统一标准进行补贴。</w:t>
      </w:r>
    </w:p>
    <w:p>
      <w:pPr>
        <w:spacing w:line="576" w:lineRule="exact"/>
        <w:ind w:firstLineChars="200" w:firstLine="640"/>
        <w:rPr>
          <w:rFonts w:ascii="仿宋_GB2312" w:eastAsia="仿宋_GB2312" w:cs="仿宋"/>
          <w:bCs/>
          <w:sz w:val="32"/>
          <w:szCs w:val="32"/>
        </w:rPr>
      </w:pPr>
      <w:r>
        <w:rPr>
          <w:rFonts w:ascii="仿宋_GB2312" w:eastAsia="仿宋_GB2312" w:cs="仿宋" w:hint="eastAsia"/>
          <w:b/>
          <w:sz w:val="32"/>
          <w:szCs w:val="32"/>
        </w:rPr>
        <w:t>8.项目建设年限：</w:t>
      </w:r>
      <w:r>
        <w:rPr>
          <w:rFonts w:ascii="仿宋_GB2312" w:eastAsia="仿宋_GB2312" w:cs="仿宋" w:hint="eastAsia"/>
          <w:bCs/>
          <w:sz w:val="32"/>
          <w:szCs w:val="32"/>
        </w:rPr>
        <w:t>2021年3月—2021年10月</w:t>
      </w:r>
    </w:p>
    <w:p>
      <w:pPr>
        <w:adjustRightInd w:val="0"/>
        <w:snapToGrid w:val="0"/>
        <w:spacing w:line="576" w:lineRule="exact"/>
        <w:ind w:firstLineChars="200" w:firstLine="640"/>
        <w:rPr>
          <w:rFonts w:ascii="仿宋_GB2312" w:eastAsia="仿宋_GB2312" w:cs="仿宋"/>
          <w:bCs/>
          <w:sz w:val="32"/>
          <w:szCs w:val="32"/>
        </w:rPr>
      </w:pPr>
      <w:r>
        <w:rPr>
          <w:rFonts w:ascii="仿宋_GB2312" w:eastAsia="仿宋_GB2312" w:cs="仿宋" w:hint="eastAsia"/>
          <w:b/>
          <w:sz w:val="32"/>
          <w:szCs w:val="32"/>
        </w:rPr>
        <w:t>9.项目投资概算及资金来源：</w:t>
      </w:r>
      <w:r>
        <w:rPr>
          <w:rFonts w:ascii="仿宋_GB2312" w:eastAsia="仿宋_GB2312" w:cs="仿宋" w:hint="eastAsia"/>
          <w:bCs/>
          <w:sz w:val="32"/>
          <w:szCs w:val="32"/>
        </w:rPr>
        <w:t>总投资217万元。</w:t>
      </w:r>
    </w:p>
    <w:p>
      <w:pPr>
        <w:adjustRightInd w:val="0"/>
        <w:snapToGrid w:val="0"/>
        <w:spacing w:line="576" w:lineRule="exact"/>
        <w:ind w:firstLineChars="200" w:firstLine="640"/>
        <w:rPr>
          <w:rFonts w:ascii="仿宋_GB2312" w:cs="仿宋_GB2312" w:hAnsi="仿宋_GB2312"/>
          <w:sz w:val="32"/>
          <w:szCs w:val="32"/>
        </w:rPr>
      </w:pPr>
      <w:r>
        <w:rPr>
          <w:rFonts w:ascii="楷体_GB2312" w:eastAsia="楷体_GB2312" w:hint="eastAsia"/>
          <w:b/>
          <w:sz w:val="32"/>
          <w:szCs w:val="32"/>
          <w:lang w:val="zh-CN"/>
        </w:rPr>
        <w:t>（二）项目绩效目标。</w:t>
      </w:r>
    </w:p>
    <w:p>
      <w:pPr>
        <w:spacing w:line="576" w:lineRule="exact"/>
        <w:ind w:firstLineChars="200" w:firstLine="640"/>
        <w:rPr>
          <w:rFonts w:ascii="仿宋_GB2312" w:eastAsia="仿宋_GB2312" w:cs="仿宋"/>
          <w:sz w:val="32"/>
          <w:szCs w:val="32"/>
        </w:rPr>
      </w:pPr>
      <w:r>
        <w:rPr>
          <w:rFonts w:ascii="仿宋_GB2312" w:eastAsia="仿宋_GB2312" w:cs="仿宋" w:hint="eastAsia"/>
          <w:b/>
          <w:sz w:val="32"/>
          <w:szCs w:val="32"/>
        </w:rPr>
        <w:t>1、经济效益：</w:t>
      </w:r>
      <w:r>
        <w:rPr>
          <w:rFonts w:ascii="仿宋_GB2312" w:eastAsia="仿宋_GB2312" w:cs="仿宋" w:hint="eastAsia"/>
          <w:sz w:val="32"/>
          <w:szCs w:val="32"/>
        </w:rPr>
        <w:t>带动村民投工投劳，解决富裕劳动力，增加村民收入。</w:t>
      </w:r>
    </w:p>
    <w:p>
      <w:pPr>
        <w:pStyle w:val="22"/>
        <w:tabs>
          <w:tab w:val="center" w:pos="4153"/>
          <w:tab w:val="right" w:pos="8306"/>
        </w:tabs>
        <w:spacing w:line="576" w:lineRule="exact"/>
        <w:ind w:firstLineChars="200" w:firstLine="640"/>
        <w:rPr>
          <w:rFonts w:ascii="仿宋_GB2312" w:eastAsia="仿宋_GB2312" w:cs="仿宋"/>
          <w:sz w:val="32"/>
          <w:szCs w:val="32"/>
        </w:rPr>
      </w:pPr>
      <w:r>
        <w:rPr>
          <w:rFonts w:ascii="仿宋_GB2312" w:eastAsia="仿宋_GB2312" w:cs="仿宋" w:hint="eastAsia"/>
          <w:b/>
          <w:sz w:val="32"/>
          <w:szCs w:val="32"/>
        </w:rPr>
        <w:t>2、社会效益：</w:t>
      </w:r>
      <w:r>
        <w:rPr>
          <w:rFonts w:ascii="仿宋_GB2312" w:eastAsia="仿宋_GB2312" w:cs="仿宋" w:hint="eastAsia"/>
          <w:sz w:val="32"/>
          <w:szCs w:val="32"/>
        </w:rPr>
        <w:t>项目的建设将综合改善村民的生活条件，美化环境，改善对外形象， 助力乡村旅游，加快乡村振兴。</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adjustRightInd w:val="0"/>
        <w:snapToGrid w:val="0"/>
        <w:spacing w:line="576" w:lineRule="exact"/>
        <w:ind w:firstLine="720"/>
        <w:rPr>
          <w:rFonts w:ascii="仿宋_GB2312" w:eastAsia="仿宋_GB2312" w:cs="仿宋"/>
          <w:kern w:val="0"/>
          <w:sz w:val="32"/>
          <w:szCs w:val="32"/>
        </w:rPr>
      </w:pPr>
      <w:r>
        <w:rPr>
          <w:rFonts w:ascii="仿宋_GB2312" w:eastAsia="仿宋_GB2312" w:cs="仿宋" w:hint="eastAsia"/>
          <w:kern w:val="0"/>
          <w:sz w:val="32"/>
          <w:szCs w:val="32"/>
        </w:rPr>
        <w:t>本项目采取自评与他评相结合的方式，成立项目自评小组，结合评价内容，做到有计划，有安排，扎实开展本次自评工作。针对申报内容、实施情况、资金拨付、财务管理、社会效益等做出自我评价。</w:t>
      </w:r>
    </w:p>
    <w:p>
      <w:pPr>
        <w:adjustRightInd w:val="0"/>
        <w:snapToGrid w:val="0"/>
        <w:spacing w:line="576" w:lineRule="exact"/>
        <w:ind w:firstLine="720"/>
        <w:rPr>
          <w:rFonts w:ascii="黑体" w:eastAsia="黑体"/>
          <w:sz w:val="32"/>
          <w:szCs w:val="32"/>
        </w:rPr>
      </w:pPr>
      <w:r>
        <w:rPr>
          <w:rFonts w:ascii="黑体" w:eastAsia="黑体" w:hint="eastAsia"/>
          <w:sz w:val="32"/>
          <w:szCs w:val="32"/>
        </w:rPr>
        <w:t>二、项目资金使用情况</w:t>
      </w:r>
    </w:p>
    <w:p>
      <w:pPr>
        <w:adjustRightInd w:val="0"/>
        <w:snapToGrid w:val="0"/>
        <w:spacing w:line="576" w:lineRule="exact"/>
        <w:ind w:firstLine="720"/>
        <w:rPr>
          <w:rFonts w:ascii="仿宋_GB2312" w:hAnsi="仿宋_GB2312"/>
          <w:sz w:val="32"/>
          <w:szCs w:val="32"/>
          <w:lang w:val="zh-CN"/>
        </w:rPr>
      </w:pPr>
      <w:r>
        <w:rPr>
          <w:rFonts w:ascii="楷体_GB2312" w:eastAsia="楷体_GB2312" w:hint="eastAsia"/>
          <w:b/>
          <w:sz w:val="32"/>
          <w:szCs w:val="32"/>
          <w:lang w:val="zh-CN"/>
        </w:rPr>
        <w:t>（一）资金计划、到位及使用情况</w:t>
      </w:r>
    </w:p>
    <w:p>
      <w:pPr>
        <w:adjustRightInd w:val="0"/>
        <w:snapToGrid w:val="0"/>
        <w:spacing w:line="576" w:lineRule="exact"/>
        <w:ind w:firstLine="720"/>
        <w:rPr>
          <w:rFonts w:ascii="仿宋_GB2312" w:eastAsia="仿宋_GB2312"/>
          <w:b/>
          <w:sz w:val="32"/>
          <w:szCs w:val="32"/>
          <w:lang w:val="zh-CN"/>
        </w:rPr>
      </w:pPr>
      <w:r>
        <w:rPr>
          <w:rFonts w:ascii="仿宋_GB2312" w:eastAsia="仿宋_GB2312" w:hint="eastAsia"/>
          <w:b/>
          <w:sz w:val="32"/>
          <w:szCs w:val="32"/>
          <w:lang w:val="zh-CN"/>
        </w:rPr>
        <w:t>1．资金计划</w:t>
      </w:r>
    </w:p>
    <w:p>
      <w:pPr>
        <w:adjustRightInd w:val="0"/>
        <w:snapToGrid w:val="0"/>
        <w:spacing w:line="576" w:lineRule="exact"/>
        <w:ind w:firstLine="720"/>
        <w:rPr>
          <w:rFonts w:ascii="仿宋_GB2312" w:eastAsia="仿宋_GB2312" w:cs="仿宋"/>
          <w:kern w:val="0"/>
          <w:sz w:val="32"/>
          <w:szCs w:val="32"/>
        </w:rPr>
      </w:pPr>
      <w:r>
        <w:rPr>
          <w:rFonts w:ascii="仿宋_GB2312" w:eastAsia="仿宋_GB2312" w:cs="仿宋" w:hint="eastAsia"/>
          <w:kern w:val="0"/>
          <w:sz w:val="32"/>
          <w:szCs w:val="32"/>
        </w:rPr>
        <w:t>茂县叠溪镇服务省文旅大会建设“美丽四川·宜居乡村”环境综合整治项目资金计划投资217万元。</w:t>
      </w:r>
    </w:p>
    <w:p>
      <w:pPr>
        <w:adjustRightInd w:val="0"/>
        <w:snapToGrid w:val="0"/>
        <w:spacing w:line="576" w:lineRule="exact"/>
        <w:ind w:firstLine="720"/>
        <w:rPr>
          <w:rFonts w:ascii="仿宋_GB2312" w:eastAsia="仿宋_GB2312"/>
          <w:b/>
          <w:sz w:val="32"/>
          <w:szCs w:val="32"/>
          <w:lang w:val="zh-CN"/>
        </w:rPr>
      </w:pPr>
      <w:r>
        <w:rPr>
          <w:rFonts w:ascii="仿宋_GB2312" w:eastAsia="仿宋_GB2312" w:hint="eastAsia"/>
          <w:b/>
          <w:sz w:val="32"/>
          <w:szCs w:val="32"/>
          <w:lang w:val="zh-CN"/>
        </w:rPr>
        <w:t>2．资金使用</w:t>
      </w:r>
    </w:p>
    <w:p>
      <w:pPr>
        <w:spacing w:line="576" w:lineRule="exact"/>
        <w:ind w:firstLineChars="200" w:firstLine="640"/>
        <w:rPr>
          <w:rFonts w:ascii="仿宋_GB2312" w:eastAsia="仿宋_GB2312" w:cs="仿宋"/>
          <w:kern w:val="0"/>
          <w:sz w:val="32"/>
          <w:szCs w:val="32"/>
        </w:rPr>
      </w:pPr>
      <w:r>
        <w:rPr>
          <w:rFonts w:ascii="仿宋_GB2312" w:eastAsia="仿宋_GB2312" w:cs="仿宋" w:hint="eastAsia"/>
          <w:kern w:val="0"/>
          <w:sz w:val="32"/>
          <w:szCs w:val="32"/>
        </w:rPr>
        <w:t>（1）石大关村：</w:t>
      </w:r>
      <w:r>
        <w:rPr>
          <w:rFonts w:ascii="仿宋_GB2312" w:eastAsia="仿宋_GB2312" w:cs="仿宋"/>
          <w:kern w:val="0"/>
          <w:sz w:val="32"/>
          <w:szCs w:val="32"/>
        </w:rPr>
        <w:t>①</w:t>
      </w:r>
      <w:r>
        <w:rPr>
          <w:rFonts w:ascii="仿宋_GB2312" w:eastAsia="仿宋_GB2312" w:cs="仿宋" w:hint="eastAsia"/>
          <w:kern w:val="0"/>
          <w:sz w:val="32"/>
          <w:szCs w:val="32"/>
        </w:rPr>
        <w:t>彩钢棚整治，拆除补贴；</w:t>
      </w:r>
      <w:r>
        <w:rPr>
          <w:rFonts w:ascii="仿宋_GB2312" w:eastAsia="仿宋_GB2312" w:cs="仿宋"/>
          <w:kern w:val="0"/>
          <w:sz w:val="32"/>
          <w:szCs w:val="32"/>
        </w:rPr>
        <w:t>②</w:t>
      </w:r>
      <w:r>
        <w:rPr>
          <w:rFonts w:ascii="仿宋_GB2312" w:eastAsia="仿宋_GB2312" w:cs="仿宋" w:hint="eastAsia"/>
          <w:kern w:val="0"/>
          <w:sz w:val="32"/>
          <w:szCs w:val="32"/>
        </w:rPr>
        <w:t>环境整治（包含花台、石墙建设，人工机具等）；</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（2）太平村：</w:t>
      </w:r>
      <w:r>
        <w:rPr>
          <w:rFonts w:ascii="仿宋_GB2312" w:eastAsia="仿宋_GB2312" w:cs="仿宋"/>
          <w:kern w:val="0"/>
          <w:sz w:val="32"/>
          <w:szCs w:val="32"/>
        </w:rPr>
        <w:t>①彩钢棚整治，拆除补贴；②环境整治（包含花台建设</w:t>
      </w:r>
      <w:r>
        <w:rPr>
          <w:rFonts w:ascii="仿宋_GB2312" w:eastAsia="仿宋_GB2312" w:cs="仿宋" w:hint="eastAsia"/>
          <w:kern w:val="0"/>
          <w:sz w:val="32"/>
          <w:szCs w:val="32"/>
        </w:rPr>
        <w:t>，人工机具</w:t>
      </w:r>
      <w:r>
        <w:rPr>
          <w:rFonts w:ascii="仿宋_GB2312" w:eastAsia="仿宋_GB2312" w:cs="仿宋"/>
          <w:kern w:val="0"/>
          <w:sz w:val="32"/>
          <w:szCs w:val="32"/>
        </w:rPr>
        <w:t>等）；③鹅暖石墙面抹平、乳胶漆、水泥抹灰</w:t>
      </w:r>
      <w:r>
        <w:rPr>
          <w:rFonts w:ascii="仿宋_GB2312" w:eastAsia="仿宋_GB2312" w:cs="仿宋" w:hint="eastAsia"/>
          <w:kern w:val="0"/>
          <w:sz w:val="32"/>
          <w:szCs w:val="32"/>
        </w:rPr>
        <w:t>；</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（3）杨柳村：①环境整治（包含花台、换瓦、风貌建设，人工机具等）；</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（4）牛尾村：①环境整治（环境清理人工机具等）；</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（5）较场村：①彩钢棚整治，拆除补贴；</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（6）龙池村：①彩钢棚整治，拆除补贴；②环境整治（包含花台建设，人工机具等）；</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（7）大店村：①彩钢棚整治，拆除补贴；②环境整治（包含花台建设，人工机具等）；</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（8）沙湾村：①彩钢棚整治，拆除补贴；②环境整治（包含花台、石墙、房屋风貌建设，人工机具等）；</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（9）蚕丛村：①环境整治（石墙、摊位建设，人工机具等）；</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（10）微景观：沙湾村轮胎微景观、废弃船只微景观、龙池花椒雕塑微景观建设；</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（11）花草绿化：公路沿线种植花草树木；</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（12）房屋文化元素图案绘制：石大关、太平路边房屋绘画；</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（13）店招店牌更换：公路沿线店招店牌、标识标牌更换；</w:t>
      </w:r>
    </w:p>
    <w:p>
      <w:pPr>
        <w:pStyle w:val="31"/>
        <w:spacing w:after="0" w:line="576" w:lineRule="exact"/>
        <w:ind w:leftChars="0" w:left="0"/>
        <w:rPr>
          <w:rFonts w:ascii="仿宋_GB2312" w:eastAsia="仿宋_GB2312" w:cs="仿宋"/>
          <w:kern w:val="0"/>
          <w:sz w:val="32"/>
          <w:szCs w:val="32"/>
        </w:rPr>
      </w:pPr>
      <w:r>
        <w:rPr>
          <w:rFonts w:ascii="仿宋_GB2312" w:eastAsia="仿宋_GB2312" w:cs="仿宋" w:hint="eastAsia"/>
          <w:kern w:val="0"/>
          <w:sz w:val="32"/>
          <w:szCs w:val="32"/>
        </w:rPr>
        <w:t>（14）花草管护人员误工补贴：根据管护任务轻重，各路段安排专人进行管护。</w:t>
      </w:r>
    </w:p>
    <w:p>
      <w:pPr>
        <w:pStyle w:val="31"/>
        <w:spacing w:after="0" w:line="576" w:lineRule="exact"/>
        <w:ind w:leftChars="0" w:left="0"/>
        <w:rPr>
          <w:rFonts w:ascii="仿宋_GB2312" w:eastAsia="仿宋_GB2312" w:cs="仿宋"/>
          <w:kern w:val="0"/>
          <w:sz w:val="32"/>
          <w:szCs w:val="32"/>
        </w:rPr>
      </w:pPr>
      <w:r>
        <w:rPr>
          <w:rFonts w:ascii="楷体_GB2312" w:eastAsia="楷体_GB2312" w:hint="eastAsia"/>
          <w:b/>
          <w:sz w:val="32"/>
          <w:szCs w:val="32"/>
          <w:lang w:val="zh-CN"/>
        </w:rPr>
        <w:t>（二）项目财务管理情况</w:t>
      </w:r>
    </w:p>
    <w:p>
      <w:pPr>
        <w:spacing w:line="576" w:lineRule="exact"/>
        <w:ind w:firstLine="645"/>
        <w:rPr>
          <w:rFonts w:ascii="仿宋_GB2312" w:eastAsia="仿宋_GB2312" w:cs="仿宋"/>
          <w:kern w:val="0"/>
          <w:sz w:val="32"/>
          <w:szCs w:val="32"/>
        </w:rPr>
      </w:pPr>
      <w:r>
        <w:rPr>
          <w:rFonts w:ascii="仿宋_GB2312" w:eastAsia="仿宋_GB2312" w:cs="仿宋" w:hint="eastAsia"/>
          <w:kern w:val="0"/>
          <w:sz w:val="32"/>
          <w:szCs w:val="32"/>
        </w:rPr>
        <w:t>单位财务管理制度健全，严格执行财务管理制度，账务处理及时，会计核算规范。</w:t>
      </w:r>
    </w:p>
    <w:p>
      <w:pPr>
        <w:adjustRightInd w:val="0"/>
        <w:snapToGrid w:val="0"/>
        <w:spacing w:line="576" w:lineRule="exact"/>
        <w:ind w:firstLine="720"/>
        <w:rPr>
          <w:rFonts w:ascii="黑体" w:eastAsia="黑体"/>
          <w:sz w:val="32"/>
          <w:szCs w:val="32"/>
        </w:rPr>
      </w:pPr>
      <w:r>
        <w:rPr>
          <w:rFonts w:ascii="黑体" w:eastAsia="黑体" w:hint="eastAsia"/>
          <w:sz w:val="32"/>
          <w:szCs w:val="32"/>
        </w:rPr>
        <w:t>三、项目实施及管理情况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（一）时间安排</w:t>
      </w:r>
    </w:p>
    <w:p>
      <w:pPr>
        <w:adjustRightInd w:val="0"/>
        <w:snapToGrid w:val="0"/>
        <w:spacing w:line="576" w:lineRule="exact"/>
        <w:ind w:firstLine="720"/>
        <w:rPr>
          <w:rFonts w:ascii="仿宋_GB2312" w:eastAsia="仿宋_GB2312"/>
          <w:sz w:val="32"/>
          <w:szCs w:val="32"/>
        </w:rPr>
      </w:pPr>
      <w:r>
        <w:rPr>
          <w:rFonts w:ascii="仿宋_GB2312" w:eastAsia="仿宋_GB2312" w:cs="仿宋" w:hint="eastAsia"/>
          <w:color w:val="000000"/>
          <w:sz w:val="32"/>
          <w:szCs w:val="32"/>
        </w:rPr>
        <w:t>2021年3月：制定项目实施方案，召开“一事一议”会议，完成项目前期筹备；</w:t>
      </w:r>
    </w:p>
    <w:p>
      <w:pPr>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2021年8月：完成项目建设及乡村初验；</w:t>
      </w:r>
    </w:p>
    <w:p>
      <w:pPr>
        <w:autoSpaceDN w:val="0"/>
        <w:spacing w:line="576" w:lineRule="exact"/>
        <w:ind w:firstLineChars="200" w:firstLine="640"/>
        <w:jc w:val="left"/>
        <w:rPr>
          <w:rFonts w:ascii="仿宋_GB2312" w:eastAsia="仿宋_GB2312"/>
          <w:b/>
          <w:sz w:val="32"/>
          <w:szCs w:val="32"/>
          <w:lang w:val="zh-CN"/>
        </w:rPr>
      </w:pPr>
      <w:r>
        <w:rPr>
          <w:rFonts w:ascii="仿宋_GB2312" w:eastAsia="仿宋_GB2312" w:cs="仿宋" w:hint="eastAsia"/>
          <w:sz w:val="32"/>
          <w:szCs w:val="32"/>
        </w:rPr>
        <w:t>2021年10月：申请复查验收，资料归档完成，完成项目报账并投入使用。</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（二）项目管理情况</w:t>
      </w:r>
    </w:p>
    <w:p>
      <w:pPr>
        <w:adjustRightInd w:val="0"/>
        <w:snapToGrid w:val="0"/>
        <w:spacing w:line="576" w:lineRule="exact"/>
        <w:ind w:firstLine="720"/>
        <w:rPr>
          <w:rFonts w:ascii="仿宋_GB2312" w:eastAsia="仿宋_GB2312" w:cs="仿宋"/>
          <w:sz w:val="32"/>
          <w:szCs w:val="32"/>
        </w:rPr>
      </w:pPr>
      <w:r>
        <w:rPr>
          <w:rFonts w:ascii="仿宋_GB2312" w:eastAsia="仿宋_GB2312" w:cs="仿宋" w:hint="eastAsia"/>
          <w:sz w:val="32"/>
          <w:szCs w:val="32"/>
        </w:rPr>
        <w:t>项目实施过程中，严格按照相关法律法规及项目管理制度进行管理。</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（三）项目监管情况</w:t>
      </w:r>
    </w:p>
    <w:p>
      <w:pPr>
        <w:adjustRightInd w:val="0"/>
        <w:snapToGrid w:val="0"/>
        <w:spacing w:line="576" w:lineRule="exact"/>
        <w:ind w:firstLine="720"/>
        <w:rPr>
          <w:rFonts w:ascii="仿宋_GB2312" w:eastAsia="仿宋_GB2312" w:cs="仿宋"/>
          <w:sz w:val="32"/>
          <w:szCs w:val="32"/>
        </w:rPr>
      </w:pPr>
      <w:r>
        <w:rPr>
          <w:rFonts w:ascii="仿宋_GB2312" w:eastAsia="仿宋_GB2312" w:cs="仿宋" w:hint="eastAsia"/>
          <w:sz w:val="32"/>
          <w:szCs w:val="32"/>
        </w:rPr>
        <w:t>项目实施实施过程中，项目主管部门坚持制度管人、督促项目实施单位建立健全内部监督各项制度，最大限度地预防工程质量安全事故，项目资金损失浪费和违法违纪行为的发生。</w:t>
      </w:r>
    </w:p>
    <w:p>
      <w:pPr>
        <w:adjustRightInd w:val="0"/>
        <w:snapToGrid w:val="0"/>
        <w:spacing w:line="576" w:lineRule="exact"/>
        <w:ind w:firstLine="720"/>
        <w:rPr>
          <w:rFonts w:ascii="仿宋_GB2312" w:hAnsi="仿宋_GB2312"/>
          <w:sz w:val="32"/>
          <w:szCs w:val="32"/>
          <w:lang w:val="zh-CN"/>
        </w:rPr>
      </w:pPr>
      <w:r>
        <w:rPr>
          <w:rFonts w:ascii="黑体" w:eastAsia="黑体" w:hint="eastAsia"/>
          <w:sz w:val="32"/>
          <w:szCs w:val="32"/>
        </w:rPr>
        <w:t>四、项目绩效情况</w:t>
      </w:r>
      <w:r>
        <w:rPr>
          <w:rFonts w:ascii="仿宋_GB2312" w:hAnsi="仿宋_GB2312"/>
          <w:sz w:val="32"/>
          <w:szCs w:val="32"/>
          <w:lang w:val="zh-CN"/>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autoSpaceDN w:val="0"/>
        <w:spacing w:line="576" w:lineRule="exact"/>
        <w:ind w:firstLineChars="200" w:firstLine="640"/>
        <w:jc w:val="left"/>
        <w:rPr>
          <w:rFonts w:ascii="仿宋_GB2312" w:eastAsia="仿宋_GB2312" w:cs="仿宋"/>
          <w:sz w:val="32"/>
          <w:szCs w:val="32"/>
        </w:rPr>
      </w:pPr>
      <w:r>
        <w:rPr>
          <w:rFonts w:ascii="仿宋_GB2312" w:eastAsia="仿宋_GB2312" w:cs="仿宋" w:hint="eastAsia"/>
          <w:sz w:val="32"/>
          <w:szCs w:val="32"/>
        </w:rPr>
        <w:t>截止2021年10月申请复查验收，资料归档完成，完成项目报账并投入使用。</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pPr>
        <w:autoSpaceDN w:val="0"/>
        <w:spacing w:line="576" w:lineRule="exact"/>
        <w:ind w:firstLineChars="200" w:firstLine="640"/>
        <w:jc w:val="left"/>
        <w:rPr>
          <w:rFonts w:ascii="仿宋_GB2312" w:eastAsia="仿宋_GB2312" w:cs="仿宋"/>
          <w:sz w:val="32"/>
          <w:szCs w:val="32"/>
        </w:rPr>
      </w:pPr>
      <w:r>
        <w:rPr>
          <w:rFonts w:ascii="仿宋_GB2312" w:eastAsia="仿宋_GB2312" w:cs="仿宋" w:hint="eastAsia"/>
          <w:sz w:val="32"/>
          <w:szCs w:val="32"/>
        </w:rPr>
        <w:t>大大改善涉及村的村容村貌，提升九环沿线整体形象，改善村民的生活条件，美化环境，改善对外形象， 助力乡村旅游，加快乡村振兴，为群众提供务工岗位，使群众收入增加。</w:t>
      </w:r>
    </w:p>
    <w:p>
      <w:pPr>
        <w:adjustRightInd w:val="0"/>
        <w:snapToGrid w:val="0"/>
        <w:spacing w:line="576" w:lineRule="exact"/>
        <w:ind w:firstLine="720"/>
        <w:rPr>
          <w:rFonts w:ascii="黑体" w:eastAsia="黑体"/>
          <w:sz w:val="32"/>
          <w:szCs w:val="32"/>
        </w:rPr>
      </w:pPr>
      <w:r>
        <w:rPr>
          <w:rFonts w:ascii="黑体" w:eastAsia="黑体" w:hint="eastAsia"/>
          <w:sz w:val="32"/>
          <w:szCs w:val="32"/>
        </w:rPr>
        <w:t>五、评价结论及建议</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pPr>
        <w:spacing w:line="576" w:lineRule="exact"/>
        <w:ind w:firstLine="645"/>
        <w:rPr>
          <w:rFonts w:ascii="仿宋_GB2312" w:eastAsia="仿宋_GB2312" w:cs="仿宋"/>
          <w:sz w:val="32"/>
          <w:szCs w:val="32"/>
        </w:rPr>
      </w:pPr>
      <w:r>
        <w:rPr>
          <w:rFonts w:ascii="仿宋_GB2312" w:eastAsia="仿宋_GB2312" w:cs="仿宋" w:hint="eastAsia"/>
          <w:sz w:val="32"/>
          <w:szCs w:val="32"/>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无</w:t>
      </w:r>
      <w:r>
        <w:rPr>
          <w:rFonts w:ascii="仿宋_GB2312" w:eastAsia="仿宋_GB2312" w:cs="仿宋"/>
          <w:sz w:val="32"/>
          <w:szCs w:val="32"/>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pPr>
        <w:adjustRightInd w:val="0"/>
        <w:snapToGrid w:val="0"/>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无</w:t>
      </w: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宋体" w:cs="宋体"/>
          <w:sz w:val="44"/>
          <w:szCs w:val="44"/>
        </w:rPr>
      </w:pPr>
    </w:p>
    <w:p>
      <w:pPr>
        <w:spacing w:line="576" w:lineRule="exact"/>
        <w:jc w:val="center"/>
        <w:rPr>
          <w:rFonts w:ascii="方正小标宋简体" w:eastAsia="方正小标宋简体" w:cs="宋体"/>
          <w:sz w:val="44"/>
          <w:szCs w:val="44"/>
        </w:rPr>
      </w:pPr>
      <w:r>
        <w:rPr>
          <w:rFonts w:ascii="方正小标宋简体" w:eastAsia="方正小标宋简体" w:cs="宋体" w:hint="eastAsia"/>
          <w:sz w:val="44"/>
          <w:szCs w:val="44"/>
        </w:rPr>
        <w:t>茂县叠溪镇松坪沟村扶持壮大村集体经济</w:t>
      </w:r>
    </w:p>
    <w:p>
      <w:pPr>
        <w:pStyle w:val="43"/>
        <w:spacing w:line="576" w:lineRule="exact"/>
        <w:jc w:val="center"/>
        <w:rPr>
          <w:rFonts w:ascii="方正小标宋简体" w:eastAsia="方正小标宋简体" w:cs="宋体"/>
          <w:color w:val="auto"/>
          <w:kern w:val="2"/>
          <w:sz w:val="44"/>
          <w:szCs w:val="44"/>
          <w:lang w:val="en-US"/>
        </w:rPr>
      </w:pPr>
      <w:r>
        <w:rPr>
          <w:rFonts w:ascii="方正小标宋简体" w:eastAsia="方正小标宋简体" w:cs="宋体" w:hint="eastAsia"/>
          <w:color w:val="auto"/>
          <w:kern w:val="2"/>
          <w:sz w:val="44"/>
          <w:szCs w:val="44"/>
          <w:lang w:val="en-US"/>
        </w:rPr>
        <w:t>绩效评价报告</w:t>
      </w:r>
    </w:p>
    <w:p>
      <w:pPr>
        <w:pStyle w:val="43"/>
        <w:spacing w:line="576" w:lineRule="exact"/>
        <w:ind w:firstLine="640"/>
        <w:jc w:val="center"/>
        <w:rPr>
          <w:rFonts w:ascii="宋体" w:hint="eastAsia"/>
          <w:color w:val="auto"/>
          <w:kern w:val="2"/>
          <w:sz w:val="32"/>
          <w:szCs w:val="32"/>
        </w:rPr>
      </w:pPr>
    </w:p>
    <w:p>
      <w:pPr>
        <w:adjustRightInd w:val="0"/>
        <w:snapToGrid w:val="0"/>
        <w:spacing w:line="576"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720"/>
        <w:rPr>
          <w:rFonts w:ascii="仿宋_GB2312" w:cs="仿宋_GB2312" w:hAnsi="仿宋_GB2312"/>
          <w:sz w:val="32"/>
          <w:szCs w:val="32"/>
        </w:rPr>
      </w:pPr>
      <w:r>
        <w:rPr>
          <w:rFonts w:ascii="楷体_GB2312" w:eastAsia="楷体_GB2312" w:hint="eastAsia"/>
          <w:b/>
          <w:sz w:val="32"/>
          <w:szCs w:val="32"/>
          <w:lang w:val="zh-CN"/>
        </w:rPr>
        <w:t>（一）项目基本情况</w:t>
      </w:r>
    </w:p>
    <w:p>
      <w:pPr>
        <w:adjustRightInd w:val="0"/>
        <w:snapToGrid w:val="0"/>
        <w:spacing w:line="576" w:lineRule="exact"/>
        <w:ind w:firstLine="720"/>
        <w:rPr>
          <w:rFonts w:ascii="仿宋_GB2312" w:eastAsia="仿宋_GB2312"/>
          <w:sz w:val="32"/>
          <w:szCs w:val="32"/>
          <w:lang w:val="zh-CN"/>
        </w:rPr>
      </w:pPr>
      <w:r>
        <w:rPr>
          <w:rFonts w:ascii="仿宋_GB2312" w:eastAsia="仿宋_GB2312" w:cs="仿宋_GB2312" w:hint="eastAsia"/>
          <w:sz w:val="32"/>
          <w:szCs w:val="32"/>
        </w:rPr>
        <w:t>1.帮扶资金。下达资金共100万元。</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2.资金使用方向。购买农特产品营销点位(营销点根据后期研判确定)，通过租赁、联合经营等方式赚取收益。</w:t>
      </w:r>
    </w:p>
    <w:p>
      <w:pPr>
        <w:adjustRightInd w:val="0"/>
        <w:snapToGrid w:val="0"/>
        <w:spacing w:line="576" w:lineRule="exact"/>
        <w:ind w:firstLine="720"/>
        <w:rPr>
          <w:rFonts w:ascii="仿宋_GB2312" w:cs="仿宋_GB2312" w:hAnsi="仿宋_GB2312"/>
          <w:sz w:val="32"/>
          <w:szCs w:val="32"/>
        </w:rPr>
      </w:pPr>
      <w:r>
        <w:rPr>
          <w:rFonts w:ascii="楷体_GB2312" w:eastAsia="楷体_GB2312" w:hint="eastAsia"/>
          <w:b/>
          <w:sz w:val="32"/>
          <w:szCs w:val="32"/>
          <w:lang w:val="zh-CN"/>
        </w:rPr>
        <w:t>（二）项目绩效目标</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盘活资源资产资金的有效途径。盘活资产。在村集体经济发展过程中，采取对外承包、租赁，获得租金收入;或作为股份与其它社会资本嫁接，兴办经济实体进行分红。激活资源。利用有利的地理优势，发展乡村旅游业，由村两委牵头积极发展特色农业和旅游业，鼓励村级班子围绕农旅结合发展产业。提高农民的组织化程度，后期采取“支部+合作社+公司”的发展模式，撬动农村经济杠杆，不断壮大村级集体经济。用活资金。村“两委”班子严格按照县、镇党委、政府的有关规定、制度，对集体经济组织的财务收支活动实行民主监督和管理，自觉接受群众监督，实行民主管理，认真落实村民代表会议制度和“一事一议”制度，对村财务实行“村有、站管、乡监督”的管理模式。村集体资产的承包和租赁、集体举债、集体资产处置、村公益事业建设等与农民切身利益密切相关，都实行民主决策，做到公开、公平、公正。预期收益水平:从2022年开始预计每年盈利3-5万元，提供就业岗位3-5个。</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本项目采取自评与他评相结合的方式，成立项目自评小组，结合评价内容，做到有计划，有安排，扎实开展本次自评工作。针对申报内容、实施情况、资金拨付、财务管理、社会效益等做出自我评价。</w:t>
      </w:r>
    </w:p>
    <w:p>
      <w:pPr>
        <w:adjustRightInd w:val="0"/>
        <w:snapToGrid w:val="0"/>
        <w:spacing w:line="576" w:lineRule="exact"/>
        <w:ind w:firstLine="720"/>
        <w:rPr>
          <w:rFonts w:ascii="黑体" w:eastAsia="黑体"/>
          <w:sz w:val="32"/>
          <w:szCs w:val="32"/>
        </w:rPr>
      </w:pPr>
      <w:r>
        <w:rPr>
          <w:rFonts w:ascii="黑体" w:eastAsia="黑体" w:hint="eastAsia"/>
          <w:sz w:val="32"/>
          <w:szCs w:val="32"/>
        </w:rPr>
        <w:t>二、项目资金申报及使用情况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根据茂委办发(2021)27号中共茂县县委办公室茂县人民政府办公室关于印发《茂县2021年度统筹整合财政涉农资金实施方案》的通知，下达了松坪沟村作为扶持对象，纳入2021年中央和省级财政扶持壮大村级集体经济扶持对象村。</w:t>
      </w:r>
    </w:p>
    <w:p>
      <w:pPr>
        <w:adjustRightInd w:val="0"/>
        <w:snapToGrid w:val="0"/>
        <w:spacing w:line="576" w:lineRule="exact"/>
        <w:ind w:firstLine="720"/>
        <w:rPr>
          <w:rFonts w:ascii="仿宋_GB2312" w:hAnsi="仿宋_GB2312"/>
          <w:sz w:val="32"/>
          <w:szCs w:val="32"/>
          <w:lang w:val="zh-CN"/>
        </w:rPr>
      </w:pPr>
      <w:r>
        <w:rPr>
          <w:rFonts w:ascii="楷体_GB2312" w:eastAsia="楷体_GB2312" w:hint="eastAsia"/>
          <w:b/>
          <w:sz w:val="32"/>
          <w:szCs w:val="32"/>
          <w:lang w:val="zh-CN"/>
        </w:rPr>
        <w:t>（二）资金计划、到位及使用情况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．资金计划。</w:t>
      </w:r>
      <w:r>
        <w:rPr>
          <w:rFonts w:ascii="仿宋_GB2312" w:eastAsia="仿宋_GB2312" w:cs="仿宋_GB2312"/>
          <w:sz w:val="32"/>
          <w:szCs w:val="32"/>
        </w:rPr>
        <w:t>叠溪镇</w:t>
      </w:r>
      <w:r>
        <w:rPr>
          <w:rFonts w:ascii="仿宋_GB2312" w:eastAsia="仿宋_GB2312" w:cs="仿宋_GB2312" w:hint="eastAsia"/>
          <w:sz w:val="32"/>
          <w:szCs w:val="32"/>
        </w:rPr>
        <w:t>松坪沟</w:t>
      </w:r>
      <w:r>
        <w:rPr>
          <w:rFonts w:ascii="仿宋_GB2312" w:eastAsia="仿宋_GB2312" w:cs="仿宋_GB2312"/>
          <w:sz w:val="32"/>
          <w:szCs w:val="32"/>
        </w:rPr>
        <w:t>村</w:t>
      </w:r>
      <w:r>
        <w:rPr>
          <w:rFonts w:ascii="仿宋_GB2312" w:eastAsia="仿宋_GB2312" w:cs="仿宋_GB2312" w:hint="eastAsia"/>
          <w:sz w:val="32"/>
          <w:szCs w:val="32"/>
        </w:rPr>
        <w:t>扶持壮大村集体经济项目资金计划投资100万元。</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．资金到位。茂委办发(2021)27号中共茂县县委办公室茂县人民政府办公室关于印发《茂县2021年度统筹整合财政涉农资金实施方案》的通知，下达资金共100万元。</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．资金使用。购买农特产品营销点位(营销点根据后期研判确定)，通过租赁、联合经营等方式赚取收益。</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（三）项目财务管理情况</w:t>
      </w:r>
    </w:p>
    <w:p>
      <w:pPr>
        <w:spacing w:line="576" w:lineRule="exact"/>
        <w:ind w:firstLine="645"/>
        <w:rPr>
          <w:rFonts w:ascii="仿宋_GB2312" w:eastAsia="仿宋_GB2312" w:cs="仿宋_GB2312"/>
          <w:sz w:val="32"/>
          <w:szCs w:val="32"/>
        </w:rPr>
      </w:pPr>
      <w:r>
        <w:rPr>
          <w:rFonts w:ascii="仿宋_GB2312" w:eastAsia="仿宋_GB2312" w:cs="仿宋_GB2312" w:hint="eastAsia"/>
          <w:sz w:val="32"/>
          <w:szCs w:val="32"/>
        </w:rPr>
        <w:t>单位财务管理制度健全，严格执行财务管理制度，账务处理及时，会计核算规范。</w:t>
      </w:r>
    </w:p>
    <w:p>
      <w:pPr>
        <w:adjustRightInd w:val="0"/>
        <w:snapToGrid w:val="0"/>
        <w:spacing w:line="576" w:lineRule="exact"/>
        <w:ind w:firstLine="720"/>
        <w:rPr>
          <w:rFonts w:ascii="黑体" w:eastAsia="黑体"/>
          <w:sz w:val="32"/>
          <w:szCs w:val="32"/>
        </w:rPr>
      </w:pPr>
      <w:r>
        <w:rPr>
          <w:rFonts w:ascii="黑体" w:eastAsia="黑体" w:hint="eastAsia"/>
          <w:sz w:val="32"/>
          <w:szCs w:val="32"/>
        </w:rPr>
        <w:t>三、项目实施及管理情况</w:t>
      </w:r>
    </w:p>
    <w:p>
      <w:pPr>
        <w:spacing w:line="576" w:lineRule="exact"/>
        <w:ind w:firstLineChars="200" w:firstLine="640"/>
        <w:rPr>
          <w:rFonts w:ascii="仿宋_GB2312" w:cs="仿宋_GB2312" w:hAnsi="仿宋_GB2312"/>
          <w:sz w:val="32"/>
          <w:szCs w:val="32"/>
        </w:rPr>
      </w:pPr>
      <w:r>
        <w:rPr>
          <w:rFonts w:ascii="楷体_GB2312" w:eastAsia="楷体_GB2312" w:hint="eastAsia"/>
          <w:b/>
          <w:sz w:val="32"/>
          <w:szCs w:val="32"/>
          <w:lang w:val="zh-CN"/>
        </w:rPr>
        <w:t>（一）扶持村集体经济发展时间安排。</w:t>
      </w:r>
      <w:r>
        <w:rPr>
          <w:rFonts w:ascii="仿宋_GB2312" w:eastAsia="仿宋_GB2312" w:cs="仿宋_GB2312" w:hint="eastAsia"/>
          <w:sz w:val="32"/>
          <w:szCs w:val="32"/>
        </w:rPr>
        <w:t>2021年7月，围绕工作要求，专题研究讨论，拟定初步实施方案;2021年8-9月项目实施阶段。</w:t>
      </w:r>
    </w:p>
    <w:p>
      <w:pPr>
        <w:adjustRightInd w:val="0"/>
        <w:snapToGrid w:val="0"/>
        <w:spacing w:line="576" w:lineRule="exact"/>
        <w:ind w:firstLine="720"/>
        <w:rPr>
          <w:rFonts w:ascii="仿宋_GB2312" w:eastAsia="仿宋_GB2312" w:cs="仿宋_GB2312"/>
          <w:sz w:val="32"/>
          <w:szCs w:val="32"/>
        </w:rPr>
      </w:pPr>
      <w:r>
        <w:rPr>
          <w:rFonts w:ascii="楷体_GB2312" w:eastAsia="楷体_GB2312" w:hint="eastAsia"/>
          <w:b/>
          <w:sz w:val="32"/>
          <w:szCs w:val="32"/>
          <w:lang w:val="zh-CN"/>
        </w:rPr>
        <w:t>（二）项目管理情况。</w:t>
      </w:r>
      <w:r>
        <w:rPr>
          <w:rFonts w:ascii="仿宋_GB2312" w:eastAsia="仿宋_GB2312" w:cs="仿宋_GB2312" w:hint="eastAsia"/>
          <w:sz w:val="32"/>
          <w:szCs w:val="32"/>
        </w:rPr>
        <w:t>项目实施过程中，严格按照相关法律法规及项目管理制度进行管理。</w:t>
      </w:r>
    </w:p>
    <w:p>
      <w:pPr>
        <w:adjustRightInd w:val="0"/>
        <w:snapToGrid w:val="0"/>
        <w:spacing w:line="576" w:lineRule="exact"/>
        <w:ind w:firstLine="720"/>
        <w:rPr>
          <w:rFonts w:ascii="仿宋_GB2312" w:eastAsia="仿宋_GB2312" w:cs="仿宋_GB2312"/>
          <w:sz w:val="32"/>
          <w:szCs w:val="32"/>
        </w:rPr>
      </w:pPr>
      <w:r>
        <w:rPr>
          <w:rFonts w:ascii="楷体_GB2312" w:eastAsia="楷体_GB2312" w:hint="eastAsia"/>
          <w:b/>
          <w:sz w:val="32"/>
          <w:szCs w:val="32"/>
          <w:lang w:val="zh-CN"/>
        </w:rPr>
        <w:t>（三）项目监管情况。</w:t>
      </w:r>
      <w:r>
        <w:rPr>
          <w:rFonts w:ascii="仿宋_GB2312" w:eastAsia="仿宋_GB2312" w:cs="仿宋_GB2312" w:hint="eastAsia"/>
          <w:sz w:val="32"/>
          <w:szCs w:val="32"/>
        </w:rPr>
        <w:t>项目实施实施过程中，项目主管部门坚持制度管人、督促项目实施单位建立健全内部监督各项制度，最大限度地预防工程质量安全事故，项目资金损失浪费和违法违纪行为的发生。</w:t>
      </w:r>
    </w:p>
    <w:p>
      <w:pPr>
        <w:adjustRightInd w:val="0"/>
        <w:snapToGrid w:val="0"/>
        <w:spacing w:line="576" w:lineRule="exact"/>
        <w:ind w:firstLine="720"/>
        <w:rPr>
          <w:rFonts w:ascii="仿宋_GB2312" w:hAnsi="仿宋_GB2312"/>
          <w:sz w:val="32"/>
          <w:szCs w:val="32"/>
          <w:lang w:val="zh-CN"/>
        </w:rPr>
      </w:pPr>
      <w:r>
        <w:rPr>
          <w:rFonts w:ascii="黑体" w:eastAsia="黑体" w:hint="eastAsia"/>
          <w:sz w:val="32"/>
          <w:szCs w:val="32"/>
        </w:rPr>
        <w:t>四、项目绩效情况</w:t>
      </w:r>
      <w:r>
        <w:rPr>
          <w:rFonts w:ascii="仿宋_GB2312" w:hAnsi="仿宋_GB2312"/>
          <w:sz w:val="32"/>
          <w:szCs w:val="32"/>
          <w:lang w:val="zh-CN"/>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2021年7月，围绕工作要求，专题研究讨论，拟定初步实施方案;2021年8-9月项目实施阶段。整个项目投入资金100万元，购买农特产品营销点位(营销点根据后期研判确定)，通过租赁、联合经营等方式赚取收益。</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从2022年开始预计每年盈利3-5万元，提供就业岗位3-5个。</w:t>
      </w:r>
    </w:p>
    <w:p>
      <w:pPr>
        <w:adjustRightInd w:val="0"/>
        <w:snapToGrid w:val="0"/>
        <w:spacing w:line="576" w:lineRule="exact"/>
        <w:ind w:firstLine="720"/>
        <w:rPr>
          <w:rFonts w:ascii="黑体" w:eastAsia="黑体"/>
          <w:sz w:val="32"/>
          <w:szCs w:val="32"/>
        </w:rPr>
      </w:pPr>
      <w:r>
        <w:rPr>
          <w:rFonts w:ascii="黑体" w:eastAsia="黑体" w:hint="eastAsia"/>
          <w:sz w:val="32"/>
          <w:szCs w:val="32"/>
        </w:rPr>
        <w:t>五、评价结论及建议</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r>
        <w:rPr>
          <w:rFonts w:ascii="仿宋_GB2312" w:eastAsia="仿宋_GB2312" w:cs="仿宋_GB2312"/>
          <w:sz w:val="32"/>
          <w:szCs w:val="32"/>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pPr>
        <w:adjustRightInd w:val="0"/>
        <w:snapToGrid w:val="0"/>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adjustRightInd w:val="0"/>
        <w:snapToGrid w:val="0"/>
        <w:spacing w:line="576" w:lineRule="exact"/>
        <w:ind w:firstLineChars="200" w:firstLine="640"/>
        <w:rPr>
          <w:rFonts w:ascii="仿宋_GB2312" w:eastAsia="仿宋_GB2312" w:cs="仿宋_GB2312"/>
          <w:sz w:val="32"/>
          <w:szCs w:val="32"/>
        </w:rPr>
      </w:pPr>
    </w:p>
    <w:p>
      <w:pPr>
        <w:spacing w:line="576" w:lineRule="exact"/>
        <w:jc w:val="center"/>
        <w:rPr>
          <w:rFonts w:ascii="方正小标宋简体" w:eastAsia="方正小标宋简体" w:cs="仿宋_GB2312"/>
          <w:sz w:val="44"/>
          <w:szCs w:val="44"/>
        </w:rPr>
      </w:pPr>
      <w:r>
        <w:rPr>
          <w:rFonts w:ascii="方正小标宋简体" w:eastAsia="方正小标宋简体" w:cs="宋体" w:hint="eastAsia"/>
          <w:sz w:val="44"/>
          <w:szCs w:val="44"/>
        </w:rPr>
        <w:t>茂县叠溪镇</w:t>
      </w:r>
      <w:r>
        <w:rPr>
          <w:rFonts w:ascii="方正小标宋简体" w:eastAsia="方正小标宋简体" w:cs="仿宋_GB2312" w:hint="eastAsia"/>
          <w:sz w:val="44"/>
          <w:szCs w:val="44"/>
        </w:rPr>
        <w:t>基层武装工作专项经费</w:t>
      </w:r>
    </w:p>
    <w:p>
      <w:pPr>
        <w:spacing w:line="576" w:lineRule="exact"/>
        <w:jc w:val="center"/>
        <w:rPr>
          <w:rFonts w:ascii="方正小标宋简体" w:eastAsia="方正小标宋简体" w:cs="宋体"/>
          <w:sz w:val="44"/>
          <w:szCs w:val="44"/>
        </w:rPr>
      </w:pPr>
      <w:r>
        <w:rPr>
          <w:rFonts w:ascii="方正小标宋简体" w:eastAsia="方正小标宋简体" w:cs="宋体" w:hint="eastAsia"/>
          <w:sz w:val="44"/>
          <w:szCs w:val="44"/>
        </w:rPr>
        <w:t>绩效评价报告</w:t>
      </w:r>
    </w:p>
    <w:p>
      <w:pPr>
        <w:pStyle w:val="43"/>
        <w:spacing w:line="576" w:lineRule="exact"/>
        <w:ind w:firstLine="640"/>
        <w:jc w:val="center"/>
        <w:rPr>
          <w:rFonts w:ascii="宋体" w:hint="eastAsia"/>
          <w:color w:val="auto"/>
          <w:kern w:val="2"/>
          <w:sz w:val="32"/>
          <w:szCs w:val="32"/>
        </w:rPr>
      </w:pPr>
    </w:p>
    <w:p>
      <w:pPr>
        <w:adjustRightInd w:val="0"/>
        <w:snapToGrid w:val="0"/>
        <w:spacing w:line="576"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720"/>
        <w:rPr>
          <w:rFonts w:ascii="仿宋_GB2312" w:cs="仿宋_GB2312" w:hAnsi="仿宋_GB2312"/>
          <w:sz w:val="32"/>
          <w:szCs w:val="32"/>
        </w:rPr>
      </w:pPr>
      <w:r>
        <w:rPr>
          <w:rFonts w:ascii="楷体_GB2312" w:eastAsia="楷体_GB2312" w:hint="eastAsia"/>
          <w:b/>
          <w:sz w:val="32"/>
          <w:szCs w:val="32"/>
          <w:lang w:val="zh-CN"/>
        </w:rPr>
        <w:t>（一）项目基本情况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1.帮扶资金。下达资金共5.00万元。</w:t>
      </w:r>
    </w:p>
    <w:p>
      <w:pPr>
        <w:adjustRightInd w:val="0"/>
        <w:snapToGrid w:val="0"/>
        <w:spacing w:line="576" w:lineRule="exact"/>
        <w:ind w:firstLine="720"/>
        <w:rPr>
          <w:rFonts w:ascii="仿宋_GB2312" w:eastAsia="仿宋_GB2312"/>
          <w:sz w:val="32"/>
          <w:szCs w:val="32"/>
          <w:lang w:val="zh-CN"/>
        </w:rPr>
      </w:pPr>
      <w:r>
        <w:rPr>
          <w:rFonts w:ascii="仿宋_GB2312" w:eastAsia="仿宋_GB2312" w:cs="仿宋_GB2312" w:hint="eastAsia"/>
          <w:sz w:val="32"/>
          <w:szCs w:val="32"/>
        </w:rPr>
        <w:t>2.资金使用方向。购置民兵专用物资，组织培训等。</w:t>
      </w:r>
    </w:p>
    <w:p>
      <w:pPr>
        <w:adjustRightInd w:val="0"/>
        <w:snapToGrid w:val="0"/>
        <w:spacing w:line="576" w:lineRule="exact"/>
        <w:ind w:firstLine="720"/>
        <w:rPr>
          <w:rFonts w:ascii="仿宋_GB2312" w:cs="仿宋_GB2312" w:hAnsi="仿宋_GB2312"/>
          <w:sz w:val="32"/>
          <w:szCs w:val="32"/>
        </w:rPr>
      </w:pPr>
      <w:r>
        <w:rPr>
          <w:rFonts w:ascii="楷体_GB2312" w:eastAsia="楷体_GB2312" w:hint="eastAsia"/>
          <w:b/>
          <w:sz w:val="32"/>
          <w:szCs w:val="32"/>
          <w:lang w:val="zh-CN"/>
        </w:rPr>
        <w:t>（二）项目绩效目标</w:t>
      </w:r>
    </w:p>
    <w:p>
      <w:pPr>
        <w:pStyle w:val="30"/>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提升了当地民兵的身体素质及军队规范化的训练，有效提高年轻人生活质量，下一步改进措施：进一步统一思想、加强领导，完善制度、强化责任，改进措施、提高水平，把民兵工作做得更好。</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本项目采取自评与他评相结合的方式，成立项目自评小组，结合评价内容，做到有计划，有安排，扎实开展本次自评工作。针对申报内容、实施情况、资金拨付、财务管理、社会效益等做出自我评价。</w:t>
      </w:r>
    </w:p>
    <w:p>
      <w:pPr>
        <w:adjustRightInd w:val="0"/>
        <w:snapToGrid w:val="0"/>
        <w:spacing w:line="576" w:lineRule="exact"/>
        <w:ind w:firstLine="720"/>
        <w:rPr>
          <w:rFonts w:ascii="黑体" w:eastAsia="黑体"/>
          <w:sz w:val="32"/>
          <w:szCs w:val="32"/>
        </w:rPr>
      </w:pPr>
      <w:r>
        <w:rPr>
          <w:rFonts w:ascii="黑体" w:eastAsia="黑体" w:hint="eastAsia"/>
          <w:sz w:val="32"/>
          <w:szCs w:val="32"/>
        </w:rPr>
        <w:t>二、项目资金申报及使用情况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根据财政局茂财预金（2021）的通知，下达了基层武装工作专项经费。</w:t>
      </w:r>
    </w:p>
    <w:p>
      <w:pPr>
        <w:adjustRightInd w:val="0"/>
        <w:snapToGrid w:val="0"/>
        <w:spacing w:line="576" w:lineRule="exact"/>
        <w:ind w:firstLine="720"/>
        <w:rPr>
          <w:rFonts w:ascii="仿宋_GB2312" w:hAnsi="仿宋_GB2312"/>
          <w:sz w:val="32"/>
          <w:szCs w:val="32"/>
          <w:lang w:val="zh-CN"/>
        </w:rPr>
      </w:pPr>
      <w:r>
        <w:rPr>
          <w:rFonts w:ascii="楷体_GB2312" w:eastAsia="楷体_GB2312" w:hint="eastAsia"/>
          <w:b/>
          <w:sz w:val="32"/>
          <w:szCs w:val="32"/>
          <w:lang w:val="zh-CN"/>
        </w:rPr>
        <w:t>（二）资金计划、到位及使用情况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．资金计划。叠溪镇基层武装工作专项经费计划投资5.00万元。</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．资金到位。财政局茂财预金（2021），下达资金共5.00万元。</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．资金使用。购置民兵专用物资，组织培训等</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（三）项目财务管理情况</w:t>
      </w:r>
    </w:p>
    <w:p>
      <w:pPr>
        <w:spacing w:line="576" w:lineRule="exact"/>
        <w:ind w:firstLine="645"/>
        <w:rPr>
          <w:rFonts w:ascii="仿宋_GB2312" w:eastAsia="仿宋_GB2312" w:cs="仿宋_GB2312"/>
          <w:sz w:val="32"/>
          <w:szCs w:val="32"/>
        </w:rPr>
      </w:pPr>
      <w:r>
        <w:rPr>
          <w:rFonts w:ascii="仿宋_GB2312" w:eastAsia="仿宋_GB2312" w:cs="仿宋_GB2312" w:hint="eastAsia"/>
          <w:sz w:val="32"/>
          <w:szCs w:val="32"/>
        </w:rPr>
        <w:t>单位财务管理制度健全，严格执行财务管理制度，账务处理及时，会计核算规范。</w:t>
      </w:r>
    </w:p>
    <w:p>
      <w:pPr>
        <w:adjustRightInd w:val="0"/>
        <w:snapToGrid w:val="0"/>
        <w:spacing w:line="576" w:lineRule="exact"/>
        <w:ind w:firstLine="720"/>
        <w:rPr>
          <w:rFonts w:ascii="黑体" w:eastAsia="黑体"/>
          <w:sz w:val="32"/>
          <w:szCs w:val="32"/>
        </w:rPr>
      </w:pPr>
      <w:r>
        <w:rPr>
          <w:rFonts w:ascii="黑体" w:eastAsia="黑体" w:hint="eastAsia"/>
          <w:sz w:val="32"/>
          <w:szCs w:val="32"/>
        </w:rPr>
        <w:t>三、项目实施及管理情况</w:t>
      </w:r>
    </w:p>
    <w:p>
      <w:pPr>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（一）扶持村集体经济发展时间安排</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2021年7月，围绕工作要求，专题研究讨论，拟定初步实施方案;2021年8-9月项目实施阶段。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（二）项目管理情况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项目实施过程中，严格按照相关法律法规及项目管理制度进行管理。</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（三）项目监管情况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项目实施实施过程中，项目主管部门坚持制度管人、督促项目实施单位建立健全内部监督各项制度，最大限度地预防工程质量安全事故，项目资金损失浪费和违法违纪行为的发生。</w:t>
      </w:r>
    </w:p>
    <w:p>
      <w:pPr>
        <w:adjustRightInd w:val="0"/>
        <w:snapToGrid w:val="0"/>
        <w:spacing w:line="576" w:lineRule="exact"/>
        <w:ind w:firstLine="720"/>
        <w:rPr>
          <w:rFonts w:ascii="仿宋_GB2312" w:hAnsi="仿宋_GB2312"/>
          <w:sz w:val="32"/>
          <w:szCs w:val="32"/>
          <w:lang w:val="zh-CN"/>
        </w:rPr>
      </w:pPr>
      <w:r>
        <w:rPr>
          <w:rFonts w:ascii="黑体" w:eastAsia="黑体" w:hint="eastAsia"/>
          <w:sz w:val="32"/>
          <w:szCs w:val="32"/>
        </w:rPr>
        <w:t>四、项目绩效情况</w:t>
      </w:r>
      <w:r>
        <w:rPr>
          <w:rFonts w:ascii="仿宋_GB2312" w:hAnsi="仿宋_GB2312"/>
          <w:sz w:val="32"/>
          <w:szCs w:val="32"/>
          <w:lang w:val="zh-CN"/>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2021年7月，围绕工作要求，专题研究讨论，拟定初步实施方案;2021年8-9月项目实施阶段。整个项目投入资金5.00万元，购置民兵专用物资，组织培训等。</w:t>
      </w:r>
    </w:p>
    <w:p>
      <w:pPr>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（二）项目效益情况</w:t>
      </w:r>
    </w:p>
    <w:p>
      <w:pPr>
        <w:pStyle w:val="30"/>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提升了当地民兵的身体素质及军队规范化的训练，有效提高年轻人生活质量，下一步改进措施：进一步统一思想、加强领导，完善制度、强化责任，改进措施、提高水平，把民兵工作做得更好。</w:t>
      </w:r>
    </w:p>
    <w:p>
      <w:pPr>
        <w:adjustRightInd w:val="0"/>
        <w:snapToGrid w:val="0"/>
        <w:spacing w:line="576" w:lineRule="exact"/>
        <w:ind w:firstLine="720"/>
        <w:rPr>
          <w:rFonts w:ascii="黑体" w:eastAsia="黑体"/>
          <w:sz w:val="32"/>
          <w:szCs w:val="32"/>
        </w:rPr>
      </w:pPr>
      <w:r>
        <w:rPr>
          <w:rFonts w:ascii="黑体" w:eastAsia="黑体" w:hint="eastAsia"/>
          <w:sz w:val="32"/>
          <w:szCs w:val="32"/>
        </w:rPr>
        <w:t>五、评价结论及建议</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pPr>
        <w:pStyle w:val="30"/>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r>
        <w:rPr>
          <w:rFonts w:ascii="仿宋_GB2312" w:eastAsia="仿宋_GB2312" w:cs="仿宋_GB2312"/>
          <w:sz w:val="32"/>
          <w:szCs w:val="32"/>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pPr>
        <w:adjustRightInd w:val="0"/>
        <w:snapToGrid w:val="0"/>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p>
    <w:p>
      <w:pPr>
        <w:spacing w:line="576" w:lineRule="exact"/>
        <w:jc w:val="center"/>
        <w:rPr>
          <w:rFonts w:ascii="方正小标宋简体" w:eastAsia="方正小标宋简体" w:cs="宋体"/>
          <w:sz w:val="44"/>
          <w:szCs w:val="44"/>
        </w:rPr>
      </w:pPr>
      <w:r>
        <w:rPr>
          <w:rFonts w:ascii="方正小标宋简体" w:eastAsia="方正小标宋简体" w:cs="宋体" w:hint="eastAsia"/>
          <w:sz w:val="44"/>
          <w:szCs w:val="44"/>
        </w:rPr>
        <w:t>茂县叠溪镇居家养老服务项目</w:t>
      </w:r>
    </w:p>
    <w:p>
      <w:pPr>
        <w:pStyle w:val="43"/>
        <w:spacing w:line="576" w:lineRule="exact"/>
        <w:jc w:val="center"/>
        <w:rPr>
          <w:rFonts w:ascii="方正小标宋简体" w:eastAsia="方正小标宋简体" w:cs="宋体"/>
          <w:color w:val="auto"/>
          <w:kern w:val="2"/>
          <w:sz w:val="44"/>
          <w:szCs w:val="44"/>
          <w:lang w:val="en-US"/>
        </w:rPr>
      </w:pPr>
      <w:r>
        <w:rPr>
          <w:rFonts w:ascii="方正小标宋简体" w:eastAsia="方正小标宋简体" w:cs="宋体" w:hint="eastAsia"/>
          <w:color w:val="auto"/>
          <w:kern w:val="2"/>
          <w:sz w:val="44"/>
          <w:szCs w:val="44"/>
          <w:lang w:val="en-US"/>
        </w:rPr>
        <w:t>绩效评价报告</w:t>
      </w:r>
    </w:p>
    <w:p>
      <w:pPr>
        <w:pStyle w:val="43"/>
        <w:spacing w:line="576" w:lineRule="exact"/>
        <w:ind w:firstLine="640"/>
        <w:jc w:val="center"/>
        <w:rPr>
          <w:rFonts w:ascii="宋体" w:hint="eastAsia"/>
          <w:color w:val="auto"/>
          <w:kern w:val="2"/>
          <w:sz w:val="32"/>
          <w:szCs w:val="32"/>
        </w:rPr>
      </w:pPr>
    </w:p>
    <w:p>
      <w:pPr>
        <w:adjustRightInd w:val="0"/>
        <w:snapToGrid w:val="0"/>
        <w:spacing w:line="576"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720"/>
        <w:rPr>
          <w:rFonts w:ascii="仿宋_GB2312" w:cs="仿宋_GB2312" w:hAnsi="仿宋_GB2312"/>
          <w:sz w:val="32"/>
          <w:szCs w:val="32"/>
        </w:rPr>
      </w:pPr>
      <w:r>
        <w:rPr>
          <w:rFonts w:ascii="楷体_GB2312" w:eastAsia="楷体_GB2312" w:hint="eastAsia"/>
          <w:b/>
          <w:sz w:val="32"/>
          <w:szCs w:val="32"/>
          <w:lang w:val="zh-CN"/>
        </w:rPr>
        <w:t>（一）项目基本情况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1.帮扶资金。下达资金共3.99万元。</w:t>
      </w:r>
    </w:p>
    <w:p>
      <w:pPr>
        <w:adjustRightInd w:val="0"/>
        <w:snapToGrid w:val="0"/>
        <w:spacing w:line="576" w:lineRule="exact"/>
        <w:ind w:firstLine="720"/>
        <w:rPr>
          <w:rFonts w:ascii="仿宋_GB2312" w:eastAsia="仿宋_GB2312"/>
          <w:sz w:val="32"/>
          <w:szCs w:val="32"/>
          <w:lang w:val="zh-CN"/>
        </w:rPr>
      </w:pPr>
      <w:r>
        <w:rPr>
          <w:rFonts w:ascii="仿宋_GB2312" w:eastAsia="仿宋_GB2312" w:cs="仿宋_GB2312" w:hint="eastAsia"/>
          <w:sz w:val="32"/>
          <w:szCs w:val="32"/>
        </w:rPr>
        <w:t>2.资金使用方向。为各村困难家庭失能老人、独居老人和80岁以上老人提供居家养老服务。</w:t>
      </w:r>
    </w:p>
    <w:p>
      <w:pPr>
        <w:adjustRightInd w:val="0"/>
        <w:snapToGrid w:val="0"/>
        <w:spacing w:line="576" w:lineRule="exact"/>
        <w:ind w:firstLine="720"/>
        <w:rPr>
          <w:rFonts w:ascii="仿宋_GB2312" w:cs="仿宋_GB2312" w:hAnsi="仿宋_GB2312"/>
          <w:sz w:val="32"/>
          <w:szCs w:val="32"/>
        </w:rPr>
      </w:pPr>
      <w:r>
        <w:rPr>
          <w:rFonts w:ascii="楷体_GB2312" w:eastAsia="楷体_GB2312" w:hint="eastAsia"/>
          <w:b/>
          <w:sz w:val="32"/>
          <w:szCs w:val="32"/>
          <w:lang w:val="zh-CN"/>
        </w:rPr>
        <w:t>（二）项目绩效目标</w:t>
      </w:r>
    </w:p>
    <w:p>
      <w:pPr>
        <w:pStyle w:val="30"/>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为了更好的关爱老年人，关注老人身体健康，根据老人需求，为老年人提供医疗保健、精神慰藉、生活照料、文化娱乐等相关服务。</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本项目采取自评与他评相结合的方式，成立项目自评小组，结合评价内容，做到有计划，有安排，扎实开展本次自评工作。针对申报内容、实施情况、资金拨付、财务管理、社会效益等做出自我评价。</w:t>
      </w:r>
    </w:p>
    <w:p>
      <w:pPr>
        <w:adjustRightInd w:val="0"/>
        <w:snapToGrid w:val="0"/>
        <w:spacing w:line="576" w:lineRule="exact"/>
        <w:ind w:firstLine="720"/>
        <w:rPr>
          <w:rFonts w:ascii="黑体" w:eastAsia="黑体"/>
          <w:sz w:val="32"/>
          <w:szCs w:val="32"/>
        </w:rPr>
      </w:pPr>
      <w:r>
        <w:rPr>
          <w:rFonts w:ascii="黑体" w:eastAsia="黑体" w:hint="eastAsia"/>
          <w:sz w:val="32"/>
          <w:szCs w:val="32"/>
        </w:rPr>
        <w:t>二、项目资金申报及使用情况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根据《茂县民政局关于下达2021年养老服务业发展资金的函》（茂民函〔2021〕56号）的通知，下达居家养老服务资金3.99万元。</w:t>
      </w:r>
    </w:p>
    <w:p>
      <w:pPr>
        <w:adjustRightInd w:val="0"/>
        <w:snapToGrid w:val="0"/>
        <w:spacing w:line="576" w:lineRule="exact"/>
        <w:ind w:firstLine="720"/>
        <w:rPr>
          <w:rFonts w:ascii="仿宋_GB2312" w:hAnsi="仿宋_GB2312"/>
          <w:sz w:val="32"/>
          <w:szCs w:val="32"/>
          <w:lang w:val="zh-CN"/>
        </w:rPr>
      </w:pPr>
      <w:r>
        <w:rPr>
          <w:rFonts w:ascii="楷体_GB2312" w:eastAsia="楷体_GB2312" w:hint="eastAsia"/>
          <w:b/>
          <w:sz w:val="32"/>
          <w:szCs w:val="32"/>
          <w:lang w:val="zh-CN"/>
        </w:rPr>
        <w:t>（二）资金计划、到位及使用情况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．资金计划。</w:t>
      </w:r>
      <w:r>
        <w:rPr>
          <w:rFonts w:ascii="仿宋_GB2312" w:eastAsia="仿宋_GB2312" w:cs="仿宋_GB2312"/>
          <w:sz w:val="32"/>
          <w:szCs w:val="32"/>
        </w:rPr>
        <w:t>叠溪镇</w:t>
      </w:r>
      <w:r>
        <w:rPr>
          <w:rFonts w:ascii="仿宋_GB2312" w:eastAsia="仿宋_GB2312" w:cs="仿宋_GB2312" w:hint="eastAsia"/>
          <w:sz w:val="32"/>
          <w:szCs w:val="32"/>
        </w:rPr>
        <w:t>居家养老服务项目资金计划投资3.99万元。</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．资金到位。《茂县民政局关于下达2021年养老服务业发展资金的函》（茂民函〔2021〕56号）的通知，下达资金共3.99万元。</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资金使用。因服务人群的特殊性，大多数老人行动不便、身体机能下降，以实用、贴合实际为目的，由茂县代阳中医诊所为我镇133位老年人提供服务提供疾病预防、康复护理、健康教育等居家养老服务，标准按300元/人进行预算，费用共计39900元。主要提供：免费项目（体格检查、测血糖、测血压、健康指导等）、中医体质辩证（30元/人）、药品（云南白药酊一盒（40元）、壮骨高钙片一盒（40元）、伤湿祛痛膏一盒（80元）、双氯芬酸钠气雾剂一瓶（40元），云南白药创可贴一盒（30元）、麝香壮骨膏二盒（20元）、消炎镇痛膏一盒（20元）。</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（三）项目财务管理情况</w:t>
      </w:r>
    </w:p>
    <w:p>
      <w:pPr>
        <w:spacing w:line="576" w:lineRule="exact"/>
        <w:ind w:firstLine="645"/>
        <w:rPr>
          <w:rFonts w:ascii="仿宋_GB2312" w:eastAsia="仿宋_GB2312" w:cs="仿宋_GB2312"/>
          <w:sz w:val="32"/>
          <w:szCs w:val="32"/>
        </w:rPr>
      </w:pPr>
      <w:r>
        <w:rPr>
          <w:rFonts w:ascii="仿宋_GB2312" w:eastAsia="仿宋_GB2312" w:cs="仿宋_GB2312" w:hint="eastAsia"/>
          <w:sz w:val="32"/>
          <w:szCs w:val="32"/>
        </w:rPr>
        <w:t>单位财务管理制度健全，严格执行财务管理制度，账务处理及时，会计核算规范。</w:t>
      </w:r>
    </w:p>
    <w:p>
      <w:pPr>
        <w:adjustRightInd w:val="0"/>
        <w:snapToGrid w:val="0"/>
        <w:spacing w:line="576" w:lineRule="exact"/>
        <w:ind w:firstLine="720"/>
        <w:rPr>
          <w:rFonts w:ascii="黑体" w:eastAsia="黑体"/>
          <w:sz w:val="32"/>
          <w:szCs w:val="32"/>
        </w:rPr>
      </w:pPr>
      <w:r>
        <w:rPr>
          <w:rFonts w:ascii="黑体" w:eastAsia="黑体" w:hint="eastAsia"/>
          <w:sz w:val="32"/>
          <w:szCs w:val="32"/>
        </w:rPr>
        <w:t>三、项目实施及管理情况</w:t>
      </w:r>
    </w:p>
    <w:p>
      <w:pPr>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（一）叠溪镇居家养老服务项目时间安排</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2021年5月，围绕工作要求，专题研究讨论，拟定初步实施方案;2021年3-11月项目实施阶段。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（二）项目管理情况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项目实施过程中，严格按照相关法律法规及项目管理制度进行管理。</w:t>
      </w:r>
    </w:p>
    <w:p>
      <w:pPr>
        <w:adjustRightInd w:val="0"/>
        <w:snapToGrid w:val="0"/>
        <w:spacing w:line="556" w:lineRule="exact"/>
        <w:ind w:firstLine="720"/>
        <w:rPr>
          <w:rFonts w:ascii="楷体_GB2312" w:eastAsia="楷体_GB2312"/>
          <w:b/>
          <w:sz w:val="32"/>
          <w:szCs w:val="32"/>
          <w:lang w:val="zh-CN"/>
        </w:rPr>
      </w:pPr>
      <w:r>
        <w:rPr>
          <w:rFonts w:ascii="楷体_GB2312" w:eastAsia="楷体_GB2312" w:hint="eastAsia"/>
          <w:b/>
          <w:sz w:val="32"/>
          <w:szCs w:val="32"/>
          <w:lang w:val="zh-CN"/>
        </w:rPr>
        <w:t>（三）项目监管情况</w:t>
      </w:r>
    </w:p>
    <w:p>
      <w:pPr>
        <w:adjustRightInd w:val="0"/>
        <w:snapToGrid w:val="0"/>
        <w:spacing w:line="556" w:lineRule="exact"/>
        <w:ind w:firstLine="720"/>
        <w:rPr>
          <w:rFonts w:ascii="仿宋_GB2312" w:eastAsia="仿宋_GB2312" w:cs="仿宋_GB2312"/>
          <w:sz w:val="32"/>
          <w:szCs w:val="32"/>
        </w:rPr>
      </w:pPr>
      <w:r>
        <w:rPr>
          <w:rFonts w:ascii="仿宋_GB2312" w:eastAsia="仿宋_GB2312" w:cs="仿宋_GB2312" w:hint="eastAsia"/>
          <w:sz w:val="32"/>
          <w:szCs w:val="32"/>
        </w:rPr>
        <w:t>项目实施实施过程中，项目主管部门坚持制度管人、督促项目实施单位建立健全内部监督各项制度，最大限度地预防工程质量安全事故，项目资金损失浪费和违法违纪行为的发生。</w:t>
      </w:r>
    </w:p>
    <w:p>
      <w:pPr>
        <w:adjustRightInd w:val="0"/>
        <w:snapToGrid w:val="0"/>
        <w:spacing w:line="556" w:lineRule="exact"/>
        <w:ind w:firstLine="720"/>
        <w:rPr>
          <w:rFonts w:ascii="仿宋_GB2312" w:hAnsi="仿宋_GB2312"/>
          <w:sz w:val="32"/>
          <w:szCs w:val="32"/>
          <w:lang w:val="zh-CN"/>
        </w:rPr>
      </w:pPr>
      <w:r>
        <w:rPr>
          <w:rFonts w:ascii="黑体" w:eastAsia="黑体" w:hint="eastAsia"/>
          <w:sz w:val="32"/>
          <w:szCs w:val="32"/>
        </w:rPr>
        <w:t>四、项目绩效情况</w:t>
      </w:r>
      <w:r>
        <w:rPr>
          <w:rFonts w:ascii="仿宋_GB2312" w:hAnsi="仿宋_GB2312"/>
          <w:sz w:val="32"/>
          <w:szCs w:val="32"/>
          <w:lang w:val="zh-CN"/>
        </w:rPr>
        <w:tab/>
      </w:r>
    </w:p>
    <w:p>
      <w:pPr>
        <w:adjustRightInd w:val="0"/>
        <w:snapToGrid w:val="0"/>
        <w:spacing w:line="556"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spacing w:line="55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2021年5月，围绕工作要求，专题研究讨论，拟定初步实施方案;2021年3-11月项目实施阶段。整个项目投入资金3.99万元，为更好的关爱老年人，关注老人身体健康，根据老人需求，为老年人提供医疗保健、精神慰藉、生活照料、文化娱乐等相关服务。</w:t>
      </w:r>
    </w:p>
    <w:p>
      <w:pPr>
        <w:spacing w:line="55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（二）项目效益情况</w:t>
      </w:r>
    </w:p>
    <w:p>
      <w:pPr>
        <w:adjustRightInd w:val="0"/>
        <w:snapToGrid w:val="0"/>
        <w:spacing w:line="556" w:lineRule="exact"/>
        <w:ind w:firstLine="720"/>
        <w:rPr>
          <w:rFonts w:ascii="仿宋_GB2312" w:eastAsia="仿宋_GB2312" w:cs="仿宋_GB2312"/>
          <w:sz w:val="32"/>
          <w:szCs w:val="32"/>
        </w:rPr>
      </w:pPr>
      <w:r>
        <w:rPr>
          <w:rFonts w:ascii="仿宋_GB2312" w:eastAsia="仿宋_GB2312" w:cs="仿宋_GB2312" w:hint="eastAsia"/>
          <w:sz w:val="32"/>
          <w:szCs w:val="32"/>
        </w:rPr>
        <w:t>定期为老人提供生活和精神上的帮助，为每一位老人建立个人档案。</w:t>
      </w:r>
    </w:p>
    <w:p>
      <w:pPr>
        <w:adjustRightInd w:val="0"/>
        <w:snapToGrid w:val="0"/>
        <w:spacing w:line="556" w:lineRule="exact"/>
        <w:ind w:firstLine="720"/>
        <w:rPr>
          <w:rFonts w:ascii="黑体" w:eastAsia="黑体"/>
          <w:sz w:val="32"/>
          <w:szCs w:val="32"/>
        </w:rPr>
      </w:pPr>
      <w:r>
        <w:rPr>
          <w:rFonts w:ascii="黑体" w:eastAsia="黑体" w:hint="eastAsia"/>
          <w:sz w:val="32"/>
          <w:szCs w:val="32"/>
        </w:rPr>
        <w:t>五、评价结论及建议</w:t>
      </w:r>
    </w:p>
    <w:p>
      <w:pPr>
        <w:adjustRightInd w:val="0"/>
        <w:snapToGrid w:val="0"/>
        <w:spacing w:line="556"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pPr>
        <w:adjustRightInd w:val="0"/>
        <w:snapToGrid w:val="0"/>
        <w:spacing w:line="556" w:lineRule="exact"/>
        <w:ind w:firstLine="720"/>
        <w:rPr>
          <w:rFonts w:ascii="仿宋_GB2312" w:eastAsia="仿宋_GB2312" w:cs="仿宋_GB2312"/>
          <w:sz w:val="32"/>
          <w:szCs w:val="32"/>
        </w:rPr>
      </w:pPr>
      <w:r>
        <w:rPr>
          <w:rFonts w:ascii="仿宋_GB2312" w:eastAsia="仿宋_GB2312" w:cs="仿宋_GB2312" w:hint="eastAsia"/>
          <w:sz w:val="32"/>
          <w:szCs w:val="32"/>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56"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556" w:lineRule="exact"/>
        <w:ind w:firstLine="720"/>
        <w:rPr>
          <w:rFonts w:ascii="仿宋_GB2312" w:eastAsia="仿宋_GB2312" w:cs="仿宋_GB2312"/>
          <w:sz w:val="32"/>
          <w:szCs w:val="32"/>
        </w:rPr>
      </w:pPr>
      <w:r>
        <w:rPr>
          <w:rFonts w:ascii="仿宋_GB2312" w:eastAsia="仿宋_GB2312" w:cs="仿宋_GB2312" w:hint="eastAsia"/>
          <w:sz w:val="32"/>
          <w:szCs w:val="32"/>
        </w:rPr>
        <w:t>无</w:t>
      </w:r>
      <w:r>
        <w:rPr>
          <w:rFonts w:ascii="仿宋_GB2312" w:eastAsia="仿宋_GB2312" w:cs="仿宋_GB2312"/>
          <w:sz w:val="32"/>
          <w:szCs w:val="32"/>
        </w:rPr>
        <w:tab/>
      </w:r>
    </w:p>
    <w:p>
      <w:pPr>
        <w:adjustRightInd w:val="0"/>
        <w:snapToGrid w:val="0"/>
        <w:spacing w:line="556"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pPr>
        <w:adjustRightInd w:val="0"/>
        <w:snapToGrid w:val="0"/>
        <w:spacing w:line="556" w:lineRule="exact"/>
        <w:ind w:firstLine="720"/>
        <w:rPr>
          <w:rStyle w:val="1Char"/>
          <w:rFonts w:ascii="仿宋_GB2312" w:eastAsia="仿宋_GB2312" w:cs="仿宋_GB2312"/>
          <w:b w:val="0"/>
          <w:bCs w:val="0"/>
          <w:kern w:val="2"/>
          <w:sz w:val="32"/>
          <w:szCs w:val="32"/>
        </w:rPr>
      </w:pPr>
      <w:r>
        <w:rPr>
          <w:rFonts w:ascii="仿宋_GB2312" w:eastAsia="仿宋_GB2312" w:cs="仿宋_GB2312" w:hint="eastAsia"/>
          <w:sz w:val="32"/>
          <w:szCs w:val="32"/>
        </w:rPr>
        <w:t>无</w:t>
      </w:r>
    </w:p>
    <w:p>
      <w:pPr>
        <w:spacing w:line="576" w:lineRule="exact"/>
        <w:jc w:val="center"/>
        <w:outlineLvl w:val="0"/>
        <w:rPr>
          <w:rStyle w:val="1Char"/>
          <w:rFonts w:ascii="方正小标宋简体" w:eastAsia="方正小标宋简体"/>
          <w:b w:val="0"/>
        </w:rPr>
      </w:pPr>
      <w:bookmarkStart w:id="121" w:name="_Toc15396618"/>
      <w:bookmarkStart w:id="122" w:name="_Toc79163635"/>
      <w:bookmarkStart w:id="123" w:name="_Toc79163885"/>
      <w:r>
        <w:rPr>
          <w:rFonts w:ascii="方正小标宋简体" w:eastAsia="方正小标宋简体" w:hint="eastAsia"/>
          <w:color w:val="000000"/>
          <w:sz w:val="44"/>
          <w:szCs w:val="44"/>
        </w:rPr>
        <w:t>第</w:t>
      </w:r>
      <w:r>
        <w:rPr>
          <w:rStyle w:val="1Char"/>
          <w:rFonts w:ascii="方正小标宋简体" w:eastAsia="方正小标宋简体" w:hint="eastAsia"/>
          <w:b w:val="0"/>
        </w:rPr>
        <w:t>五部分 附表</w:t>
      </w:r>
      <w:bookmarkEnd w:id="110"/>
      <w:bookmarkEnd w:id="121"/>
      <w:bookmarkEnd w:id="122"/>
      <w:bookmarkEnd w:id="123"/>
    </w:p>
    <w:p>
      <w:pPr>
        <w:pStyle w:val="2"/>
        <w:spacing w:before="0" w:after="0" w:line="576" w:lineRule="exact"/>
        <w:rPr>
          <w:rFonts w:ascii="仿宋" w:eastAsia="仿宋"/>
          <w:b w:val="0"/>
          <w:color w:val="000000"/>
        </w:rPr>
      </w:pPr>
      <w:bookmarkStart w:id="124" w:name="_Toc15396619"/>
      <w:bookmarkStart w:id="125" w:name="_Toc79163636"/>
      <w:bookmarkStart w:id="126" w:name="_Toc79163886"/>
    </w:p>
    <w:p>
      <w:pPr>
        <w:pStyle w:val="2"/>
        <w:spacing w:before="0" w:after="0" w:line="576" w:lineRule="exact"/>
        <w:rPr>
          <w:rFonts w:ascii="仿宋" w:eastAsia="仿宋"/>
          <w:color w:val="000000"/>
        </w:rPr>
      </w:pPr>
      <w:r>
        <w:rPr>
          <w:rFonts w:ascii="仿宋" w:eastAsia="仿宋" w:hint="eastAsia"/>
          <w:b w:val="0"/>
          <w:color w:val="000000"/>
        </w:rPr>
        <w:t>一、收</w:t>
      </w:r>
      <w:r>
        <w:rPr>
          <w:rStyle w:val="2Char"/>
          <w:rFonts w:ascii="仿宋" w:eastAsia="仿宋" w:hint="eastAsia"/>
          <w:b w:val="0"/>
          <w:bCs w:val="0"/>
        </w:rPr>
        <w:t>入支出决算总表</w:t>
      </w:r>
      <w:bookmarkEnd w:id="124"/>
      <w:bookmarkEnd w:id="125"/>
      <w:bookmarkEnd w:id="126"/>
    </w:p>
    <w:p>
      <w:pPr>
        <w:pStyle w:val="2"/>
        <w:spacing w:before="0" w:after="0" w:line="576" w:lineRule="exact"/>
        <w:rPr>
          <w:rFonts w:ascii="仿宋" w:eastAsia="仿宋"/>
          <w:color w:val="000000"/>
        </w:rPr>
      </w:pPr>
      <w:bookmarkStart w:id="127" w:name="_Toc15396620"/>
      <w:bookmarkStart w:id="128" w:name="_Toc79163887"/>
      <w:bookmarkStart w:id="129" w:name="_Toc79163637"/>
      <w:r>
        <w:rPr>
          <w:rFonts w:ascii="仿宋" w:eastAsia="仿宋" w:hint="eastAsia"/>
          <w:b w:val="0"/>
          <w:color w:val="000000"/>
        </w:rPr>
        <w:t>二、收</w:t>
      </w:r>
      <w:r>
        <w:rPr>
          <w:rStyle w:val="2Char"/>
          <w:rFonts w:ascii="仿宋" w:eastAsia="仿宋" w:hint="eastAsia"/>
          <w:b w:val="0"/>
          <w:bCs w:val="0"/>
        </w:rPr>
        <w:t>入决算表</w:t>
      </w:r>
      <w:bookmarkEnd w:id="127"/>
      <w:bookmarkEnd w:id="128"/>
      <w:bookmarkEnd w:id="129"/>
    </w:p>
    <w:p>
      <w:pPr>
        <w:pStyle w:val="2"/>
        <w:spacing w:before="0" w:after="0" w:line="576" w:lineRule="exact"/>
        <w:rPr>
          <w:rFonts w:ascii="仿宋" w:eastAsia="仿宋"/>
          <w:color w:val="000000"/>
        </w:rPr>
      </w:pPr>
      <w:bookmarkStart w:id="130" w:name="_Toc15396621"/>
      <w:bookmarkStart w:id="131" w:name="_Toc79163888"/>
      <w:bookmarkStart w:id="132" w:name="_Toc79163638"/>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130"/>
      <w:bookmarkEnd w:id="131"/>
      <w:bookmarkEnd w:id="132"/>
    </w:p>
    <w:p>
      <w:pPr>
        <w:pStyle w:val="2"/>
        <w:spacing w:before="0" w:after="0" w:line="576" w:lineRule="exact"/>
        <w:rPr>
          <w:rFonts w:ascii="仿宋" w:eastAsia="仿宋"/>
          <w:b w:val="0"/>
          <w:color w:val="000000"/>
        </w:rPr>
      </w:pPr>
      <w:bookmarkStart w:id="133" w:name="_Toc15396622"/>
      <w:bookmarkStart w:id="134" w:name="_Toc79163639"/>
      <w:bookmarkStart w:id="135" w:name="_Toc79163889"/>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133"/>
      <w:bookmarkEnd w:id="134"/>
      <w:bookmarkEnd w:id="135"/>
    </w:p>
    <w:p>
      <w:pPr>
        <w:pStyle w:val="2"/>
        <w:spacing w:before="0" w:after="0" w:line="576" w:lineRule="exact"/>
        <w:rPr>
          <w:rStyle w:val="2Char"/>
          <w:rFonts w:ascii="仿宋" w:eastAsia="仿宋"/>
          <w:b w:val="0"/>
          <w:bCs w:val="0"/>
        </w:rPr>
      </w:pPr>
      <w:bookmarkStart w:id="136" w:name="_Toc79163890"/>
      <w:bookmarkStart w:id="137" w:name="_Toc15396623"/>
      <w:bookmarkStart w:id="138" w:name="_Toc79163640"/>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139" w:name="_Toc15396624"/>
      <w:bookmarkEnd w:id="136"/>
      <w:bookmarkEnd w:id="137"/>
      <w:bookmarkEnd w:id="138"/>
    </w:p>
    <w:p>
      <w:pPr>
        <w:pStyle w:val="2"/>
        <w:spacing w:before="0" w:after="0" w:line="576" w:lineRule="exact"/>
        <w:rPr>
          <w:rFonts w:ascii="仿宋" w:eastAsia="仿宋"/>
          <w:color w:val="000000"/>
        </w:rPr>
      </w:pPr>
      <w:bookmarkStart w:id="140" w:name="_Toc79163641"/>
      <w:bookmarkStart w:id="141" w:name="_Toc79163891"/>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139"/>
      <w:bookmarkEnd w:id="140"/>
      <w:bookmarkEnd w:id="141"/>
    </w:p>
    <w:p>
      <w:pPr>
        <w:pStyle w:val="2"/>
        <w:spacing w:before="0" w:after="0" w:line="576" w:lineRule="exact"/>
        <w:rPr>
          <w:rFonts w:ascii="仿宋" w:eastAsia="仿宋"/>
          <w:color w:val="000000"/>
        </w:rPr>
      </w:pPr>
      <w:bookmarkStart w:id="142" w:name="_Toc79163642"/>
      <w:bookmarkStart w:id="143" w:name="_Toc15396625"/>
      <w:bookmarkStart w:id="144" w:name="_Toc79163892"/>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142"/>
      <w:bookmarkEnd w:id="143"/>
      <w:bookmarkEnd w:id="144"/>
    </w:p>
    <w:p>
      <w:pPr>
        <w:pStyle w:val="2"/>
        <w:spacing w:before="0" w:after="0" w:line="576" w:lineRule="exact"/>
        <w:rPr>
          <w:rFonts w:ascii="仿宋" w:eastAsia="仿宋"/>
          <w:color w:val="000000"/>
        </w:rPr>
      </w:pPr>
      <w:bookmarkStart w:id="145" w:name="_Toc79163643"/>
      <w:bookmarkStart w:id="146" w:name="_Toc79163893"/>
      <w:bookmarkStart w:id="147"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145"/>
      <w:bookmarkEnd w:id="146"/>
      <w:bookmarkEnd w:id="147"/>
    </w:p>
    <w:p>
      <w:pPr>
        <w:pStyle w:val="2"/>
        <w:spacing w:before="0" w:after="0" w:line="576" w:lineRule="exact"/>
        <w:rPr>
          <w:rFonts w:ascii="仿宋" w:eastAsia="仿宋"/>
          <w:color w:val="000000"/>
        </w:rPr>
      </w:pPr>
      <w:bookmarkStart w:id="148" w:name="_Toc79163644"/>
      <w:bookmarkStart w:id="149" w:name="_Toc79163894"/>
      <w:bookmarkStart w:id="150"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148"/>
      <w:bookmarkEnd w:id="149"/>
      <w:bookmarkEnd w:id="150"/>
    </w:p>
    <w:p>
      <w:pPr>
        <w:pStyle w:val="2"/>
        <w:spacing w:before="0" w:after="0" w:line="576" w:lineRule="exact"/>
        <w:rPr>
          <w:rFonts w:ascii="仿宋" w:eastAsia="仿宋"/>
          <w:color w:val="000000"/>
        </w:rPr>
      </w:pPr>
      <w:bookmarkStart w:id="151" w:name="_Toc15396628"/>
      <w:bookmarkStart w:id="152" w:name="_Toc79163645"/>
      <w:bookmarkStart w:id="153" w:name="_Toc79163895"/>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151"/>
      <w:bookmarkEnd w:id="152"/>
      <w:bookmarkEnd w:id="153"/>
    </w:p>
    <w:p>
      <w:pPr>
        <w:pStyle w:val="2"/>
        <w:spacing w:before="0" w:after="0" w:line="576" w:lineRule="exact"/>
        <w:rPr>
          <w:rFonts w:ascii="仿宋" w:eastAsia="仿宋"/>
          <w:color w:val="000000"/>
        </w:rPr>
      </w:pPr>
      <w:bookmarkStart w:id="154" w:name="_Toc15396629"/>
      <w:bookmarkStart w:id="155" w:name="_Toc79163646"/>
      <w:bookmarkStart w:id="156" w:name="_Toc79163896"/>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154"/>
      <w:bookmarkEnd w:id="155"/>
      <w:bookmarkEnd w:id="156"/>
    </w:p>
    <w:p>
      <w:pPr>
        <w:pStyle w:val="2"/>
        <w:spacing w:before="0" w:after="0" w:line="576" w:lineRule="exact"/>
        <w:rPr>
          <w:rFonts w:ascii="仿宋" w:eastAsia="仿宋"/>
          <w:color w:val="000000"/>
        </w:rPr>
      </w:pPr>
      <w:bookmarkStart w:id="157" w:name="_Toc79163647"/>
      <w:bookmarkStart w:id="158" w:name="_Toc15396630"/>
      <w:bookmarkStart w:id="159" w:name="_Toc79163897"/>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157"/>
      <w:bookmarkEnd w:id="158"/>
      <w:bookmarkEnd w:id="159"/>
    </w:p>
    <w:p>
      <w:pPr>
        <w:pStyle w:val="2"/>
        <w:spacing w:before="0" w:after="0" w:line="576" w:lineRule="exact"/>
        <w:rPr>
          <w:rStyle w:val="2Char"/>
          <w:rFonts w:ascii="仿宋" w:eastAsia="仿宋"/>
          <w:b w:val="0"/>
          <w:bCs w:val="0"/>
        </w:rPr>
      </w:pPr>
      <w:bookmarkStart w:id="160" w:name="_Toc79163898"/>
      <w:bookmarkStart w:id="161" w:name="_Toc15396631"/>
      <w:bookmarkStart w:id="162" w:name="_Toc79163648"/>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160"/>
      <w:bookmarkEnd w:id="161"/>
      <w:bookmarkEnd w:id="162"/>
    </w:p>
    <w:p>
      <w:pPr>
        <w:pStyle w:val="2"/>
        <w:spacing w:before="0" w:after="0" w:line="576" w:lineRule="exact"/>
        <w:rPr>
          <w:rStyle w:val="2Char"/>
          <w:rFonts w:ascii="仿宋" w:eastAsia="仿宋"/>
          <w:b w:val="0"/>
          <w:bCs w:val="0"/>
        </w:rPr>
      </w:pPr>
      <w:bookmarkStart w:id="163" w:name="_Toc79163649"/>
      <w:bookmarkStart w:id="164" w:name="_Toc79163899"/>
      <w:r>
        <w:rPr>
          <w:rStyle w:val="2Char"/>
          <w:rFonts w:ascii="仿宋" w:eastAsia="仿宋" w:hint="eastAsia"/>
          <w:b w:val="0"/>
          <w:bCs w:val="0"/>
        </w:rPr>
        <w:t>十四、国有资本经营预算财政拨款支出决算表</w:t>
      </w:r>
      <w:bookmarkEnd w:id="163"/>
      <w:bookmarkEnd w:id="164"/>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小标宋_GBK"/>
    <w:panose1 w:val="02010601030101010101"/>
    <w:charset w:val="86"/>
    <w:family w:val="auto"/>
    <w:pitch w:val="variable"/>
    <w:sig w:usb0="00000000" w:usb1="00000000" w:usb2="00000010" w:usb3="00000000" w:csb0="00040000" w:csb1="00000000"/>
  </w:font>
  <w:font w:name="仿宋_GB2312">
    <w:panose1 w:val="02010609030101010101"/>
    <w:charset w:val="86"/>
    <w:family w:val="modern"/>
    <w:pitch w:val="variable"/>
    <w:sig w:usb0="00000001" w:usb1="080E0000" w:usb2="00000000" w:usb3="00000000" w:csb0="00040000" w:csb1="00000000"/>
  </w:font>
  <w:font w:name="仿宋">
    <w:altName w:val="仿宋_GB2312"/>
    <w:panose1 w:val="02010609060101010101"/>
    <w:charset w:val="86"/>
    <w:family w:val="modern"/>
    <w:pitch w:val="variable"/>
    <w:sig w:usb0="00000000" w:usb1="00000000" w:usb2="0000001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楷体">
    <w:altName w:val="方正楷体_GBK"/>
    <w:panose1 w:val="02010609060101010101"/>
    <w:charset w:val="86"/>
    <w:family w:val="modern"/>
    <w:pitch w:val="variable"/>
    <w:sig w:usb0="00000000" w:usb1="00000000" w:usb2="00000016"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宋体">
    <w:altName w:val="方正书宋_GBK"/>
    <w:panose1 w:val="00000000000000000000"/>
    <w:charset w:val="86"/>
    <w:family w:val="auto"/>
    <w:pitch w:val="variable"/>
    <w:sig w:usb0="00000000" w:usb1="00000000" w:usb2="00000000" w:usb3="00000000" w:csb0="00000000" w:csb1="00000000"/>
  </w:font>
  <w:font w:name="Times New Roman">
    <w:panose1 w:val="02020603050405020304"/>
    <w:charset w:val="00"/>
    <w:family w:val="roman"/>
    <w:pitch w:val="variable"/>
    <w:sig w:usb0="20007A87" w:usb1="80000000" w:usb2="00000008" w:usb3="00000000" w:csb0="000001FF" w:csb1="00000000"/>
  </w:font>
  <w:font w:name="Cambria">
    <w:altName w:val="Noto Sans Syriac Eastern"/>
    <w:panose1 w:val="02040503050406030204"/>
    <w:charset w:val="00"/>
    <w:family w:val="roman"/>
    <w:pitch w:val="variable"/>
    <w:sig w:usb0="00000000" w:usb1="00000000" w:usb2="00000000" w:usb3="00000000" w:csb0="0000019F" w:csb1="00000000"/>
  </w:font>
  <w:font w:name="等线">
    <w:altName w:val="仿宋_GB2312"/>
    <w:panose1 w:val="00000000000000000000"/>
    <w:charset w:val="86"/>
    <w:family w:val="auto"/>
    <w:pitch w:val="variable"/>
    <w:sig w:usb0="00000000" w:usb1="00000000" w:usb2="00000016" w:usb3="00000000" w:csb0="0004000F" w:csb1="00000000"/>
  </w:font>
  <w:font w:name="Arial">
    <w:altName w:val="DejaVu Sans"/>
    <w:panose1 w:val="020B0604020202020204"/>
    <w:charset w:val="01"/>
    <w:family w:val="swiss"/>
    <w:pitch w:val="variable"/>
    <w:sig w:usb0="E0002AFF" w:usb1="C0007843" w:usb2="00000009" w:usb3="00000000" w:csb0="400001FF" w:csb1="FFFF0000"/>
  </w:font>
  <w:font w:name="等线 Light">
    <w:altName w:val="仿宋_GB2312"/>
    <w:panose1 w:val="00000000000000000000"/>
    <w:charset w:val="86"/>
    <w:family w:val="auto"/>
    <w:pitch w:val="variable"/>
    <w:sig w:usb0="00000000" w:usb1="00000000" w:usb2="00000016" w:usb3="00000000" w:csb0="0004000F" w:csb1="00000000"/>
  </w:font>
  <w:font w:name="??">
    <w:altName w:val="仿宋_GB2312"/>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r>
      <w:fldChar w:fldCharType="begin"/>
    </w:r>
    <w:r>
      <w:instrText>PAGE   \* MERGEFORMAT</w:instrText>
    </w:r>
    <w:r>
      <w:fldChar w:fldCharType="separate"/>
    </w:r>
    <w:r>
      <w:rPr>
        <w:lang w:val="zh-CN"/>
      </w:rPr>
      <w:t>2</w:t>
    </w:r>
    <w:r>
      <w:rPr>
        <w:lang w:val="zh-CN"/>
      </w:rPr>
      <w:fldChar w:fldCharType="end"/>
    </w:r>
  </w:p>
  <w:p>
    <w:pPr>
      <w:pStyle w:val="22"/>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7"/>
    <w:basedOn w:val="0"/>
    <w:next w:val="0"/>
    <w:pPr>
      <w:ind w:left="1260"/>
      <w:jc w:val="left"/>
    </w:pPr>
    <w:rPr>
      <w:rFonts w:ascii="等线" w:eastAsia="等线"/>
      <w:sz w:val="18"/>
      <w:szCs w:val="18"/>
    </w:rPr>
  </w:style>
  <w:style w:type="paragraph" w:styleId="16">
    <w:name w:val="Body Text"/>
    <w:basedOn w:val="0"/>
    <w:pPr>
      <w:spacing w:beforeLines="30" w:before="30"/>
    </w:pPr>
    <w:rPr>
      <w:rFonts w:ascii="仿宋_GB2312" w:eastAsia="仿宋_GB2312"/>
      <w:kern w:val="0"/>
      <w:sz w:val="24"/>
      <w:szCs w:val="20"/>
    </w:rPr>
  </w:style>
  <w:style w:type="paragraph" w:styleId="17">
    <w:name w:val="Body Text Indent"/>
    <w:basedOn w:val="0"/>
    <w:pPr>
      <w:spacing w:after="120"/>
      <w:ind w:leftChars="200" w:left="200"/>
    </w:pPr>
  </w:style>
  <w:style w:type="paragraph" w:styleId="18">
    <w:name w:val="toc 5"/>
    <w:basedOn w:val="0"/>
    <w:next w:val="0"/>
    <w:pPr>
      <w:ind w:left="840"/>
      <w:jc w:val="left"/>
    </w:pPr>
    <w:rPr>
      <w:rFonts w:ascii="等线" w:eastAsia="等线"/>
      <w:sz w:val="18"/>
      <w:szCs w:val="18"/>
    </w:rPr>
  </w:style>
  <w:style w:type="paragraph" w:styleId="19">
    <w:name w:val="toc 3"/>
    <w:basedOn w:val="0"/>
    <w:next w:val="0"/>
    <w:pPr>
      <w:ind w:left="420"/>
      <w:jc w:val="left"/>
    </w:pPr>
    <w:rPr>
      <w:rFonts w:ascii="等线" w:eastAsia="等线"/>
      <w:i/>
      <w:iCs/>
      <w:sz w:val="20"/>
      <w:szCs w:val="20"/>
    </w:rPr>
  </w:style>
  <w:style w:type="paragraph" w:styleId="20">
    <w:name w:val="toc 8"/>
    <w:basedOn w:val="0"/>
    <w:next w:val="0"/>
    <w:pPr>
      <w:ind w:left="1470"/>
      <w:jc w:val="left"/>
    </w:pPr>
    <w:rPr>
      <w:rFonts w:ascii="等线" w:eastAsia="等线"/>
      <w:sz w:val="18"/>
      <w:szCs w:val="18"/>
    </w:rPr>
  </w:style>
  <w:style w:type="paragraph" w:styleId="21">
    <w:name w:val="Balloon Text"/>
    <w:basedOn w:val="0"/>
    <w:rPr>
      <w:sz w:val="18"/>
      <w:szCs w:val="18"/>
    </w:rPr>
  </w:style>
  <w:style w:type="paragraph" w:styleId="22">
    <w:name w:val="footer"/>
    <w:basedOn w:val="0"/>
    <w:pPr>
      <w:tabs>
        <w:tab w:val="center" w:pos="4153"/>
        <w:tab w:val="right" w:pos="8306"/>
      </w:tabs>
      <w:snapToGrid w:val="0"/>
      <w:jc w:val="left"/>
    </w:pPr>
    <w:rPr>
      <w:rFonts w:ascii="Calibri" w:hAnsi="Calibri"/>
      <w:kern w:val="0"/>
      <w:sz w:val="18"/>
      <w:szCs w:val="20"/>
    </w:rPr>
  </w:style>
  <w:style w:type="paragraph" w:styleId="23">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4">
    <w:name w:val="toc 1"/>
    <w:basedOn w:val="0"/>
    <w:next w:val="0"/>
    <w:pPr>
      <w:spacing w:before="120" w:after="120"/>
      <w:jc w:val="left"/>
    </w:pPr>
    <w:rPr>
      <w:rFonts w:ascii="等线" w:eastAsia="等线"/>
      <w:b/>
      <w:bCs/>
      <w:caps/>
      <w:smallCaps w:val="0"/>
      <w:sz w:val="20"/>
      <w:szCs w:val="20"/>
    </w:rPr>
  </w:style>
  <w:style w:type="paragraph" w:styleId="25">
    <w:name w:val="toc 4"/>
    <w:basedOn w:val="0"/>
    <w:next w:val="0"/>
    <w:pPr>
      <w:ind w:left="630"/>
      <w:jc w:val="left"/>
    </w:pPr>
    <w:rPr>
      <w:rFonts w:ascii="等线" w:eastAsia="等线"/>
      <w:sz w:val="18"/>
      <w:szCs w:val="18"/>
    </w:rPr>
  </w:style>
  <w:style w:type="paragraph" w:styleId="26">
    <w:name w:val="toc 6"/>
    <w:basedOn w:val="0"/>
    <w:next w:val="0"/>
    <w:pPr>
      <w:ind w:left="1050"/>
      <w:jc w:val="left"/>
    </w:pPr>
    <w:rPr>
      <w:rFonts w:ascii="等线" w:eastAsia="等线"/>
      <w:sz w:val="18"/>
      <w:szCs w:val="18"/>
    </w:rPr>
  </w:style>
  <w:style w:type="paragraph" w:styleId="27">
    <w:name w:val="table of figures"/>
    <w:basedOn w:val="0"/>
    <w:next w:val="0"/>
    <w:pPr>
      <w:ind w:leftChars="200" w:left="400" w:hangingChars="200" w:hanging="200"/>
    </w:pPr>
    <w:rPr>
      <w:rFonts w:eastAsia="仿宋_GB2312"/>
      <w:sz w:val="32"/>
      <w:szCs w:val="32"/>
    </w:rPr>
  </w:style>
  <w:style w:type="paragraph" w:styleId="28">
    <w:name w:val="toc 2"/>
    <w:basedOn w:val="0"/>
    <w:next w:val="0"/>
    <w:pPr>
      <w:ind w:left="210"/>
      <w:jc w:val="left"/>
    </w:pPr>
    <w:rPr>
      <w:rFonts w:ascii="等线" w:eastAsia="等线"/>
      <w:caps w:val="0"/>
      <w:smallCaps/>
      <w:sz w:val="20"/>
      <w:szCs w:val="20"/>
    </w:rPr>
  </w:style>
  <w:style w:type="paragraph" w:styleId="29">
    <w:name w:val="toc 9"/>
    <w:basedOn w:val="0"/>
    <w:next w:val="0"/>
    <w:pPr>
      <w:ind w:left="1680"/>
      <w:jc w:val="left"/>
    </w:pPr>
    <w:rPr>
      <w:rFonts w:ascii="等线" w:eastAsia="等线"/>
      <w:sz w:val="18"/>
      <w:szCs w:val="18"/>
    </w:rPr>
  </w:style>
  <w:style w:type="paragraph" w:styleId="30">
    <w:name w:val="Normal (Web)"/>
    <w:basedOn w:val="0"/>
    <w:rPr>
      <w:rFonts w:ascii="Calibri" w:cs="Arial" w:hAnsi="Calibri"/>
      <w:sz w:val="24"/>
      <w:szCs w:val="22"/>
    </w:rPr>
  </w:style>
  <w:style w:type="paragraph" w:styleId="31">
    <w:name w:val="Body Text First Indent 2"/>
    <w:basedOn w:val="17"/>
    <w:pPr>
      <w:ind w:firstLineChars="200" w:firstLine="200"/>
    </w:pPr>
  </w:style>
  <w:style w:type="character" w:styleId="32">
    <w:name w:val="Strong"/>
    <w:basedOn w:val="10"/>
    <w:rPr>
      <w:rFonts w:cs="Times New Roman"/>
      <w:b/>
    </w:rPr>
  </w:style>
  <w:style w:type="character" w:styleId="33">
    <w:name w:val="Hyperlink"/>
    <w:basedOn w:val="10"/>
    <w:rPr>
      <w:rFonts w:cs="Times New Roman"/>
      <w:color w:val="0000FF"/>
      <w:u w:val="single"/>
    </w:rPr>
  </w:style>
  <w:style w:type="character" w:customStyle="1" w:styleId="34">
    <w:name w:val="Body Text Char"/>
    <w:basedOn w:val="10"/>
    <w:rPr>
      <w:rFonts w:ascii="Times New Roman" w:cs="Times New Roman" w:hAnsi="Times New Roman"/>
      <w:sz w:val="24"/>
      <w:szCs w:val="24"/>
    </w:rPr>
  </w:style>
  <w:style w:type="character" w:customStyle="1" w:styleId="35">
    <w:name w:val="Footer Char"/>
    <w:basedOn w:val="10"/>
    <w:rPr>
      <w:rFonts w:ascii="Times New Roman" w:cs="Times New Roman" w:hAnsi="Times New Roman"/>
      <w:sz w:val="18"/>
      <w:szCs w:val="18"/>
    </w:rPr>
  </w:style>
  <w:style w:type="character" w:customStyle="1" w:styleId="36">
    <w:name w:val="Header Char"/>
    <w:basedOn w:val="10"/>
    <w:rPr>
      <w:rFonts w:ascii="Times New Roman" w:cs="Times New Roman" w:hAnsi="Times New Roman"/>
      <w:sz w:val="18"/>
      <w:szCs w:val="18"/>
    </w:rPr>
  </w:style>
  <w:style w:type="paragraph" w:customStyle="1" w:styleId="37">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8">
    <w:name w:val="列表段落1"/>
    <w:basedOn w:val="0"/>
    <w:pPr>
      <w:ind w:firstLineChars="200" w:firstLine="200"/>
    </w:pPr>
  </w:style>
  <w:style w:type="paragraph" w:customStyle="1" w:styleId="39">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1">
    <w:name w:val="TOC Heading"/>
    <w:basedOn w:val="1"/>
    <w:next w:val="0"/>
    <w:pPr>
      <w:keepNext/>
      <w:keepLines/>
      <w:widowControl/>
      <w:spacing w:before="240" w:after="0" w:line="259" w:lineRule="auto"/>
      <w:jc w:val="left"/>
      <w:outlineLvl w:val="9"/>
    </w:pPr>
    <w:rPr>
      <w:rFonts w:ascii="等线 Light" w:eastAsia="等线 Light"/>
      <w:b w:val="0"/>
      <w:bCs w:val="0"/>
      <w:color w:val="2F5496"/>
      <w:kern w:val="0"/>
      <w:sz w:val="32"/>
      <w:szCs w:val="32"/>
    </w:rPr>
  </w:style>
  <w:style w:type="character" w:customStyle="1" w:styleId="42">
    <w:name w:val="NormalCharacter"/>
    <w:rPr>
      <w:rFonts w:ascii="Calibri" w:eastAsia="宋体" w:cs="Arial" w:hAnsi="Calibri"/>
      <w:kern w:val="2"/>
      <w:sz w:val="21"/>
      <w:szCs w:val="24"/>
      <w:lang w:val="en-US" w:eastAsia="zh-CN" w:bidi="ar-SA"/>
    </w:rPr>
  </w:style>
  <w:style w:type="paragraph" w:customStyle="1" w:styleId="43">
    <w:name w:val="四号正文"/>
    <w:basedOn w:val="0"/>
    <w:pPr>
      <w:spacing w:line="360" w:lineRule="auto"/>
    </w:pPr>
    <w:rPr>
      <w:rFonts w:ascii="??" w:hAnsi="??"/>
      <w:color w:val="000000"/>
      <w:kern w:val="0"/>
      <w:sz w:val="28"/>
      <w:szCs w:val="21"/>
      <w:lang w:val="zh-CN"/>
    </w:rPr>
  </w:style>
  <w:style w:type="paragraph" w:customStyle="1" w:styleId="44">
    <w:name w:val="p0"/>
    <w:basedOn w:val="0"/>
    <w:pPr>
      <w:widowControl/>
    </w:pPr>
    <w:rPr>
      <w:rFonts w:eastAsia="仿宋_GB2312" w:cs="宋体"/>
      <w:kern w:val="0"/>
      <w:szCs w:val="21"/>
    </w:rPr>
  </w:style>
  <w:style w:type="paragraph" w:styleId="45">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9163455"/>
          <c:y val="0.025233543"/>
          <c:w val="0.7831921"/>
          <c:h val="0.85075676"/>
        </c:manualLayout>
      </c:layout>
      <c:barChart>
        <c:barDir val="col"/>
        <c:grouping val="clustered"/>
        <c:varyColors val="0"/>
        <c:ser>
          <c:idx val="0"/>
          <c:order val="0"/>
          <c:tx>
            <c:strRef>
              <c:f>'Sheet1'!$B$1</c:f>
              <c:strCache>
                <c:ptCount val="1"/>
                <c:pt idx="0">
                  <c:v>收入</c:v>
                </c:pt>
              </c:strCache>
            </c:strRef>
          </c:tx>
          <c:spPr>
            <a:solidFill>
              <a:srgbClr val="4F81BD"/>
            </a:solidFill>
          </c:spPr>
          <c:invertIfNegative val="0"/>
          <c:dLbls>
            <c:showLegendKey val="0"/>
            <c:showVal val="0"/>
            <c:showCatName val="0"/>
            <c:showSerName val="0"/>
            <c:showPercent val="0"/>
            <c:showBubbleSize val="0"/>
            <c:showLeaderLines val="0"/>
          </c:dLbls>
          <c:cat>
            <c:numRef>
              <c:f>'Sheet1'!$A$2:$A$3</c:f>
              <c:numCache>
                <c:ptCount val="2"/>
                <c:pt idx="0">
                  <c:v>2020</c:v>
                </c:pt>
                <c:pt idx="1">
                  <c:v>2021</c:v>
                </c:pt>
              </c:numCache>
            </c:numRef>
          </c:cat>
          <c:val>
            <c:numRef>
              <c:f>'Sheet1'!$B$2:$B$3</c:f>
              <c:numCache>
                <c:formatCode>General</c:formatCode>
                <c:ptCount val="2"/>
                <c:pt idx="0">
                  <c:v>3494.97</c:v>
                </c:pt>
                <c:pt idx="1">
                  <c:v>2504.92</c:v>
                </c:pt>
              </c:numCache>
            </c:numRef>
          </c:val>
        </c:ser>
        <c:ser>
          <c:idx val="1"/>
          <c:order val="1"/>
          <c:tx>
            <c:strRef>
              <c:f>'Sheet1'!$C$1</c:f>
              <c:strCache>
                <c:ptCount val="1"/>
                <c:pt idx="0">
                  <c:v>支出</c:v>
                </c:pt>
              </c:strCache>
            </c:strRef>
          </c:tx>
          <c:spPr>
            <a:solidFill>
              <a:srgbClr val="C0504D"/>
            </a:solidFill>
          </c:spPr>
          <c:invertIfNegative val="0"/>
          <c:dLbls>
            <c:showLegendKey val="0"/>
            <c:showVal val="0"/>
            <c:showCatName val="0"/>
            <c:showSerName val="0"/>
            <c:showPercent val="0"/>
            <c:showBubbleSize val="0"/>
            <c:showLeaderLines val="0"/>
          </c:dLbls>
          <c:cat>
            <c:numRef>
              <c:f>'Sheet1'!$A$2:$A$3</c:f>
              <c:numCache>
                <c:ptCount val="2"/>
                <c:pt idx="0">
                  <c:v>2020</c:v>
                </c:pt>
                <c:pt idx="1">
                  <c:v>2021</c:v>
                </c:pt>
              </c:numCache>
            </c:numRef>
          </c:cat>
          <c:val>
            <c:numRef>
              <c:f>'Sheet1'!$C$2:$C$3</c:f>
              <c:numCache>
                <c:formatCode>General</c:formatCode>
                <c:ptCount val="2"/>
                <c:pt idx="0">
                  <c:v>3494.97</c:v>
                </c:pt>
                <c:pt idx="1">
                  <c:v>2504.92</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0"/>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ser>
          <c:idx val="0"/>
          <c:order val="0"/>
          <c:tx>
            <c:strRef>
              <c:f>'Sheet1 (2)'!$B$1</c:f>
              <c:strCache>
                <c:ptCount val="1"/>
                <c:pt idx="0">
                  <c:v>收入决算结构图</c:v>
                </c:pt>
              </c:strCache>
            </c:strRef>
          </c:tx>
          <c:spPr>
            <a:solidFill>
              <a:srgbClr val="4F81BD"/>
            </a:solidFill>
          </c:spPr>
          <c:dLbls>
            <c:showLegendKey val="0"/>
            <c:showVal val="0"/>
            <c:showCatName val="0"/>
            <c:showSerName val="0"/>
            <c:showPercent val="0"/>
            <c:showBubbleSize val="0"/>
            <c:showLeaderLines val="0"/>
          </c:dLbls>
          <c:cat>
            <c:strRef>
              <c:f>'Sheet1 (2)'!$A$2:$A$8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 (2)'!$B$2:$B$8</c:f>
              <c:numCache>
                <c:formatCode>General</c:formatCode>
                <c:ptCount val="7"/>
                <c:pt idx="0">
                  <c:v>2173.29</c:v>
                </c:pt>
                <c:pt idx="1">
                  <c:v>0.0</c:v>
                </c:pt>
                <c:pt idx="2">
                  <c:v>0.0</c:v>
                </c:pt>
                <c:pt idx="3">
                  <c:v>0.0</c:v>
                </c:pt>
                <c:pt idx="4">
                  <c:v>0.0</c:v>
                </c:pt>
                <c:pt idx="5">
                  <c:v>0.0</c:v>
                </c:pt>
                <c:pt idx="6">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ser>
          <c:idx val="0"/>
          <c:order val="0"/>
          <c:tx>
            <c:strRef>
              <c:f>'Sheet1 (3)'!$B$1</c:f>
              <c:strCache>
                <c:ptCount val="1"/>
                <c:pt idx="0">
                  <c:v>支出决算结构图</c:v>
                </c:pt>
              </c:strCache>
            </c:strRef>
          </c:tx>
          <c:spPr>
            <a:solidFill>
              <a:srgbClr val="4F81BD"/>
            </a:solidFill>
          </c:spPr>
          <c:dLbls>
            <c:showLegendKey val="0"/>
            <c:showVal val="0"/>
            <c:showCatName val="0"/>
            <c:showSerName val="0"/>
            <c:showPercent val="0"/>
            <c:showBubbleSize val="0"/>
            <c:showLeaderLines val="0"/>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1181.5</c:v>
                </c:pt>
                <c:pt idx="1">
                  <c:v>1323.42</c:v>
                </c:pt>
                <c:pt idx="2">
                  <c:v>0.0</c:v>
                </c:pt>
                <c:pt idx="3">
                  <c:v>0.0</c:v>
                </c:pt>
                <c:pt idx="4">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 (4)'!$B$1</c:f>
              <c:strCache>
                <c:ptCount val="1"/>
                <c:pt idx="0">
                  <c:v>收入</c:v>
                </c:pt>
              </c:strCache>
            </c:strRef>
          </c:tx>
          <c:spPr>
            <a:solidFill>
              <a:srgbClr val="4F81BD"/>
            </a:solidFill>
          </c:spPr>
          <c:invertIfNegative val="0"/>
          <c:dLbls>
            <c:showLegendKey val="0"/>
            <c:showVal val="0"/>
            <c:showCatName val="0"/>
            <c:showSerName val="0"/>
            <c:showPercent val="0"/>
            <c:showBubbleSize val="0"/>
            <c:showLeaderLines val="0"/>
          </c:dLbls>
          <c:cat>
            <c:numRef>
              <c:f>'Sheet1 (4)'!$A$2:$A$3</c:f>
              <c:numCache>
                <c:ptCount val="2"/>
                <c:pt idx="0">
                  <c:v>2020</c:v>
                </c:pt>
                <c:pt idx="1">
                  <c:v>2021</c:v>
                </c:pt>
              </c:numCache>
            </c:numRef>
          </c:cat>
          <c:val>
            <c:numRef>
              <c:f>'Sheet1 (4)'!$B$2:$B$3</c:f>
              <c:numCache>
                <c:formatCode>General</c:formatCode>
                <c:ptCount val="2"/>
                <c:pt idx="0">
                  <c:v>3494.97</c:v>
                </c:pt>
                <c:pt idx="1">
                  <c:v>2504.92</c:v>
                </c:pt>
              </c:numCache>
            </c:numRef>
          </c:val>
        </c:ser>
        <c:ser>
          <c:idx val="1"/>
          <c:order val="1"/>
          <c:tx>
            <c:strRef>
              <c:f>'Sheet1 (4)'!$C$1</c:f>
              <c:strCache>
                <c:ptCount val="1"/>
                <c:pt idx="0">
                  <c:v>支出</c:v>
                </c:pt>
              </c:strCache>
            </c:strRef>
          </c:tx>
          <c:spPr>
            <a:solidFill>
              <a:srgbClr val="C0504D"/>
            </a:solidFill>
          </c:spPr>
          <c:invertIfNegative val="0"/>
          <c:dLbls>
            <c:showLegendKey val="0"/>
            <c:showVal val="0"/>
            <c:showCatName val="0"/>
            <c:showSerName val="0"/>
            <c:showPercent val="0"/>
            <c:showBubbleSize val="0"/>
            <c:showLeaderLines val="0"/>
          </c:dLbls>
          <c:cat>
            <c:numRef>
              <c:f>'Sheet1 (4)'!$A$2:$A$3</c:f>
              <c:numCache>
                <c:ptCount val="2"/>
                <c:pt idx="0">
                  <c:v>2020</c:v>
                </c:pt>
                <c:pt idx="1">
                  <c:v>2021</c:v>
                </c:pt>
              </c:numCache>
            </c:numRef>
          </c:cat>
          <c:val>
            <c:numRef>
              <c:f>'Sheet1 (4)'!$C$2:$C$3</c:f>
              <c:numCache>
                <c:formatCode>General</c:formatCode>
                <c:ptCount val="2"/>
                <c:pt idx="0">
                  <c:v>3494.97</c:v>
                </c:pt>
                <c:pt idx="1">
                  <c:v>2504.92</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0"/>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 (5)'!$B$1</c:f>
              <c:strCache>
                <c:ptCount val="1"/>
                <c:pt idx="0">
                  <c:v>2020</c:v>
                </c:pt>
              </c:strCache>
            </c:strRef>
          </c:tx>
          <c:spPr>
            <a:solidFill>
              <a:srgbClr val="4F81BD"/>
            </a:solidFill>
          </c:spPr>
          <c:invertIfNegative val="0"/>
          <c:dLbls>
            <c:showLegendKey val="0"/>
            <c:showVal val="0"/>
            <c:showCatName val="0"/>
            <c:showSerName val="0"/>
            <c:showPercent val="0"/>
            <c:showBubbleSize val="0"/>
            <c:showLeaderLines val="0"/>
          </c:dLbls>
          <c:cat>
            <c:strRef>
              <c:f>'Sheet1 (5)'!$A$2</c:f>
              <c:strCache>
                <c:ptCount val="1"/>
                <c:pt idx="0">
                  <c:v>一般公共预算财政拨款支出</c:v>
                </c:pt>
              </c:strCache>
            </c:strRef>
          </c:cat>
          <c:val>
            <c:numRef>
              <c:f>Sheet1 (5)!$B$2</c:f>
              <c:numCache>
                <c:formatCode>General</c:formatCode>
                <c:ptCount val="1"/>
                <c:pt idx="0">
                  <c:v>2947.43</c:v>
                </c:pt>
              </c:numCache>
            </c:numRef>
          </c:val>
        </c:ser>
        <c:ser>
          <c:idx val="1"/>
          <c:order val="1"/>
          <c:tx>
            <c:strRef>
              <c:f>'Sheet1 (5)'!$C$1</c:f>
              <c:strCache>
                <c:ptCount val="1"/>
                <c:pt idx="0">
                  <c:v>2021</c:v>
                </c:pt>
              </c:strCache>
            </c:strRef>
          </c:tx>
          <c:spPr>
            <a:solidFill>
              <a:srgbClr val="C0504D"/>
            </a:solidFill>
          </c:spPr>
          <c:invertIfNegative val="0"/>
          <c:dLbls>
            <c:showLegendKey val="0"/>
            <c:showVal val="0"/>
            <c:showCatName val="0"/>
            <c:showSerName val="0"/>
            <c:showPercent val="0"/>
            <c:showBubbleSize val="0"/>
            <c:showLeaderLines val="0"/>
          </c:dLbls>
          <c:cat>
            <c:strRef>
              <c:f>'Sheet1 (5)'!$A$2</c:f>
              <c:strCache>
                <c:ptCount val="1"/>
                <c:pt idx="0">
                  <c:v>一般公共预算财政拨款支出</c:v>
                </c:pt>
              </c:strCache>
            </c:strRef>
          </c:cat>
          <c:val>
            <c:numRef>
              <c:f>Sheet1 (5)!$C$2</c:f>
              <c:numCache>
                <c:formatCode>General</c:formatCode>
                <c:ptCount val="1"/>
                <c:pt idx="0">
                  <c:v>2504.02</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0"/>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ser>
          <c:idx val="0"/>
          <c:order val="0"/>
          <c:tx>
            <c:strRef>
              <c:f>'Sheet1 (6)'!$B$1</c:f>
              <c:strCache>
                <c:ptCount val="1"/>
                <c:pt idx="0">
                  <c:v>一般公共预算财政拨款支出</c:v>
                </c:pt>
              </c:strCache>
            </c:strRef>
          </c:tx>
          <c:spPr>
            <a:solidFill>
              <a:srgbClr val="4F81BD"/>
            </a:solidFill>
          </c:spPr>
          <c:dLbls>
            <c:showLegendKey val="0"/>
            <c:showVal val="0"/>
            <c:showCatName val="0"/>
            <c:showSerName val="0"/>
            <c:showPercent val="0"/>
            <c:showBubbleSize val="0"/>
            <c:showLeaderLines val="0"/>
          </c:dLbls>
          <c:cat>
            <c:strRef>
              <c:f>'Sheet1 (6)'!$A$2:$A$10</c:f>
              <c:strCache>
                <c:ptCount val="9"/>
                <c:pt idx="0">
                  <c:v>一般公共服务支出</c:v>
                </c:pt>
                <c:pt idx="1">
                  <c:v>国防支出</c:v>
                </c:pt>
                <c:pt idx="2">
                  <c:v>文化旅游体育与传媒支出</c:v>
                </c:pt>
                <c:pt idx="3">
                  <c:v>社会保障和就业支出</c:v>
                </c:pt>
                <c:pt idx="4">
                  <c:v>卫生健康支出</c:v>
                </c:pt>
                <c:pt idx="5">
                  <c:v>节能环保支出</c:v>
                </c:pt>
                <c:pt idx="6">
                  <c:v>农林水支出</c:v>
                </c:pt>
                <c:pt idx="7">
                  <c:v>住房保障支出</c:v>
                </c:pt>
                <c:pt idx="8">
                  <c:v>其他支出</c:v>
                </c:pt>
              </c:strCache>
            </c:strRef>
          </c:cat>
          <c:val>
            <c:numRef>
              <c:f>'Sheet1 (6)'!$B$2:$B$10</c:f>
              <c:numCache>
                <c:formatCode>General</c:formatCode>
                <c:ptCount val="9"/>
                <c:pt idx="0">
                  <c:v>577.56</c:v>
                </c:pt>
                <c:pt idx="1">
                  <c:v>5.0</c:v>
                </c:pt>
                <c:pt idx="2">
                  <c:v>17.9</c:v>
                </c:pt>
                <c:pt idx="3">
                  <c:v>141.53</c:v>
                </c:pt>
                <c:pt idx="4">
                  <c:v>51.2</c:v>
                </c:pt>
                <c:pt idx="5">
                  <c:v>4.0</c:v>
                </c:pt>
                <c:pt idx="6">
                  <c:v>1590.76</c:v>
                </c:pt>
                <c:pt idx="7">
                  <c:v>78.52</c:v>
                </c:pt>
                <c:pt idx="8">
                  <c:v>37.56</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ser>
          <c:idx val="0"/>
          <c:order val="0"/>
          <c:tx>
            <c:strRef>
              <c:f>'Sheet1 (7)'!$B$1</c:f>
              <c:strCache>
                <c:ptCount val="1"/>
                <c:pt idx="0">
                  <c:v>三公经费</c:v>
                </c:pt>
              </c:strCache>
            </c:strRef>
          </c:tx>
          <c:spPr>
            <a:solidFill>
              <a:srgbClr val="4F81BD"/>
            </a:solidFill>
          </c:spPr>
          <c:dLbls>
            <c:showLegendKey val="0"/>
            <c:showVal val="0"/>
            <c:showCatName val="0"/>
            <c:showSerName val="0"/>
            <c:showPercent val="0"/>
            <c:showBubbleSize val="0"/>
            <c:showLeaderLines val="0"/>
          </c:dLbls>
          <c:cat>
            <c:strRef>
              <c:f>'Sheet1 (7)'!$A$2:$A$4</c:f>
              <c:strCache>
                <c:ptCount val="3"/>
                <c:pt idx="0">
                  <c:v>因公出国（境）费</c:v>
                </c:pt>
                <c:pt idx="1">
                  <c:v>公务用车购置及运行维护费</c:v>
                </c:pt>
                <c:pt idx="2">
                  <c:v>公务接待</c:v>
                </c:pt>
              </c:strCache>
            </c:strRef>
          </c:cat>
          <c:val>
            <c:numRef>
              <c:f>'Sheet1 (7)'!$B$2:$B$4</c:f>
              <c:numCache>
                <c:formatCode>General</c:formatCode>
                <c:ptCount val="3"/>
                <c:pt idx="0">
                  <c:v>0.0</c:v>
                </c:pt>
                <c:pt idx="1">
                  <c:v>10.94</c:v>
                </c:pt>
                <c:pt idx="2">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384</TotalTime>
  <Application>Yozo_Office27021597764231179</Application>
  <Pages>62</Pages>
  <Words>25537</Words>
  <Characters>27970</Characters>
  <Lines>1926</Lines>
  <Paragraphs>849</Paragraphs>
  <CharactersWithSpaces>28096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121</cp:revision>
  <cp:lastPrinted>2022-09-25T00:30:00Z</cp:lastPrinted>
  <dcterms:created xsi:type="dcterms:W3CDTF">2021-08-07T01:38:00Z</dcterms:created>
  <dcterms:modified xsi:type="dcterms:W3CDTF">2026-04-22T06:56:39Z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2052-11.1.0.10161</vt:lpwstr>
  </property>
</Properties>
</file>