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eastAsia="方正小标宋简体" w:cs="方正小标宋简体"/>
          <w:sz w:val="44"/>
          <w:szCs w:val="44"/>
        </w:rPr>
      </w:pPr>
      <w:bookmarkStart w:id="81" w:name="_GoBack"/>
      <w:bookmarkEnd w:id="81"/>
    </w:p>
    <w:p>
      <w:pPr>
        <w:spacing w:line="576" w:lineRule="exact"/>
        <w:jc w:val="center"/>
        <w:rPr>
          <w:rFonts w:ascii="方正小标宋简体" w:eastAsia="方正小标宋简体" w:cs="方正小标宋简体"/>
          <w:sz w:val="44"/>
          <w:szCs w:val="44"/>
        </w:rPr>
      </w:pPr>
    </w:p>
    <w:p>
      <w:pPr>
        <w:spacing w:line="576" w:lineRule="exact"/>
        <w:jc w:val="center"/>
        <w:rPr>
          <w:rFonts w:ascii="方正小标宋简体" w:eastAsia="方正小标宋简体" w:cs="方正小标宋简体"/>
          <w:sz w:val="44"/>
          <w:szCs w:val="44"/>
        </w:rPr>
      </w:pP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2022年度</w:t>
      </w: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四川省阿坝州茂县叠溪镇人民政府(事业)</w:t>
      </w: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单位决算</w:t>
      </w:r>
    </w:p>
    <w:p>
      <w:pPr>
        <w:pStyle w:val="12"/>
        <w:widowControl/>
        <w:spacing w:line="576" w:lineRule="exact"/>
        <w:jc w:val="center"/>
      </w:pPr>
      <w:r>
        <w:t> </w:t>
      </w:r>
    </w:p>
    <w:p>
      <w:pPr>
        <w:pStyle w:val="12"/>
        <w:widowControl/>
        <w:spacing w:line="576" w:lineRule="exact"/>
        <w:jc w:val="center"/>
      </w:pPr>
      <w:r>
        <w:t> </w:t>
      </w:r>
    </w:p>
    <w:p>
      <w:pPr>
        <w:pStyle w:val="12"/>
        <w:widowControl/>
        <w:spacing w:line="576" w:lineRule="exact"/>
        <w:jc w:val="center"/>
      </w:pPr>
      <w:r>
        <w:t> </w:t>
      </w:r>
    </w:p>
    <w:p>
      <w:pPr>
        <w:pStyle w:val="12"/>
        <w:widowControl/>
        <w:spacing w:line="576" w:lineRule="exact"/>
        <w:jc w:val="center"/>
      </w:pPr>
      <w:r>
        <w:t> </w:t>
      </w:r>
    </w:p>
    <w:p>
      <w:pPr>
        <w:pStyle w:val="12"/>
        <w:widowControl/>
        <w:spacing w:line="576" w:lineRule="exact"/>
        <w:jc w:val="center"/>
      </w:pPr>
      <w:r>
        <w:t> </w:t>
      </w:r>
    </w:p>
    <w:p>
      <w:pPr>
        <w:pStyle w:val="12"/>
        <w:widowControl/>
        <w:spacing w:line="576" w:lineRule="exact"/>
        <w:jc w:val="center"/>
      </w:pPr>
      <w:r>
        <w:t> </w:t>
      </w:r>
    </w:p>
    <w:p>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 </w:t>
      </w:r>
    </w:p>
    <w:p>
      <w:pPr>
        <w:pStyle w:val="12"/>
        <w:widowControl/>
        <w:spacing w:line="576" w:lineRule="exact"/>
      </w:pPr>
      <w:r>
        <w:t> </w:t>
      </w:r>
    </w:p>
    <w:p>
      <w:pPr>
        <w:pStyle w:val="12"/>
        <w:widowControl/>
        <w:spacing w:line="576" w:lineRule="exact"/>
      </w:pPr>
      <w:r>
        <w:t> </w:t>
      </w:r>
    </w:p>
    <w:p>
      <w:pPr>
        <w:pStyle w:val="12"/>
        <w:widowControl/>
        <w:spacing w:line="576" w:lineRule="exact"/>
        <w:jc w:val="center"/>
      </w:pPr>
      <w:r>
        <w:t> </w:t>
      </w:r>
    </w:p>
    <w:p>
      <w:pPr>
        <w:pStyle w:val="12"/>
        <w:widowControl/>
        <w:spacing w:line="576" w:lineRule="exact"/>
      </w:pPr>
    </w:p>
    <w:p>
      <w:pPr>
        <w:pStyle w:val="12"/>
        <w:widowControl/>
        <w:spacing w:line="576" w:lineRule="exact"/>
        <w:jc w:val="center"/>
      </w:pPr>
    </w:p>
    <w:p>
      <w:pPr>
        <w:widowControl/>
        <w:spacing w:line="576" w:lineRule="exact"/>
        <w:jc w:val="center"/>
        <w:rPr>
          <w:rFonts w:ascii="黑体" w:eastAsia="黑体"/>
          <w:color w:val="000000"/>
          <w:sz w:val="48"/>
          <w:szCs w:val="48"/>
        </w:rPr>
      </w:pPr>
      <w:r>
        <w:rPr>
          <w:rFonts w:hint="eastAsia" w:ascii="黑体" w:eastAsia="黑体"/>
          <w:color w:val="000000"/>
          <w:sz w:val="48"/>
          <w:szCs w:val="48"/>
        </w:rPr>
        <w:t>目录</w:t>
      </w:r>
    </w:p>
    <w:p>
      <w:pPr>
        <w:pStyle w:val="10"/>
        <w:spacing w:line="576"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年9月12日</w:t>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TOC \o "1-3" \h \u </w:instrText>
      </w:r>
      <w:r>
        <w:fldChar w:fldCharType="separate"/>
      </w:r>
      <w:r>
        <w:fldChar w:fldCharType="begin"/>
      </w:r>
      <w:r>
        <w:instrText xml:space="preserve"> HYPERLINK \l "_Toc145405604" </w:instrText>
      </w:r>
      <w:r>
        <w:fldChar w:fldCharType="separate"/>
      </w:r>
      <w:r>
        <w:rPr>
          <w:rStyle w:val="16"/>
          <w:rFonts w:hint="eastAsia" w:ascii="方正小标宋简体" w:eastAsia="方正小标宋简体" w:cs="方正小标宋简体"/>
        </w:rPr>
        <w:t>第一部分</w:t>
      </w:r>
      <w:r>
        <w:rPr>
          <w:rStyle w:val="16"/>
          <w:rFonts w:ascii="方正小标宋简体" w:eastAsia="方正小标宋简体" w:cs="方正小标宋简体"/>
        </w:rPr>
        <w:t xml:space="preserve"> </w:t>
      </w:r>
      <w:r>
        <w:rPr>
          <w:rStyle w:val="16"/>
          <w:rFonts w:hint="eastAsia" w:ascii="方正小标宋简体" w:eastAsia="方正小标宋简体" w:cs="方正小标宋简体"/>
        </w:rPr>
        <w:t>单位概况</w:t>
      </w:r>
      <w:r>
        <w:tab/>
      </w:r>
      <w:r>
        <w:fldChar w:fldCharType="begin"/>
      </w:r>
      <w:r>
        <w:instrText xml:space="preserve"> PAGEREF _Toc145405604 \h </w:instrText>
      </w:r>
      <w:r>
        <w:fldChar w:fldCharType="separate"/>
      </w:r>
      <w:r>
        <w:t>4</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"_Toc145405605" </w:instrText>
      </w:r>
      <w:r>
        <w:fldChar w:fldCharType="separate"/>
      </w:r>
      <w:r>
        <w:rPr>
          <w:rStyle w:val="16"/>
          <w:rFonts w:hint="eastAsia" w:ascii="黑体" w:eastAsia="黑体"/>
        </w:rPr>
        <w:t>一、主要职责</w:t>
      </w:r>
      <w:r>
        <w:tab/>
      </w:r>
      <w:r>
        <w:fldChar w:fldCharType="begin"/>
      </w:r>
      <w:r>
        <w:instrText xml:space="preserve"> PAGEREF _Toc145405605 \h </w:instrText>
      </w:r>
      <w:r>
        <w:fldChar w:fldCharType="separate"/>
      </w:r>
      <w:r>
        <w:t>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"_Toc145405606" </w:instrText>
      </w:r>
      <w:r>
        <w:fldChar w:fldCharType="separate"/>
      </w:r>
      <w:r>
        <w:rPr>
          <w:rStyle w:val="16"/>
          <w:rFonts w:hint="eastAsia" w:ascii="楷体_GB2312" w:eastAsia="楷体_GB2312" w:cs="楷体_GB2312"/>
          <w:b/>
        </w:rPr>
        <w:t>（一）主要职能</w:t>
      </w:r>
      <w:r>
        <w:tab/>
      </w:r>
      <w:r>
        <w:fldChar w:fldCharType="begin"/>
      </w:r>
      <w:r>
        <w:instrText xml:space="preserve"> PAGEREF _Toc145405606 \h </w:instrText>
      </w:r>
      <w:r>
        <w:fldChar w:fldCharType="separate"/>
      </w:r>
      <w:r>
        <w:t>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"_Toc145405607" </w:instrText>
      </w:r>
      <w:r>
        <w:fldChar w:fldCharType="separate"/>
      </w:r>
      <w:r>
        <w:rPr>
          <w:rStyle w:val="16"/>
          <w:rFonts w:hint="eastAsia" w:ascii="楷体_GB2312" w:eastAsia="楷体_GB2312" w:cs="楷体_GB2312"/>
          <w:b/>
        </w:rPr>
        <w:t>（二）</w:t>
      </w:r>
      <w:r>
        <w:rPr>
          <w:rStyle w:val="16"/>
          <w:rFonts w:ascii="楷体_GB2312" w:eastAsia="楷体_GB2312" w:cs="楷体_GB2312"/>
          <w:b/>
        </w:rPr>
        <w:t>2022</w:t>
      </w:r>
      <w:r>
        <w:rPr>
          <w:rStyle w:val="16"/>
          <w:rFonts w:hint="eastAsia" w:ascii="楷体_GB2312" w:eastAsia="楷体_GB2312" w:cs="楷体_GB2312"/>
          <w:b/>
        </w:rPr>
        <w:t>年重点工作完成情况</w:t>
      </w:r>
      <w:r>
        <w:tab/>
      </w:r>
      <w:r>
        <w:fldChar w:fldCharType="begin"/>
      </w:r>
      <w:r>
        <w:instrText xml:space="preserve"> PAGEREF _Toc145405607 \h </w:instrText>
      </w:r>
      <w:r>
        <w:fldChar w:fldCharType="separate"/>
      </w:r>
      <w:r>
        <w:t>5</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"_Toc145405608" </w:instrText>
      </w:r>
      <w:r>
        <w:fldChar w:fldCharType="separate"/>
      </w:r>
      <w:r>
        <w:rPr>
          <w:rStyle w:val="16"/>
          <w:rFonts w:hint="eastAsia" w:ascii="黑体" w:eastAsia="黑体"/>
        </w:rPr>
        <w:t>二、机构设置</w:t>
      </w:r>
      <w:r>
        <w:tab/>
      </w:r>
      <w:r>
        <w:fldChar w:fldCharType="begin"/>
      </w:r>
      <w:r>
        <w:instrText xml:space="preserve"> PAGEREF _Toc145405608 \h </w:instrText>
      </w:r>
      <w:r>
        <w:fldChar w:fldCharType="separate"/>
      </w:r>
      <w:r>
        <w:t>5</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"_Toc145405609" </w:instrText>
      </w:r>
      <w:r>
        <w:fldChar w:fldCharType="separate"/>
      </w:r>
      <w:r>
        <w:rPr>
          <w:rStyle w:val="16"/>
          <w:rFonts w:hint="eastAsia" w:ascii="方正小标宋简体" w:eastAsia="方正小标宋简体" w:cs="方正小标宋简体"/>
        </w:rPr>
        <w:t>第二部分</w:t>
      </w:r>
      <w:r>
        <w:rPr>
          <w:rStyle w:val="16"/>
          <w:rFonts w:ascii="方正小标宋简体" w:eastAsia="方正小标宋简体" w:cs="方正小标宋简体"/>
        </w:rPr>
        <w:t xml:space="preserve"> 2022</w:t>
      </w:r>
      <w:r>
        <w:rPr>
          <w:rStyle w:val="16"/>
          <w:rFonts w:hint="eastAsia" w:ascii="方正小标宋简体" w:eastAsia="方正小标宋简体" w:cs="方正小标宋简体"/>
        </w:rPr>
        <w:t>年度单位决算情况说明</w:t>
      </w:r>
      <w:r>
        <w:tab/>
      </w:r>
      <w:r>
        <w:fldChar w:fldCharType="begin"/>
      </w:r>
      <w:r>
        <w:instrText xml:space="preserve"> PAGEREF _Toc145405609 \h </w:instrText>
      </w:r>
      <w:r>
        <w:fldChar w:fldCharType="separate"/>
      </w:r>
      <w:r>
        <w:t>7</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"_Toc145405610" </w:instrText>
      </w:r>
      <w:r>
        <w:fldChar w:fldCharType="separate"/>
      </w:r>
      <w:r>
        <w:rPr>
          <w:rStyle w:val="16"/>
          <w:rFonts w:hint="eastAsia" w:ascii="黑体" w:eastAsia="黑体"/>
        </w:rPr>
        <w:t>一、收入支出决算总体情况说明</w:t>
      </w:r>
      <w:r>
        <w:tab/>
      </w:r>
      <w:r>
        <w:fldChar w:fldCharType="begin"/>
      </w:r>
      <w:r>
        <w:instrText xml:space="preserve"> PAGEREF _Toc145405610 \h </w:instrText>
      </w:r>
      <w:r>
        <w:fldChar w:fldCharType="separate"/>
      </w:r>
      <w:r>
        <w:t>7</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"_Toc145405611" </w:instrText>
      </w:r>
      <w:r>
        <w:fldChar w:fldCharType="separate"/>
      </w:r>
      <w:r>
        <w:rPr>
          <w:rStyle w:val="16"/>
          <w:rFonts w:hint="eastAsia" w:ascii="黑体" w:eastAsia="黑体"/>
        </w:rPr>
        <w:t>二、收入决算情况说明</w:t>
      </w:r>
      <w:r>
        <w:tab/>
      </w:r>
      <w:r>
        <w:fldChar w:fldCharType="begin"/>
      </w:r>
      <w:r>
        <w:instrText xml:space="preserve"> PAGEREF _Toc145405611 \h </w:instrText>
      </w:r>
      <w:r>
        <w:fldChar w:fldCharType="separate"/>
      </w:r>
      <w:r>
        <w:t>7</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"_Toc145405612" </w:instrText>
      </w:r>
      <w:r>
        <w:fldChar w:fldCharType="separate"/>
      </w:r>
      <w:r>
        <w:rPr>
          <w:rStyle w:val="16"/>
          <w:rFonts w:hint="eastAsia" w:ascii="黑体" w:eastAsia="黑体"/>
        </w:rPr>
        <w:t>三、支出决算情况说明</w:t>
      </w:r>
      <w:r>
        <w:tab/>
      </w:r>
      <w:r>
        <w:fldChar w:fldCharType="begin"/>
      </w:r>
      <w:r>
        <w:instrText xml:space="preserve"> PAGEREF _Toc145405612 \h </w:instrText>
      </w:r>
      <w:r>
        <w:fldChar w:fldCharType="separate"/>
      </w:r>
      <w:r>
        <w:t>8</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"_Toc145405613" </w:instrText>
      </w:r>
      <w:r>
        <w:fldChar w:fldCharType="separate"/>
      </w:r>
      <w:r>
        <w:rPr>
          <w:rStyle w:val="16"/>
          <w:rFonts w:hint="eastAsia" w:ascii="黑体" w:eastAsia="黑体"/>
        </w:rPr>
        <w:t>四、财政拨款收入支出决算总体情况说明</w:t>
      </w:r>
      <w:r>
        <w:tab/>
      </w:r>
      <w:r>
        <w:fldChar w:fldCharType="begin"/>
      </w:r>
      <w:r>
        <w:instrText xml:space="preserve"> PAGEREF _Toc145405613 \h </w:instrText>
      </w:r>
      <w:r>
        <w:fldChar w:fldCharType="separate"/>
      </w:r>
      <w:r>
        <w:t>9</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"_Toc145405614" </w:instrText>
      </w:r>
      <w:r>
        <w:fldChar w:fldCharType="separate"/>
      </w:r>
      <w:r>
        <w:rPr>
          <w:rStyle w:val="16"/>
          <w:rFonts w:hint="eastAsia" w:ascii="黑体" w:eastAsia="黑体"/>
        </w:rPr>
        <w:t>五、一般公共预算财政拨款支出决算情况说明</w:t>
      </w:r>
      <w:r>
        <w:tab/>
      </w:r>
      <w:r>
        <w:fldChar w:fldCharType="begin"/>
      </w:r>
      <w:r>
        <w:instrText xml:space="preserve"> PAGEREF _Toc145405614 \h </w:instrText>
      </w:r>
      <w:r>
        <w:fldChar w:fldCharType="separate"/>
      </w:r>
      <w:r>
        <w:t>10</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"_Toc145405615" </w:instrText>
      </w:r>
      <w:r>
        <w:fldChar w:fldCharType="separate"/>
      </w:r>
      <w:r>
        <w:rPr>
          <w:rStyle w:val="16"/>
          <w:rFonts w:hint="eastAsia" w:ascii="楷体_GB2312" w:eastAsia="楷体_GB2312" w:cs="楷体_GB2312"/>
          <w:b/>
        </w:rPr>
        <w:t>（一）一般公共预算财政拨款支出决算总体情况</w:t>
      </w:r>
      <w:r>
        <w:tab/>
      </w:r>
      <w:r>
        <w:fldChar w:fldCharType="begin"/>
      </w:r>
      <w:r>
        <w:instrText xml:space="preserve"> PAGEREF _Toc145405615 \h </w:instrText>
      </w:r>
      <w:r>
        <w:fldChar w:fldCharType="separate"/>
      </w:r>
      <w:r>
        <w:t>10</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"_Toc145405616" </w:instrText>
      </w:r>
      <w:r>
        <w:fldChar w:fldCharType="separate"/>
      </w:r>
      <w:r>
        <w:rPr>
          <w:rStyle w:val="16"/>
          <w:rFonts w:hint="eastAsia" w:ascii="楷体_GB2312" w:eastAsia="楷体_GB2312" w:cs="楷体_GB2312"/>
          <w:b/>
        </w:rPr>
        <w:t>（二）一般公共预算财政拨款支出决算结构情况</w:t>
      </w:r>
      <w:r>
        <w:tab/>
      </w:r>
      <w:r>
        <w:fldChar w:fldCharType="begin"/>
      </w:r>
      <w:r>
        <w:instrText xml:space="preserve"> PAGEREF _Toc145405616 \h </w:instrText>
      </w:r>
      <w:r>
        <w:fldChar w:fldCharType="separate"/>
      </w:r>
      <w:r>
        <w:t>11</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"_Toc145405617" </w:instrText>
      </w:r>
      <w:r>
        <w:fldChar w:fldCharType="separate"/>
      </w:r>
      <w:r>
        <w:rPr>
          <w:rStyle w:val="16"/>
          <w:rFonts w:hint="eastAsia" w:ascii="楷体_GB2312" w:eastAsia="楷体_GB2312" w:cs="楷体_GB2312"/>
          <w:b/>
        </w:rPr>
        <w:t>（三）一般公共预算财政拨款支出决算具体情况</w:t>
      </w:r>
      <w:r>
        <w:tab/>
      </w:r>
      <w:r>
        <w:fldChar w:fldCharType="begin"/>
      </w:r>
      <w:r>
        <w:instrText xml:space="preserve"> PAGEREF _Toc145405617 \h </w:instrText>
      </w:r>
      <w:r>
        <w:fldChar w:fldCharType="separate"/>
      </w:r>
      <w:r>
        <w:t>12</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"_Toc145405618" </w:instrText>
      </w:r>
      <w:r>
        <w:fldChar w:fldCharType="separate"/>
      </w:r>
      <w:r>
        <w:rPr>
          <w:rStyle w:val="16"/>
          <w:rFonts w:hint="eastAsia" w:ascii="黑体" w:eastAsia="黑体"/>
        </w:rPr>
        <w:t>六、一般公共预算财政拨款基本支出决算情况说明</w:t>
      </w:r>
      <w:r>
        <w:tab/>
      </w:r>
      <w:r>
        <w:fldChar w:fldCharType="begin"/>
      </w:r>
      <w:r>
        <w:instrText xml:space="preserve"> PAGEREF _Toc145405618 \h </w:instrText>
      </w:r>
      <w:r>
        <w:fldChar w:fldCharType="separate"/>
      </w:r>
      <w:r>
        <w:t>12</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"_Toc145405619" </w:instrText>
      </w:r>
      <w:r>
        <w:fldChar w:fldCharType="separate"/>
      </w:r>
      <w:r>
        <w:rPr>
          <w:rStyle w:val="16"/>
          <w:rFonts w:hint="eastAsia" w:ascii="黑体" w:eastAsia="黑体"/>
        </w:rPr>
        <w:t>七、“三公”经费财政拨款支出决算情况说明</w:t>
      </w:r>
      <w:r>
        <w:tab/>
      </w:r>
      <w:r>
        <w:fldChar w:fldCharType="begin"/>
      </w:r>
      <w:r>
        <w:instrText xml:space="preserve"> PAGEREF _Toc145405619 \h </w:instrText>
      </w:r>
      <w:r>
        <w:fldChar w:fldCharType="separate"/>
      </w:r>
      <w:r>
        <w:t>13</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"_Toc145405620" </w:instrText>
      </w:r>
      <w:r>
        <w:fldChar w:fldCharType="separate"/>
      </w:r>
      <w:r>
        <w:rPr>
          <w:rStyle w:val="16"/>
          <w:rFonts w:hint="eastAsia" w:ascii="楷体_GB2312" w:eastAsia="楷体_GB2312" w:cs="楷体_GB2312"/>
          <w:b/>
        </w:rPr>
        <w:t>（一）“三公”经费财政拨款支出决算总体情况说明</w:t>
      </w:r>
      <w:r>
        <w:tab/>
      </w:r>
      <w:r>
        <w:fldChar w:fldCharType="begin"/>
      </w:r>
      <w:r>
        <w:instrText xml:space="preserve"> PAGEREF _Toc145405620 \h </w:instrText>
      </w:r>
      <w:r>
        <w:fldChar w:fldCharType="separate"/>
      </w:r>
      <w:r>
        <w:t>13</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"_Toc145405621" </w:instrText>
      </w:r>
      <w:r>
        <w:fldChar w:fldCharType="separate"/>
      </w:r>
      <w:r>
        <w:rPr>
          <w:rStyle w:val="16"/>
          <w:rFonts w:hint="eastAsia" w:ascii="楷体_GB2312" w:eastAsia="楷体_GB2312" w:cs="楷体_GB2312"/>
          <w:b/>
        </w:rPr>
        <w:t>（二）“三公”经费财政拨款支出决算具体情况说明</w:t>
      </w:r>
      <w:r>
        <w:tab/>
      </w:r>
      <w:r>
        <w:fldChar w:fldCharType="begin"/>
      </w:r>
      <w:r>
        <w:instrText xml:space="preserve"> PAGEREF _Toc145405621 \h </w:instrText>
      </w:r>
      <w:r>
        <w:fldChar w:fldCharType="separate"/>
      </w:r>
      <w:r>
        <w:t>13</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"_Toc145405622" </w:instrText>
      </w:r>
      <w:r>
        <w:fldChar w:fldCharType="separate"/>
      </w:r>
      <w:r>
        <w:rPr>
          <w:rStyle w:val="16"/>
          <w:rFonts w:hint="eastAsia" w:ascii="黑体" w:eastAsia="黑体"/>
        </w:rPr>
        <w:t>八、政府性基金预算支出决算情况说明</w:t>
      </w:r>
      <w:r>
        <w:tab/>
      </w:r>
      <w:r>
        <w:fldChar w:fldCharType="begin"/>
      </w:r>
      <w:r>
        <w:instrText xml:space="preserve"> PAGEREF _Toc145405622 \h </w:instrText>
      </w:r>
      <w:r>
        <w:fldChar w:fldCharType="separate"/>
      </w:r>
      <w:r>
        <w:t>14</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"_Toc145405623" </w:instrText>
      </w:r>
      <w:r>
        <w:fldChar w:fldCharType="separate"/>
      </w:r>
      <w:r>
        <w:rPr>
          <w:rStyle w:val="16"/>
          <w:rFonts w:hint="eastAsia" w:ascii="黑体" w:eastAsia="黑体"/>
        </w:rPr>
        <w:t>九、国有资本经营预算支出决算情况说明</w:t>
      </w:r>
      <w:r>
        <w:tab/>
      </w:r>
      <w:r>
        <w:fldChar w:fldCharType="begin"/>
      </w:r>
      <w:r>
        <w:instrText xml:space="preserve"> PAGEREF _Toc145405623 \h </w:instrText>
      </w:r>
      <w:r>
        <w:fldChar w:fldCharType="separate"/>
      </w:r>
      <w:r>
        <w:t>14</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"_Toc145405624" </w:instrText>
      </w:r>
      <w:r>
        <w:fldChar w:fldCharType="separate"/>
      </w:r>
      <w:r>
        <w:rPr>
          <w:rStyle w:val="16"/>
          <w:rFonts w:hint="eastAsia" w:ascii="黑体" w:eastAsia="黑体"/>
        </w:rPr>
        <w:t>十、其他重要事项的情况说明</w:t>
      </w:r>
      <w:r>
        <w:tab/>
      </w:r>
      <w:r>
        <w:fldChar w:fldCharType="begin"/>
      </w:r>
      <w:r>
        <w:instrText xml:space="preserve"> PAGEREF _Toc145405624 \h </w:instrText>
      </w:r>
      <w:r>
        <w:fldChar w:fldCharType="separate"/>
      </w:r>
      <w:r>
        <w:t>14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"_Toc145405625" </w:instrText>
      </w:r>
      <w:r>
        <w:fldChar w:fldCharType="separate"/>
      </w:r>
      <w:r>
        <w:rPr>
          <w:rStyle w:val="16"/>
          <w:rFonts w:hint="eastAsia" w:ascii="楷体_GB2312" w:eastAsia="楷体_GB2312" w:cs="楷体_GB2312"/>
          <w:b/>
        </w:rPr>
        <w:t>（一）机关运行经费支出情况</w:t>
      </w:r>
      <w:r>
        <w:tab/>
      </w:r>
      <w:r>
        <w:fldChar w:fldCharType="begin"/>
      </w:r>
      <w:r>
        <w:instrText xml:space="preserve"> PAGEREF _Toc145405625 \h </w:instrText>
      </w:r>
      <w:r>
        <w:fldChar w:fldCharType="separate"/>
      </w:r>
      <w:r>
        <w:t>14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"_Toc145405626" </w:instrText>
      </w:r>
      <w:r>
        <w:fldChar w:fldCharType="separate"/>
      </w:r>
      <w:r>
        <w:rPr>
          <w:rStyle w:val="16"/>
          <w:rFonts w:hint="eastAsia" w:ascii="楷体_GB2312" w:eastAsia="楷体_GB2312" w:cs="楷体_GB2312"/>
          <w:b/>
        </w:rPr>
        <w:t>（二）政府采购支出情况</w:t>
      </w:r>
      <w:r>
        <w:tab/>
      </w:r>
      <w:r>
        <w:fldChar w:fldCharType="begin"/>
      </w:r>
      <w:r>
        <w:instrText xml:space="preserve"> PAGEREF _Toc145405626 \h </w:instrText>
      </w:r>
      <w:r>
        <w:fldChar w:fldCharType="separate"/>
      </w:r>
      <w:r>
        <w:t>14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"_Toc145405627" </w:instrText>
      </w:r>
      <w:r>
        <w:fldChar w:fldCharType="separate"/>
      </w:r>
      <w:r>
        <w:rPr>
          <w:rStyle w:val="16"/>
          <w:rFonts w:hint="eastAsia" w:ascii="楷体_GB2312" w:eastAsia="楷体_GB2312" w:cs="楷体_GB2312"/>
          <w:b/>
        </w:rPr>
        <w:t>（三）国有资产占有使用情况</w:t>
      </w:r>
      <w:r>
        <w:tab/>
      </w:r>
      <w:r>
        <w:fldChar w:fldCharType="begin"/>
      </w:r>
      <w:r>
        <w:instrText xml:space="preserve"> PAGEREF _Toc145405627 \h </w:instrText>
      </w:r>
      <w:r>
        <w:fldChar w:fldCharType="separate"/>
      </w:r>
      <w:r>
        <w:t>14</w:t>
      </w:r>
      <w:r>
        <w:fldChar w:fldCharType="end"/>
      </w:r>
      <w:r>
        <w:fldChar w:fldCharType="end"/>
      </w:r>
    </w:p>
    <w:p>
      <w:pPr>
        <w:pStyle w:val="6"/>
        <w:tabs>
          <w:tab w:val="right" w:leader="dot" w:pos="8296"/>
        </w:tabs>
        <w:ind w:left="840"/>
        <w:rPr>
          <w:rFonts w:asciiTheme="minorHAnsi" w:hAnsiTheme="minorHAnsi" w:eastAsiaTheme="minorEastAsia" w:cstheme="minorBidi"/>
          <w:szCs w:val="22"/>
        </w:rPr>
      </w:pPr>
      <w:r>
        <w:fldChar w:fldCharType="begin"/>
      </w:r>
      <w:r>
        <w:instrText xml:space="preserve"> HYPERLINK \l "_Toc145405628" </w:instrText>
      </w:r>
      <w:r>
        <w:fldChar w:fldCharType="separate"/>
      </w:r>
      <w:r>
        <w:rPr>
          <w:rStyle w:val="16"/>
          <w:rFonts w:hint="eastAsia" w:ascii="楷体_GB2312" w:eastAsia="楷体_GB2312" w:cs="楷体_GB2312"/>
          <w:b/>
        </w:rPr>
        <w:t>（四）预算绩效管理情况</w:t>
      </w:r>
      <w:r>
        <w:tab/>
      </w:r>
      <w:r>
        <w:fldChar w:fldCharType="begin"/>
      </w:r>
      <w:r>
        <w:instrText xml:space="preserve"> PAGEREF _Toc145405628 \h </w:instrText>
      </w:r>
      <w:r>
        <w:fldChar w:fldCharType="separate"/>
      </w:r>
      <w:r>
        <w:t>15</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"_Toc145405629" </w:instrText>
      </w:r>
      <w:r>
        <w:fldChar w:fldCharType="separate"/>
      </w:r>
      <w:r>
        <w:rPr>
          <w:rStyle w:val="16"/>
          <w:rFonts w:hint="eastAsia" w:ascii="方正小标宋简体" w:eastAsia="方正小标宋简体" w:cs="方正小标宋简体"/>
        </w:rPr>
        <w:t>第三部分</w:t>
      </w:r>
      <w:r>
        <w:rPr>
          <w:rStyle w:val="16"/>
          <w:rFonts w:ascii="方正小标宋简体" w:eastAsia="方正小标宋简体" w:cs="方正小标宋简体"/>
        </w:rPr>
        <w:t xml:space="preserve"> </w:t>
      </w:r>
      <w:r>
        <w:rPr>
          <w:rStyle w:val="16"/>
          <w:rFonts w:hint="eastAsia" w:ascii="方正小标宋简体" w:eastAsia="方正小标宋简体" w:cs="方正小标宋简体"/>
        </w:rPr>
        <w:t>名词解释</w:t>
      </w:r>
      <w:r>
        <w:tab/>
      </w:r>
      <w:r>
        <w:fldChar w:fldCharType="begin"/>
      </w:r>
      <w:r>
        <w:instrText xml:space="preserve"> PAGEREF _Toc145405629 \h </w:instrText>
      </w:r>
      <w:r>
        <w:fldChar w:fldCharType="separate"/>
      </w:r>
      <w:r>
        <w:t>15</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"_Toc145405630" </w:instrText>
      </w:r>
      <w:r>
        <w:fldChar w:fldCharType="separate"/>
      </w:r>
      <w:r>
        <w:rPr>
          <w:rStyle w:val="16"/>
          <w:rFonts w:hint="eastAsia" w:ascii="方正小标宋简体" w:eastAsia="方正小标宋简体" w:cs="方正小标宋简体"/>
        </w:rPr>
        <w:t>第四部分</w:t>
      </w:r>
      <w:r>
        <w:rPr>
          <w:rStyle w:val="16"/>
          <w:rFonts w:ascii="方正小标宋简体" w:eastAsia="方正小标宋简体" w:cs="方正小标宋简体"/>
        </w:rPr>
        <w:t xml:space="preserve"> </w:t>
      </w:r>
      <w:r>
        <w:rPr>
          <w:rStyle w:val="16"/>
          <w:rFonts w:hint="eastAsia" w:ascii="方正小标宋简体" w:eastAsia="方正小标宋简体" w:cs="方正小标宋简体"/>
        </w:rPr>
        <w:t>附件</w:t>
      </w:r>
      <w:r>
        <w:tab/>
      </w:r>
      <w:r>
        <w:fldChar w:fldCharType="begin"/>
      </w:r>
      <w:r>
        <w:instrText xml:space="preserve"> PAGEREF _Toc145405630 \h </w:instrText>
      </w:r>
      <w:r>
        <w:fldChar w:fldCharType="separate"/>
      </w:r>
      <w:r>
        <w:t>20</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"_Toc145405631" </w:instrText>
      </w:r>
      <w:r>
        <w:fldChar w:fldCharType="separate"/>
      </w:r>
      <w:r>
        <w:rPr>
          <w:rStyle w:val="16"/>
          <w:rFonts w:hint="eastAsia" w:ascii="方正小标宋简体" w:eastAsia="方正小标宋简体" w:cs="黑体"/>
        </w:rPr>
        <w:t>部门预算项目支出绩效自评表（</w:t>
      </w:r>
      <w:r>
        <w:rPr>
          <w:rStyle w:val="16"/>
          <w:rFonts w:ascii="方正小标宋简体" w:eastAsia="方正小标宋简体" w:cs="黑体"/>
        </w:rPr>
        <w:t>2022</w:t>
      </w:r>
      <w:r>
        <w:rPr>
          <w:rStyle w:val="16"/>
          <w:rFonts w:hint="eastAsia" w:ascii="方正小标宋简体" w:eastAsia="方正小标宋简体" w:cs="黑体"/>
        </w:rPr>
        <w:t>年度）</w:t>
      </w:r>
      <w:r>
        <w:tab/>
      </w:r>
      <w:r>
        <w:fldChar w:fldCharType="begin"/>
      </w:r>
      <w:r>
        <w:instrText xml:space="preserve"> PAGEREF _Toc145405631 \h </w:instrText>
      </w:r>
      <w:r>
        <w:fldChar w:fldCharType="separate"/>
      </w:r>
      <w:r>
        <w:t>20</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"_Toc145405632" </w:instrText>
      </w:r>
      <w:r>
        <w:fldChar w:fldCharType="separate"/>
      </w:r>
      <w:r>
        <w:rPr>
          <w:rStyle w:val="16"/>
          <w:rFonts w:hint="eastAsia" w:ascii="方正小标宋简体" w:eastAsia="方正小标宋简体" w:cs="方正小标宋简体"/>
        </w:rPr>
        <w:t>第五部分 附表</w:t>
      </w:r>
      <w:r>
        <w:tab/>
      </w:r>
      <w:r>
        <w:fldChar w:fldCharType="begin"/>
      </w:r>
      <w:r>
        <w:instrText xml:space="preserve"> PAGEREF _Toc145405632 \h </w:instrText>
      </w:r>
      <w:r>
        <w:fldChar w:fldCharType="separate"/>
      </w:r>
      <w:r>
        <w:t>21</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"_Toc145405633" </w:instrText>
      </w:r>
      <w:r>
        <w:fldChar w:fldCharType="separate"/>
      </w:r>
      <w:r>
        <w:rPr>
          <w:rStyle w:val="16"/>
          <w:rFonts w:hint="eastAsia" w:ascii="仿宋_GB2312" w:eastAsia="仿宋_GB2312" w:cs="仿宋_GB2312"/>
        </w:rPr>
        <w:t>一、 收入支出决算总表</w:t>
      </w:r>
      <w:r>
        <w:tab/>
      </w:r>
      <w:r>
        <w:fldChar w:fldCharType="begin"/>
      </w:r>
      <w:r>
        <w:instrText xml:space="preserve"> PAGEREF _Toc145405633 \h </w:instrText>
      </w:r>
      <w:r>
        <w:fldChar w:fldCharType="separate"/>
      </w:r>
      <w:r>
        <w:t>21</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"_Toc145405634" </w:instrText>
      </w:r>
      <w:r>
        <w:fldChar w:fldCharType="separate"/>
      </w:r>
      <w:r>
        <w:rPr>
          <w:rStyle w:val="16"/>
          <w:rFonts w:hint="eastAsia" w:ascii="仿宋_GB2312" w:eastAsia="仿宋_GB2312" w:cs="仿宋_GB2312"/>
        </w:rPr>
        <w:t>二、 收入决算表</w:t>
      </w:r>
      <w:r>
        <w:tab/>
      </w:r>
      <w:r>
        <w:fldChar w:fldCharType="begin"/>
      </w:r>
      <w:r>
        <w:instrText xml:space="preserve"> PAGEREF _Toc145405634 \h </w:instrText>
      </w:r>
      <w:r>
        <w:fldChar w:fldCharType="separate"/>
      </w:r>
      <w:r>
        <w:t>21</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"_Toc145405635" </w:instrText>
      </w:r>
      <w:r>
        <w:fldChar w:fldCharType="separate"/>
      </w:r>
      <w:r>
        <w:rPr>
          <w:rStyle w:val="16"/>
          <w:rFonts w:hint="eastAsia" w:ascii="仿宋_GB2312" w:eastAsia="仿宋_GB2312" w:cs="仿宋_GB2312"/>
        </w:rPr>
        <w:t>三、 支出决算表</w:t>
      </w:r>
      <w:r>
        <w:tab/>
      </w:r>
      <w:r>
        <w:fldChar w:fldCharType="begin"/>
      </w:r>
      <w:r>
        <w:instrText xml:space="preserve"> PAGEREF _Toc145405635 \h </w:instrText>
      </w:r>
      <w:r>
        <w:fldChar w:fldCharType="separate"/>
      </w:r>
      <w:r>
        <w:t>21</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"_Toc145405636" </w:instrText>
      </w:r>
      <w:r>
        <w:fldChar w:fldCharType="separate"/>
      </w:r>
      <w:r>
        <w:rPr>
          <w:rStyle w:val="16"/>
          <w:rFonts w:hint="eastAsia" w:ascii="仿宋_GB2312" w:eastAsia="仿宋_GB2312" w:cs="仿宋_GB2312"/>
        </w:rPr>
        <w:t>四、 财政拨款收入支出决算总表</w:t>
      </w:r>
      <w:r>
        <w:tab/>
      </w:r>
      <w:r>
        <w:fldChar w:fldCharType="begin"/>
      </w:r>
      <w:r>
        <w:instrText xml:space="preserve"> PAGEREF _Toc145405636 \h </w:instrText>
      </w:r>
      <w:r>
        <w:fldChar w:fldCharType="separate"/>
      </w:r>
      <w:r>
        <w:t>21</w:t>
      </w:r>
      <w:r>
        <w:fldChar w:fldCharType="end"/>
      </w:r>
      <w:r>
        <w:fldChar w:fldCharType="end"/>
      </w:r>
    </w:p>
    <w:p>
      <w:pPr>
        <w:pStyle w:val="10"/>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"_Toc145405637" </w:instrText>
      </w:r>
      <w:r>
        <w:fldChar w:fldCharType="separate"/>
      </w:r>
      <w:r>
        <w:rPr>
          <w:rStyle w:val="16"/>
          <w:rFonts w:hint="eastAsia" w:ascii="仿宋_GB2312" w:eastAsia="仿宋_GB2312" w:cs="仿宋_GB2312"/>
        </w:rPr>
        <w:t>五、财政拨款支出决算明细表</w:t>
      </w:r>
      <w:r>
        <w:tab/>
      </w:r>
      <w:r>
        <w:fldChar w:fldCharType="begin"/>
      </w:r>
      <w:r>
        <w:instrText xml:space="preserve"> PAGEREF _Toc145405637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"_Toc145405638" </w:instrText>
      </w:r>
      <w:r>
        <w:fldChar w:fldCharType="separate"/>
      </w:r>
      <w:r>
        <w:rPr>
          <w:rStyle w:val="16"/>
          <w:rFonts w:hint="eastAsia" w:ascii="仿宋_GB2312" w:eastAsia="仿宋_GB2312" w:cs="仿宋_GB2312"/>
        </w:rPr>
        <w:t>六、一般公共预算财政拨款支出决算表</w:t>
      </w:r>
      <w:r>
        <w:tab/>
      </w:r>
      <w:r>
        <w:fldChar w:fldCharType="begin"/>
      </w:r>
      <w:r>
        <w:instrText xml:space="preserve"> PAGEREF _Toc145405638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"_Toc145405639" </w:instrText>
      </w:r>
      <w:r>
        <w:fldChar w:fldCharType="separate"/>
      </w:r>
      <w:r>
        <w:rPr>
          <w:rStyle w:val="16"/>
          <w:rFonts w:hint="eastAsia" w:ascii="仿宋_GB2312" w:eastAsia="仿宋_GB2312" w:cs="仿宋_GB2312"/>
        </w:rPr>
        <w:t>七、一般公共预算财政拨款支出决算明细表</w:t>
      </w:r>
      <w:r>
        <w:tab/>
      </w:r>
      <w:r>
        <w:fldChar w:fldCharType="begin"/>
      </w:r>
      <w:r>
        <w:instrText xml:space="preserve"> PAGEREF _Toc145405639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"_Toc145405640" </w:instrText>
      </w:r>
      <w:r>
        <w:fldChar w:fldCharType="separate"/>
      </w:r>
      <w:r>
        <w:rPr>
          <w:rStyle w:val="16"/>
          <w:rFonts w:hint="eastAsia" w:ascii="仿宋_GB2312" w:eastAsia="仿宋_GB2312" w:cs="仿宋_GB2312"/>
        </w:rPr>
        <w:t>八、一般公共预算财政拨款基本支出决算表</w:t>
      </w:r>
      <w:r>
        <w:tab/>
      </w:r>
      <w:r>
        <w:fldChar w:fldCharType="begin"/>
      </w:r>
      <w:r>
        <w:instrText xml:space="preserve"> PAGEREF _Toc145405640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"_Toc145405641" </w:instrText>
      </w:r>
      <w:r>
        <w:fldChar w:fldCharType="separate"/>
      </w:r>
      <w:r>
        <w:rPr>
          <w:rStyle w:val="16"/>
          <w:rFonts w:hint="eastAsia" w:ascii="仿宋_GB2312" w:eastAsia="仿宋_GB2312" w:cs="仿宋_GB2312"/>
        </w:rPr>
        <w:t>九、一般公共预算财政拨款项目支出决算表</w:t>
      </w:r>
      <w:r>
        <w:tab/>
      </w:r>
      <w:r>
        <w:fldChar w:fldCharType="begin"/>
      </w:r>
      <w:r>
        <w:instrText xml:space="preserve"> PAGEREF _Toc145405641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"_Toc145405642" </w:instrText>
      </w:r>
      <w:r>
        <w:fldChar w:fldCharType="separate"/>
      </w:r>
      <w:r>
        <w:rPr>
          <w:rStyle w:val="16"/>
          <w:rFonts w:hint="eastAsia" w:ascii="仿宋_GB2312" w:eastAsia="仿宋_GB2312" w:cs="仿宋_GB2312"/>
        </w:rPr>
        <w:t>十、政府性基金预算财政拨款收入支出决算表</w:t>
      </w:r>
      <w:r>
        <w:tab/>
      </w:r>
      <w:r>
        <w:fldChar w:fldCharType="begin"/>
      </w:r>
      <w:r>
        <w:instrText xml:space="preserve"> PAGEREF _Toc145405642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"_Toc145405643" </w:instrText>
      </w:r>
      <w:r>
        <w:fldChar w:fldCharType="separate"/>
      </w:r>
      <w:r>
        <w:rPr>
          <w:rStyle w:val="16"/>
          <w:rFonts w:hint="eastAsia" w:ascii="仿宋_GB2312" w:eastAsia="仿宋_GB2312" w:cs="仿宋_GB2312"/>
        </w:rPr>
        <w:t>十一、国有资本经营预算财政拨款收入支出决算表</w:t>
      </w:r>
      <w:r>
        <w:tab/>
      </w:r>
      <w:r>
        <w:fldChar w:fldCharType="begin"/>
      </w:r>
      <w:r>
        <w:instrText xml:space="preserve"> PAGEREF _Toc145405643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"_Toc145405644" </w:instrText>
      </w:r>
      <w:r>
        <w:fldChar w:fldCharType="separate"/>
      </w:r>
      <w:r>
        <w:rPr>
          <w:rStyle w:val="16"/>
          <w:rFonts w:hint="eastAsia" w:ascii="仿宋_GB2312" w:eastAsia="仿宋_GB2312" w:cs="仿宋_GB2312"/>
        </w:rPr>
        <w:t>十二、国有资本经营预算财政拨款支出决算表</w:t>
      </w:r>
      <w:r>
        <w:tab/>
      </w:r>
      <w:r>
        <w:fldChar w:fldCharType="begin"/>
      </w:r>
      <w:r>
        <w:instrText xml:space="preserve"> PAGEREF _Toc145405644 \h </w:instrText>
      </w:r>
      <w:r>
        <w:fldChar w:fldCharType="separate"/>
      </w:r>
      <w:r>
        <w:t>21</w:t>
      </w:r>
      <w:r>
        <w:fldChar w:fldCharType="end"/>
      </w:r>
      <w:r>
        <w:fldChar w:fldCharType="end"/>
      </w:r>
    </w:p>
    <w:p>
      <w:pPr>
        <w:pStyle w:val="11"/>
        <w:tabs>
          <w:tab w:val="right" w:leader="dot" w:pos="8296"/>
        </w:tabs>
        <w:ind w:left="420"/>
        <w:rPr>
          <w:rFonts w:asciiTheme="minorHAnsi" w:hAnsiTheme="minorHAnsi" w:eastAsiaTheme="minorEastAsia" w:cstheme="minorBidi"/>
          <w:szCs w:val="22"/>
        </w:rPr>
      </w:pPr>
      <w:r>
        <w:fldChar w:fldCharType="begin"/>
      </w:r>
      <w:r>
        <w:instrText xml:space="preserve"> HYPERLINK \l "_Toc145405645" </w:instrText>
      </w:r>
      <w:r>
        <w:fldChar w:fldCharType="separate"/>
      </w:r>
      <w:r>
        <w:rPr>
          <w:rStyle w:val="16"/>
          <w:rFonts w:hint="eastAsia" w:ascii="仿宋_GB2312" w:eastAsia="仿宋_GB2312" w:cs="仿宋_GB2312"/>
        </w:rPr>
        <w:t>十三、财政拨款“三公”经费支出决算表</w:t>
      </w:r>
      <w:r>
        <w:tab/>
      </w:r>
      <w:r>
        <w:fldChar w:fldCharType="begin"/>
      </w:r>
      <w:r>
        <w:instrText xml:space="preserve"> PAGEREF _Toc145405645 \h </w:instrText>
      </w:r>
      <w:r>
        <w:fldChar w:fldCharType="separate"/>
      </w:r>
      <w:r>
        <w:t>21</w:t>
      </w:r>
      <w:r>
        <w:fldChar w:fldCharType="end"/>
      </w:r>
      <w:r>
        <w:fldChar w:fldCharType="end"/>
      </w:r>
    </w:p>
    <w:p>
      <w:pPr>
        <w:spacing w:line="576" w:lineRule="exact"/>
      </w:pPr>
      <w:r>
        <w:fldChar w:fldCharType="end"/>
      </w:r>
    </w:p>
    <w:p>
      <w:pPr>
        <w:widowControl/>
        <w:adjustRightInd w:val="0"/>
        <w:snapToGrid w:val="0"/>
        <w:spacing w:line="576" w:lineRule="exact"/>
        <w:ind w:firstLine="1155" w:firstLineChars="550"/>
        <w:jc w:val="left"/>
      </w:pPr>
      <w:r>
        <w:t> </w:t>
      </w:r>
    </w:p>
    <w:p>
      <w:pPr>
        <w:widowControl/>
        <w:adjustRightInd w:val="0"/>
        <w:snapToGrid w:val="0"/>
        <w:spacing w:line="576" w:lineRule="exact"/>
        <w:ind w:firstLine="1155" w:firstLineChars="550"/>
        <w:jc w:val="left"/>
      </w:pPr>
    </w:p>
    <w:p>
      <w:pPr>
        <w:widowControl/>
        <w:adjustRightInd w:val="0"/>
        <w:snapToGrid w:val="0"/>
        <w:spacing w:line="576" w:lineRule="exact"/>
        <w:ind w:firstLine="1155" w:firstLineChars="550"/>
        <w:jc w:val="left"/>
      </w:pPr>
    </w:p>
    <w:p>
      <w:pPr>
        <w:widowControl/>
        <w:adjustRightInd w:val="0"/>
        <w:snapToGrid w:val="0"/>
        <w:spacing w:line="576" w:lineRule="exact"/>
        <w:ind w:firstLine="1155" w:firstLineChars="550"/>
        <w:jc w:val="left"/>
      </w:pPr>
    </w:p>
    <w:p>
      <w:pPr>
        <w:widowControl/>
        <w:adjustRightInd w:val="0"/>
        <w:snapToGrid w:val="0"/>
        <w:spacing w:line="576" w:lineRule="exact"/>
        <w:ind w:firstLine="1155" w:firstLineChars="550"/>
        <w:jc w:val="left"/>
      </w:pPr>
    </w:p>
    <w:p>
      <w:pPr>
        <w:widowControl/>
        <w:adjustRightInd w:val="0"/>
        <w:snapToGrid w:val="0"/>
        <w:spacing w:line="576" w:lineRule="exact"/>
        <w:ind w:firstLine="1155" w:firstLineChars="550"/>
        <w:jc w:val="left"/>
      </w:pPr>
    </w:p>
    <w:p>
      <w:pPr>
        <w:widowControl/>
        <w:adjustRightInd w:val="0"/>
        <w:snapToGrid w:val="0"/>
        <w:spacing w:line="576" w:lineRule="exact"/>
        <w:ind w:firstLine="1155" w:firstLineChars="550"/>
        <w:jc w:val="left"/>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jc w:val="left"/>
        <w:rPr>
          <w:rFonts w:hint="eastAsia"/>
        </w:rPr>
      </w:pPr>
    </w:p>
    <w:p>
      <w:pPr>
        <w:widowControl/>
        <w:adjustRightInd w:val="0"/>
        <w:snapToGrid w:val="0"/>
        <w:spacing w:line="576" w:lineRule="exact"/>
        <w:ind w:firstLine="1155" w:firstLineChars="550"/>
        <w:jc w:val="left"/>
      </w:pPr>
    </w:p>
    <w:p>
      <w:pPr>
        <w:pStyle w:val="2"/>
        <w:keepNext/>
        <w:keepLines/>
        <w:spacing w:before="0" w:beforeAutospacing="0" w:after="0" w:afterAutospacing="0" w:line="576" w:lineRule="exact"/>
        <w:ind w:firstLine="880" w:firstLineChars="200"/>
        <w:jc w:val="center"/>
        <w:rPr>
          <w:rFonts w:ascii="方正小标宋简体" w:eastAsia="方正小标宋简体" w:cs="方正小标宋简体"/>
          <w:b w:val="0"/>
          <w:sz w:val="44"/>
          <w:szCs w:val="44"/>
        </w:rPr>
      </w:pPr>
      <w:bookmarkStart w:id="0" w:name="_Toc145405604"/>
      <w:bookmarkStart w:id="1" w:name="_Toc2419"/>
      <w:r>
        <w:rPr>
          <w:rFonts w:hint="eastAsia" w:ascii="方正小标宋简体" w:eastAsia="方正小标宋简体" w:cs="方正小标宋简体"/>
          <w:b w:val="0"/>
          <w:sz w:val="44"/>
          <w:szCs w:val="44"/>
        </w:rPr>
        <w:t>第一部分 单位概况</w:t>
      </w:r>
      <w:bookmarkEnd w:id="0"/>
      <w:bookmarkEnd w:id="1"/>
    </w:p>
    <w:p>
      <w:pPr>
        <w:pStyle w:val="3"/>
        <w:keepNext/>
        <w:keepLines/>
        <w:spacing w:before="0" w:beforeAutospacing="0" w:after="0" w:afterAutospacing="0" w:line="576" w:lineRule="exact"/>
        <w:ind w:firstLine="640" w:firstLineChars="200"/>
        <w:jc w:val="both"/>
        <w:rPr>
          <w:rFonts w:ascii="黑体" w:eastAsia="黑体"/>
          <w:b w:val="0"/>
          <w:color w:val="000000"/>
          <w:kern w:val="2"/>
          <w:sz w:val="32"/>
          <w:szCs w:val="32"/>
        </w:rPr>
      </w:pPr>
      <w:bookmarkStart w:id="2" w:name="_Toc15510"/>
      <w:bookmarkStart w:id="3" w:name="_Toc145405605"/>
      <w:r>
        <w:rPr>
          <w:rFonts w:hint="eastAsia" w:ascii="黑体" w:eastAsia="黑体"/>
          <w:b w:val="0"/>
          <w:color w:val="000000"/>
          <w:kern w:val="2"/>
          <w:sz w:val="32"/>
          <w:szCs w:val="32"/>
        </w:rPr>
        <w:t>一、主要职责</w:t>
      </w:r>
      <w:bookmarkEnd w:id="2"/>
      <w:bookmarkEnd w:id="3"/>
    </w:p>
    <w:p>
      <w:pPr>
        <w:pStyle w:val="5"/>
        <w:adjustRightInd w:val="0"/>
        <w:snapToGrid w:val="0"/>
        <w:spacing w:before="0" w:line="576" w:lineRule="exact"/>
        <w:ind w:firstLine="643" w:firstLineChars="200"/>
        <w:outlineLvl w:val="2"/>
        <w:rPr>
          <w:rFonts w:ascii="楷体_GB2312" w:eastAsia="楷体_GB2312" w:cs="楷体_GB2312"/>
          <w:b/>
          <w:color w:val="000000"/>
          <w:sz w:val="32"/>
          <w:szCs w:val="32"/>
        </w:rPr>
      </w:pPr>
      <w:bookmarkStart w:id="4" w:name="_Toc145405606"/>
      <w:r>
        <w:rPr>
          <w:rFonts w:hint="eastAsia" w:ascii="楷体_GB2312" w:eastAsia="楷体_GB2312" w:cs="楷体_GB2312"/>
          <w:b/>
          <w:color w:val="000000"/>
          <w:sz w:val="32"/>
          <w:szCs w:val="32"/>
        </w:rPr>
        <w:t>（一）主要职能</w:t>
      </w:r>
      <w:bookmarkEnd w:id="4"/>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1.</w:t>
      </w:r>
      <w:r>
        <w:rPr>
          <w:rFonts w:hint="eastAsia" w:ascii="仿宋_GB2312" w:eastAsia="仿宋_GB2312"/>
          <w:b/>
          <w:sz w:val="32"/>
          <w:szCs w:val="32"/>
        </w:rPr>
        <w:t>便民服务中心主要职责是</w:t>
      </w:r>
      <w:r>
        <w:rPr>
          <w:rFonts w:hint="eastAsia" w:ascii="仿宋_GB2312" w:eastAsia="仿宋_GB2312"/>
          <w:sz w:val="32"/>
          <w:szCs w:val="32"/>
        </w:rPr>
        <w:t>负责镇社会保障、民政、退役军人服务等与群众生活密切相关的各项公共服务工作；负责农村人力资源管理、职业农民建设、城乡居民就业、农村社会养老保障等服务工作；负责农民工各类政策宣传、输出、培训、维权、回引及返乡创业服务等工作；负责农村留守儿童、留守妇女、空巢老人的关爱服务工作；接受县政务服务管理机构和相关职能部门的业务指导，承担镇审批服务便民化服务工作；承担镇党委，镇人民政府交办的其他工作。</w:t>
      </w:r>
      <w:r>
        <w:rPr>
          <w:rFonts w:hint="eastAsia" w:ascii="仿宋_GB2312" w:eastAsia="仿宋_GB2312"/>
          <w:sz w:val="32"/>
          <w:szCs w:val="32"/>
        </w:rPr>
        <w:br w:type="textWrapping"/>
      </w:r>
      <w:r>
        <w:rPr>
          <w:rFonts w:hint="eastAsia" w:ascii="仿宋_GB2312" w:eastAsia="仿宋_GB2312"/>
          <w:b/>
          <w:sz w:val="32"/>
          <w:szCs w:val="32"/>
        </w:rPr>
        <w:t xml:space="preserve">    2.经济发展服务中心主要职责是</w:t>
      </w:r>
      <w:r>
        <w:rPr>
          <w:rFonts w:hint="eastAsia" w:ascii="仿宋_GB2312" w:eastAsia="仿宋_GB2312"/>
          <w:sz w:val="32"/>
          <w:szCs w:val="32"/>
        </w:rPr>
        <w:t>负责开展农村土地流转指导服务、农产品营销服务、农村财务审计服务、政策咨询服务和民营经济服务；加强农经工作宣传，为开展服务工作营造良好氛围；贯彻执行上级党委政府乡村振兴方针政策，牵头负责乡村振兴战略的实施，统筹推进乡村振兴服务工作；承担农村公路建设、房屋建设等服务工作；承担镇党委、镇人民政府交办的其他工作。</w:t>
      </w:r>
      <w:r>
        <w:rPr>
          <w:rFonts w:hint="eastAsia" w:ascii="仿宋_GB2312" w:eastAsia="仿宋_GB2312"/>
          <w:sz w:val="32"/>
          <w:szCs w:val="32"/>
        </w:rPr>
        <w:br w:type="textWrapping"/>
      </w:r>
      <w:r>
        <w:rPr>
          <w:rFonts w:hint="eastAsia" w:ascii="仿宋_GB2312" w:eastAsia="仿宋_GB2312"/>
          <w:b/>
          <w:sz w:val="32"/>
          <w:szCs w:val="32"/>
        </w:rPr>
        <w:t xml:space="preserve">    3.农业农村服务中心主要职责是</w:t>
      </w:r>
      <w:r>
        <w:rPr>
          <w:rFonts w:hint="eastAsia" w:ascii="仿宋_GB2312" w:eastAsia="仿宋_GB2312"/>
          <w:sz w:val="32"/>
          <w:szCs w:val="32"/>
        </w:rPr>
        <w:t>承担农业、水利、农业机械、水产等涉农服务和基层农业技术推广工作；承担农作物病虫害监测与防治、农田水利建设、农产品质量安全监测、畜牧兽医等事务性工作；负责组织实施和协调辖区内的统计业务服务工作；承担镇党委、镇人民政府交办的其他工作。</w:t>
      </w:r>
      <w:r>
        <w:rPr>
          <w:rFonts w:hint="eastAsia" w:ascii="仿宋_GB2312" w:eastAsia="仿宋_GB2312"/>
          <w:sz w:val="32"/>
          <w:szCs w:val="32"/>
        </w:rPr>
        <w:br w:type="textWrapping"/>
      </w:r>
      <w:r>
        <w:rPr>
          <w:rFonts w:hint="eastAsia" w:ascii="仿宋_GB2312" w:eastAsia="仿宋_GB2312"/>
          <w:b/>
          <w:sz w:val="32"/>
          <w:szCs w:val="32"/>
        </w:rPr>
        <w:t xml:space="preserve">    4.文化体育广电和旅游综合服务中心主要职责是</w:t>
      </w:r>
      <w:r>
        <w:rPr>
          <w:rFonts w:hint="eastAsia" w:ascii="仿宋_GB2312" w:eastAsia="仿宋_GB2312"/>
          <w:sz w:val="32"/>
          <w:szCs w:val="32"/>
        </w:rPr>
        <w:t>承担宣传思想教育、基本公共文化、文体旅融合、辖区内文化旅游市场等事务性工作；围绕建设社会主义核心价值体系，加强党的路线、方针、政策和健康文艺节目的宣传，组织开展科普教育活动和群众性的文化体育活动；做好文化、体育、广播电视、旅游设施及图书资料的管理服务工作；辅导和培养农村基层文艺骨干及农村文化能人，活跃群众文化生活；负责搜集、整理民间文化艺术遗产，做好辖区内文物、非物质文化遗产的保护服务工作，促进乡村特色文化旅游发展；承担镇党委、镇人民政府交办的其他工作。</w:t>
      </w:r>
    </w:p>
    <w:p>
      <w:pPr>
        <w:pStyle w:val="5"/>
        <w:adjustRightInd w:val="0"/>
        <w:snapToGrid w:val="0"/>
        <w:spacing w:before="0" w:line="576" w:lineRule="exact"/>
        <w:ind w:firstLine="643" w:firstLineChars="200"/>
        <w:outlineLvl w:val="2"/>
        <w:rPr>
          <w:rFonts w:ascii="楷体_GB2312" w:eastAsia="楷体_GB2312" w:cs="楷体_GB2312"/>
          <w:b/>
          <w:color w:val="000000"/>
          <w:sz w:val="32"/>
          <w:szCs w:val="32"/>
        </w:rPr>
      </w:pPr>
      <w:bookmarkStart w:id="5" w:name="_Toc145405607"/>
      <w:r>
        <w:rPr>
          <w:rFonts w:hint="eastAsia" w:ascii="楷体_GB2312" w:eastAsia="楷体_GB2312" w:cs="楷体_GB2312"/>
          <w:b/>
          <w:color w:val="000000"/>
          <w:sz w:val="32"/>
          <w:szCs w:val="32"/>
        </w:rPr>
        <w:t>（二）2022年重点工作完成情况</w:t>
      </w:r>
      <w:bookmarkEnd w:id="5"/>
    </w:p>
    <w:p>
      <w:pPr>
        <w:spacing w:line="576" w:lineRule="exact"/>
        <w:ind w:firstLine="643" w:firstLineChars="200"/>
        <w:rPr>
          <w:rFonts w:ascii="楷体_GB2312" w:hAnsi="楷体_GB2312" w:eastAsia="楷体_GB2312" w:cs="楷体_GB2312"/>
          <w:b/>
          <w:bCs/>
          <w:sz w:val="32"/>
          <w:szCs w:val="32"/>
        </w:rPr>
      </w:pPr>
      <w:bookmarkStart w:id="6" w:name="_Toc145405608"/>
      <w:bookmarkStart w:id="7" w:name="_Toc19708"/>
      <w:r>
        <w:rPr>
          <w:rFonts w:hint="eastAsia" w:ascii="仿宋_GB2312" w:hAnsi="仿宋_GB2312" w:eastAsia="仿宋_GB2312" w:cs="仿宋_GB2312"/>
          <w:b/>
          <w:bCs/>
          <w:sz w:val="32"/>
          <w:szCs w:val="32"/>
        </w:rPr>
        <w:t>1.疫情防控成效显著。</w:t>
      </w:r>
      <w:r>
        <w:rPr>
          <w:rFonts w:hint="eastAsia" w:ascii="仿宋_GB2312" w:hAnsi="仿宋_GB2312" w:eastAsia="仿宋_GB2312" w:cs="仿宋_GB2312"/>
          <w:sz w:val="32"/>
          <w:szCs w:val="32"/>
        </w:rPr>
        <w:t>扎实筑牢疫情防控的防护墙。设立县级防疫卡点1处，组建由乡镇干部职工、公安、交警、卫生院、村干部及普通党员、志愿者组成的24小时工作专班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截至今年10月，全镇应接种人数6345人，已接种人数6126余人，未接种（因病暂缓或禁忌症）219人，全镇接种率达到96%，自开展全员核酸以来，共组织全员核酸检测14次，累计采样达61204人次。</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2.经济发展提质增效。</w:t>
      </w:r>
      <w:r>
        <w:rPr>
          <w:rFonts w:hint="eastAsia" w:ascii="仿宋_GB2312" w:hAnsi="Times New Roman" w:eastAsia="仿宋_GB2312"/>
          <w:b/>
          <w:bCs/>
          <w:sz w:val="32"/>
          <w:szCs w:val="32"/>
        </w:rPr>
        <w:t>一是</w:t>
      </w:r>
      <w:r>
        <w:rPr>
          <w:rFonts w:hint="eastAsia" w:ascii="仿宋_GB2312" w:hAnsi="仿宋_GB2312" w:eastAsia="仿宋_GB2312" w:cs="仿宋_GB2312"/>
          <w:sz w:val="32"/>
          <w:szCs w:val="32"/>
        </w:rPr>
        <w:t>以乡村振兴为抓手，夯基固本，争取项目支持。2022年实施乡村振兴项目共计20个，涉及9村，投入资金2375.34万元</w:t>
      </w:r>
      <w:r>
        <w:rPr>
          <w:rFonts w:hint="eastAsia" w:ascii="仿宋_GB2312" w:hAnsi="Times New Roman" w:eastAsia="仿宋_GB2312"/>
          <w:sz w:val="32"/>
          <w:szCs w:val="32"/>
        </w:rPr>
        <w:t>。</w:t>
      </w:r>
      <w:r>
        <w:rPr>
          <w:rFonts w:hint="eastAsia" w:ascii="仿宋_GB2312" w:hAnsi="Times New Roman" w:eastAsia="仿宋_GB2312"/>
          <w:b/>
          <w:bCs/>
          <w:sz w:val="32"/>
          <w:szCs w:val="32"/>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以发展特色产业为抓手，赓续造血，推动农民增收。培育农村新型经营主体，成立专业合作社，着力打造产业园、示范园、</w:t>
      </w:r>
      <w:r>
        <w:rPr>
          <w:rFonts w:hint="eastAsia" w:ascii="仿宋_GB2312" w:hAnsi="Times New Roman" w:eastAsia="仿宋_GB2312"/>
          <w:sz w:val="32"/>
          <w:szCs w:val="32"/>
        </w:rPr>
        <w:t>生态绿色蔬菜、水果基地等，并培育更多诸如羌脆李、大红袍花的地理标志产品。</w:t>
      </w:r>
    </w:p>
    <w:p>
      <w:pPr>
        <w:spacing w:line="576" w:lineRule="exact"/>
        <w:ind w:firstLine="643" w:firstLineChars="200"/>
        <w:rPr>
          <w:rFonts w:hint="eastAsia" w:ascii="仿宋_GB2312" w:hAnsi="Times New Roman" w:eastAsia="仿宋_GB2312"/>
          <w:sz w:val="32"/>
          <w:szCs w:val="32"/>
          <w:lang w:eastAsia="zh-CN"/>
        </w:rPr>
      </w:pPr>
      <w:r>
        <w:rPr>
          <w:rFonts w:hint="eastAsia" w:ascii="仿宋_GB2312" w:hAnsi="仿宋_GB2312" w:eastAsia="仿宋_GB2312" w:cs="仿宋_GB2312"/>
          <w:b/>
          <w:bCs/>
          <w:sz w:val="32"/>
          <w:szCs w:val="32"/>
        </w:rPr>
        <w:t>3.护林防火卓有成效。</w:t>
      </w:r>
      <w:r>
        <w:rPr>
          <w:rFonts w:hint="eastAsia" w:ascii="仿宋_GB2312" w:hAnsi="Times New Roman" w:eastAsia="仿宋_GB2312"/>
          <w:sz w:val="32"/>
          <w:szCs w:val="32"/>
        </w:rPr>
        <w:t>认真贯彻落实各级森防指办有关文件要求，坚持“预防为主，防治结合”的方针；坚持高度戒备，警钟长鸣，抢前抓早，常抓不懈。成立地方半专业扑火队伍1支，成立地方早起火情紧急处置应急队伍14支；重新修订《茂县叠溪镇森林草原防灭火应急处置方案》</w:t>
      </w:r>
      <w:r>
        <w:rPr>
          <w:rFonts w:hint="eastAsia" w:ascii="仿宋_GB2312" w:hAnsi="Times New Roman" w:eastAsia="仿宋_GB2312"/>
          <w:sz w:val="32"/>
          <w:szCs w:val="32"/>
          <w:lang w:eastAsia="zh-CN"/>
        </w:rPr>
        <w:t>。</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4.全面守牢安全防线。</w:t>
      </w:r>
      <w:r>
        <w:rPr>
          <w:rFonts w:hint="eastAsia" w:ascii="仿宋_GB2312" w:hAnsi="Times New Roman" w:eastAsia="仿宋_GB2312"/>
          <w:b/>
          <w:bCs/>
          <w:sz w:val="32"/>
          <w:szCs w:val="32"/>
        </w:rPr>
        <w:t>一是</w:t>
      </w:r>
      <w:r>
        <w:rPr>
          <w:rFonts w:hint="eastAsia" w:ascii="仿宋_GB2312" w:hAnsi="Times New Roman" w:eastAsia="仿宋_GB2312"/>
          <w:sz w:val="32"/>
          <w:szCs w:val="32"/>
        </w:rPr>
        <w:t>专题研究安全生产及防汛工作会议14次，组织学习</w:t>
      </w:r>
      <w:r>
        <w:rPr>
          <w:rFonts w:hint="eastAsia" w:ascii="仿宋_GB2312" w:hAnsi="仿宋_GB2312" w:eastAsia="仿宋_GB2312" w:cs="仿宋_GB2312"/>
          <w:sz w:val="32"/>
          <w:szCs w:val="32"/>
        </w:rPr>
        <w:t>贯彻省州县关于安全生产工作的会议精神20余次，全面贯彻落实新《中华人民共和国安全生产法》。</w:t>
      </w:r>
      <w:r>
        <w:rPr>
          <w:rFonts w:hint="eastAsia" w:ascii="仿宋_GB2312" w:hAnsi="Times New Roman" w:eastAsia="仿宋_GB2312"/>
          <w:b/>
          <w:bCs/>
          <w:sz w:val="32"/>
          <w:szCs w:val="32"/>
        </w:rPr>
        <w:t>二是</w:t>
      </w:r>
      <w:r>
        <w:rPr>
          <w:rFonts w:hint="eastAsia" w:ascii="仿宋_GB2312" w:hAnsi="Times New Roman" w:eastAsia="仿宋_GB2312"/>
          <w:sz w:val="32"/>
          <w:szCs w:val="32"/>
        </w:rPr>
        <w:t>加强各行业重点领域安全大检查。协同县安办、综合执法等部门对全镇企业、学校、景区等重点单位场所开展安全大检查10余次，排查和整改各类隐患70余个。</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5.社会事业协调发展，民生更有保障。</w:t>
      </w:r>
      <w:r>
        <w:rPr>
          <w:rFonts w:hint="eastAsia" w:ascii="仿宋_GB2312" w:hAnsi="Times New Roman" w:eastAsia="仿宋_GB2312"/>
          <w:b/>
          <w:bCs/>
          <w:sz w:val="32"/>
          <w:szCs w:val="32"/>
        </w:rPr>
        <w:t>一是</w:t>
      </w:r>
      <w:r>
        <w:rPr>
          <w:rFonts w:hint="eastAsia" w:ascii="仿宋_GB2312" w:hAnsi="Times New Roman" w:eastAsia="仿宋_GB2312"/>
          <w:sz w:val="32"/>
          <w:szCs w:val="32"/>
        </w:rPr>
        <w:t>顺利完成2022年度城乡居民医疗保险的征缴任务，2022年参保人数8160人。</w:t>
      </w:r>
      <w:r>
        <w:rPr>
          <w:rFonts w:hint="eastAsia" w:ascii="仿宋_GB2312" w:hAnsi="Times New Roman" w:eastAsia="仿宋_GB2312"/>
          <w:b/>
          <w:bCs/>
          <w:sz w:val="32"/>
          <w:szCs w:val="32"/>
        </w:rPr>
        <w:t>二是</w:t>
      </w:r>
      <w:r>
        <w:rPr>
          <w:rFonts w:hint="eastAsia" w:ascii="仿宋_GB2312" w:hAnsi="Times New Roman" w:eastAsia="仿宋_GB2312"/>
          <w:sz w:val="32"/>
          <w:szCs w:val="32"/>
        </w:rPr>
        <w:t>完成13个村代办点建设，规章制度上墙，窗口服务质量明显改善。</w:t>
      </w:r>
      <w:r>
        <w:rPr>
          <w:rFonts w:hint="eastAsia" w:ascii="仿宋_GB2312" w:hAnsi="Times New Roman" w:eastAsia="仿宋_GB2312"/>
          <w:b/>
          <w:bCs/>
          <w:sz w:val="32"/>
          <w:szCs w:val="32"/>
        </w:rPr>
        <w:t>三是</w:t>
      </w:r>
      <w:r>
        <w:rPr>
          <w:rFonts w:hint="eastAsia" w:ascii="仿宋_GB2312" w:hAnsi="Times New Roman" w:eastAsia="仿宋_GB2312"/>
          <w:sz w:val="32"/>
          <w:szCs w:val="32"/>
        </w:rPr>
        <w:t>2022年我镇安置公益性岗位52人，包含脱贫户49人，一般人员3人。</w:t>
      </w:r>
      <w:r>
        <w:rPr>
          <w:rFonts w:hint="eastAsia" w:ascii="仿宋_GB2312" w:hAnsi="Times New Roman" w:eastAsia="仿宋_GB2312"/>
          <w:b/>
          <w:bCs/>
          <w:sz w:val="32"/>
          <w:szCs w:val="32"/>
        </w:rPr>
        <w:t>四是</w:t>
      </w:r>
      <w:r>
        <w:rPr>
          <w:rFonts w:hint="eastAsia" w:ascii="仿宋_GB2312" w:hAnsi="Times New Roman" w:eastAsia="仿宋_GB2312"/>
          <w:sz w:val="32"/>
          <w:szCs w:val="32"/>
        </w:rPr>
        <w:t>通过网络调查问卷、东西部对口帮扶“平茂互助”等渠道输送4名劳务工作者到浙江平湖市务工，解决就业问题。</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6.廉政更加透明，平安建设不断深化。一是</w:t>
      </w:r>
      <w:r>
        <w:rPr>
          <w:rFonts w:hint="eastAsia" w:ascii="仿宋_GB2312" w:hAnsi="仿宋_GB2312" w:eastAsia="仿宋_GB2312" w:cs="仿宋_GB2312"/>
          <w:sz w:val="32"/>
          <w:szCs w:val="32"/>
        </w:rPr>
        <w:t>建立健全廉政责任机制，旗帜鲜明反腐败斗争。2022年全镇召开党风廉政专题会议4次，专题研究纪委工作3次。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持续深化平安建设。</w:t>
      </w:r>
      <w:r>
        <w:rPr>
          <w:rFonts w:hint="eastAsia" w:ascii="仿宋_GB2312" w:hAnsi="仿宋_GB2312" w:eastAsia="仿宋_GB2312" w:cs="仿宋_GB2312"/>
          <w:kern w:val="0"/>
          <w:sz w:val="32"/>
          <w:szCs w:val="32"/>
        </w:rPr>
        <w:t>11名镇科级领导全覆盖包联开放性寺庙和民间信仰场所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开展禁毒、反电信诈骗、反养老诈骗、森林草原防灭火、疫情防控等法律讲堂65次。</w:t>
      </w:r>
    </w:p>
    <w:p>
      <w:pPr>
        <w:pStyle w:val="3"/>
        <w:keepNext/>
        <w:keepLines/>
        <w:spacing w:before="0" w:beforeAutospacing="0" w:after="0" w:afterAutospacing="0" w:line="576" w:lineRule="exact"/>
        <w:ind w:firstLine="640" w:firstLineChars="200"/>
        <w:jc w:val="both"/>
        <w:rPr>
          <w:rFonts w:ascii="黑体" w:eastAsia="黑体"/>
          <w:b w:val="0"/>
          <w:color w:val="000000"/>
          <w:kern w:val="2"/>
          <w:sz w:val="32"/>
          <w:szCs w:val="32"/>
        </w:rPr>
      </w:pPr>
      <w:r>
        <w:rPr>
          <w:rFonts w:hint="eastAsia" w:ascii="黑体" w:eastAsia="黑体"/>
          <w:b w:val="0"/>
          <w:color w:val="000000"/>
          <w:kern w:val="2"/>
          <w:sz w:val="32"/>
          <w:szCs w:val="32"/>
        </w:rPr>
        <w:t>二、机构设置</w:t>
      </w:r>
      <w:bookmarkEnd w:id="6"/>
      <w:bookmarkEnd w:id="7"/>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茂县叠溪镇人民政府(事业)下属二级单位0个，其中行政单位0个，参照公务员法管理的事业单位0个，其他事业单位0个。其中内设机构4个: (1)叠溪镇便民服务中心(2)叠溪镇经济发展服务中心 (3)叠溪镇农业农村服务中心(4)叠溪镇综合文化服务中心。</w:t>
      </w:r>
    </w:p>
    <w:p>
      <w:pPr>
        <w:pStyle w:val="12"/>
        <w:widowControl/>
        <w:spacing w:before="0" w:beforeAutospacing="0" w:after="0" w:afterAutospacing="0" w:line="576" w:lineRule="exact"/>
        <w:ind w:firstLine="640" w:firstLineChars="200"/>
        <w:rPr>
          <w:rFonts w:ascii="仿宋_GB2312" w:eastAsia="仿宋_GB2312"/>
          <w:sz w:val="32"/>
          <w:szCs w:val="32"/>
        </w:rPr>
      </w:pPr>
    </w:p>
    <w:p>
      <w:pPr>
        <w:pStyle w:val="2"/>
        <w:keepNext/>
        <w:keepLines/>
        <w:spacing w:before="0" w:beforeAutospacing="0" w:after="0" w:afterAutospacing="0" w:line="576" w:lineRule="exact"/>
        <w:jc w:val="center"/>
        <w:rPr>
          <w:rFonts w:ascii="黑体" w:eastAsia="黑体"/>
          <w:color w:val="000000"/>
          <w:sz w:val="32"/>
          <w:szCs w:val="32"/>
        </w:rPr>
      </w:pPr>
      <w:bookmarkStart w:id="8" w:name="_Toc145405609"/>
      <w:bookmarkStart w:id="9" w:name="_Toc20110"/>
      <w:r>
        <w:rPr>
          <w:rFonts w:hint="eastAsia" w:ascii="方正小标宋简体" w:eastAsia="方正小标宋简体" w:cs="方正小标宋简体"/>
          <w:b w:val="0"/>
          <w:color w:val="000000"/>
          <w:sz w:val="44"/>
          <w:szCs w:val="44"/>
        </w:rPr>
        <w:t>第二部分 2022年度单位决算情况说明</w:t>
      </w:r>
      <w:bookmarkEnd w:id="8"/>
      <w:bookmarkEnd w:id="9"/>
      <w:bookmarkStart w:id="10" w:name="_Toc24824"/>
    </w:p>
    <w:p>
      <w:pPr>
        <w:pStyle w:val="20"/>
        <w:spacing w:line="576" w:lineRule="exact"/>
        <w:ind w:left="420" w:leftChars="200" w:firstLine="0" w:firstLineChars="0"/>
        <w:outlineLvl w:val="1"/>
        <w:rPr>
          <w:rFonts w:ascii="黑体" w:eastAsia="黑体"/>
          <w:color w:val="000000"/>
          <w:sz w:val="32"/>
          <w:szCs w:val="32"/>
        </w:rPr>
      </w:pPr>
      <w:bookmarkStart w:id="11" w:name="_Toc145405610"/>
      <w:r>
        <w:rPr>
          <w:rFonts w:hint="eastAsia" w:ascii="黑体" w:eastAsia="黑体"/>
          <w:color w:val="000000"/>
          <w:sz w:val="32"/>
          <w:szCs w:val="32"/>
        </w:rPr>
        <w:t>一、收入支出决算总体情况说明</w:t>
      </w:r>
      <w:bookmarkEnd w:id="10"/>
      <w:bookmarkEnd w:id="11"/>
    </w:p>
    <w:p>
      <w:pPr>
        <w:spacing w:line="576" w:lineRule="exact"/>
        <w:ind w:firstLine="640" w:firstLineChars="200"/>
        <w:rPr>
          <w:rFonts w:ascii="黑体" w:eastAsia="黑体"/>
          <w:color w:val="000000"/>
          <w:sz w:val="32"/>
          <w:szCs w:val="32"/>
        </w:rPr>
      </w:pPr>
      <w:r>
        <w:rPr>
          <w:rFonts w:hint="eastAsia" w:ascii="仿宋_GB2312" w:eastAsia="仿宋_GB2312"/>
          <w:sz w:val="32"/>
          <w:szCs w:val="32"/>
        </w:rPr>
        <w:drawing>
          <wp:anchor distT="0" distB="0" distL="114300" distR="114300" simplePos="0" relativeHeight="251660288" behindDoc="1" locked="0" layoutInCell="1" allowOverlap="1">
            <wp:simplePos x="0" y="0"/>
            <wp:positionH relativeFrom="column">
              <wp:posOffset>47625</wp:posOffset>
            </wp:positionH>
            <wp:positionV relativeFrom="paragraph">
              <wp:posOffset>1512570</wp:posOffset>
            </wp:positionV>
            <wp:extent cx="5274310" cy="2600325"/>
            <wp:effectExtent l="19050" t="0" r="21590" b="0"/>
            <wp:wrapTight wrapText="bothSides">
              <wp:wrapPolygon>
                <wp:start x="-78" y="0"/>
                <wp:lineTo x="-78" y="21521"/>
                <wp:lineTo x="21688" y="21521"/>
                <wp:lineTo x="21688" y="0"/>
                <wp:lineTo x="-78"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eastAsia="仿宋_GB2312"/>
          <w:sz w:val="32"/>
          <w:szCs w:val="32"/>
        </w:rPr>
        <w:t>2022年度收、支总计439.85万元。与2021年相比，收、支总计各增加439.85万元，增长100.00%。</w:t>
      </w:r>
      <w:r>
        <w:rPr>
          <w:rFonts w:hint="eastAsia" w:ascii="仿宋_GB2312" w:eastAsia="仿宋_GB2312"/>
          <w:color w:val="000000"/>
          <w:sz w:val="32"/>
          <w:szCs w:val="32"/>
        </w:rPr>
        <w:t>主要变动原因是2022年行政和事业分开决算，事业2021年未单独决算。</w:t>
      </w:r>
      <w:bookmarkStart w:id="12" w:name="_Toc5639"/>
    </w:p>
    <w:p>
      <w:pPr>
        <w:pStyle w:val="12"/>
        <w:shd w:val="clear" w:color="auto" w:fill="FFFFFF"/>
        <w:spacing w:before="0" w:beforeAutospacing="0" w:after="0" w:afterAutospacing="0" w:line="576" w:lineRule="exact"/>
        <w:rPr>
          <w:rFonts w:ascii="黑体" w:eastAsia="黑体"/>
          <w:color w:val="000000"/>
          <w:sz w:val="32"/>
          <w:szCs w:val="32"/>
        </w:rPr>
      </w:pPr>
      <w:r>
        <w:rPr>
          <w:rFonts w:hint="eastAsia" w:ascii="仿宋_GB2312" w:eastAsia="仿宋_GB2312" w:cs="仿宋_GB2312"/>
          <w:sz w:val="32"/>
          <w:szCs w:val="32"/>
        </w:rPr>
        <w:t>（图1：收、支决算总计变动情况图）（柱状图）</w:t>
      </w:r>
    </w:p>
    <w:p>
      <w:pPr>
        <w:pStyle w:val="20"/>
        <w:spacing w:line="576" w:lineRule="exact"/>
        <w:ind w:firstLine="640"/>
        <w:outlineLvl w:val="1"/>
        <w:rPr>
          <w:rFonts w:ascii="黑体" w:eastAsia="黑体"/>
          <w:color w:val="000000"/>
          <w:sz w:val="32"/>
          <w:szCs w:val="32"/>
        </w:rPr>
      </w:pPr>
      <w:bookmarkStart w:id="13" w:name="_Toc145405611"/>
      <w:r>
        <w:rPr>
          <w:rFonts w:hint="eastAsia" w:ascii="黑体" w:eastAsia="黑体"/>
          <w:color w:val="000000"/>
          <w:sz w:val="32"/>
          <w:szCs w:val="32"/>
        </w:rPr>
        <w:t>二、收入决算情况说明</w:t>
      </w:r>
      <w:bookmarkEnd w:id="12"/>
      <w:bookmarkEnd w:id="13"/>
    </w:p>
    <w:p>
      <w:pPr>
        <w:pStyle w:val="12"/>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1" locked="0" layoutInCell="1" allowOverlap="1">
            <wp:simplePos x="0" y="0"/>
            <wp:positionH relativeFrom="column">
              <wp:posOffset>276225</wp:posOffset>
            </wp:positionH>
            <wp:positionV relativeFrom="paragraph">
              <wp:posOffset>798195</wp:posOffset>
            </wp:positionV>
            <wp:extent cx="5274310" cy="3076575"/>
            <wp:effectExtent l="19050" t="0" r="21590" b="0"/>
            <wp:wrapTight wrapText="bothSides">
              <wp:wrapPolygon>
                <wp:start x="-78" y="0"/>
                <wp:lineTo x="-78" y="21533"/>
                <wp:lineTo x="21688" y="21533"/>
                <wp:lineTo x="21688"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z w:val="32"/>
          <w:szCs w:val="32"/>
        </w:rPr>
        <w:t>2022年本年收入合计439.85万元，其中：一般公共预算财政拨款收入439.85万元，占100.00%。</w:t>
      </w:r>
    </w:p>
    <w:p>
      <w:pPr>
        <w:pStyle w:val="12"/>
        <w:shd w:val="clear" w:color="auto" w:fill="FFFFFF"/>
        <w:spacing w:before="0" w:beforeAutospacing="0" w:after="0" w:afterAutospacing="0" w:line="576" w:lineRule="exact"/>
        <w:ind w:firstLine="640" w:firstLineChars="200"/>
        <w:jc w:val="center"/>
        <w:rPr>
          <w:rFonts w:hint="eastAsia" w:ascii="仿宋_GB2312" w:eastAsia="仿宋_GB2312" w:cs="仿宋_GB2312"/>
          <w:color w:val="000000"/>
          <w:kern w:val="2"/>
          <w:sz w:val="32"/>
          <w:szCs w:val="32"/>
        </w:rPr>
      </w:pPr>
    </w:p>
    <w:p>
      <w:pPr>
        <w:pStyle w:val="12"/>
        <w:shd w:val="clear" w:color="auto" w:fill="FFFFFF"/>
        <w:spacing w:before="0" w:beforeAutospacing="0" w:after="0" w:afterAutospacing="0" w:line="576" w:lineRule="exact"/>
        <w:ind w:firstLine="640" w:firstLineChars="200"/>
        <w:jc w:val="center"/>
        <w:rPr>
          <w:rFonts w:ascii="仿宋_GB2312" w:eastAsia="仿宋_GB2312" w:cs="仿宋_GB2312"/>
          <w:sz w:val="32"/>
          <w:szCs w:val="32"/>
        </w:rPr>
      </w:pPr>
      <w:r>
        <w:rPr>
          <w:rFonts w:hint="eastAsia" w:ascii="仿宋_GB2312" w:eastAsia="仿宋_GB2312" w:cs="仿宋_GB2312"/>
          <w:color w:val="000000"/>
          <w:kern w:val="2"/>
          <w:sz w:val="32"/>
          <w:szCs w:val="32"/>
        </w:rPr>
        <w:t>（图2：收入决算结构图）（饼状图）</w:t>
      </w:r>
    </w:p>
    <w:p>
      <w:pPr>
        <w:pStyle w:val="20"/>
        <w:spacing w:line="576" w:lineRule="exact"/>
        <w:ind w:firstLine="640"/>
        <w:outlineLvl w:val="1"/>
        <w:rPr>
          <w:rFonts w:ascii="黑体" w:eastAsia="黑体"/>
          <w:color w:val="000000"/>
          <w:sz w:val="32"/>
          <w:szCs w:val="32"/>
        </w:rPr>
      </w:pPr>
      <w:bookmarkStart w:id="14" w:name="_Toc145405612"/>
      <w:bookmarkStart w:id="15" w:name="_Toc23777"/>
      <w:r>
        <w:rPr>
          <w:rFonts w:hint="eastAsia" w:ascii="黑体" w:eastAsia="黑体"/>
          <w:color w:val="000000"/>
          <w:sz w:val="32"/>
          <w:szCs w:val="32"/>
        </w:rPr>
        <w:t>三、支出决算情况说明</w:t>
      </w:r>
      <w:bookmarkEnd w:id="14"/>
      <w:bookmarkEnd w:id="15"/>
    </w:p>
    <w:p>
      <w:pPr>
        <w:pStyle w:val="12"/>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2022年本年支出合计439.85万元，其中：基本支出439.85万元，占100.00%。</w:t>
      </w:r>
    </w:p>
    <w:p>
      <w:pPr>
        <w:pStyle w:val="12"/>
        <w:widowControl/>
        <w:spacing w:line="576" w:lineRule="exact"/>
        <w:ind w:firstLine="640" w:firstLineChars="200"/>
        <w:jc w:val="center"/>
        <w:rPr>
          <w:rFonts w:ascii="仿宋_GB2312" w:eastAsia="仿宋_GB2312" w:cs="仿宋_GB2312"/>
          <w:color w:val="000000"/>
          <w:kern w:val="2"/>
          <w:sz w:val="32"/>
          <w:szCs w:val="32"/>
        </w:rPr>
      </w:pPr>
      <w:r>
        <w:rPr>
          <w:rFonts w:hint="eastAsia" w:ascii="仿宋_GB2312" w:eastAsia="仿宋_GB2312" w:cs="仿宋_GB2312"/>
          <w:color w:val="000000"/>
          <w:kern w:val="2"/>
          <w:sz w:val="32"/>
          <w:szCs w:val="32"/>
        </w:rPr>
        <w:drawing>
          <wp:anchor distT="0" distB="0" distL="114300" distR="114300" simplePos="0" relativeHeight="251662336" behindDoc="1" locked="0" layoutInCell="1" allowOverlap="1">
            <wp:simplePos x="0" y="0"/>
            <wp:positionH relativeFrom="column">
              <wp:posOffset>-28575</wp:posOffset>
            </wp:positionH>
            <wp:positionV relativeFrom="paragraph">
              <wp:posOffset>289560</wp:posOffset>
            </wp:positionV>
            <wp:extent cx="5274310" cy="3076575"/>
            <wp:effectExtent l="19050" t="0" r="21590" b="0"/>
            <wp:wrapTight wrapText="bothSides">
              <wp:wrapPolygon>
                <wp:start x="0" y="0"/>
                <wp:lineTo x="0" y="21600"/>
                <wp:lineTo x="21600" y="21600"/>
                <wp:lineTo x="21600"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cs="仿宋_GB2312"/>
          <w:color w:val="000000"/>
          <w:kern w:val="2"/>
          <w:sz w:val="32"/>
          <w:szCs w:val="32"/>
        </w:rPr>
        <w:t>（图3：支出决算结构图）（饼状图）</w:t>
      </w:r>
    </w:p>
    <w:p>
      <w:pPr>
        <w:pStyle w:val="20"/>
        <w:spacing w:line="576" w:lineRule="exact"/>
        <w:ind w:firstLine="640"/>
        <w:outlineLvl w:val="1"/>
        <w:rPr>
          <w:rFonts w:ascii="黑体" w:eastAsia="黑体"/>
          <w:sz w:val="32"/>
          <w:szCs w:val="32"/>
        </w:rPr>
      </w:pPr>
      <w:bookmarkStart w:id="16" w:name="_Toc5490"/>
      <w:bookmarkStart w:id="17" w:name="_Toc145405613"/>
      <w:r>
        <w:rPr>
          <w:rFonts w:hint="eastAsia" w:ascii="黑体" w:eastAsia="黑体"/>
          <w:sz w:val="32"/>
          <w:szCs w:val="32"/>
        </w:rPr>
        <w:t>四、财政拨款收入支出决算总体情况说明</w:t>
      </w:r>
      <w:bookmarkEnd w:id="16"/>
      <w:bookmarkEnd w:id="17"/>
    </w:p>
    <w:p>
      <w:pPr>
        <w:pStyle w:val="12"/>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2022年财政拨款收、支总计439.85万元。与2021年相比，财政拨款收、支总计各增加439.85万元，增长100.00%。主要变动原因是2022年行政和事业分开决算，事业2021年未单独决算。</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3360" behindDoc="1" locked="0" layoutInCell="1" allowOverlap="1">
            <wp:simplePos x="0" y="0"/>
            <wp:positionH relativeFrom="column">
              <wp:posOffset>-95250</wp:posOffset>
            </wp:positionH>
            <wp:positionV relativeFrom="paragraph">
              <wp:posOffset>38100</wp:posOffset>
            </wp:positionV>
            <wp:extent cx="5274310" cy="3076575"/>
            <wp:effectExtent l="19050" t="0" r="21590" b="0"/>
            <wp:wrapTight wrapText="bothSides">
              <wp:wrapPolygon>
                <wp:start x="-78" y="0"/>
                <wp:lineTo x="-78" y="21533"/>
                <wp:lineTo x="21688" y="21533"/>
                <wp:lineTo x="21688" y="0"/>
                <wp:lineTo x="-78"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cs="仿宋_GB2312"/>
          <w:color w:val="000000"/>
          <w:sz w:val="32"/>
          <w:szCs w:val="32"/>
        </w:rPr>
        <w:t>（图4：财政拨款收、支决算总计变动情况）（柱状图）</w:t>
      </w:r>
    </w:p>
    <w:p>
      <w:pPr>
        <w:pStyle w:val="20"/>
        <w:spacing w:line="576" w:lineRule="exact"/>
        <w:ind w:firstLine="640"/>
        <w:outlineLvl w:val="1"/>
        <w:rPr>
          <w:rFonts w:ascii="黑体" w:eastAsia="黑体"/>
          <w:color w:val="000000"/>
          <w:sz w:val="32"/>
          <w:szCs w:val="32"/>
        </w:rPr>
      </w:pPr>
      <w:bookmarkStart w:id="18" w:name="_Toc18133"/>
      <w:bookmarkStart w:id="19" w:name="_Toc145405614"/>
      <w:r>
        <w:rPr>
          <w:rFonts w:hint="eastAsia" w:ascii="黑体" w:eastAsia="黑体"/>
          <w:color w:val="000000"/>
          <w:sz w:val="32"/>
          <w:szCs w:val="32"/>
        </w:rPr>
        <w:t>五、一般公共预算财政拨款支出决算情况说明</w:t>
      </w:r>
      <w:bookmarkEnd w:id="18"/>
      <w:bookmarkEnd w:id="19"/>
    </w:p>
    <w:p>
      <w:pPr>
        <w:spacing w:line="576" w:lineRule="exact"/>
        <w:ind w:firstLine="643" w:firstLineChars="200"/>
        <w:outlineLvl w:val="2"/>
        <w:rPr>
          <w:rFonts w:ascii="楷体_GB2312" w:eastAsia="楷体_GB2312" w:cs="楷体_GB2312"/>
          <w:b/>
          <w:color w:val="000000"/>
          <w:sz w:val="32"/>
          <w:szCs w:val="32"/>
        </w:rPr>
      </w:pPr>
      <w:bookmarkStart w:id="20" w:name="_Toc23064"/>
      <w:bookmarkStart w:id="21" w:name="_Toc145405615"/>
      <w:r>
        <w:rPr>
          <w:rFonts w:hint="eastAsia" w:ascii="楷体_GB2312" w:eastAsia="楷体_GB2312" w:cs="楷体_GB2312"/>
          <w:b/>
          <w:color w:val="000000"/>
          <w:sz w:val="32"/>
          <w:szCs w:val="32"/>
        </w:rPr>
        <w:t>（一）一般公共预算财政拨款支出决算总体情况</w:t>
      </w:r>
      <w:bookmarkEnd w:id="20"/>
      <w:bookmarkEnd w:id="21"/>
    </w:p>
    <w:p>
      <w:pP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2022年一般公共预算财政拨款支出439.85万元，占本年支出合计的100.00%。与2021年相比，一般公共预算财政拨款支出增加439.85万元，增长100.00%。</w:t>
      </w:r>
      <w:r>
        <w:rPr>
          <w:rFonts w:hint="eastAsia" w:ascii="仿宋_GB2312" w:eastAsia="仿宋_GB2312"/>
          <w:color w:val="000000"/>
          <w:sz w:val="32"/>
          <w:szCs w:val="32"/>
        </w:rPr>
        <w:t>主要变动原因是2022年行政和事业分开决算，事业2021年未单独决算。</w:t>
      </w:r>
    </w:p>
    <w:p>
      <w:pPr>
        <w:spacing w:line="576" w:lineRule="exact"/>
        <w:rPr>
          <w:rFonts w:ascii="仿宋" w:eastAsia="仿宋"/>
          <w:color w:val="000000"/>
          <w:sz w:val="32"/>
          <w:szCs w:val="32"/>
        </w:rPr>
      </w:pPr>
      <w:r>
        <w:rPr>
          <w:rFonts w:ascii="仿宋" w:eastAsia="仿宋"/>
          <w:color w:val="000000"/>
          <w:sz w:val="32"/>
          <w:szCs w:val="32"/>
        </w:rPr>
        <w:drawing>
          <wp:anchor distT="0" distB="0" distL="114300" distR="114300" simplePos="0" relativeHeight="251664384" behindDoc="1" locked="0" layoutInCell="1" allowOverlap="1">
            <wp:simplePos x="0" y="0"/>
            <wp:positionH relativeFrom="column">
              <wp:posOffset>76200</wp:posOffset>
            </wp:positionH>
            <wp:positionV relativeFrom="paragraph">
              <wp:posOffset>229235</wp:posOffset>
            </wp:positionV>
            <wp:extent cx="5274310" cy="3076575"/>
            <wp:effectExtent l="19050" t="0" r="21590" b="0"/>
            <wp:wrapTight wrapText="bothSides">
              <wp:wrapPolygon>
                <wp:start x="-78" y="0"/>
                <wp:lineTo x="-78" y="21533"/>
                <wp:lineTo x="21688" y="21533"/>
                <wp:lineTo x="21688" y="0"/>
                <wp:lineTo x="-78"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sz w:val="32"/>
          <w:szCs w:val="32"/>
        </w:rPr>
        <w:t>（图5：一般公共预算财政拨款支出决算变动情况）（柱状图）</w:t>
      </w:r>
    </w:p>
    <w:p>
      <w:pPr>
        <w:spacing w:line="576" w:lineRule="exact"/>
        <w:ind w:firstLine="643" w:firstLineChars="200"/>
        <w:outlineLvl w:val="2"/>
        <w:rPr>
          <w:rFonts w:ascii="楷体_GB2312" w:eastAsia="楷体_GB2312" w:cs="楷体_GB2312"/>
          <w:b/>
          <w:color w:val="000000"/>
          <w:sz w:val="32"/>
          <w:szCs w:val="32"/>
        </w:rPr>
      </w:pPr>
      <w:bookmarkStart w:id="22" w:name="_Toc145405616"/>
      <w:bookmarkStart w:id="23" w:name="_Toc16376"/>
      <w:r>
        <w:rPr>
          <w:rFonts w:hint="eastAsia" w:ascii="楷体_GB2312" w:eastAsia="楷体_GB2312" w:cs="楷体_GB2312"/>
          <w:b/>
          <w:color w:val="000000"/>
          <w:sz w:val="32"/>
          <w:szCs w:val="32"/>
        </w:rPr>
        <w:t>（二）一般公共预算财政拨款支出决算结构情况</w:t>
      </w:r>
      <w:bookmarkEnd w:id="22"/>
      <w:bookmarkEnd w:id="23"/>
    </w:p>
    <w:p>
      <w:pPr>
        <w:pStyle w:val="12"/>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2022年一般公共预算财政拨款支出439.85万元，主要</w:t>
      </w:r>
      <w:r>
        <w:rPr>
          <w:rFonts w:hint="eastAsia" w:ascii="仿宋_GB2312" w:eastAsia="仿宋_GB2312"/>
          <w:sz w:val="32"/>
          <w:szCs w:val="32"/>
        </w:rPr>
        <w:drawing>
          <wp:anchor distT="0" distB="0" distL="114300" distR="114300" simplePos="0" relativeHeight="251665408" behindDoc="1" locked="0" layoutInCell="1" allowOverlap="1">
            <wp:simplePos x="0" y="0"/>
            <wp:positionH relativeFrom="column">
              <wp:posOffset>-114300</wp:posOffset>
            </wp:positionH>
            <wp:positionV relativeFrom="paragraph">
              <wp:posOffset>1390650</wp:posOffset>
            </wp:positionV>
            <wp:extent cx="5274310" cy="3076575"/>
            <wp:effectExtent l="19050" t="0" r="21590" b="0"/>
            <wp:wrapTight wrapText="bothSides">
              <wp:wrapPolygon>
                <wp:start x="-78" y="0"/>
                <wp:lineTo x="-78" y="21533"/>
                <wp:lineTo x="21688" y="21533"/>
                <wp:lineTo x="21688" y="0"/>
                <wp:lineTo x="-78" y="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sz w:val="32"/>
          <w:szCs w:val="32"/>
        </w:rPr>
        <w:t>用于以下方面:</w:t>
      </w:r>
      <w:r>
        <w:rPr>
          <w:rStyle w:val="15"/>
          <w:rFonts w:hint="eastAsia" w:ascii="仿宋_GB2312" w:eastAsia="仿宋_GB2312"/>
          <w:sz w:val="32"/>
          <w:szCs w:val="32"/>
        </w:rPr>
        <w:t>社会保障和就</w:t>
      </w:r>
      <w:r>
        <w:rPr>
          <w:rStyle w:val="15"/>
          <w:rFonts w:hint="eastAsia" w:ascii="仿宋_GB2312" w:eastAsia="仿宋_GB2312"/>
          <w:b w:val="0"/>
          <w:sz w:val="32"/>
          <w:szCs w:val="32"/>
        </w:rPr>
        <w:t>业</w:t>
      </w:r>
      <w:r>
        <w:rPr>
          <w:rFonts w:hint="eastAsia" w:ascii="仿宋_GB2312" w:eastAsia="仿宋_GB2312"/>
          <w:b/>
          <w:sz w:val="32"/>
          <w:szCs w:val="32"/>
        </w:rPr>
        <w:t>支出</w:t>
      </w:r>
      <w:r>
        <w:rPr>
          <w:rFonts w:hint="eastAsia" w:ascii="仿宋_GB2312" w:eastAsia="仿宋_GB2312"/>
          <w:sz w:val="32"/>
          <w:szCs w:val="32"/>
        </w:rPr>
        <w:t>45.42万元，占10.33%；</w:t>
      </w:r>
      <w:r>
        <w:rPr>
          <w:rStyle w:val="15"/>
          <w:rFonts w:hint="eastAsia" w:ascii="仿宋_GB2312" w:eastAsia="仿宋_GB2312"/>
          <w:sz w:val="32"/>
          <w:szCs w:val="32"/>
        </w:rPr>
        <w:t>卫生健康支出</w:t>
      </w:r>
      <w:r>
        <w:rPr>
          <w:rFonts w:hint="eastAsia" w:ascii="仿宋_GB2312" w:eastAsia="仿宋_GB2312"/>
          <w:sz w:val="32"/>
          <w:szCs w:val="32"/>
        </w:rPr>
        <w:t>22.25万元，占5.06%；</w:t>
      </w:r>
      <w:r>
        <w:rPr>
          <w:rStyle w:val="15"/>
          <w:rFonts w:hint="eastAsia" w:ascii="仿宋_GB2312" w:eastAsia="仿宋_GB2312"/>
          <w:sz w:val="32"/>
          <w:szCs w:val="32"/>
        </w:rPr>
        <w:t>农林水支出</w:t>
      </w:r>
      <w:r>
        <w:rPr>
          <w:rFonts w:hint="eastAsia" w:ascii="仿宋_GB2312" w:eastAsia="仿宋_GB2312"/>
          <w:sz w:val="32"/>
          <w:szCs w:val="32"/>
        </w:rPr>
        <w:t>340.91万元,占77.5%;</w:t>
      </w:r>
      <w:r>
        <w:rPr>
          <w:rStyle w:val="15"/>
          <w:rFonts w:hint="eastAsia" w:ascii="仿宋_GB2312" w:eastAsia="仿宋_GB2312"/>
          <w:sz w:val="32"/>
          <w:szCs w:val="32"/>
        </w:rPr>
        <w:t>住房保障支出</w:t>
      </w:r>
      <w:r>
        <w:rPr>
          <w:rFonts w:hint="eastAsia" w:ascii="仿宋_GB2312" w:eastAsia="仿宋_GB2312"/>
          <w:sz w:val="32"/>
          <w:szCs w:val="32"/>
        </w:rPr>
        <w:t>31.27万元，占7.11%。</w:t>
      </w:r>
    </w:p>
    <w:p>
      <w:pPr>
        <w:pStyle w:val="12"/>
        <w:widowControl/>
        <w:spacing w:before="0" w:beforeAutospacing="0" w:after="0" w:afterAutospacing="0" w:line="576" w:lineRule="exact"/>
        <w:rPr>
          <w:rFonts w:ascii="仿宋_GB2312" w:eastAsia="仿宋_GB2312" w:cs="仿宋_GB2312"/>
          <w:b/>
          <w:color w:val="FF0000"/>
          <w:sz w:val="32"/>
          <w:szCs w:val="32"/>
        </w:rPr>
      </w:pPr>
      <w:r>
        <w:rPr>
          <w:rFonts w:hint="eastAsia" w:ascii="仿宋_GB2312" w:eastAsia="仿宋_GB2312" w:cs="仿宋_GB2312"/>
          <w:color w:val="000000"/>
          <w:kern w:val="2"/>
          <w:sz w:val="32"/>
          <w:szCs w:val="32"/>
        </w:rPr>
        <w:t>（图6：一般公共预算财政拨款支出决算结构）（饼状图）</w:t>
      </w:r>
    </w:p>
    <w:p>
      <w:pPr>
        <w:spacing w:line="576" w:lineRule="exact"/>
        <w:ind w:firstLine="643" w:firstLineChars="200"/>
        <w:outlineLvl w:val="2"/>
        <w:rPr>
          <w:rFonts w:ascii="楷体_GB2312" w:eastAsia="楷体_GB2312" w:cs="楷体_GB2312"/>
          <w:b/>
          <w:color w:val="000000"/>
          <w:sz w:val="32"/>
          <w:szCs w:val="32"/>
        </w:rPr>
      </w:pPr>
      <w:bookmarkStart w:id="24" w:name="_Toc145405617"/>
      <w:bookmarkStart w:id="25" w:name="_Toc11660"/>
      <w:r>
        <w:rPr>
          <w:rFonts w:hint="eastAsia" w:ascii="楷体_GB2312" w:eastAsia="楷体_GB2312" w:cs="楷体_GB2312"/>
          <w:b/>
          <w:color w:val="000000"/>
          <w:sz w:val="32"/>
          <w:szCs w:val="32"/>
        </w:rPr>
        <w:t>（三）一般公共预算财政拨款支出决算具体情况</w:t>
      </w:r>
      <w:bookmarkEnd w:id="24"/>
      <w:bookmarkEnd w:id="25"/>
    </w:p>
    <w:p>
      <w:pPr>
        <w:pStyle w:val="12"/>
        <w:widowControl/>
        <w:spacing w:before="0" w:beforeAutospacing="0" w:after="0" w:afterAutospacing="0" w:line="576" w:lineRule="exact"/>
        <w:ind w:firstLine="643" w:firstLineChars="200"/>
        <w:rPr>
          <w:rStyle w:val="15"/>
          <w:rFonts w:ascii="仿宋_GB2312" w:eastAsia="仿宋_GB2312"/>
          <w:sz w:val="32"/>
          <w:szCs w:val="32"/>
        </w:rPr>
      </w:pPr>
      <w:r>
        <w:rPr>
          <w:rStyle w:val="15"/>
          <w:rFonts w:hint="eastAsia" w:ascii="仿宋_GB2312" w:eastAsia="仿宋_GB2312"/>
          <w:sz w:val="32"/>
          <w:szCs w:val="32"/>
        </w:rPr>
        <w:t>2022年一般公共预算支出决算数为439.85万元</w:t>
      </w:r>
      <w:r>
        <w:rPr>
          <w:rFonts w:hint="eastAsia" w:ascii="仿宋_GB2312" w:eastAsia="仿宋_GB2312"/>
          <w:sz w:val="32"/>
          <w:szCs w:val="32"/>
        </w:rPr>
        <w:t>，</w:t>
      </w:r>
      <w:r>
        <w:rPr>
          <w:rStyle w:val="15"/>
          <w:rFonts w:hint="eastAsia" w:ascii="仿宋_GB2312" w:eastAsia="仿宋_GB2312"/>
          <w:sz w:val="32"/>
          <w:szCs w:val="32"/>
        </w:rPr>
        <w:t>完成预算100.00%。</w:t>
      </w:r>
    </w:p>
    <w:p>
      <w:pPr>
        <w:pStyle w:val="12"/>
        <w:widowControl/>
        <w:spacing w:before="0" w:beforeAutospacing="0" w:after="0" w:afterAutospacing="0" w:line="576" w:lineRule="exact"/>
        <w:ind w:firstLine="643" w:firstLineChars="200"/>
        <w:rPr>
          <w:rStyle w:val="15"/>
          <w:rFonts w:ascii="仿宋_GB2312" w:eastAsia="仿宋_GB2312" w:cs="仿宋_GB2312"/>
          <w:b w:val="0"/>
          <w:bCs/>
          <w:color w:val="000000"/>
          <w:kern w:val="2"/>
          <w:sz w:val="32"/>
          <w:szCs w:val="32"/>
        </w:rPr>
      </w:pPr>
      <w:r>
        <w:rPr>
          <w:rStyle w:val="15"/>
          <w:rFonts w:hint="eastAsia" w:ascii="仿宋_GB2312" w:eastAsia="仿宋_GB2312" w:cs="仿宋_GB2312"/>
          <w:bCs/>
          <w:color w:val="000000"/>
          <w:kern w:val="2"/>
          <w:sz w:val="32"/>
          <w:szCs w:val="32"/>
        </w:rPr>
        <w:t xml:space="preserve">1. 社会保障和就业支出（208）行政事业单位养老支出（05）机关事业单位基本养老保险缴费支出（05）: </w:t>
      </w:r>
      <w:r>
        <w:rPr>
          <w:rStyle w:val="15"/>
          <w:rFonts w:hint="eastAsia" w:ascii="仿宋_GB2312" w:eastAsia="仿宋_GB2312" w:cs="仿宋_GB2312"/>
          <w:b w:val="0"/>
          <w:bCs/>
          <w:color w:val="000000"/>
          <w:kern w:val="2"/>
          <w:sz w:val="32"/>
          <w:szCs w:val="32"/>
        </w:rPr>
        <w:t>支出决算为30.28万元，完成预算100%，决算数等于预算数。</w:t>
      </w:r>
    </w:p>
    <w:p>
      <w:pPr>
        <w:pStyle w:val="12"/>
        <w:widowControl/>
        <w:spacing w:before="0" w:beforeAutospacing="0" w:after="0" w:afterAutospacing="0" w:line="576" w:lineRule="exact"/>
        <w:ind w:firstLine="643" w:firstLineChars="200"/>
        <w:rPr>
          <w:rStyle w:val="15"/>
          <w:rFonts w:ascii="仿宋_GB2312" w:eastAsia="仿宋_GB2312" w:cs="仿宋_GB2312"/>
          <w:b w:val="0"/>
          <w:bCs/>
          <w:color w:val="000000"/>
          <w:kern w:val="2"/>
          <w:sz w:val="32"/>
          <w:szCs w:val="32"/>
        </w:rPr>
      </w:pPr>
      <w:r>
        <w:rPr>
          <w:rStyle w:val="15"/>
          <w:rFonts w:hint="eastAsia" w:ascii="仿宋_GB2312" w:eastAsia="仿宋_GB2312" w:cs="仿宋_GB2312"/>
          <w:bCs/>
          <w:color w:val="000000"/>
          <w:kern w:val="2"/>
          <w:sz w:val="32"/>
          <w:szCs w:val="32"/>
        </w:rPr>
        <w:t xml:space="preserve">2. 社会保障和就业支出（208）行政事业单位养老支出（05）机关事业单位职业年金缴费支出（06）: </w:t>
      </w:r>
      <w:r>
        <w:rPr>
          <w:rStyle w:val="15"/>
          <w:rFonts w:hint="eastAsia" w:ascii="仿宋_GB2312" w:eastAsia="仿宋_GB2312" w:cs="仿宋_GB2312"/>
          <w:b w:val="0"/>
          <w:bCs/>
          <w:color w:val="000000"/>
          <w:kern w:val="2"/>
          <w:sz w:val="32"/>
          <w:szCs w:val="32"/>
        </w:rPr>
        <w:t>支出决算为15.14万元，完成预算100%，决算数等于预算数。</w:t>
      </w:r>
    </w:p>
    <w:p>
      <w:pPr>
        <w:pStyle w:val="12"/>
        <w:widowControl/>
        <w:spacing w:before="0" w:beforeAutospacing="0" w:after="0" w:afterAutospacing="0" w:line="576" w:lineRule="exact"/>
        <w:ind w:firstLine="640" w:firstLineChars="200"/>
        <w:rPr>
          <w:rStyle w:val="15"/>
          <w:rFonts w:ascii="仿宋_GB2312" w:eastAsia="仿宋_GB2312" w:cs="仿宋_GB2312"/>
          <w:b w:val="0"/>
          <w:bCs/>
          <w:color w:val="000000"/>
          <w:kern w:val="2"/>
          <w:sz w:val="32"/>
          <w:szCs w:val="32"/>
        </w:rPr>
      </w:pPr>
    </w:p>
    <w:p>
      <w:pPr>
        <w:pStyle w:val="12"/>
        <w:widowControl/>
        <w:spacing w:before="0" w:beforeAutospacing="0" w:after="0" w:afterAutospacing="0" w:line="576" w:lineRule="exact"/>
        <w:ind w:firstLine="643" w:firstLineChars="200"/>
        <w:rPr>
          <w:rStyle w:val="15"/>
          <w:rFonts w:ascii="仿宋_GB2312" w:eastAsia="仿宋_GB2312" w:cs="仿宋_GB2312"/>
          <w:b w:val="0"/>
          <w:bCs/>
          <w:color w:val="000000"/>
          <w:kern w:val="2"/>
          <w:sz w:val="32"/>
          <w:szCs w:val="32"/>
        </w:rPr>
      </w:pPr>
      <w:r>
        <w:rPr>
          <w:rStyle w:val="15"/>
          <w:rFonts w:hint="eastAsia" w:ascii="仿宋_GB2312" w:eastAsia="仿宋_GB2312" w:cs="仿宋_GB2312"/>
          <w:bCs/>
          <w:color w:val="000000"/>
          <w:kern w:val="2"/>
          <w:sz w:val="32"/>
          <w:szCs w:val="32"/>
        </w:rPr>
        <w:t>3.卫生健康支出（210）行政事业单位医疗支出（11）事业单位医疗（02）:</w:t>
      </w:r>
      <w:r>
        <w:rPr>
          <w:rStyle w:val="15"/>
          <w:rFonts w:hint="eastAsia" w:ascii="仿宋_GB2312" w:eastAsia="仿宋_GB2312" w:cs="仿宋_GB2312"/>
          <w:b w:val="0"/>
          <w:bCs/>
          <w:color w:val="000000"/>
          <w:kern w:val="2"/>
          <w:sz w:val="32"/>
          <w:szCs w:val="32"/>
        </w:rPr>
        <w:t>支出决算为22.25万元，完成预算100%，决算数等于预算数。</w:t>
      </w:r>
    </w:p>
    <w:p>
      <w:pPr>
        <w:pStyle w:val="12"/>
        <w:widowControl/>
        <w:spacing w:before="0" w:beforeAutospacing="0" w:after="0" w:afterAutospacing="0" w:line="576" w:lineRule="exact"/>
        <w:ind w:firstLine="643" w:firstLineChars="200"/>
        <w:rPr>
          <w:rStyle w:val="15"/>
          <w:rFonts w:ascii="仿宋_GB2312" w:eastAsia="仿宋_GB2312" w:cs="仿宋_GB2312"/>
          <w:b w:val="0"/>
          <w:bCs/>
          <w:color w:val="000000"/>
          <w:kern w:val="2"/>
          <w:sz w:val="32"/>
          <w:szCs w:val="32"/>
        </w:rPr>
      </w:pPr>
      <w:r>
        <w:rPr>
          <w:rStyle w:val="15"/>
          <w:rFonts w:hint="eastAsia" w:ascii="仿宋_GB2312" w:eastAsia="仿宋_GB2312" w:cs="仿宋_GB2312"/>
          <w:bCs/>
          <w:color w:val="000000"/>
          <w:kern w:val="2"/>
          <w:sz w:val="32"/>
          <w:szCs w:val="32"/>
        </w:rPr>
        <w:t>4.农林水支出（213）农业农村（01）事业运行（04）:</w:t>
      </w:r>
      <w:r>
        <w:rPr>
          <w:rStyle w:val="15"/>
          <w:rFonts w:hint="eastAsia" w:ascii="仿宋_GB2312" w:eastAsia="仿宋_GB2312" w:cs="仿宋_GB2312"/>
          <w:b w:val="0"/>
          <w:bCs/>
          <w:color w:val="000000"/>
          <w:kern w:val="2"/>
          <w:sz w:val="32"/>
          <w:szCs w:val="32"/>
        </w:rPr>
        <w:t>支出决算为340.91万元，完成预算100%，决算数等于预算数。</w:t>
      </w:r>
    </w:p>
    <w:p>
      <w:pPr>
        <w:pStyle w:val="12"/>
        <w:widowControl/>
        <w:spacing w:before="0" w:beforeAutospacing="0" w:after="0" w:afterAutospacing="0" w:line="576" w:lineRule="exact"/>
        <w:ind w:firstLine="643" w:firstLineChars="200"/>
        <w:rPr>
          <w:rStyle w:val="15"/>
          <w:rFonts w:ascii="仿宋_GB2312" w:eastAsia="仿宋_GB2312" w:cs="仿宋_GB2312"/>
          <w:b w:val="0"/>
          <w:bCs/>
          <w:color w:val="000000"/>
          <w:kern w:val="2"/>
          <w:sz w:val="32"/>
          <w:szCs w:val="32"/>
        </w:rPr>
      </w:pPr>
      <w:r>
        <w:rPr>
          <w:rStyle w:val="15"/>
          <w:rFonts w:hint="eastAsia" w:ascii="仿宋_GB2312" w:eastAsia="仿宋_GB2312" w:cs="仿宋_GB2312"/>
          <w:bCs/>
          <w:color w:val="000000"/>
          <w:kern w:val="2"/>
          <w:sz w:val="32"/>
          <w:szCs w:val="32"/>
        </w:rPr>
        <w:t>5.住房保障支出（221）住房改革支出（02）住房公积金（01）:</w:t>
      </w:r>
      <w:r>
        <w:rPr>
          <w:rStyle w:val="15"/>
          <w:rFonts w:hint="eastAsia" w:ascii="仿宋_GB2312" w:eastAsia="仿宋_GB2312" w:cs="仿宋_GB2312"/>
          <w:b w:val="0"/>
          <w:bCs/>
          <w:color w:val="000000"/>
          <w:kern w:val="2"/>
          <w:sz w:val="32"/>
          <w:szCs w:val="32"/>
        </w:rPr>
        <w:t>支出决算为31.27万元，完成预算100%，决算数等于预算数。</w:t>
      </w:r>
    </w:p>
    <w:p>
      <w:pPr>
        <w:tabs>
          <w:tab w:val="right" w:pos="8306"/>
        </w:tabs>
        <w:spacing w:line="576" w:lineRule="exact"/>
        <w:ind w:firstLine="640"/>
        <w:outlineLvl w:val="1"/>
        <w:rPr>
          <w:rFonts w:ascii="黑体" w:eastAsia="黑体"/>
          <w:color w:val="000000"/>
          <w:sz w:val="32"/>
          <w:szCs w:val="32"/>
        </w:rPr>
      </w:pPr>
      <w:bookmarkStart w:id="26" w:name="_Toc145405618"/>
      <w:bookmarkStart w:id="27" w:name="_Toc19624"/>
      <w:r>
        <w:rPr>
          <w:rFonts w:hint="eastAsia" w:ascii="黑体" w:eastAsia="黑体"/>
          <w:color w:val="000000"/>
          <w:sz w:val="32"/>
          <w:szCs w:val="32"/>
        </w:rPr>
        <w:t>六、一般公共预算财政拨款基本支出决算情况说明</w:t>
      </w:r>
      <w:bookmarkEnd w:id="26"/>
      <w:r>
        <w:rPr>
          <w:rFonts w:hint="eastAsia" w:ascii="黑体" w:eastAsia="黑体"/>
          <w:color w:val="000000"/>
          <w:sz w:val="32"/>
          <w:szCs w:val="32"/>
        </w:rPr>
        <w:t>   </w:t>
      </w:r>
      <w:bookmarkEnd w:id="27"/>
    </w:p>
    <w:p>
      <w:pPr>
        <w:pStyle w:val="12"/>
        <w:widowControl/>
        <w:spacing w:before="0" w:beforeAutospacing="0" w:after="0" w:afterAutospacing="0" w:line="576" w:lineRule="exact"/>
        <w:ind w:firstLine="640" w:firstLineChars="200"/>
        <w:rPr>
          <w:rFonts w:ascii="仿宋_GB2312" w:eastAsia="仿宋_GB2312" w:cs="仿宋_GB2312"/>
          <w:color w:val="000000"/>
          <w:kern w:val="2"/>
          <w:sz w:val="32"/>
          <w:szCs w:val="32"/>
        </w:rPr>
      </w:pPr>
      <w:r>
        <w:rPr>
          <w:rFonts w:hint="eastAsia" w:ascii="仿宋_GB2312" w:eastAsia="仿宋_GB2312" w:cs="仿宋_GB2312"/>
          <w:color w:val="000000"/>
          <w:kern w:val="2"/>
          <w:sz w:val="32"/>
          <w:szCs w:val="32"/>
        </w:rPr>
        <w:t>2022年一般公共预算财政拨款基本支出</w:t>
      </w:r>
      <w:r>
        <w:rPr>
          <w:rFonts w:hint="eastAsia" w:ascii="仿宋_GB2312" w:eastAsia="仿宋_GB2312" w:cs="仿宋_GB2312"/>
          <w:sz w:val="32"/>
          <w:szCs w:val="32"/>
        </w:rPr>
        <w:t>439.85</w:t>
      </w:r>
      <w:r>
        <w:rPr>
          <w:rFonts w:hint="eastAsia" w:ascii="仿宋_GB2312" w:eastAsia="仿宋_GB2312" w:cs="仿宋_GB2312"/>
          <w:color w:val="000000"/>
          <w:kern w:val="2"/>
          <w:sz w:val="32"/>
          <w:szCs w:val="32"/>
        </w:rPr>
        <w:t>万元，其中：</w:t>
      </w:r>
    </w:p>
    <w:p>
      <w:pPr>
        <w:pStyle w:val="12"/>
        <w:widowControl/>
        <w:spacing w:before="0" w:beforeAutospacing="0" w:after="0" w:afterAutospacing="0" w:line="576" w:lineRule="exact"/>
        <w:ind w:firstLine="640" w:firstLineChars="200"/>
        <w:rPr>
          <w:rFonts w:ascii="仿宋_GB2312" w:eastAsia="仿宋_GB2312" w:cs="仿宋_GB2312"/>
          <w:color w:val="000000"/>
          <w:kern w:val="2"/>
          <w:sz w:val="32"/>
          <w:szCs w:val="32"/>
        </w:rPr>
      </w:pPr>
      <w:r>
        <w:rPr>
          <w:rFonts w:hint="eastAsia" w:ascii="仿宋_GB2312" w:eastAsia="仿宋_GB2312" w:cs="仿宋_GB2312"/>
          <w:color w:val="000000"/>
          <w:kern w:val="2"/>
          <w:sz w:val="32"/>
          <w:szCs w:val="32"/>
        </w:rPr>
        <w:t>人员经费</w:t>
      </w:r>
      <w:r>
        <w:rPr>
          <w:rFonts w:hint="eastAsia" w:ascii="仿宋_GB2312" w:eastAsia="仿宋_GB2312" w:cs="仿宋_GB2312"/>
          <w:sz w:val="32"/>
          <w:szCs w:val="32"/>
        </w:rPr>
        <w:t>418.62</w:t>
      </w:r>
      <w:r>
        <w:rPr>
          <w:rFonts w:hint="eastAsia" w:ascii="仿宋_GB2312" w:eastAsia="仿宋_GB2312" w:cs="仿宋_GB2312"/>
          <w:color w:val="000000"/>
          <w:kern w:val="2"/>
          <w:sz w:val="32"/>
          <w:szCs w:val="32"/>
        </w:rPr>
        <w:t>万元，主要包括：基本工资、津贴补贴、绩效工资、机关事业单位基本养老保险缴费、职业年金缴费、职工基本医疗保险缴费、其他社会保障缴费、医疗费补助、住房公积金。</w:t>
      </w:r>
    </w:p>
    <w:p>
      <w:pPr>
        <w:pStyle w:val="12"/>
        <w:widowControl/>
        <w:spacing w:before="0" w:beforeAutospacing="0" w:after="0" w:afterAutospacing="0" w:line="576" w:lineRule="exact"/>
        <w:rPr>
          <w:rFonts w:ascii="仿宋" w:eastAsia="仿宋"/>
          <w:color w:val="000000"/>
          <w:kern w:val="2"/>
          <w:sz w:val="32"/>
          <w:szCs w:val="32"/>
        </w:rPr>
      </w:pPr>
      <w:r>
        <w:rPr>
          <w:rFonts w:hint="eastAsia" w:ascii="仿宋_GB2312" w:eastAsia="仿宋_GB2312" w:cs="仿宋_GB2312"/>
          <w:color w:val="000000"/>
          <w:kern w:val="2"/>
          <w:sz w:val="32"/>
          <w:szCs w:val="32"/>
        </w:rPr>
        <w:t>　　公用经费</w:t>
      </w:r>
      <w:r>
        <w:rPr>
          <w:rFonts w:hint="eastAsia" w:ascii="仿宋_GB2312" w:eastAsia="仿宋_GB2312" w:cs="仿宋_GB2312"/>
          <w:sz w:val="32"/>
          <w:szCs w:val="32"/>
        </w:rPr>
        <w:t>21.23</w:t>
      </w:r>
      <w:r>
        <w:rPr>
          <w:rFonts w:hint="eastAsia" w:ascii="仿宋_GB2312" w:eastAsia="仿宋_GB2312" w:cs="仿宋_GB2312"/>
          <w:color w:val="000000"/>
          <w:kern w:val="2"/>
          <w:sz w:val="32"/>
          <w:szCs w:val="32"/>
        </w:rPr>
        <w:t>万元，主要包括：办公费、水费、电费、邮电费、培训费。</w:t>
      </w:r>
      <w:r>
        <w:t> </w:t>
      </w:r>
    </w:p>
    <w:p>
      <w:pPr>
        <w:spacing w:line="576" w:lineRule="exact"/>
        <w:ind w:firstLine="640"/>
        <w:outlineLvl w:val="1"/>
        <w:rPr>
          <w:rFonts w:ascii="黑体" w:eastAsia="黑体"/>
          <w:color w:val="000000"/>
          <w:sz w:val="32"/>
          <w:szCs w:val="32"/>
        </w:rPr>
      </w:pPr>
      <w:bookmarkStart w:id="28" w:name="_Toc10106"/>
      <w:bookmarkStart w:id="29" w:name="_Toc145405619"/>
      <w:r>
        <w:rPr>
          <w:rFonts w:hint="eastAsia" w:ascii="黑体" w:eastAsia="黑体"/>
          <w:color w:val="000000"/>
          <w:sz w:val="32"/>
          <w:szCs w:val="32"/>
        </w:rPr>
        <w:t>七、“三公”经费财政拨款支出决算情况说明</w:t>
      </w:r>
      <w:bookmarkEnd w:id="28"/>
      <w:bookmarkEnd w:id="29"/>
    </w:p>
    <w:p>
      <w:pPr>
        <w:spacing w:line="576" w:lineRule="exact"/>
        <w:ind w:firstLine="640"/>
        <w:outlineLvl w:val="2"/>
        <w:rPr>
          <w:rFonts w:ascii="楷体_GB2312" w:eastAsia="楷体_GB2312" w:cs="楷体_GB2312"/>
          <w:b/>
          <w:color w:val="000000"/>
          <w:sz w:val="32"/>
          <w:szCs w:val="32"/>
        </w:rPr>
      </w:pPr>
      <w:bookmarkStart w:id="30" w:name="_Toc145405620"/>
      <w:bookmarkStart w:id="31" w:name="_Toc24446"/>
      <w:r>
        <w:rPr>
          <w:rFonts w:hint="eastAsia" w:ascii="楷体_GB2312" w:eastAsia="楷体_GB2312" w:cs="楷体_GB2312"/>
          <w:b/>
          <w:color w:val="000000"/>
          <w:sz w:val="32"/>
          <w:szCs w:val="32"/>
        </w:rPr>
        <w:t>（一）“三公”经费财政拨款支出决算总体情况说明</w:t>
      </w:r>
      <w:bookmarkEnd w:id="30"/>
      <w:bookmarkEnd w:id="31"/>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2022年“三公”经费财政拨款支出决算为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outlineLvl w:val="2"/>
        <w:rPr>
          <w:rFonts w:ascii="楷体_GB2312" w:eastAsia="楷体_GB2312" w:cs="楷体_GB2312"/>
          <w:b/>
          <w:color w:val="000000"/>
          <w:sz w:val="32"/>
          <w:szCs w:val="32"/>
        </w:rPr>
      </w:pPr>
      <w:bookmarkStart w:id="32" w:name="_Toc19254"/>
      <w:bookmarkStart w:id="33" w:name="_Toc145405621"/>
      <w:r>
        <w:rPr>
          <w:rFonts w:hint="eastAsia" w:ascii="楷体_GB2312" w:eastAsia="楷体_GB2312" w:cs="楷体_GB2312"/>
          <w:b/>
          <w:color w:val="000000"/>
          <w:sz w:val="32"/>
          <w:szCs w:val="32"/>
        </w:rPr>
        <w:t>（二）“三公”经费财政拨款支出决算具体情况说明</w:t>
      </w:r>
      <w:bookmarkEnd w:id="32"/>
      <w:bookmarkEnd w:id="33"/>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2022年“三公”经费财政拨款支出决算中，因公出国（境）费支出决算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万元；公务用车购置及运行维护费支出决算</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万元；公务接待费支出决算</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b/>
          <w:bCs/>
          <w:color w:val="000000"/>
          <w:sz w:val="32"/>
          <w:szCs w:val="32"/>
        </w:rPr>
        <w:t>1.因公出国（境）经费支出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万元。全年安排因公出国（境）团组</w:t>
      </w:r>
      <w:r>
        <w:rPr>
          <w:rFonts w:hint="eastAsia" w:ascii="仿宋_GB2312" w:eastAsia="仿宋_GB2312" w:cs="仿宋_GB2312"/>
          <w:sz w:val="32"/>
          <w:szCs w:val="32"/>
        </w:rPr>
        <w:t>0</w:t>
      </w:r>
      <w:r>
        <w:rPr>
          <w:rFonts w:hint="eastAsia" w:ascii="仿宋_GB2312" w:eastAsia="仿宋_GB2312" w:cs="仿宋_GB2312"/>
          <w:color w:val="000000"/>
          <w:sz w:val="32"/>
          <w:szCs w:val="32"/>
        </w:rPr>
        <w:t>次，出国（境）</w:t>
      </w:r>
      <w:r>
        <w:rPr>
          <w:rFonts w:hint="eastAsia" w:ascii="仿宋_GB2312" w:eastAsia="仿宋_GB2312" w:cs="仿宋_GB2312"/>
          <w:sz w:val="32"/>
          <w:szCs w:val="32"/>
        </w:rPr>
        <w:t>0</w:t>
      </w:r>
      <w:r>
        <w:rPr>
          <w:rFonts w:hint="eastAsia" w:ascii="仿宋_GB2312" w:eastAsia="仿宋_GB2312" w:cs="仿宋_GB2312"/>
          <w:color w:val="000000"/>
          <w:sz w:val="32"/>
          <w:szCs w:val="32"/>
        </w:rPr>
        <w:t>人。因公出国（境）支出决算比2021年增加</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b/>
          <w:bCs/>
          <w:color w:val="000000"/>
          <w:sz w:val="32"/>
          <w:szCs w:val="32"/>
        </w:rPr>
        <w:t>2.公务用车购置及运行维护费支出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万元。公务用车购置及运行维护费支出决算比2021年增加</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其中：公务用车购置支出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万元。全年按规定更新购置公务用车</w:t>
      </w:r>
      <w:r>
        <w:rPr>
          <w:rFonts w:hint="eastAsia" w:ascii="仿宋_GB2312" w:eastAsia="仿宋_GB2312" w:cs="仿宋_GB2312"/>
          <w:sz w:val="32"/>
          <w:szCs w:val="32"/>
        </w:rPr>
        <w:t>0</w:t>
      </w:r>
      <w:r>
        <w:rPr>
          <w:rFonts w:hint="eastAsia" w:ascii="仿宋_GB2312" w:eastAsia="仿宋_GB2312" w:cs="仿宋_GB2312"/>
          <w:color w:val="000000"/>
          <w:sz w:val="32"/>
          <w:szCs w:val="32"/>
        </w:rPr>
        <w:t>辆，其中：轿车0辆、金额0万元，越野车0辆、金额0万元，载客汽车0辆、金额0万元。截至2022年12月底，单位共有公务用车</w:t>
      </w:r>
      <w:r>
        <w:rPr>
          <w:rFonts w:hint="eastAsia" w:ascii="仿宋_GB2312" w:eastAsia="仿宋_GB2312" w:cs="仿宋_GB2312"/>
          <w:sz w:val="32"/>
          <w:szCs w:val="32"/>
        </w:rPr>
        <w:t>0</w:t>
      </w:r>
      <w:r>
        <w:rPr>
          <w:rFonts w:hint="eastAsia" w:ascii="仿宋_GB2312" w:eastAsia="仿宋_GB2312" w:cs="仿宋_GB2312"/>
          <w:color w:val="000000"/>
          <w:sz w:val="32"/>
          <w:szCs w:val="32"/>
        </w:rPr>
        <w:t>辆，其中：轿车0辆、越野车0辆、载客汽车0辆。</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公务用车运行维护费支出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b/>
          <w:bCs/>
          <w:color w:val="000000"/>
          <w:sz w:val="32"/>
          <w:szCs w:val="32"/>
        </w:rPr>
        <w:t>3.公务接待费支出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万元。公务接待费支出决算比2021年增加</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国内公务接待支出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万元。国内公务接待</w:t>
      </w:r>
      <w:r>
        <w:rPr>
          <w:rFonts w:hint="eastAsia" w:ascii="仿宋_GB2312" w:eastAsia="仿宋_GB2312" w:cs="仿宋_GB2312"/>
          <w:sz w:val="32"/>
          <w:szCs w:val="32"/>
        </w:rPr>
        <w:t>0</w:t>
      </w:r>
      <w:r>
        <w:rPr>
          <w:rFonts w:hint="eastAsia" w:ascii="仿宋_GB2312" w:eastAsia="仿宋_GB2312" w:cs="仿宋_GB2312"/>
          <w:color w:val="000000"/>
          <w:sz w:val="32"/>
          <w:szCs w:val="32"/>
        </w:rPr>
        <w:t>批次，</w:t>
      </w:r>
      <w:r>
        <w:rPr>
          <w:rFonts w:hint="eastAsia" w:ascii="仿宋_GB2312" w:eastAsia="仿宋_GB2312" w:cs="仿宋_GB2312"/>
          <w:sz w:val="32"/>
          <w:szCs w:val="32"/>
        </w:rPr>
        <w:t>0</w:t>
      </w:r>
      <w:r>
        <w:rPr>
          <w:rFonts w:hint="eastAsia" w:ascii="仿宋_GB2312" w:eastAsia="仿宋_GB2312" w:cs="仿宋_GB2312"/>
          <w:color w:val="000000"/>
          <w:sz w:val="32"/>
          <w:szCs w:val="32"/>
        </w:rPr>
        <w:t>人次（不包括陪同人员），共计支出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s="仿宋_GB2312"/>
          <w:sz w:val="32"/>
          <w:szCs w:val="32"/>
        </w:rPr>
      </w:pPr>
      <w:r>
        <w:rPr>
          <w:rFonts w:hint="eastAsia" w:ascii="仿宋_GB2312" w:eastAsia="仿宋_GB2312" w:cs="仿宋_GB2312"/>
          <w:color w:val="000000"/>
          <w:sz w:val="32"/>
          <w:szCs w:val="32"/>
        </w:rPr>
        <w:t>外事接待支出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万元，外事接待</w:t>
      </w:r>
      <w:r>
        <w:rPr>
          <w:rFonts w:hint="eastAsia" w:ascii="仿宋_GB2312" w:eastAsia="仿宋_GB2312" w:cs="仿宋_GB2312"/>
          <w:sz w:val="32"/>
          <w:szCs w:val="32"/>
        </w:rPr>
        <w:t>0</w:t>
      </w:r>
      <w:r>
        <w:rPr>
          <w:rFonts w:hint="eastAsia" w:ascii="仿宋_GB2312" w:eastAsia="仿宋_GB2312" w:cs="仿宋_GB2312"/>
          <w:color w:val="000000"/>
          <w:sz w:val="32"/>
          <w:szCs w:val="32"/>
        </w:rPr>
        <w:t>批次，</w:t>
      </w:r>
      <w:r>
        <w:rPr>
          <w:rFonts w:hint="eastAsia" w:ascii="仿宋_GB2312" w:eastAsia="仿宋_GB2312" w:cs="仿宋_GB2312"/>
          <w:sz w:val="32"/>
          <w:szCs w:val="32"/>
        </w:rPr>
        <w:t>0</w:t>
      </w:r>
      <w:r>
        <w:rPr>
          <w:rFonts w:hint="eastAsia" w:ascii="仿宋_GB2312" w:eastAsia="仿宋_GB2312" w:cs="仿宋_GB2312"/>
          <w:color w:val="000000"/>
          <w:sz w:val="32"/>
          <w:szCs w:val="32"/>
        </w:rPr>
        <w:t>人，共计支出</w:t>
      </w:r>
      <w:r>
        <w:rPr>
          <w:rFonts w:hint="eastAsia" w:ascii="仿宋_GB2312" w:eastAsia="仿宋_GB2312" w:cs="仿宋_GB2312"/>
          <w:sz w:val="32"/>
          <w:szCs w:val="32"/>
        </w:rPr>
        <w:t>0</w:t>
      </w:r>
      <w:r>
        <w:rPr>
          <w:rFonts w:hint="eastAsia" w:ascii="仿宋_GB2312" w:eastAsia="仿宋_GB2312" w:cs="仿宋_GB2312"/>
          <w:color w:val="000000"/>
          <w:sz w:val="32"/>
          <w:szCs w:val="32"/>
        </w:rPr>
        <w:t>万元。</w:t>
      </w:r>
    </w:p>
    <w:p>
      <w:pPr>
        <w:spacing w:line="576" w:lineRule="exact"/>
        <w:ind w:firstLine="640"/>
        <w:outlineLvl w:val="1"/>
        <w:rPr>
          <w:rFonts w:ascii="黑体" w:eastAsia="黑体"/>
          <w:color w:val="000000"/>
          <w:sz w:val="32"/>
          <w:szCs w:val="32"/>
        </w:rPr>
      </w:pPr>
      <w:bookmarkStart w:id="34" w:name="_Toc145405622"/>
      <w:bookmarkStart w:id="35" w:name="_Toc17717"/>
      <w:r>
        <w:rPr>
          <w:rFonts w:hint="eastAsia" w:ascii="黑体" w:eastAsia="黑体"/>
          <w:color w:val="000000"/>
          <w:sz w:val="32"/>
          <w:szCs w:val="32"/>
        </w:rPr>
        <w:t>八、政府性基金预算支出决算情况说明</w:t>
      </w:r>
      <w:bookmarkEnd w:id="34"/>
      <w:bookmarkEnd w:id="35"/>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2022年政府性基金预算财政拨款支出</w:t>
      </w:r>
      <w:r>
        <w:rPr>
          <w:rFonts w:hint="eastAsia" w:ascii="仿宋" w:eastAsia="仿宋"/>
          <w:sz w:val="32"/>
          <w:szCs w:val="32"/>
        </w:rPr>
        <w:t>0</w:t>
      </w:r>
      <w:r>
        <w:rPr>
          <w:rFonts w:hint="eastAsia" w:ascii="仿宋_GB2312" w:eastAsia="仿宋_GB2312"/>
          <w:color w:val="000000"/>
          <w:sz w:val="32"/>
          <w:szCs w:val="32"/>
        </w:rPr>
        <w:t>万元。</w:t>
      </w:r>
    </w:p>
    <w:p>
      <w:pPr>
        <w:spacing w:line="576" w:lineRule="exact"/>
        <w:ind w:firstLine="640"/>
        <w:outlineLvl w:val="1"/>
        <w:rPr>
          <w:rFonts w:ascii="黑体" w:eastAsia="黑体"/>
          <w:color w:val="000000"/>
          <w:sz w:val="32"/>
          <w:szCs w:val="32"/>
        </w:rPr>
      </w:pPr>
      <w:bookmarkStart w:id="36" w:name="_Toc145405623"/>
      <w:bookmarkStart w:id="37" w:name="_Toc30324"/>
      <w:r>
        <w:rPr>
          <w:rFonts w:hint="eastAsia" w:ascii="黑体" w:eastAsia="黑体"/>
          <w:color w:val="000000"/>
          <w:sz w:val="32"/>
          <w:szCs w:val="32"/>
        </w:rPr>
        <w:t>九、国有资本经营预算支出决算情况说明</w:t>
      </w:r>
      <w:bookmarkEnd w:id="36"/>
      <w:bookmarkEnd w:id="37"/>
    </w:p>
    <w:p>
      <w:pPr>
        <w:pStyle w:val="12"/>
        <w:widowControl/>
        <w:spacing w:before="0" w:beforeAutospacing="0" w:after="0" w:afterAutospacing="0" w:line="576" w:lineRule="exact"/>
        <w:ind w:firstLine="640" w:firstLineChars="200"/>
      </w:pPr>
      <w:r>
        <w:rPr>
          <w:rFonts w:hint="eastAsia" w:ascii="仿宋_GB2312" w:eastAsia="仿宋_GB2312"/>
          <w:color w:val="000000"/>
          <w:kern w:val="2"/>
          <w:sz w:val="32"/>
          <w:szCs w:val="32"/>
        </w:rPr>
        <w:t>2022年国有资本经营预算财政拨款支出</w:t>
      </w:r>
      <w:r>
        <w:rPr>
          <w:rFonts w:hint="eastAsia" w:ascii="仿宋" w:eastAsia="仿宋"/>
          <w:sz w:val="32"/>
          <w:szCs w:val="32"/>
        </w:rPr>
        <w:t>0</w:t>
      </w:r>
      <w:r>
        <w:rPr>
          <w:rFonts w:hint="eastAsia" w:ascii="仿宋_GB2312" w:eastAsia="仿宋_GB2312"/>
          <w:color w:val="000000"/>
          <w:kern w:val="2"/>
          <w:sz w:val="32"/>
          <w:szCs w:val="32"/>
        </w:rPr>
        <w:t>万元。</w:t>
      </w:r>
      <w:r>
        <w:t> </w:t>
      </w:r>
    </w:p>
    <w:p>
      <w:pPr>
        <w:pStyle w:val="12"/>
        <w:widowControl/>
        <w:spacing w:before="0" w:beforeAutospacing="0" w:after="0" w:afterAutospacing="0" w:line="576" w:lineRule="exact"/>
        <w:ind w:firstLine="640" w:firstLineChars="200"/>
        <w:outlineLvl w:val="1"/>
        <w:rPr>
          <w:rFonts w:ascii="黑体" w:eastAsia="黑体"/>
          <w:color w:val="000000"/>
          <w:kern w:val="2"/>
          <w:sz w:val="32"/>
          <w:szCs w:val="32"/>
        </w:rPr>
      </w:pPr>
      <w:bookmarkStart w:id="38" w:name="_Toc16622"/>
      <w:bookmarkStart w:id="39" w:name="_Toc145405624"/>
      <w:r>
        <w:rPr>
          <w:rFonts w:hint="eastAsia" w:ascii="黑体" w:eastAsia="黑体"/>
          <w:color w:val="000000"/>
          <w:kern w:val="2"/>
          <w:sz w:val="32"/>
          <w:szCs w:val="32"/>
        </w:rPr>
        <w:t>十、其他重要事项的情况说明</w:t>
      </w:r>
      <w:bookmarkEnd w:id="38"/>
      <w:bookmarkEnd w:id="39"/>
    </w:p>
    <w:p>
      <w:pPr>
        <w:spacing w:line="576" w:lineRule="exact"/>
        <w:ind w:firstLine="643" w:firstLineChars="200"/>
        <w:outlineLvl w:val="2"/>
        <w:rPr>
          <w:rFonts w:ascii="楷体_GB2312" w:eastAsia="楷体_GB2312" w:cs="楷体_GB2312"/>
          <w:b/>
          <w:color w:val="000000"/>
          <w:sz w:val="32"/>
          <w:szCs w:val="32"/>
        </w:rPr>
      </w:pPr>
      <w:bookmarkStart w:id="40" w:name="_Toc21265"/>
      <w:bookmarkStart w:id="41" w:name="_Toc145405625"/>
      <w:r>
        <w:rPr>
          <w:rFonts w:hint="eastAsia" w:ascii="楷体_GB2312" w:eastAsia="楷体_GB2312" w:cs="楷体_GB2312"/>
          <w:b/>
          <w:color w:val="000000"/>
          <w:sz w:val="32"/>
          <w:szCs w:val="32"/>
        </w:rPr>
        <w:t>（一）机关运行经费支出情况</w:t>
      </w:r>
      <w:bookmarkEnd w:id="40"/>
      <w:bookmarkEnd w:id="41"/>
    </w:p>
    <w:p>
      <w:pPr>
        <w:spacing w:line="576" w:lineRule="exact"/>
        <w:ind w:firstLine="640" w:firstLineChars="200"/>
        <w:rPr>
          <w:rFonts w:ascii="仿宋_GB2312" w:eastAsia="仿宋_GB2312"/>
          <w:color w:val="FF0000"/>
          <w:sz w:val="32"/>
          <w:szCs w:val="32"/>
        </w:rPr>
      </w:pPr>
      <w:r>
        <w:rPr>
          <w:rFonts w:hint="eastAsia" w:ascii="仿宋_GB2312" w:eastAsia="仿宋_GB2312"/>
          <w:color w:val="000000"/>
          <w:sz w:val="32"/>
          <w:szCs w:val="32"/>
        </w:rPr>
        <w:t>2022年，四川省阿坝州茂县2022年度部门决算汇总机关运行经费支出</w:t>
      </w:r>
      <w:r>
        <w:rPr>
          <w:rFonts w:hint="eastAsia" w:ascii="仿宋" w:eastAsia="仿宋"/>
          <w:sz w:val="32"/>
          <w:szCs w:val="32"/>
        </w:rPr>
        <w:t>0</w:t>
      </w:r>
      <w:r>
        <w:rPr>
          <w:rFonts w:hint="eastAsia" w:ascii="仿宋_GB2312" w:eastAsia="仿宋_GB2312"/>
          <w:color w:val="000000"/>
          <w:sz w:val="32"/>
          <w:szCs w:val="32"/>
        </w:rPr>
        <w:t>万元，比2021年增加</w:t>
      </w:r>
      <w:r>
        <w:rPr>
          <w:rFonts w:hint="eastAsia" w:ascii="仿宋" w:eastAsia="仿宋"/>
          <w:sz w:val="32"/>
          <w:szCs w:val="32"/>
        </w:rPr>
        <w:t>0</w:t>
      </w:r>
      <w:r>
        <w:rPr>
          <w:rFonts w:hint="eastAsia" w:ascii="仿宋_GB2312" w:eastAsia="仿宋_GB2312"/>
          <w:color w:val="000000"/>
          <w:sz w:val="32"/>
          <w:szCs w:val="32"/>
        </w:rPr>
        <w:t>万元，与2021年决算数持平。</w:t>
      </w:r>
    </w:p>
    <w:p>
      <w:pPr>
        <w:spacing w:line="576" w:lineRule="exact"/>
        <w:ind w:firstLine="643" w:firstLineChars="200"/>
        <w:outlineLvl w:val="2"/>
        <w:rPr>
          <w:rFonts w:ascii="楷体_GB2312" w:eastAsia="楷体_GB2312" w:cs="楷体_GB2312"/>
          <w:b/>
          <w:color w:val="000000"/>
          <w:sz w:val="32"/>
          <w:szCs w:val="32"/>
        </w:rPr>
      </w:pPr>
      <w:bookmarkStart w:id="42" w:name="_Toc145405626"/>
      <w:bookmarkStart w:id="43" w:name="_Toc25446"/>
      <w:r>
        <w:rPr>
          <w:rFonts w:hint="eastAsia" w:ascii="楷体_GB2312" w:eastAsia="楷体_GB2312" w:cs="楷体_GB2312"/>
          <w:b/>
          <w:color w:val="000000"/>
          <w:sz w:val="32"/>
          <w:szCs w:val="32"/>
        </w:rPr>
        <w:t>（二）政府采购支出情况</w:t>
      </w:r>
      <w:bookmarkEnd w:id="42"/>
      <w:bookmarkEnd w:id="43"/>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2022年，四川省阿坝州茂县2022年度部门决算汇总政府采购支出总额</w:t>
      </w:r>
      <w:r>
        <w:rPr>
          <w:rFonts w:hint="eastAsia" w:ascii="仿宋" w:eastAsia="仿宋"/>
          <w:sz w:val="32"/>
          <w:szCs w:val="32"/>
        </w:rPr>
        <w:t>0</w:t>
      </w:r>
      <w:r>
        <w:rPr>
          <w:rFonts w:hint="eastAsia" w:ascii="仿宋_GB2312" w:eastAsia="仿宋_GB2312"/>
          <w:color w:val="000000"/>
          <w:sz w:val="32"/>
          <w:szCs w:val="32"/>
        </w:rPr>
        <w:t>万元，其中：政府采购货物支出</w:t>
      </w:r>
      <w:r>
        <w:rPr>
          <w:rFonts w:hint="eastAsia" w:ascii="仿宋" w:eastAsia="仿宋"/>
          <w:sz w:val="32"/>
          <w:szCs w:val="32"/>
        </w:rPr>
        <w:t>0</w:t>
      </w:r>
      <w:r>
        <w:rPr>
          <w:rFonts w:hint="eastAsia" w:ascii="仿宋_GB2312" w:eastAsia="仿宋_GB2312"/>
          <w:color w:val="000000"/>
          <w:sz w:val="32"/>
          <w:szCs w:val="32"/>
        </w:rPr>
        <w:t>万元、政府采购工程支出</w:t>
      </w:r>
      <w:r>
        <w:rPr>
          <w:rFonts w:hint="eastAsia" w:ascii="仿宋" w:eastAsia="仿宋"/>
          <w:sz w:val="32"/>
          <w:szCs w:val="32"/>
        </w:rPr>
        <w:t>0</w:t>
      </w:r>
      <w:r>
        <w:rPr>
          <w:rFonts w:hint="eastAsia" w:ascii="仿宋_GB2312" w:eastAsia="仿宋_GB2312"/>
          <w:color w:val="000000"/>
          <w:sz w:val="32"/>
          <w:szCs w:val="32"/>
        </w:rPr>
        <w:t>万元、政府采购服务支出</w:t>
      </w:r>
      <w:r>
        <w:rPr>
          <w:rFonts w:hint="eastAsia" w:ascii="仿宋" w:eastAsia="仿宋"/>
          <w:sz w:val="32"/>
          <w:szCs w:val="32"/>
        </w:rPr>
        <w:t>0</w:t>
      </w:r>
      <w:r>
        <w:rPr>
          <w:rFonts w:hint="eastAsia" w:ascii="仿宋_GB2312" w:eastAsia="仿宋_GB2312"/>
          <w:color w:val="000000"/>
          <w:sz w:val="32"/>
          <w:szCs w:val="32"/>
        </w:rPr>
        <w:t xml:space="preserve">万元。授予中小企业合同金额 </w:t>
      </w:r>
      <w:r>
        <w:rPr>
          <w:rFonts w:hint="eastAsia" w:ascii="仿宋" w:eastAsia="仿宋"/>
          <w:sz w:val="32"/>
          <w:szCs w:val="32"/>
        </w:rPr>
        <w:t>0</w:t>
      </w:r>
      <w:r>
        <w:rPr>
          <w:rFonts w:hint="eastAsia" w:ascii="仿宋_GB2312" w:eastAsia="仿宋_GB2312"/>
          <w:color w:val="000000"/>
          <w:sz w:val="32"/>
          <w:szCs w:val="32"/>
        </w:rPr>
        <w:t>万元。</w:t>
      </w:r>
    </w:p>
    <w:p>
      <w:pPr>
        <w:spacing w:line="576" w:lineRule="exact"/>
        <w:ind w:firstLine="643" w:firstLineChars="200"/>
        <w:outlineLvl w:val="2"/>
        <w:rPr>
          <w:rFonts w:ascii="楷体_GB2312" w:eastAsia="楷体_GB2312" w:cs="楷体_GB2312"/>
          <w:b/>
          <w:color w:val="000000"/>
          <w:sz w:val="32"/>
          <w:szCs w:val="32"/>
        </w:rPr>
      </w:pPr>
      <w:bookmarkStart w:id="44" w:name="_Toc19415"/>
      <w:bookmarkStart w:id="45" w:name="_Toc145405627"/>
      <w:r>
        <w:rPr>
          <w:rFonts w:hint="eastAsia" w:ascii="楷体_GB2312" w:eastAsia="楷体_GB2312" w:cs="楷体_GB2312"/>
          <w:b/>
          <w:color w:val="000000"/>
          <w:sz w:val="32"/>
          <w:szCs w:val="32"/>
        </w:rPr>
        <w:t>（三）国有资产占有使用情况</w:t>
      </w:r>
      <w:bookmarkEnd w:id="44"/>
      <w:bookmarkEnd w:id="45"/>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截至2022年12月31日，四川省阿坝州茂县2022年度部门决算汇总共有车辆</w:t>
      </w:r>
      <w:r>
        <w:rPr>
          <w:rFonts w:hint="eastAsia" w:ascii="仿宋" w:eastAsia="仿宋"/>
          <w:sz w:val="32"/>
          <w:szCs w:val="32"/>
        </w:rPr>
        <w:t>0</w:t>
      </w:r>
      <w:r>
        <w:rPr>
          <w:rFonts w:hint="eastAsia" w:ascii="仿宋_GB2312" w:eastAsia="仿宋_GB2312"/>
          <w:color w:val="000000"/>
          <w:sz w:val="32"/>
          <w:szCs w:val="32"/>
        </w:rPr>
        <w:t>辆，其中：主要领导干部用车</w:t>
      </w:r>
      <w:r>
        <w:rPr>
          <w:rFonts w:hint="eastAsia" w:ascii="仿宋" w:eastAsia="仿宋"/>
          <w:sz w:val="32"/>
          <w:szCs w:val="32"/>
        </w:rPr>
        <w:t>0</w:t>
      </w:r>
      <w:r>
        <w:rPr>
          <w:rFonts w:hint="eastAsia" w:ascii="仿宋_GB2312" w:eastAsia="仿宋_GB2312"/>
          <w:color w:val="000000"/>
          <w:sz w:val="32"/>
          <w:szCs w:val="32"/>
        </w:rPr>
        <w:t>辆、机要通信用车</w:t>
      </w:r>
      <w:r>
        <w:rPr>
          <w:rFonts w:hint="eastAsia" w:ascii="仿宋" w:eastAsia="仿宋"/>
          <w:sz w:val="32"/>
          <w:szCs w:val="32"/>
        </w:rPr>
        <w:t>0</w:t>
      </w:r>
      <w:r>
        <w:rPr>
          <w:rFonts w:hint="eastAsia" w:ascii="仿宋_GB2312" w:eastAsia="仿宋_GB2312"/>
          <w:color w:val="000000"/>
          <w:sz w:val="32"/>
          <w:szCs w:val="32"/>
        </w:rPr>
        <w:t>辆、应急保障用车</w:t>
      </w:r>
      <w:r>
        <w:rPr>
          <w:rFonts w:hint="eastAsia" w:ascii="仿宋" w:eastAsia="仿宋"/>
          <w:sz w:val="32"/>
          <w:szCs w:val="32"/>
        </w:rPr>
        <w:t>0</w:t>
      </w:r>
      <w:r>
        <w:rPr>
          <w:rFonts w:hint="eastAsia" w:ascii="仿宋_GB2312" w:eastAsia="仿宋_GB2312"/>
          <w:color w:val="000000"/>
          <w:sz w:val="32"/>
          <w:szCs w:val="32"/>
        </w:rPr>
        <w:t>辆、其他用车</w:t>
      </w:r>
      <w:r>
        <w:rPr>
          <w:rFonts w:hint="eastAsia" w:ascii="仿宋" w:eastAsia="仿宋"/>
          <w:sz w:val="32"/>
          <w:szCs w:val="32"/>
        </w:rPr>
        <w:t>0</w:t>
      </w:r>
      <w:r>
        <w:rPr>
          <w:rFonts w:hint="eastAsia" w:ascii="仿宋_GB2312" w:eastAsia="仿宋_GB2312"/>
          <w:color w:val="000000"/>
          <w:sz w:val="32"/>
          <w:szCs w:val="32"/>
        </w:rPr>
        <w:t>辆，价100万元（含）以上设备（不含车辆）</w:t>
      </w:r>
      <w:r>
        <w:rPr>
          <w:rFonts w:hint="eastAsia" w:ascii="仿宋" w:eastAsia="仿宋"/>
          <w:sz w:val="32"/>
          <w:szCs w:val="32"/>
        </w:rPr>
        <w:t>0</w:t>
      </w:r>
      <w:r>
        <w:rPr>
          <w:rFonts w:hint="eastAsia" w:ascii="仿宋_GB2312" w:eastAsia="仿宋_GB2312"/>
          <w:color w:val="000000"/>
          <w:sz w:val="32"/>
          <w:szCs w:val="32"/>
        </w:rPr>
        <w:t>台（套）。</w:t>
      </w:r>
    </w:p>
    <w:p>
      <w:pPr>
        <w:spacing w:line="576" w:lineRule="exact"/>
        <w:ind w:firstLine="643" w:firstLineChars="200"/>
        <w:outlineLvl w:val="2"/>
        <w:rPr>
          <w:rFonts w:ascii="楷体_GB2312" w:eastAsia="楷体_GB2312" w:cs="楷体_GB2312"/>
          <w:b/>
          <w:color w:val="000000"/>
          <w:sz w:val="32"/>
          <w:szCs w:val="32"/>
        </w:rPr>
      </w:pPr>
      <w:bookmarkStart w:id="46" w:name="_Toc15649"/>
      <w:bookmarkStart w:id="47" w:name="_Toc145405628"/>
      <w:r>
        <w:rPr>
          <w:rFonts w:hint="eastAsia" w:ascii="楷体_GB2312" w:eastAsia="楷体_GB2312" w:cs="楷体_GB2312"/>
          <w:b/>
          <w:color w:val="000000"/>
          <w:sz w:val="32"/>
          <w:szCs w:val="32"/>
        </w:rPr>
        <w:t>（四）预算绩效管理情况</w:t>
      </w:r>
      <w:bookmarkEnd w:id="46"/>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根据预算绩效管理要求，本部门在2022年度预算编制阶段，本单位未编制项目。</w:t>
      </w:r>
    </w:p>
    <w:p>
      <w:pPr>
        <w:pStyle w:val="12"/>
        <w:widowControl/>
        <w:spacing w:before="0" w:beforeAutospacing="0" w:after="0" w:afterAutospacing="0" w:line="576" w:lineRule="exact"/>
      </w:pPr>
      <w:r>
        <w:t> </w:t>
      </w:r>
    </w:p>
    <w:p>
      <w:pPr>
        <w:spacing w:line="576" w:lineRule="exact"/>
        <w:ind w:left="315" w:leftChars="150"/>
        <w:jc w:val="center"/>
        <w:outlineLvl w:val="0"/>
        <w:rPr>
          <w:rFonts w:ascii="方正小标宋简体" w:eastAsia="方正小标宋简体" w:cs="方正小标宋简体"/>
          <w:color w:val="000000"/>
          <w:sz w:val="44"/>
          <w:szCs w:val="44"/>
        </w:rPr>
      </w:pPr>
      <w:bookmarkStart w:id="48" w:name="_Toc17564"/>
      <w:bookmarkStart w:id="49" w:name="_Toc145405629"/>
      <w:r>
        <w:rPr>
          <w:rFonts w:hint="eastAsia" w:ascii="方正小标宋简体" w:eastAsia="方正小标宋简体" w:cs="方正小标宋简体"/>
          <w:color w:val="000000"/>
          <w:sz w:val="44"/>
          <w:szCs w:val="44"/>
        </w:rPr>
        <w:t>第三部分 名词解释</w:t>
      </w:r>
      <w:bookmarkEnd w:id="48"/>
      <w:bookmarkEnd w:id="49"/>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1.财政拨款收入：指单位从同级财政部门取得的财政预算资金。</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9.一般公共服务支出（201）人大事务（20101）代表工作（2010108）：反映人大代表开展各类视察等方面的支出。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10.一般公共服务支出（201）政府办公厅（室）及相关机构事务（20103）行政运行（2010301）：反映行政单位（包括实行公务员管理的事业单位）的基本支出。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11.一般公共服务支出（201）政府办公厅（室）及相关机构事务（20103）其他政府办公厅（室）及相关机构事务支出（2010399）：反映除上述项目以外的其他政府办公厅（室）及相关机构事务支出。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12.一般公共服务支出（201）财政事务（20106）事业运行（2010650）：反映事业单位的基本支出，不包括行政单位（包括实行公务员管理的事业单位）后勤服务中心、医务室等附属事业单位。</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13.一般公共服务支出（201）党委办公厅（室）及相关机构事务（20131）行政运行（2013101）：反映行政单位（包括实行公务员管理的事业单位）的基本支出。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14.国防支出（203）国防动员（20306）民兵（2030607）:反映用于民兵建设与管理等方面的支出。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15.文化旅游体育与传媒支出（207）其他文化旅游体育与传媒支出（20799）其他文化旅游体育与传媒支出（2079999）:反映除上述项目以外其他用于文化旅游体育与传媒方面的支出。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16.社会保障和就业支出（208）行政事业单位养老支出（20805）机关事业单位基本养老保险缴费支出（2080505）：反映机关事业单位实施养老保险制度由单位缴纳的基本养老保险费支出。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17.社会保障和就业支出（208）行政事业单位养老支出（20805）机关事业单位职业年金缴费支出（2080506）:反映机关事业单位实施养老保险制度由单位实际缴纳的职业年金支出。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18.社会保障和就业支出（208）社会福利（20810）老年福利（2081002）：反映对老年人提供福利服务方面的支出，包括为经济困难的高龄、失能等老年人提供基本养老服务保障的资金补助等支出。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19.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21.卫生健康支出（210）行政事业单位医疗（21011）事业单位医疗（2101102）：反映财政部门安排的事业单位基本医疗保险缴费经费，未参加医疗保险的事业单位的公费医疗经费，按国家规定享受离休人员待遇的医疗经费。</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22.节能环保支出（211）其他节能环保支出（21199）其他节能环保支出（2119999）：反映除上述项目以外其他用于节能环保方面的支出。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23.农林水支出（213）农业农村（21301）事业运行（2130104）：反映用于农业事业单位基本支出，事业单位设施、系统运行与资产维护等方面的支出。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24.农林水支出（213）扶贫（21305）农村基础设施建设（2130504）:反映用于农村贫困地区乡村道路、住房、基本农田、水利设施、人畜饮水、生态环境保护等生产生活条件改善方面的支出。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25. 农林水支出（213）扶贫（21305）社会发展（2130506）:反映用于农村欠发达地区小学教育、文化、广播、电视、卫生健康等方面的项目支出。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26.农林水支出（213）扶贫（21305）其他扶贫支出（2130599）:反映除上述项目以外其他用于扶贫方面的支出。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27.农林水支出（213）农村综合改革（21307）对村民委员会和村党支部的补助（2130705）：反映各级财政对村民委员会和村党支部的补助支出，以及支持建立县级基本财力保障机制安排的村级组织运转奖补资金。</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28.住房保障支出（221）住房改革支出（22102）住房公积金（2210201）：反映行政事业单位按人力资源和社会保障部、财政部规定的基本工资和津贴补贴以及规定比例为职工缴纳的住房公积金。</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29.住房保障支出（221）住房改革支出（22102）购房补贴（2210203）：反映按房改政策规定，行政事业单位向符合条件职工（含离退休人员）、军队（含武警）向转役复员离退休人员发放的用于购买住房的补贴。</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30.其他支出（229）其他支出（22999）其他支出（2299999）:反映单位的其他支出。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
        <w:widowControl/>
        <w:spacing w:before="0" w:beforeAutospacing="0" w:after="0" w:afterAutospacing="0" w:line="576" w:lineRule="exact"/>
        <w:rPr>
          <w:rFonts w:ascii="仿宋_GB2312" w:eastAsia="仿宋_GB2312"/>
          <w:sz w:val="32"/>
          <w:szCs w:val="32"/>
        </w:rPr>
      </w:pPr>
    </w:p>
    <w:p>
      <w:pPr>
        <w:pStyle w:val="12"/>
        <w:widowControl/>
        <w:spacing w:before="0" w:beforeAutospacing="0" w:after="0" w:afterAutospacing="0" w:line="576" w:lineRule="exact"/>
        <w:jc w:val="center"/>
        <w:outlineLvl w:val="0"/>
        <w:rPr>
          <w:rFonts w:ascii="方正小标宋简体" w:eastAsia="方正小标宋简体" w:cs="黑体"/>
          <w:sz w:val="44"/>
          <w:szCs w:val="44"/>
        </w:rPr>
      </w:pPr>
      <w:bookmarkStart w:id="50" w:name="_Toc19088"/>
      <w:bookmarkStart w:id="51" w:name="_Toc145405630"/>
      <w:r>
        <w:rPr>
          <w:rFonts w:hint="eastAsia" w:ascii="方正小标宋简体" w:eastAsia="方正小标宋简体" w:cs="方正小标宋简体"/>
          <w:color w:val="000000"/>
          <w:kern w:val="2"/>
          <w:sz w:val="44"/>
          <w:szCs w:val="44"/>
        </w:rPr>
        <w:t>第四部分 附件</w:t>
      </w:r>
      <w:bookmarkEnd w:id="50"/>
      <w:bookmarkEnd w:id="51"/>
      <w:r>
        <w:t> </w:t>
      </w:r>
    </w:p>
    <w:p>
      <w:pPr>
        <w:spacing w:line="576" w:lineRule="exact"/>
        <w:jc w:val="center"/>
        <w:outlineLvl w:val="0"/>
        <w:rPr>
          <w:rFonts w:ascii="仿宋_GB2312" w:eastAsia="仿宋_GB2312"/>
          <w:color w:val="000000"/>
          <w:sz w:val="32"/>
          <w:szCs w:val="32"/>
        </w:rPr>
      </w:pPr>
      <w:bookmarkStart w:id="52" w:name="_Toc145405631"/>
      <w:r>
        <w:rPr>
          <w:rFonts w:hint="eastAsia" w:ascii="方正小标宋简体" w:eastAsia="方正小标宋简体" w:cs="黑体"/>
          <w:sz w:val="44"/>
          <w:szCs w:val="44"/>
        </w:rPr>
        <w:t>部门预算项目支出绩效自评表（2022年度）</w:t>
      </w:r>
      <w:bookmarkEnd w:id="52"/>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根据预算绩效管理要求，本部门在2022年度预算编制阶段，本单位未编制项目。</w:t>
      </w: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hint="eastAsia" w:ascii="仿宋_GB2312" w:eastAsia="仿宋_GB2312"/>
          <w:color w:val="000000"/>
          <w:sz w:val="32"/>
          <w:szCs w:val="32"/>
        </w:rPr>
      </w:pPr>
    </w:p>
    <w:p>
      <w:pPr>
        <w:spacing w:line="576" w:lineRule="exact"/>
        <w:rPr>
          <w:rFonts w:ascii="仿宋_GB2312" w:eastAsia="仿宋_GB2312"/>
          <w:color w:val="000000"/>
          <w:sz w:val="32"/>
          <w:szCs w:val="32"/>
        </w:rPr>
      </w:pPr>
    </w:p>
    <w:p>
      <w:pPr>
        <w:spacing w:line="576" w:lineRule="exact"/>
        <w:rPr>
          <w:rFonts w:ascii="仿宋_GB2312" w:eastAsia="仿宋_GB2312"/>
          <w:color w:val="000000"/>
          <w:sz w:val="32"/>
          <w:szCs w:val="32"/>
        </w:rPr>
      </w:pPr>
    </w:p>
    <w:p>
      <w:pPr>
        <w:numPr>
          <w:ilvl w:val="0"/>
          <w:numId w:val="1"/>
        </w:numPr>
        <w:spacing w:line="576" w:lineRule="exact"/>
        <w:jc w:val="center"/>
        <w:outlineLvl w:val="0"/>
        <w:rPr>
          <w:rFonts w:ascii="方正小标宋简体" w:eastAsia="方正小标宋简体" w:cs="方正小标宋简体"/>
          <w:color w:val="000000"/>
          <w:sz w:val="44"/>
          <w:szCs w:val="44"/>
        </w:rPr>
      </w:pPr>
      <w:bookmarkStart w:id="53" w:name="_Toc6196"/>
      <w:bookmarkStart w:id="54" w:name="_Toc145405632"/>
      <w:r>
        <w:rPr>
          <w:rFonts w:hint="eastAsia" w:ascii="方正小标宋简体" w:eastAsia="方正小标宋简体" w:cs="方正小标宋简体"/>
          <w:color w:val="000000"/>
          <w:sz w:val="44"/>
          <w:szCs w:val="44"/>
        </w:rPr>
        <w:t>附表</w:t>
      </w:r>
      <w:bookmarkEnd w:id="53"/>
      <w:bookmarkEnd w:id="54"/>
      <w:bookmarkStart w:id="55" w:name="_Toc12986"/>
    </w:p>
    <w:p>
      <w:pPr>
        <w:numPr>
          <w:ilvl w:val="0"/>
          <w:numId w:val="2"/>
        </w:numPr>
        <w:spacing w:line="576" w:lineRule="exact"/>
        <w:outlineLvl w:val="0"/>
        <w:rPr>
          <w:rFonts w:ascii="仿宋_GB2312" w:eastAsia="仿宋_GB2312" w:cs="仿宋_GB2312"/>
          <w:bCs/>
          <w:color w:val="000000"/>
          <w:sz w:val="32"/>
          <w:szCs w:val="32"/>
        </w:rPr>
      </w:pPr>
      <w:bookmarkStart w:id="56" w:name="_Toc145405633"/>
      <w:r>
        <w:rPr>
          <w:rFonts w:hint="eastAsia" w:ascii="仿宋_GB2312" w:eastAsia="仿宋_GB2312" w:cs="仿宋_GB2312"/>
          <w:bCs/>
          <w:color w:val="000000"/>
          <w:sz w:val="32"/>
          <w:szCs w:val="32"/>
        </w:rPr>
        <w:t>收入支出决算总表</w:t>
      </w:r>
      <w:bookmarkEnd w:id="55"/>
      <w:bookmarkEnd w:id="56"/>
      <w:bookmarkStart w:id="57" w:name="_Toc13062"/>
    </w:p>
    <w:p>
      <w:pPr>
        <w:numPr>
          <w:ilvl w:val="0"/>
          <w:numId w:val="2"/>
        </w:numPr>
        <w:spacing w:line="576" w:lineRule="exact"/>
        <w:outlineLvl w:val="0"/>
        <w:rPr>
          <w:rFonts w:ascii="仿宋_GB2312" w:eastAsia="仿宋_GB2312" w:cs="仿宋_GB2312"/>
          <w:bCs/>
          <w:color w:val="000000"/>
          <w:sz w:val="32"/>
          <w:szCs w:val="32"/>
        </w:rPr>
      </w:pPr>
      <w:bookmarkStart w:id="58" w:name="_Toc145405634"/>
      <w:r>
        <w:rPr>
          <w:rFonts w:hint="eastAsia" w:ascii="仿宋_GB2312" w:eastAsia="仿宋_GB2312" w:cs="仿宋_GB2312"/>
          <w:bCs/>
          <w:color w:val="000000"/>
          <w:sz w:val="32"/>
          <w:szCs w:val="32"/>
        </w:rPr>
        <w:t>收入决算表</w:t>
      </w:r>
      <w:bookmarkEnd w:id="57"/>
      <w:bookmarkEnd w:id="58"/>
      <w:bookmarkStart w:id="59" w:name="_Toc29688"/>
    </w:p>
    <w:p>
      <w:pPr>
        <w:numPr>
          <w:ilvl w:val="0"/>
          <w:numId w:val="2"/>
        </w:numPr>
        <w:spacing w:line="576" w:lineRule="exact"/>
        <w:outlineLvl w:val="0"/>
        <w:rPr>
          <w:rFonts w:ascii="仿宋_GB2312" w:eastAsia="仿宋_GB2312" w:cs="仿宋_GB2312"/>
          <w:bCs/>
          <w:color w:val="000000"/>
          <w:sz w:val="32"/>
          <w:szCs w:val="32"/>
        </w:rPr>
      </w:pPr>
      <w:bookmarkStart w:id="60" w:name="_Toc145405635"/>
      <w:r>
        <w:rPr>
          <w:rFonts w:hint="eastAsia" w:ascii="仿宋_GB2312" w:eastAsia="仿宋_GB2312" w:cs="仿宋_GB2312"/>
          <w:bCs/>
          <w:color w:val="000000"/>
          <w:sz w:val="32"/>
          <w:szCs w:val="32"/>
        </w:rPr>
        <w:t>支出决算表</w:t>
      </w:r>
      <w:bookmarkEnd w:id="59"/>
      <w:bookmarkEnd w:id="60"/>
      <w:bookmarkStart w:id="61" w:name="_Toc5964"/>
    </w:p>
    <w:p>
      <w:pPr>
        <w:numPr>
          <w:ilvl w:val="0"/>
          <w:numId w:val="2"/>
        </w:numPr>
        <w:spacing w:line="576" w:lineRule="exact"/>
        <w:outlineLvl w:val="0"/>
        <w:rPr>
          <w:rFonts w:ascii="仿宋_GB2312" w:eastAsia="仿宋_GB2312" w:cs="仿宋_GB2312"/>
          <w:bCs/>
          <w:color w:val="000000"/>
          <w:sz w:val="32"/>
          <w:szCs w:val="32"/>
        </w:rPr>
      </w:pPr>
      <w:bookmarkStart w:id="62" w:name="_Toc145405636"/>
      <w:r>
        <w:rPr>
          <w:rFonts w:hint="eastAsia" w:ascii="仿宋_GB2312" w:eastAsia="仿宋_GB2312" w:cs="仿宋_GB2312"/>
          <w:bCs/>
          <w:color w:val="000000"/>
          <w:sz w:val="32"/>
          <w:szCs w:val="32"/>
        </w:rPr>
        <w:t>财政拨款收入支出决算总表</w:t>
      </w:r>
      <w:bookmarkEnd w:id="61"/>
      <w:bookmarkEnd w:id="62"/>
      <w:bookmarkStart w:id="63" w:name="_Toc14273"/>
    </w:p>
    <w:p>
      <w:pPr>
        <w:spacing w:line="576" w:lineRule="exact"/>
        <w:outlineLvl w:val="0"/>
        <w:rPr>
          <w:rFonts w:ascii="仿宋_GB2312" w:eastAsia="仿宋_GB2312" w:cs="仿宋_GB2312"/>
          <w:bCs/>
          <w:color w:val="000000"/>
          <w:sz w:val="32"/>
          <w:szCs w:val="32"/>
        </w:rPr>
      </w:pPr>
      <w:bookmarkStart w:id="64" w:name="_Toc145405637"/>
      <w:r>
        <w:rPr>
          <w:rFonts w:hint="eastAsia" w:ascii="仿宋_GB2312" w:eastAsia="仿宋_GB2312" w:cs="仿宋_GB2312"/>
          <w:bCs/>
          <w:color w:val="000000"/>
          <w:sz w:val="32"/>
          <w:szCs w:val="32"/>
        </w:rPr>
        <w:t>五、财政拨款支出决算明细表</w:t>
      </w:r>
      <w:bookmarkEnd w:id="63"/>
      <w:bookmarkEnd w:id="64"/>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5" w:name="_Toc145405638"/>
      <w:bookmarkStart w:id="66" w:name="_Toc16449"/>
      <w:r>
        <w:rPr>
          <w:rFonts w:hint="eastAsia" w:ascii="仿宋_GB2312" w:eastAsia="仿宋_GB2312" w:cs="仿宋_GB2312"/>
          <w:b w:val="0"/>
          <w:color w:val="000000"/>
          <w:kern w:val="2"/>
          <w:sz w:val="32"/>
          <w:szCs w:val="32"/>
        </w:rPr>
        <w:t>六、一般公共预算财政拨款支出决算表</w:t>
      </w:r>
      <w:bookmarkEnd w:id="65"/>
      <w:bookmarkEnd w:id="66"/>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7" w:name="_Toc145405639"/>
      <w:bookmarkStart w:id="68" w:name="_Toc3478"/>
      <w:r>
        <w:rPr>
          <w:rFonts w:hint="eastAsia" w:ascii="仿宋_GB2312" w:eastAsia="仿宋_GB2312" w:cs="仿宋_GB2312"/>
          <w:b w:val="0"/>
          <w:color w:val="000000"/>
          <w:kern w:val="2"/>
          <w:sz w:val="32"/>
          <w:szCs w:val="32"/>
        </w:rPr>
        <w:t>七、一般公共预算财政拨款支出决算明细表</w:t>
      </w:r>
      <w:bookmarkEnd w:id="67"/>
      <w:bookmarkEnd w:id="68"/>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9" w:name="_Toc17352"/>
      <w:bookmarkStart w:id="70" w:name="_Toc145405640"/>
      <w:r>
        <w:rPr>
          <w:rFonts w:hint="eastAsia" w:ascii="仿宋_GB2312" w:eastAsia="仿宋_GB2312" w:cs="仿宋_GB2312"/>
          <w:b w:val="0"/>
          <w:color w:val="000000"/>
          <w:kern w:val="2"/>
          <w:sz w:val="32"/>
          <w:szCs w:val="32"/>
        </w:rPr>
        <w:t>八、一般公共预算财政拨款基本支出决算表</w:t>
      </w:r>
      <w:bookmarkEnd w:id="69"/>
      <w:bookmarkEnd w:id="70"/>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1" w:name="_Toc3726"/>
      <w:bookmarkStart w:id="72" w:name="_Toc145405641"/>
      <w:r>
        <w:rPr>
          <w:rFonts w:hint="eastAsia" w:ascii="仿宋_GB2312" w:eastAsia="仿宋_GB2312" w:cs="仿宋_GB2312"/>
          <w:b w:val="0"/>
          <w:color w:val="000000"/>
          <w:kern w:val="2"/>
          <w:sz w:val="32"/>
          <w:szCs w:val="32"/>
        </w:rPr>
        <w:t>九、一般公共预算财政拨款项目支出决算表</w:t>
      </w:r>
      <w:bookmarkEnd w:id="71"/>
      <w:bookmarkEnd w:id="72"/>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3" w:name="_Toc20056"/>
      <w:bookmarkStart w:id="74" w:name="_Toc145405642"/>
      <w:r>
        <w:rPr>
          <w:rFonts w:hint="eastAsia" w:ascii="仿宋_GB2312" w:eastAsia="仿宋_GB2312" w:cs="仿宋_GB2312"/>
          <w:b w:val="0"/>
          <w:color w:val="000000"/>
          <w:kern w:val="2"/>
          <w:sz w:val="32"/>
          <w:szCs w:val="32"/>
        </w:rPr>
        <w:t>十、政府性基金预算财政拨款收入支出决算表</w:t>
      </w:r>
      <w:bookmarkEnd w:id="73"/>
      <w:bookmarkEnd w:id="74"/>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5" w:name="_Toc145405643"/>
      <w:bookmarkStart w:id="76" w:name="_Toc13849"/>
      <w:r>
        <w:rPr>
          <w:rFonts w:hint="eastAsia" w:ascii="仿宋_GB2312" w:eastAsia="仿宋_GB2312" w:cs="仿宋_GB2312"/>
          <w:b w:val="0"/>
          <w:color w:val="000000"/>
          <w:kern w:val="2"/>
          <w:sz w:val="32"/>
          <w:szCs w:val="32"/>
        </w:rPr>
        <w:t>十一、国有资本经营预算财政拨款收入支出决算表</w:t>
      </w:r>
      <w:bookmarkEnd w:id="75"/>
      <w:bookmarkEnd w:id="76"/>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7" w:name="_Toc145405644"/>
      <w:bookmarkStart w:id="78" w:name="_Toc13099"/>
      <w:r>
        <w:rPr>
          <w:rFonts w:hint="eastAsia" w:ascii="仿宋_GB2312" w:eastAsia="仿宋_GB2312" w:cs="仿宋_GB2312"/>
          <w:b w:val="0"/>
          <w:color w:val="000000"/>
          <w:kern w:val="2"/>
          <w:sz w:val="32"/>
          <w:szCs w:val="32"/>
        </w:rPr>
        <w:t>十二、国有资本经营预算财政拨款支出决算表</w:t>
      </w:r>
      <w:bookmarkEnd w:id="77"/>
      <w:bookmarkEnd w:id="78"/>
    </w:p>
    <w:p>
      <w:pPr>
        <w:pStyle w:val="3"/>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9" w:name="_Toc145405645"/>
      <w:bookmarkStart w:id="80" w:name="_Toc25065"/>
      <w:r>
        <w:rPr>
          <w:rFonts w:hint="eastAsia" w:ascii="仿宋_GB2312" w:eastAsia="仿宋_GB2312" w:cs="仿宋_GB2312"/>
          <w:b w:val="0"/>
          <w:color w:val="000000"/>
          <w:kern w:val="2"/>
          <w:sz w:val="32"/>
          <w:szCs w:val="32"/>
        </w:rPr>
        <w:t>十三、财政拨款“三公”经费支出决算表</w:t>
      </w:r>
      <w:bookmarkEnd w:id="79"/>
      <w:bookmarkEnd w:id="80"/>
    </w:p>
    <w:p>
      <w:pPr>
        <w:spacing w:line="576" w:lineRule="exact"/>
        <w:rPr>
          <w:rFonts w:ascii="仿宋_GB2312" w:eastAsia="仿宋_GB2312" w:cs="仿宋_GB231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2049" o:spid="_x0000_s2049" o:spt="202" type="#_x0000_t202" style="position:absolute;left:0pt;margin-top:0pt;height:10.35pt;width:9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18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5D654"/>
    <w:multiLevelType w:val="singleLevel"/>
    <w:tmpl w:val="FEC5D654"/>
    <w:lvl w:ilvl="0" w:tentative="0">
      <w:start w:val="1"/>
      <w:numFmt w:val="chineseCounting"/>
      <w:suff w:val="nothing"/>
      <w:lvlText w:val="%1、"/>
      <w:lvlJc w:val="left"/>
      <w:pPr>
        <w:tabs>
          <w:tab w:val="left" w:pos="0"/>
        </w:tabs>
        <w:ind w:left="0" w:firstLine="0"/>
      </w:pPr>
      <w:rPr>
        <w:rFonts w:hint="eastAsia"/>
      </w:rPr>
    </w:lvl>
  </w:abstractNum>
  <w:abstractNum w:abstractNumId="1">
    <w:nsid w:val="618D31D5"/>
    <w:multiLevelType w:val="singleLevel"/>
    <w:tmpl w:val="618D31D5"/>
    <w:lvl w:ilvl="0" w:tentative="0">
      <w:start w:val="5"/>
      <w:numFmt w:val="chineseCounting"/>
      <w:suff w:val="space"/>
      <w:lvlText w:val="第%1部分"/>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GrammaticalError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jZDIxODBjOTA0MDJiM2NjOTQ3MTRkMjI5MDE5NzAifQ=="/>
  </w:docVars>
  <w:rsids>
    <w:rsidRoot w:val="00670C1A"/>
    <w:rsid w:val="00134EEA"/>
    <w:rsid w:val="00165DF0"/>
    <w:rsid w:val="002C4EE3"/>
    <w:rsid w:val="00305803"/>
    <w:rsid w:val="003310EB"/>
    <w:rsid w:val="004D5AB2"/>
    <w:rsid w:val="004E4AD6"/>
    <w:rsid w:val="0057595B"/>
    <w:rsid w:val="00580F93"/>
    <w:rsid w:val="005D3CDF"/>
    <w:rsid w:val="00660A97"/>
    <w:rsid w:val="00666367"/>
    <w:rsid w:val="00670C1A"/>
    <w:rsid w:val="006F13B3"/>
    <w:rsid w:val="008520ED"/>
    <w:rsid w:val="009C7578"/>
    <w:rsid w:val="00AA6AF7"/>
    <w:rsid w:val="00BB1D97"/>
    <w:rsid w:val="00BE7506"/>
    <w:rsid w:val="0ACD5413"/>
    <w:rsid w:val="20B9542D"/>
    <w:rsid w:val="2E2E34F3"/>
    <w:rsid w:val="42500C1F"/>
    <w:rsid w:val="428E0763"/>
    <w:rsid w:val="45525385"/>
    <w:rsid w:val="57822869"/>
    <w:rsid w:val="66BC66AA"/>
    <w:rsid w:val="735A0C61"/>
    <w:rsid w:val="7CA37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ascii="宋体"/>
      <w:b/>
      <w:bCs/>
      <w:kern w:val="0"/>
      <w:sz w:val="36"/>
      <w:szCs w:val="36"/>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30"/>
    </w:pPr>
    <w:rPr>
      <w:rFonts w:ascii="仿宋_GB2312" w:eastAsia="仿宋_GB2312"/>
      <w:kern w:val="0"/>
      <w:sz w:val="24"/>
      <w:szCs w:val="20"/>
    </w:rPr>
  </w:style>
  <w:style w:type="paragraph" w:styleId="6">
    <w:name w:val="toc 3"/>
    <w:basedOn w:val="1"/>
    <w:next w:val="1"/>
    <w:qFormat/>
    <w:uiPriority w:val="39"/>
    <w:pPr>
      <w:ind w:left="400" w:leftChars="400"/>
    </w:pPr>
  </w:style>
  <w:style w:type="paragraph" w:styleId="7">
    <w:name w:val="Balloon Text"/>
    <w:basedOn w:val="1"/>
    <w:link w:val="23"/>
    <w:semiHidden/>
    <w:unhideWhenUsed/>
    <w:qFormat/>
    <w:uiPriority w:val="99"/>
    <w:rPr>
      <w:sz w:val="18"/>
      <w:szCs w:val="18"/>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tabs>
        <w:tab w:val="center" w:pos="4153"/>
        <w:tab w:val="right" w:pos="8306"/>
      </w:tabs>
      <w:snapToGrid w:val="0"/>
    </w:pPr>
    <w:rPr>
      <w:sz w:val="18"/>
    </w:rPr>
  </w:style>
  <w:style w:type="paragraph" w:styleId="10">
    <w:name w:val="toc 1"/>
    <w:basedOn w:val="1"/>
    <w:next w:val="1"/>
    <w:uiPriority w:val="39"/>
    <w:pPr>
      <w:spacing w:before="120" w:after="120"/>
      <w:jc w:val="left"/>
    </w:pPr>
    <w:rPr>
      <w:rFonts w:ascii="等线" w:eastAsia="等线"/>
      <w:b/>
      <w:bCs/>
      <w:caps/>
      <w:sz w:val="20"/>
      <w:szCs w:val="20"/>
    </w:rPr>
  </w:style>
  <w:style w:type="paragraph" w:styleId="11">
    <w:name w:val="toc 2"/>
    <w:basedOn w:val="1"/>
    <w:next w:val="1"/>
    <w:qFormat/>
    <w:uiPriority w:val="39"/>
    <w:pPr>
      <w:ind w:left="20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0"/>
    <w:rPr>
      <w:b/>
    </w:rPr>
  </w:style>
  <w:style w:type="character" w:styleId="16">
    <w:name w:val="Hyperlink"/>
    <w:basedOn w:val="14"/>
    <w:qFormat/>
    <w:uiPriority w:val="99"/>
    <w:rPr>
      <w:color w:val="0000FF"/>
      <w:u w:val="single"/>
    </w:rPr>
  </w:style>
  <w:style w:type="paragraph" w:customStyle="1" w:styleId="17">
    <w:name w:val="WPSOffice手动目录 1"/>
    <w:uiPriority w:val="0"/>
    <w:rPr>
      <w:rFonts w:ascii="Times New Roman" w:hAnsi="Times New Roman" w:eastAsia="宋体" w:cs="Times New Roman"/>
      <w:lang w:val="en-US" w:eastAsia="zh-CN" w:bidi="ar-SA"/>
    </w:rPr>
  </w:style>
  <w:style w:type="paragraph" w:customStyle="1" w:styleId="18">
    <w:name w:val="WPSOffice手动目录 2"/>
    <w:uiPriority w:val="0"/>
    <w:pPr>
      <w:ind w:left="200" w:leftChars="200"/>
    </w:pPr>
    <w:rPr>
      <w:rFonts w:ascii="Times New Roman" w:hAnsi="Times New Roman" w:eastAsia="宋体" w:cs="Times New Roman"/>
      <w:lang w:val="en-US" w:eastAsia="zh-CN" w:bidi="ar-SA"/>
    </w:rPr>
  </w:style>
  <w:style w:type="paragraph" w:customStyle="1" w:styleId="19">
    <w:name w:val="WPSOffice手动目录 3"/>
    <w:uiPriority w:val="0"/>
    <w:pPr>
      <w:ind w:left="400" w:leftChars="400"/>
    </w:pPr>
    <w:rPr>
      <w:rFonts w:ascii="Times New Roman" w:hAnsi="Times New Roman" w:eastAsia="宋体" w:cs="Times New Roman"/>
      <w:lang w:val="en-US" w:eastAsia="zh-CN" w:bidi="ar-SA"/>
    </w:rPr>
  </w:style>
  <w:style w:type="paragraph" w:customStyle="1" w:styleId="20">
    <w:name w:val="列表段落1"/>
    <w:basedOn w:val="1"/>
    <w:qFormat/>
    <w:uiPriority w:val="0"/>
    <w:pPr>
      <w:ind w:firstLine="200" w:firstLineChars="200"/>
    </w:p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NormalCharacter"/>
    <w:uiPriority w:val="0"/>
    <w:rPr>
      <w:rFonts w:ascii="Calibri" w:hAnsi="Calibri" w:eastAsia="宋体" w:cs="Times New Roman"/>
      <w:kern w:val="2"/>
      <w:sz w:val="21"/>
      <w:szCs w:val="24"/>
      <w:lang w:val="en-US" w:eastAsia="zh-CN" w:bidi="ar-SA"/>
    </w:rPr>
  </w:style>
  <w:style w:type="character" w:customStyle="1" w:styleId="23">
    <w:name w:val="批注框文本 Char"/>
    <w:basedOn w:val="14"/>
    <w:link w:val="7"/>
    <w:semiHidden/>
    <w:uiPriority w:val="99"/>
    <w:rPr>
      <w:rFonts w:ascii="Calibri" w:hAnsi="Calibri"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收、支决算总计变动情况图</a:t>
            </a:r>
            <a:r>
              <a:rPr lang="zh-CN" altLang="en-US" sz="1200" b="1" i="0" u="none" strike="noStrike" baseline="0"/>
              <a:t>（万元）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439.85</c:v>
                </c:pt>
                <c:pt idx="1">
                  <c:v>439.85</c:v>
                </c:pt>
              </c:numCache>
            </c:numRef>
          </c:val>
        </c:ser>
        <c:dLbls>
          <c:showLegendKey val="0"/>
          <c:showVal val="1"/>
          <c:showCatName val="0"/>
          <c:showSerName val="0"/>
          <c:showPercent val="0"/>
          <c:showBubbleSize val="0"/>
        </c:dLbls>
        <c:gapWidth val="150"/>
        <c:overlap val="-25"/>
        <c:axId val="140183040"/>
        <c:axId val="140184576"/>
      </c:barChart>
      <c:catAx>
        <c:axId val="14018304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0184576"/>
        <c:crosses val="autoZero"/>
        <c:auto val="1"/>
        <c:lblAlgn val="ctr"/>
        <c:lblOffset val="100"/>
        <c:noMultiLvlLbl val="0"/>
      </c:catAx>
      <c:valAx>
        <c:axId val="140184576"/>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018304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explosion val="25"/>
          <c:dPt>
            <c:idx val="0"/>
            <c:bubble3D val="0"/>
          </c:dPt>
          <c:dLbls>
            <c:dLbl>
              <c:idx val="0"/>
              <c:layout>
                <c:manualLayout>
                  <c:x val="-0.282387174815284"/>
                  <c:y val="-0.13865841073271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一般公共预算财政拨款收入</a:t>
                    </a:r>
                    <a:r>
                      <a:rPr lang="en-US" altLang="zh-CN"/>
                      <a:t>439.85</a:t>
                    </a:r>
                    <a:r>
                      <a:rPr lang="zh-CN" altLang="en-US"/>
                      <a:t>
</a:t>
                    </a:r>
                    <a:r>
                      <a:rPr lang="en-US" altLang="zh-CN"/>
                      <a:t>100%</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439.85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25"/>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r>
                      <a:t>基本支出, 439.85</a:t>
                    </a:r>
                  </a:p>
                  <a:p>
                    <a:pPr>
                      <a:defRPr lang="zh-CN" sz="1000" b="0" i="0" u="none" strike="noStrike" kern="1200" baseline="0">
                        <a:solidFill>
                          <a:schemeClr val="tx1">
                            <a:lumMod val="75000"/>
                            <a:lumOff val="25000"/>
                          </a:schemeClr>
                        </a:solidFill>
                        <a:latin typeface="+mn-lt"/>
                        <a:ea typeface="+mn-ea"/>
                        <a:cs typeface="+mn-cs"/>
                      </a:defRPr>
                    </a:pPr>
                    <a:r>
                      <a:t>100%</a:t>
                    </a:r>
                  </a:p>
                </c:rich>
              </c:tx>
              <c:dLblPos val="inEnd"/>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基本支出</c:v>
                </c:pt>
              </c:strCache>
            </c:strRef>
          </c:cat>
          <c:val>
            <c:numRef>
              <c:f>Sheet1!$B$2</c:f>
              <c:numCache>
                <c:formatCode>General</c:formatCode>
                <c:ptCount val="1"/>
                <c:pt idx="0">
                  <c:v>439.85</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财政拨款收、支决算总计变动情况</a:t>
            </a:r>
            <a:r>
              <a:rPr lang="zh-CN" altLang="en-US" sz="1200" b="1" i="0" u="none" strike="noStrike" baseline="0"/>
              <a:t>（万元）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439.85</c:v>
                </c:pt>
                <c:pt idx="1">
                  <c:v>439.85</c:v>
                </c:pt>
              </c:numCache>
            </c:numRef>
          </c:val>
        </c:ser>
        <c:dLbls>
          <c:showLegendKey val="0"/>
          <c:showVal val="1"/>
          <c:showCatName val="0"/>
          <c:showSerName val="0"/>
          <c:showPercent val="0"/>
          <c:showBubbleSize val="0"/>
        </c:dLbls>
        <c:gapWidth val="150"/>
        <c:overlap val="-25"/>
        <c:axId val="128602880"/>
        <c:axId val="134875008"/>
      </c:barChart>
      <c:catAx>
        <c:axId val="1286028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875008"/>
        <c:crosses val="autoZero"/>
        <c:auto val="1"/>
        <c:lblAlgn val="ctr"/>
        <c:lblOffset val="100"/>
        <c:noMultiLvlLbl val="0"/>
      </c:catAx>
      <c:valAx>
        <c:axId val="134875008"/>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860288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一般公共预算财政拨款支出（万元）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0</c:v>
                </c:pt>
                <c:pt idx="1">
                  <c:v>439.85</c:v>
                </c:pt>
              </c:numCache>
            </c:numRef>
          </c:val>
        </c:ser>
        <c:dLbls>
          <c:showLegendKey val="0"/>
          <c:showVal val="1"/>
          <c:showCatName val="0"/>
          <c:showSerName val="0"/>
          <c:showPercent val="0"/>
          <c:showBubbleSize val="0"/>
        </c:dLbls>
        <c:gapWidth val="150"/>
        <c:overlap val="-25"/>
        <c:axId val="134998272"/>
        <c:axId val="67655168"/>
      </c:barChart>
      <c:catAx>
        <c:axId val="13499827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655168"/>
        <c:crosses val="autoZero"/>
        <c:auto val="1"/>
        <c:lblAlgn val="ctr"/>
        <c:lblOffset val="100"/>
        <c:noMultiLvlLbl val="0"/>
      </c:catAx>
      <c:valAx>
        <c:axId val="67655168"/>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998272"/>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一般公共预算财政拨款支出决算结构图（万元）</a:t>
            </a:r>
            <a:endParaRPr lang="zh-CN" altLang="en-US" sz="1200"/>
          </a:p>
        </c:rich>
      </c:tx>
      <c:layout/>
      <c:overlay val="0"/>
    </c:title>
    <c:autoTitleDeleted val="0"/>
    <c:plotArea>
      <c:layout/>
      <c:pieChart>
        <c:varyColors val="1"/>
        <c:ser>
          <c:idx val="0"/>
          <c:order val="0"/>
          <c:tx>
            <c:strRef>
              <c:f>Sheet1!$B$1</c:f>
              <c:strCache>
                <c:ptCount val="1"/>
                <c:pt idx="0">
                  <c:v>一般公共预算财政拨款支出决算结构图（万元）</c:v>
                </c:pt>
              </c:strCache>
            </c:strRef>
          </c:tx>
          <c:explosion val="25"/>
          <c:dPt>
            <c:idx val="0"/>
            <c:bubble3D val="0"/>
          </c:dPt>
          <c:dPt>
            <c:idx val="1"/>
            <c:bubble3D val="0"/>
          </c:dPt>
          <c:dPt>
            <c:idx val="2"/>
            <c:bubble3D val="0"/>
          </c:dPt>
          <c:dPt>
            <c:idx val="3"/>
            <c:bubble3D val="0"/>
          </c:dPt>
          <c:dLbls>
            <c:dLbl>
              <c:idx val="0"/>
              <c:layout>
                <c:manualLayout>
                  <c:x val="0.271499589519767"/>
                  <c:y val="0.18744545476707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社会保障和就业支出</a:t>
                    </a:r>
                    <a:r>
                      <a:rPr lang="en-US" altLang="zh-CN"/>
                      <a:t>45.42</a:t>
                    </a:r>
                    <a:r>
                      <a:rPr lang="zh-CN" altLang="en-US"/>
                      <a:t>
</a:t>
                    </a:r>
                    <a:r>
                      <a:rPr lang="en-US" altLang="zh-CN"/>
                      <a:t>10.33%</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219082685697276"/>
                  <c:y val="0.29610362172220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卫生健康支出</a:t>
                    </a:r>
                    <a:r>
                      <a:rPr lang="en-US" altLang="zh-CN"/>
                      <a:t>22.25</a:t>
                    </a:r>
                    <a:r>
                      <a:rPr lang="zh-CN" altLang="en-US"/>
                      <a:t>
</a:t>
                    </a:r>
                    <a:r>
                      <a:rPr lang="en-US" altLang="zh-CN"/>
                      <a:t>5.06%</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农林水支出</a:t>
                    </a:r>
                    <a:r>
                      <a:rPr lang="en-US" altLang="zh-CN"/>
                      <a:t>340.91</a:t>
                    </a:r>
                    <a:r>
                      <a:rPr lang="zh-CN" altLang="en-US"/>
                      <a:t>
</a:t>
                    </a:r>
                    <a:r>
                      <a:rPr lang="en-US" altLang="zh-CN"/>
                      <a:t>77.5%</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0.356315992044457"/>
                  <c:y val="0.15184092700486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a:t>
                    </a:r>
                    <a:r>
                      <a:rPr lang="en-US" altLang="zh-CN"/>
                      <a:t>45.42</a:t>
                    </a:r>
                    <a:r>
                      <a:rPr lang="zh-CN" altLang="en-US"/>
                      <a:t>
</a:t>
                    </a:r>
                    <a:r>
                      <a:rPr lang="en-US" altLang="zh-CN"/>
                      <a:t>7.11%</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45.42</c:v>
                </c:pt>
                <c:pt idx="1">
                  <c:v>22.25</c:v>
                </c:pt>
                <c:pt idx="2">
                  <c:v>340.91</c:v>
                </c:pt>
                <c:pt idx="3">
                  <c:v>31.27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B1650A-5B10-4FC8-92F1-0E9103D8316B}">
  <ds:schemaRefs/>
</ds:datastoreItem>
</file>

<file path=docProps/app.xml><?xml version="1.0" encoding="utf-8"?>
<Properties xmlns="http://schemas.openxmlformats.org/officeDocument/2006/extended-properties" xmlns:vt="http://schemas.openxmlformats.org/officeDocument/2006/docPropsVTypes">
  <Template>Normal</Template>
  <Pages>24</Pages>
  <Words>8974</Words>
  <Characters>3943</Characters>
  <Lines>32</Lines>
  <Paragraphs>25</Paragraphs>
  <TotalTime>6</TotalTime>
  <ScaleCrop>false</ScaleCrop>
  <LinksUpToDate>false</LinksUpToDate>
  <CharactersWithSpaces>12892</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2023-09-12T01:49:00Z</dcterms:created>
  <dc:creator>Administrator</dc:creator>
  <cp:lastModifiedBy>Administrator</cp:lastModifiedBy>
  <cp:lastPrinted>2023-09-12T05:51:27Z</cp:lastPrinted>
  <dcterms:modified xsi:type="dcterms:W3CDTF">2023-09-12T05:57:15Z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51A74FCB072543D5A19E29A197A409B1_12</vt:lpwstr>
  </property>
</Properties>
</file>