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pageBreakBefore w:val="0"/>
        <w:kinsoku/>
        <w:wordWrap/>
        <w:overflowPunct/>
        <w:topLinePunct w:val="0"/>
        <w:bidi w:val="0"/>
        <w:spacing w:line="576" w:lineRule="exact"/>
        <w:jc w:val="center"/>
        <w:rPr>
          <w:rFonts w:hint="eastAsia" w:ascii="方正小标宋简体" w:hAnsi="宋体" w:eastAsia="方正小标宋简体"/>
          <w:sz w:val="44"/>
          <w:szCs w:val="44"/>
        </w:rPr>
      </w:pPr>
      <w:r>
        <w:rPr>
          <w:rFonts w:hint="default" w:ascii="方正小标宋简体" w:hAnsi="宋体" w:eastAsia="方正小标宋简体"/>
          <w:sz w:val="44"/>
          <w:szCs w:val="44"/>
        </w:rPr>
        <w:t xml:space="preserve"> </w:t>
      </w:r>
      <w:bookmarkStart w:id="154" w:name="_GoBack"/>
      <w:bookmarkEnd w:id="154"/>
      <w:r>
        <w:rPr>
          <w:rFonts w:hint="eastAsia" w:ascii="方正小标宋简体" w:hAnsi="宋体" w:eastAsia="方正小标宋简体"/>
          <w:sz w:val="44"/>
          <w:szCs w:val="44"/>
        </w:rPr>
        <w:t>202</w:t>
      </w:r>
      <w:r>
        <w:rPr>
          <w:rFonts w:hint="eastAsia" w:ascii="方正小标宋简体" w:hAnsi="宋体" w:eastAsia="方正小标宋简体"/>
          <w:sz w:val="44"/>
          <w:szCs w:val="44"/>
          <w:lang w:val="en-US" w:eastAsia="zh-CN"/>
        </w:rPr>
        <w:t>4</w:t>
      </w:r>
      <w:r>
        <w:rPr>
          <w:rFonts w:hint="eastAsia" w:ascii="方正小标宋简体" w:hAnsi="宋体" w:eastAsia="方正小标宋简体"/>
          <w:sz w:val="44"/>
          <w:szCs w:val="44"/>
        </w:rPr>
        <w:t>年度</w:t>
      </w:r>
      <w:bookmarkStart w:id="0" w:name="_Toc15396476"/>
      <w:bookmarkStart w:id="1" w:name="_Toc15377426"/>
      <w:bookmarkStart w:id="2" w:name="_Toc15396598"/>
      <w:bookmarkStart w:id="3" w:name="_Toc15378442"/>
      <w:bookmarkStart w:id="4" w:name="_Toc15377194"/>
      <w:r>
        <w:rPr>
          <w:rFonts w:hint="eastAsia" w:ascii="方正小标宋简体" w:hAnsi="宋体" w:eastAsia="方正小标宋简体"/>
          <w:sz w:val="44"/>
          <w:szCs w:val="44"/>
        </w:rPr>
        <w:t>四川省阿坝州</w:t>
      </w:r>
    </w:p>
    <w:p>
      <w:pPr>
        <w:pStyle w:val="6"/>
        <w:pageBreakBefore w:val="0"/>
        <w:kinsoku/>
        <w:wordWrap/>
        <w:overflowPunct/>
        <w:topLinePunct w:val="0"/>
        <w:bidi w:val="0"/>
        <w:spacing w:line="576" w:lineRule="exact"/>
        <w:jc w:val="center"/>
        <w:rPr>
          <w:rFonts w:hint="eastAsia" w:ascii="方正小标宋简体" w:hAnsi="宋体" w:eastAsia="方正小标宋简体"/>
          <w:sz w:val="44"/>
          <w:szCs w:val="44"/>
        </w:rPr>
      </w:pPr>
      <w:r>
        <w:rPr>
          <w:rFonts w:hint="eastAsia" w:ascii="方正小标宋简体" w:hAnsi="宋体" w:eastAsia="方正小标宋简体"/>
          <w:sz w:val="44"/>
          <w:szCs w:val="44"/>
        </w:rPr>
        <w:t>茂县</w:t>
      </w:r>
      <w:bookmarkStart w:id="5" w:name="_Toc15306268"/>
      <w:r>
        <w:rPr>
          <w:rFonts w:hint="eastAsia" w:ascii="方正小标宋简体" w:hAnsi="宋体" w:eastAsia="方正小标宋简体"/>
          <w:sz w:val="44"/>
          <w:szCs w:val="44"/>
        </w:rPr>
        <w:t>叠溪镇人民政府</w:t>
      </w:r>
    </w:p>
    <w:p>
      <w:pPr>
        <w:pStyle w:val="6"/>
        <w:pageBreakBefore w:val="0"/>
        <w:kinsoku/>
        <w:wordWrap/>
        <w:overflowPunct/>
        <w:topLinePunct w:val="0"/>
        <w:bidi w:val="0"/>
        <w:spacing w:line="576" w:lineRule="exact"/>
        <w:jc w:val="center"/>
        <w:rPr>
          <w:rFonts w:hint="eastAsia" w:ascii="方正小标宋简体" w:hAnsi="宋体" w:eastAsia="方正小标宋简体"/>
          <w:sz w:val="44"/>
          <w:szCs w:val="44"/>
        </w:rPr>
      </w:pPr>
      <w:r>
        <w:rPr>
          <w:rFonts w:hint="eastAsia" w:ascii="方正小标宋简体" w:hAnsi="宋体" w:eastAsia="方正小标宋简体"/>
          <w:sz w:val="44"/>
          <w:szCs w:val="44"/>
        </w:rPr>
        <w:t>部门决算</w:t>
      </w:r>
      <w:bookmarkEnd w:id="0"/>
      <w:bookmarkEnd w:id="1"/>
      <w:bookmarkEnd w:id="2"/>
      <w:bookmarkEnd w:id="3"/>
      <w:bookmarkEnd w:id="4"/>
      <w:bookmarkEnd w:id="5"/>
    </w:p>
    <w:p>
      <w:pPr>
        <w:pageBreakBefore w:val="0"/>
        <w:widowControl/>
        <w:kinsoku/>
        <w:wordWrap/>
        <w:overflowPunct/>
        <w:topLinePunct w:val="0"/>
        <w:bidi w:val="0"/>
        <w:spacing w:line="576" w:lineRule="exact"/>
        <w:jc w:val="center"/>
        <w:rPr>
          <w:rFonts w:hint="eastAsia" w:ascii="Times New Roman" w:hAnsi="Times New Roman" w:eastAsia="黑体"/>
          <w:color w:val="auto"/>
          <w:sz w:val="48"/>
          <w:szCs w:val="48"/>
          <w:highlight w:val="none"/>
        </w:rPr>
      </w:pPr>
    </w:p>
    <w:p>
      <w:pPr>
        <w:pStyle w:val="14"/>
        <w:pageBreakBefore w:val="0"/>
        <w:kinsoku/>
        <w:wordWrap/>
        <w:overflowPunct/>
        <w:topLinePunct w:val="0"/>
        <w:bidi w:val="0"/>
        <w:spacing w:line="576" w:lineRule="exact"/>
        <w:rPr>
          <w:rFonts w:hint="eastAsia" w:ascii="Times New Roman" w:hAnsi="Times New Roman" w:eastAsia="黑体"/>
          <w:color w:val="auto"/>
          <w:sz w:val="48"/>
          <w:szCs w:val="48"/>
          <w:highlight w:val="none"/>
        </w:rPr>
      </w:pPr>
    </w:p>
    <w:p>
      <w:pPr>
        <w:pStyle w:val="14"/>
        <w:pageBreakBefore w:val="0"/>
        <w:kinsoku/>
        <w:wordWrap/>
        <w:overflowPunct/>
        <w:topLinePunct w:val="0"/>
        <w:bidi w:val="0"/>
        <w:spacing w:line="576" w:lineRule="exact"/>
        <w:rPr>
          <w:rFonts w:hint="eastAsia" w:ascii="Times New Roman" w:hAnsi="Times New Roman" w:eastAsia="黑体"/>
          <w:color w:val="auto"/>
          <w:sz w:val="48"/>
          <w:szCs w:val="48"/>
          <w:highlight w:val="none"/>
        </w:rPr>
      </w:pPr>
    </w:p>
    <w:p>
      <w:pPr>
        <w:pStyle w:val="14"/>
        <w:pageBreakBefore w:val="0"/>
        <w:kinsoku/>
        <w:wordWrap/>
        <w:overflowPunct/>
        <w:topLinePunct w:val="0"/>
        <w:bidi w:val="0"/>
        <w:spacing w:line="576" w:lineRule="exact"/>
        <w:rPr>
          <w:rFonts w:hint="eastAsia" w:ascii="Times New Roman" w:hAnsi="Times New Roman" w:eastAsia="黑体"/>
          <w:color w:val="auto"/>
          <w:sz w:val="48"/>
          <w:szCs w:val="48"/>
          <w:highlight w:val="none"/>
        </w:rPr>
      </w:pPr>
    </w:p>
    <w:p>
      <w:pPr>
        <w:pStyle w:val="14"/>
        <w:pageBreakBefore w:val="0"/>
        <w:kinsoku/>
        <w:wordWrap/>
        <w:overflowPunct/>
        <w:topLinePunct w:val="0"/>
        <w:bidi w:val="0"/>
        <w:spacing w:line="576" w:lineRule="exact"/>
        <w:rPr>
          <w:rFonts w:hint="eastAsia" w:ascii="Times New Roman" w:hAnsi="Times New Roman" w:eastAsia="黑体"/>
          <w:color w:val="auto"/>
          <w:sz w:val="48"/>
          <w:szCs w:val="48"/>
          <w:highlight w:val="none"/>
        </w:rPr>
      </w:pPr>
    </w:p>
    <w:p>
      <w:pPr>
        <w:pStyle w:val="14"/>
        <w:pageBreakBefore w:val="0"/>
        <w:kinsoku/>
        <w:wordWrap/>
        <w:overflowPunct/>
        <w:topLinePunct w:val="0"/>
        <w:bidi w:val="0"/>
        <w:spacing w:line="576" w:lineRule="exact"/>
        <w:rPr>
          <w:rFonts w:hint="eastAsia" w:ascii="Times New Roman" w:hAnsi="Times New Roman" w:eastAsia="黑体"/>
          <w:color w:val="auto"/>
          <w:sz w:val="48"/>
          <w:szCs w:val="48"/>
          <w:highlight w:val="none"/>
        </w:rPr>
      </w:pPr>
    </w:p>
    <w:p>
      <w:pPr>
        <w:pStyle w:val="14"/>
        <w:pageBreakBefore w:val="0"/>
        <w:kinsoku/>
        <w:wordWrap/>
        <w:overflowPunct/>
        <w:topLinePunct w:val="0"/>
        <w:bidi w:val="0"/>
        <w:spacing w:line="576" w:lineRule="exact"/>
        <w:rPr>
          <w:rFonts w:hint="eastAsia" w:ascii="Times New Roman" w:hAnsi="Times New Roman" w:eastAsia="黑体"/>
          <w:color w:val="auto"/>
          <w:sz w:val="48"/>
          <w:szCs w:val="48"/>
          <w:highlight w:val="none"/>
        </w:rPr>
      </w:pPr>
    </w:p>
    <w:p>
      <w:pPr>
        <w:pStyle w:val="14"/>
        <w:pageBreakBefore w:val="0"/>
        <w:kinsoku/>
        <w:wordWrap/>
        <w:overflowPunct/>
        <w:topLinePunct w:val="0"/>
        <w:bidi w:val="0"/>
        <w:spacing w:line="576" w:lineRule="exact"/>
        <w:rPr>
          <w:rFonts w:hint="eastAsia" w:ascii="Times New Roman" w:hAnsi="Times New Roman" w:eastAsia="黑体"/>
          <w:color w:val="auto"/>
          <w:sz w:val="48"/>
          <w:szCs w:val="48"/>
          <w:highlight w:val="none"/>
        </w:rPr>
      </w:pPr>
    </w:p>
    <w:p>
      <w:pPr>
        <w:pStyle w:val="14"/>
        <w:pageBreakBefore w:val="0"/>
        <w:kinsoku/>
        <w:wordWrap/>
        <w:overflowPunct/>
        <w:topLinePunct w:val="0"/>
        <w:bidi w:val="0"/>
        <w:spacing w:line="576" w:lineRule="exact"/>
        <w:rPr>
          <w:rFonts w:hint="eastAsia" w:ascii="Times New Roman" w:hAnsi="Times New Roman" w:eastAsia="黑体"/>
          <w:color w:val="auto"/>
          <w:sz w:val="48"/>
          <w:szCs w:val="48"/>
          <w:highlight w:val="none"/>
        </w:rPr>
      </w:pPr>
    </w:p>
    <w:p>
      <w:pPr>
        <w:pStyle w:val="14"/>
        <w:pageBreakBefore w:val="0"/>
        <w:kinsoku/>
        <w:wordWrap/>
        <w:overflowPunct/>
        <w:topLinePunct w:val="0"/>
        <w:bidi w:val="0"/>
        <w:spacing w:line="576" w:lineRule="exact"/>
        <w:rPr>
          <w:rFonts w:hint="eastAsia" w:ascii="Times New Roman" w:hAnsi="Times New Roman" w:eastAsia="黑体"/>
          <w:color w:val="auto"/>
          <w:sz w:val="48"/>
          <w:szCs w:val="48"/>
          <w:highlight w:val="none"/>
        </w:rPr>
      </w:pPr>
    </w:p>
    <w:p>
      <w:pPr>
        <w:pStyle w:val="14"/>
        <w:pageBreakBefore w:val="0"/>
        <w:kinsoku/>
        <w:wordWrap/>
        <w:overflowPunct/>
        <w:topLinePunct w:val="0"/>
        <w:bidi w:val="0"/>
        <w:spacing w:line="576" w:lineRule="exact"/>
        <w:rPr>
          <w:rFonts w:hint="eastAsia" w:ascii="Times New Roman" w:hAnsi="Times New Roman" w:eastAsia="黑体"/>
          <w:color w:val="auto"/>
          <w:sz w:val="48"/>
          <w:szCs w:val="48"/>
          <w:highlight w:val="none"/>
        </w:rPr>
      </w:pPr>
    </w:p>
    <w:p>
      <w:pPr>
        <w:pStyle w:val="14"/>
        <w:pageBreakBefore w:val="0"/>
        <w:kinsoku/>
        <w:wordWrap/>
        <w:overflowPunct/>
        <w:topLinePunct w:val="0"/>
        <w:bidi w:val="0"/>
        <w:spacing w:line="576" w:lineRule="exact"/>
        <w:rPr>
          <w:rFonts w:hint="eastAsia" w:ascii="Times New Roman" w:hAnsi="Times New Roman" w:eastAsia="黑体"/>
          <w:color w:val="auto"/>
          <w:sz w:val="48"/>
          <w:szCs w:val="48"/>
          <w:highlight w:val="none"/>
        </w:rPr>
      </w:pPr>
    </w:p>
    <w:p>
      <w:pPr>
        <w:pStyle w:val="14"/>
        <w:pageBreakBefore w:val="0"/>
        <w:kinsoku/>
        <w:wordWrap/>
        <w:overflowPunct/>
        <w:topLinePunct w:val="0"/>
        <w:bidi w:val="0"/>
        <w:spacing w:line="576" w:lineRule="exact"/>
        <w:rPr>
          <w:rFonts w:hint="eastAsia" w:ascii="Times New Roman" w:hAnsi="Times New Roman" w:eastAsia="黑体"/>
          <w:color w:val="auto"/>
          <w:sz w:val="48"/>
          <w:szCs w:val="48"/>
          <w:highlight w:val="none"/>
        </w:rPr>
      </w:pPr>
    </w:p>
    <w:p>
      <w:pPr>
        <w:pStyle w:val="14"/>
        <w:pageBreakBefore w:val="0"/>
        <w:kinsoku/>
        <w:wordWrap/>
        <w:overflowPunct/>
        <w:topLinePunct w:val="0"/>
        <w:bidi w:val="0"/>
        <w:spacing w:line="576" w:lineRule="exact"/>
        <w:rPr>
          <w:rFonts w:hint="eastAsia" w:ascii="Times New Roman" w:hAnsi="Times New Roman" w:eastAsia="黑体"/>
          <w:color w:val="auto"/>
          <w:sz w:val="48"/>
          <w:szCs w:val="48"/>
          <w:highlight w:val="none"/>
        </w:rPr>
      </w:pPr>
    </w:p>
    <w:p>
      <w:pPr>
        <w:pStyle w:val="14"/>
        <w:pageBreakBefore w:val="0"/>
        <w:kinsoku/>
        <w:wordWrap/>
        <w:overflowPunct/>
        <w:topLinePunct w:val="0"/>
        <w:bidi w:val="0"/>
        <w:spacing w:line="576" w:lineRule="exact"/>
        <w:rPr>
          <w:rFonts w:hint="eastAsia" w:ascii="Times New Roman" w:hAnsi="Times New Roman" w:eastAsia="黑体"/>
          <w:color w:val="auto"/>
          <w:sz w:val="48"/>
          <w:szCs w:val="48"/>
          <w:highlight w:val="none"/>
        </w:rPr>
      </w:pPr>
    </w:p>
    <w:p>
      <w:pPr>
        <w:pStyle w:val="14"/>
        <w:pageBreakBefore w:val="0"/>
        <w:kinsoku/>
        <w:wordWrap/>
        <w:overflowPunct/>
        <w:topLinePunct w:val="0"/>
        <w:bidi w:val="0"/>
        <w:spacing w:line="576" w:lineRule="exact"/>
        <w:rPr>
          <w:rFonts w:hint="eastAsia" w:ascii="Times New Roman" w:hAnsi="Times New Roman" w:eastAsia="黑体"/>
          <w:color w:val="auto"/>
          <w:sz w:val="48"/>
          <w:szCs w:val="48"/>
          <w:highlight w:val="none"/>
        </w:rPr>
      </w:pPr>
    </w:p>
    <w:p>
      <w:pPr>
        <w:pStyle w:val="14"/>
        <w:pageBreakBefore w:val="0"/>
        <w:kinsoku/>
        <w:wordWrap/>
        <w:overflowPunct/>
        <w:topLinePunct w:val="0"/>
        <w:bidi w:val="0"/>
        <w:spacing w:line="576" w:lineRule="exact"/>
        <w:ind w:left="0" w:leftChars="0" w:firstLine="0" w:firstLineChars="0"/>
        <w:rPr>
          <w:rFonts w:hint="eastAsia" w:ascii="Times New Roman" w:hAnsi="Times New Roman" w:eastAsia="黑体"/>
          <w:color w:val="auto"/>
          <w:sz w:val="48"/>
          <w:szCs w:val="48"/>
          <w:highlight w:val="none"/>
        </w:rPr>
      </w:pPr>
    </w:p>
    <w:p>
      <w:pPr>
        <w:pageBreakBefore w:val="0"/>
        <w:widowControl/>
        <w:kinsoku/>
        <w:wordWrap/>
        <w:overflowPunct/>
        <w:topLinePunct w:val="0"/>
        <w:bidi w:val="0"/>
        <w:spacing w:line="576" w:lineRule="exact"/>
        <w:jc w:val="center"/>
        <w:rPr>
          <w:rFonts w:ascii="Times New Roman" w:hAnsi="Times New Roman" w:eastAsia="黑体"/>
          <w:color w:val="auto"/>
          <w:sz w:val="48"/>
          <w:szCs w:val="48"/>
          <w:highlight w:val="none"/>
        </w:rPr>
      </w:pPr>
      <w:r>
        <w:rPr>
          <w:rFonts w:hint="eastAsia" w:ascii="Times New Roman" w:hAnsi="Times New Roman" w:eastAsia="黑体"/>
          <w:color w:val="auto"/>
          <w:sz w:val="48"/>
          <w:szCs w:val="48"/>
          <w:highlight w:val="none"/>
        </w:rPr>
        <w:t>目录</w:t>
      </w:r>
    </w:p>
    <w:p>
      <w:pPr>
        <w:pageBreakBefore w:val="0"/>
        <w:widowControl/>
        <w:kinsoku/>
        <w:wordWrap/>
        <w:overflowPunct/>
        <w:topLinePunct w:val="0"/>
        <w:bidi w:val="0"/>
        <w:spacing w:line="576" w:lineRule="exact"/>
        <w:jc w:val="center"/>
        <w:rPr>
          <w:rFonts w:ascii="Times New Roman" w:hAnsi="Times New Roman" w:eastAsia="黑体" w:cstheme="minorBidi"/>
          <w:color w:val="auto"/>
          <w:sz w:val="28"/>
          <w:szCs w:val="28"/>
          <w:highlight w:val="none"/>
        </w:rPr>
      </w:pPr>
    </w:p>
    <w:p>
      <w:pPr>
        <w:pStyle w:val="12"/>
        <w:pageBreakBefore w:val="0"/>
        <w:kinsoku/>
        <w:wordWrap/>
        <w:overflowPunct/>
        <w:topLinePunct w:val="0"/>
        <w:bidi w:val="0"/>
        <w:spacing w:line="576" w:lineRule="exact"/>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公开时间：20</w:t>
      </w:r>
      <w:r>
        <w:rPr>
          <w:rFonts w:hint="eastAsia" w:ascii="Times New Roman" w:hAnsi="Times New Roman" w:eastAsia="仿宋_GB2312" w:cs="仿宋_GB2312"/>
          <w:color w:val="auto"/>
          <w:sz w:val="32"/>
          <w:szCs w:val="32"/>
          <w:highlight w:val="none"/>
          <w:lang w:val="en-US" w:eastAsia="zh-CN"/>
        </w:rPr>
        <w:t>24</w:t>
      </w:r>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val="en-US" w:eastAsia="zh-CN"/>
        </w:rPr>
        <w:t>9</w:t>
      </w:r>
      <w:r>
        <w:rPr>
          <w:rFonts w:hint="eastAsia" w:ascii="Times New Roman" w:hAnsi="Times New Roman" w:eastAsia="仿宋_GB2312" w:cs="仿宋_GB2312"/>
          <w:color w:val="auto"/>
          <w:sz w:val="32"/>
          <w:szCs w:val="32"/>
          <w:highlight w:val="none"/>
        </w:rPr>
        <w:t>月</w:t>
      </w:r>
      <w:r>
        <w:rPr>
          <w:rFonts w:hint="eastAsia" w:ascii="Times New Roman" w:hAnsi="Times New Roman" w:eastAsia="仿宋_GB2312" w:cs="仿宋_GB2312"/>
          <w:color w:val="auto"/>
          <w:sz w:val="32"/>
          <w:szCs w:val="32"/>
          <w:highlight w:val="none"/>
          <w:lang w:val="en-US" w:eastAsia="zh-CN"/>
        </w:rPr>
        <w:t>25</w:t>
      </w:r>
      <w:r>
        <w:rPr>
          <w:rFonts w:hint="eastAsia" w:ascii="Times New Roman" w:hAnsi="Times New Roman" w:eastAsia="仿宋_GB2312" w:cs="仿宋_GB2312"/>
          <w:color w:val="auto"/>
          <w:sz w:val="32"/>
          <w:szCs w:val="32"/>
          <w:highlight w:val="none"/>
        </w:rPr>
        <w:t>日</w:t>
      </w:r>
    </w:p>
    <w:sdt>
      <w:sdtPr>
        <w:rPr>
          <w:rFonts w:ascii="宋体" w:hAnsi="宋体" w:eastAsia="宋体" w:cs="Times New Roman"/>
          <w:kern w:val="2"/>
          <w:sz w:val="21"/>
          <w:szCs w:val="24"/>
          <w:lang w:val="en-US" w:eastAsia="zh-CN" w:bidi="ar-SA"/>
        </w:rPr>
        <w:id w:val="147469542"/>
        <w15:color w:val="DBDBDB"/>
        <w:docPartObj>
          <w:docPartGallery w:val="Table of Contents"/>
          <w:docPartUnique/>
        </w:docPartObj>
      </w:sdtPr>
      <w:sdtEndPr>
        <w:rPr>
          <w:rFonts w:hint="eastAsia" w:ascii="Times New Roman" w:hAnsi="Times New Roman" w:eastAsia="方正小标宋简体" w:cs="方正小标宋简体"/>
          <w:b/>
          <w:bCs/>
          <w:color w:val="auto"/>
          <w:kern w:val="44"/>
          <w:sz w:val="44"/>
          <w:szCs w:val="44"/>
          <w:highlight w:val="none"/>
          <w:lang w:val="en-US" w:eastAsia="zh-CN" w:bidi="ar-SA"/>
        </w:rPr>
      </w:sdtEndPr>
      <w:sdtContent>
        <w:p>
          <w:pPr>
            <w:spacing w:before="0" w:beforeLines="0" w:after="0" w:afterLines="0" w:line="240" w:lineRule="auto"/>
            <w:ind w:left="0" w:leftChars="0" w:right="0" w:rightChars="0" w:firstLine="0" w:firstLineChars="0"/>
            <w:jc w:val="center"/>
          </w:pPr>
          <w:bookmarkStart w:id="6" w:name="_Toc15396599"/>
          <w:bookmarkStart w:id="7" w:name="_Toc15377196"/>
        </w:p>
        <w:p>
          <w:pPr>
            <w:pStyle w:val="12"/>
            <w:tabs>
              <w:tab w:val="right" w:leader="dot" w:pos="8306"/>
              <w:tab w:val="clear" w:pos="8296"/>
            </w:tabs>
          </w:pPr>
          <w:r>
            <w:rPr>
              <w:rFonts w:hint="eastAsia" w:ascii="Times New Roman" w:hAnsi="Times New Roman" w:eastAsia="方正小标宋简体" w:cs="方正小标宋简体"/>
              <w:b w:val="0"/>
              <w:color w:val="auto"/>
              <w:highlight w:val="none"/>
            </w:rPr>
            <w:fldChar w:fldCharType="begin"/>
          </w:r>
          <w:r>
            <w:rPr>
              <w:rFonts w:hint="eastAsia" w:ascii="Times New Roman" w:hAnsi="Times New Roman" w:eastAsia="方正小标宋简体" w:cs="方正小标宋简体"/>
              <w:b w:val="0"/>
              <w:color w:val="auto"/>
              <w:highlight w:val="none"/>
            </w:rPr>
            <w:instrText xml:space="preserve">TOC \o "1-3" \h \u </w:instrText>
          </w:r>
          <w:r>
            <w:rPr>
              <w:rFonts w:hint="eastAsia" w:ascii="Times New Roman" w:hAnsi="Times New Roman" w:eastAsia="方正小标宋简体" w:cs="方正小标宋简体"/>
              <w:b w:val="0"/>
              <w:color w:val="auto"/>
              <w:highlight w:val="none"/>
            </w:rPr>
            <w:fldChar w:fldCharType="separate"/>
          </w:r>
          <w:r>
            <w:rPr>
              <w:rFonts w:hint="eastAsia" w:ascii="Times New Roman" w:hAnsi="Times New Roman" w:eastAsia="方正小标宋简体" w:cs="方正小标宋简体"/>
              <w:color w:val="auto"/>
              <w:highlight w:val="none"/>
            </w:rPr>
            <w:fldChar w:fldCharType="begin"/>
          </w:r>
          <w:r>
            <w:rPr>
              <w:rFonts w:hint="eastAsia" w:ascii="Times New Roman" w:hAnsi="Times New Roman" w:eastAsia="方正小标宋简体" w:cs="方正小标宋简体"/>
              <w:highlight w:val="none"/>
            </w:rPr>
            <w:instrText xml:space="preserve"> HYPERLINK \l _Toc30484 </w:instrText>
          </w:r>
          <w:r>
            <w:rPr>
              <w:rFonts w:hint="eastAsia" w:ascii="Times New Roman" w:hAnsi="Times New Roman" w:eastAsia="方正小标宋简体" w:cs="方正小标宋简体"/>
              <w:highlight w:val="none"/>
            </w:rPr>
            <w:fldChar w:fldCharType="separate"/>
          </w:r>
          <w:r>
            <w:rPr>
              <w:rFonts w:hint="eastAsia" w:ascii="Times New Roman" w:hAnsi="Times New Roman" w:eastAsia="方正小标宋简体" w:cs="方正小标宋简体"/>
              <w:highlight w:val="none"/>
            </w:rPr>
            <w:t>第一部分</w:t>
          </w:r>
          <w:r>
            <w:rPr>
              <w:rFonts w:hint="eastAsia" w:ascii="Times New Roman" w:hAnsi="Times New Roman" w:eastAsia="方正小标宋简体" w:cs="方正小标宋简体"/>
              <w:highlight w:val="none"/>
              <w:lang w:val="en-US" w:eastAsia="zh-CN"/>
            </w:rPr>
            <w:t xml:space="preserve"> </w:t>
          </w:r>
          <w:r>
            <w:rPr>
              <w:rFonts w:hint="eastAsia" w:ascii="Times New Roman" w:hAnsi="Times New Roman" w:eastAsia="方正小标宋简体" w:cs="方正小标宋简体"/>
              <w:highlight w:val="none"/>
            </w:rPr>
            <w:t xml:space="preserve"> </w:t>
          </w:r>
          <w:r>
            <w:rPr>
              <w:rFonts w:hint="eastAsia" w:ascii="Times New Roman" w:hAnsi="Times New Roman" w:eastAsia="方正小标宋简体" w:cs="方正小标宋简体"/>
              <w:bCs w:val="0"/>
              <w:highlight w:val="none"/>
            </w:rPr>
            <w:t>部门概况</w:t>
          </w:r>
          <w:r>
            <w:tab/>
          </w:r>
          <w:r>
            <w:fldChar w:fldCharType="begin"/>
          </w:r>
          <w:r>
            <w:instrText xml:space="preserve"> PAGEREF _Toc30484 \h </w:instrText>
          </w:r>
          <w:r>
            <w:fldChar w:fldCharType="separate"/>
          </w:r>
          <w:r>
            <w:t>4</w:t>
          </w:r>
          <w:r>
            <w:fldChar w:fldCharType="end"/>
          </w:r>
          <w:r>
            <w:rPr>
              <w:rFonts w:hint="eastAsia" w:ascii="Times New Roman" w:hAnsi="Times New Roman" w:eastAsia="方正小标宋简体" w:cs="方正小标宋简体"/>
              <w:color w:val="auto"/>
              <w:highlight w:val="none"/>
            </w:rPr>
            <w:fldChar w:fldCharType="end"/>
          </w:r>
        </w:p>
        <w:p>
          <w:pPr>
            <w:pStyle w:val="15"/>
            <w:tabs>
              <w:tab w:val="right" w:leader="dot" w:pos="8306"/>
              <w:tab w:val="clear" w:pos="8296"/>
            </w:tabs>
          </w:pPr>
          <w:r>
            <w:rPr>
              <w:rFonts w:hint="eastAsia" w:ascii="Times New Roman" w:hAnsi="Times New Roman" w:eastAsia="方正小标宋简体" w:cs="方正小标宋简体"/>
              <w:color w:val="auto"/>
              <w:highlight w:val="none"/>
            </w:rPr>
            <w:fldChar w:fldCharType="begin"/>
          </w:r>
          <w:r>
            <w:rPr>
              <w:rFonts w:hint="eastAsia" w:ascii="Times New Roman" w:hAnsi="Times New Roman" w:eastAsia="方正小标宋简体" w:cs="方正小标宋简体"/>
              <w:highlight w:val="none"/>
            </w:rPr>
            <w:instrText xml:space="preserve"> HYPERLINK \l _Toc32009 </w:instrText>
          </w:r>
          <w:r>
            <w:rPr>
              <w:rFonts w:hint="eastAsia" w:ascii="Times New Roman" w:hAnsi="Times New Roman" w:eastAsia="方正小标宋简体" w:cs="方正小标宋简体"/>
              <w:highlight w:val="none"/>
            </w:rPr>
            <w:fldChar w:fldCharType="separate"/>
          </w:r>
          <w:r>
            <w:rPr>
              <w:rFonts w:hint="eastAsia" w:ascii="黑体" w:hAnsi="黑体" w:eastAsia="黑体" w:cs="黑体"/>
              <w:kern w:val="2"/>
              <w:szCs w:val="32"/>
              <w:lang w:val="en-US" w:eastAsia="zh-CN" w:bidi="ar-SA"/>
            </w:rPr>
            <w:t>一、部门职责</w:t>
          </w:r>
          <w:r>
            <w:tab/>
          </w:r>
          <w:r>
            <w:fldChar w:fldCharType="begin"/>
          </w:r>
          <w:r>
            <w:instrText xml:space="preserve"> PAGEREF _Toc32009 \h </w:instrText>
          </w:r>
          <w:r>
            <w:fldChar w:fldCharType="separate"/>
          </w:r>
          <w:r>
            <w:t>4</w:t>
          </w:r>
          <w:r>
            <w:fldChar w:fldCharType="end"/>
          </w:r>
          <w:r>
            <w:rPr>
              <w:rFonts w:hint="eastAsia" w:ascii="Times New Roman" w:hAnsi="Times New Roman" w:eastAsia="方正小标宋简体" w:cs="方正小标宋简体"/>
              <w:color w:val="auto"/>
              <w:highlight w:val="none"/>
            </w:rPr>
            <w:fldChar w:fldCharType="end"/>
          </w:r>
        </w:p>
        <w:p>
          <w:pPr>
            <w:pStyle w:val="15"/>
            <w:tabs>
              <w:tab w:val="right" w:leader="dot" w:pos="8306"/>
              <w:tab w:val="clear" w:pos="8296"/>
            </w:tabs>
          </w:pPr>
          <w:r>
            <w:rPr>
              <w:rFonts w:hint="eastAsia" w:ascii="Times New Roman" w:hAnsi="Times New Roman" w:eastAsia="方正小标宋简体" w:cs="方正小标宋简体"/>
              <w:color w:val="auto"/>
              <w:highlight w:val="none"/>
            </w:rPr>
            <w:fldChar w:fldCharType="begin"/>
          </w:r>
          <w:r>
            <w:rPr>
              <w:rFonts w:hint="eastAsia" w:ascii="Times New Roman" w:hAnsi="Times New Roman" w:eastAsia="方正小标宋简体" w:cs="方正小标宋简体"/>
              <w:highlight w:val="none"/>
            </w:rPr>
            <w:instrText xml:space="preserve"> HYPERLINK \l _Toc17020 </w:instrText>
          </w:r>
          <w:r>
            <w:rPr>
              <w:rFonts w:hint="eastAsia" w:ascii="Times New Roman" w:hAnsi="Times New Roman" w:eastAsia="方正小标宋简体" w:cs="方正小标宋简体"/>
              <w:highlight w:val="none"/>
            </w:rPr>
            <w:fldChar w:fldCharType="separate"/>
          </w:r>
          <w:r>
            <w:rPr>
              <w:rFonts w:hint="eastAsia" w:ascii="Times New Roman" w:hAnsi="Times New Roman" w:eastAsia="黑体"/>
              <w:szCs w:val="32"/>
              <w:highlight w:val="none"/>
              <w:lang w:eastAsia="zh-CN"/>
            </w:rPr>
            <w:t>二、机构设置</w:t>
          </w:r>
          <w:r>
            <w:tab/>
          </w:r>
          <w:r>
            <w:fldChar w:fldCharType="begin"/>
          </w:r>
          <w:r>
            <w:instrText xml:space="preserve"> PAGEREF _Toc17020 \h </w:instrText>
          </w:r>
          <w:r>
            <w:fldChar w:fldCharType="separate"/>
          </w:r>
          <w:r>
            <w:t>5</w:t>
          </w:r>
          <w:r>
            <w:fldChar w:fldCharType="end"/>
          </w:r>
          <w:r>
            <w:rPr>
              <w:rFonts w:hint="eastAsia" w:ascii="Times New Roman" w:hAnsi="Times New Roman" w:eastAsia="方正小标宋简体" w:cs="方正小标宋简体"/>
              <w:color w:val="auto"/>
              <w:highlight w:val="none"/>
            </w:rPr>
            <w:fldChar w:fldCharType="end"/>
          </w:r>
        </w:p>
        <w:p>
          <w:pPr>
            <w:pStyle w:val="8"/>
            <w:tabs>
              <w:tab w:val="right" w:leader="dot" w:pos="8306"/>
              <w:tab w:val="clear" w:pos="8296"/>
            </w:tabs>
          </w:pPr>
          <w:r>
            <w:rPr>
              <w:rFonts w:hint="eastAsia" w:ascii="Times New Roman" w:hAnsi="Times New Roman" w:eastAsia="方正小标宋简体" w:cs="方正小标宋简体"/>
              <w:color w:val="auto"/>
              <w:highlight w:val="none"/>
            </w:rPr>
            <w:fldChar w:fldCharType="begin"/>
          </w:r>
          <w:r>
            <w:rPr>
              <w:rFonts w:hint="eastAsia" w:ascii="Times New Roman" w:hAnsi="Times New Roman" w:eastAsia="方正小标宋简体" w:cs="方正小标宋简体"/>
              <w:highlight w:val="none"/>
            </w:rPr>
            <w:instrText xml:space="preserve"> HYPERLINK \l _Toc20704 </w:instrText>
          </w:r>
          <w:r>
            <w:rPr>
              <w:rFonts w:hint="eastAsia" w:ascii="Times New Roman" w:hAnsi="Times New Roman" w:eastAsia="方正小标宋简体" w:cs="方正小标宋简体"/>
              <w:highlight w:val="none"/>
            </w:rPr>
            <w:fldChar w:fldCharType="separate"/>
          </w:r>
          <w:r>
            <w:rPr>
              <w:rFonts w:hint="eastAsia" w:ascii="仿宋_GB2312" w:hAnsi="仿宋_GB2312" w:eastAsia="仿宋_GB2312" w:cs="仿宋_GB2312"/>
              <w:kern w:val="2"/>
              <w:szCs w:val="32"/>
              <w:lang w:val="en-US" w:eastAsia="zh-CN" w:bidi="ar-SA"/>
            </w:rPr>
            <w:t>1.茂县叠溪镇人民政府（行政）</w:t>
          </w:r>
          <w:r>
            <w:tab/>
          </w:r>
          <w:r>
            <w:fldChar w:fldCharType="begin"/>
          </w:r>
          <w:r>
            <w:instrText xml:space="preserve"> PAGEREF _Toc20704 \h </w:instrText>
          </w:r>
          <w:r>
            <w:fldChar w:fldCharType="separate"/>
          </w:r>
          <w:r>
            <w:t>5</w:t>
          </w:r>
          <w:r>
            <w:fldChar w:fldCharType="end"/>
          </w:r>
          <w:r>
            <w:rPr>
              <w:rFonts w:hint="eastAsia" w:ascii="Times New Roman" w:hAnsi="Times New Roman" w:eastAsia="方正小标宋简体" w:cs="方正小标宋简体"/>
              <w:color w:val="auto"/>
              <w:highlight w:val="none"/>
            </w:rPr>
            <w:fldChar w:fldCharType="end"/>
          </w:r>
        </w:p>
        <w:p>
          <w:pPr>
            <w:pStyle w:val="8"/>
            <w:tabs>
              <w:tab w:val="right" w:leader="dot" w:pos="8306"/>
              <w:tab w:val="clear" w:pos="8296"/>
            </w:tabs>
          </w:pPr>
          <w:r>
            <w:rPr>
              <w:rFonts w:hint="eastAsia" w:ascii="Times New Roman" w:hAnsi="Times New Roman" w:eastAsia="方正小标宋简体" w:cs="方正小标宋简体"/>
              <w:color w:val="auto"/>
              <w:highlight w:val="none"/>
            </w:rPr>
            <w:fldChar w:fldCharType="begin"/>
          </w:r>
          <w:r>
            <w:rPr>
              <w:rFonts w:hint="eastAsia" w:ascii="Times New Roman" w:hAnsi="Times New Roman" w:eastAsia="方正小标宋简体" w:cs="方正小标宋简体"/>
              <w:highlight w:val="none"/>
            </w:rPr>
            <w:instrText xml:space="preserve"> HYPERLINK \l _Toc7025 </w:instrText>
          </w:r>
          <w:r>
            <w:rPr>
              <w:rFonts w:hint="eastAsia" w:ascii="Times New Roman" w:hAnsi="Times New Roman" w:eastAsia="方正小标宋简体" w:cs="方正小标宋简体"/>
              <w:highlight w:val="none"/>
            </w:rPr>
            <w:fldChar w:fldCharType="separate"/>
          </w:r>
          <w:r>
            <w:rPr>
              <w:rFonts w:hint="eastAsia" w:ascii="仿宋_GB2312" w:hAnsi="仿宋_GB2312" w:eastAsia="仿宋_GB2312" w:cs="仿宋_GB2312"/>
              <w:kern w:val="2"/>
              <w:szCs w:val="32"/>
              <w:lang w:val="en-US" w:eastAsia="zh-CN" w:bidi="ar-SA"/>
            </w:rPr>
            <w:t>2.茂县叠溪镇人民政府（事业）</w:t>
          </w:r>
          <w:r>
            <w:tab/>
          </w:r>
          <w:r>
            <w:fldChar w:fldCharType="begin"/>
          </w:r>
          <w:r>
            <w:instrText xml:space="preserve"> PAGEREF _Toc7025 \h </w:instrText>
          </w:r>
          <w:r>
            <w:fldChar w:fldCharType="separate"/>
          </w:r>
          <w:r>
            <w:t>6</w:t>
          </w:r>
          <w:r>
            <w:fldChar w:fldCharType="end"/>
          </w:r>
          <w:r>
            <w:rPr>
              <w:rFonts w:hint="eastAsia" w:ascii="Times New Roman" w:hAnsi="Times New Roman" w:eastAsia="方正小标宋简体" w:cs="方正小标宋简体"/>
              <w:color w:val="auto"/>
              <w:highlight w:val="none"/>
            </w:rPr>
            <w:fldChar w:fldCharType="end"/>
          </w:r>
        </w:p>
        <w:p>
          <w:pPr>
            <w:pStyle w:val="12"/>
            <w:tabs>
              <w:tab w:val="right" w:leader="dot" w:pos="8306"/>
              <w:tab w:val="clear" w:pos="8296"/>
            </w:tabs>
          </w:pPr>
          <w:r>
            <w:rPr>
              <w:rFonts w:hint="eastAsia" w:ascii="Times New Roman" w:hAnsi="Times New Roman" w:eastAsia="方正小标宋简体" w:cs="方正小标宋简体"/>
              <w:color w:val="auto"/>
              <w:highlight w:val="none"/>
            </w:rPr>
            <w:fldChar w:fldCharType="begin"/>
          </w:r>
          <w:r>
            <w:rPr>
              <w:rFonts w:hint="eastAsia" w:ascii="Times New Roman" w:hAnsi="Times New Roman" w:eastAsia="方正小标宋简体" w:cs="方正小标宋简体"/>
              <w:highlight w:val="none"/>
            </w:rPr>
            <w:instrText xml:space="preserve"> HYPERLINK \l _Toc25782 </w:instrText>
          </w:r>
          <w:r>
            <w:rPr>
              <w:rFonts w:hint="eastAsia" w:ascii="Times New Roman" w:hAnsi="Times New Roman" w:eastAsia="方正小标宋简体" w:cs="方正小标宋简体"/>
              <w:highlight w:val="none"/>
            </w:rPr>
            <w:fldChar w:fldCharType="separate"/>
          </w:r>
          <w:r>
            <w:rPr>
              <w:rFonts w:hint="eastAsia" w:ascii="Times New Roman" w:hAnsi="Times New Roman" w:eastAsia="方正小标宋简体" w:cs="方正小标宋简体"/>
              <w:highlight w:val="none"/>
            </w:rPr>
            <w:t>第二部分</w:t>
          </w:r>
          <w:r>
            <w:rPr>
              <w:rFonts w:hint="eastAsia" w:ascii="Times New Roman" w:hAnsi="Times New Roman" w:eastAsia="方正小标宋简体" w:cs="方正小标宋简体"/>
              <w:highlight w:val="none"/>
              <w:lang w:val="en-US" w:eastAsia="zh-CN"/>
            </w:rPr>
            <w:t xml:space="preserve"> </w:t>
          </w:r>
          <w:r>
            <w:rPr>
              <w:rFonts w:hint="eastAsia" w:ascii="Times New Roman" w:hAnsi="Times New Roman" w:eastAsia="方正小标宋简体" w:cs="方正小标宋简体"/>
              <w:highlight w:val="none"/>
            </w:rPr>
            <w:t xml:space="preserve"> </w:t>
          </w:r>
          <w:r>
            <w:rPr>
              <w:rFonts w:hint="eastAsia" w:ascii="Times New Roman" w:hAnsi="Times New Roman" w:eastAsia="方正小标宋简体" w:cs="方正小标宋简体"/>
              <w:highlight w:val="none"/>
              <w:lang w:val="en-US" w:eastAsia="zh-CN"/>
            </w:rPr>
            <w:t>2024年度</w:t>
          </w:r>
          <w:r>
            <w:rPr>
              <w:rFonts w:hint="eastAsia" w:ascii="Times New Roman" w:hAnsi="Times New Roman" w:eastAsia="方正小标宋简体" w:cs="方正小标宋简体"/>
              <w:highlight w:val="none"/>
            </w:rPr>
            <w:t>部门决算情况说明</w:t>
          </w:r>
          <w:r>
            <w:tab/>
          </w:r>
          <w:r>
            <w:fldChar w:fldCharType="begin"/>
          </w:r>
          <w:r>
            <w:instrText xml:space="preserve"> PAGEREF _Toc25782 \h </w:instrText>
          </w:r>
          <w:r>
            <w:fldChar w:fldCharType="separate"/>
          </w:r>
          <w:r>
            <w:t>7</w:t>
          </w:r>
          <w:r>
            <w:fldChar w:fldCharType="end"/>
          </w:r>
          <w:r>
            <w:rPr>
              <w:rFonts w:hint="eastAsia" w:ascii="Times New Roman" w:hAnsi="Times New Roman" w:eastAsia="方正小标宋简体" w:cs="方正小标宋简体"/>
              <w:color w:val="auto"/>
              <w:highlight w:val="none"/>
            </w:rPr>
            <w:fldChar w:fldCharType="end"/>
          </w:r>
        </w:p>
        <w:p>
          <w:pPr>
            <w:pStyle w:val="15"/>
            <w:tabs>
              <w:tab w:val="right" w:leader="dot" w:pos="8306"/>
              <w:tab w:val="clear" w:pos="8296"/>
            </w:tabs>
          </w:pPr>
          <w:r>
            <w:rPr>
              <w:rFonts w:hint="eastAsia" w:ascii="Times New Roman" w:hAnsi="Times New Roman" w:eastAsia="方正小标宋简体" w:cs="方正小标宋简体"/>
              <w:color w:val="auto"/>
              <w:highlight w:val="none"/>
            </w:rPr>
            <w:fldChar w:fldCharType="begin"/>
          </w:r>
          <w:r>
            <w:rPr>
              <w:rFonts w:hint="eastAsia" w:ascii="Times New Roman" w:hAnsi="Times New Roman" w:eastAsia="方正小标宋简体" w:cs="方正小标宋简体"/>
              <w:highlight w:val="none"/>
            </w:rPr>
            <w:instrText xml:space="preserve"> HYPERLINK \l _Toc12137 </w:instrText>
          </w:r>
          <w:r>
            <w:rPr>
              <w:rFonts w:hint="eastAsia" w:ascii="Times New Roman" w:hAnsi="Times New Roman" w:eastAsia="方正小标宋简体" w:cs="方正小标宋简体"/>
              <w:highlight w:val="none"/>
            </w:rPr>
            <w:fldChar w:fldCharType="separate"/>
          </w:r>
          <w:r>
            <w:rPr>
              <w:rFonts w:hint="eastAsia" w:ascii="Times New Roman" w:hAnsi="Times New Roman" w:eastAsia="黑体"/>
              <w:szCs w:val="32"/>
              <w:highlight w:val="none"/>
              <w:lang w:eastAsia="zh-CN"/>
            </w:rPr>
            <w:t>一、</w:t>
          </w:r>
          <w:r>
            <w:rPr>
              <w:rFonts w:hint="eastAsia" w:ascii="Times New Roman" w:hAnsi="Times New Roman" w:eastAsia="黑体"/>
              <w:szCs w:val="32"/>
              <w:highlight w:val="none"/>
            </w:rPr>
            <w:t>收</w:t>
          </w:r>
          <w:r>
            <w:rPr>
              <w:rFonts w:hint="eastAsia" w:ascii="Times New Roman" w:hAnsi="Times New Roman" w:eastAsia="黑体"/>
              <w:highlight w:val="none"/>
            </w:rPr>
            <w:t>入支出决算总体情况说明</w:t>
          </w:r>
          <w:r>
            <w:tab/>
          </w:r>
          <w:r>
            <w:fldChar w:fldCharType="begin"/>
          </w:r>
          <w:r>
            <w:instrText xml:space="preserve"> PAGEREF _Toc12137 \h </w:instrText>
          </w:r>
          <w:r>
            <w:fldChar w:fldCharType="separate"/>
          </w:r>
          <w:r>
            <w:t>7</w:t>
          </w:r>
          <w:r>
            <w:fldChar w:fldCharType="end"/>
          </w:r>
          <w:r>
            <w:rPr>
              <w:rFonts w:hint="eastAsia" w:ascii="Times New Roman" w:hAnsi="Times New Roman" w:eastAsia="方正小标宋简体" w:cs="方正小标宋简体"/>
              <w:color w:val="auto"/>
              <w:highlight w:val="none"/>
            </w:rPr>
            <w:fldChar w:fldCharType="end"/>
          </w:r>
        </w:p>
        <w:p>
          <w:pPr>
            <w:pStyle w:val="15"/>
            <w:tabs>
              <w:tab w:val="right" w:leader="dot" w:pos="8306"/>
              <w:tab w:val="clear" w:pos="8296"/>
            </w:tabs>
          </w:pPr>
          <w:r>
            <w:rPr>
              <w:rFonts w:hint="eastAsia" w:ascii="Times New Roman" w:hAnsi="Times New Roman" w:eastAsia="方正小标宋简体" w:cs="方正小标宋简体"/>
              <w:color w:val="auto"/>
              <w:highlight w:val="none"/>
            </w:rPr>
            <w:fldChar w:fldCharType="begin"/>
          </w:r>
          <w:r>
            <w:rPr>
              <w:rFonts w:hint="eastAsia" w:ascii="Times New Roman" w:hAnsi="Times New Roman" w:eastAsia="方正小标宋简体" w:cs="方正小标宋简体"/>
              <w:highlight w:val="none"/>
            </w:rPr>
            <w:instrText xml:space="preserve"> HYPERLINK \l _Toc14200 </w:instrText>
          </w:r>
          <w:r>
            <w:rPr>
              <w:rFonts w:hint="eastAsia" w:ascii="Times New Roman" w:hAnsi="Times New Roman" w:eastAsia="方正小标宋简体" w:cs="方正小标宋简体"/>
              <w:highlight w:val="none"/>
            </w:rPr>
            <w:fldChar w:fldCharType="separate"/>
          </w:r>
          <w:r>
            <w:rPr>
              <w:rFonts w:hint="eastAsia" w:ascii="Times New Roman" w:hAnsi="Times New Roman" w:eastAsia="黑体"/>
              <w:szCs w:val="32"/>
              <w:highlight w:val="none"/>
              <w:lang w:eastAsia="zh-CN"/>
            </w:rPr>
            <w:t>二、收入决算情况说明</w:t>
          </w:r>
          <w:r>
            <w:tab/>
          </w:r>
          <w:r>
            <w:fldChar w:fldCharType="begin"/>
          </w:r>
          <w:r>
            <w:instrText xml:space="preserve"> PAGEREF _Toc14200 \h </w:instrText>
          </w:r>
          <w:r>
            <w:fldChar w:fldCharType="separate"/>
          </w:r>
          <w:r>
            <w:t>7</w:t>
          </w:r>
          <w:r>
            <w:fldChar w:fldCharType="end"/>
          </w:r>
          <w:r>
            <w:rPr>
              <w:rFonts w:hint="eastAsia" w:ascii="Times New Roman" w:hAnsi="Times New Roman" w:eastAsia="方正小标宋简体" w:cs="方正小标宋简体"/>
              <w:color w:val="auto"/>
              <w:highlight w:val="none"/>
            </w:rPr>
            <w:fldChar w:fldCharType="end"/>
          </w:r>
        </w:p>
        <w:p>
          <w:pPr>
            <w:pStyle w:val="15"/>
            <w:tabs>
              <w:tab w:val="right" w:leader="dot" w:pos="8306"/>
              <w:tab w:val="clear" w:pos="8296"/>
            </w:tabs>
          </w:pPr>
          <w:r>
            <w:rPr>
              <w:rFonts w:hint="eastAsia" w:ascii="Times New Roman" w:hAnsi="Times New Roman" w:eastAsia="方正小标宋简体" w:cs="方正小标宋简体"/>
              <w:color w:val="auto"/>
              <w:highlight w:val="none"/>
            </w:rPr>
            <w:fldChar w:fldCharType="begin"/>
          </w:r>
          <w:r>
            <w:rPr>
              <w:rFonts w:hint="eastAsia" w:ascii="Times New Roman" w:hAnsi="Times New Roman" w:eastAsia="方正小标宋简体" w:cs="方正小标宋简体"/>
              <w:highlight w:val="none"/>
            </w:rPr>
            <w:instrText xml:space="preserve"> HYPERLINK \l _Toc5063 </w:instrText>
          </w:r>
          <w:r>
            <w:rPr>
              <w:rFonts w:hint="eastAsia" w:ascii="Times New Roman" w:hAnsi="Times New Roman" w:eastAsia="方正小标宋简体" w:cs="方正小标宋简体"/>
              <w:highlight w:val="none"/>
            </w:rPr>
            <w:fldChar w:fldCharType="separate"/>
          </w:r>
          <w:r>
            <w:rPr>
              <w:rFonts w:hint="eastAsia" w:ascii="Times New Roman" w:hAnsi="Times New Roman" w:eastAsia="黑体"/>
              <w:szCs w:val="32"/>
              <w:highlight w:val="none"/>
              <w:lang w:eastAsia="zh-CN"/>
            </w:rPr>
            <w:t>三、</w:t>
          </w:r>
          <w:r>
            <w:rPr>
              <w:rFonts w:hint="eastAsia" w:ascii="Times New Roman" w:hAnsi="Times New Roman" w:eastAsia="黑体"/>
              <w:szCs w:val="32"/>
              <w:highlight w:val="none"/>
            </w:rPr>
            <w:t>支</w:t>
          </w:r>
          <w:r>
            <w:rPr>
              <w:rFonts w:hint="eastAsia" w:ascii="Times New Roman" w:hAnsi="Times New Roman" w:eastAsia="黑体"/>
              <w:highlight w:val="none"/>
            </w:rPr>
            <w:t>出决算情况说明</w:t>
          </w:r>
          <w:r>
            <w:tab/>
          </w:r>
          <w:r>
            <w:fldChar w:fldCharType="begin"/>
          </w:r>
          <w:r>
            <w:instrText xml:space="preserve"> PAGEREF _Toc5063 \h </w:instrText>
          </w:r>
          <w:r>
            <w:fldChar w:fldCharType="separate"/>
          </w:r>
          <w:r>
            <w:t>8</w:t>
          </w:r>
          <w:r>
            <w:fldChar w:fldCharType="end"/>
          </w:r>
          <w:r>
            <w:rPr>
              <w:rFonts w:hint="eastAsia" w:ascii="Times New Roman" w:hAnsi="Times New Roman" w:eastAsia="方正小标宋简体" w:cs="方正小标宋简体"/>
              <w:color w:val="auto"/>
              <w:highlight w:val="none"/>
            </w:rPr>
            <w:fldChar w:fldCharType="end"/>
          </w:r>
        </w:p>
        <w:p>
          <w:pPr>
            <w:pStyle w:val="15"/>
            <w:tabs>
              <w:tab w:val="right" w:leader="dot" w:pos="8306"/>
              <w:tab w:val="clear" w:pos="8296"/>
            </w:tabs>
          </w:pPr>
          <w:r>
            <w:rPr>
              <w:rFonts w:hint="eastAsia" w:ascii="Times New Roman" w:hAnsi="Times New Roman" w:eastAsia="方正小标宋简体" w:cs="方正小标宋简体"/>
              <w:color w:val="auto"/>
              <w:highlight w:val="none"/>
            </w:rPr>
            <w:fldChar w:fldCharType="begin"/>
          </w:r>
          <w:r>
            <w:rPr>
              <w:rFonts w:hint="eastAsia" w:ascii="Times New Roman" w:hAnsi="Times New Roman" w:eastAsia="方正小标宋简体" w:cs="方正小标宋简体"/>
              <w:highlight w:val="none"/>
            </w:rPr>
            <w:instrText xml:space="preserve"> HYPERLINK \l _Toc23187 </w:instrText>
          </w:r>
          <w:r>
            <w:rPr>
              <w:rFonts w:hint="eastAsia" w:ascii="Times New Roman" w:hAnsi="Times New Roman" w:eastAsia="方正小标宋简体" w:cs="方正小标宋简体"/>
              <w:highlight w:val="none"/>
            </w:rPr>
            <w:fldChar w:fldCharType="separate"/>
          </w:r>
          <w:r>
            <w:rPr>
              <w:rFonts w:hint="eastAsia" w:ascii="Times New Roman" w:hAnsi="Times New Roman" w:eastAsia="黑体"/>
              <w:szCs w:val="32"/>
              <w:highlight w:val="none"/>
            </w:rPr>
            <w:t>四、财</w:t>
          </w:r>
          <w:r>
            <w:rPr>
              <w:rFonts w:hint="eastAsia" w:ascii="Times New Roman" w:hAnsi="Times New Roman" w:eastAsia="黑体"/>
              <w:highlight w:val="none"/>
            </w:rPr>
            <w:t>政拨款收入支出决算总体情况说明</w:t>
          </w:r>
          <w:r>
            <w:tab/>
          </w:r>
          <w:r>
            <w:fldChar w:fldCharType="begin"/>
          </w:r>
          <w:r>
            <w:instrText xml:space="preserve"> PAGEREF _Toc23187 \h </w:instrText>
          </w:r>
          <w:r>
            <w:fldChar w:fldCharType="separate"/>
          </w:r>
          <w:r>
            <w:t>8</w:t>
          </w:r>
          <w:r>
            <w:fldChar w:fldCharType="end"/>
          </w:r>
          <w:r>
            <w:rPr>
              <w:rFonts w:hint="eastAsia" w:ascii="Times New Roman" w:hAnsi="Times New Roman" w:eastAsia="方正小标宋简体" w:cs="方正小标宋简体"/>
              <w:color w:val="auto"/>
              <w:highlight w:val="none"/>
            </w:rPr>
            <w:fldChar w:fldCharType="end"/>
          </w:r>
        </w:p>
        <w:p>
          <w:pPr>
            <w:pStyle w:val="15"/>
            <w:tabs>
              <w:tab w:val="right" w:leader="dot" w:pos="8306"/>
              <w:tab w:val="clear" w:pos="8296"/>
            </w:tabs>
          </w:pPr>
          <w:r>
            <w:rPr>
              <w:rFonts w:hint="eastAsia" w:ascii="Times New Roman" w:hAnsi="Times New Roman" w:eastAsia="方正小标宋简体" w:cs="方正小标宋简体"/>
              <w:color w:val="auto"/>
              <w:highlight w:val="none"/>
            </w:rPr>
            <w:fldChar w:fldCharType="begin"/>
          </w:r>
          <w:r>
            <w:rPr>
              <w:rFonts w:hint="eastAsia" w:ascii="Times New Roman" w:hAnsi="Times New Roman" w:eastAsia="方正小标宋简体" w:cs="方正小标宋简体"/>
              <w:highlight w:val="none"/>
            </w:rPr>
            <w:instrText xml:space="preserve"> HYPERLINK \l _Toc1905 </w:instrText>
          </w:r>
          <w:r>
            <w:rPr>
              <w:rFonts w:hint="eastAsia" w:ascii="Times New Roman" w:hAnsi="Times New Roman" w:eastAsia="方正小标宋简体" w:cs="方正小标宋简体"/>
              <w:highlight w:val="none"/>
            </w:rPr>
            <w:fldChar w:fldCharType="separate"/>
          </w:r>
          <w:r>
            <w:rPr>
              <w:rFonts w:hint="eastAsia" w:ascii="Times New Roman" w:hAnsi="Times New Roman" w:eastAsia="黑体"/>
              <w:szCs w:val="32"/>
              <w:highlight w:val="none"/>
            </w:rPr>
            <w:t>五、一</w:t>
          </w:r>
          <w:r>
            <w:rPr>
              <w:rFonts w:hint="eastAsia" w:ascii="Times New Roman" w:hAnsi="Times New Roman" w:eastAsia="黑体"/>
              <w:highlight w:val="none"/>
            </w:rPr>
            <w:t>般公共预算财政拨款支出决算情况说明</w:t>
          </w:r>
          <w:r>
            <w:tab/>
          </w:r>
          <w:r>
            <w:fldChar w:fldCharType="begin"/>
          </w:r>
          <w:r>
            <w:instrText xml:space="preserve"> PAGEREF _Toc1905 \h </w:instrText>
          </w:r>
          <w:r>
            <w:fldChar w:fldCharType="separate"/>
          </w:r>
          <w:r>
            <w:t>9</w:t>
          </w:r>
          <w:r>
            <w:fldChar w:fldCharType="end"/>
          </w:r>
          <w:r>
            <w:rPr>
              <w:rFonts w:hint="eastAsia" w:ascii="Times New Roman" w:hAnsi="Times New Roman" w:eastAsia="方正小标宋简体" w:cs="方正小标宋简体"/>
              <w:color w:val="auto"/>
              <w:highlight w:val="none"/>
            </w:rPr>
            <w:fldChar w:fldCharType="end"/>
          </w:r>
        </w:p>
        <w:p>
          <w:pPr>
            <w:pStyle w:val="8"/>
            <w:tabs>
              <w:tab w:val="right" w:leader="dot" w:pos="8306"/>
              <w:tab w:val="clear" w:pos="8296"/>
            </w:tabs>
          </w:pPr>
          <w:r>
            <w:rPr>
              <w:rFonts w:hint="eastAsia" w:ascii="Times New Roman" w:hAnsi="Times New Roman" w:eastAsia="方正小标宋简体" w:cs="方正小标宋简体"/>
              <w:color w:val="auto"/>
              <w:highlight w:val="none"/>
            </w:rPr>
            <w:fldChar w:fldCharType="begin"/>
          </w:r>
          <w:r>
            <w:rPr>
              <w:rFonts w:hint="eastAsia" w:ascii="Times New Roman" w:hAnsi="Times New Roman" w:eastAsia="方正小标宋简体" w:cs="方正小标宋简体"/>
              <w:highlight w:val="none"/>
            </w:rPr>
            <w:instrText xml:space="preserve"> HYPERLINK \l _Toc32708 </w:instrText>
          </w:r>
          <w:r>
            <w:rPr>
              <w:rFonts w:hint="eastAsia" w:ascii="Times New Roman" w:hAnsi="Times New Roman" w:eastAsia="方正小标宋简体" w:cs="方正小标宋简体"/>
              <w:highlight w:val="none"/>
            </w:rPr>
            <w:fldChar w:fldCharType="separate"/>
          </w:r>
          <w:r>
            <w:rPr>
              <w:rFonts w:hint="eastAsia" w:ascii="Times New Roman" w:hAnsi="Times New Roman" w:eastAsia="楷体_GB2312" w:cs="楷体_GB2312"/>
              <w:szCs w:val="32"/>
              <w:highlight w:val="none"/>
            </w:rPr>
            <w:t>（一）一般公共预算财政拨款支出决算总体情况</w:t>
          </w:r>
          <w:r>
            <w:tab/>
          </w:r>
          <w:r>
            <w:fldChar w:fldCharType="begin"/>
          </w:r>
          <w:r>
            <w:instrText xml:space="preserve"> PAGEREF _Toc32708 \h </w:instrText>
          </w:r>
          <w:r>
            <w:fldChar w:fldCharType="separate"/>
          </w:r>
          <w:r>
            <w:t>9</w:t>
          </w:r>
          <w:r>
            <w:fldChar w:fldCharType="end"/>
          </w:r>
          <w:r>
            <w:rPr>
              <w:rFonts w:hint="eastAsia" w:ascii="Times New Roman" w:hAnsi="Times New Roman" w:eastAsia="方正小标宋简体" w:cs="方正小标宋简体"/>
              <w:color w:val="auto"/>
              <w:highlight w:val="none"/>
            </w:rPr>
            <w:fldChar w:fldCharType="end"/>
          </w:r>
        </w:p>
        <w:p>
          <w:pPr>
            <w:pStyle w:val="8"/>
            <w:tabs>
              <w:tab w:val="right" w:leader="dot" w:pos="8306"/>
              <w:tab w:val="clear" w:pos="8296"/>
            </w:tabs>
          </w:pPr>
          <w:r>
            <w:rPr>
              <w:rFonts w:hint="eastAsia" w:ascii="Times New Roman" w:hAnsi="Times New Roman" w:eastAsia="方正小标宋简体" w:cs="方正小标宋简体"/>
              <w:color w:val="auto"/>
              <w:highlight w:val="none"/>
            </w:rPr>
            <w:fldChar w:fldCharType="begin"/>
          </w:r>
          <w:r>
            <w:rPr>
              <w:rFonts w:hint="eastAsia" w:ascii="Times New Roman" w:hAnsi="Times New Roman" w:eastAsia="方正小标宋简体" w:cs="方正小标宋简体"/>
              <w:highlight w:val="none"/>
            </w:rPr>
            <w:instrText xml:space="preserve"> HYPERLINK \l _Toc20979 </w:instrText>
          </w:r>
          <w:r>
            <w:rPr>
              <w:rFonts w:hint="eastAsia" w:ascii="Times New Roman" w:hAnsi="Times New Roman" w:eastAsia="方正小标宋简体" w:cs="方正小标宋简体"/>
              <w:highlight w:val="none"/>
            </w:rPr>
            <w:fldChar w:fldCharType="separate"/>
          </w:r>
          <w:r>
            <w:rPr>
              <w:rFonts w:hint="eastAsia" w:ascii="Times New Roman" w:hAnsi="Times New Roman" w:eastAsia="楷体_GB2312" w:cs="楷体_GB2312"/>
              <w:szCs w:val="32"/>
              <w:highlight w:val="none"/>
            </w:rPr>
            <w:t>（二）一般公共预算财政拨款支出决算结构情况</w:t>
          </w:r>
          <w:r>
            <w:tab/>
          </w:r>
          <w:r>
            <w:fldChar w:fldCharType="begin"/>
          </w:r>
          <w:r>
            <w:instrText xml:space="preserve"> PAGEREF _Toc20979 \h </w:instrText>
          </w:r>
          <w:r>
            <w:fldChar w:fldCharType="separate"/>
          </w:r>
          <w:r>
            <w:t>10</w:t>
          </w:r>
          <w:r>
            <w:fldChar w:fldCharType="end"/>
          </w:r>
          <w:r>
            <w:rPr>
              <w:rFonts w:hint="eastAsia" w:ascii="Times New Roman" w:hAnsi="Times New Roman" w:eastAsia="方正小标宋简体" w:cs="方正小标宋简体"/>
              <w:color w:val="auto"/>
              <w:highlight w:val="none"/>
            </w:rPr>
            <w:fldChar w:fldCharType="end"/>
          </w:r>
        </w:p>
        <w:p>
          <w:pPr>
            <w:pStyle w:val="8"/>
            <w:tabs>
              <w:tab w:val="right" w:leader="dot" w:pos="8306"/>
              <w:tab w:val="clear" w:pos="8296"/>
            </w:tabs>
          </w:pPr>
          <w:r>
            <w:rPr>
              <w:rFonts w:hint="eastAsia" w:ascii="Times New Roman" w:hAnsi="Times New Roman" w:eastAsia="方正小标宋简体" w:cs="方正小标宋简体"/>
              <w:color w:val="auto"/>
              <w:highlight w:val="none"/>
            </w:rPr>
            <w:fldChar w:fldCharType="begin"/>
          </w:r>
          <w:r>
            <w:rPr>
              <w:rFonts w:hint="eastAsia" w:ascii="Times New Roman" w:hAnsi="Times New Roman" w:eastAsia="方正小标宋简体" w:cs="方正小标宋简体"/>
              <w:highlight w:val="none"/>
            </w:rPr>
            <w:instrText xml:space="preserve"> HYPERLINK \l _Toc16926 </w:instrText>
          </w:r>
          <w:r>
            <w:rPr>
              <w:rFonts w:hint="eastAsia" w:ascii="Times New Roman" w:hAnsi="Times New Roman" w:eastAsia="方正小标宋简体" w:cs="方正小标宋简体"/>
              <w:highlight w:val="none"/>
            </w:rPr>
            <w:fldChar w:fldCharType="separate"/>
          </w:r>
          <w:r>
            <w:rPr>
              <w:rFonts w:hint="eastAsia" w:ascii="Times New Roman" w:hAnsi="Times New Roman" w:eastAsia="楷体_GB2312" w:cs="楷体_GB2312"/>
              <w:szCs w:val="32"/>
              <w:highlight w:val="none"/>
            </w:rPr>
            <w:t>（三）一般公共预算财政拨款支出决算具体情况</w:t>
          </w:r>
          <w:r>
            <w:tab/>
          </w:r>
          <w:r>
            <w:fldChar w:fldCharType="begin"/>
          </w:r>
          <w:r>
            <w:instrText xml:space="preserve"> PAGEREF _Toc16926 \h </w:instrText>
          </w:r>
          <w:r>
            <w:fldChar w:fldCharType="separate"/>
          </w:r>
          <w:r>
            <w:t>11</w:t>
          </w:r>
          <w:r>
            <w:fldChar w:fldCharType="end"/>
          </w:r>
          <w:r>
            <w:rPr>
              <w:rFonts w:hint="eastAsia" w:ascii="Times New Roman" w:hAnsi="Times New Roman" w:eastAsia="方正小标宋简体" w:cs="方正小标宋简体"/>
              <w:color w:val="auto"/>
              <w:highlight w:val="none"/>
            </w:rPr>
            <w:fldChar w:fldCharType="end"/>
          </w:r>
        </w:p>
        <w:p>
          <w:pPr>
            <w:pStyle w:val="15"/>
            <w:tabs>
              <w:tab w:val="right" w:leader="dot" w:pos="8306"/>
              <w:tab w:val="clear" w:pos="8296"/>
            </w:tabs>
          </w:pPr>
          <w:r>
            <w:rPr>
              <w:rFonts w:hint="eastAsia" w:ascii="Times New Roman" w:hAnsi="Times New Roman" w:eastAsia="方正小标宋简体" w:cs="方正小标宋简体"/>
              <w:color w:val="auto"/>
              <w:highlight w:val="none"/>
            </w:rPr>
            <w:fldChar w:fldCharType="begin"/>
          </w:r>
          <w:r>
            <w:rPr>
              <w:rFonts w:hint="eastAsia" w:ascii="Times New Roman" w:hAnsi="Times New Roman" w:eastAsia="方正小标宋简体" w:cs="方正小标宋简体"/>
              <w:highlight w:val="none"/>
            </w:rPr>
            <w:instrText xml:space="preserve"> HYPERLINK \l _Toc13543 </w:instrText>
          </w:r>
          <w:r>
            <w:rPr>
              <w:rFonts w:hint="eastAsia" w:ascii="Times New Roman" w:hAnsi="Times New Roman" w:eastAsia="方正小标宋简体" w:cs="方正小标宋简体"/>
              <w:highlight w:val="none"/>
            </w:rPr>
            <w:fldChar w:fldCharType="separate"/>
          </w:r>
          <w:r>
            <w:rPr>
              <w:rFonts w:hint="eastAsia" w:ascii="Times New Roman" w:hAnsi="Times New Roman" w:eastAsia="黑体"/>
              <w:szCs w:val="32"/>
              <w:highlight w:val="none"/>
            </w:rPr>
            <w:t>六、一</w:t>
          </w:r>
          <w:r>
            <w:rPr>
              <w:rFonts w:hint="eastAsia" w:ascii="Times New Roman" w:hAnsi="Times New Roman" w:eastAsia="黑体"/>
              <w:highlight w:val="none"/>
            </w:rPr>
            <w:t>般公共预算财政拨款基本支出决算情况说明</w:t>
          </w:r>
          <w:r>
            <w:tab/>
          </w:r>
          <w:r>
            <w:fldChar w:fldCharType="begin"/>
          </w:r>
          <w:r>
            <w:instrText xml:space="preserve"> PAGEREF _Toc13543 \h </w:instrText>
          </w:r>
          <w:r>
            <w:fldChar w:fldCharType="separate"/>
          </w:r>
          <w:r>
            <w:t>13</w:t>
          </w:r>
          <w:r>
            <w:fldChar w:fldCharType="end"/>
          </w:r>
          <w:r>
            <w:rPr>
              <w:rFonts w:hint="eastAsia" w:ascii="Times New Roman" w:hAnsi="Times New Roman" w:eastAsia="方正小标宋简体" w:cs="方正小标宋简体"/>
              <w:color w:val="auto"/>
              <w:highlight w:val="none"/>
            </w:rPr>
            <w:fldChar w:fldCharType="end"/>
          </w:r>
        </w:p>
        <w:p>
          <w:pPr>
            <w:pStyle w:val="15"/>
            <w:tabs>
              <w:tab w:val="right" w:leader="dot" w:pos="8306"/>
              <w:tab w:val="clear" w:pos="8296"/>
            </w:tabs>
          </w:pPr>
          <w:r>
            <w:rPr>
              <w:rFonts w:hint="eastAsia" w:ascii="Times New Roman" w:hAnsi="Times New Roman" w:eastAsia="方正小标宋简体" w:cs="方正小标宋简体"/>
              <w:color w:val="auto"/>
              <w:highlight w:val="none"/>
            </w:rPr>
            <w:fldChar w:fldCharType="begin"/>
          </w:r>
          <w:r>
            <w:rPr>
              <w:rFonts w:hint="eastAsia" w:ascii="Times New Roman" w:hAnsi="Times New Roman" w:eastAsia="方正小标宋简体" w:cs="方正小标宋简体"/>
              <w:highlight w:val="none"/>
            </w:rPr>
            <w:instrText xml:space="preserve"> HYPERLINK \l _Toc27739 </w:instrText>
          </w:r>
          <w:r>
            <w:rPr>
              <w:rFonts w:hint="eastAsia" w:ascii="Times New Roman" w:hAnsi="Times New Roman" w:eastAsia="方正小标宋简体" w:cs="方正小标宋简体"/>
              <w:highlight w:val="none"/>
            </w:rPr>
            <w:fldChar w:fldCharType="separate"/>
          </w:r>
          <w:r>
            <w:rPr>
              <w:rFonts w:hint="eastAsia" w:ascii="Times New Roman" w:hAnsi="Times New Roman" w:eastAsia="黑体"/>
              <w:szCs w:val="32"/>
              <w:highlight w:val="none"/>
            </w:rPr>
            <w:t>七、</w:t>
          </w:r>
          <w:r>
            <w:rPr>
              <w:rFonts w:hint="eastAsia" w:ascii="Times New Roman" w:hAnsi="Times New Roman" w:eastAsia="黑体"/>
              <w:highlight w:val="none"/>
            </w:rPr>
            <w:t>财政拨款“三公”经费支出决算情况说明</w:t>
          </w:r>
          <w:r>
            <w:tab/>
          </w:r>
          <w:r>
            <w:fldChar w:fldCharType="begin"/>
          </w:r>
          <w:r>
            <w:instrText xml:space="preserve"> PAGEREF _Toc27739 \h </w:instrText>
          </w:r>
          <w:r>
            <w:fldChar w:fldCharType="separate"/>
          </w:r>
          <w:r>
            <w:t>13</w:t>
          </w:r>
          <w:r>
            <w:fldChar w:fldCharType="end"/>
          </w:r>
          <w:r>
            <w:rPr>
              <w:rFonts w:hint="eastAsia" w:ascii="Times New Roman" w:hAnsi="Times New Roman" w:eastAsia="方正小标宋简体" w:cs="方正小标宋简体"/>
              <w:color w:val="auto"/>
              <w:highlight w:val="none"/>
            </w:rPr>
            <w:fldChar w:fldCharType="end"/>
          </w:r>
        </w:p>
        <w:p>
          <w:pPr>
            <w:pStyle w:val="8"/>
            <w:tabs>
              <w:tab w:val="right" w:leader="dot" w:pos="8306"/>
              <w:tab w:val="clear" w:pos="8296"/>
            </w:tabs>
          </w:pPr>
          <w:r>
            <w:rPr>
              <w:rFonts w:hint="eastAsia" w:ascii="Times New Roman" w:hAnsi="Times New Roman" w:eastAsia="方正小标宋简体" w:cs="方正小标宋简体"/>
              <w:color w:val="auto"/>
              <w:highlight w:val="none"/>
            </w:rPr>
            <w:fldChar w:fldCharType="begin"/>
          </w:r>
          <w:r>
            <w:rPr>
              <w:rFonts w:hint="eastAsia" w:ascii="Times New Roman" w:hAnsi="Times New Roman" w:eastAsia="方正小标宋简体" w:cs="方正小标宋简体"/>
              <w:highlight w:val="none"/>
            </w:rPr>
            <w:instrText xml:space="preserve"> HYPERLINK \l _Toc18816 </w:instrText>
          </w:r>
          <w:r>
            <w:rPr>
              <w:rFonts w:hint="eastAsia" w:ascii="Times New Roman" w:hAnsi="Times New Roman" w:eastAsia="方正小标宋简体" w:cs="方正小标宋简体"/>
              <w:highlight w:val="none"/>
            </w:rPr>
            <w:fldChar w:fldCharType="separate"/>
          </w:r>
          <w:r>
            <w:rPr>
              <w:rFonts w:hint="eastAsia" w:ascii="Times New Roman" w:hAnsi="Times New Roman" w:eastAsia="楷体_GB2312" w:cs="楷体_GB2312"/>
              <w:szCs w:val="32"/>
              <w:highlight w:val="none"/>
            </w:rPr>
            <w:t>（一）“三公”经费财政拨款支出决算总体情况说明</w:t>
          </w:r>
          <w:r>
            <w:tab/>
          </w:r>
          <w:r>
            <w:fldChar w:fldCharType="begin"/>
          </w:r>
          <w:r>
            <w:instrText xml:space="preserve"> PAGEREF _Toc18816 \h </w:instrText>
          </w:r>
          <w:r>
            <w:fldChar w:fldCharType="separate"/>
          </w:r>
          <w:r>
            <w:t>13</w:t>
          </w:r>
          <w:r>
            <w:fldChar w:fldCharType="end"/>
          </w:r>
          <w:r>
            <w:rPr>
              <w:rFonts w:hint="eastAsia" w:ascii="Times New Roman" w:hAnsi="Times New Roman" w:eastAsia="方正小标宋简体" w:cs="方正小标宋简体"/>
              <w:color w:val="auto"/>
              <w:highlight w:val="none"/>
            </w:rPr>
            <w:fldChar w:fldCharType="end"/>
          </w:r>
        </w:p>
        <w:p>
          <w:pPr>
            <w:pStyle w:val="8"/>
            <w:tabs>
              <w:tab w:val="right" w:leader="dot" w:pos="8306"/>
              <w:tab w:val="clear" w:pos="8296"/>
            </w:tabs>
          </w:pPr>
          <w:r>
            <w:rPr>
              <w:rFonts w:hint="eastAsia" w:ascii="Times New Roman" w:hAnsi="Times New Roman" w:eastAsia="方正小标宋简体" w:cs="方正小标宋简体"/>
              <w:color w:val="auto"/>
              <w:highlight w:val="none"/>
            </w:rPr>
            <w:fldChar w:fldCharType="begin"/>
          </w:r>
          <w:r>
            <w:rPr>
              <w:rFonts w:hint="eastAsia" w:ascii="Times New Roman" w:hAnsi="Times New Roman" w:eastAsia="方正小标宋简体" w:cs="方正小标宋简体"/>
              <w:highlight w:val="none"/>
            </w:rPr>
            <w:instrText xml:space="preserve"> HYPERLINK \l _Toc20163 </w:instrText>
          </w:r>
          <w:r>
            <w:rPr>
              <w:rFonts w:hint="eastAsia" w:ascii="Times New Roman" w:hAnsi="Times New Roman" w:eastAsia="方正小标宋简体" w:cs="方正小标宋简体"/>
              <w:highlight w:val="none"/>
            </w:rPr>
            <w:fldChar w:fldCharType="separate"/>
          </w:r>
          <w:r>
            <w:rPr>
              <w:rFonts w:hint="eastAsia" w:ascii="Times New Roman" w:hAnsi="Times New Roman" w:eastAsia="楷体_GB2312" w:cs="楷体_GB2312"/>
              <w:szCs w:val="32"/>
              <w:highlight w:val="none"/>
            </w:rPr>
            <w:t>（二）“三公”经费财政拨款支出决算具体情况说明</w:t>
          </w:r>
          <w:r>
            <w:tab/>
          </w:r>
          <w:r>
            <w:fldChar w:fldCharType="begin"/>
          </w:r>
          <w:r>
            <w:instrText xml:space="preserve"> PAGEREF _Toc20163 \h </w:instrText>
          </w:r>
          <w:r>
            <w:fldChar w:fldCharType="separate"/>
          </w:r>
          <w:r>
            <w:t>14</w:t>
          </w:r>
          <w:r>
            <w:fldChar w:fldCharType="end"/>
          </w:r>
          <w:r>
            <w:rPr>
              <w:rFonts w:hint="eastAsia" w:ascii="Times New Roman" w:hAnsi="Times New Roman" w:eastAsia="方正小标宋简体" w:cs="方正小标宋简体"/>
              <w:color w:val="auto"/>
              <w:highlight w:val="none"/>
            </w:rPr>
            <w:fldChar w:fldCharType="end"/>
          </w:r>
        </w:p>
        <w:p>
          <w:pPr>
            <w:pStyle w:val="15"/>
            <w:tabs>
              <w:tab w:val="right" w:leader="dot" w:pos="8306"/>
              <w:tab w:val="clear" w:pos="8296"/>
            </w:tabs>
          </w:pPr>
          <w:r>
            <w:rPr>
              <w:rFonts w:hint="eastAsia" w:ascii="Times New Roman" w:hAnsi="Times New Roman" w:eastAsia="方正小标宋简体" w:cs="方正小标宋简体"/>
              <w:color w:val="auto"/>
              <w:highlight w:val="none"/>
            </w:rPr>
            <w:fldChar w:fldCharType="begin"/>
          </w:r>
          <w:r>
            <w:rPr>
              <w:rFonts w:hint="eastAsia" w:ascii="Times New Roman" w:hAnsi="Times New Roman" w:eastAsia="方正小标宋简体" w:cs="方正小标宋简体"/>
              <w:highlight w:val="none"/>
            </w:rPr>
            <w:instrText xml:space="preserve"> HYPERLINK \l _Toc13146 </w:instrText>
          </w:r>
          <w:r>
            <w:rPr>
              <w:rFonts w:hint="eastAsia" w:ascii="Times New Roman" w:hAnsi="Times New Roman" w:eastAsia="方正小标宋简体" w:cs="方正小标宋简体"/>
              <w:highlight w:val="none"/>
            </w:rPr>
            <w:fldChar w:fldCharType="separate"/>
          </w:r>
          <w:r>
            <w:rPr>
              <w:rFonts w:hint="eastAsia" w:ascii="Times New Roman" w:hAnsi="Times New Roman" w:eastAsia="黑体"/>
              <w:szCs w:val="32"/>
              <w:highlight w:val="none"/>
            </w:rPr>
            <w:t>八、</w:t>
          </w:r>
          <w:r>
            <w:rPr>
              <w:rFonts w:hint="eastAsia" w:ascii="Times New Roman" w:hAnsi="Times New Roman" w:eastAsia="黑体"/>
              <w:highlight w:val="none"/>
            </w:rPr>
            <w:t>政府性基金预算支出决算情况说明</w:t>
          </w:r>
          <w:r>
            <w:tab/>
          </w:r>
          <w:r>
            <w:fldChar w:fldCharType="begin"/>
          </w:r>
          <w:r>
            <w:instrText xml:space="preserve"> PAGEREF _Toc13146 \h </w:instrText>
          </w:r>
          <w:r>
            <w:fldChar w:fldCharType="separate"/>
          </w:r>
          <w:r>
            <w:t>15</w:t>
          </w:r>
          <w:r>
            <w:fldChar w:fldCharType="end"/>
          </w:r>
          <w:r>
            <w:rPr>
              <w:rFonts w:hint="eastAsia" w:ascii="Times New Roman" w:hAnsi="Times New Roman" w:eastAsia="方正小标宋简体" w:cs="方正小标宋简体"/>
              <w:color w:val="auto"/>
              <w:highlight w:val="none"/>
            </w:rPr>
            <w:fldChar w:fldCharType="end"/>
          </w:r>
        </w:p>
        <w:p>
          <w:pPr>
            <w:pStyle w:val="15"/>
            <w:tabs>
              <w:tab w:val="right" w:leader="dot" w:pos="8306"/>
              <w:tab w:val="clear" w:pos="8296"/>
            </w:tabs>
          </w:pPr>
          <w:r>
            <w:rPr>
              <w:rFonts w:hint="eastAsia" w:ascii="Times New Roman" w:hAnsi="Times New Roman" w:eastAsia="方正小标宋简体" w:cs="方正小标宋简体"/>
              <w:color w:val="auto"/>
              <w:highlight w:val="none"/>
            </w:rPr>
            <w:fldChar w:fldCharType="begin"/>
          </w:r>
          <w:r>
            <w:rPr>
              <w:rFonts w:hint="eastAsia" w:ascii="Times New Roman" w:hAnsi="Times New Roman" w:eastAsia="方正小标宋简体" w:cs="方正小标宋简体"/>
              <w:highlight w:val="none"/>
            </w:rPr>
            <w:instrText xml:space="preserve"> HYPERLINK \l _Toc2338 </w:instrText>
          </w:r>
          <w:r>
            <w:rPr>
              <w:rFonts w:hint="eastAsia" w:ascii="Times New Roman" w:hAnsi="Times New Roman" w:eastAsia="方正小标宋简体" w:cs="方正小标宋简体"/>
              <w:highlight w:val="none"/>
            </w:rPr>
            <w:fldChar w:fldCharType="separate"/>
          </w:r>
          <w:r>
            <w:rPr>
              <w:rFonts w:hint="eastAsia" w:ascii="Times New Roman" w:hAnsi="Times New Roman" w:eastAsia="黑体"/>
              <w:highlight w:val="none"/>
              <w:lang w:eastAsia="zh-CN"/>
            </w:rPr>
            <w:t>九、</w:t>
          </w:r>
          <w:r>
            <w:rPr>
              <w:rFonts w:hint="eastAsia" w:ascii="Times New Roman" w:hAnsi="Times New Roman" w:eastAsia="黑体"/>
              <w:highlight w:val="none"/>
            </w:rPr>
            <w:t>国有资本经营预算支出决算情况说明</w:t>
          </w:r>
          <w:r>
            <w:tab/>
          </w:r>
          <w:r>
            <w:fldChar w:fldCharType="begin"/>
          </w:r>
          <w:r>
            <w:instrText xml:space="preserve"> PAGEREF _Toc2338 \h </w:instrText>
          </w:r>
          <w:r>
            <w:fldChar w:fldCharType="separate"/>
          </w:r>
          <w:r>
            <w:t>15</w:t>
          </w:r>
          <w:r>
            <w:fldChar w:fldCharType="end"/>
          </w:r>
          <w:r>
            <w:rPr>
              <w:rFonts w:hint="eastAsia" w:ascii="Times New Roman" w:hAnsi="Times New Roman" w:eastAsia="方正小标宋简体" w:cs="方正小标宋简体"/>
              <w:color w:val="auto"/>
              <w:highlight w:val="none"/>
            </w:rPr>
            <w:fldChar w:fldCharType="end"/>
          </w:r>
        </w:p>
        <w:p>
          <w:pPr>
            <w:pStyle w:val="15"/>
            <w:tabs>
              <w:tab w:val="right" w:leader="dot" w:pos="8306"/>
              <w:tab w:val="clear" w:pos="8296"/>
            </w:tabs>
          </w:pPr>
          <w:r>
            <w:rPr>
              <w:rFonts w:hint="eastAsia" w:ascii="Times New Roman" w:hAnsi="Times New Roman" w:eastAsia="方正小标宋简体" w:cs="方正小标宋简体"/>
              <w:color w:val="auto"/>
              <w:highlight w:val="none"/>
            </w:rPr>
            <w:fldChar w:fldCharType="begin"/>
          </w:r>
          <w:r>
            <w:rPr>
              <w:rFonts w:hint="eastAsia" w:ascii="Times New Roman" w:hAnsi="Times New Roman" w:eastAsia="方正小标宋简体" w:cs="方正小标宋简体"/>
              <w:highlight w:val="none"/>
            </w:rPr>
            <w:instrText xml:space="preserve"> HYPERLINK \l _Toc6927 </w:instrText>
          </w:r>
          <w:r>
            <w:rPr>
              <w:rFonts w:hint="eastAsia" w:ascii="Times New Roman" w:hAnsi="Times New Roman" w:eastAsia="方正小标宋简体" w:cs="方正小标宋简体"/>
              <w:highlight w:val="none"/>
            </w:rPr>
            <w:fldChar w:fldCharType="separate"/>
          </w:r>
          <w:r>
            <w:rPr>
              <w:rFonts w:hint="eastAsia" w:ascii="Times New Roman" w:hAnsi="Times New Roman" w:eastAsia="黑体"/>
              <w:highlight w:val="none"/>
              <w:lang w:eastAsia="zh-CN"/>
            </w:rPr>
            <w:t>十、</w:t>
          </w:r>
          <w:r>
            <w:rPr>
              <w:rFonts w:hint="eastAsia" w:ascii="Times New Roman" w:hAnsi="Times New Roman" w:eastAsia="黑体"/>
              <w:highlight w:val="none"/>
            </w:rPr>
            <w:t>其他重要事项的情况说明</w:t>
          </w:r>
          <w:r>
            <w:tab/>
          </w:r>
          <w:r>
            <w:fldChar w:fldCharType="begin"/>
          </w:r>
          <w:r>
            <w:instrText xml:space="preserve"> PAGEREF _Toc6927 \h </w:instrText>
          </w:r>
          <w:r>
            <w:fldChar w:fldCharType="separate"/>
          </w:r>
          <w:r>
            <w:t>15</w:t>
          </w:r>
          <w:r>
            <w:fldChar w:fldCharType="end"/>
          </w:r>
          <w:r>
            <w:rPr>
              <w:rFonts w:hint="eastAsia" w:ascii="Times New Roman" w:hAnsi="Times New Roman" w:eastAsia="方正小标宋简体" w:cs="方正小标宋简体"/>
              <w:color w:val="auto"/>
              <w:highlight w:val="none"/>
            </w:rPr>
            <w:fldChar w:fldCharType="end"/>
          </w:r>
        </w:p>
        <w:p>
          <w:pPr>
            <w:pStyle w:val="8"/>
            <w:tabs>
              <w:tab w:val="right" w:leader="dot" w:pos="8306"/>
              <w:tab w:val="clear" w:pos="8296"/>
            </w:tabs>
          </w:pPr>
          <w:r>
            <w:rPr>
              <w:rFonts w:hint="eastAsia" w:ascii="Times New Roman" w:hAnsi="Times New Roman" w:eastAsia="方正小标宋简体" w:cs="方正小标宋简体"/>
              <w:color w:val="auto"/>
              <w:highlight w:val="none"/>
            </w:rPr>
            <w:fldChar w:fldCharType="begin"/>
          </w:r>
          <w:r>
            <w:rPr>
              <w:rFonts w:hint="eastAsia" w:ascii="Times New Roman" w:hAnsi="Times New Roman" w:eastAsia="方正小标宋简体" w:cs="方正小标宋简体"/>
              <w:highlight w:val="none"/>
            </w:rPr>
            <w:instrText xml:space="preserve"> HYPERLINK \l _Toc4524 </w:instrText>
          </w:r>
          <w:r>
            <w:rPr>
              <w:rFonts w:hint="eastAsia" w:ascii="Times New Roman" w:hAnsi="Times New Roman" w:eastAsia="方正小标宋简体" w:cs="方正小标宋简体"/>
              <w:highlight w:val="none"/>
            </w:rPr>
            <w:fldChar w:fldCharType="separate"/>
          </w:r>
          <w:r>
            <w:rPr>
              <w:rFonts w:hint="eastAsia" w:ascii="Times New Roman" w:hAnsi="Times New Roman" w:eastAsia="楷体_GB2312" w:cs="楷体_GB2312"/>
              <w:szCs w:val="32"/>
              <w:highlight w:val="none"/>
            </w:rPr>
            <w:t>（一）机关运行经费支出情况</w:t>
          </w:r>
          <w:r>
            <w:tab/>
          </w:r>
          <w:r>
            <w:fldChar w:fldCharType="begin"/>
          </w:r>
          <w:r>
            <w:instrText xml:space="preserve"> PAGEREF _Toc4524 \h </w:instrText>
          </w:r>
          <w:r>
            <w:fldChar w:fldCharType="separate"/>
          </w:r>
          <w:r>
            <w:t>15</w:t>
          </w:r>
          <w:r>
            <w:fldChar w:fldCharType="end"/>
          </w:r>
          <w:r>
            <w:rPr>
              <w:rFonts w:hint="eastAsia" w:ascii="Times New Roman" w:hAnsi="Times New Roman" w:eastAsia="方正小标宋简体" w:cs="方正小标宋简体"/>
              <w:color w:val="auto"/>
              <w:highlight w:val="none"/>
            </w:rPr>
            <w:fldChar w:fldCharType="end"/>
          </w:r>
        </w:p>
        <w:p>
          <w:pPr>
            <w:pStyle w:val="8"/>
            <w:tabs>
              <w:tab w:val="right" w:leader="dot" w:pos="8306"/>
              <w:tab w:val="clear" w:pos="8296"/>
            </w:tabs>
          </w:pPr>
          <w:r>
            <w:rPr>
              <w:rFonts w:hint="eastAsia" w:ascii="Times New Roman" w:hAnsi="Times New Roman" w:eastAsia="方正小标宋简体" w:cs="方正小标宋简体"/>
              <w:color w:val="auto"/>
              <w:highlight w:val="none"/>
            </w:rPr>
            <w:fldChar w:fldCharType="begin"/>
          </w:r>
          <w:r>
            <w:rPr>
              <w:rFonts w:hint="eastAsia" w:ascii="Times New Roman" w:hAnsi="Times New Roman" w:eastAsia="方正小标宋简体" w:cs="方正小标宋简体"/>
              <w:highlight w:val="none"/>
            </w:rPr>
            <w:instrText xml:space="preserve"> HYPERLINK \l _Toc13847 </w:instrText>
          </w:r>
          <w:r>
            <w:rPr>
              <w:rFonts w:hint="eastAsia" w:ascii="Times New Roman" w:hAnsi="Times New Roman" w:eastAsia="方正小标宋简体" w:cs="方正小标宋简体"/>
              <w:highlight w:val="none"/>
            </w:rPr>
            <w:fldChar w:fldCharType="separate"/>
          </w:r>
          <w:r>
            <w:rPr>
              <w:rFonts w:hint="eastAsia" w:ascii="Times New Roman" w:hAnsi="Times New Roman" w:eastAsia="楷体_GB2312" w:cs="楷体_GB2312"/>
              <w:szCs w:val="32"/>
              <w:highlight w:val="none"/>
            </w:rPr>
            <w:t>（二）政府采购支出情况</w:t>
          </w:r>
          <w:r>
            <w:tab/>
          </w:r>
          <w:r>
            <w:fldChar w:fldCharType="begin"/>
          </w:r>
          <w:r>
            <w:instrText xml:space="preserve"> PAGEREF _Toc13847 \h </w:instrText>
          </w:r>
          <w:r>
            <w:fldChar w:fldCharType="separate"/>
          </w:r>
          <w:r>
            <w:t>15</w:t>
          </w:r>
          <w:r>
            <w:fldChar w:fldCharType="end"/>
          </w:r>
          <w:r>
            <w:rPr>
              <w:rFonts w:hint="eastAsia" w:ascii="Times New Roman" w:hAnsi="Times New Roman" w:eastAsia="方正小标宋简体" w:cs="方正小标宋简体"/>
              <w:color w:val="auto"/>
              <w:highlight w:val="none"/>
            </w:rPr>
            <w:fldChar w:fldCharType="end"/>
          </w:r>
        </w:p>
        <w:p>
          <w:pPr>
            <w:pStyle w:val="8"/>
            <w:tabs>
              <w:tab w:val="right" w:leader="dot" w:pos="8306"/>
              <w:tab w:val="clear" w:pos="8296"/>
            </w:tabs>
          </w:pPr>
          <w:r>
            <w:rPr>
              <w:rFonts w:hint="eastAsia" w:ascii="Times New Roman" w:hAnsi="Times New Roman" w:eastAsia="方正小标宋简体" w:cs="方正小标宋简体"/>
              <w:color w:val="auto"/>
              <w:highlight w:val="none"/>
            </w:rPr>
            <w:fldChar w:fldCharType="begin"/>
          </w:r>
          <w:r>
            <w:rPr>
              <w:rFonts w:hint="eastAsia" w:ascii="Times New Roman" w:hAnsi="Times New Roman" w:eastAsia="方正小标宋简体" w:cs="方正小标宋简体"/>
              <w:highlight w:val="none"/>
            </w:rPr>
            <w:instrText xml:space="preserve"> HYPERLINK \l _Toc18367 </w:instrText>
          </w:r>
          <w:r>
            <w:rPr>
              <w:rFonts w:hint="eastAsia" w:ascii="Times New Roman" w:hAnsi="Times New Roman" w:eastAsia="方正小标宋简体" w:cs="方正小标宋简体"/>
              <w:highlight w:val="none"/>
            </w:rPr>
            <w:fldChar w:fldCharType="separate"/>
          </w:r>
          <w:r>
            <w:rPr>
              <w:rFonts w:hint="eastAsia" w:ascii="Times New Roman" w:hAnsi="Times New Roman" w:eastAsia="楷体_GB2312" w:cs="楷体_GB2312"/>
              <w:szCs w:val="32"/>
              <w:highlight w:val="none"/>
            </w:rPr>
            <w:t>（三）国有资产占有使用情况</w:t>
          </w:r>
          <w:r>
            <w:tab/>
          </w:r>
          <w:r>
            <w:fldChar w:fldCharType="begin"/>
          </w:r>
          <w:r>
            <w:instrText xml:space="preserve"> PAGEREF _Toc18367 \h </w:instrText>
          </w:r>
          <w:r>
            <w:fldChar w:fldCharType="separate"/>
          </w:r>
          <w:r>
            <w:t>16</w:t>
          </w:r>
          <w:r>
            <w:fldChar w:fldCharType="end"/>
          </w:r>
          <w:r>
            <w:rPr>
              <w:rFonts w:hint="eastAsia" w:ascii="Times New Roman" w:hAnsi="Times New Roman" w:eastAsia="方正小标宋简体" w:cs="方正小标宋简体"/>
              <w:color w:val="auto"/>
              <w:highlight w:val="none"/>
            </w:rPr>
            <w:fldChar w:fldCharType="end"/>
          </w:r>
        </w:p>
        <w:p>
          <w:pPr>
            <w:pStyle w:val="8"/>
            <w:tabs>
              <w:tab w:val="right" w:leader="dot" w:pos="8306"/>
              <w:tab w:val="clear" w:pos="8296"/>
            </w:tabs>
          </w:pPr>
          <w:r>
            <w:rPr>
              <w:rFonts w:hint="eastAsia" w:ascii="Times New Roman" w:hAnsi="Times New Roman" w:eastAsia="方正小标宋简体" w:cs="方正小标宋简体"/>
              <w:color w:val="auto"/>
              <w:highlight w:val="none"/>
            </w:rPr>
            <w:fldChar w:fldCharType="begin"/>
          </w:r>
          <w:r>
            <w:rPr>
              <w:rFonts w:hint="eastAsia" w:ascii="Times New Roman" w:hAnsi="Times New Roman" w:eastAsia="方正小标宋简体" w:cs="方正小标宋简体"/>
              <w:highlight w:val="none"/>
            </w:rPr>
            <w:instrText xml:space="preserve"> HYPERLINK \l _Toc3836 </w:instrText>
          </w:r>
          <w:r>
            <w:rPr>
              <w:rFonts w:hint="eastAsia" w:ascii="Times New Roman" w:hAnsi="Times New Roman" w:eastAsia="方正小标宋简体" w:cs="方正小标宋简体"/>
              <w:highlight w:val="none"/>
            </w:rPr>
            <w:fldChar w:fldCharType="separate"/>
          </w:r>
          <w:r>
            <w:rPr>
              <w:rFonts w:hint="eastAsia" w:ascii="Times New Roman" w:hAnsi="Times New Roman" w:eastAsia="楷体_GB2312" w:cs="楷体_GB2312"/>
              <w:szCs w:val="32"/>
              <w:highlight w:val="none"/>
            </w:rPr>
            <w:t>（四）预算绩效管理情况</w:t>
          </w:r>
          <w:r>
            <w:tab/>
          </w:r>
          <w:r>
            <w:fldChar w:fldCharType="begin"/>
          </w:r>
          <w:r>
            <w:instrText xml:space="preserve"> PAGEREF _Toc3836 \h </w:instrText>
          </w:r>
          <w:r>
            <w:fldChar w:fldCharType="separate"/>
          </w:r>
          <w:r>
            <w:t>16</w:t>
          </w:r>
          <w:r>
            <w:fldChar w:fldCharType="end"/>
          </w:r>
          <w:r>
            <w:rPr>
              <w:rFonts w:hint="eastAsia" w:ascii="Times New Roman" w:hAnsi="Times New Roman" w:eastAsia="方正小标宋简体" w:cs="方正小标宋简体"/>
              <w:color w:val="auto"/>
              <w:highlight w:val="none"/>
            </w:rPr>
            <w:fldChar w:fldCharType="end"/>
          </w:r>
        </w:p>
        <w:p>
          <w:pPr>
            <w:pStyle w:val="12"/>
            <w:tabs>
              <w:tab w:val="right" w:leader="dot" w:pos="8306"/>
              <w:tab w:val="clear" w:pos="8296"/>
            </w:tabs>
          </w:pPr>
          <w:r>
            <w:rPr>
              <w:rFonts w:hint="eastAsia" w:ascii="Times New Roman" w:hAnsi="Times New Roman" w:eastAsia="方正小标宋简体" w:cs="方正小标宋简体"/>
              <w:color w:val="auto"/>
              <w:highlight w:val="none"/>
            </w:rPr>
            <w:fldChar w:fldCharType="begin"/>
          </w:r>
          <w:r>
            <w:rPr>
              <w:rFonts w:hint="eastAsia" w:ascii="Times New Roman" w:hAnsi="Times New Roman" w:eastAsia="方正小标宋简体" w:cs="方正小标宋简体"/>
              <w:highlight w:val="none"/>
            </w:rPr>
            <w:instrText xml:space="preserve"> HYPERLINK \l _Toc6618 </w:instrText>
          </w:r>
          <w:r>
            <w:rPr>
              <w:rFonts w:hint="eastAsia" w:ascii="Times New Roman" w:hAnsi="Times New Roman" w:eastAsia="方正小标宋简体" w:cs="方正小标宋简体"/>
              <w:highlight w:val="none"/>
            </w:rPr>
            <w:fldChar w:fldCharType="separate"/>
          </w:r>
          <w:r>
            <w:rPr>
              <w:rFonts w:hint="eastAsia" w:ascii="Times New Roman" w:hAnsi="Times New Roman" w:eastAsia="黑体"/>
              <w:szCs w:val="44"/>
              <w:highlight w:val="none"/>
            </w:rPr>
            <w:t>第</w:t>
          </w:r>
          <w:r>
            <w:rPr>
              <w:rFonts w:hint="eastAsia" w:eastAsia="黑体"/>
              <w:szCs w:val="44"/>
              <w:highlight w:val="none"/>
              <w:lang w:eastAsia="zh-CN"/>
            </w:rPr>
            <w:t>三</w:t>
          </w:r>
          <w:r>
            <w:rPr>
              <w:rFonts w:hint="eastAsia" w:ascii="Times New Roman" w:hAnsi="Times New Roman" w:eastAsia="黑体"/>
              <w:szCs w:val="44"/>
              <w:highlight w:val="none"/>
            </w:rPr>
            <w:t>部分</w:t>
          </w:r>
          <w:r>
            <w:rPr>
              <w:rFonts w:hint="eastAsia" w:ascii="Times New Roman" w:hAnsi="Times New Roman" w:eastAsia="黑体"/>
              <w:szCs w:val="44"/>
              <w:highlight w:val="none"/>
              <w:lang w:val="en-US" w:eastAsia="zh-CN"/>
            </w:rPr>
            <w:t xml:space="preserve"> </w:t>
          </w:r>
          <w:r>
            <w:rPr>
              <w:rFonts w:hint="eastAsia" w:eastAsia="黑体"/>
              <w:szCs w:val="44"/>
              <w:highlight w:val="none"/>
              <w:lang w:val="en-US" w:eastAsia="zh-CN"/>
            </w:rPr>
            <w:t xml:space="preserve"> </w:t>
          </w:r>
          <w:r>
            <w:rPr>
              <w:rFonts w:hint="eastAsia" w:ascii="Times New Roman" w:hAnsi="Times New Roman" w:eastAsia="黑体"/>
              <w:szCs w:val="44"/>
              <w:highlight w:val="none"/>
            </w:rPr>
            <w:t>名词解释</w:t>
          </w:r>
          <w:r>
            <w:tab/>
          </w:r>
          <w:r>
            <w:fldChar w:fldCharType="begin"/>
          </w:r>
          <w:r>
            <w:instrText xml:space="preserve"> PAGEREF _Toc6618 \h </w:instrText>
          </w:r>
          <w:r>
            <w:fldChar w:fldCharType="separate"/>
          </w:r>
          <w:r>
            <w:t>18</w:t>
          </w:r>
          <w:r>
            <w:fldChar w:fldCharType="end"/>
          </w:r>
          <w:r>
            <w:rPr>
              <w:rFonts w:hint="eastAsia" w:ascii="Times New Roman" w:hAnsi="Times New Roman" w:eastAsia="方正小标宋简体" w:cs="方正小标宋简体"/>
              <w:color w:val="auto"/>
              <w:highlight w:val="none"/>
            </w:rPr>
            <w:fldChar w:fldCharType="end"/>
          </w:r>
        </w:p>
        <w:p>
          <w:pPr>
            <w:pStyle w:val="12"/>
            <w:tabs>
              <w:tab w:val="right" w:leader="dot" w:pos="8306"/>
              <w:tab w:val="clear" w:pos="8296"/>
            </w:tabs>
          </w:pPr>
          <w:r>
            <w:rPr>
              <w:rFonts w:hint="eastAsia" w:ascii="Times New Roman" w:hAnsi="Times New Roman" w:eastAsia="方正小标宋简体" w:cs="方正小标宋简体"/>
              <w:color w:val="auto"/>
              <w:highlight w:val="none"/>
            </w:rPr>
            <w:fldChar w:fldCharType="begin"/>
          </w:r>
          <w:r>
            <w:rPr>
              <w:rFonts w:hint="eastAsia" w:ascii="Times New Roman" w:hAnsi="Times New Roman" w:eastAsia="方正小标宋简体" w:cs="方正小标宋简体"/>
              <w:highlight w:val="none"/>
            </w:rPr>
            <w:instrText xml:space="preserve"> HYPERLINK \l _Toc6127 </w:instrText>
          </w:r>
          <w:r>
            <w:rPr>
              <w:rFonts w:hint="eastAsia" w:ascii="Times New Roman" w:hAnsi="Times New Roman" w:eastAsia="方正小标宋简体" w:cs="方正小标宋简体"/>
              <w:highlight w:val="none"/>
            </w:rPr>
            <w:fldChar w:fldCharType="separate"/>
          </w:r>
          <w:r>
            <w:rPr>
              <w:rFonts w:hint="eastAsia" w:ascii="Times New Roman" w:hAnsi="Times New Roman" w:eastAsia="黑体"/>
              <w:szCs w:val="44"/>
              <w:highlight w:val="none"/>
            </w:rPr>
            <w:t>第四部分</w:t>
          </w:r>
          <w:r>
            <w:rPr>
              <w:rFonts w:hint="eastAsia" w:ascii="Times New Roman" w:hAnsi="Times New Roman" w:eastAsia="黑体"/>
              <w:szCs w:val="44"/>
              <w:highlight w:val="none"/>
              <w:lang w:val="en-US" w:eastAsia="zh-CN"/>
            </w:rPr>
            <w:t xml:space="preserve"> </w:t>
          </w:r>
          <w:r>
            <w:rPr>
              <w:rFonts w:hint="eastAsia" w:ascii="Times New Roman" w:hAnsi="Times New Roman" w:eastAsia="黑体"/>
              <w:szCs w:val="44"/>
              <w:highlight w:val="none"/>
            </w:rPr>
            <w:t xml:space="preserve"> 附件</w:t>
          </w:r>
          <w:r>
            <w:tab/>
          </w:r>
          <w:r>
            <w:fldChar w:fldCharType="begin"/>
          </w:r>
          <w:r>
            <w:instrText xml:space="preserve"> PAGEREF _Toc6127 \h </w:instrText>
          </w:r>
          <w:r>
            <w:fldChar w:fldCharType="separate"/>
          </w:r>
          <w:r>
            <w:t>23</w:t>
          </w:r>
          <w:r>
            <w:fldChar w:fldCharType="end"/>
          </w:r>
          <w:r>
            <w:rPr>
              <w:rFonts w:hint="eastAsia" w:ascii="Times New Roman" w:hAnsi="Times New Roman" w:eastAsia="方正小标宋简体" w:cs="方正小标宋简体"/>
              <w:color w:val="auto"/>
              <w:highlight w:val="none"/>
            </w:rPr>
            <w:fldChar w:fldCharType="end"/>
          </w:r>
        </w:p>
        <w:p>
          <w:pPr>
            <w:pStyle w:val="12"/>
            <w:tabs>
              <w:tab w:val="right" w:leader="dot" w:pos="8306"/>
              <w:tab w:val="clear" w:pos="8296"/>
            </w:tabs>
          </w:pPr>
          <w:r>
            <w:rPr>
              <w:rFonts w:hint="eastAsia" w:ascii="Times New Roman" w:hAnsi="Times New Roman" w:eastAsia="方正小标宋简体" w:cs="方正小标宋简体"/>
              <w:color w:val="auto"/>
              <w:highlight w:val="none"/>
            </w:rPr>
            <w:fldChar w:fldCharType="begin"/>
          </w:r>
          <w:r>
            <w:rPr>
              <w:rFonts w:hint="eastAsia" w:ascii="Times New Roman" w:hAnsi="Times New Roman" w:eastAsia="方正小标宋简体" w:cs="方正小标宋简体"/>
              <w:highlight w:val="none"/>
            </w:rPr>
            <w:instrText xml:space="preserve"> HYPERLINK \l _Toc16464 </w:instrText>
          </w:r>
          <w:r>
            <w:rPr>
              <w:rFonts w:hint="eastAsia" w:ascii="Times New Roman" w:hAnsi="Times New Roman" w:eastAsia="方正小标宋简体" w:cs="方正小标宋简体"/>
              <w:highlight w:val="none"/>
            </w:rPr>
            <w:fldChar w:fldCharType="separate"/>
          </w:r>
          <w:r>
            <w:rPr>
              <w:rFonts w:hint="eastAsia" w:ascii="Times New Roman" w:hAnsi="Times New Roman" w:eastAsia="黑体" w:cs="黑体"/>
              <w:szCs w:val="32"/>
              <w:highlight w:val="none"/>
            </w:rPr>
            <w:t>附件</w:t>
          </w:r>
          <w:r>
            <w:rPr>
              <w:rFonts w:hint="eastAsia" w:ascii="Times New Roman" w:hAnsi="Times New Roman" w:eastAsia="黑体" w:cs="黑体"/>
              <w:szCs w:val="32"/>
              <w:highlight w:val="none"/>
              <w:lang w:val="en-US" w:eastAsia="zh-CN"/>
            </w:rPr>
            <w:t>1</w:t>
          </w:r>
          <w:r>
            <w:tab/>
          </w:r>
          <w:r>
            <w:fldChar w:fldCharType="begin"/>
          </w:r>
          <w:r>
            <w:instrText xml:space="preserve"> PAGEREF _Toc16464 \h </w:instrText>
          </w:r>
          <w:r>
            <w:fldChar w:fldCharType="separate"/>
          </w:r>
          <w:r>
            <w:t>23</w:t>
          </w:r>
          <w:r>
            <w:fldChar w:fldCharType="end"/>
          </w:r>
          <w:r>
            <w:rPr>
              <w:rFonts w:hint="eastAsia" w:ascii="Times New Roman" w:hAnsi="Times New Roman" w:eastAsia="方正小标宋简体" w:cs="方正小标宋简体"/>
              <w:color w:val="auto"/>
              <w:highlight w:val="none"/>
            </w:rPr>
            <w:fldChar w:fldCharType="end"/>
          </w:r>
        </w:p>
        <w:p>
          <w:pPr>
            <w:pStyle w:val="12"/>
            <w:tabs>
              <w:tab w:val="right" w:leader="dot" w:pos="8306"/>
              <w:tab w:val="clear" w:pos="8296"/>
            </w:tabs>
          </w:pPr>
          <w:r>
            <w:rPr>
              <w:rFonts w:hint="eastAsia" w:ascii="Times New Roman" w:hAnsi="Times New Roman" w:eastAsia="方正小标宋简体" w:cs="方正小标宋简体"/>
              <w:color w:val="auto"/>
              <w:highlight w:val="none"/>
            </w:rPr>
            <w:fldChar w:fldCharType="begin"/>
          </w:r>
          <w:r>
            <w:rPr>
              <w:rFonts w:hint="eastAsia" w:ascii="Times New Roman" w:hAnsi="Times New Roman" w:eastAsia="方正小标宋简体" w:cs="方正小标宋简体"/>
              <w:highlight w:val="none"/>
            </w:rPr>
            <w:instrText xml:space="preserve"> HYPERLINK \l _Toc9022 </w:instrText>
          </w:r>
          <w:r>
            <w:rPr>
              <w:rFonts w:hint="eastAsia" w:ascii="Times New Roman" w:hAnsi="Times New Roman" w:eastAsia="方正小标宋简体" w:cs="方正小标宋简体"/>
              <w:highlight w:val="none"/>
            </w:rPr>
            <w:fldChar w:fldCharType="separate"/>
          </w:r>
          <w:r>
            <w:rPr>
              <w:rFonts w:hint="eastAsia" w:ascii="Times New Roman" w:hAnsi="Times New Roman" w:eastAsia="黑体" w:cs="黑体"/>
              <w:szCs w:val="32"/>
              <w:highlight w:val="none"/>
              <w:lang w:val="zh-CN"/>
            </w:rPr>
            <w:t>附件</w:t>
          </w:r>
          <w:r>
            <w:rPr>
              <w:rFonts w:hint="eastAsia" w:ascii="Times New Roman" w:hAnsi="Times New Roman" w:eastAsia="黑体" w:cs="黑体"/>
              <w:szCs w:val="32"/>
              <w:highlight w:val="none"/>
              <w:lang w:val="en-US" w:eastAsia="zh-CN"/>
            </w:rPr>
            <w:t>2</w:t>
          </w:r>
          <w:r>
            <w:tab/>
          </w:r>
          <w:r>
            <w:fldChar w:fldCharType="begin"/>
          </w:r>
          <w:r>
            <w:instrText xml:space="preserve"> PAGEREF _Toc9022 \h </w:instrText>
          </w:r>
          <w:r>
            <w:fldChar w:fldCharType="separate"/>
          </w:r>
          <w:r>
            <w:t>34</w:t>
          </w:r>
          <w:r>
            <w:fldChar w:fldCharType="end"/>
          </w:r>
          <w:r>
            <w:rPr>
              <w:rFonts w:hint="eastAsia" w:ascii="Times New Roman" w:hAnsi="Times New Roman" w:eastAsia="方正小标宋简体" w:cs="方正小标宋简体"/>
              <w:color w:val="auto"/>
              <w:highlight w:val="none"/>
            </w:rPr>
            <w:fldChar w:fldCharType="end"/>
          </w:r>
        </w:p>
        <w:p>
          <w:pPr>
            <w:pStyle w:val="12"/>
            <w:tabs>
              <w:tab w:val="right" w:leader="dot" w:pos="8306"/>
              <w:tab w:val="clear" w:pos="8296"/>
            </w:tabs>
          </w:pPr>
          <w:r>
            <w:rPr>
              <w:rFonts w:hint="eastAsia" w:ascii="Times New Roman" w:hAnsi="Times New Roman" w:eastAsia="方正小标宋简体" w:cs="方正小标宋简体"/>
              <w:color w:val="auto"/>
              <w:highlight w:val="none"/>
            </w:rPr>
            <w:fldChar w:fldCharType="begin"/>
          </w:r>
          <w:r>
            <w:rPr>
              <w:rFonts w:hint="eastAsia" w:ascii="Times New Roman" w:hAnsi="Times New Roman" w:eastAsia="方正小标宋简体" w:cs="方正小标宋简体"/>
              <w:highlight w:val="none"/>
            </w:rPr>
            <w:instrText xml:space="preserve"> HYPERLINK \l _Toc23157 </w:instrText>
          </w:r>
          <w:r>
            <w:rPr>
              <w:rFonts w:hint="eastAsia" w:ascii="Times New Roman" w:hAnsi="Times New Roman" w:eastAsia="方正小标宋简体" w:cs="方正小标宋简体"/>
              <w:highlight w:val="none"/>
            </w:rPr>
            <w:fldChar w:fldCharType="separate"/>
          </w:r>
          <w:r>
            <w:rPr>
              <w:rFonts w:hint="eastAsia" w:ascii="Times New Roman" w:hAnsi="Times New Roman" w:eastAsia="黑体"/>
              <w:szCs w:val="44"/>
              <w:highlight w:val="none"/>
            </w:rPr>
            <w:t>第五部分 附表</w:t>
          </w:r>
          <w:r>
            <w:tab/>
          </w:r>
          <w:r>
            <w:fldChar w:fldCharType="begin"/>
          </w:r>
          <w:r>
            <w:instrText xml:space="preserve"> PAGEREF _Toc23157 \h </w:instrText>
          </w:r>
          <w:r>
            <w:fldChar w:fldCharType="separate"/>
          </w:r>
          <w:r>
            <w:t>88</w:t>
          </w:r>
          <w:r>
            <w:fldChar w:fldCharType="end"/>
          </w:r>
          <w:r>
            <w:rPr>
              <w:rFonts w:hint="eastAsia" w:ascii="Times New Roman" w:hAnsi="Times New Roman" w:eastAsia="方正小标宋简体" w:cs="方正小标宋简体"/>
              <w:color w:val="auto"/>
              <w:highlight w:val="none"/>
            </w:rPr>
            <w:fldChar w:fldCharType="end"/>
          </w:r>
        </w:p>
        <w:p>
          <w:pPr>
            <w:pStyle w:val="12"/>
            <w:tabs>
              <w:tab w:val="right" w:leader="dot" w:pos="8306"/>
              <w:tab w:val="clear" w:pos="8296"/>
            </w:tabs>
            <w:rPr>
              <w:sz w:val="21"/>
              <w:szCs w:val="21"/>
            </w:rPr>
          </w:pPr>
          <w:r>
            <w:rPr>
              <w:rFonts w:hint="eastAsia" w:ascii="Times New Roman" w:hAnsi="Times New Roman" w:eastAsia="方正小标宋简体" w:cs="方正小标宋简体"/>
              <w:color w:val="auto"/>
              <w:sz w:val="21"/>
              <w:szCs w:val="21"/>
              <w:highlight w:val="none"/>
            </w:rPr>
            <w:fldChar w:fldCharType="begin"/>
          </w:r>
          <w:r>
            <w:rPr>
              <w:rFonts w:hint="eastAsia" w:ascii="Times New Roman" w:hAnsi="Times New Roman" w:eastAsia="方正小标宋简体" w:cs="方正小标宋简体"/>
              <w:sz w:val="21"/>
              <w:szCs w:val="21"/>
              <w:highlight w:val="none"/>
            </w:rPr>
            <w:instrText xml:space="preserve"> HYPERLINK \l _Toc30779 </w:instrText>
          </w:r>
          <w:r>
            <w:rPr>
              <w:rFonts w:hint="eastAsia" w:ascii="Times New Roman" w:hAnsi="Times New Roman" w:eastAsia="方正小标宋简体" w:cs="方正小标宋简体"/>
              <w:sz w:val="21"/>
              <w:szCs w:val="21"/>
              <w:highlight w:val="none"/>
            </w:rPr>
            <w:fldChar w:fldCharType="separate"/>
          </w:r>
          <w:r>
            <w:rPr>
              <w:rFonts w:hint="eastAsia" w:ascii="仿宋_GB2312" w:hAnsi="仿宋_GB2312" w:eastAsia="仿宋_GB2312" w:cs="仿宋_GB2312"/>
              <w:sz w:val="21"/>
              <w:szCs w:val="21"/>
              <w:highlight w:val="none"/>
              <w:lang w:val="zh-CN"/>
            </w:rPr>
            <w:t>一、收入支出决算总表</w:t>
          </w:r>
          <w:r>
            <w:rPr>
              <w:sz w:val="21"/>
              <w:szCs w:val="21"/>
            </w:rPr>
            <w:tab/>
          </w:r>
          <w:r>
            <w:rPr>
              <w:sz w:val="21"/>
              <w:szCs w:val="21"/>
            </w:rPr>
            <w:fldChar w:fldCharType="begin"/>
          </w:r>
          <w:r>
            <w:rPr>
              <w:sz w:val="21"/>
              <w:szCs w:val="21"/>
            </w:rPr>
            <w:instrText xml:space="preserve"> PAGEREF _Toc30779 \h </w:instrText>
          </w:r>
          <w:r>
            <w:rPr>
              <w:sz w:val="21"/>
              <w:szCs w:val="21"/>
            </w:rPr>
            <w:fldChar w:fldCharType="separate"/>
          </w:r>
          <w:r>
            <w:rPr>
              <w:sz w:val="21"/>
              <w:szCs w:val="21"/>
            </w:rPr>
            <w:t>88</w:t>
          </w:r>
          <w:r>
            <w:rPr>
              <w:sz w:val="21"/>
              <w:szCs w:val="21"/>
            </w:rPr>
            <w:fldChar w:fldCharType="end"/>
          </w:r>
          <w:r>
            <w:rPr>
              <w:rFonts w:hint="eastAsia" w:ascii="Times New Roman" w:hAnsi="Times New Roman" w:eastAsia="方正小标宋简体" w:cs="方正小标宋简体"/>
              <w:color w:val="auto"/>
              <w:sz w:val="21"/>
              <w:szCs w:val="21"/>
              <w:highlight w:val="none"/>
            </w:rPr>
            <w:fldChar w:fldCharType="end"/>
          </w:r>
        </w:p>
        <w:p>
          <w:pPr>
            <w:pStyle w:val="12"/>
            <w:tabs>
              <w:tab w:val="right" w:leader="dot" w:pos="8306"/>
              <w:tab w:val="clear" w:pos="8296"/>
            </w:tabs>
            <w:rPr>
              <w:sz w:val="21"/>
              <w:szCs w:val="21"/>
            </w:rPr>
          </w:pPr>
          <w:r>
            <w:rPr>
              <w:rFonts w:hint="eastAsia" w:ascii="Times New Roman" w:hAnsi="Times New Roman" w:eastAsia="方正小标宋简体" w:cs="方正小标宋简体"/>
              <w:color w:val="auto"/>
              <w:sz w:val="21"/>
              <w:szCs w:val="21"/>
              <w:highlight w:val="none"/>
            </w:rPr>
            <w:fldChar w:fldCharType="begin"/>
          </w:r>
          <w:r>
            <w:rPr>
              <w:rFonts w:hint="eastAsia" w:ascii="Times New Roman" w:hAnsi="Times New Roman" w:eastAsia="方正小标宋简体" w:cs="方正小标宋简体"/>
              <w:sz w:val="21"/>
              <w:szCs w:val="21"/>
              <w:highlight w:val="none"/>
            </w:rPr>
            <w:instrText xml:space="preserve"> HYPERLINK \l _Toc27228 </w:instrText>
          </w:r>
          <w:r>
            <w:rPr>
              <w:rFonts w:hint="eastAsia" w:ascii="Times New Roman" w:hAnsi="Times New Roman" w:eastAsia="方正小标宋简体" w:cs="方正小标宋简体"/>
              <w:sz w:val="21"/>
              <w:szCs w:val="21"/>
              <w:highlight w:val="none"/>
            </w:rPr>
            <w:fldChar w:fldCharType="separate"/>
          </w:r>
          <w:r>
            <w:rPr>
              <w:rFonts w:hint="eastAsia" w:ascii="仿宋_GB2312" w:hAnsi="仿宋_GB2312" w:eastAsia="仿宋_GB2312" w:cs="仿宋_GB2312"/>
              <w:sz w:val="21"/>
              <w:szCs w:val="21"/>
              <w:highlight w:val="none"/>
              <w:lang w:val="zh-CN"/>
            </w:rPr>
            <w:t>二、收入决算表</w:t>
          </w:r>
          <w:r>
            <w:rPr>
              <w:sz w:val="21"/>
              <w:szCs w:val="21"/>
            </w:rPr>
            <w:tab/>
          </w:r>
          <w:r>
            <w:rPr>
              <w:sz w:val="21"/>
              <w:szCs w:val="21"/>
            </w:rPr>
            <w:fldChar w:fldCharType="begin"/>
          </w:r>
          <w:r>
            <w:rPr>
              <w:sz w:val="21"/>
              <w:szCs w:val="21"/>
            </w:rPr>
            <w:instrText xml:space="preserve"> PAGEREF _Toc27228 \h </w:instrText>
          </w:r>
          <w:r>
            <w:rPr>
              <w:sz w:val="21"/>
              <w:szCs w:val="21"/>
            </w:rPr>
            <w:fldChar w:fldCharType="separate"/>
          </w:r>
          <w:r>
            <w:rPr>
              <w:sz w:val="21"/>
              <w:szCs w:val="21"/>
            </w:rPr>
            <w:t>88</w:t>
          </w:r>
          <w:r>
            <w:rPr>
              <w:sz w:val="21"/>
              <w:szCs w:val="21"/>
            </w:rPr>
            <w:fldChar w:fldCharType="end"/>
          </w:r>
          <w:r>
            <w:rPr>
              <w:rFonts w:hint="eastAsia" w:ascii="Times New Roman" w:hAnsi="Times New Roman" w:eastAsia="方正小标宋简体" w:cs="方正小标宋简体"/>
              <w:color w:val="auto"/>
              <w:sz w:val="21"/>
              <w:szCs w:val="21"/>
              <w:highlight w:val="none"/>
            </w:rPr>
            <w:fldChar w:fldCharType="end"/>
          </w:r>
        </w:p>
        <w:p>
          <w:pPr>
            <w:pStyle w:val="12"/>
            <w:tabs>
              <w:tab w:val="right" w:leader="dot" w:pos="8306"/>
              <w:tab w:val="clear" w:pos="8296"/>
            </w:tabs>
            <w:rPr>
              <w:sz w:val="21"/>
              <w:szCs w:val="21"/>
            </w:rPr>
          </w:pPr>
          <w:r>
            <w:rPr>
              <w:rFonts w:hint="eastAsia" w:ascii="Times New Roman" w:hAnsi="Times New Roman" w:eastAsia="方正小标宋简体" w:cs="方正小标宋简体"/>
              <w:color w:val="auto"/>
              <w:sz w:val="21"/>
              <w:szCs w:val="21"/>
              <w:highlight w:val="none"/>
            </w:rPr>
            <w:fldChar w:fldCharType="begin"/>
          </w:r>
          <w:r>
            <w:rPr>
              <w:rFonts w:hint="eastAsia" w:ascii="Times New Roman" w:hAnsi="Times New Roman" w:eastAsia="方正小标宋简体" w:cs="方正小标宋简体"/>
              <w:sz w:val="21"/>
              <w:szCs w:val="21"/>
              <w:highlight w:val="none"/>
            </w:rPr>
            <w:instrText xml:space="preserve"> HYPERLINK \l _Toc12431 </w:instrText>
          </w:r>
          <w:r>
            <w:rPr>
              <w:rFonts w:hint="eastAsia" w:ascii="Times New Roman" w:hAnsi="Times New Roman" w:eastAsia="方正小标宋简体" w:cs="方正小标宋简体"/>
              <w:sz w:val="21"/>
              <w:szCs w:val="21"/>
              <w:highlight w:val="none"/>
            </w:rPr>
            <w:fldChar w:fldCharType="separate"/>
          </w:r>
          <w:r>
            <w:rPr>
              <w:rFonts w:hint="eastAsia" w:ascii="仿宋_GB2312" w:hAnsi="仿宋_GB2312" w:eastAsia="仿宋_GB2312" w:cs="仿宋_GB2312"/>
              <w:sz w:val="21"/>
              <w:szCs w:val="21"/>
              <w:highlight w:val="none"/>
              <w:lang w:val="zh-CN"/>
            </w:rPr>
            <w:t>三、支出决算表</w:t>
          </w:r>
          <w:r>
            <w:rPr>
              <w:sz w:val="21"/>
              <w:szCs w:val="21"/>
            </w:rPr>
            <w:tab/>
          </w:r>
          <w:r>
            <w:rPr>
              <w:sz w:val="21"/>
              <w:szCs w:val="21"/>
            </w:rPr>
            <w:fldChar w:fldCharType="begin"/>
          </w:r>
          <w:r>
            <w:rPr>
              <w:sz w:val="21"/>
              <w:szCs w:val="21"/>
            </w:rPr>
            <w:instrText xml:space="preserve"> PAGEREF _Toc12431 \h </w:instrText>
          </w:r>
          <w:r>
            <w:rPr>
              <w:sz w:val="21"/>
              <w:szCs w:val="21"/>
            </w:rPr>
            <w:fldChar w:fldCharType="separate"/>
          </w:r>
          <w:r>
            <w:rPr>
              <w:sz w:val="21"/>
              <w:szCs w:val="21"/>
            </w:rPr>
            <w:t>88</w:t>
          </w:r>
          <w:r>
            <w:rPr>
              <w:sz w:val="21"/>
              <w:szCs w:val="21"/>
            </w:rPr>
            <w:fldChar w:fldCharType="end"/>
          </w:r>
          <w:r>
            <w:rPr>
              <w:rFonts w:hint="eastAsia" w:ascii="Times New Roman" w:hAnsi="Times New Roman" w:eastAsia="方正小标宋简体" w:cs="方正小标宋简体"/>
              <w:color w:val="auto"/>
              <w:sz w:val="21"/>
              <w:szCs w:val="21"/>
              <w:highlight w:val="none"/>
            </w:rPr>
            <w:fldChar w:fldCharType="end"/>
          </w:r>
        </w:p>
        <w:p>
          <w:pPr>
            <w:pStyle w:val="12"/>
            <w:tabs>
              <w:tab w:val="right" w:leader="dot" w:pos="8306"/>
              <w:tab w:val="clear" w:pos="8296"/>
            </w:tabs>
            <w:rPr>
              <w:sz w:val="21"/>
              <w:szCs w:val="21"/>
            </w:rPr>
          </w:pPr>
          <w:r>
            <w:rPr>
              <w:rFonts w:hint="eastAsia" w:ascii="Times New Roman" w:hAnsi="Times New Roman" w:eastAsia="方正小标宋简体" w:cs="方正小标宋简体"/>
              <w:color w:val="auto"/>
              <w:sz w:val="21"/>
              <w:szCs w:val="21"/>
              <w:highlight w:val="none"/>
            </w:rPr>
            <w:fldChar w:fldCharType="begin"/>
          </w:r>
          <w:r>
            <w:rPr>
              <w:rFonts w:hint="eastAsia" w:ascii="Times New Roman" w:hAnsi="Times New Roman" w:eastAsia="方正小标宋简体" w:cs="方正小标宋简体"/>
              <w:sz w:val="21"/>
              <w:szCs w:val="21"/>
              <w:highlight w:val="none"/>
            </w:rPr>
            <w:instrText xml:space="preserve"> HYPERLINK \l _Toc19296 </w:instrText>
          </w:r>
          <w:r>
            <w:rPr>
              <w:rFonts w:hint="eastAsia" w:ascii="Times New Roman" w:hAnsi="Times New Roman" w:eastAsia="方正小标宋简体" w:cs="方正小标宋简体"/>
              <w:sz w:val="21"/>
              <w:szCs w:val="21"/>
              <w:highlight w:val="none"/>
            </w:rPr>
            <w:fldChar w:fldCharType="separate"/>
          </w:r>
          <w:r>
            <w:rPr>
              <w:rFonts w:hint="eastAsia" w:ascii="仿宋_GB2312" w:hAnsi="仿宋_GB2312" w:eastAsia="仿宋_GB2312" w:cs="仿宋_GB2312"/>
              <w:sz w:val="21"/>
              <w:szCs w:val="21"/>
              <w:highlight w:val="none"/>
              <w:lang w:val="zh-CN"/>
            </w:rPr>
            <w:t>四、财政拨款收入支出决算总表</w:t>
          </w:r>
          <w:r>
            <w:rPr>
              <w:sz w:val="21"/>
              <w:szCs w:val="21"/>
            </w:rPr>
            <w:tab/>
          </w:r>
          <w:r>
            <w:rPr>
              <w:sz w:val="21"/>
              <w:szCs w:val="21"/>
            </w:rPr>
            <w:fldChar w:fldCharType="begin"/>
          </w:r>
          <w:r>
            <w:rPr>
              <w:sz w:val="21"/>
              <w:szCs w:val="21"/>
            </w:rPr>
            <w:instrText xml:space="preserve"> PAGEREF _Toc19296 \h </w:instrText>
          </w:r>
          <w:r>
            <w:rPr>
              <w:sz w:val="21"/>
              <w:szCs w:val="21"/>
            </w:rPr>
            <w:fldChar w:fldCharType="separate"/>
          </w:r>
          <w:r>
            <w:rPr>
              <w:sz w:val="21"/>
              <w:szCs w:val="21"/>
            </w:rPr>
            <w:t>88</w:t>
          </w:r>
          <w:r>
            <w:rPr>
              <w:sz w:val="21"/>
              <w:szCs w:val="21"/>
            </w:rPr>
            <w:fldChar w:fldCharType="end"/>
          </w:r>
          <w:r>
            <w:rPr>
              <w:rFonts w:hint="eastAsia" w:ascii="Times New Roman" w:hAnsi="Times New Roman" w:eastAsia="方正小标宋简体" w:cs="方正小标宋简体"/>
              <w:color w:val="auto"/>
              <w:sz w:val="21"/>
              <w:szCs w:val="21"/>
              <w:highlight w:val="none"/>
            </w:rPr>
            <w:fldChar w:fldCharType="end"/>
          </w:r>
        </w:p>
        <w:p>
          <w:pPr>
            <w:pStyle w:val="12"/>
            <w:tabs>
              <w:tab w:val="right" w:leader="dot" w:pos="8306"/>
              <w:tab w:val="clear" w:pos="8296"/>
            </w:tabs>
            <w:rPr>
              <w:sz w:val="21"/>
              <w:szCs w:val="21"/>
            </w:rPr>
          </w:pPr>
          <w:r>
            <w:rPr>
              <w:rFonts w:hint="eastAsia" w:ascii="Times New Roman" w:hAnsi="Times New Roman" w:eastAsia="方正小标宋简体" w:cs="方正小标宋简体"/>
              <w:color w:val="auto"/>
              <w:sz w:val="21"/>
              <w:szCs w:val="21"/>
              <w:highlight w:val="none"/>
            </w:rPr>
            <w:fldChar w:fldCharType="begin"/>
          </w:r>
          <w:r>
            <w:rPr>
              <w:rFonts w:hint="eastAsia" w:ascii="Times New Roman" w:hAnsi="Times New Roman" w:eastAsia="方正小标宋简体" w:cs="方正小标宋简体"/>
              <w:sz w:val="21"/>
              <w:szCs w:val="21"/>
              <w:highlight w:val="none"/>
            </w:rPr>
            <w:instrText xml:space="preserve"> HYPERLINK \l _Toc10525 </w:instrText>
          </w:r>
          <w:r>
            <w:rPr>
              <w:rFonts w:hint="eastAsia" w:ascii="Times New Roman" w:hAnsi="Times New Roman" w:eastAsia="方正小标宋简体" w:cs="方正小标宋简体"/>
              <w:sz w:val="21"/>
              <w:szCs w:val="21"/>
              <w:highlight w:val="none"/>
            </w:rPr>
            <w:fldChar w:fldCharType="separate"/>
          </w:r>
          <w:r>
            <w:rPr>
              <w:rFonts w:hint="eastAsia" w:ascii="仿宋_GB2312" w:hAnsi="仿宋_GB2312" w:eastAsia="仿宋_GB2312" w:cs="仿宋_GB2312"/>
              <w:sz w:val="21"/>
              <w:szCs w:val="21"/>
              <w:highlight w:val="none"/>
              <w:lang w:val="zh-CN"/>
            </w:rPr>
            <w:t>五、财政拨款支出决算明细表</w:t>
          </w:r>
          <w:r>
            <w:rPr>
              <w:sz w:val="21"/>
              <w:szCs w:val="21"/>
            </w:rPr>
            <w:tab/>
          </w:r>
          <w:r>
            <w:rPr>
              <w:sz w:val="21"/>
              <w:szCs w:val="21"/>
            </w:rPr>
            <w:fldChar w:fldCharType="begin"/>
          </w:r>
          <w:r>
            <w:rPr>
              <w:sz w:val="21"/>
              <w:szCs w:val="21"/>
            </w:rPr>
            <w:instrText xml:space="preserve"> PAGEREF _Toc10525 \h </w:instrText>
          </w:r>
          <w:r>
            <w:rPr>
              <w:sz w:val="21"/>
              <w:szCs w:val="21"/>
            </w:rPr>
            <w:fldChar w:fldCharType="separate"/>
          </w:r>
          <w:r>
            <w:rPr>
              <w:sz w:val="21"/>
              <w:szCs w:val="21"/>
            </w:rPr>
            <w:t>88</w:t>
          </w:r>
          <w:r>
            <w:rPr>
              <w:sz w:val="21"/>
              <w:szCs w:val="21"/>
            </w:rPr>
            <w:fldChar w:fldCharType="end"/>
          </w:r>
          <w:r>
            <w:rPr>
              <w:rFonts w:hint="eastAsia" w:ascii="Times New Roman" w:hAnsi="Times New Roman" w:eastAsia="方正小标宋简体" w:cs="方正小标宋简体"/>
              <w:color w:val="auto"/>
              <w:sz w:val="21"/>
              <w:szCs w:val="21"/>
              <w:highlight w:val="none"/>
            </w:rPr>
            <w:fldChar w:fldCharType="end"/>
          </w:r>
        </w:p>
        <w:p>
          <w:pPr>
            <w:pStyle w:val="12"/>
            <w:tabs>
              <w:tab w:val="right" w:leader="dot" w:pos="8306"/>
              <w:tab w:val="clear" w:pos="8296"/>
            </w:tabs>
            <w:rPr>
              <w:sz w:val="21"/>
              <w:szCs w:val="21"/>
            </w:rPr>
          </w:pPr>
          <w:r>
            <w:rPr>
              <w:rFonts w:hint="eastAsia" w:ascii="Times New Roman" w:hAnsi="Times New Roman" w:eastAsia="方正小标宋简体" w:cs="方正小标宋简体"/>
              <w:color w:val="auto"/>
              <w:sz w:val="21"/>
              <w:szCs w:val="21"/>
              <w:highlight w:val="none"/>
            </w:rPr>
            <w:fldChar w:fldCharType="begin"/>
          </w:r>
          <w:r>
            <w:rPr>
              <w:rFonts w:hint="eastAsia" w:ascii="Times New Roman" w:hAnsi="Times New Roman" w:eastAsia="方正小标宋简体" w:cs="方正小标宋简体"/>
              <w:sz w:val="21"/>
              <w:szCs w:val="21"/>
              <w:highlight w:val="none"/>
            </w:rPr>
            <w:instrText xml:space="preserve"> HYPERLINK \l _Toc25097 </w:instrText>
          </w:r>
          <w:r>
            <w:rPr>
              <w:rFonts w:hint="eastAsia" w:ascii="Times New Roman" w:hAnsi="Times New Roman" w:eastAsia="方正小标宋简体" w:cs="方正小标宋简体"/>
              <w:sz w:val="21"/>
              <w:szCs w:val="21"/>
              <w:highlight w:val="none"/>
            </w:rPr>
            <w:fldChar w:fldCharType="separate"/>
          </w:r>
          <w:r>
            <w:rPr>
              <w:rFonts w:hint="eastAsia" w:ascii="仿宋_GB2312" w:hAnsi="仿宋_GB2312" w:eastAsia="仿宋_GB2312" w:cs="仿宋_GB2312"/>
              <w:sz w:val="21"/>
              <w:szCs w:val="21"/>
              <w:highlight w:val="none"/>
              <w:lang w:val="zh-CN"/>
            </w:rPr>
            <w:t>六、一般公共预算财政拨款支出决算表</w:t>
          </w:r>
          <w:r>
            <w:rPr>
              <w:sz w:val="21"/>
              <w:szCs w:val="21"/>
            </w:rPr>
            <w:tab/>
          </w:r>
          <w:r>
            <w:rPr>
              <w:sz w:val="21"/>
              <w:szCs w:val="21"/>
            </w:rPr>
            <w:fldChar w:fldCharType="begin"/>
          </w:r>
          <w:r>
            <w:rPr>
              <w:sz w:val="21"/>
              <w:szCs w:val="21"/>
            </w:rPr>
            <w:instrText xml:space="preserve"> PAGEREF _Toc25097 \h </w:instrText>
          </w:r>
          <w:r>
            <w:rPr>
              <w:sz w:val="21"/>
              <w:szCs w:val="21"/>
            </w:rPr>
            <w:fldChar w:fldCharType="separate"/>
          </w:r>
          <w:r>
            <w:rPr>
              <w:sz w:val="21"/>
              <w:szCs w:val="21"/>
            </w:rPr>
            <w:t>88</w:t>
          </w:r>
          <w:r>
            <w:rPr>
              <w:sz w:val="21"/>
              <w:szCs w:val="21"/>
            </w:rPr>
            <w:fldChar w:fldCharType="end"/>
          </w:r>
          <w:r>
            <w:rPr>
              <w:rFonts w:hint="eastAsia" w:ascii="Times New Roman" w:hAnsi="Times New Roman" w:eastAsia="方正小标宋简体" w:cs="方正小标宋简体"/>
              <w:color w:val="auto"/>
              <w:sz w:val="21"/>
              <w:szCs w:val="21"/>
              <w:highlight w:val="none"/>
            </w:rPr>
            <w:fldChar w:fldCharType="end"/>
          </w:r>
        </w:p>
        <w:p>
          <w:pPr>
            <w:pStyle w:val="12"/>
            <w:tabs>
              <w:tab w:val="right" w:leader="dot" w:pos="8306"/>
              <w:tab w:val="clear" w:pos="8296"/>
            </w:tabs>
            <w:rPr>
              <w:sz w:val="21"/>
              <w:szCs w:val="21"/>
            </w:rPr>
          </w:pPr>
          <w:r>
            <w:rPr>
              <w:rFonts w:hint="eastAsia" w:ascii="Times New Roman" w:hAnsi="Times New Roman" w:eastAsia="方正小标宋简体" w:cs="方正小标宋简体"/>
              <w:color w:val="auto"/>
              <w:sz w:val="21"/>
              <w:szCs w:val="21"/>
              <w:highlight w:val="none"/>
            </w:rPr>
            <w:fldChar w:fldCharType="begin"/>
          </w:r>
          <w:r>
            <w:rPr>
              <w:rFonts w:hint="eastAsia" w:ascii="Times New Roman" w:hAnsi="Times New Roman" w:eastAsia="方正小标宋简体" w:cs="方正小标宋简体"/>
              <w:sz w:val="21"/>
              <w:szCs w:val="21"/>
              <w:highlight w:val="none"/>
            </w:rPr>
            <w:instrText xml:space="preserve"> HYPERLINK \l _Toc27342 </w:instrText>
          </w:r>
          <w:r>
            <w:rPr>
              <w:rFonts w:hint="eastAsia" w:ascii="Times New Roman" w:hAnsi="Times New Roman" w:eastAsia="方正小标宋简体" w:cs="方正小标宋简体"/>
              <w:sz w:val="21"/>
              <w:szCs w:val="21"/>
              <w:highlight w:val="none"/>
            </w:rPr>
            <w:fldChar w:fldCharType="separate"/>
          </w:r>
          <w:r>
            <w:rPr>
              <w:rFonts w:hint="eastAsia" w:ascii="仿宋_GB2312" w:hAnsi="仿宋_GB2312" w:eastAsia="仿宋_GB2312" w:cs="仿宋_GB2312"/>
              <w:sz w:val="21"/>
              <w:szCs w:val="21"/>
              <w:highlight w:val="none"/>
              <w:lang w:val="zh-CN"/>
            </w:rPr>
            <w:t>七、一般公共预算财政拨款支出决算明细表</w:t>
          </w:r>
          <w:r>
            <w:rPr>
              <w:sz w:val="21"/>
              <w:szCs w:val="21"/>
            </w:rPr>
            <w:tab/>
          </w:r>
          <w:r>
            <w:rPr>
              <w:sz w:val="21"/>
              <w:szCs w:val="21"/>
            </w:rPr>
            <w:fldChar w:fldCharType="begin"/>
          </w:r>
          <w:r>
            <w:rPr>
              <w:sz w:val="21"/>
              <w:szCs w:val="21"/>
            </w:rPr>
            <w:instrText xml:space="preserve"> PAGEREF _Toc27342 \h </w:instrText>
          </w:r>
          <w:r>
            <w:rPr>
              <w:sz w:val="21"/>
              <w:szCs w:val="21"/>
            </w:rPr>
            <w:fldChar w:fldCharType="separate"/>
          </w:r>
          <w:r>
            <w:rPr>
              <w:sz w:val="21"/>
              <w:szCs w:val="21"/>
            </w:rPr>
            <w:t>88</w:t>
          </w:r>
          <w:r>
            <w:rPr>
              <w:sz w:val="21"/>
              <w:szCs w:val="21"/>
            </w:rPr>
            <w:fldChar w:fldCharType="end"/>
          </w:r>
          <w:r>
            <w:rPr>
              <w:rFonts w:hint="eastAsia" w:ascii="Times New Roman" w:hAnsi="Times New Roman" w:eastAsia="方正小标宋简体" w:cs="方正小标宋简体"/>
              <w:color w:val="auto"/>
              <w:sz w:val="21"/>
              <w:szCs w:val="21"/>
              <w:highlight w:val="none"/>
            </w:rPr>
            <w:fldChar w:fldCharType="end"/>
          </w:r>
        </w:p>
        <w:p>
          <w:pPr>
            <w:pStyle w:val="12"/>
            <w:tabs>
              <w:tab w:val="right" w:leader="dot" w:pos="8306"/>
              <w:tab w:val="clear" w:pos="8296"/>
            </w:tabs>
            <w:rPr>
              <w:sz w:val="21"/>
              <w:szCs w:val="21"/>
            </w:rPr>
          </w:pPr>
          <w:r>
            <w:rPr>
              <w:rFonts w:hint="eastAsia" w:ascii="Times New Roman" w:hAnsi="Times New Roman" w:eastAsia="方正小标宋简体" w:cs="方正小标宋简体"/>
              <w:color w:val="auto"/>
              <w:sz w:val="21"/>
              <w:szCs w:val="21"/>
              <w:highlight w:val="none"/>
            </w:rPr>
            <w:fldChar w:fldCharType="begin"/>
          </w:r>
          <w:r>
            <w:rPr>
              <w:rFonts w:hint="eastAsia" w:ascii="Times New Roman" w:hAnsi="Times New Roman" w:eastAsia="方正小标宋简体" w:cs="方正小标宋简体"/>
              <w:sz w:val="21"/>
              <w:szCs w:val="21"/>
              <w:highlight w:val="none"/>
            </w:rPr>
            <w:instrText xml:space="preserve"> HYPERLINK \l _Toc30737 </w:instrText>
          </w:r>
          <w:r>
            <w:rPr>
              <w:rFonts w:hint="eastAsia" w:ascii="Times New Roman" w:hAnsi="Times New Roman" w:eastAsia="方正小标宋简体" w:cs="方正小标宋简体"/>
              <w:sz w:val="21"/>
              <w:szCs w:val="21"/>
              <w:highlight w:val="none"/>
            </w:rPr>
            <w:fldChar w:fldCharType="separate"/>
          </w:r>
          <w:r>
            <w:rPr>
              <w:rFonts w:hint="eastAsia" w:ascii="仿宋_GB2312" w:hAnsi="仿宋_GB2312" w:eastAsia="仿宋_GB2312" w:cs="仿宋_GB2312"/>
              <w:sz w:val="21"/>
              <w:szCs w:val="21"/>
              <w:highlight w:val="none"/>
              <w:lang w:val="zh-CN"/>
            </w:rPr>
            <w:t>八、一般公共预算财政拨款基本支出决算表</w:t>
          </w:r>
          <w:r>
            <w:rPr>
              <w:sz w:val="21"/>
              <w:szCs w:val="21"/>
            </w:rPr>
            <w:tab/>
          </w:r>
          <w:r>
            <w:rPr>
              <w:sz w:val="21"/>
              <w:szCs w:val="21"/>
            </w:rPr>
            <w:fldChar w:fldCharType="begin"/>
          </w:r>
          <w:r>
            <w:rPr>
              <w:sz w:val="21"/>
              <w:szCs w:val="21"/>
            </w:rPr>
            <w:instrText xml:space="preserve"> PAGEREF _Toc30737 \h </w:instrText>
          </w:r>
          <w:r>
            <w:rPr>
              <w:sz w:val="21"/>
              <w:szCs w:val="21"/>
            </w:rPr>
            <w:fldChar w:fldCharType="separate"/>
          </w:r>
          <w:r>
            <w:rPr>
              <w:sz w:val="21"/>
              <w:szCs w:val="21"/>
            </w:rPr>
            <w:t>88</w:t>
          </w:r>
          <w:r>
            <w:rPr>
              <w:sz w:val="21"/>
              <w:szCs w:val="21"/>
            </w:rPr>
            <w:fldChar w:fldCharType="end"/>
          </w:r>
          <w:r>
            <w:rPr>
              <w:rFonts w:hint="eastAsia" w:ascii="Times New Roman" w:hAnsi="Times New Roman" w:eastAsia="方正小标宋简体" w:cs="方正小标宋简体"/>
              <w:color w:val="auto"/>
              <w:sz w:val="21"/>
              <w:szCs w:val="21"/>
              <w:highlight w:val="none"/>
            </w:rPr>
            <w:fldChar w:fldCharType="end"/>
          </w:r>
        </w:p>
        <w:p>
          <w:pPr>
            <w:pStyle w:val="12"/>
            <w:tabs>
              <w:tab w:val="right" w:leader="dot" w:pos="8306"/>
              <w:tab w:val="clear" w:pos="8296"/>
            </w:tabs>
            <w:rPr>
              <w:sz w:val="21"/>
              <w:szCs w:val="21"/>
            </w:rPr>
          </w:pPr>
          <w:r>
            <w:rPr>
              <w:rFonts w:hint="eastAsia" w:ascii="Times New Roman" w:hAnsi="Times New Roman" w:eastAsia="方正小标宋简体" w:cs="方正小标宋简体"/>
              <w:color w:val="auto"/>
              <w:sz w:val="21"/>
              <w:szCs w:val="21"/>
              <w:highlight w:val="none"/>
            </w:rPr>
            <w:fldChar w:fldCharType="begin"/>
          </w:r>
          <w:r>
            <w:rPr>
              <w:rFonts w:hint="eastAsia" w:ascii="Times New Roman" w:hAnsi="Times New Roman" w:eastAsia="方正小标宋简体" w:cs="方正小标宋简体"/>
              <w:sz w:val="21"/>
              <w:szCs w:val="21"/>
              <w:highlight w:val="none"/>
            </w:rPr>
            <w:instrText xml:space="preserve"> HYPERLINK \l _Toc21256 </w:instrText>
          </w:r>
          <w:r>
            <w:rPr>
              <w:rFonts w:hint="eastAsia" w:ascii="Times New Roman" w:hAnsi="Times New Roman" w:eastAsia="方正小标宋简体" w:cs="方正小标宋简体"/>
              <w:sz w:val="21"/>
              <w:szCs w:val="21"/>
              <w:highlight w:val="none"/>
            </w:rPr>
            <w:fldChar w:fldCharType="separate"/>
          </w:r>
          <w:r>
            <w:rPr>
              <w:rFonts w:hint="eastAsia" w:ascii="仿宋_GB2312" w:hAnsi="仿宋_GB2312" w:eastAsia="仿宋_GB2312" w:cs="仿宋_GB2312"/>
              <w:sz w:val="21"/>
              <w:szCs w:val="21"/>
              <w:highlight w:val="none"/>
              <w:lang w:val="zh-CN"/>
            </w:rPr>
            <w:t>九、一般公共预算财政拨款项目支出决算表</w:t>
          </w:r>
          <w:r>
            <w:rPr>
              <w:sz w:val="21"/>
              <w:szCs w:val="21"/>
            </w:rPr>
            <w:tab/>
          </w:r>
          <w:r>
            <w:rPr>
              <w:sz w:val="21"/>
              <w:szCs w:val="21"/>
            </w:rPr>
            <w:fldChar w:fldCharType="begin"/>
          </w:r>
          <w:r>
            <w:rPr>
              <w:sz w:val="21"/>
              <w:szCs w:val="21"/>
            </w:rPr>
            <w:instrText xml:space="preserve"> PAGEREF _Toc21256 \h </w:instrText>
          </w:r>
          <w:r>
            <w:rPr>
              <w:sz w:val="21"/>
              <w:szCs w:val="21"/>
            </w:rPr>
            <w:fldChar w:fldCharType="separate"/>
          </w:r>
          <w:r>
            <w:rPr>
              <w:sz w:val="21"/>
              <w:szCs w:val="21"/>
            </w:rPr>
            <w:t>88</w:t>
          </w:r>
          <w:r>
            <w:rPr>
              <w:sz w:val="21"/>
              <w:szCs w:val="21"/>
            </w:rPr>
            <w:fldChar w:fldCharType="end"/>
          </w:r>
          <w:r>
            <w:rPr>
              <w:rFonts w:hint="eastAsia" w:ascii="Times New Roman" w:hAnsi="Times New Roman" w:eastAsia="方正小标宋简体" w:cs="方正小标宋简体"/>
              <w:color w:val="auto"/>
              <w:sz w:val="21"/>
              <w:szCs w:val="21"/>
              <w:highlight w:val="none"/>
            </w:rPr>
            <w:fldChar w:fldCharType="end"/>
          </w:r>
        </w:p>
        <w:p>
          <w:pPr>
            <w:pStyle w:val="12"/>
            <w:tabs>
              <w:tab w:val="right" w:leader="dot" w:pos="8306"/>
              <w:tab w:val="clear" w:pos="8296"/>
            </w:tabs>
            <w:rPr>
              <w:sz w:val="21"/>
              <w:szCs w:val="21"/>
            </w:rPr>
          </w:pPr>
          <w:r>
            <w:rPr>
              <w:rFonts w:hint="eastAsia" w:ascii="Times New Roman" w:hAnsi="Times New Roman" w:eastAsia="方正小标宋简体" w:cs="方正小标宋简体"/>
              <w:color w:val="auto"/>
              <w:sz w:val="21"/>
              <w:szCs w:val="21"/>
              <w:highlight w:val="none"/>
            </w:rPr>
            <w:fldChar w:fldCharType="begin"/>
          </w:r>
          <w:r>
            <w:rPr>
              <w:rFonts w:hint="eastAsia" w:ascii="Times New Roman" w:hAnsi="Times New Roman" w:eastAsia="方正小标宋简体" w:cs="方正小标宋简体"/>
              <w:sz w:val="21"/>
              <w:szCs w:val="21"/>
              <w:highlight w:val="none"/>
            </w:rPr>
            <w:instrText xml:space="preserve"> HYPERLINK \l _Toc3472 </w:instrText>
          </w:r>
          <w:r>
            <w:rPr>
              <w:rFonts w:hint="eastAsia" w:ascii="Times New Roman" w:hAnsi="Times New Roman" w:eastAsia="方正小标宋简体" w:cs="方正小标宋简体"/>
              <w:sz w:val="21"/>
              <w:szCs w:val="21"/>
              <w:highlight w:val="none"/>
            </w:rPr>
            <w:fldChar w:fldCharType="separate"/>
          </w:r>
          <w:r>
            <w:rPr>
              <w:rFonts w:hint="eastAsia" w:ascii="仿宋_GB2312" w:hAnsi="仿宋_GB2312" w:eastAsia="仿宋_GB2312" w:cs="仿宋_GB2312"/>
              <w:sz w:val="21"/>
              <w:szCs w:val="21"/>
              <w:highlight w:val="none"/>
              <w:lang w:val="zh-CN"/>
            </w:rPr>
            <w:t>十、政府性基金预算财政拨款收入支出决算表</w:t>
          </w:r>
          <w:r>
            <w:rPr>
              <w:sz w:val="21"/>
              <w:szCs w:val="21"/>
            </w:rPr>
            <w:tab/>
          </w:r>
          <w:r>
            <w:rPr>
              <w:sz w:val="21"/>
              <w:szCs w:val="21"/>
            </w:rPr>
            <w:fldChar w:fldCharType="begin"/>
          </w:r>
          <w:r>
            <w:rPr>
              <w:sz w:val="21"/>
              <w:szCs w:val="21"/>
            </w:rPr>
            <w:instrText xml:space="preserve"> PAGEREF _Toc3472 \h </w:instrText>
          </w:r>
          <w:r>
            <w:rPr>
              <w:sz w:val="21"/>
              <w:szCs w:val="21"/>
            </w:rPr>
            <w:fldChar w:fldCharType="separate"/>
          </w:r>
          <w:r>
            <w:rPr>
              <w:sz w:val="21"/>
              <w:szCs w:val="21"/>
            </w:rPr>
            <w:t>88</w:t>
          </w:r>
          <w:r>
            <w:rPr>
              <w:sz w:val="21"/>
              <w:szCs w:val="21"/>
            </w:rPr>
            <w:fldChar w:fldCharType="end"/>
          </w:r>
          <w:r>
            <w:rPr>
              <w:rFonts w:hint="eastAsia" w:ascii="Times New Roman" w:hAnsi="Times New Roman" w:eastAsia="方正小标宋简体" w:cs="方正小标宋简体"/>
              <w:color w:val="auto"/>
              <w:sz w:val="21"/>
              <w:szCs w:val="21"/>
              <w:highlight w:val="none"/>
            </w:rPr>
            <w:fldChar w:fldCharType="end"/>
          </w:r>
        </w:p>
        <w:p>
          <w:pPr>
            <w:pStyle w:val="12"/>
            <w:tabs>
              <w:tab w:val="right" w:leader="dot" w:pos="8306"/>
              <w:tab w:val="clear" w:pos="8296"/>
            </w:tabs>
            <w:rPr>
              <w:sz w:val="21"/>
              <w:szCs w:val="21"/>
            </w:rPr>
          </w:pPr>
          <w:r>
            <w:rPr>
              <w:rFonts w:hint="eastAsia" w:ascii="Times New Roman" w:hAnsi="Times New Roman" w:eastAsia="方正小标宋简体" w:cs="方正小标宋简体"/>
              <w:color w:val="auto"/>
              <w:sz w:val="21"/>
              <w:szCs w:val="21"/>
              <w:highlight w:val="none"/>
            </w:rPr>
            <w:fldChar w:fldCharType="begin"/>
          </w:r>
          <w:r>
            <w:rPr>
              <w:rFonts w:hint="eastAsia" w:ascii="Times New Roman" w:hAnsi="Times New Roman" w:eastAsia="方正小标宋简体" w:cs="方正小标宋简体"/>
              <w:sz w:val="21"/>
              <w:szCs w:val="21"/>
              <w:highlight w:val="none"/>
            </w:rPr>
            <w:instrText xml:space="preserve"> HYPERLINK \l _Toc16545 </w:instrText>
          </w:r>
          <w:r>
            <w:rPr>
              <w:rFonts w:hint="eastAsia" w:ascii="Times New Roman" w:hAnsi="Times New Roman" w:eastAsia="方正小标宋简体" w:cs="方正小标宋简体"/>
              <w:sz w:val="21"/>
              <w:szCs w:val="21"/>
              <w:highlight w:val="none"/>
            </w:rPr>
            <w:fldChar w:fldCharType="separate"/>
          </w:r>
          <w:r>
            <w:rPr>
              <w:rFonts w:hint="eastAsia" w:ascii="仿宋_GB2312" w:hAnsi="仿宋_GB2312" w:eastAsia="仿宋_GB2312" w:cs="仿宋_GB2312"/>
              <w:sz w:val="21"/>
              <w:szCs w:val="21"/>
              <w:highlight w:val="none"/>
              <w:lang w:val="zh-CN"/>
            </w:rPr>
            <w:t>十一、国有资本经营预算</w:t>
          </w:r>
          <w:r>
            <w:rPr>
              <w:rFonts w:hint="eastAsia" w:ascii="仿宋_GB2312" w:hAnsi="仿宋_GB2312" w:eastAsia="仿宋_GB2312" w:cs="仿宋_GB2312"/>
              <w:sz w:val="21"/>
              <w:szCs w:val="21"/>
              <w:highlight w:val="none"/>
              <w:lang w:val="zh-CN" w:eastAsia="zh-CN"/>
            </w:rPr>
            <w:t>财政拨款收入</w:t>
          </w:r>
          <w:r>
            <w:rPr>
              <w:rFonts w:hint="eastAsia" w:ascii="仿宋_GB2312" w:hAnsi="仿宋_GB2312" w:eastAsia="仿宋_GB2312" w:cs="仿宋_GB2312"/>
              <w:sz w:val="21"/>
              <w:szCs w:val="21"/>
              <w:highlight w:val="none"/>
              <w:lang w:val="zh-CN"/>
            </w:rPr>
            <w:t>支出决算表</w:t>
          </w:r>
          <w:r>
            <w:rPr>
              <w:sz w:val="21"/>
              <w:szCs w:val="21"/>
            </w:rPr>
            <w:tab/>
          </w:r>
          <w:r>
            <w:rPr>
              <w:sz w:val="21"/>
              <w:szCs w:val="21"/>
            </w:rPr>
            <w:fldChar w:fldCharType="begin"/>
          </w:r>
          <w:r>
            <w:rPr>
              <w:sz w:val="21"/>
              <w:szCs w:val="21"/>
            </w:rPr>
            <w:instrText xml:space="preserve"> PAGEREF _Toc16545 \h </w:instrText>
          </w:r>
          <w:r>
            <w:rPr>
              <w:sz w:val="21"/>
              <w:szCs w:val="21"/>
            </w:rPr>
            <w:fldChar w:fldCharType="separate"/>
          </w:r>
          <w:r>
            <w:rPr>
              <w:sz w:val="21"/>
              <w:szCs w:val="21"/>
            </w:rPr>
            <w:t>88</w:t>
          </w:r>
          <w:r>
            <w:rPr>
              <w:sz w:val="21"/>
              <w:szCs w:val="21"/>
            </w:rPr>
            <w:fldChar w:fldCharType="end"/>
          </w:r>
          <w:r>
            <w:rPr>
              <w:rFonts w:hint="eastAsia" w:ascii="Times New Roman" w:hAnsi="Times New Roman" w:eastAsia="方正小标宋简体" w:cs="方正小标宋简体"/>
              <w:color w:val="auto"/>
              <w:sz w:val="21"/>
              <w:szCs w:val="21"/>
              <w:highlight w:val="none"/>
            </w:rPr>
            <w:fldChar w:fldCharType="end"/>
          </w:r>
        </w:p>
        <w:p>
          <w:pPr>
            <w:pStyle w:val="12"/>
            <w:tabs>
              <w:tab w:val="right" w:leader="dot" w:pos="8306"/>
              <w:tab w:val="clear" w:pos="8296"/>
            </w:tabs>
            <w:rPr>
              <w:sz w:val="21"/>
              <w:szCs w:val="21"/>
            </w:rPr>
          </w:pPr>
          <w:r>
            <w:rPr>
              <w:rFonts w:hint="eastAsia" w:ascii="Times New Roman" w:hAnsi="Times New Roman" w:eastAsia="方正小标宋简体" w:cs="方正小标宋简体"/>
              <w:color w:val="auto"/>
              <w:sz w:val="21"/>
              <w:szCs w:val="21"/>
              <w:highlight w:val="none"/>
            </w:rPr>
            <w:fldChar w:fldCharType="begin"/>
          </w:r>
          <w:r>
            <w:rPr>
              <w:rFonts w:hint="eastAsia" w:ascii="Times New Roman" w:hAnsi="Times New Roman" w:eastAsia="方正小标宋简体" w:cs="方正小标宋简体"/>
              <w:sz w:val="21"/>
              <w:szCs w:val="21"/>
              <w:highlight w:val="none"/>
            </w:rPr>
            <w:instrText xml:space="preserve"> HYPERLINK \l _Toc28832 </w:instrText>
          </w:r>
          <w:r>
            <w:rPr>
              <w:rFonts w:hint="eastAsia" w:ascii="Times New Roman" w:hAnsi="Times New Roman" w:eastAsia="方正小标宋简体" w:cs="方正小标宋简体"/>
              <w:sz w:val="21"/>
              <w:szCs w:val="21"/>
              <w:highlight w:val="none"/>
            </w:rPr>
            <w:fldChar w:fldCharType="separate"/>
          </w:r>
          <w:r>
            <w:rPr>
              <w:rFonts w:hint="eastAsia" w:ascii="仿宋_GB2312" w:hAnsi="仿宋_GB2312" w:eastAsia="仿宋_GB2312" w:cs="仿宋_GB2312"/>
              <w:sz w:val="21"/>
              <w:szCs w:val="21"/>
              <w:highlight w:val="none"/>
              <w:lang w:val="zh-CN"/>
            </w:rPr>
            <w:t>十二、</w:t>
          </w:r>
          <w:r>
            <w:rPr>
              <w:rFonts w:hint="eastAsia" w:ascii="仿宋_GB2312" w:hAnsi="仿宋_GB2312" w:eastAsia="仿宋_GB2312" w:cs="仿宋_GB2312"/>
              <w:sz w:val="21"/>
              <w:szCs w:val="21"/>
              <w:highlight w:val="none"/>
              <w:lang w:val="zh-CN" w:eastAsia="zh-CN"/>
            </w:rPr>
            <w:t>国有资本经营预算财政拨款支出决算表</w:t>
          </w:r>
          <w:r>
            <w:rPr>
              <w:sz w:val="21"/>
              <w:szCs w:val="21"/>
            </w:rPr>
            <w:tab/>
          </w:r>
          <w:r>
            <w:rPr>
              <w:sz w:val="21"/>
              <w:szCs w:val="21"/>
            </w:rPr>
            <w:fldChar w:fldCharType="begin"/>
          </w:r>
          <w:r>
            <w:rPr>
              <w:sz w:val="21"/>
              <w:szCs w:val="21"/>
            </w:rPr>
            <w:instrText xml:space="preserve"> PAGEREF _Toc28832 \h </w:instrText>
          </w:r>
          <w:r>
            <w:rPr>
              <w:sz w:val="21"/>
              <w:szCs w:val="21"/>
            </w:rPr>
            <w:fldChar w:fldCharType="separate"/>
          </w:r>
          <w:r>
            <w:rPr>
              <w:sz w:val="21"/>
              <w:szCs w:val="21"/>
            </w:rPr>
            <w:t>88</w:t>
          </w:r>
          <w:r>
            <w:rPr>
              <w:sz w:val="21"/>
              <w:szCs w:val="21"/>
            </w:rPr>
            <w:fldChar w:fldCharType="end"/>
          </w:r>
          <w:r>
            <w:rPr>
              <w:rFonts w:hint="eastAsia" w:ascii="Times New Roman" w:hAnsi="Times New Roman" w:eastAsia="方正小标宋简体" w:cs="方正小标宋简体"/>
              <w:color w:val="auto"/>
              <w:sz w:val="21"/>
              <w:szCs w:val="21"/>
              <w:highlight w:val="none"/>
            </w:rPr>
            <w:fldChar w:fldCharType="end"/>
          </w:r>
        </w:p>
        <w:p>
          <w:pPr>
            <w:pStyle w:val="12"/>
            <w:tabs>
              <w:tab w:val="right" w:leader="dot" w:pos="8306"/>
              <w:tab w:val="clear" w:pos="8296"/>
            </w:tabs>
          </w:pPr>
          <w:r>
            <w:rPr>
              <w:rFonts w:hint="eastAsia" w:ascii="Times New Roman" w:hAnsi="Times New Roman" w:eastAsia="方正小标宋简体" w:cs="方正小标宋简体"/>
              <w:color w:val="auto"/>
              <w:sz w:val="21"/>
              <w:szCs w:val="21"/>
              <w:highlight w:val="none"/>
            </w:rPr>
            <w:fldChar w:fldCharType="begin"/>
          </w:r>
          <w:r>
            <w:rPr>
              <w:rFonts w:hint="eastAsia" w:ascii="Times New Roman" w:hAnsi="Times New Roman" w:eastAsia="方正小标宋简体" w:cs="方正小标宋简体"/>
              <w:sz w:val="21"/>
              <w:szCs w:val="21"/>
              <w:highlight w:val="none"/>
            </w:rPr>
            <w:instrText xml:space="preserve"> HYPERLINK \l _Toc29058 </w:instrText>
          </w:r>
          <w:r>
            <w:rPr>
              <w:rFonts w:hint="eastAsia" w:ascii="Times New Roman" w:hAnsi="Times New Roman" w:eastAsia="方正小标宋简体" w:cs="方正小标宋简体"/>
              <w:sz w:val="21"/>
              <w:szCs w:val="21"/>
              <w:highlight w:val="none"/>
            </w:rPr>
            <w:fldChar w:fldCharType="separate"/>
          </w:r>
          <w:r>
            <w:rPr>
              <w:rFonts w:hint="eastAsia" w:ascii="仿宋_GB2312" w:hAnsi="仿宋_GB2312" w:eastAsia="仿宋_GB2312" w:cs="仿宋_GB2312"/>
              <w:sz w:val="21"/>
              <w:szCs w:val="21"/>
              <w:highlight w:val="none"/>
              <w:lang w:val="zh-CN"/>
            </w:rPr>
            <w:t>十三、</w:t>
          </w:r>
          <w:r>
            <w:rPr>
              <w:rFonts w:hint="eastAsia" w:ascii="仿宋_GB2312" w:hAnsi="仿宋_GB2312" w:eastAsia="仿宋_GB2312" w:cs="仿宋_GB2312"/>
              <w:sz w:val="21"/>
              <w:szCs w:val="21"/>
              <w:highlight w:val="none"/>
              <w:lang w:val="zh-CN" w:eastAsia="zh-CN"/>
            </w:rPr>
            <w:t>财政拨款“三公”经费支出决算表</w:t>
          </w:r>
          <w:r>
            <w:rPr>
              <w:sz w:val="21"/>
              <w:szCs w:val="21"/>
            </w:rPr>
            <w:tab/>
          </w:r>
          <w:r>
            <w:rPr>
              <w:sz w:val="21"/>
              <w:szCs w:val="21"/>
            </w:rPr>
            <w:fldChar w:fldCharType="begin"/>
          </w:r>
          <w:r>
            <w:rPr>
              <w:sz w:val="21"/>
              <w:szCs w:val="21"/>
            </w:rPr>
            <w:instrText xml:space="preserve"> PAGEREF _Toc29058 \h </w:instrText>
          </w:r>
          <w:r>
            <w:rPr>
              <w:sz w:val="21"/>
              <w:szCs w:val="21"/>
            </w:rPr>
            <w:fldChar w:fldCharType="separate"/>
          </w:r>
          <w:r>
            <w:rPr>
              <w:sz w:val="21"/>
              <w:szCs w:val="21"/>
            </w:rPr>
            <w:t>88</w:t>
          </w:r>
          <w:r>
            <w:rPr>
              <w:sz w:val="21"/>
              <w:szCs w:val="21"/>
            </w:rPr>
            <w:fldChar w:fldCharType="end"/>
          </w:r>
          <w:r>
            <w:rPr>
              <w:rFonts w:hint="eastAsia" w:ascii="Times New Roman" w:hAnsi="Times New Roman" w:eastAsia="方正小标宋简体" w:cs="方正小标宋简体"/>
              <w:color w:val="auto"/>
              <w:sz w:val="21"/>
              <w:szCs w:val="21"/>
              <w:highlight w:val="none"/>
            </w:rPr>
            <w:fldChar w:fldCharType="end"/>
          </w:r>
        </w:p>
        <w:p>
          <w:pPr>
            <w:pStyle w:val="3"/>
            <w:pageBreakBefore w:val="0"/>
            <w:kinsoku/>
            <w:wordWrap/>
            <w:overflowPunct/>
            <w:topLinePunct w:val="0"/>
            <w:bidi w:val="0"/>
            <w:spacing w:line="576" w:lineRule="exact"/>
            <w:jc w:val="center"/>
            <w:rPr>
              <w:rFonts w:hint="eastAsia" w:ascii="Times New Roman" w:hAnsi="Times New Roman" w:eastAsia="方正小标宋简体" w:cs="方正小标宋简体"/>
              <w:b/>
              <w:bCs/>
              <w:color w:val="auto"/>
              <w:kern w:val="44"/>
              <w:sz w:val="44"/>
              <w:szCs w:val="44"/>
              <w:highlight w:val="none"/>
              <w:lang w:val="en-US" w:eastAsia="zh-CN" w:bidi="ar-SA"/>
            </w:rPr>
          </w:pPr>
          <w:r>
            <w:rPr>
              <w:rFonts w:hint="eastAsia" w:ascii="Times New Roman" w:hAnsi="Times New Roman" w:eastAsia="方正小标宋简体" w:cs="方正小标宋简体"/>
              <w:color w:val="auto"/>
              <w:highlight w:val="none"/>
            </w:rPr>
            <w:fldChar w:fldCharType="end"/>
          </w:r>
        </w:p>
      </w:sdtContent>
    </w:sdt>
    <w:p>
      <w:pPr>
        <w:rPr>
          <w:rFonts w:hint="eastAsia"/>
        </w:rPr>
      </w:pPr>
    </w:p>
    <w:p>
      <w:pPr>
        <w:rPr>
          <w:rFonts w:hint="eastAsia" w:ascii="Times New Roman" w:hAnsi="Times New Roman" w:eastAsia="方正小标宋简体" w:cs="方正小标宋简体"/>
          <w:b w:val="0"/>
          <w:color w:val="auto"/>
          <w:highlight w:val="none"/>
        </w:rPr>
      </w:pPr>
    </w:p>
    <w:p>
      <w:pPr>
        <w:rPr>
          <w:rFonts w:hint="eastAsia" w:ascii="Times New Roman" w:hAnsi="Times New Roman" w:eastAsia="方正小标宋简体" w:cs="方正小标宋简体"/>
          <w:b w:val="0"/>
          <w:color w:val="auto"/>
          <w:highlight w:val="none"/>
        </w:rPr>
      </w:pPr>
    </w:p>
    <w:p>
      <w:pPr>
        <w:rPr>
          <w:rFonts w:hint="eastAsia" w:ascii="Times New Roman" w:hAnsi="Times New Roman" w:eastAsia="方正小标宋简体" w:cs="方正小标宋简体"/>
          <w:b w:val="0"/>
          <w:color w:val="auto"/>
          <w:highlight w:val="none"/>
        </w:rPr>
      </w:pPr>
    </w:p>
    <w:p>
      <w:pPr>
        <w:rPr>
          <w:rFonts w:hint="eastAsia" w:ascii="Times New Roman" w:hAnsi="Times New Roman" w:eastAsia="方正小标宋简体" w:cs="方正小标宋简体"/>
          <w:b w:val="0"/>
          <w:color w:val="auto"/>
          <w:highlight w:val="none"/>
        </w:rPr>
      </w:pPr>
    </w:p>
    <w:p>
      <w:pPr>
        <w:rPr>
          <w:rFonts w:hint="eastAsia" w:ascii="Times New Roman" w:hAnsi="Times New Roman" w:eastAsia="方正小标宋简体" w:cs="方正小标宋简体"/>
          <w:b w:val="0"/>
          <w:color w:val="auto"/>
          <w:highlight w:val="none"/>
        </w:rPr>
      </w:pPr>
    </w:p>
    <w:p>
      <w:pPr>
        <w:rPr>
          <w:rFonts w:hint="eastAsia" w:ascii="Times New Roman" w:hAnsi="Times New Roman" w:eastAsia="方正小标宋简体" w:cs="方正小标宋简体"/>
          <w:b w:val="0"/>
          <w:color w:val="auto"/>
          <w:highlight w:val="none"/>
        </w:rPr>
      </w:pPr>
    </w:p>
    <w:p>
      <w:pPr>
        <w:rPr>
          <w:rFonts w:hint="eastAsia" w:ascii="Times New Roman" w:hAnsi="Times New Roman" w:eastAsia="方正小标宋简体" w:cs="方正小标宋简体"/>
          <w:b w:val="0"/>
          <w:color w:val="auto"/>
          <w:highlight w:val="none"/>
        </w:rPr>
      </w:pPr>
    </w:p>
    <w:p>
      <w:pPr>
        <w:rPr>
          <w:rFonts w:hint="eastAsia" w:ascii="Times New Roman" w:hAnsi="Times New Roman" w:eastAsia="方正小标宋简体" w:cs="方正小标宋简体"/>
          <w:b w:val="0"/>
          <w:color w:val="auto"/>
          <w:highlight w:val="none"/>
        </w:rPr>
      </w:pPr>
    </w:p>
    <w:p>
      <w:pPr>
        <w:rPr>
          <w:rFonts w:hint="eastAsia" w:ascii="Times New Roman" w:hAnsi="Times New Roman" w:eastAsia="方正小标宋简体" w:cs="方正小标宋简体"/>
          <w:b w:val="0"/>
          <w:color w:val="auto"/>
          <w:highlight w:val="none"/>
        </w:rPr>
      </w:pPr>
    </w:p>
    <w:p>
      <w:pPr>
        <w:rPr>
          <w:rFonts w:hint="eastAsia" w:ascii="Times New Roman" w:hAnsi="Times New Roman" w:eastAsia="方正小标宋简体" w:cs="方正小标宋简体"/>
          <w:b w:val="0"/>
          <w:color w:val="auto"/>
          <w:highlight w:val="none"/>
        </w:rPr>
      </w:pPr>
    </w:p>
    <w:p>
      <w:pPr>
        <w:rPr>
          <w:rFonts w:hint="eastAsia" w:ascii="Times New Roman" w:hAnsi="Times New Roman" w:eastAsia="方正小标宋简体" w:cs="方正小标宋简体"/>
          <w:b w:val="0"/>
          <w:color w:val="auto"/>
          <w:highlight w:val="none"/>
        </w:rPr>
      </w:pPr>
    </w:p>
    <w:p>
      <w:pPr>
        <w:rPr>
          <w:rFonts w:hint="eastAsia" w:ascii="Times New Roman" w:hAnsi="Times New Roman" w:eastAsia="方正小标宋简体" w:cs="方正小标宋简体"/>
          <w:b w:val="0"/>
          <w:color w:val="auto"/>
          <w:highlight w:val="none"/>
        </w:rPr>
      </w:pPr>
    </w:p>
    <w:p>
      <w:pPr>
        <w:rPr>
          <w:rFonts w:hint="eastAsia" w:ascii="Times New Roman" w:hAnsi="Times New Roman" w:eastAsia="方正小标宋简体" w:cs="方正小标宋简体"/>
          <w:b w:val="0"/>
          <w:color w:val="auto"/>
          <w:highlight w:val="none"/>
        </w:rPr>
      </w:pPr>
    </w:p>
    <w:p>
      <w:pPr>
        <w:rPr>
          <w:rFonts w:hint="eastAsia" w:ascii="Times New Roman" w:hAnsi="Times New Roman" w:eastAsia="方正小标宋简体" w:cs="方正小标宋简体"/>
          <w:b w:val="0"/>
          <w:color w:val="auto"/>
          <w:highlight w:val="none"/>
        </w:rPr>
      </w:pPr>
    </w:p>
    <w:p>
      <w:pPr>
        <w:rPr>
          <w:rFonts w:hint="eastAsia" w:ascii="Times New Roman" w:hAnsi="Times New Roman" w:eastAsia="方正小标宋简体" w:cs="方正小标宋简体"/>
          <w:b w:val="0"/>
          <w:color w:val="auto"/>
          <w:highlight w:val="none"/>
        </w:rPr>
      </w:pPr>
    </w:p>
    <w:p>
      <w:pPr>
        <w:rPr>
          <w:rFonts w:hint="eastAsia" w:ascii="Times New Roman" w:hAnsi="Times New Roman" w:eastAsia="方正小标宋简体" w:cs="方正小标宋简体"/>
          <w:b w:val="0"/>
          <w:color w:val="auto"/>
          <w:highlight w:val="none"/>
        </w:rPr>
      </w:pPr>
    </w:p>
    <w:p>
      <w:pPr>
        <w:rPr>
          <w:rFonts w:hint="eastAsia" w:ascii="Times New Roman" w:hAnsi="Times New Roman" w:eastAsia="方正小标宋简体" w:cs="方正小标宋简体"/>
          <w:b w:val="0"/>
          <w:color w:val="auto"/>
          <w:highlight w:val="none"/>
        </w:rPr>
      </w:pPr>
    </w:p>
    <w:p>
      <w:pPr>
        <w:rPr>
          <w:rFonts w:hint="eastAsia" w:ascii="Times New Roman" w:hAnsi="Times New Roman" w:eastAsia="方正小标宋简体" w:cs="方正小标宋简体"/>
          <w:b w:val="0"/>
          <w:color w:val="auto"/>
          <w:highlight w:val="none"/>
        </w:rPr>
      </w:pPr>
    </w:p>
    <w:p>
      <w:pPr>
        <w:rPr>
          <w:rFonts w:hint="eastAsia" w:ascii="Times New Roman" w:hAnsi="Times New Roman" w:eastAsia="方正小标宋简体" w:cs="方正小标宋简体"/>
          <w:b w:val="0"/>
          <w:color w:val="auto"/>
          <w:highlight w:val="none"/>
        </w:rPr>
      </w:pPr>
    </w:p>
    <w:p>
      <w:pPr>
        <w:rPr>
          <w:rFonts w:hint="eastAsia" w:ascii="Times New Roman" w:hAnsi="Times New Roman" w:eastAsia="方正小标宋简体" w:cs="方正小标宋简体"/>
          <w:b w:val="0"/>
          <w:color w:val="auto"/>
          <w:highlight w:val="none"/>
        </w:rPr>
      </w:pPr>
    </w:p>
    <w:p>
      <w:pPr>
        <w:pStyle w:val="3"/>
        <w:pageBreakBefore w:val="0"/>
        <w:widowControl w:val="0"/>
        <w:kinsoku/>
        <w:wordWrap/>
        <w:overflowPunct/>
        <w:topLinePunct w:val="0"/>
        <w:autoSpaceDE/>
        <w:autoSpaceDN/>
        <w:bidi w:val="0"/>
        <w:adjustRightInd w:val="0"/>
        <w:snapToGrid w:val="0"/>
        <w:spacing w:line="576" w:lineRule="exact"/>
        <w:jc w:val="center"/>
        <w:textAlignment w:val="auto"/>
        <w:rPr>
          <w:rFonts w:ascii="Times New Roman" w:hAnsi="Times New Roman" w:eastAsia="黑体"/>
          <w:color w:val="auto"/>
          <w:sz w:val="32"/>
          <w:szCs w:val="32"/>
          <w:highlight w:val="none"/>
        </w:rPr>
      </w:pPr>
      <w:bookmarkStart w:id="8" w:name="_Toc1652238072"/>
      <w:bookmarkStart w:id="9" w:name="_Toc30484"/>
      <w:r>
        <w:rPr>
          <w:rFonts w:hint="eastAsia" w:ascii="Times New Roman" w:hAnsi="Times New Roman" w:eastAsia="方正小标宋简体" w:cs="方正小标宋简体"/>
          <w:b w:val="0"/>
          <w:color w:val="auto"/>
          <w:highlight w:val="none"/>
        </w:rPr>
        <w:t>第一部分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r>
        <w:rPr>
          <w:rStyle w:val="30"/>
          <w:rFonts w:hint="eastAsia" w:ascii="Times New Roman" w:hAnsi="Times New Roman" w:eastAsia="方正小标宋简体" w:cs="方正小标宋简体"/>
          <w:b w:val="0"/>
          <w:bCs w:val="0"/>
          <w:color w:val="auto"/>
          <w:highlight w:val="none"/>
        </w:rPr>
        <w:t>部门概况</w:t>
      </w:r>
      <w:bookmarkEnd w:id="6"/>
      <w:bookmarkEnd w:id="7"/>
      <w:bookmarkEnd w:id="8"/>
      <w:bookmarkEnd w:id="9"/>
    </w:p>
    <w:p>
      <w:pPr>
        <w:pStyle w:val="29"/>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outlineLvl w:val="1"/>
        <w:rPr>
          <w:rFonts w:hint="eastAsia" w:ascii="黑体" w:hAnsi="黑体" w:eastAsia="黑体" w:cs="黑体"/>
          <w:kern w:val="2"/>
          <w:sz w:val="32"/>
          <w:szCs w:val="32"/>
          <w:lang w:val="en-US" w:eastAsia="zh-CN" w:bidi="ar-SA"/>
        </w:rPr>
      </w:pPr>
      <w:bookmarkStart w:id="10" w:name="_Toc761226933"/>
      <w:bookmarkStart w:id="11" w:name="_Toc32009"/>
      <w:r>
        <w:rPr>
          <w:rFonts w:hint="eastAsia" w:ascii="黑体" w:hAnsi="黑体" w:eastAsia="黑体" w:cs="黑体"/>
          <w:kern w:val="2"/>
          <w:sz w:val="32"/>
          <w:szCs w:val="32"/>
          <w:lang w:val="en-US" w:eastAsia="zh-CN" w:bidi="ar-SA"/>
        </w:rPr>
        <w:t>一、部门职责</w:t>
      </w:r>
      <w:bookmarkEnd w:id="10"/>
      <w:bookmarkEnd w:id="11"/>
    </w:p>
    <w:p>
      <w:pPr>
        <w:keepNext w:val="0"/>
        <w:keepLines w:val="0"/>
        <w:pageBreakBefore w:val="0"/>
        <w:widowControl w:val="0"/>
        <w:kinsoku/>
        <w:wordWrap/>
        <w:overflowPunct/>
        <w:topLinePunct w:val="0"/>
        <w:autoSpaceDE/>
        <w:autoSpaceDN/>
        <w:bidi w:val="0"/>
        <w:adjustRightInd w:val="0"/>
        <w:snapToGrid w:val="0"/>
        <w:spacing w:line="576" w:lineRule="exact"/>
        <w:ind w:left="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1.贯彻执行党和国家的路线方针政策和上级党委、政府各项决策部署，以及本级党员代表大会(党员大会)、人民代表大会的决议决定。</w:t>
      </w:r>
    </w:p>
    <w:p>
      <w:pPr>
        <w:keepNext w:val="0"/>
        <w:keepLines w:val="0"/>
        <w:pageBreakBefore w:val="0"/>
        <w:widowControl w:val="0"/>
        <w:kinsoku/>
        <w:wordWrap/>
        <w:overflowPunct/>
        <w:topLinePunct w:val="0"/>
        <w:autoSpaceDE/>
        <w:autoSpaceDN/>
        <w:bidi w:val="0"/>
        <w:adjustRightInd w:val="0"/>
        <w:snapToGrid w:val="0"/>
        <w:spacing w:line="576" w:lineRule="exact"/>
        <w:ind w:left="0" w:firstLine="640" w:firstLineChars="200"/>
        <w:jc w:val="lef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讨论和决定本镇经济建设、政治建设、文化建设、社会建设、生态文明建设和党的建设以及乡村振兴中的重大问题。需由镇政权机关或者集体经济组织决定的重要事项，经镇党委研究讨论后，由镇政权机关或者集体经济组织依照法律和有关规定作出决定。</w:t>
      </w:r>
    </w:p>
    <w:p>
      <w:pPr>
        <w:keepNext w:val="0"/>
        <w:keepLines w:val="0"/>
        <w:pageBreakBefore w:val="0"/>
        <w:widowControl w:val="0"/>
        <w:kinsoku/>
        <w:wordWrap/>
        <w:overflowPunct/>
        <w:topLinePunct w:val="0"/>
        <w:autoSpaceDE/>
        <w:autoSpaceDN/>
        <w:bidi w:val="0"/>
        <w:adjustRightInd w:val="0"/>
        <w:snapToGrid w:val="0"/>
        <w:spacing w:line="576" w:lineRule="exact"/>
        <w:ind w:left="0" w:firstLine="640" w:firstLineChars="200"/>
        <w:jc w:val="lef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3.领导镇政权机关、群团组织和其他各类组织，加强指导和规范，支持和保证这些机关和组织依照国家法律法规以及各自章程履行职责。</w:t>
      </w:r>
    </w:p>
    <w:p>
      <w:pPr>
        <w:keepNext w:val="0"/>
        <w:keepLines w:val="0"/>
        <w:pageBreakBefore w:val="0"/>
        <w:widowControl w:val="0"/>
        <w:kinsoku/>
        <w:wordWrap/>
        <w:overflowPunct/>
        <w:topLinePunct w:val="0"/>
        <w:autoSpaceDE/>
        <w:autoSpaceDN/>
        <w:bidi w:val="0"/>
        <w:adjustRightInd w:val="0"/>
        <w:snapToGrid w:val="0"/>
        <w:spacing w:line="576" w:lineRule="exact"/>
        <w:ind w:left="0" w:firstLine="640" w:firstLineChars="200"/>
        <w:jc w:val="lef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4.加强党的建设。坚持全面从严治党，落实管党治党主体责任，全面加强党的政治建设、思想建设、组织建设、作风建设、纪律建设、制度建设等工作。不断强化自身建设和村党组织建设，以及其他隶属</w:t>
      </w:r>
      <w:r>
        <w:rPr>
          <w:rFonts w:hint="eastAsia" w:ascii="仿宋_GB2312" w:hAnsi="仿宋_GB2312" w:eastAsia="仿宋_GB2312" w:cs="仿宋_GB2312"/>
          <w:sz w:val="32"/>
          <w:szCs w:val="32"/>
          <w:lang w:eastAsia="zh-CN"/>
        </w:rPr>
        <w:t>叠溪</w:t>
      </w:r>
      <w:r>
        <w:rPr>
          <w:rFonts w:hint="eastAsia" w:ascii="仿宋_GB2312" w:hAnsi="仿宋_GB2312" w:eastAsia="仿宋_GB2312" w:cs="仿宋_GB2312"/>
          <w:sz w:val="32"/>
          <w:szCs w:val="32"/>
        </w:rPr>
        <w:t>镇党委的党组织建设，抓好发展党员工作，加强党员队伍建设。维护和执行党的纪律，监督党员干部和其他工作人员严格遵守国家法律法规。</w:t>
      </w:r>
    </w:p>
    <w:p>
      <w:pPr>
        <w:keepNext w:val="0"/>
        <w:keepLines w:val="0"/>
        <w:pageBreakBefore w:val="0"/>
        <w:kinsoku/>
        <w:wordWrap/>
        <w:overflowPunct/>
        <w:topLinePunct w:val="0"/>
        <w:autoSpaceDE/>
        <w:autoSpaceDN/>
        <w:bidi w:val="0"/>
        <w:spacing w:line="576" w:lineRule="exact"/>
        <w:ind w:left="0" w:firstLine="640" w:firstLineChars="200"/>
        <w:jc w:val="lef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5.按照干部管理权限，负责对干部的教育、培训、选拔、考核和监督工作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协助管理</w:t>
      </w:r>
      <w:r>
        <w:rPr>
          <w:rFonts w:hint="eastAsia" w:ascii="仿宋_GB2312" w:hAnsi="仿宋_GB2312" w:eastAsia="仿宋_GB2312" w:cs="仿宋_GB2312"/>
          <w:sz w:val="32"/>
          <w:szCs w:val="32"/>
          <w:lang w:eastAsia="zh-CN"/>
        </w:rPr>
        <w:t>上</w:t>
      </w:r>
      <w:r>
        <w:rPr>
          <w:rFonts w:hint="eastAsia" w:ascii="仿宋_GB2312" w:hAnsi="仿宋_GB2312" w:eastAsia="仿宋_GB2312" w:cs="仿宋_GB2312"/>
          <w:sz w:val="32"/>
          <w:szCs w:val="32"/>
        </w:rPr>
        <w:t>级有关部门驻镇单位的干部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做好人才服务和引进工作。</w:t>
      </w:r>
    </w:p>
    <w:p>
      <w:pPr>
        <w:keepNext w:val="0"/>
        <w:keepLines w:val="0"/>
        <w:pageBreakBefore w:val="0"/>
        <w:kinsoku/>
        <w:wordWrap/>
        <w:overflowPunct/>
        <w:topLinePunct w:val="0"/>
        <w:autoSpaceDE/>
        <w:autoSpaceDN/>
        <w:bidi w:val="0"/>
        <w:spacing w:line="576" w:lineRule="exact"/>
        <w:ind w:left="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6.统筹区域发展。</w:t>
      </w:r>
      <w:r>
        <w:rPr>
          <w:rFonts w:hint="eastAsia" w:ascii="仿宋_GB2312" w:hAnsi="仿宋_GB2312" w:eastAsia="仿宋_GB2312" w:cs="仿宋_GB2312"/>
          <w:sz w:val="32"/>
          <w:szCs w:val="32"/>
          <w:lang w:eastAsia="zh-CN"/>
        </w:rPr>
        <w:t>负责落实创新驱动发展、可持续发展战略目标任务，落实新发展理念，推动经济高质量发展；</w:t>
      </w:r>
      <w:r>
        <w:rPr>
          <w:rFonts w:hint="eastAsia" w:ascii="仿宋_GB2312" w:hAnsi="仿宋_GB2312" w:eastAsia="仿宋_GB2312" w:cs="仿宋_GB2312"/>
          <w:sz w:val="32"/>
          <w:szCs w:val="32"/>
        </w:rPr>
        <w:t>落实关于辖区发展的重大决策，制定辖区经济和社会发展规划、公共服务设施布局;负责乡村振兴工作，做好民生保障、</w:t>
      </w:r>
      <w:r>
        <w:rPr>
          <w:rFonts w:hint="eastAsia" w:ascii="仿宋_GB2312" w:hAnsi="仿宋_GB2312" w:eastAsia="仿宋_GB2312" w:cs="仿宋_GB2312"/>
          <w:sz w:val="32"/>
          <w:szCs w:val="32"/>
          <w:lang w:eastAsia="zh-CN"/>
        </w:rPr>
        <w:t>返贫监测和帮扶</w:t>
      </w:r>
      <w:r>
        <w:rPr>
          <w:rFonts w:hint="eastAsia" w:ascii="仿宋_GB2312" w:hAnsi="仿宋_GB2312" w:eastAsia="仿宋_GB2312" w:cs="仿宋_GB2312"/>
          <w:sz w:val="32"/>
          <w:szCs w:val="32"/>
        </w:rPr>
        <w:t>、民族宗教等工作，推动辖区经济社会健康、有序、可持续发展</w:t>
      </w:r>
      <w:r>
        <w:rPr>
          <w:rFonts w:hint="eastAsia" w:ascii="仿宋_GB2312" w:hAnsi="仿宋_GB2312" w:eastAsia="仿宋_GB2312" w:cs="仿宋_GB2312"/>
          <w:sz w:val="32"/>
          <w:szCs w:val="32"/>
          <w:lang w:eastAsia="zh-CN"/>
        </w:rPr>
        <w:t>；负责指导辖区基层供销合作社工作</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E/>
        <w:autoSpaceDN/>
        <w:bidi w:val="0"/>
        <w:spacing w:line="576"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7.强化基层治理。负责本辖区社会治理，加强社会主义民主法治建设和精神文明建设，加快推进基层社会治理体系和治理能力现代化;指导村委会建设，健全自治平台，组织群众和单位参与村委会建设和管理。</w:t>
      </w:r>
    </w:p>
    <w:p>
      <w:pPr>
        <w:keepNext w:val="0"/>
        <w:keepLines w:val="0"/>
        <w:pageBreakBefore w:val="0"/>
        <w:kinsoku/>
        <w:wordWrap/>
        <w:overflowPunct/>
        <w:topLinePunct w:val="0"/>
        <w:autoSpaceDE/>
        <w:autoSpaceDN/>
        <w:bidi w:val="0"/>
        <w:spacing w:line="576" w:lineRule="exact"/>
        <w:ind w:left="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8.优化公共服务。推进服务型政府建设，组织实施并优化教育、卫生健康、文化、民政、社会保障、退役军人事务等各项公共服务。</w:t>
      </w:r>
    </w:p>
    <w:p>
      <w:pPr>
        <w:keepNext w:val="0"/>
        <w:keepLines w:val="0"/>
        <w:pageBreakBefore w:val="0"/>
        <w:kinsoku/>
        <w:wordWrap/>
        <w:overflowPunct/>
        <w:topLinePunct w:val="0"/>
        <w:autoSpaceDE/>
        <w:autoSpaceDN/>
        <w:bidi w:val="0"/>
        <w:spacing w:line="576" w:lineRule="exact"/>
        <w:ind w:left="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9.负责辖区范围内的应急管理、社会稳定、安全生产、生态环境保护、社会信用体系建设和审批服务便民化等工作。</w:t>
      </w:r>
    </w:p>
    <w:p>
      <w:pPr>
        <w:keepNext w:val="0"/>
        <w:keepLines w:val="0"/>
        <w:pageBreakBefore w:val="0"/>
        <w:kinsoku/>
        <w:wordWrap/>
        <w:overflowPunct/>
        <w:topLinePunct w:val="0"/>
        <w:autoSpaceDE/>
        <w:autoSpaceDN/>
        <w:bidi w:val="0"/>
        <w:spacing w:line="576" w:lineRule="exact"/>
        <w:ind w:left="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10.负责辖区农村经营管理体系建设工作。</w:t>
      </w:r>
    </w:p>
    <w:p>
      <w:pPr>
        <w:keepNext w:val="0"/>
        <w:keepLines w:val="0"/>
        <w:pageBreakBefore w:val="0"/>
        <w:kinsoku/>
        <w:wordWrap/>
        <w:overflowPunct/>
        <w:topLinePunct w:val="0"/>
        <w:autoSpaceDE/>
        <w:autoSpaceDN/>
        <w:bidi w:val="0"/>
        <w:spacing w:line="576" w:lineRule="exact"/>
        <w:ind w:left="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11.完成县委、县政府交办的其他任务。</w:t>
      </w:r>
    </w:p>
    <w:p>
      <w:pPr>
        <w:pStyle w:val="29"/>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outlineLvl w:val="1"/>
        <w:rPr>
          <w:rFonts w:hint="eastAsia" w:ascii="Times New Roman" w:hAnsi="Times New Roman" w:eastAsia="黑体"/>
          <w:color w:val="auto"/>
          <w:sz w:val="32"/>
          <w:szCs w:val="32"/>
          <w:highlight w:val="none"/>
          <w:lang w:eastAsia="zh-CN"/>
        </w:rPr>
      </w:pPr>
      <w:bookmarkStart w:id="12" w:name="_Toc15396601"/>
      <w:bookmarkStart w:id="13" w:name="_Toc439823045"/>
      <w:bookmarkStart w:id="14" w:name="_Toc17020"/>
      <w:bookmarkStart w:id="15" w:name="_Toc15377200"/>
      <w:r>
        <w:rPr>
          <w:rFonts w:hint="eastAsia" w:ascii="Times New Roman" w:hAnsi="Times New Roman" w:eastAsia="黑体"/>
          <w:color w:val="auto"/>
          <w:sz w:val="32"/>
          <w:szCs w:val="32"/>
          <w:highlight w:val="none"/>
          <w:lang w:eastAsia="zh-CN"/>
        </w:rPr>
        <w:t>二、机构设置</w:t>
      </w:r>
      <w:bookmarkEnd w:id="12"/>
      <w:bookmarkEnd w:id="13"/>
      <w:bookmarkEnd w:id="14"/>
      <w:bookmarkEnd w:id="15"/>
    </w:p>
    <w:p>
      <w:pPr>
        <w:keepNext w:val="0"/>
        <w:keepLines w:val="0"/>
        <w:pageBreakBefore w:val="0"/>
        <w:kinsoku/>
        <w:wordWrap/>
        <w:overflowPunct/>
        <w:topLinePunct w:val="0"/>
        <w:autoSpaceDE/>
        <w:autoSpaceDN/>
        <w:bidi w:val="0"/>
        <w:spacing w:line="576" w:lineRule="exact"/>
        <w:ind w:left="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茂县叠溪镇人民政府下属二级单位2个，其中行政单位1个，参照公务员法管理的事业单位0个，其他事业单位1个。</w:t>
      </w:r>
      <w:bookmarkStart w:id="16" w:name="_Toc15377432"/>
      <w:bookmarkStart w:id="17" w:name="_Toc15378448"/>
      <w:bookmarkStart w:id="18" w:name="_Toc15306275"/>
      <w:bookmarkStart w:id="19" w:name="_Toc15377201"/>
    </w:p>
    <w:p>
      <w:pPr>
        <w:keepNext w:val="0"/>
        <w:keepLines w:val="0"/>
        <w:pageBreakBefore w:val="0"/>
        <w:kinsoku/>
        <w:wordWrap/>
        <w:overflowPunct/>
        <w:topLinePunct w:val="0"/>
        <w:autoSpaceDE/>
        <w:autoSpaceDN/>
        <w:bidi w:val="0"/>
        <w:spacing w:line="576" w:lineRule="exact"/>
        <w:ind w:left="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纳入四川省阿坝州茂县叠溪镇人民政府2024年度部门决算汇总编制范围的二级预算单位包括：</w:t>
      </w:r>
    </w:p>
    <w:bookmarkEnd w:id="16"/>
    <w:bookmarkEnd w:id="17"/>
    <w:bookmarkEnd w:id="18"/>
    <w:bookmarkEnd w:id="19"/>
    <w:p>
      <w:pPr>
        <w:pStyle w:val="6"/>
        <w:keepNext w:val="0"/>
        <w:keepLines w:val="0"/>
        <w:pageBreakBefore w:val="0"/>
        <w:widowControl w:val="0"/>
        <w:numPr>
          <w:ilvl w:val="0"/>
          <w:numId w:val="0"/>
        </w:numPr>
        <w:kinsoku/>
        <w:wordWrap/>
        <w:overflowPunct/>
        <w:topLinePunct w:val="0"/>
        <w:autoSpaceDE/>
        <w:autoSpaceDN/>
        <w:bidi w:val="0"/>
        <w:adjustRightInd w:val="0"/>
        <w:snapToGrid w:val="0"/>
        <w:spacing w:before="0" w:after="0" w:line="576" w:lineRule="exact"/>
        <w:ind w:firstLine="640" w:firstLineChars="200"/>
        <w:textAlignment w:val="auto"/>
        <w:outlineLvl w:val="2"/>
        <w:rPr>
          <w:rFonts w:hint="eastAsia" w:ascii="仿宋_GB2312" w:hAnsi="仿宋_GB2312" w:eastAsia="仿宋_GB2312" w:cs="仿宋_GB2312"/>
          <w:kern w:val="2"/>
          <w:sz w:val="32"/>
          <w:szCs w:val="32"/>
          <w:lang w:val="en-US" w:eastAsia="zh-CN" w:bidi="ar-SA"/>
        </w:rPr>
      </w:pPr>
      <w:bookmarkStart w:id="20" w:name="_Toc20704"/>
      <w:bookmarkStart w:id="21" w:name="_Toc7121"/>
      <w:bookmarkStart w:id="22" w:name="_Toc679966021"/>
      <w:r>
        <w:rPr>
          <w:rFonts w:hint="eastAsia" w:ascii="仿宋_GB2312" w:hAnsi="仿宋_GB2312" w:eastAsia="仿宋_GB2312" w:cs="仿宋_GB2312"/>
          <w:kern w:val="2"/>
          <w:sz w:val="32"/>
          <w:szCs w:val="32"/>
          <w:lang w:val="en-US" w:eastAsia="zh-CN" w:bidi="ar-SA"/>
        </w:rPr>
        <w:t>1.茂县叠溪镇人民政府（行政）</w:t>
      </w:r>
      <w:bookmarkEnd w:id="20"/>
      <w:bookmarkEnd w:id="21"/>
      <w:bookmarkEnd w:id="22"/>
    </w:p>
    <w:p>
      <w:pPr>
        <w:pStyle w:val="6"/>
        <w:keepNext w:val="0"/>
        <w:keepLines w:val="0"/>
        <w:pageBreakBefore w:val="0"/>
        <w:widowControl w:val="0"/>
        <w:numPr>
          <w:ilvl w:val="0"/>
          <w:numId w:val="0"/>
        </w:numPr>
        <w:kinsoku/>
        <w:wordWrap/>
        <w:overflowPunct/>
        <w:topLinePunct w:val="0"/>
        <w:autoSpaceDE/>
        <w:autoSpaceDN/>
        <w:bidi w:val="0"/>
        <w:adjustRightInd w:val="0"/>
        <w:snapToGrid w:val="0"/>
        <w:spacing w:before="0" w:after="0" w:line="576" w:lineRule="exact"/>
        <w:ind w:firstLine="640" w:firstLineChars="200"/>
        <w:textAlignment w:val="auto"/>
        <w:outlineLvl w:val="2"/>
        <w:rPr>
          <w:rFonts w:hint="eastAsia" w:ascii="仿宋_GB2312" w:hAnsi="仿宋_GB2312" w:eastAsia="仿宋_GB2312" w:cs="仿宋_GB2312"/>
          <w:kern w:val="2"/>
          <w:sz w:val="32"/>
          <w:szCs w:val="32"/>
          <w:lang w:val="en-US" w:eastAsia="zh-CN" w:bidi="ar-SA"/>
        </w:rPr>
      </w:pPr>
      <w:bookmarkStart w:id="23" w:name="_Toc26851"/>
      <w:bookmarkStart w:id="24" w:name="_Toc1375263710"/>
      <w:bookmarkStart w:id="25" w:name="_Toc7025"/>
      <w:r>
        <w:rPr>
          <w:rFonts w:hint="eastAsia" w:ascii="仿宋_GB2312" w:hAnsi="仿宋_GB2312" w:eastAsia="仿宋_GB2312" w:cs="仿宋_GB2312"/>
          <w:kern w:val="2"/>
          <w:sz w:val="32"/>
          <w:szCs w:val="32"/>
          <w:lang w:val="en-US" w:eastAsia="zh-CN" w:bidi="ar-SA"/>
        </w:rPr>
        <w:t>2.茂县叠溪镇人民政府（事业）</w:t>
      </w:r>
      <w:bookmarkEnd w:id="23"/>
      <w:bookmarkEnd w:id="24"/>
      <w:bookmarkEnd w:id="25"/>
    </w:p>
    <w:p>
      <w:pPr>
        <w:keepNext w:val="0"/>
        <w:keepLines w:val="0"/>
        <w:pageBreakBefore w:val="0"/>
        <w:widowControl/>
        <w:kinsoku/>
        <w:wordWrap/>
        <w:overflowPunct/>
        <w:topLinePunct w:val="0"/>
        <w:autoSpaceDE/>
        <w:autoSpaceDN/>
        <w:bidi w:val="0"/>
        <w:spacing w:line="576" w:lineRule="exact"/>
        <w:ind w:firstLine="640" w:firstLineChars="200"/>
        <w:jc w:val="left"/>
        <w:textAlignment w:val="auto"/>
        <w:rPr>
          <w:rFonts w:ascii="Times New Roman" w:hAnsi="Times New Roman" w:eastAsia="仿宋"/>
          <w:color w:val="auto"/>
          <w:kern w:val="0"/>
          <w:sz w:val="32"/>
          <w:szCs w:val="32"/>
          <w:highlight w:val="none"/>
        </w:rPr>
      </w:pPr>
      <w:r>
        <w:rPr>
          <w:rFonts w:ascii="Times New Roman" w:hAnsi="Times New Roman" w:eastAsia="仿宋"/>
          <w:color w:val="auto"/>
          <w:sz w:val="32"/>
          <w:szCs w:val="32"/>
          <w:highlight w:val="none"/>
        </w:rPr>
        <w:br w:type="page"/>
      </w:r>
    </w:p>
    <w:p>
      <w:pPr>
        <w:pStyle w:val="3"/>
        <w:pageBreakBefore w:val="0"/>
        <w:kinsoku/>
        <w:wordWrap/>
        <w:overflowPunct/>
        <w:topLinePunct w:val="0"/>
        <w:bidi w:val="0"/>
        <w:spacing w:line="576" w:lineRule="exact"/>
        <w:jc w:val="center"/>
        <w:rPr>
          <w:rFonts w:ascii="Times New Roman" w:hAnsi="Times New Roman"/>
          <w:color w:val="auto"/>
          <w:highlight w:val="none"/>
        </w:rPr>
      </w:pPr>
      <w:bookmarkStart w:id="26" w:name="_Toc15396602"/>
      <w:bookmarkStart w:id="27" w:name="_Toc25782"/>
      <w:bookmarkStart w:id="28" w:name="_Toc15377204"/>
      <w:bookmarkStart w:id="29" w:name="_Toc1907253071"/>
      <w:r>
        <w:rPr>
          <w:rFonts w:hint="eastAsia" w:ascii="Times New Roman" w:hAnsi="Times New Roman" w:eastAsia="方正小标宋简体" w:cs="方正小标宋简体"/>
          <w:b w:val="0"/>
          <w:color w:val="auto"/>
          <w:highlight w:val="none"/>
        </w:rPr>
        <w:t>第二部分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r>
        <w:rPr>
          <w:rFonts w:hint="eastAsia" w:ascii="Times New Roman" w:hAnsi="Times New Roman" w:eastAsia="方正小标宋简体" w:cs="方正小标宋简体"/>
          <w:b w:val="0"/>
          <w:color w:val="auto"/>
          <w:highlight w:val="none"/>
          <w:lang w:val="en-US" w:eastAsia="zh-CN"/>
        </w:rPr>
        <w:t>2024年度</w:t>
      </w:r>
      <w:r>
        <w:rPr>
          <w:rFonts w:hint="eastAsia" w:ascii="Times New Roman" w:hAnsi="Times New Roman" w:eastAsia="方正小标宋简体" w:cs="方正小标宋简体"/>
          <w:b w:val="0"/>
          <w:color w:val="auto"/>
          <w:highlight w:val="none"/>
        </w:rPr>
        <w:t>部门决算情况说明</w:t>
      </w:r>
      <w:bookmarkEnd w:id="26"/>
      <w:bookmarkEnd w:id="27"/>
      <w:bookmarkEnd w:id="28"/>
      <w:bookmarkEnd w:id="29"/>
    </w:p>
    <w:p>
      <w:pPr>
        <w:pStyle w:val="29"/>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outlineLvl w:val="1"/>
        <w:rPr>
          <w:rStyle w:val="31"/>
          <w:rFonts w:hint="eastAsia" w:ascii="Times New Roman" w:hAnsi="Times New Roman" w:eastAsia="黑体"/>
          <w:b w:val="0"/>
          <w:color w:val="auto"/>
          <w:highlight w:val="none"/>
        </w:rPr>
      </w:pPr>
      <w:bookmarkStart w:id="30" w:name="_Toc15396603"/>
      <w:bookmarkStart w:id="31" w:name="_Toc1456088030"/>
      <w:bookmarkStart w:id="32" w:name="_Toc12137"/>
      <w:bookmarkStart w:id="33" w:name="_Toc15377205"/>
      <w:r>
        <w:rPr>
          <w:rFonts w:hint="eastAsia" w:ascii="Times New Roman" w:hAnsi="Times New Roman" w:eastAsia="黑体"/>
          <w:color w:val="auto"/>
          <w:sz w:val="32"/>
          <w:szCs w:val="32"/>
          <w:highlight w:val="none"/>
          <w:lang w:eastAsia="zh-CN"/>
        </w:rPr>
        <w:t>一、</w:t>
      </w:r>
      <w:r>
        <w:rPr>
          <w:rFonts w:hint="eastAsia" w:ascii="Times New Roman" w:hAnsi="Times New Roman" w:eastAsia="黑体"/>
          <w:color w:val="auto"/>
          <w:sz w:val="32"/>
          <w:szCs w:val="32"/>
          <w:highlight w:val="none"/>
        </w:rPr>
        <w:t>收</w:t>
      </w:r>
      <w:r>
        <w:rPr>
          <w:rStyle w:val="31"/>
          <w:rFonts w:hint="eastAsia" w:ascii="Times New Roman" w:hAnsi="Times New Roman" w:eastAsia="黑体"/>
          <w:b w:val="0"/>
          <w:color w:val="auto"/>
          <w:highlight w:val="none"/>
        </w:rPr>
        <w:t>入支出决算总体情况说明</w:t>
      </w:r>
      <w:bookmarkEnd w:id="30"/>
      <w:bookmarkEnd w:id="31"/>
      <w:bookmarkEnd w:id="32"/>
      <w:bookmarkEnd w:id="33"/>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2024年度收入、支出总计均为2090.65万元。较2023年度相比，收入、支出总计各减少41.05万元，下降1.93%。主要变动原因是：项目减少。</w:t>
      </w:r>
    </w:p>
    <w:p>
      <w:pPr>
        <w:pageBreakBefore w:val="0"/>
        <w:kinsoku/>
        <w:wordWrap/>
        <w:overflowPunct/>
        <w:topLinePunct w:val="0"/>
        <w:bidi w:val="0"/>
        <w:spacing w:line="576" w:lineRule="exact"/>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drawing>
          <wp:anchor distT="0" distB="0" distL="114300" distR="114300" simplePos="0" relativeHeight="251660288" behindDoc="0" locked="0" layoutInCell="1" allowOverlap="1">
            <wp:simplePos x="0" y="0"/>
            <wp:positionH relativeFrom="column">
              <wp:posOffset>-74295</wp:posOffset>
            </wp:positionH>
            <wp:positionV relativeFrom="paragraph">
              <wp:posOffset>280670</wp:posOffset>
            </wp:positionV>
            <wp:extent cx="5256530" cy="2988310"/>
            <wp:effectExtent l="5080" t="4445" r="15240" b="17145"/>
            <wp:wrapTopAndBottom/>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pStyle w:val="29"/>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outlineLvl w:val="1"/>
        <w:rPr>
          <w:rFonts w:hint="eastAsia" w:ascii="Times New Roman" w:hAnsi="Times New Roman" w:eastAsia="黑体"/>
          <w:color w:val="auto"/>
          <w:sz w:val="32"/>
          <w:szCs w:val="32"/>
          <w:highlight w:val="none"/>
          <w:lang w:eastAsia="zh-CN"/>
        </w:rPr>
      </w:pPr>
      <w:bookmarkStart w:id="34" w:name="_Toc15377206"/>
      <w:bookmarkStart w:id="35" w:name="_Toc15396604"/>
      <w:bookmarkStart w:id="36" w:name="_Toc14200"/>
      <w:bookmarkStart w:id="37" w:name="_Toc1613329639"/>
      <w:r>
        <w:rPr>
          <w:rFonts w:hint="eastAsia" w:ascii="Times New Roman" w:hAnsi="Times New Roman" w:eastAsia="黑体"/>
          <w:color w:val="auto"/>
          <w:sz w:val="32"/>
          <w:szCs w:val="32"/>
          <w:highlight w:val="none"/>
          <w:lang w:eastAsia="zh-CN"/>
        </w:rPr>
        <w:t>二、收入决算情况说明</w:t>
      </w:r>
      <w:bookmarkEnd w:id="34"/>
      <w:bookmarkEnd w:id="35"/>
      <w:bookmarkEnd w:id="36"/>
      <w:bookmarkEnd w:id="37"/>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2024年度本年收入合计2090.65万元，其中：一般公共预算财政拨款收入2090.65万元，占100%；政府性基金预算财政拨款收入0.00万元，占0%。</w:t>
      </w:r>
    </w:p>
    <w:p>
      <w:pPr>
        <w:pageBreakBefore w:val="0"/>
        <w:kinsoku/>
        <w:wordWrap/>
        <w:overflowPunct/>
        <w:topLinePunct w:val="0"/>
        <w:bidi w:val="0"/>
        <w:spacing w:line="576" w:lineRule="exact"/>
        <w:ind w:firstLine="640"/>
        <w:rPr>
          <w:rFonts w:hint="eastAsia" w:ascii="仿宋_GB2312" w:hAnsi="仿宋_GB2312" w:eastAsia="仿宋_GB2312" w:cs="仿宋_GB2312"/>
          <w:color w:val="auto"/>
          <w:kern w:val="2"/>
          <w:sz w:val="32"/>
          <w:szCs w:val="32"/>
          <w:highlight w:val="none"/>
          <w:lang w:val="en-US" w:eastAsia="zh-CN" w:bidi="ar-SA"/>
        </w:rPr>
      </w:pPr>
    </w:p>
    <w:p>
      <w:pPr>
        <w:pageBreakBefore w:val="0"/>
        <w:kinsoku/>
        <w:wordWrap/>
        <w:overflowPunct/>
        <w:topLinePunct w:val="0"/>
        <w:bidi w:val="0"/>
        <w:spacing w:line="576" w:lineRule="exact"/>
        <w:ind w:firstLine="640"/>
        <w:rPr>
          <w:rFonts w:hint="eastAsia" w:ascii="仿宋_GB2312" w:hAnsi="仿宋_GB2312" w:eastAsia="仿宋_GB2312" w:cs="仿宋_GB2312"/>
          <w:color w:val="auto"/>
          <w:kern w:val="2"/>
          <w:sz w:val="32"/>
          <w:szCs w:val="32"/>
          <w:highlight w:val="none"/>
          <w:lang w:val="en-US" w:eastAsia="zh-CN" w:bidi="ar-SA"/>
        </w:rPr>
      </w:pPr>
    </w:p>
    <w:p>
      <w:pPr>
        <w:pageBreakBefore w:val="0"/>
        <w:kinsoku/>
        <w:wordWrap/>
        <w:overflowPunct/>
        <w:topLinePunct w:val="0"/>
        <w:bidi w:val="0"/>
        <w:spacing w:line="576" w:lineRule="exact"/>
        <w:ind w:firstLine="640"/>
        <w:rPr>
          <w:rFonts w:hint="eastAsia" w:ascii="仿宋_GB2312" w:hAnsi="仿宋_GB2312" w:eastAsia="仿宋_GB2312" w:cs="仿宋_GB2312"/>
          <w:color w:val="auto"/>
          <w:kern w:val="2"/>
          <w:sz w:val="32"/>
          <w:szCs w:val="32"/>
          <w:highlight w:val="none"/>
          <w:lang w:val="en-US" w:eastAsia="zh-CN" w:bidi="ar-SA"/>
        </w:rPr>
      </w:pPr>
    </w:p>
    <w:p>
      <w:pPr>
        <w:pStyle w:val="14"/>
        <w:pageBreakBefore w:val="0"/>
        <w:kinsoku/>
        <w:wordWrap/>
        <w:overflowPunct/>
        <w:topLinePunct w:val="0"/>
        <w:bidi w:val="0"/>
        <w:spacing w:line="576" w:lineRule="exact"/>
        <w:rPr>
          <w:rFonts w:hint="eastAsia" w:ascii="Times New Roman" w:hAnsi="Times New Roman" w:eastAsia="仿宋_GB2312" w:cs="仿宋_GB2312"/>
          <w:color w:val="auto"/>
          <w:sz w:val="32"/>
          <w:szCs w:val="32"/>
          <w:highlight w:val="none"/>
          <w:lang w:eastAsia="zh-CN"/>
        </w:rPr>
      </w:pPr>
      <w:r>
        <w:rPr>
          <w:rFonts w:hint="eastAsia"/>
          <w:lang w:val="en-US" w:eastAsia="zh-CN"/>
        </w:rPr>
        <w:drawing>
          <wp:anchor distT="0" distB="0" distL="114300" distR="114300" simplePos="0" relativeHeight="251661312" behindDoc="0" locked="0" layoutInCell="1" allowOverlap="1">
            <wp:simplePos x="0" y="0"/>
            <wp:positionH relativeFrom="column">
              <wp:posOffset>74295</wp:posOffset>
            </wp:positionH>
            <wp:positionV relativeFrom="paragraph">
              <wp:posOffset>64770</wp:posOffset>
            </wp:positionV>
            <wp:extent cx="5256530" cy="2988310"/>
            <wp:effectExtent l="5080" t="4445" r="15240" b="17145"/>
            <wp:wrapTopAndBottom/>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pStyle w:val="29"/>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outlineLvl w:val="1"/>
        <w:rPr>
          <w:rStyle w:val="31"/>
          <w:rFonts w:hint="eastAsia" w:ascii="Times New Roman" w:hAnsi="Times New Roman" w:eastAsia="黑体"/>
          <w:b w:val="0"/>
          <w:color w:val="auto"/>
          <w:highlight w:val="none"/>
        </w:rPr>
      </w:pPr>
      <w:bookmarkStart w:id="38" w:name="_Toc15396605"/>
      <w:bookmarkStart w:id="39" w:name="_Toc176540542"/>
      <w:bookmarkStart w:id="40" w:name="_Toc15377207"/>
      <w:bookmarkStart w:id="41" w:name="_Toc5063"/>
      <w:r>
        <w:rPr>
          <w:rFonts w:hint="eastAsia" w:ascii="Times New Roman" w:hAnsi="Times New Roman" w:eastAsia="黑体"/>
          <w:color w:val="auto"/>
          <w:sz w:val="32"/>
          <w:szCs w:val="32"/>
          <w:highlight w:val="none"/>
          <w:lang w:eastAsia="zh-CN"/>
        </w:rPr>
        <w:t>三、</w:t>
      </w:r>
      <w:r>
        <w:rPr>
          <w:rFonts w:hint="eastAsia" w:ascii="Times New Roman" w:hAnsi="Times New Roman" w:eastAsia="黑体"/>
          <w:color w:val="auto"/>
          <w:sz w:val="32"/>
          <w:szCs w:val="32"/>
          <w:highlight w:val="none"/>
        </w:rPr>
        <w:t>支</w:t>
      </w:r>
      <w:r>
        <w:rPr>
          <w:rStyle w:val="31"/>
          <w:rFonts w:hint="eastAsia" w:ascii="Times New Roman" w:hAnsi="Times New Roman" w:eastAsia="黑体"/>
          <w:b w:val="0"/>
          <w:color w:val="auto"/>
          <w:highlight w:val="none"/>
        </w:rPr>
        <w:t>出决算情况说明</w:t>
      </w:r>
      <w:bookmarkEnd w:id="38"/>
      <w:bookmarkEnd w:id="39"/>
      <w:bookmarkEnd w:id="40"/>
      <w:bookmarkEnd w:id="41"/>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 xml:space="preserve">2024年度本年支出合计2090.65万元，其中：基本支出1202.04万元，占57.49%；项目支出888.61万元，占42.51%。  </w:t>
      </w:r>
    </w:p>
    <w:p>
      <w:pPr>
        <w:pageBreakBefore w:val="0"/>
        <w:kinsoku/>
        <w:wordWrap/>
        <w:overflowPunct/>
        <w:topLinePunct w:val="0"/>
        <w:bidi w:val="0"/>
        <w:spacing w:line="576" w:lineRule="exact"/>
        <w:ind w:firstLine="800" w:firstLineChars="250"/>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drawing>
          <wp:anchor distT="0" distB="0" distL="114300" distR="114300" simplePos="0" relativeHeight="251664384" behindDoc="0" locked="0" layoutInCell="1" allowOverlap="1">
            <wp:simplePos x="0" y="0"/>
            <wp:positionH relativeFrom="column">
              <wp:posOffset>-29845</wp:posOffset>
            </wp:positionH>
            <wp:positionV relativeFrom="paragraph">
              <wp:posOffset>66675</wp:posOffset>
            </wp:positionV>
            <wp:extent cx="5256530" cy="2988310"/>
            <wp:effectExtent l="5080" t="4445" r="15240" b="17145"/>
            <wp:wrapTopAndBottom/>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1"/>
        <w:rPr>
          <w:rStyle w:val="31"/>
          <w:rFonts w:ascii="Times New Roman" w:hAnsi="Times New Roman" w:eastAsia="黑体"/>
          <w:b w:val="0"/>
          <w:color w:val="auto"/>
          <w:highlight w:val="none"/>
        </w:rPr>
      </w:pPr>
      <w:bookmarkStart w:id="42" w:name="_Toc23187"/>
      <w:bookmarkStart w:id="43" w:name="_Toc786818765"/>
      <w:bookmarkStart w:id="44" w:name="_Toc15396606"/>
      <w:bookmarkStart w:id="45" w:name="_Toc15377208"/>
      <w:r>
        <w:rPr>
          <w:rFonts w:hint="eastAsia" w:ascii="Times New Roman" w:hAnsi="Times New Roman" w:eastAsia="黑体"/>
          <w:color w:val="auto"/>
          <w:sz w:val="32"/>
          <w:szCs w:val="32"/>
          <w:highlight w:val="none"/>
        </w:rPr>
        <w:t>四、财</w:t>
      </w:r>
      <w:r>
        <w:rPr>
          <w:rStyle w:val="31"/>
          <w:rFonts w:hint="eastAsia" w:ascii="Times New Roman" w:hAnsi="Times New Roman" w:eastAsia="黑体"/>
          <w:b w:val="0"/>
          <w:color w:val="auto"/>
          <w:highlight w:val="none"/>
        </w:rPr>
        <w:t>政拨款收入支出决算总体情况说明</w:t>
      </w:r>
      <w:bookmarkEnd w:id="42"/>
      <w:bookmarkEnd w:id="43"/>
      <w:bookmarkEnd w:id="44"/>
      <w:bookmarkEnd w:id="45"/>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2024年度财政拨款收入、支出总计均为2090.65万元。较2023年度相比，财政拨款收入、支出总计各减少41.05万元，下降1.93%。主要变动原因是：项目减少。</w:t>
      </w:r>
    </w:p>
    <w:p>
      <w:pPr>
        <w:pageBreakBefore w:val="0"/>
        <w:kinsoku/>
        <w:wordWrap/>
        <w:overflowPunct/>
        <w:topLinePunct w:val="0"/>
        <w:bidi w:val="0"/>
        <w:spacing w:line="576"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drawing>
          <wp:anchor distT="0" distB="0" distL="114300" distR="114300" simplePos="0" relativeHeight="251662336" behindDoc="0" locked="0" layoutInCell="1" allowOverlap="1">
            <wp:simplePos x="0" y="0"/>
            <wp:positionH relativeFrom="column">
              <wp:posOffset>135255</wp:posOffset>
            </wp:positionH>
            <wp:positionV relativeFrom="paragraph">
              <wp:posOffset>231140</wp:posOffset>
            </wp:positionV>
            <wp:extent cx="5256530" cy="2988310"/>
            <wp:effectExtent l="5080" t="4445" r="15240" b="17145"/>
            <wp:wrapTopAndBottom/>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1"/>
        <w:rPr>
          <w:rStyle w:val="31"/>
          <w:rFonts w:ascii="Times New Roman" w:hAnsi="Times New Roman" w:eastAsia="黑体"/>
          <w:b w:val="0"/>
          <w:color w:val="auto"/>
          <w:highlight w:val="none"/>
        </w:rPr>
      </w:pPr>
      <w:bookmarkStart w:id="46" w:name="_Toc1897867654"/>
      <w:bookmarkStart w:id="47" w:name="_Toc15377209"/>
      <w:bookmarkStart w:id="48" w:name="_Toc15396607"/>
      <w:bookmarkStart w:id="49" w:name="_Toc1905"/>
      <w:r>
        <w:rPr>
          <w:rFonts w:hint="eastAsia" w:ascii="Times New Roman" w:hAnsi="Times New Roman" w:eastAsia="黑体"/>
          <w:color w:val="auto"/>
          <w:sz w:val="32"/>
          <w:szCs w:val="32"/>
          <w:highlight w:val="none"/>
        </w:rPr>
        <w:t>五、</w:t>
      </w:r>
      <w:r>
        <w:rPr>
          <w:rFonts w:hint="eastAsia" w:ascii="Times New Roman" w:hAnsi="Times New Roman" w:eastAsia="黑体"/>
          <w:b/>
          <w:color w:val="auto"/>
          <w:sz w:val="32"/>
          <w:szCs w:val="32"/>
          <w:highlight w:val="none"/>
        </w:rPr>
        <w:t>一</w:t>
      </w:r>
      <w:r>
        <w:rPr>
          <w:rStyle w:val="31"/>
          <w:rFonts w:hint="eastAsia" w:ascii="Times New Roman" w:hAnsi="Times New Roman" w:eastAsia="黑体"/>
          <w:b w:val="0"/>
          <w:color w:val="auto"/>
          <w:highlight w:val="none"/>
        </w:rPr>
        <w:t>般公共预算财政拨款支出决算情况说明</w:t>
      </w:r>
      <w:bookmarkEnd w:id="46"/>
      <w:bookmarkEnd w:id="47"/>
      <w:bookmarkEnd w:id="48"/>
      <w:bookmarkEnd w:id="49"/>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outlineLvl w:val="2"/>
        <w:rPr>
          <w:rFonts w:hint="eastAsia" w:ascii="Times New Roman" w:hAnsi="Times New Roman" w:eastAsia="楷体_GB2312" w:cs="楷体_GB2312"/>
          <w:b/>
          <w:color w:val="auto"/>
          <w:sz w:val="32"/>
          <w:szCs w:val="32"/>
          <w:highlight w:val="none"/>
        </w:rPr>
      </w:pPr>
      <w:bookmarkStart w:id="50" w:name="_Toc15377210"/>
      <w:bookmarkStart w:id="51" w:name="_Toc32708"/>
      <w:bookmarkStart w:id="52" w:name="_Toc277879143"/>
      <w:r>
        <w:rPr>
          <w:rFonts w:hint="eastAsia" w:ascii="Times New Roman" w:hAnsi="Times New Roman" w:eastAsia="楷体_GB2312" w:cs="楷体_GB2312"/>
          <w:b/>
          <w:color w:val="auto"/>
          <w:sz w:val="32"/>
          <w:szCs w:val="32"/>
          <w:highlight w:val="none"/>
        </w:rPr>
        <w:t>（一）一般公共预算财政拨款支出决算总体情况</w:t>
      </w:r>
      <w:bookmarkEnd w:id="50"/>
      <w:bookmarkEnd w:id="51"/>
      <w:bookmarkEnd w:id="52"/>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2024年度一般公共预算财政拨款支出</w:t>
      </w:r>
      <w:r>
        <w:rPr>
          <w:rFonts w:hint="eastAsia" w:ascii="仿宋_GB2312" w:hAnsi="仿宋_GB2312" w:eastAsia="仿宋_GB2312" w:cs="仿宋_GB2312"/>
          <w:sz w:val="32"/>
          <w:szCs w:val="32"/>
        </w:rPr>
        <w:t>2090.65</w:t>
      </w:r>
      <w:r>
        <w:rPr>
          <w:rFonts w:hint="eastAsia" w:ascii="仿宋_GB2312" w:hAnsi="仿宋_GB2312" w:eastAsia="仿宋_GB2312" w:cs="仿宋_GB2312"/>
          <w:color w:val="auto"/>
          <w:kern w:val="2"/>
          <w:sz w:val="32"/>
          <w:szCs w:val="32"/>
          <w:highlight w:val="none"/>
          <w:lang w:val="en-US" w:eastAsia="zh-CN" w:bidi="ar-SA"/>
        </w:rPr>
        <w:t>万元，占本年支出合计的</w:t>
      </w:r>
      <w:r>
        <w:rPr>
          <w:rFonts w:hint="eastAsia" w:ascii="仿宋_GB2312" w:hAnsi="仿宋_GB2312" w:eastAsia="仿宋_GB2312" w:cs="仿宋_GB2312"/>
          <w:sz w:val="32"/>
          <w:szCs w:val="32"/>
        </w:rPr>
        <w:t>100</w:t>
      </w:r>
      <w:r>
        <w:rPr>
          <w:rFonts w:hint="eastAsia" w:ascii="仿宋_GB2312" w:hAnsi="仿宋_GB2312" w:eastAsia="仿宋_GB2312" w:cs="仿宋_GB2312"/>
          <w:color w:val="auto"/>
          <w:kern w:val="2"/>
          <w:sz w:val="32"/>
          <w:szCs w:val="32"/>
          <w:highlight w:val="none"/>
          <w:lang w:val="en-US" w:eastAsia="zh-CN" w:bidi="ar-SA"/>
        </w:rPr>
        <w:t>%。较2023年度相比，一般公共预算财政拨款支出减少41.05万元，下降1.93%。主要变动原因是：项目减少。</w:t>
      </w:r>
    </w:p>
    <w:p>
      <w:pPr>
        <w:pageBreakBefore w:val="0"/>
        <w:kinsoku/>
        <w:wordWrap/>
        <w:overflowPunct/>
        <w:topLinePunct w:val="0"/>
        <w:bidi w:val="0"/>
        <w:spacing w:line="576"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drawing>
          <wp:anchor distT="0" distB="0" distL="114300" distR="114300" simplePos="0" relativeHeight="251666432" behindDoc="0" locked="0" layoutInCell="1" allowOverlap="1">
            <wp:simplePos x="0" y="0"/>
            <wp:positionH relativeFrom="column">
              <wp:posOffset>410845</wp:posOffset>
            </wp:positionH>
            <wp:positionV relativeFrom="paragraph">
              <wp:posOffset>-3531870</wp:posOffset>
            </wp:positionV>
            <wp:extent cx="5080000" cy="3810000"/>
            <wp:effectExtent l="4445" t="4445" r="20955" b="14605"/>
            <wp:wrapTopAndBottom/>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outlineLvl w:val="2"/>
        <w:rPr>
          <w:rFonts w:hint="eastAsia" w:ascii="Times New Roman" w:hAnsi="Times New Roman" w:eastAsia="楷体_GB2312" w:cs="楷体_GB2312"/>
          <w:b/>
          <w:color w:val="auto"/>
          <w:sz w:val="32"/>
          <w:szCs w:val="32"/>
          <w:highlight w:val="none"/>
        </w:rPr>
      </w:pPr>
      <w:bookmarkStart w:id="53" w:name="_Toc1352274192"/>
      <w:bookmarkStart w:id="54" w:name="_Toc20979"/>
      <w:bookmarkStart w:id="55" w:name="_Toc15377211"/>
      <w:r>
        <w:rPr>
          <w:rFonts w:hint="eastAsia" w:ascii="Times New Roman" w:hAnsi="Times New Roman" w:eastAsia="楷体_GB2312" w:cs="楷体_GB2312"/>
          <w:b/>
          <w:color w:val="auto"/>
          <w:sz w:val="32"/>
          <w:szCs w:val="32"/>
          <w:highlight w:val="none"/>
        </w:rPr>
        <w:t>（二）一般公共预算财政拨款支出决算结构情况</w:t>
      </w:r>
      <w:bookmarkEnd w:id="53"/>
      <w:bookmarkEnd w:id="54"/>
      <w:bookmarkEnd w:id="55"/>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w:t>
      </w:r>
      <w:r>
        <w:rPr>
          <w:rFonts w:hint="eastAsia" w:ascii="Times New Roman" w:hAnsi="Times New Roman" w:eastAsia="仿宋_GB2312" w:cs="仿宋_GB2312"/>
          <w:color w:val="auto"/>
          <w:kern w:val="2"/>
          <w:sz w:val="32"/>
          <w:szCs w:val="32"/>
          <w:highlight w:val="none"/>
          <w:lang w:val="en-US" w:eastAsia="zh-CN" w:bidi="ar-SA"/>
        </w:rPr>
        <w:t>年度一般公共预算财政拨款支出</w:t>
      </w:r>
      <w:r>
        <w:rPr>
          <w:rFonts w:hint="eastAsia" w:ascii="仿宋_GB2312" w:hAnsi="仿宋_GB2312" w:eastAsia="仿宋_GB2312" w:cs="仿宋_GB2312"/>
          <w:sz w:val="32"/>
          <w:szCs w:val="32"/>
          <w:lang w:val="en-US" w:eastAsia="zh-CN"/>
        </w:rPr>
        <w:t>2090.65</w:t>
      </w:r>
      <w:r>
        <w:rPr>
          <w:rFonts w:hint="eastAsia" w:ascii="仿宋_GB2312" w:hAnsi="仿宋_GB2312" w:eastAsia="仿宋_GB2312" w:cs="仿宋_GB2312"/>
          <w:color w:val="auto"/>
          <w:kern w:val="2"/>
          <w:sz w:val="32"/>
          <w:szCs w:val="32"/>
          <w:highlight w:val="none"/>
          <w:lang w:val="en-US" w:eastAsia="zh-CN" w:bidi="ar-SA"/>
        </w:rPr>
        <w:t>万元</w:t>
      </w:r>
      <w:r>
        <w:rPr>
          <w:rFonts w:hint="eastAsia" w:ascii="Times New Roman" w:hAnsi="Times New Roman" w:eastAsia="仿宋_GB2312" w:cs="仿宋_GB2312"/>
          <w:color w:val="auto"/>
          <w:kern w:val="2"/>
          <w:sz w:val="32"/>
          <w:szCs w:val="32"/>
          <w:highlight w:val="none"/>
          <w:lang w:val="en-US" w:eastAsia="zh-CN" w:bidi="ar-SA"/>
        </w:rPr>
        <w:t>，主要用于以下方面</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一般公共服</w:t>
      </w:r>
      <w:r>
        <w:rPr>
          <w:rFonts w:hint="eastAsia" w:ascii="仿宋_GB2312" w:hAnsi="仿宋_GB2312" w:eastAsia="仿宋_GB2312" w:cs="仿宋_GB2312"/>
          <w:color w:val="auto"/>
          <w:kern w:val="2"/>
          <w:sz w:val="32"/>
          <w:szCs w:val="32"/>
          <w:highlight w:val="none"/>
          <w:lang w:val="en-US" w:eastAsia="zh-CN" w:bidi="ar-SA"/>
        </w:rPr>
        <w:t>务支出643.64万元，占30.79%；社会保障和就业支出162.25万元，占7.76%；卫生健康支出66.04万元，占3.16%；农林水支出1112.23万元，占53.20%；住房保障支出91.47万元，占4.37%；灾害防治及应急管理支出15.00万元，占0.72%。</w:t>
      </w:r>
    </w:p>
    <w:p>
      <w:pPr>
        <w:pageBreakBefore w:val="0"/>
        <w:kinsoku/>
        <w:wordWrap/>
        <w:overflowPunct/>
        <w:topLinePunct w:val="0"/>
        <w:bidi w:val="0"/>
        <w:spacing w:line="576"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drawing>
          <wp:anchor distT="0" distB="0" distL="114300" distR="114300" simplePos="0" relativeHeight="251663360" behindDoc="0" locked="0" layoutInCell="1" allowOverlap="1">
            <wp:simplePos x="0" y="0"/>
            <wp:positionH relativeFrom="column">
              <wp:posOffset>363855</wp:posOffset>
            </wp:positionH>
            <wp:positionV relativeFrom="paragraph">
              <wp:posOffset>518795</wp:posOffset>
            </wp:positionV>
            <wp:extent cx="5153025" cy="2968625"/>
            <wp:effectExtent l="4445" t="4445" r="5080" b="17780"/>
            <wp:wrapTopAndBottom/>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pageBreakBefore w:val="0"/>
        <w:kinsoku/>
        <w:wordWrap/>
        <w:overflowPunct/>
        <w:topLinePunct w:val="0"/>
        <w:bidi w:val="0"/>
        <w:spacing w:line="576" w:lineRule="exact"/>
        <w:ind w:firstLine="640"/>
        <w:rPr>
          <w:rFonts w:hint="eastAsia" w:ascii="Times New Roman" w:hAnsi="Times New Roman" w:eastAsia="仿宋_GB2312" w:cs="仿宋_GB2312"/>
          <w:color w:val="auto"/>
          <w:kern w:val="2"/>
          <w:sz w:val="32"/>
          <w:szCs w:val="32"/>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outlineLvl w:val="2"/>
        <w:rPr>
          <w:rFonts w:hint="eastAsia" w:ascii="Times New Roman" w:hAnsi="Times New Roman" w:eastAsia="楷体_GB2312" w:cs="楷体_GB2312"/>
          <w:b/>
          <w:color w:val="auto"/>
          <w:sz w:val="32"/>
          <w:szCs w:val="32"/>
          <w:highlight w:val="none"/>
        </w:rPr>
      </w:pPr>
      <w:bookmarkStart w:id="56" w:name="_Toc15377212"/>
      <w:bookmarkStart w:id="57" w:name="_Toc16926"/>
      <w:bookmarkStart w:id="58" w:name="_Toc220305870"/>
      <w:r>
        <w:rPr>
          <w:rFonts w:hint="eastAsia" w:ascii="Times New Roman" w:hAnsi="Times New Roman" w:eastAsia="楷体_GB2312" w:cs="楷体_GB2312"/>
          <w:b/>
          <w:color w:val="auto"/>
          <w:sz w:val="32"/>
          <w:szCs w:val="32"/>
          <w:highlight w:val="none"/>
        </w:rPr>
        <w:t>（三）一般公共预算财政拨款支出决算具体情况</w:t>
      </w:r>
      <w:bookmarkEnd w:id="56"/>
      <w:bookmarkEnd w:id="57"/>
      <w:bookmarkEnd w:id="58"/>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kern w:val="2"/>
          <w:sz w:val="32"/>
          <w:szCs w:val="32"/>
          <w:highlight w:val="none"/>
          <w:lang w:val="en-US" w:eastAsia="zh-CN" w:bidi="ar-SA"/>
        </w:rPr>
      </w:pPr>
      <w:bookmarkStart w:id="59" w:name="_Toc15377213"/>
      <w:bookmarkStart w:id="60" w:name="_Toc15377444"/>
      <w:bookmarkStart w:id="61" w:name="_Toc15378460"/>
      <w:r>
        <w:rPr>
          <w:rFonts w:hint="eastAsia" w:ascii="仿宋_GB2312" w:hAnsi="仿宋_GB2312" w:eastAsia="仿宋_GB2312" w:cs="仿宋_GB2312"/>
          <w:color w:val="auto"/>
          <w:kern w:val="2"/>
          <w:sz w:val="32"/>
          <w:szCs w:val="32"/>
          <w:highlight w:val="none"/>
          <w:lang w:val="en-US" w:eastAsia="zh-CN" w:bidi="ar-SA"/>
        </w:rPr>
        <w:t>2024年度一般公共预算财政拨款支出决算数为2090.65万元，完成预算100%。其中：</w:t>
      </w:r>
      <w:bookmarkEnd w:id="59"/>
      <w:bookmarkEnd w:id="60"/>
      <w:bookmarkEnd w:id="61"/>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Style w:val="19"/>
          <w:rFonts w:hint="eastAsia" w:ascii="仿宋_GB2312" w:hAnsi="仿宋_GB2312" w:eastAsia="仿宋_GB2312" w:cs="仿宋_GB2312"/>
          <w:b w:val="0"/>
          <w:color w:val="000000"/>
          <w:sz w:val="32"/>
          <w:szCs w:val="32"/>
          <w:lang w:val="en-US" w:eastAsia="zh-CN"/>
        </w:rPr>
      </w:pPr>
      <w:r>
        <w:rPr>
          <w:rStyle w:val="19"/>
          <w:rFonts w:hint="eastAsia" w:ascii="仿宋_GB2312" w:hAnsi="仿宋_GB2312" w:eastAsia="仿宋_GB2312" w:cs="仿宋_GB2312"/>
          <w:bCs/>
          <w:color w:val="000000"/>
          <w:sz w:val="32"/>
          <w:szCs w:val="32"/>
          <w:lang w:val="en-US" w:eastAsia="zh-CN"/>
        </w:rPr>
        <w:t>1.</w:t>
      </w:r>
      <w:r>
        <w:rPr>
          <w:rStyle w:val="19"/>
          <w:rFonts w:hint="eastAsia" w:ascii="仿宋_GB2312" w:hAnsi="仿宋_GB2312" w:eastAsia="仿宋_GB2312" w:cs="仿宋_GB2312"/>
          <w:bCs/>
          <w:color w:val="000000"/>
          <w:sz w:val="32"/>
          <w:szCs w:val="32"/>
        </w:rPr>
        <w:t>一般公共服务（201）</w:t>
      </w:r>
      <w:r>
        <w:rPr>
          <w:rStyle w:val="19"/>
          <w:rFonts w:hint="eastAsia" w:ascii="仿宋_GB2312" w:hAnsi="仿宋_GB2312" w:eastAsia="仿宋_GB2312" w:cs="仿宋_GB2312"/>
          <w:bCs/>
          <w:color w:val="000000"/>
          <w:sz w:val="32"/>
          <w:szCs w:val="32"/>
          <w:lang w:eastAsia="zh-CN"/>
        </w:rPr>
        <w:t>人大事务</w:t>
      </w:r>
      <w:r>
        <w:rPr>
          <w:rStyle w:val="19"/>
          <w:rFonts w:hint="eastAsia" w:ascii="仿宋_GB2312" w:hAnsi="仿宋_GB2312" w:eastAsia="仿宋_GB2312" w:cs="仿宋_GB2312"/>
          <w:bCs/>
          <w:color w:val="000000"/>
          <w:sz w:val="32"/>
          <w:szCs w:val="32"/>
        </w:rPr>
        <w:t>（0</w:t>
      </w:r>
      <w:r>
        <w:rPr>
          <w:rStyle w:val="19"/>
          <w:rFonts w:hint="eastAsia" w:ascii="仿宋_GB2312" w:hAnsi="仿宋_GB2312" w:eastAsia="仿宋_GB2312" w:cs="仿宋_GB2312"/>
          <w:bCs/>
          <w:color w:val="000000"/>
          <w:sz w:val="32"/>
          <w:szCs w:val="32"/>
          <w:lang w:val="en-US" w:eastAsia="zh-CN"/>
        </w:rPr>
        <w:t>1</w:t>
      </w:r>
      <w:r>
        <w:rPr>
          <w:rStyle w:val="19"/>
          <w:rFonts w:hint="eastAsia" w:ascii="仿宋_GB2312" w:hAnsi="仿宋_GB2312" w:eastAsia="仿宋_GB2312" w:cs="仿宋_GB2312"/>
          <w:bCs/>
          <w:color w:val="000000"/>
          <w:sz w:val="32"/>
          <w:szCs w:val="32"/>
        </w:rPr>
        <w:t>）</w:t>
      </w:r>
      <w:r>
        <w:rPr>
          <w:rStyle w:val="19"/>
          <w:rFonts w:hint="eastAsia" w:ascii="仿宋_GB2312" w:hAnsi="仿宋_GB2312" w:eastAsia="仿宋_GB2312" w:cs="仿宋_GB2312"/>
          <w:bCs/>
          <w:color w:val="000000"/>
          <w:sz w:val="32"/>
          <w:szCs w:val="32"/>
          <w:lang w:eastAsia="zh-CN"/>
        </w:rPr>
        <w:t>代表工作</w:t>
      </w:r>
      <w:r>
        <w:rPr>
          <w:rStyle w:val="19"/>
          <w:rFonts w:hint="eastAsia" w:ascii="仿宋_GB2312" w:hAnsi="仿宋_GB2312" w:eastAsia="仿宋_GB2312" w:cs="仿宋_GB2312"/>
          <w:bCs/>
          <w:color w:val="000000"/>
          <w:sz w:val="32"/>
          <w:szCs w:val="32"/>
        </w:rPr>
        <w:t>（</w:t>
      </w:r>
      <w:r>
        <w:rPr>
          <w:rStyle w:val="19"/>
          <w:rFonts w:hint="eastAsia" w:ascii="仿宋_GB2312" w:hAnsi="仿宋_GB2312" w:eastAsia="仿宋_GB2312" w:cs="仿宋_GB2312"/>
          <w:bCs/>
          <w:color w:val="000000"/>
          <w:sz w:val="32"/>
          <w:szCs w:val="32"/>
          <w:lang w:val="en-US" w:eastAsia="zh-CN"/>
        </w:rPr>
        <w:t>08</w:t>
      </w:r>
      <w:r>
        <w:rPr>
          <w:rStyle w:val="19"/>
          <w:rFonts w:hint="eastAsia" w:ascii="仿宋_GB2312" w:hAnsi="仿宋_GB2312" w:eastAsia="仿宋_GB2312" w:cs="仿宋_GB2312"/>
          <w:bCs/>
          <w:color w:val="000000"/>
          <w:sz w:val="32"/>
          <w:szCs w:val="32"/>
        </w:rPr>
        <w:t>）</w:t>
      </w:r>
      <w:r>
        <w:rPr>
          <w:rStyle w:val="19"/>
          <w:rFonts w:hint="eastAsia" w:ascii="仿宋_GB2312" w:hAnsi="仿宋_GB2312" w:eastAsia="仿宋_GB2312" w:cs="仿宋_GB2312"/>
          <w:b w:val="0"/>
          <w:color w:val="000000"/>
          <w:sz w:val="32"/>
          <w:szCs w:val="32"/>
        </w:rPr>
        <w:t>支出决算</w:t>
      </w:r>
      <w:r>
        <w:rPr>
          <w:rStyle w:val="19"/>
          <w:rFonts w:hint="eastAsia" w:ascii="仿宋_GB2312" w:hAnsi="仿宋_GB2312" w:eastAsia="仿宋_GB2312" w:cs="仿宋_GB2312"/>
          <w:b w:val="0"/>
          <w:color w:val="000000"/>
          <w:sz w:val="32"/>
          <w:szCs w:val="32"/>
          <w:lang w:val="en-US" w:eastAsia="zh-CN"/>
        </w:rPr>
        <w:t>10.00</w:t>
      </w:r>
      <w:r>
        <w:rPr>
          <w:rStyle w:val="19"/>
          <w:rFonts w:hint="eastAsia" w:ascii="仿宋_GB2312" w:hAnsi="仿宋_GB2312" w:eastAsia="仿宋_GB2312" w:cs="仿宋_GB2312"/>
          <w:b w:val="0"/>
          <w:color w:val="000000"/>
          <w:sz w:val="32"/>
          <w:szCs w:val="32"/>
        </w:rPr>
        <w:t>万元，完成预算100%。</w:t>
      </w:r>
      <w:r>
        <w:rPr>
          <w:rStyle w:val="19"/>
          <w:rFonts w:hint="eastAsia" w:ascii="仿宋_GB2312" w:hAnsi="仿宋_GB2312" w:eastAsia="仿宋_GB2312" w:cs="仿宋_GB2312"/>
          <w:b w:val="0"/>
          <w:color w:val="000000"/>
          <w:sz w:val="32"/>
          <w:szCs w:val="32"/>
          <w:lang w:eastAsia="zh-CN"/>
        </w:rPr>
        <w:t>决算数与预算数持平。</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Style w:val="19"/>
          <w:rFonts w:hint="eastAsia" w:ascii="仿宋_GB2312" w:hAnsi="仿宋_GB2312" w:eastAsia="仿宋_GB2312" w:cs="仿宋_GB2312"/>
          <w:b w:val="0"/>
          <w:color w:val="000000"/>
          <w:sz w:val="32"/>
          <w:szCs w:val="32"/>
        </w:rPr>
      </w:pPr>
      <w:r>
        <w:rPr>
          <w:rStyle w:val="19"/>
          <w:rFonts w:hint="eastAsia" w:ascii="仿宋_GB2312" w:hAnsi="仿宋_GB2312" w:eastAsia="仿宋_GB2312" w:cs="仿宋_GB2312"/>
          <w:bCs/>
          <w:color w:val="000000"/>
          <w:sz w:val="32"/>
          <w:szCs w:val="32"/>
          <w:lang w:val="en-US" w:eastAsia="zh-CN"/>
        </w:rPr>
        <w:t>2</w:t>
      </w:r>
      <w:r>
        <w:rPr>
          <w:rStyle w:val="19"/>
          <w:rFonts w:hint="eastAsia" w:ascii="仿宋_GB2312" w:hAnsi="仿宋_GB2312" w:eastAsia="仿宋_GB2312" w:cs="仿宋_GB2312"/>
          <w:bCs/>
          <w:color w:val="000000"/>
          <w:sz w:val="32"/>
          <w:szCs w:val="32"/>
        </w:rPr>
        <w:t>.一般公共服务（201）政府办公厅（室）及相关机构事务（03）行政运行（01）</w:t>
      </w:r>
      <w:r>
        <w:rPr>
          <w:rStyle w:val="19"/>
          <w:rFonts w:hint="eastAsia" w:ascii="仿宋_GB2312" w:hAnsi="仿宋_GB2312" w:eastAsia="仿宋_GB2312" w:cs="仿宋_GB2312"/>
          <w:b w:val="0"/>
          <w:color w:val="000000"/>
          <w:sz w:val="32"/>
          <w:szCs w:val="32"/>
        </w:rPr>
        <w:t>支出决算</w:t>
      </w:r>
      <w:r>
        <w:rPr>
          <w:rStyle w:val="19"/>
          <w:rFonts w:hint="eastAsia" w:ascii="仿宋_GB2312" w:hAnsi="仿宋_GB2312" w:eastAsia="仿宋_GB2312" w:cs="仿宋_GB2312"/>
          <w:b w:val="0"/>
          <w:color w:val="000000"/>
          <w:sz w:val="32"/>
          <w:szCs w:val="32"/>
          <w:lang w:val="en-US" w:eastAsia="zh-CN"/>
        </w:rPr>
        <w:t>547.29</w:t>
      </w:r>
      <w:r>
        <w:rPr>
          <w:rStyle w:val="19"/>
          <w:rFonts w:hint="eastAsia" w:ascii="仿宋_GB2312" w:hAnsi="仿宋_GB2312" w:eastAsia="仿宋_GB2312" w:cs="仿宋_GB2312"/>
          <w:b w:val="0"/>
          <w:color w:val="000000"/>
          <w:sz w:val="32"/>
          <w:szCs w:val="32"/>
        </w:rPr>
        <w:t>万元，完成预算100%。</w:t>
      </w:r>
      <w:r>
        <w:rPr>
          <w:rStyle w:val="19"/>
          <w:rFonts w:hint="eastAsia" w:ascii="仿宋_GB2312" w:hAnsi="仿宋_GB2312" w:eastAsia="仿宋_GB2312" w:cs="仿宋_GB2312"/>
          <w:b w:val="0"/>
          <w:color w:val="000000"/>
          <w:sz w:val="32"/>
          <w:szCs w:val="32"/>
          <w:lang w:eastAsia="zh-CN"/>
        </w:rPr>
        <w:t>决算数与预算数持平。</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Fonts w:hint="eastAsia" w:ascii="仿宋_GB2312" w:hAnsi="仿宋_GB2312" w:eastAsia="仿宋_GB2312" w:cs="仿宋_GB2312"/>
          <w:lang w:val="en-US" w:eastAsia="zh-CN"/>
        </w:rPr>
      </w:pPr>
      <w:r>
        <w:rPr>
          <w:rStyle w:val="19"/>
          <w:rFonts w:hint="eastAsia" w:ascii="仿宋_GB2312" w:hAnsi="仿宋_GB2312" w:eastAsia="仿宋_GB2312" w:cs="仿宋_GB2312"/>
          <w:bCs/>
          <w:color w:val="000000"/>
          <w:sz w:val="32"/>
          <w:szCs w:val="32"/>
          <w:lang w:val="en-US" w:eastAsia="zh-CN"/>
        </w:rPr>
        <w:t>3</w:t>
      </w:r>
      <w:r>
        <w:rPr>
          <w:rStyle w:val="19"/>
          <w:rFonts w:hint="eastAsia" w:ascii="仿宋_GB2312" w:hAnsi="仿宋_GB2312" w:eastAsia="仿宋_GB2312" w:cs="仿宋_GB2312"/>
          <w:bCs/>
          <w:color w:val="000000"/>
          <w:sz w:val="32"/>
          <w:szCs w:val="32"/>
        </w:rPr>
        <w:t>.一般公共服务（201）政府办公厅（室）及相关机构事务（03）</w:t>
      </w:r>
      <w:r>
        <w:rPr>
          <w:rStyle w:val="19"/>
          <w:rFonts w:hint="eastAsia" w:ascii="仿宋_GB2312" w:hAnsi="仿宋_GB2312" w:eastAsia="仿宋_GB2312" w:cs="仿宋_GB2312"/>
          <w:bCs/>
          <w:color w:val="000000"/>
          <w:sz w:val="32"/>
          <w:szCs w:val="32"/>
          <w:lang w:eastAsia="zh-CN"/>
        </w:rPr>
        <w:t>其他</w:t>
      </w:r>
      <w:r>
        <w:rPr>
          <w:rStyle w:val="19"/>
          <w:rFonts w:hint="eastAsia" w:ascii="仿宋_GB2312" w:hAnsi="仿宋_GB2312" w:eastAsia="仿宋_GB2312" w:cs="仿宋_GB2312"/>
          <w:bCs/>
          <w:color w:val="000000"/>
          <w:sz w:val="32"/>
          <w:szCs w:val="32"/>
        </w:rPr>
        <w:t>政府办公厅（室）及相关机构事务</w:t>
      </w:r>
      <w:r>
        <w:rPr>
          <w:rStyle w:val="19"/>
          <w:rFonts w:hint="eastAsia" w:ascii="仿宋_GB2312" w:hAnsi="仿宋_GB2312" w:eastAsia="仿宋_GB2312" w:cs="仿宋_GB2312"/>
          <w:bCs/>
          <w:color w:val="000000"/>
          <w:sz w:val="32"/>
          <w:szCs w:val="32"/>
          <w:lang w:eastAsia="zh-CN"/>
        </w:rPr>
        <w:t>支出</w:t>
      </w:r>
      <w:r>
        <w:rPr>
          <w:rStyle w:val="19"/>
          <w:rFonts w:hint="eastAsia" w:ascii="仿宋_GB2312" w:hAnsi="仿宋_GB2312" w:eastAsia="仿宋_GB2312" w:cs="仿宋_GB2312"/>
          <w:bCs/>
          <w:color w:val="000000"/>
          <w:sz w:val="32"/>
          <w:szCs w:val="32"/>
        </w:rPr>
        <w:t>（</w:t>
      </w:r>
      <w:r>
        <w:rPr>
          <w:rStyle w:val="19"/>
          <w:rFonts w:hint="eastAsia" w:ascii="仿宋_GB2312" w:hAnsi="仿宋_GB2312" w:eastAsia="仿宋_GB2312" w:cs="仿宋_GB2312"/>
          <w:bCs/>
          <w:color w:val="000000"/>
          <w:sz w:val="32"/>
          <w:szCs w:val="32"/>
          <w:lang w:val="en-US" w:eastAsia="zh-CN"/>
        </w:rPr>
        <w:t>99</w:t>
      </w:r>
      <w:r>
        <w:rPr>
          <w:rStyle w:val="19"/>
          <w:rFonts w:hint="eastAsia" w:ascii="仿宋_GB2312" w:hAnsi="仿宋_GB2312" w:eastAsia="仿宋_GB2312" w:cs="仿宋_GB2312"/>
          <w:bCs/>
          <w:color w:val="000000"/>
          <w:sz w:val="32"/>
          <w:szCs w:val="32"/>
        </w:rPr>
        <w:t>）</w:t>
      </w:r>
      <w:r>
        <w:rPr>
          <w:rStyle w:val="19"/>
          <w:rFonts w:hint="eastAsia" w:ascii="仿宋_GB2312" w:hAnsi="仿宋_GB2312" w:eastAsia="仿宋_GB2312" w:cs="仿宋_GB2312"/>
          <w:b w:val="0"/>
          <w:color w:val="000000"/>
          <w:sz w:val="32"/>
          <w:szCs w:val="32"/>
        </w:rPr>
        <w:t>支出决算</w:t>
      </w:r>
      <w:r>
        <w:rPr>
          <w:rStyle w:val="19"/>
          <w:rFonts w:hint="eastAsia" w:ascii="仿宋_GB2312" w:hAnsi="仿宋_GB2312" w:eastAsia="仿宋_GB2312" w:cs="仿宋_GB2312"/>
          <w:b w:val="0"/>
          <w:color w:val="000000"/>
          <w:sz w:val="32"/>
          <w:szCs w:val="32"/>
          <w:lang w:val="en-US" w:eastAsia="zh-CN"/>
        </w:rPr>
        <w:t>86.35</w:t>
      </w:r>
      <w:r>
        <w:rPr>
          <w:rStyle w:val="19"/>
          <w:rFonts w:hint="eastAsia" w:ascii="仿宋_GB2312" w:hAnsi="仿宋_GB2312" w:eastAsia="仿宋_GB2312" w:cs="仿宋_GB2312"/>
          <w:b w:val="0"/>
          <w:color w:val="000000"/>
          <w:sz w:val="32"/>
          <w:szCs w:val="32"/>
        </w:rPr>
        <w:t>万元，完成预算100%。</w:t>
      </w:r>
      <w:r>
        <w:rPr>
          <w:rStyle w:val="19"/>
          <w:rFonts w:hint="eastAsia" w:ascii="仿宋_GB2312" w:hAnsi="仿宋_GB2312" w:eastAsia="仿宋_GB2312" w:cs="仿宋_GB2312"/>
          <w:b w:val="0"/>
          <w:color w:val="000000"/>
          <w:sz w:val="32"/>
          <w:szCs w:val="32"/>
          <w:lang w:eastAsia="zh-CN"/>
        </w:rPr>
        <w:t>决算数与预算数持平。</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b/>
          <w:color w:val="000000"/>
          <w:sz w:val="32"/>
          <w:szCs w:val="32"/>
          <w:lang w:val="en-US" w:eastAsia="zh-CN"/>
        </w:rPr>
        <w:t>4</w:t>
      </w:r>
      <w:r>
        <w:rPr>
          <w:rFonts w:hint="eastAsia" w:ascii="仿宋_GB2312" w:hAnsi="仿宋_GB2312" w:eastAsia="仿宋_GB2312" w:cs="仿宋_GB2312"/>
          <w:b/>
          <w:color w:val="000000"/>
          <w:sz w:val="32"/>
          <w:szCs w:val="32"/>
        </w:rPr>
        <w:t>.社会保障和就业支出（208）行政事业单位养老支出（05）机关事业单位基本养老保险缴费支出（05）</w:t>
      </w:r>
      <w:r>
        <w:rPr>
          <w:rFonts w:hint="eastAsia" w:ascii="仿宋_GB2312" w:hAnsi="仿宋_GB2312" w:eastAsia="仿宋_GB2312" w:cs="仿宋_GB2312"/>
          <w:color w:val="000000"/>
          <w:sz w:val="32"/>
          <w:szCs w:val="32"/>
        </w:rPr>
        <w:t>支出决算</w:t>
      </w:r>
      <w:r>
        <w:rPr>
          <w:rFonts w:hint="eastAsia" w:ascii="仿宋_GB2312" w:hAnsi="仿宋_GB2312" w:eastAsia="仿宋_GB2312" w:cs="仿宋_GB2312"/>
          <w:color w:val="000000"/>
          <w:sz w:val="32"/>
          <w:szCs w:val="32"/>
          <w:lang w:val="en-US" w:eastAsia="zh-CN"/>
        </w:rPr>
        <w:t>100.92</w:t>
      </w:r>
      <w:r>
        <w:rPr>
          <w:rFonts w:hint="eastAsia" w:ascii="仿宋_GB2312" w:hAnsi="仿宋_GB2312" w:eastAsia="仿宋_GB2312" w:cs="仿宋_GB2312"/>
          <w:color w:val="000000"/>
          <w:sz w:val="32"/>
          <w:szCs w:val="32"/>
        </w:rPr>
        <w:t>万元，完成预算100%。</w:t>
      </w:r>
      <w:r>
        <w:rPr>
          <w:rStyle w:val="19"/>
          <w:rFonts w:hint="eastAsia" w:ascii="仿宋_GB2312" w:hAnsi="仿宋_GB2312" w:eastAsia="仿宋_GB2312" w:cs="仿宋_GB2312"/>
          <w:b w:val="0"/>
          <w:color w:val="000000"/>
          <w:sz w:val="32"/>
          <w:szCs w:val="32"/>
          <w:lang w:eastAsia="zh-CN"/>
        </w:rPr>
        <w:t>决算数与预算数持平。</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Fonts w:hint="eastAsia" w:ascii="仿宋_GB2312" w:hAnsi="仿宋_GB2312" w:eastAsia="仿宋_GB2312" w:cs="仿宋_GB2312"/>
          <w:b/>
          <w:color w:val="000000"/>
          <w:sz w:val="32"/>
          <w:szCs w:val="32"/>
          <w:lang w:val="en-US" w:eastAsia="zh-CN"/>
        </w:rPr>
      </w:pPr>
      <w:r>
        <w:rPr>
          <w:rFonts w:hint="eastAsia" w:ascii="仿宋_GB2312" w:hAnsi="仿宋_GB2312" w:eastAsia="仿宋_GB2312" w:cs="仿宋_GB2312"/>
          <w:b/>
          <w:color w:val="000000"/>
          <w:sz w:val="32"/>
          <w:szCs w:val="32"/>
          <w:lang w:val="en-US" w:eastAsia="zh-CN"/>
        </w:rPr>
        <w:t>5</w:t>
      </w:r>
      <w:r>
        <w:rPr>
          <w:rFonts w:hint="eastAsia" w:ascii="仿宋_GB2312" w:hAnsi="仿宋_GB2312" w:eastAsia="仿宋_GB2312" w:cs="仿宋_GB2312"/>
          <w:b/>
          <w:color w:val="000000"/>
          <w:sz w:val="32"/>
          <w:szCs w:val="32"/>
        </w:rPr>
        <w:t>.社会保障和就业支出（208）行政事业单位养老支出（05）机关事业单位职业年金缴费支出（06）</w:t>
      </w:r>
      <w:r>
        <w:rPr>
          <w:rFonts w:hint="eastAsia" w:ascii="仿宋_GB2312" w:hAnsi="仿宋_GB2312" w:eastAsia="仿宋_GB2312" w:cs="仿宋_GB2312"/>
          <w:color w:val="000000"/>
          <w:sz w:val="32"/>
          <w:szCs w:val="32"/>
        </w:rPr>
        <w:t>支出决算</w:t>
      </w:r>
      <w:r>
        <w:rPr>
          <w:rFonts w:hint="eastAsia" w:ascii="仿宋_GB2312" w:hAnsi="仿宋_GB2312" w:eastAsia="仿宋_GB2312" w:cs="仿宋_GB2312"/>
          <w:color w:val="000000"/>
          <w:sz w:val="32"/>
          <w:szCs w:val="32"/>
          <w:lang w:val="en-US" w:eastAsia="zh-CN"/>
        </w:rPr>
        <w:t>50.41</w:t>
      </w:r>
      <w:r>
        <w:rPr>
          <w:rFonts w:hint="eastAsia" w:ascii="仿宋_GB2312" w:hAnsi="仿宋_GB2312" w:eastAsia="仿宋_GB2312" w:cs="仿宋_GB2312"/>
          <w:color w:val="000000"/>
          <w:sz w:val="32"/>
          <w:szCs w:val="32"/>
        </w:rPr>
        <w:t>万元，完成预算100%。</w:t>
      </w:r>
      <w:r>
        <w:rPr>
          <w:rStyle w:val="19"/>
          <w:rFonts w:hint="eastAsia" w:ascii="仿宋_GB2312" w:hAnsi="仿宋_GB2312" w:eastAsia="仿宋_GB2312" w:cs="仿宋_GB2312"/>
          <w:b w:val="0"/>
          <w:color w:val="000000"/>
          <w:sz w:val="32"/>
          <w:szCs w:val="32"/>
          <w:lang w:eastAsia="zh-CN"/>
        </w:rPr>
        <w:t>决算数与预算数持平。</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b/>
          <w:color w:val="000000"/>
          <w:sz w:val="32"/>
          <w:szCs w:val="32"/>
          <w:lang w:val="en-US" w:eastAsia="zh-CN"/>
        </w:rPr>
        <w:t>6</w:t>
      </w:r>
      <w:r>
        <w:rPr>
          <w:rFonts w:hint="eastAsia" w:ascii="仿宋_GB2312" w:hAnsi="仿宋_GB2312" w:eastAsia="仿宋_GB2312" w:cs="仿宋_GB2312"/>
          <w:b/>
          <w:color w:val="000000"/>
          <w:sz w:val="32"/>
          <w:szCs w:val="32"/>
        </w:rPr>
        <w:t>. 社会保障和就业支出（208）</w:t>
      </w:r>
      <w:r>
        <w:rPr>
          <w:rFonts w:hint="eastAsia" w:ascii="仿宋_GB2312" w:hAnsi="仿宋_GB2312" w:eastAsia="仿宋_GB2312" w:cs="仿宋_GB2312"/>
          <w:b/>
          <w:color w:val="000000"/>
          <w:sz w:val="32"/>
          <w:szCs w:val="32"/>
          <w:lang w:eastAsia="zh-CN"/>
        </w:rPr>
        <w:t>就业补助</w:t>
      </w:r>
      <w:r>
        <w:rPr>
          <w:rFonts w:hint="eastAsia" w:ascii="仿宋_GB2312" w:hAnsi="仿宋_GB2312" w:eastAsia="仿宋_GB2312" w:cs="仿宋_GB2312"/>
          <w:b/>
          <w:color w:val="000000"/>
          <w:sz w:val="32"/>
          <w:szCs w:val="32"/>
        </w:rPr>
        <w:t>（0</w:t>
      </w:r>
      <w:r>
        <w:rPr>
          <w:rFonts w:hint="eastAsia" w:ascii="仿宋_GB2312" w:hAnsi="仿宋_GB2312" w:eastAsia="仿宋_GB2312" w:cs="仿宋_GB2312"/>
          <w:b/>
          <w:color w:val="000000"/>
          <w:sz w:val="32"/>
          <w:szCs w:val="32"/>
          <w:lang w:val="en-US" w:eastAsia="zh-CN"/>
        </w:rPr>
        <w:t>7</w:t>
      </w:r>
      <w:r>
        <w:rPr>
          <w:rFonts w:hint="eastAsia" w:ascii="仿宋_GB2312" w:hAnsi="仿宋_GB2312" w:eastAsia="仿宋_GB2312" w:cs="仿宋_GB2312"/>
          <w:b/>
          <w:color w:val="000000"/>
          <w:sz w:val="32"/>
          <w:szCs w:val="32"/>
        </w:rPr>
        <w:t>）</w:t>
      </w:r>
      <w:r>
        <w:rPr>
          <w:rFonts w:hint="eastAsia" w:ascii="仿宋_GB2312" w:hAnsi="仿宋_GB2312" w:eastAsia="仿宋_GB2312" w:cs="仿宋_GB2312"/>
          <w:b/>
          <w:color w:val="000000"/>
          <w:sz w:val="32"/>
          <w:szCs w:val="32"/>
          <w:lang w:eastAsia="zh-CN"/>
        </w:rPr>
        <w:t>公益性岗位补助</w:t>
      </w:r>
      <w:r>
        <w:rPr>
          <w:rFonts w:hint="eastAsia" w:ascii="仿宋_GB2312" w:hAnsi="仿宋_GB2312" w:eastAsia="仿宋_GB2312" w:cs="仿宋_GB2312"/>
          <w:b/>
          <w:color w:val="000000"/>
          <w:sz w:val="32"/>
          <w:szCs w:val="32"/>
        </w:rPr>
        <w:t>（</w:t>
      </w:r>
      <w:r>
        <w:rPr>
          <w:rFonts w:hint="eastAsia" w:ascii="仿宋_GB2312" w:hAnsi="仿宋_GB2312" w:eastAsia="仿宋_GB2312" w:cs="仿宋_GB2312"/>
          <w:b/>
          <w:color w:val="000000"/>
          <w:sz w:val="32"/>
          <w:szCs w:val="32"/>
          <w:lang w:val="en-US" w:eastAsia="zh-CN"/>
        </w:rPr>
        <w:t>05</w:t>
      </w:r>
      <w:r>
        <w:rPr>
          <w:rFonts w:hint="eastAsia" w:ascii="仿宋_GB2312" w:hAnsi="仿宋_GB2312" w:eastAsia="仿宋_GB2312" w:cs="仿宋_GB2312"/>
          <w:b/>
          <w:color w:val="000000"/>
          <w:sz w:val="32"/>
          <w:szCs w:val="32"/>
        </w:rPr>
        <w:t>）</w:t>
      </w:r>
      <w:r>
        <w:rPr>
          <w:rFonts w:hint="eastAsia" w:ascii="仿宋_GB2312" w:hAnsi="仿宋_GB2312" w:eastAsia="仿宋_GB2312" w:cs="仿宋_GB2312"/>
          <w:color w:val="000000"/>
          <w:sz w:val="32"/>
          <w:szCs w:val="32"/>
        </w:rPr>
        <w:t>支出决算</w:t>
      </w:r>
      <w:r>
        <w:rPr>
          <w:rFonts w:hint="eastAsia" w:ascii="仿宋_GB2312" w:hAnsi="仿宋_GB2312" w:eastAsia="仿宋_GB2312" w:cs="仿宋_GB2312"/>
          <w:color w:val="000000"/>
          <w:sz w:val="32"/>
          <w:szCs w:val="32"/>
          <w:lang w:val="en-US" w:eastAsia="zh-CN"/>
        </w:rPr>
        <w:t>10.40</w:t>
      </w:r>
      <w:r>
        <w:rPr>
          <w:rFonts w:hint="eastAsia" w:ascii="仿宋_GB2312" w:hAnsi="仿宋_GB2312" w:eastAsia="仿宋_GB2312" w:cs="仿宋_GB2312"/>
          <w:color w:val="000000"/>
          <w:sz w:val="32"/>
          <w:szCs w:val="32"/>
        </w:rPr>
        <w:t>万元，完成预算100%。</w:t>
      </w:r>
      <w:r>
        <w:rPr>
          <w:rStyle w:val="19"/>
          <w:rFonts w:hint="eastAsia" w:ascii="仿宋_GB2312" w:hAnsi="仿宋_GB2312" w:eastAsia="仿宋_GB2312" w:cs="仿宋_GB2312"/>
          <w:b w:val="0"/>
          <w:color w:val="000000"/>
          <w:sz w:val="32"/>
          <w:szCs w:val="32"/>
          <w:lang w:eastAsia="zh-CN"/>
        </w:rPr>
        <w:t>决算数与预算数持平。</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b/>
          <w:color w:val="000000"/>
          <w:sz w:val="32"/>
          <w:szCs w:val="32"/>
          <w:lang w:val="en-US" w:eastAsia="zh-CN"/>
        </w:rPr>
        <w:t>7</w:t>
      </w:r>
      <w:r>
        <w:rPr>
          <w:rFonts w:hint="eastAsia" w:ascii="仿宋_GB2312" w:hAnsi="仿宋_GB2312" w:eastAsia="仿宋_GB2312" w:cs="仿宋_GB2312"/>
          <w:b/>
          <w:color w:val="000000"/>
          <w:sz w:val="32"/>
          <w:szCs w:val="32"/>
        </w:rPr>
        <w:t>.社会保障和就业支出（208）残疾人事业（11）其他残疾人事业支出（99）</w:t>
      </w:r>
      <w:r>
        <w:rPr>
          <w:rFonts w:hint="eastAsia" w:ascii="仿宋_GB2312" w:hAnsi="仿宋_GB2312" w:eastAsia="仿宋_GB2312" w:cs="仿宋_GB2312"/>
          <w:color w:val="000000"/>
          <w:sz w:val="32"/>
          <w:szCs w:val="32"/>
        </w:rPr>
        <w:t>支出决算0.52万元，完成预算100%。</w:t>
      </w:r>
      <w:r>
        <w:rPr>
          <w:rStyle w:val="19"/>
          <w:rFonts w:hint="eastAsia" w:ascii="仿宋_GB2312" w:hAnsi="仿宋_GB2312" w:eastAsia="仿宋_GB2312" w:cs="仿宋_GB2312"/>
          <w:b w:val="0"/>
          <w:color w:val="000000"/>
          <w:sz w:val="32"/>
          <w:szCs w:val="32"/>
          <w:lang w:eastAsia="zh-CN"/>
        </w:rPr>
        <w:t>决算数与预算数持平。</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b/>
          <w:color w:val="000000"/>
          <w:sz w:val="32"/>
          <w:szCs w:val="32"/>
          <w:lang w:val="en-US" w:eastAsia="zh-CN"/>
        </w:rPr>
        <w:t>8</w:t>
      </w:r>
      <w:r>
        <w:rPr>
          <w:rFonts w:hint="eastAsia" w:ascii="仿宋_GB2312" w:hAnsi="仿宋_GB2312" w:eastAsia="仿宋_GB2312" w:cs="仿宋_GB2312"/>
          <w:b/>
          <w:color w:val="000000"/>
          <w:sz w:val="32"/>
          <w:szCs w:val="32"/>
        </w:rPr>
        <w:t>.卫生健康支出（210）行政事业单位医疗（11）行政单位医疗（01）</w:t>
      </w:r>
      <w:r>
        <w:rPr>
          <w:rFonts w:hint="eastAsia" w:ascii="仿宋_GB2312" w:hAnsi="仿宋_GB2312" w:eastAsia="仿宋_GB2312" w:cs="仿宋_GB2312"/>
          <w:color w:val="000000"/>
          <w:sz w:val="32"/>
          <w:szCs w:val="32"/>
        </w:rPr>
        <w:t>支出决算</w:t>
      </w:r>
      <w:r>
        <w:rPr>
          <w:rFonts w:hint="eastAsia" w:ascii="仿宋_GB2312" w:hAnsi="仿宋_GB2312" w:eastAsia="仿宋_GB2312" w:cs="仿宋_GB2312"/>
          <w:color w:val="000000"/>
          <w:sz w:val="32"/>
          <w:szCs w:val="32"/>
          <w:lang w:val="en-US" w:eastAsia="zh-CN"/>
        </w:rPr>
        <w:t>40.01</w:t>
      </w:r>
      <w:r>
        <w:rPr>
          <w:rFonts w:hint="eastAsia" w:ascii="仿宋_GB2312" w:hAnsi="仿宋_GB2312" w:eastAsia="仿宋_GB2312" w:cs="仿宋_GB2312"/>
          <w:color w:val="000000"/>
          <w:sz w:val="32"/>
          <w:szCs w:val="32"/>
        </w:rPr>
        <w:t>万元，完成预算100%。</w:t>
      </w:r>
      <w:r>
        <w:rPr>
          <w:rStyle w:val="19"/>
          <w:rFonts w:hint="eastAsia" w:ascii="仿宋_GB2312" w:hAnsi="仿宋_GB2312" w:eastAsia="仿宋_GB2312" w:cs="仿宋_GB2312"/>
          <w:b w:val="0"/>
          <w:color w:val="000000"/>
          <w:sz w:val="32"/>
          <w:szCs w:val="32"/>
          <w:lang w:eastAsia="zh-CN"/>
        </w:rPr>
        <w:t>决算数与预算数持平。</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b/>
          <w:color w:val="000000"/>
          <w:sz w:val="32"/>
          <w:szCs w:val="32"/>
          <w:lang w:val="en-US" w:eastAsia="zh-CN"/>
        </w:rPr>
        <w:t>9</w:t>
      </w:r>
      <w:r>
        <w:rPr>
          <w:rFonts w:hint="eastAsia" w:ascii="仿宋_GB2312" w:hAnsi="仿宋_GB2312" w:eastAsia="仿宋_GB2312" w:cs="仿宋_GB2312"/>
          <w:b/>
          <w:color w:val="000000"/>
          <w:sz w:val="32"/>
          <w:szCs w:val="32"/>
        </w:rPr>
        <w:t>.卫生健康支出（210）行政事业单位医疗（11）</w:t>
      </w:r>
      <w:r>
        <w:rPr>
          <w:rFonts w:hint="eastAsia" w:ascii="仿宋_GB2312" w:hAnsi="仿宋_GB2312" w:eastAsia="仿宋_GB2312" w:cs="仿宋_GB2312"/>
          <w:b/>
          <w:color w:val="000000"/>
          <w:sz w:val="32"/>
          <w:szCs w:val="32"/>
          <w:lang w:eastAsia="zh-CN"/>
        </w:rPr>
        <w:t>事业</w:t>
      </w:r>
      <w:r>
        <w:rPr>
          <w:rFonts w:hint="eastAsia" w:ascii="仿宋_GB2312" w:hAnsi="仿宋_GB2312" w:eastAsia="仿宋_GB2312" w:cs="仿宋_GB2312"/>
          <w:b/>
          <w:color w:val="000000"/>
          <w:sz w:val="32"/>
          <w:szCs w:val="32"/>
        </w:rPr>
        <w:t>单位医疗（0</w:t>
      </w:r>
      <w:r>
        <w:rPr>
          <w:rFonts w:hint="eastAsia" w:ascii="仿宋_GB2312" w:hAnsi="仿宋_GB2312" w:eastAsia="仿宋_GB2312" w:cs="仿宋_GB2312"/>
          <w:b/>
          <w:color w:val="000000"/>
          <w:sz w:val="32"/>
          <w:szCs w:val="32"/>
          <w:lang w:val="en-US" w:eastAsia="zh-CN"/>
        </w:rPr>
        <w:t>2</w:t>
      </w:r>
      <w:r>
        <w:rPr>
          <w:rFonts w:hint="eastAsia" w:ascii="仿宋_GB2312" w:hAnsi="仿宋_GB2312" w:eastAsia="仿宋_GB2312" w:cs="仿宋_GB2312"/>
          <w:b/>
          <w:color w:val="000000"/>
          <w:sz w:val="32"/>
          <w:szCs w:val="32"/>
        </w:rPr>
        <w:t>）</w:t>
      </w:r>
      <w:r>
        <w:rPr>
          <w:rFonts w:hint="eastAsia" w:ascii="仿宋_GB2312" w:hAnsi="仿宋_GB2312" w:eastAsia="仿宋_GB2312" w:cs="仿宋_GB2312"/>
          <w:color w:val="000000"/>
          <w:sz w:val="32"/>
          <w:szCs w:val="32"/>
        </w:rPr>
        <w:t>支出决算</w:t>
      </w:r>
      <w:r>
        <w:rPr>
          <w:rFonts w:hint="eastAsia" w:ascii="仿宋_GB2312" w:hAnsi="仿宋_GB2312" w:eastAsia="仿宋_GB2312" w:cs="仿宋_GB2312"/>
          <w:color w:val="000000"/>
          <w:sz w:val="32"/>
          <w:szCs w:val="32"/>
          <w:lang w:val="en-US" w:eastAsia="zh-CN"/>
        </w:rPr>
        <w:t>26.05</w:t>
      </w:r>
      <w:r>
        <w:rPr>
          <w:rFonts w:hint="eastAsia" w:ascii="仿宋_GB2312" w:hAnsi="仿宋_GB2312" w:eastAsia="仿宋_GB2312" w:cs="仿宋_GB2312"/>
          <w:color w:val="000000"/>
          <w:sz w:val="32"/>
          <w:szCs w:val="32"/>
        </w:rPr>
        <w:t>万元，完成预算100%。</w:t>
      </w:r>
      <w:r>
        <w:rPr>
          <w:rStyle w:val="19"/>
          <w:rFonts w:hint="eastAsia" w:ascii="仿宋_GB2312" w:hAnsi="仿宋_GB2312" w:eastAsia="仿宋_GB2312" w:cs="仿宋_GB2312"/>
          <w:b w:val="0"/>
          <w:color w:val="000000"/>
          <w:sz w:val="32"/>
          <w:szCs w:val="32"/>
          <w:lang w:eastAsia="zh-CN"/>
        </w:rPr>
        <w:t>决算数与预算数持平。</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b/>
          <w:color w:val="000000"/>
          <w:sz w:val="32"/>
          <w:szCs w:val="32"/>
          <w:highlight w:val="none"/>
          <w:lang w:val="en-US" w:eastAsia="zh-CN"/>
        </w:rPr>
        <w:t>10</w:t>
      </w:r>
      <w:r>
        <w:rPr>
          <w:rFonts w:hint="eastAsia" w:ascii="仿宋_GB2312" w:hAnsi="仿宋_GB2312" w:eastAsia="仿宋_GB2312" w:cs="仿宋_GB2312"/>
          <w:b/>
          <w:color w:val="000000"/>
          <w:sz w:val="32"/>
          <w:szCs w:val="32"/>
          <w:highlight w:val="none"/>
        </w:rPr>
        <w:t>.</w:t>
      </w:r>
      <w:r>
        <w:rPr>
          <w:rFonts w:hint="eastAsia" w:ascii="仿宋_GB2312" w:hAnsi="仿宋_GB2312" w:eastAsia="仿宋_GB2312" w:cs="仿宋_GB2312"/>
          <w:b/>
          <w:color w:val="000000"/>
          <w:sz w:val="32"/>
          <w:szCs w:val="32"/>
          <w:highlight w:val="none"/>
          <w:lang w:eastAsia="zh-CN"/>
        </w:rPr>
        <w:t>农林</w:t>
      </w:r>
      <w:r>
        <w:rPr>
          <w:rFonts w:hint="eastAsia" w:ascii="仿宋_GB2312" w:hAnsi="仿宋_GB2312" w:eastAsia="仿宋_GB2312" w:cs="仿宋_GB2312"/>
          <w:b/>
          <w:color w:val="000000"/>
          <w:sz w:val="32"/>
          <w:szCs w:val="32"/>
          <w:lang w:eastAsia="zh-CN"/>
        </w:rPr>
        <w:t>水支出</w:t>
      </w:r>
      <w:r>
        <w:rPr>
          <w:rFonts w:hint="eastAsia" w:ascii="仿宋_GB2312" w:hAnsi="仿宋_GB2312" w:eastAsia="仿宋_GB2312" w:cs="仿宋_GB2312"/>
          <w:b/>
          <w:color w:val="000000"/>
          <w:sz w:val="32"/>
          <w:szCs w:val="32"/>
        </w:rPr>
        <w:t>（</w:t>
      </w:r>
      <w:r>
        <w:rPr>
          <w:rFonts w:hint="eastAsia" w:ascii="仿宋_GB2312" w:hAnsi="仿宋_GB2312" w:eastAsia="仿宋_GB2312" w:cs="仿宋_GB2312"/>
          <w:b/>
          <w:color w:val="000000"/>
          <w:sz w:val="32"/>
          <w:szCs w:val="32"/>
          <w:lang w:val="en-US" w:eastAsia="zh-CN"/>
        </w:rPr>
        <w:t>213</w:t>
      </w:r>
      <w:r>
        <w:rPr>
          <w:rFonts w:hint="eastAsia" w:ascii="仿宋_GB2312" w:hAnsi="仿宋_GB2312" w:eastAsia="仿宋_GB2312" w:cs="仿宋_GB2312"/>
          <w:b/>
          <w:color w:val="000000"/>
          <w:sz w:val="32"/>
          <w:szCs w:val="32"/>
        </w:rPr>
        <w:t>）</w:t>
      </w:r>
      <w:r>
        <w:rPr>
          <w:rFonts w:hint="eastAsia" w:ascii="仿宋_GB2312" w:hAnsi="仿宋_GB2312" w:eastAsia="仿宋_GB2312" w:cs="仿宋_GB2312"/>
          <w:b/>
          <w:color w:val="000000"/>
          <w:sz w:val="32"/>
          <w:szCs w:val="32"/>
          <w:lang w:eastAsia="zh-CN"/>
        </w:rPr>
        <w:t>农业农村</w:t>
      </w:r>
      <w:r>
        <w:rPr>
          <w:rFonts w:hint="eastAsia" w:ascii="仿宋_GB2312" w:hAnsi="仿宋_GB2312" w:eastAsia="仿宋_GB2312" w:cs="仿宋_GB2312"/>
          <w:b/>
          <w:color w:val="000000"/>
          <w:sz w:val="32"/>
          <w:szCs w:val="32"/>
        </w:rPr>
        <w:t>（</w:t>
      </w:r>
      <w:r>
        <w:rPr>
          <w:rFonts w:hint="eastAsia" w:ascii="仿宋_GB2312" w:hAnsi="仿宋_GB2312" w:eastAsia="仿宋_GB2312" w:cs="仿宋_GB2312"/>
          <w:b/>
          <w:color w:val="000000"/>
          <w:sz w:val="32"/>
          <w:szCs w:val="32"/>
          <w:lang w:val="en-US" w:eastAsia="zh-CN"/>
        </w:rPr>
        <w:t>01</w:t>
      </w:r>
      <w:r>
        <w:rPr>
          <w:rFonts w:hint="eastAsia" w:ascii="仿宋_GB2312" w:hAnsi="仿宋_GB2312" w:eastAsia="仿宋_GB2312" w:cs="仿宋_GB2312"/>
          <w:b/>
          <w:color w:val="000000"/>
          <w:sz w:val="32"/>
          <w:szCs w:val="32"/>
        </w:rPr>
        <w:t>）</w:t>
      </w:r>
      <w:r>
        <w:rPr>
          <w:rFonts w:hint="eastAsia" w:ascii="仿宋_GB2312" w:hAnsi="仿宋_GB2312" w:eastAsia="仿宋_GB2312" w:cs="仿宋_GB2312"/>
          <w:b/>
          <w:color w:val="000000"/>
          <w:sz w:val="32"/>
          <w:szCs w:val="32"/>
          <w:lang w:eastAsia="zh-CN"/>
        </w:rPr>
        <w:t>事业运行</w:t>
      </w:r>
      <w:r>
        <w:rPr>
          <w:rFonts w:hint="eastAsia" w:ascii="仿宋_GB2312" w:hAnsi="仿宋_GB2312" w:eastAsia="仿宋_GB2312" w:cs="仿宋_GB2312"/>
          <w:b/>
          <w:color w:val="000000"/>
          <w:sz w:val="32"/>
          <w:szCs w:val="32"/>
        </w:rPr>
        <w:t>（</w:t>
      </w:r>
      <w:r>
        <w:rPr>
          <w:rFonts w:hint="eastAsia" w:ascii="仿宋_GB2312" w:hAnsi="仿宋_GB2312" w:eastAsia="仿宋_GB2312" w:cs="仿宋_GB2312"/>
          <w:b/>
          <w:color w:val="000000"/>
          <w:sz w:val="32"/>
          <w:szCs w:val="32"/>
          <w:lang w:val="en-US" w:eastAsia="zh-CN"/>
        </w:rPr>
        <w:t>04</w:t>
      </w:r>
      <w:r>
        <w:rPr>
          <w:rFonts w:hint="eastAsia" w:ascii="仿宋_GB2312" w:hAnsi="仿宋_GB2312" w:eastAsia="仿宋_GB2312" w:cs="仿宋_GB2312"/>
          <w:b/>
          <w:color w:val="000000"/>
          <w:sz w:val="32"/>
          <w:szCs w:val="32"/>
        </w:rPr>
        <w:t>）</w:t>
      </w:r>
      <w:r>
        <w:rPr>
          <w:rFonts w:hint="eastAsia" w:ascii="仿宋_GB2312" w:hAnsi="仿宋_GB2312" w:eastAsia="仿宋_GB2312" w:cs="仿宋_GB2312"/>
          <w:color w:val="000000"/>
          <w:sz w:val="32"/>
          <w:szCs w:val="32"/>
        </w:rPr>
        <w:t>支出决算</w:t>
      </w:r>
      <w:r>
        <w:rPr>
          <w:rFonts w:hint="eastAsia" w:ascii="仿宋_GB2312" w:hAnsi="仿宋_GB2312" w:eastAsia="仿宋_GB2312" w:cs="仿宋_GB2312"/>
          <w:color w:val="000000"/>
          <w:sz w:val="32"/>
          <w:szCs w:val="32"/>
          <w:lang w:val="en-US" w:eastAsia="zh-CN"/>
        </w:rPr>
        <w:t>345.90</w:t>
      </w:r>
      <w:r>
        <w:rPr>
          <w:rFonts w:hint="eastAsia" w:ascii="仿宋_GB2312" w:hAnsi="仿宋_GB2312" w:eastAsia="仿宋_GB2312" w:cs="仿宋_GB2312"/>
          <w:color w:val="000000"/>
          <w:sz w:val="32"/>
          <w:szCs w:val="32"/>
        </w:rPr>
        <w:t>万元，完成预算100%。</w:t>
      </w:r>
      <w:r>
        <w:rPr>
          <w:rStyle w:val="19"/>
          <w:rFonts w:hint="eastAsia" w:ascii="仿宋_GB2312" w:hAnsi="仿宋_GB2312" w:eastAsia="仿宋_GB2312" w:cs="仿宋_GB2312"/>
          <w:b w:val="0"/>
          <w:color w:val="000000"/>
          <w:sz w:val="32"/>
          <w:szCs w:val="32"/>
          <w:lang w:eastAsia="zh-CN"/>
        </w:rPr>
        <w:t>决算数与预算数持平。</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Fonts w:hint="eastAsia"/>
        </w:rPr>
      </w:pPr>
      <w:r>
        <w:rPr>
          <w:rFonts w:hint="eastAsia" w:ascii="仿宋_GB2312" w:hAnsi="仿宋_GB2312" w:eastAsia="仿宋_GB2312" w:cs="仿宋_GB2312"/>
          <w:b/>
          <w:color w:val="000000"/>
          <w:sz w:val="32"/>
          <w:szCs w:val="32"/>
          <w:highlight w:val="none"/>
          <w:lang w:val="en-US" w:eastAsia="zh-CN"/>
        </w:rPr>
        <w:t>11</w:t>
      </w:r>
      <w:r>
        <w:rPr>
          <w:rFonts w:hint="eastAsia" w:ascii="仿宋_GB2312" w:hAnsi="仿宋_GB2312" w:eastAsia="仿宋_GB2312" w:cs="仿宋_GB2312"/>
          <w:b/>
          <w:color w:val="000000"/>
          <w:sz w:val="32"/>
          <w:szCs w:val="32"/>
          <w:highlight w:val="none"/>
        </w:rPr>
        <w:t>.</w:t>
      </w:r>
      <w:r>
        <w:rPr>
          <w:rFonts w:hint="eastAsia" w:ascii="仿宋_GB2312" w:hAnsi="仿宋_GB2312" w:eastAsia="仿宋_GB2312" w:cs="仿宋_GB2312"/>
          <w:b/>
          <w:color w:val="000000"/>
          <w:sz w:val="32"/>
          <w:szCs w:val="32"/>
          <w:highlight w:val="none"/>
          <w:lang w:eastAsia="zh-CN"/>
        </w:rPr>
        <w:t>农林</w:t>
      </w:r>
      <w:r>
        <w:rPr>
          <w:rFonts w:hint="eastAsia" w:ascii="仿宋_GB2312" w:hAnsi="仿宋_GB2312" w:eastAsia="仿宋_GB2312" w:cs="仿宋_GB2312"/>
          <w:b/>
          <w:color w:val="000000"/>
          <w:sz w:val="32"/>
          <w:szCs w:val="32"/>
          <w:lang w:eastAsia="zh-CN"/>
        </w:rPr>
        <w:t>水支出</w:t>
      </w:r>
      <w:r>
        <w:rPr>
          <w:rFonts w:hint="eastAsia" w:ascii="仿宋_GB2312" w:hAnsi="仿宋_GB2312" w:eastAsia="仿宋_GB2312" w:cs="仿宋_GB2312"/>
          <w:b/>
          <w:color w:val="000000"/>
          <w:sz w:val="32"/>
          <w:szCs w:val="32"/>
        </w:rPr>
        <w:t>（</w:t>
      </w:r>
      <w:r>
        <w:rPr>
          <w:rFonts w:hint="eastAsia" w:ascii="仿宋_GB2312" w:hAnsi="仿宋_GB2312" w:eastAsia="仿宋_GB2312" w:cs="仿宋_GB2312"/>
          <w:b/>
          <w:color w:val="000000"/>
          <w:sz w:val="32"/>
          <w:szCs w:val="32"/>
          <w:lang w:val="en-US" w:eastAsia="zh-CN"/>
        </w:rPr>
        <w:t>213</w:t>
      </w:r>
      <w:r>
        <w:rPr>
          <w:rFonts w:hint="eastAsia" w:ascii="仿宋_GB2312" w:hAnsi="仿宋_GB2312" w:eastAsia="仿宋_GB2312" w:cs="仿宋_GB2312"/>
          <w:b/>
          <w:color w:val="000000"/>
          <w:sz w:val="32"/>
          <w:szCs w:val="32"/>
        </w:rPr>
        <w:t>）</w:t>
      </w:r>
      <w:r>
        <w:rPr>
          <w:rFonts w:hint="eastAsia" w:ascii="仿宋_GB2312" w:hAnsi="仿宋_GB2312" w:eastAsia="仿宋_GB2312" w:cs="仿宋_GB2312"/>
          <w:b/>
          <w:color w:val="000000"/>
          <w:sz w:val="32"/>
          <w:szCs w:val="32"/>
          <w:lang w:eastAsia="zh-CN"/>
        </w:rPr>
        <w:t>农业农村</w:t>
      </w:r>
      <w:r>
        <w:rPr>
          <w:rFonts w:hint="eastAsia" w:ascii="仿宋_GB2312" w:hAnsi="仿宋_GB2312" w:eastAsia="仿宋_GB2312" w:cs="仿宋_GB2312"/>
          <w:b/>
          <w:color w:val="000000"/>
          <w:sz w:val="32"/>
          <w:szCs w:val="32"/>
        </w:rPr>
        <w:t>（</w:t>
      </w:r>
      <w:r>
        <w:rPr>
          <w:rFonts w:hint="eastAsia" w:ascii="仿宋_GB2312" w:hAnsi="仿宋_GB2312" w:eastAsia="仿宋_GB2312" w:cs="仿宋_GB2312"/>
          <w:b/>
          <w:color w:val="000000"/>
          <w:sz w:val="32"/>
          <w:szCs w:val="32"/>
          <w:lang w:val="en-US" w:eastAsia="zh-CN"/>
        </w:rPr>
        <w:t>01</w:t>
      </w:r>
      <w:r>
        <w:rPr>
          <w:rFonts w:hint="eastAsia" w:ascii="仿宋_GB2312" w:hAnsi="仿宋_GB2312" w:eastAsia="仿宋_GB2312" w:cs="仿宋_GB2312"/>
          <w:b/>
          <w:color w:val="000000"/>
          <w:sz w:val="32"/>
          <w:szCs w:val="32"/>
        </w:rPr>
        <w:t>）</w:t>
      </w:r>
      <w:r>
        <w:rPr>
          <w:rFonts w:hint="eastAsia" w:ascii="仿宋_GB2312" w:hAnsi="仿宋_GB2312" w:eastAsia="仿宋_GB2312" w:cs="仿宋_GB2312"/>
          <w:b/>
          <w:color w:val="000000"/>
          <w:sz w:val="32"/>
          <w:szCs w:val="32"/>
          <w:lang w:eastAsia="zh-CN"/>
        </w:rPr>
        <w:t>其他农业农村支出</w:t>
      </w:r>
      <w:r>
        <w:rPr>
          <w:rFonts w:hint="eastAsia" w:ascii="仿宋_GB2312" w:hAnsi="仿宋_GB2312" w:eastAsia="仿宋_GB2312" w:cs="仿宋_GB2312"/>
          <w:b/>
          <w:color w:val="000000"/>
          <w:sz w:val="32"/>
          <w:szCs w:val="32"/>
        </w:rPr>
        <w:t>（</w:t>
      </w:r>
      <w:r>
        <w:rPr>
          <w:rFonts w:hint="eastAsia" w:ascii="仿宋_GB2312" w:hAnsi="仿宋_GB2312" w:eastAsia="仿宋_GB2312" w:cs="仿宋_GB2312"/>
          <w:b/>
          <w:color w:val="000000"/>
          <w:sz w:val="32"/>
          <w:szCs w:val="32"/>
          <w:lang w:val="en-US" w:eastAsia="zh-CN"/>
        </w:rPr>
        <w:t>99</w:t>
      </w:r>
      <w:r>
        <w:rPr>
          <w:rFonts w:hint="eastAsia" w:ascii="仿宋_GB2312" w:hAnsi="仿宋_GB2312" w:eastAsia="仿宋_GB2312" w:cs="仿宋_GB2312"/>
          <w:b/>
          <w:color w:val="000000"/>
          <w:sz w:val="32"/>
          <w:szCs w:val="32"/>
        </w:rPr>
        <w:t>）</w:t>
      </w:r>
      <w:r>
        <w:rPr>
          <w:rFonts w:hint="eastAsia" w:ascii="仿宋_GB2312" w:hAnsi="仿宋_GB2312" w:eastAsia="仿宋_GB2312" w:cs="仿宋_GB2312"/>
          <w:color w:val="000000"/>
          <w:sz w:val="32"/>
          <w:szCs w:val="32"/>
        </w:rPr>
        <w:t>支出决算</w:t>
      </w:r>
      <w:r>
        <w:rPr>
          <w:rFonts w:hint="eastAsia" w:ascii="仿宋_GB2312" w:hAnsi="仿宋_GB2312" w:eastAsia="仿宋_GB2312" w:cs="仿宋_GB2312"/>
          <w:color w:val="000000"/>
          <w:sz w:val="32"/>
          <w:szCs w:val="32"/>
          <w:lang w:val="en-US" w:eastAsia="zh-CN"/>
        </w:rPr>
        <w:t>16.00</w:t>
      </w:r>
      <w:r>
        <w:rPr>
          <w:rFonts w:hint="eastAsia" w:ascii="仿宋_GB2312" w:hAnsi="仿宋_GB2312" w:eastAsia="仿宋_GB2312" w:cs="仿宋_GB2312"/>
          <w:color w:val="000000"/>
          <w:sz w:val="32"/>
          <w:szCs w:val="32"/>
        </w:rPr>
        <w:t>万元，完成预算100%。</w:t>
      </w:r>
      <w:r>
        <w:rPr>
          <w:rStyle w:val="19"/>
          <w:rFonts w:hint="eastAsia" w:ascii="仿宋_GB2312" w:hAnsi="仿宋_GB2312" w:eastAsia="仿宋_GB2312" w:cs="仿宋_GB2312"/>
          <w:b w:val="0"/>
          <w:color w:val="000000"/>
          <w:sz w:val="32"/>
          <w:szCs w:val="32"/>
          <w:lang w:eastAsia="zh-CN"/>
        </w:rPr>
        <w:t>决算数与预算数持平。</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b/>
          <w:color w:val="000000"/>
          <w:sz w:val="32"/>
          <w:szCs w:val="32"/>
        </w:rPr>
        <w:t>1</w:t>
      </w:r>
      <w:r>
        <w:rPr>
          <w:rFonts w:hint="eastAsia" w:ascii="仿宋_GB2312" w:hAnsi="仿宋_GB2312" w:eastAsia="仿宋_GB2312" w:cs="仿宋_GB2312"/>
          <w:b/>
          <w:color w:val="000000"/>
          <w:sz w:val="32"/>
          <w:szCs w:val="32"/>
          <w:lang w:val="en-US" w:eastAsia="zh-CN"/>
        </w:rPr>
        <w:t>2</w:t>
      </w:r>
      <w:r>
        <w:rPr>
          <w:rFonts w:hint="eastAsia" w:ascii="仿宋_GB2312" w:hAnsi="仿宋_GB2312" w:eastAsia="仿宋_GB2312" w:cs="仿宋_GB2312"/>
          <w:b/>
          <w:color w:val="000000"/>
          <w:sz w:val="32"/>
          <w:szCs w:val="32"/>
        </w:rPr>
        <w:t>.农林水支出（213）扶贫（05）农村基础设施建设（04）</w:t>
      </w:r>
      <w:r>
        <w:rPr>
          <w:rFonts w:hint="eastAsia" w:ascii="仿宋_GB2312" w:hAnsi="仿宋_GB2312" w:eastAsia="仿宋_GB2312" w:cs="仿宋_GB2312"/>
          <w:color w:val="000000"/>
          <w:sz w:val="32"/>
          <w:szCs w:val="32"/>
        </w:rPr>
        <w:t>支出决算</w:t>
      </w:r>
      <w:r>
        <w:rPr>
          <w:rFonts w:hint="eastAsia" w:ascii="仿宋_GB2312" w:hAnsi="仿宋_GB2312" w:eastAsia="仿宋_GB2312" w:cs="仿宋_GB2312"/>
          <w:color w:val="000000"/>
          <w:sz w:val="32"/>
          <w:szCs w:val="32"/>
          <w:lang w:val="en-US" w:eastAsia="zh-CN"/>
        </w:rPr>
        <w:t>71.89</w:t>
      </w:r>
      <w:r>
        <w:rPr>
          <w:rFonts w:hint="eastAsia" w:ascii="仿宋_GB2312" w:hAnsi="仿宋_GB2312" w:eastAsia="仿宋_GB2312" w:cs="仿宋_GB2312"/>
          <w:color w:val="000000"/>
          <w:sz w:val="32"/>
          <w:szCs w:val="32"/>
        </w:rPr>
        <w:t>万元，完成预算100%。</w:t>
      </w:r>
      <w:r>
        <w:rPr>
          <w:rStyle w:val="19"/>
          <w:rFonts w:hint="eastAsia" w:ascii="仿宋_GB2312" w:hAnsi="仿宋_GB2312" w:eastAsia="仿宋_GB2312" w:cs="仿宋_GB2312"/>
          <w:b w:val="0"/>
          <w:color w:val="000000"/>
          <w:sz w:val="32"/>
          <w:szCs w:val="32"/>
          <w:lang w:eastAsia="zh-CN"/>
        </w:rPr>
        <w:t>决算数与预算数持平。</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b/>
          <w:color w:val="000000"/>
          <w:sz w:val="32"/>
          <w:szCs w:val="32"/>
        </w:rPr>
        <w:t>1</w:t>
      </w:r>
      <w:r>
        <w:rPr>
          <w:rFonts w:hint="eastAsia" w:ascii="仿宋_GB2312" w:hAnsi="仿宋_GB2312" w:eastAsia="仿宋_GB2312" w:cs="仿宋_GB2312"/>
          <w:b/>
          <w:color w:val="000000"/>
          <w:sz w:val="32"/>
          <w:szCs w:val="32"/>
          <w:lang w:val="en-US" w:eastAsia="zh-CN"/>
        </w:rPr>
        <w:t>3</w:t>
      </w:r>
      <w:r>
        <w:rPr>
          <w:rFonts w:hint="eastAsia" w:ascii="仿宋_GB2312" w:hAnsi="仿宋_GB2312" w:eastAsia="仿宋_GB2312" w:cs="仿宋_GB2312"/>
          <w:b/>
          <w:color w:val="000000"/>
          <w:sz w:val="32"/>
          <w:szCs w:val="32"/>
        </w:rPr>
        <w:t>.农林水支出（213）扶贫（05）其他扶贫支出（99）</w:t>
      </w:r>
      <w:r>
        <w:rPr>
          <w:rFonts w:hint="eastAsia" w:ascii="仿宋_GB2312" w:hAnsi="仿宋_GB2312" w:eastAsia="仿宋_GB2312" w:cs="仿宋_GB2312"/>
          <w:color w:val="000000"/>
          <w:sz w:val="32"/>
          <w:szCs w:val="32"/>
        </w:rPr>
        <w:t>支出决算</w:t>
      </w:r>
      <w:r>
        <w:rPr>
          <w:rFonts w:hint="eastAsia" w:ascii="仿宋_GB2312" w:hAnsi="仿宋_GB2312" w:eastAsia="仿宋_GB2312" w:cs="仿宋_GB2312"/>
          <w:color w:val="000000"/>
          <w:sz w:val="32"/>
          <w:szCs w:val="32"/>
          <w:lang w:val="en-US" w:eastAsia="zh-CN"/>
        </w:rPr>
        <w:t>18.01</w:t>
      </w:r>
      <w:r>
        <w:rPr>
          <w:rFonts w:hint="eastAsia" w:ascii="仿宋_GB2312" w:hAnsi="仿宋_GB2312" w:eastAsia="仿宋_GB2312" w:cs="仿宋_GB2312"/>
          <w:color w:val="000000"/>
          <w:sz w:val="32"/>
          <w:szCs w:val="32"/>
        </w:rPr>
        <w:t>万元，完成预算100%。</w:t>
      </w:r>
      <w:r>
        <w:rPr>
          <w:rStyle w:val="19"/>
          <w:rFonts w:hint="eastAsia" w:ascii="仿宋_GB2312" w:hAnsi="仿宋_GB2312" w:eastAsia="仿宋_GB2312" w:cs="仿宋_GB2312"/>
          <w:b w:val="0"/>
          <w:color w:val="000000"/>
          <w:sz w:val="32"/>
          <w:szCs w:val="32"/>
          <w:lang w:eastAsia="zh-CN"/>
        </w:rPr>
        <w:t>决算数与预算数持平。</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Style w:val="19"/>
          <w:rFonts w:hint="eastAsia" w:ascii="仿宋_GB2312" w:hAnsi="仿宋_GB2312" w:eastAsia="仿宋_GB2312" w:cs="仿宋_GB2312"/>
          <w:b w:val="0"/>
          <w:color w:val="000000"/>
          <w:sz w:val="32"/>
          <w:szCs w:val="32"/>
          <w:lang w:val="en-US" w:eastAsia="zh-CN"/>
        </w:rPr>
      </w:pPr>
      <w:r>
        <w:rPr>
          <w:rFonts w:hint="eastAsia" w:ascii="仿宋_GB2312" w:hAnsi="仿宋_GB2312" w:eastAsia="仿宋_GB2312" w:cs="仿宋_GB2312"/>
          <w:b/>
          <w:color w:val="000000"/>
          <w:sz w:val="32"/>
          <w:szCs w:val="32"/>
        </w:rPr>
        <w:t>1</w:t>
      </w:r>
      <w:r>
        <w:rPr>
          <w:rFonts w:hint="eastAsia" w:ascii="仿宋_GB2312" w:hAnsi="仿宋_GB2312" w:eastAsia="仿宋_GB2312" w:cs="仿宋_GB2312"/>
          <w:b/>
          <w:color w:val="000000"/>
          <w:sz w:val="32"/>
          <w:szCs w:val="32"/>
          <w:lang w:val="en-US" w:eastAsia="zh-CN"/>
        </w:rPr>
        <w:t>4</w:t>
      </w:r>
      <w:r>
        <w:rPr>
          <w:rFonts w:hint="eastAsia" w:ascii="仿宋_GB2312" w:hAnsi="仿宋_GB2312" w:eastAsia="仿宋_GB2312" w:cs="仿宋_GB2312"/>
          <w:b/>
          <w:color w:val="000000"/>
          <w:sz w:val="32"/>
          <w:szCs w:val="32"/>
        </w:rPr>
        <w:t>.农林水支出（213）农村综合改革（07）对村民委员会和村党支部的补助（05）</w:t>
      </w:r>
      <w:r>
        <w:rPr>
          <w:rFonts w:hint="eastAsia" w:ascii="仿宋_GB2312" w:hAnsi="仿宋_GB2312" w:eastAsia="仿宋_GB2312" w:cs="仿宋_GB2312"/>
          <w:color w:val="000000"/>
          <w:sz w:val="32"/>
          <w:szCs w:val="32"/>
        </w:rPr>
        <w:t>支出决算</w:t>
      </w:r>
      <w:r>
        <w:rPr>
          <w:rFonts w:hint="eastAsia" w:ascii="仿宋_GB2312" w:hAnsi="仿宋_GB2312" w:eastAsia="仿宋_GB2312" w:cs="仿宋_GB2312"/>
          <w:color w:val="000000"/>
          <w:sz w:val="32"/>
          <w:szCs w:val="32"/>
          <w:lang w:val="en-US" w:eastAsia="zh-CN"/>
        </w:rPr>
        <w:t>431.24</w:t>
      </w:r>
      <w:r>
        <w:rPr>
          <w:rFonts w:hint="eastAsia" w:ascii="仿宋_GB2312" w:hAnsi="仿宋_GB2312" w:eastAsia="仿宋_GB2312" w:cs="仿宋_GB2312"/>
          <w:color w:val="000000"/>
          <w:sz w:val="32"/>
          <w:szCs w:val="32"/>
        </w:rPr>
        <w:t>万元，完成预算100%。</w:t>
      </w:r>
      <w:r>
        <w:rPr>
          <w:rStyle w:val="19"/>
          <w:rFonts w:hint="eastAsia" w:ascii="仿宋_GB2312" w:hAnsi="仿宋_GB2312" w:eastAsia="仿宋_GB2312" w:cs="仿宋_GB2312"/>
          <w:b w:val="0"/>
          <w:color w:val="000000"/>
          <w:sz w:val="32"/>
          <w:szCs w:val="32"/>
          <w:lang w:eastAsia="zh-CN"/>
        </w:rPr>
        <w:t>决算数与预算数持平。</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Fonts w:hint="eastAsia" w:ascii="仿宋_GB2312" w:hAnsi="仿宋_GB2312" w:eastAsia="仿宋_GB2312" w:cs="仿宋_GB2312"/>
        </w:rPr>
      </w:pPr>
      <w:r>
        <w:rPr>
          <w:rFonts w:hint="eastAsia" w:ascii="仿宋_GB2312" w:hAnsi="仿宋_GB2312" w:eastAsia="仿宋_GB2312" w:cs="仿宋_GB2312"/>
          <w:b/>
          <w:color w:val="000000"/>
          <w:sz w:val="32"/>
          <w:szCs w:val="32"/>
        </w:rPr>
        <w:t>1</w:t>
      </w:r>
      <w:r>
        <w:rPr>
          <w:rFonts w:hint="eastAsia" w:ascii="仿宋_GB2312" w:hAnsi="仿宋_GB2312" w:eastAsia="仿宋_GB2312" w:cs="仿宋_GB2312"/>
          <w:b/>
          <w:color w:val="000000"/>
          <w:sz w:val="32"/>
          <w:szCs w:val="32"/>
          <w:lang w:val="en-US" w:eastAsia="zh-CN"/>
        </w:rPr>
        <w:t>5</w:t>
      </w:r>
      <w:r>
        <w:rPr>
          <w:rFonts w:hint="eastAsia" w:ascii="仿宋_GB2312" w:hAnsi="仿宋_GB2312" w:eastAsia="仿宋_GB2312" w:cs="仿宋_GB2312"/>
          <w:b/>
          <w:color w:val="000000"/>
          <w:sz w:val="32"/>
          <w:szCs w:val="32"/>
        </w:rPr>
        <w:t>.农林水支出（213）农村综合改革（07）</w:t>
      </w:r>
      <w:r>
        <w:rPr>
          <w:rFonts w:hint="eastAsia" w:ascii="仿宋_GB2312" w:hAnsi="仿宋_GB2312" w:eastAsia="仿宋_GB2312" w:cs="仿宋_GB2312"/>
          <w:b/>
          <w:color w:val="000000"/>
          <w:sz w:val="32"/>
          <w:szCs w:val="32"/>
          <w:lang w:eastAsia="zh-CN"/>
        </w:rPr>
        <w:t>其他</w:t>
      </w:r>
      <w:r>
        <w:rPr>
          <w:rFonts w:hint="eastAsia" w:ascii="仿宋_GB2312" w:hAnsi="仿宋_GB2312" w:eastAsia="仿宋_GB2312" w:cs="仿宋_GB2312"/>
          <w:b/>
          <w:color w:val="000000"/>
          <w:sz w:val="32"/>
          <w:szCs w:val="32"/>
        </w:rPr>
        <w:t>农村综合改革</w:t>
      </w:r>
      <w:r>
        <w:rPr>
          <w:rFonts w:hint="eastAsia" w:ascii="仿宋_GB2312" w:hAnsi="仿宋_GB2312" w:eastAsia="仿宋_GB2312" w:cs="仿宋_GB2312"/>
          <w:b/>
          <w:color w:val="000000"/>
          <w:sz w:val="32"/>
          <w:szCs w:val="32"/>
          <w:lang w:eastAsia="zh-CN"/>
        </w:rPr>
        <w:t>支出</w:t>
      </w:r>
      <w:r>
        <w:rPr>
          <w:rFonts w:hint="eastAsia" w:ascii="仿宋_GB2312" w:hAnsi="仿宋_GB2312" w:eastAsia="仿宋_GB2312" w:cs="仿宋_GB2312"/>
          <w:b/>
          <w:color w:val="000000"/>
          <w:sz w:val="32"/>
          <w:szCs w:val="32"/>
        </w:rPr>
        <w:t>（</w:t>
      </w:r>
      <w:r>
        <w:rPr>
          <w:rFonts w:hint="eastAsia" w:ascii="仿宋_GB2312" w:hAnsi="仿宋_GB2312" w:eastAsia="仿宋_GB2312" w:cs="仿宋_GB2312"/>
          <w:b/>
          <w:color w:val="000000"/>
          <w:sz w:val="32"/>
          <w:szCs w:val="32"/>
          <w:lang w:val="en-US" w:eastAsia="zh-CN"/>
        </w:rPr>
        <w:t>99</w:t>
      </w:r>
      <w:r>
        <w:rPr>
          <w:rFonts w:hint="eastAsia" w:ascii="仿宋_GB2312" w:hAnsi="仿宋_GB2312" w:eastAsia="仿宋_GB2312" w:cs="仿宋_GB2312"/>
          <w:b/>
          <w:color w:val="000000"/>
          <w:sz w:val="32"/>
          <w:szCs w:val="32"/>
        </w:rPr>
        <w:t>）</w:t>
      </w:r>
      <w:r>
        <w:rPr>
          <w:rFonts w:hint="eastAsia" w:ascii="仿宋_GB2312" w:hAnsi="仿宋_GB2312" w:eastAsia="仿宋_GB2312" w:cs="仿宋_GB2312"/>
          <w:color w:val="000000"/>
          <w:sz w:val="32"/>
          <w:szCs w:val="32"/>
        </w:rPr>
        <w:t>支出决算</w:t>
      </w:r>
      <w:r>
        <w:rPr>
          <w:rFonts w:hint="eastAsia" w:ascii="仿宋_GB2312" w:hAnsi="仿宋_GB2312" w:eastAsia="仿宋_GB2312" w:cs="仿宋_GB2312"/>
          <w:color w:val="000000"/>
          <w:sz w:val="32"/>
          <w:szCs w:val="32"/>
          <w:lang w:val="en-US" w:eastAsia="zh-CN"/>
        </w:rPr>
        <w:t>229.19</w:t>
      </w:r>
      <w:r>
        <w:rPr>
          <w:rFonts w:hint="eastAsia" w:ascii="仿宋_GB2312" w:hAnsi="仿宋_GB2312" w:eastAsia="仿宋_GB2312" w:cs="仿宋_GB2312"/>
          <w:color w:val="000000"/>
          <w:sz w:val="32"/>
          <w:szCs w:val="32"/>
        </w:rPr>
        <w:t>万元，完成预算100%。</w:t>
      </w:r>
      <w:r>
        <w:rPr>
          <w:rStyle w:val="19"/>
          <w:rFonts w:hint="eastAsia" w:ascii="仿宋_GB2312" w:hAnsi="仿宋_GB2312" w:eastAsia="仿宋_GB2312" w:cs="仿宋_GB2312"/>
          <w:b w:val="0"/>
          <w:color w:val="000000"/>
          <w:sz w:val="32"/>
          <w:szCs w:val="32"/>
          <w:lang w:eastAsia="zh-CN"/>
        </w:rPr>
        <w:t>决算数与预算数持平。</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Fonts w:ascii="仿宋_GB2312" w:eastAsia="仿宋_GB2312"/>
          <w:color w:val="000000"/>
          <w:sz w:val="32"/>
          <w:szCs w:val="32"/>
        </w:rPr>
      </w:pPr>
      <w:r>
        <w:rPr>
          <w:rFonts w:hint="eastAsia" w:ascii="仿宋_GB2312" w:hAnsi="仿宋_GB2312" w:eastAsia="仿宋_GB2312" w:cs="仿宋_GB2312"/>
          <w:b/>
          <w:color w:val="000000"/>
          <w:sz w:val="32"/>
          <w:szCs w:val="32"/>
        </w:rPr>
        <w:t>1</w:t>
      </w:r>
      <w:r>
        <w:rPr>
          <w:rFonts w:hint="eastAsia" w:ascii="仿宋_GB2312" w:hAnsi="仿宋_GB2312" w:eastAsia="仿宋_GB2312" w:cs="仿宋_GB2312"/>
          <w:b/>
          <w:color w:val="000000"/>
          <w:sz w:val="32"/>
          <w:szCs w:val="32"/>
          <w:lang w:val="en-US" w:eastAsia="zh-CN"/>
        </w:rPr>
        <w:t>6</w:t>
      </w:r>
      <w:r>
        <w:rPr>
          <w:rFonts w:hint="eastAsia" w:ascii="仿宋_GB2312" w:hAnsi="仿宋_GB2312" w:eastAsia="仿宋_GB2312" w:cs="仿宋_GB2312"/>
          <w:b/>
          <w:color w:val="000000"/>
          <w:sz w:val="32"/>
          <w:szCs w:val="32"/>
        </w:rPr>
        <w:t>.住房保障支出（221）住房改革支出（02）住房公积金（01）</w:t>
      </w:r>
      <w:r>
        <w:rPr>
          <w:rFonts w:hint="eastAsia" w:ascii="仿宋_GB2312" w:hAnsi="仿宋_GB2312" w:eastAsia="仿宋_GB2312" w:cs="仿宋_GB2312"/>
          <w:color w:val="000000"/>
          <w:sz w:val="32"/>
          <w:szCs w:val="32"/>
        </w:rPr>
        <w:t>支出决算</w:t>
      </w:r>
      <w:r>
        <w:rPr>
          <w:rFonts w:hint="eastAsia" w:ascii="仿宋_GB2312" w:hAnsi="仿宋_GB2312" w:eastAsia="仿宋_GB2312" w:cs="仿宋_GB2312"/>
          <w:color w:val="000000"/>
          <w:sz w:val="32"/>
          <w:szCs w:val="32"/>
          <w:lang w:val="en-US" w:eastAsia="zh-CN"/>
        </w:rPr>
        <w:t>90.26</w:t>
      </w:r>
      <w:r>
        <w:rPr>
          <w:rFonts w:hint="eastAsia" w:ascii="仿宋_GB2312" w:hAnsi="仿宋_GB2312" w:eastAsia="仿宋_GB2312" w:cs="仿宋_GB2312"/>
          <w:color w:val="000000"/>
          <w:sz w:val="32"/>
          <w:szCs w:val="32"/>
        </w:rPr>
        <w:t>万元，完成预算100%。</w:t>
      </w:r>
      <w:r>
        <w:rPr>
          <w:rStyle w:val="19"/>
          <w:rFonts w:hint="eastAsia" w:ascii="仿宋_GB2312" w:hAnsi="仿宋_GB2312" w:eastAsia="仿宋_GB2312" w:cs="仿宋_GB2312"/>
          <w:b w:val="0"/>
          <w:color w:val="000000"/>
          <w:sz w:val="32"/>
          <w:szCs w:val="32"/>
          <w:lang w:eastAsia="zh-CN"/>
        </w:rPr>
        <w:t>决算数与预算数持平。</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Fonts w:hint="eastAsia" w:ascii="仿宋_GB2312" w:eastAsia="仿宋_GB2312"/>
          <w:color w:val="000000"/>
          <w:sz w:val="32"/>
          <w:szCs w:val="32"/>
        </w:rPr>
      </w:pPr>
      <w:r>
        <w:rPr>
          <w:rFonts w:hint="eastAsia" w:ascii="仿宋_GB2312" w:eastAsia="仿宋_GB2312"/>
          <w:b/>
          <w:color w:val="000000"/>
          <w:sz w:val="32"/>
          <w:szCs w:val="32"/>
        </w:rPr>
        <w:t>1</w:t>
      </w:r>
      <w:r>
        <w:rPr>
          <w:rFonts w:hint="eastAsia" w:ascii="仿宋_GB2312" w:eastAsia="仿宋_GB2312"/>
          <w:b/>
          <w:color w:val="000000"/>
          <w:sz w:val="32"/>
          <w:szCs w:val="32"/>
          <w:lang w:val="en-US" w:eastAsia="zh-CN"/>
        </w:rPr>
        <w:t>7</w:t>
      </w:r>
      <w:r>
        <w:rPr>
          <w:rFonts w:hint="eastAsia" w:ascii="仿宋_GB2312" w:eastAsia="仿宋_GB2312"/>
          <w:b/>
          <w:color w:val="000000"/>
          <w:sz w:val="32"/>
          <w:szCs w:val="32"/>
        </w:rPr>
        <w:t>.住房保障支出（221）住房改革支出（02）</w:t>
      </w:r>
      <w:r>
        <w:rPr>
          <w:rFonts w:hint="eastAsia" w:ascii="仿宋_GB2312" w:eastAsia="仿宋_GB2312"/>
          <w:b/>
          <w:color w:val="000000"/>
          <w:sz w:val="32"/>
          <w:szCs w:val="32"/>
          <w:lang w:eastAsia="zh-CN"/>
        </w:rPr>
        <w:t>购房补贴</w:t>
      </w:r>
      <w:r>
        <w:rPr>
          <w:rFonts w:hint="eastAsia" w:ascii="仿宋_GB2312" w:eastAsia="仿宋_GB2312"/>
          <w:b/>
          <w:color w:val="000000"/>
          <w:sz w:val="32"/>
          <w:szCs w:val="32"/>
        </w:rPr>
        <w:t>（0</w:t>
      </w:r>
      <w:r>
        <w:rPr>
          <w:rFonts w:hint="eastAsia" w:ascii="仿宋_GB2312" w:eastAsia="仿宋_GB2312"/>
          <w:b/>
          <w:color w:val="000000"/>
          <w:sz w:val="32"/>
          <w:szCs w:val="32"/>
          <w:lang w:val="en-US" w:eastAsia="zh-CN"/>
        </w:rPr>
        <w:t>3</w:t>
      </w:r>
      <w:r>
        <w:rPr>
          <w:rFonts w:hint="eastAsia" w:ascii="仿宋_GB2312" w:eastAsia="仿宋_GB2312"/>
          <w:b/>
          <w:color w:val="000000"/>
          <w:sz w:val="32"/>
          <w:szCs w:val="32"/>
        </w:rPr>
        <w:t>）</w:t>
      </w:r>
      <w:r>
        <w:rPr>
          <w:rFonts w:hint="eastAsia" w:ascii="仿宋_GB2312" w:eastAsia="仿宋_GB2312"/>
          <w:color w:val="000000"/>
          <w:sz w:val="32"/>
          <w:szCs w:val="32"/>
        </w:rPr>
        <w:t>支出决算</w:t>
      </w:r>
      <w:r>
        <w:rPr>
          <w:rFonts w:hint="eastAsia" w:ascii="仿宋_GB2312" w:eastAsia="仿宋_GB2312"/>
          <w:color w:val="000000"/>
          <w:sz w:val="32"/>
          <w:szCs w:val="32"/>
          <w:lang w:val="en-US" w:eastAsia="zh-CN"/>
        </w:rPr>
        <w:t>1.22</w:t>
      </w:r>
      <w:r>
        <w:rPr>
          <w:rFonts w:hint="eastAsia" w:ascii="仿宋_GB2312" w:eastAsia="仿宋_GB2312"/>
          <w:color w:val="000000"/>
          <w:sz w:val="32"/>
          <w:szCs w:val="32"/>
        </w:rPr>
        <w:t>万元，完成预算100%。</w:t>
      </w:r>
      <w:r>
        <w:rPr>
          <w:rStyle w:val="19"/>
          <w:rFonts w:hint="eastAsia" w:ascii="仿宋_GB2312" w:hAnsi="仿宋_GB2312" w:eastAsia="仿宋_GB2312" w:cs="仿宋_GB2312"/>
          <w:b w:val="0"/>
          <w:color w:val="000000"/>
          <w:sz w:val="32"/>
          <w:szCs w:val="32"/>
          <w:lang w:eastAsia="zh-CN"/>
        </w:rPr>
        <w:t>决算数与预算数持平。</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eastAsia="仿宋_GB2312"/>
          <w:b/>
          <w:color w:val="000000"/>
          <w:sz w:val="32"/>
          <w:szCs w:val="32"/>
        </w:rPr>
        <w:t>1</w:t>
      </w:r>
      <w:r>
        <w:rPr>
          <w:rFonts w:hint="eastAsia" w:ascii="仿宋_GB2312" w:eastAsia="仿宋_GB2312"/>
          <w:b/>
          <w:color w:val="000000"/>
          <w:sz w:val="32"/>
          <w:szCs w:val="32"/>
          <w:lang w:val="en-US" w:eastAsia="zh-CN"/>
        </w:rPr>
        <w:t>8</w:t>
      </w:r>
      <w:r>
        <w:rPr>
          <w:rFonts w:hint="eastAsia" w:ascii="仿宋_GB2312" w:eastAsia="仿宋_GB2312"/>
          <w:b/>
          <w:color w:val="000000"/>
          <w:sz w:val="32"/>
          <w:szCs w:val="32"/>
        </w:rPr>
        <w:t>.</w:t>
      </w:r>
      <w:r>
        <w:rPr>
          <w:rFonts w:hint="eastAsia" w:ascii="仿宋_GB2312" w:eastAsia="仿宋_GB2312"/>
          <w:b/>
          <w:color w:val="000000"/>
          <w:sz w:val="32"/>
          <w:szCs w:val="32"/>
          <w:lang w:val="en-US" w:eastAsia="zh-CN"/>
        </w:rPr>
        <w:t>灾害防治及应急管理</w:t>
      </w:r>
      <w:r>
        <w:rPr>
          <w:rFonts w:hint="eastAsia" w:ascii="仿宋_GB2312" w:eastAsia="仿宋_GB2312"/>
          <w:b/>
          <w:color w:val="000000"/>
          <w:sz w:val="32"/>
          <w:szCs w:val="32"/>
        </w:rPr>
        <w:t>支出（</w:t>
      </w:r>
      <w:r>
        <w:rPr>
          <w:rFonts w:hint="eastAsia" w:ascii="仿宋_GB2312" w:eastAsia="仿宋_GB2312"/>
          <w:b/>
          <w:color w:val="000000"/>
          <w:sz w:val="32"/>
          <w:szCs w:val="32"/>
          <w:lang w:val="en-US" w:eastAsia="zh-CN"/>
        </w:rPr>
        <w:t>224</w:t>
      </w:r>
      <w:r>
        <w:rPr>
          <w:rFonts w:hint="eastAsia" w:ascii="仿宋_GB2312" w:eastAsia="仿宋_GB2312"/>
          <w:b/>
          <w:color w:val="000000"/>
          <w:sz w:val="32"/>
          <w:szCs w:val="32"/>
        </w:rPr>
        <w:t>）</w:t>
      </w:r>
      <w:r>
        <w:rPr>
          <w:rFonts w:hint="eastAsia" w:ascii="仿宋_GB2312" w:eastAsia="仿宋_GB2312"/>
          <w:b/>
          <w:color w:val="000000"/>
          <w:sz w:val="32"/>
          <w:szCs w:val="32"/>
          <w:lang w:eastAsia="zh-CN"/>
        </w:rPr>
        <w:t>自然灾害救灾及恢复重建支出</w:t>
      </w:r>
      <w:r>
        <w:rPr>
          <w:rFonts w:hint="eastAsia" w:ascii="仿宋_GB2312" w:eastAsia="仿宋_GB2312"/>
          <w:b/>
          <w:color w:val="000000"/>
          <w:sz w:val="32"/>
          <w:szCs w:val="32"/>
        </w:rPr>
        <w:t>（</w:t>
      </w:r>
      <w:r>
        <w:rPr>
          <w:rFonts w:hint="eastAsia" w:ascii="仿宋_GB2312" w:eastAsia="仿宋_GB2312"/>
          <w:b/>
          <w:color w:val="000000"/>
          <w:sz w:val="32"/>
          <w:szCs w:val="32"/>
          <w:lang w:val="en-US" w:eastAsia="zh-CN"/>
        </w:rPr>
        <w:t>07</w:t>
      </w:r>
      <w:r>
        <w:rPr>
          <w:rFonts w:hint="eastAsia" w:ascii="仿宋_GB2312" w:eastAsia="仿宋_GB2312"/>
          <w:b/>
          <w:color w:val="000000"/>
          <w:sz w:val="32"/>
          <w:szCs w:val="32"/>
        </w:rPr>
        <w:t>）</w:t>
      </w:r>
      <w:r>
        <w:rPr>
          <w:rFonts w:hint="eastAsia" w:ascii="仿宋_GB2312" w:eastAsia="仿宋_GB2312"/>
          <w:b/>
          <w:color w:val="000000"/>
          <w:sz w:val="32"/>
          <w:szCs w:val="32"/>
          <w:lang w:eastAsia="zh-CN"/>
        </w:rPr>
        <w:t>其他自然灾害救灾及恢复重建支出</w:t>
      </w:r>
      <w:r>
        <w:rPr>
          <w:rFonts w:hint="eastAsia" w:ascii="仿宋_GB2312" w:eastAsia="仿宋_GB2312"/>
          <w:b/>
          <w:color w:val="000000"/>
          <w:sz w:val="32"/>
          <w:szCs w:val="32"/>
        </w:rPr>
        <w:t>（</w:t>
      </w:r>
      <w:r>
        <w:rPr>
          <w:rFonts w:hint="eastAsia" w:ascii="仿宋_GB2312" w:eastAsia="仿宋_GB2312"/>
          <w:b/>
          <w:color w:val="000000"/>
          <w:sz w:val="32"/>
          <w:szCs w:val="32"/>
          <w:lang w:val="en-US" w:eastAsia="zh-CN"/>
        </w:rPr>
        <w:t>99</w:t>
      </w:r>
      <w:r>
        <w:rPr>
          <w:rFonts w:hint="eastAsia" w:ascii="仿宋_GB2312" w:eastAsia="仿宋_GB2312"/>
          <w:b/>
          <w:color w:val="000000"/>
          <w:sz w:val="32"/>
          <w:szCs w:val="32"/>
        </w:rPr>
        <w:t>）</w:t>
      </w:r>
      <w:r>
        <w:rPr>
          <w:rFonts w:hint="eastAsia" w:ascii="仿宋_GB2312" w:eastAsia="仿宋_GB2312"/>
          <w:color w:val="000000"/>
          <w:sz w:val="32"/>
          <w:szCs w:val="32"/>
        </w:rPr>
        <w:t>支出决算</w:t>
      </w:r>
      <w:r>
        <w:rPr>
          <w:rFonts w:hint="eastAsia" w:ascii="仿宋_GB2312" w:eastAsia="仿宋_GB2312"/>
          <w:color w:val="000000"/>
          <w:sz w:val="32"/>
          <w:szCs w:val="32"/>
          <w:lang w:val="en-US" w:eastAsia="zh-CN"/>
        </w:rPr>
        <w:t>15.00</w:t>
      </w:r>
      <w:r>
        <w:rPr>
          <w:rFonts w:hint="eastAsia" w:ascii="仿宋_GB2312" w:eastAsia="仿宋_GB2312"/>
          <w:color w:val="000000"/>
          <w:sz w:val="32"/>
          <w:szCs w:val="32"/>
        </w:rPr>
        <w:t>万元，完成预算100%。</w:t>
      </w:r>
      <w:r>
        <w:rPr>
          <w:rStyle w:val="19"/>
          <w:rFonts w:hint="eastAsia" w:ascii="仿宋_GB2312" w:hAnsi="仿宋_GB2312" w:eastAsia="仿宋_GB2312" w:cs="仿宋_GB2312"/>
          <w:b w:val="0"/>
          <w:color w:val="000000"/>
          <w:sz w:val="32"/>
          <w:szCs w:val="32"/>
          <w:lang w:eastAsia="zh-CN"/>
        </w:rPr>
        <w:t>决算数与预算数持平。</w:t>
      </w:r>
    </w:p>
    <w:p>
      <w:pPr>
        <w:keepNext w:val="0"/>
        <w:keepLines w:val="0"/>
        <w:pageBreakBefore w:val="0"/>
        <w:widowControl w:val="0"/>
        <w:tabs>
          <w:tab w:val="right" w:pos="8306"/>
        </w:tabs>
        <w:kinsoku/>
        <w:wordWrap/>
        <w:overflowPunct/>
        <w:topLinePunct w:val="0"/>
        <w:autoSpaceDE/>
        <w:autoSpaceDN/>
        <w:bidi w:val="0"/>
        <w:adjustRightInd/>
        <w:snapToGrid/>
        <w:spacing w:line="576" w:lineRule="exact"/>
        <w:ind w:firstLine="640" w:firstLineChars="200"/>
        <w:textAlignment w:val="auto"/>
        <w:outlineLvl w:val="1"/>
        <w:rPr>
          <w:rStyle w:val="31"/>
          <w:rFonts w:ascii="Times New Roman" w:hAnsi="Times New Roman"/>
          <w:color w:val="auto"/>
          <w:highlight w:val="none"/>
        </w:rPr>
      </w:pPr>
      <w:bookmarkStart w:id="62" w:name="_Toc15377214"/>
      <w:bookmarkStart w:id="63" w:name="_Toc1204822149"/>
      <w:bookmarkStart w:id="64" w:name="_Toc15396608"/>
      <w:bookmarkStart w:id="65" w:name="_Toc13543"/>
      <w:r>
        <w:rPr>
          <w:rFonts w:hint="eastAsia" w:ascii="Times New Roman" w:hAnsi="Times New Roman" w:eastAsia="黑体"/>
          <w:color w:val="auto"/>
          <w:sz w:val="32"/>
          <w:szCs w:val="32"/>
          <w:highlight w:val="none"/>
        </w:rPr>
        <w:t>六</w:t>
      </w:r>
      <w:r>
        <w:rPr>
          <w:rFonts w:hint="eastAsia" w:ascii="Times New Roman" w:hAnsi="Times New Roman" w:eastAsia="黑体"/>
          <w:b/>
          <w:color w:val="auto"/>
          <w:sz w:val="32"/>
          <w:szCs w:val="32"/>
          <w:highlight w:val="none"/>
        </w:rPr>
        <w:t>、一</w:t>
      </w:r>
      <w:r>
        <w:rPr>
          <w:rStyle w:val="31"/>
          <w:rFonts w:hint="eastAsia" w:ascii="Times New Roman" w:hAnsi="Times New Roman" w:eastAsia="黑体"/>
          <w:b w:val="0"/>
          <w:color w:val="auto"/>
          <w:highlight w:val="none"/>
        </w:rPr>
        <w:t>般公共预算财政拨款基本支出决算情况说明</w:t>
      </w:r>
      <w:bookmarkEnd w:id="62"/>
      <w:bookmarkEnd w:id="63"/>
      <w:bookmarkEnd w:id="64"/>
      <w:bookmarkEnd w:id="65"/>
      <w:r>
        <w:rPr>
          <w:rStyle w:val="31"/>
          <w:rFonts w:ascii="Times New Roman" w:hAnsi="Times New Roman" w:eastAsia="黑体"/>
          <w:b w:val="0"/>
          <w:color w:val="auto"/>
          <w:highlight w:val="none"/>
        </w:rPr>
        <w:tab/>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2024年度一般公共预算财政拨款基本支出</w:t>
      </w:r>
      <w:r>
        <w:rPr>
          <w:rFonts w:hint="eastAsia" w:ascii="仿宋_GB2312" w:hAnsi="仿宋_GB2312" w:eastAsia="仿宋_GB2312" w:cs="仿宋_GB2312"/>
          <w:sz w:val="32"/>
          <w:szCs w:val="32"/>
        </w:rPr>
        <w:t>1202.04</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元，其中：</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人员经费</w:t>
      </w:r>
      <w:r>
        <w:rPr>
          <w:rFonts w:hint="eastAsia" w:ascii="仿宋_GB2312" w:hAnsi="仿宋_GB2312" w:eastAsia="仿宋_GB2312" w:cs="仿宋_GB2312"/>
          <w:sz w:val="32"/>
          <w:szCs w:val="32"/>
        </w:rPr>
        <w:t>1151.91</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元，主要包括：基本工资、津贴补贴、奖金、机关事业单位基本养老保险缴费、职业年金缴费、</w:t>
      </w:r>
      <w:r>
        <w:rPr>
          <w:rFonts w:hint="eastAsia" w:eastAsia="仿宋_GB2312" w:cs="仿宋_GB2312"/>
          <w:color w:val="auto"/>
          <w:kern w:val="2"/>
          <w:sz w:val="32"/>
          <w:szCs w:val="32"/>
          <w:highlight w:val="none"/>
          <w:lang w:val="en-US" w:eastAsia="zh-CN" w:bidi="ar-SA"/>
        </w:rPr>
        <w:t>职工基本医疗保险缴费、</w:t>
      </w:r>
      <w:r>
        <w:rPr>
          <w:rFonts w:hint="eastAsia" w:ascii="Times New Roman" w:hAnsi="Times New Roman" w:eastAsia="仿宋_GB2312" w:cs="仿宋_GB2312"/>
          <w:color w:val="auto"/>
          <w:kern w:val="2"/>
          <w:sz w:val="32"/>
          <w:szCs w:val="32"/>
          <w:highlight w:val="none"/>
          <w:lang w:val="en-US" w:eastAsia="zh-CN" w:bidi="ar-SA"/>
        </w:rPr>
        <w:t>其他社会保障缴费、生活补助、医疗费、奖励金、住房公积金。</w:t>
      </w:r>
      <w:r>
        <w:rPr>
          <w:rFonts w:hint="eastAsia" w:ascii="Times New Roman" w:hAnsi="Times New Roman" w:eastAsia="仿宋_GB2312" w:cs="仿宋_GB2312"/>
          <w:color w:val="auto"/>
          <w:kern w:val="2"/>
          <w:sz w:val="32"/>
          <w:szCs w:val="32"/>
          <w:highlight w:val="none"/>
          <w:lang w:val="en-US" w:eastAsia="zh-CN" w:bidi="ar-SA"/>
        </w:rPr>
        <w:br w:type="textWrapping"/>
      </w:r>
      <w:r>
        <w:rPr>
          <w:rFonts w:hint="eastAsia" w:ascii="Times New Roman" w:hAnsi="Times New Roman" w:eastAsia="仿宋_GB2312" w:cs="仿宋_GB2312"/>
          <w:color w:val="auto"/>
          <w:kern w:val="2"/>
          <w:sz w:val="32"/>
          <w:szCs w:val="32"/>
          <w:highlight w:val="none"/>
          <w:lang w:val="en-US" w:eastAsia="zh-CN" w:bidi="ar-SA"/>
        </w:rPr>
        <w:t>　　公用经费</w:t>
      </w:r>
      <w:r>
        <w:rPr>
          <w:rFonts w:hint="eastAsia" w:ascii="仿宋_GB2312" w:hAnsi="仿宋_GB2312" w:eastAsia="仿宋_GB2312" w:cs="仿宋_GB2312"/>
          <w:sz w:val="32"/>
          <w:szCs w:val="32"/>
        </w:rPr>
        <w:t>50.13</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元，主要包括：办公费、水费、电费、邮电费、差旅费、维修（护）费、租赁费、会议费、培训费、劳务费、公务用车运行维护费。</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1"/>
        <w:rPr>
          <w:rStyle w:val="31"/>
          <w:rFonts w:ascii="Times New Roman" w:hAnsi="Times New Roman" w:eastAsia="黑体"/>
          <w:b w:val="0"/>
          <w:color w:val="auto"/>
          <w:highlight w:val="none"/>
        </w:rPr>
      </w:pPr>
      <w:bookmarkStart w:id="66" w:name="_Toc27739"/>
      <w:bookmarkStart w:id="67" w:name="_Toc15377215"/>
      <w:bookmarkStart w:id="68" w:name="_Toc15396609"/>
      <w:bookmarkStart w:id="69" w:name="_Toc1003574517"/>
      <w:r>
        <w:rPr>
          <w:rFonts w:hint="eastAsia" w:ascii="Times New Roman" w:hAnsi="Times New Roman" w:eastAsia="黑体"/>
          <w:color w:val="auto"/>
          <w:sz w:val="32"/>
          <w:szCs w:val="32"/>
          <w:highlight w:val="none"/>
        </w:rPr>
        <w:t>七、</w:t>
      </w:r>
      <w:r>
        <w:rPr>
          <w:rStyle w:val="31"/>
          <w:rFonts w:hint="eastAsia" w:ascii="Times New Roman" w:hAnsi="Times New Roman" w:eastAsia="黑体"/>
          <w:b w:val="0"/>
          <w:color w:val="auto"/>
          <w:highlight w:val="none"/>
        </w:rPr>
        <w:t>财政拨款</w:t>
      </w:r>
      <w:r>
        <w:rPr>
          <w:rStyle w:val="31"/>
          <w:rFonts w:hint="eastAsia" w:ascii="Times New Roman" w:hAnsi="Times New Roman" w:eastAsia="黑体"/>
          <w:color w:val="auto"/>
          <w:highlight w:val="none"/>
        </w:rPr>
        <w:t>“</w:t>
      </w:r>
      <w:r>
        <w:rPr>
          <w:rStyle w:val="31"/>
          <w:rFonts w:hint="eastAsia" w:ascii="Times New Roman" w:hAnsi="Times New Roman" w:eastAsia="黑体"/>
          <w:b w:val="0"/>
          <w:color w:val="auto"/>
          <w:highlight w:val="none"/>
        </w:rPr>
        <w:t>三公”经费支出决算情况说明</w:t>
      </w:r>
      <w:bookmarkEnd w:id="66"/>
      <w:bookmarkEnd w:id="67"/>
      <w:bookmarkEnd w:id="68"/>
      <w:bookmarkEnd w:id="69"/>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outlineLvl w:val="2"/>
        <w:rPr>
          <w:rFonts w:hint="eastAsia" w:ascii="Times New Roman" w:hAnsi="Times New Roman" w:eastAsia="楷体_GB2312" w:cs="楷体_GB2312"/>
          <w:b/>
          <w:color w:val="auto"/>
          <w:sz w:val="32"/>
          <w:szCs w:val="32"/>
          <w:highlight w:val="none"/>
        </w:rPr>
      </w:pPr>
      <w:bookmarkStart w:id="70" w:name="_Toc154063514"/>
      <w:bookmarkStart w:id="71" w:name="_Toc15377216"/>
      <w:bookmarkStart w:id="72" w:name="_Toc18816"/>
      <w:r>
        <w:rPr>
          <w:rFonts w:hint="eastAsia" w:ascii="Times New Roman" w:hAnsi="Times New Roman" w:eastAsia="楷体_GB2312" w:cs="楷体_GB2312"/>
          <w:b/>
          <w:color w:val="auto"/>
          <w:sz w:val="32"/>
          <w:szCs w:val="32"/>
          <w:highlight w:val="none"/>
        </w:rPr>
        <w:t>（一）“三公”经费财政拨款支出决算总体情况说明</w:t>
      </w:r>
      <w:bookmarkEnd w:id="70"/>
      <w:bookmarkEnd w:id="71"/>
      <w:bookmarkEnd w:id="72"/>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仿宋_GB2312"/>
          <w:b/>
          <w:bCs/>
          <w:color w:val="auto"/>
          <w:kern w:val="2"/>
          <w:sz w:val="32"/>
          <w:szCs w:val="32"/>
          <w:highlight w:val="none"/>
          <w:lang w:val="en-US" w:eastAsia="zh-CN" w:bidi="ar-SA"/>
        </w:rPr>
      </w:pPr>
      <w:bookmarkStart w:id="73" w:name="_Toc15377217"/>
      <w:r>
        <w:rPr>
          <w:rFonts w:hint="eastAsia" w:ascii="仿宋_GB2312" w:hAnsi="仿宋_GB2312" w:eastAsia="仿宋_GB2312" w:cs="仿宋_GB2312"/>
          <w:color w:val="auto"/>
          <w:kern w:val="2"/>
          <w:sz w:val="32"/>
          <w:szCs w:val="32"/>
          <w:highlight w:val="none"/>
          <w:lang w:val="en-US" w:eastAsia="zh-CN" w:bidi="ar-SA"/>
        </w:rPr>
        <w:t>2024</w:t>
      </w:r>
      <w:r>
        <w:rPr>
          <w:rFonts w:hint="eastAsia" w:ascii="Times New Roman" w:hAnsi="Times New Roman" w:eastAsia="仿宋_GB2312" w:cs="仿宋_GB2312"/>
          <w:color w:val="auto"/>
          <w:kern w:val="2"/>
          <w:sz w:val="32"/>
          <w:szCs w:val="32"/>
          <w:highlight w:val="none"/>
          <w:lang w:val="en-US" w:eastAsia="zh-CN" w:bidi="ar-SA"/>
        </w:rPr>
        <w:t>年度“三公”经费财政拨款支出决算为</w:t>
      </w: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val="en-US" w:eastAsia="zh-CN"/>
        </w:rPr>
        <w:t>.00</w:t>
      </w:r>
      <w:r>
        <w:rPr>
          <w:rFonts w:hint="eastAsia" w:ascii="仿宋_GB2312" w:hAnsi="仿宋_GB2312" w:eastAsia="仿宋_GB2312" w:cs="仿宋_GB2312"/>
          <w:color w:val="auto"/>
          <w:kern w:val="2"/>
          <w:sz w:val="32"/>
          <w:szCs w:val="32"/>
          <w:highlight w:val="none"/>
          <w:lang w:val="en-US" w:eastAsia="zh-CN" w:bidi="ar-SA"/>
        </w:rPr>
        <w:t>万元，完成预算</w:t>
      </w:r>
      <w:r>
        <w:rPr>
          <w:rFonts w:hint="eastAsia" w:ascii="仿宋_GB2312" w:hAnsi="仿宋_GB2312" w:eastAsia="仿宋_GB2312" w:cs="仿宋_GB2312"/>
          <w:sz w:val="32"/>
          <w:szCs w:val="32"/>
        </w:rPr>
        <w:t>100</w:t>
      </w:r>
      <w:r>
        <w:rPr>
          <w:rFonts w:hint="eastAsia" w:ascii="仿宋_GB2312" w:hAns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较上年度减</w:t>
      </w:r>
      <w:r>
        <w:rPr>
          <w:rFonts w:hint="eastAsia" w:ascii="仿宋_GB2312" w:hAnsi="仿宋_GB2312" w:eastAsia="仿宋_GB2312" w:cs="仿宋_GB2312"/>
          <w:color w:val="auto"/>
          <w:kern w:val="2"/>
          <w:sz w:val="32"/>
          <w:szCs w:val="32"/>
          <w:highlight w:val="none"/>
          <w:lang w:val="en-US" w:eastAsia="zh-CN" w:bidi="ar-SA"/>
        </w:rPr>
        <w:t>少2.00万元，下降33.33%</w:t>
      </w:r>
      <w:r>
        <w:rPr>
          <w:rFonts w:hint="eastAsia" w:ascii="Times New Roman" w:hAnsi="Times New Roman" w:eastAsia="仿宋_GB2312" w:cs="仿宋_GB2312"/>
          <w:color w:val="auto"/>
          <w:kern w:val="2"/>
          <w:sz w:val="32"/>
          <w:szCs w:val="32"/>
          <w:highlight w:val="none"/>
          <w:lang w:val="en-US" w:eastAsia="zh-CN" w:bidi="ar-SA"/>
        </w:rPr>
        <w:t>。决算数</w:t>
      </w:r>
      <w:r>
        <w:rPr>
          <w:rFonts w:hint="eastAsia" w:eastAsia="仿宋_GB2312" w:cs="仿宋_GB2312"/>
          <w:color w:val="auto"/>
          <w:kern w:val="2"/>
          <w:sz w:val="32"/>
          <w:szCs w:val="32"/>
          <w:highlight w:val="none"/>
          <w:lang w:val="en-US" w:eastAsia="zh-CN" w:bidi="ar-SA"/>
        </w:rPr>
        <w:t>与</w:t>
      </w:r>
      <w:r>
        <w:rPr>
          <w:rFonts w:hint="eastAsia" w:ascii="Times New Roman" w:hAnsi="Times New Roman" w:eastAsia="仿宋_GB2312" w:cs="仿宋_GB2312"/>
          <w:color w:val="auto"/>
          <w:kern w:val="2"/>
          <w:sz w:val="32"/>
          <w:szCs w:val="32"/>
          <w:highlight w:val="none"/>
          <w:lang w:val="en-US" w:eastAsia="zh-CN" w:bidi="ar-SA"/>
        </w:rPr>
        <w:t>预算数</w:t>
      </w:r>
      <w:r>
        <w:rPr>
          <w:rFonts w:hint="eastAsia" w:eastAsia="仿宋_GB2312" w:cs="仿宋_GB2312"/>
          <w:color w:val="auto"/>
          <w:kern w:val="2"/>
          <w:sz w:val="32"/>
          <w:szCs w:val="32"/>
          <w:highlight w:val="none"/>
          <w:lang w:val="en-US" w:eastAsia="zh-CN" w:bidi="ar-SA"/>
        </w:rPr>
        <w:t>持平。</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outlineLvl w:val="2"/>
        <w:rPr>
          <w:rFonts w:hint="eastAsia" w:ascii="Times New Roman" w:hAnsi="Times New Roman" w:eastAsia="楷体_GB2312" w:cs="楷体_GB2312"/>
          <w:b/>
          <w:color w:val="auto"/>
          <w:sz w:val="32"/>
          <w:szCs w:val="32"/>
          <w:highlight w:val="none"/>
        </w:rPr>
      </w:pPr>
      <w:bookmarkStart w:id="74" w:name="_Toc1884453090"/>
      <w:bookmarkStart w:id="75" w:name="_Toc20163"/>
      <w:r>
        <w:rPr>
          <w:rFonts w:hint="eastAsia" w:ascii="Times New Roman" w:hAnsi="Times New Roman" w:eastAsia="楷体_GB2312" w:cs="楷体_GB2312"/>
          <w:b/>
          <w:color w:val="auto"/>
          <w:sz w:val="32"/>
          <w:szCs w:val="32"/>
          <w:highlight w:val="none"/>
        </w:rPr>
        <w:t>（二）“三公”经费财政拨款支出决算具体情况说明</w:t>
      </w:r>
      <w:bookmarkEnd w:id="73"/>
      <w:bookmarkEnd w:id="74"/>
      <w:bookmarkEnd w:id="75"/>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2024年度“三公”经费财政拨款支出决算中，因公出国（境）费支出决算</w:t>
      </w:r>
      <w:r>
        <w:rPr>
          <w:rFonts w:hint="eastAsia" w:ascii="仿宋_GB2312" w:hAnsi="仿宋_GB2312" w:eastAsia="仿宋_GB2312" w:cs="仿宋_GB2312"/>
          <w:sz w:val="32"/>
          <w:szCs w:val="32"/>
        </w:rPr>
        <w:t>0</w:t>
      </w:r>
      <w:r>
        <w:rPr>
          <w:rFonts w:hint="eastAsia" w:ascii="仿宋_GB2312" w:hAnsi="仿宋_GB2312" w:eastAsia="仿宋_GB2312" w:cs="仿宋_GB2312"/>
          <w:sz w:val="32"/>
          <w:szCs w:val="32"/>
          <w:lang w:val="en-US" w:eastAsia="zh-CN"/>
        </w:rPr>
        <w:t>.00</w:t>
      </w:r>
      <w:r>
        <w:rPr>
          <w:rFonts w:hint="eastAsia" w:ascii="仿宋_GB2312" w:hAnsi="仿宋_GB2312" w:eastAsia="仿宋_GB2312" w:cs="仿宋_GB2312"/>
          <w:color w:val="auto"/>
          <w:kern w:val="2"/>
          <w:sz w:val="32"/>
          <w:szCs w:val="32"/>
          <w:highlight w:val="none"/>
          <w:lang w:val="en-US" w:eastAsia="zh-CN" w:bidi="ar-SA"/>
        </w:rPr>
        <w:t>万元，占0%；公务用车购置及运行维护费支出决算</w:t>
      </w: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val="en-US" w:eastAsia="zh-CN"/>
        </w:rPr>
        <w:t>.00</w:t>
      </w:r>
      <w:r>
        <w:rPr>
          <w:rFonts w:hint="eastAsia" w:ascii="仿宋_GB2312" w:hAnsi="仿宋_GB2312" w:eastAsia="仿宋_GB2312" w:cs="仿宋_GB2312"/>
          <w:color w:val="auto"/>
          <w:kern w:val="2"/>
          <w:sz w:val="32"/>
          <w:szCs w:val="32"/>
          <w:highlight w:val="none"/>
          <w:lang w:val="en-US" w:eastAsia="zh-CN" w:bidi="ar-SA"/>
        </w:rPr>
        <w:t>万元，占100%；公务接待费支出决算</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万元，占0%。具体情况如下：</w:t>
      </w:r>
    </w:p>
    <w:p>
      <w:pPr>
        <w:pStyle w:val="14"/>
        <w:pageBreakBefore w:val="0"/>
        <w:kinsoku/>
        <w:wordWrap/>
        <w:overflowPunct/>
        <w:topLinePunct w:val="0"/>
        <w:bidi w:val="0"/>
        <w:spacing w:line="576" w:lineRule="exact"/>
        <w:rPr>
          <w:rFonts w:hint="eastAsia"/>
          <w:lang w:val="en-US" w:eastAsia="zh-CN"/>
        </w:rPr>
      </w:pPr>
      <w:r>
        <w:rPr>
          <w:rFonts w:hint="eastAsia"/>
          <w:lang w:val="en-US" w:eastAsia="zh-CN"/>
        </w:rPr>
        <w:drawing>
          <wp:anchor distT="0" distB="0" distL="114300" distR="114300" simplePos="0" relativeHeight="251665408" behindDoc="0" locked="0" layoutInCell="1" allowOverlap="1">
            <wp:simplePos x="0" y="0"/>
            <wp:positionH relativeFrom="column">
              <wp:posOffset>186055</wp:posOffset>
            </wp:positionH>
            <wp:positionV relativeFrom="paragraph">
              <wp:posOffset>163830</wp:posOffset>
            </wp:positionV>
            <wp:extent cx="5256530" cy="2988310"/>
            <wp:effectExtent l="5080" t="4445" r="15240" b="17145"/>
            <wp:wrapTopAndBottom/>
            <wp:docPr id="8" name="图表 8" descr="7b0a202020202263686172745265734964223a20223230343732313936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Fonts w:hint="eastAsia" w:ascii="Times New Roman" w:hAnsi="Times New Roman" w:eastAsia="仿宋_GB2312" w:cs="仿宋_GB2312"/>
          <w:color w:val="auto"/>
          <w:kern w:val="2"/>
          <w:sz w:val="32"/>
          <w:szCs w:val="32"/>
          <w:highlight w:val="none"/>
          <w:lang w:val="en-US" w:eastAsia="zh-CN" w:bidi="ar-SA"/>
        </w:rPr>
      </w:pPr>
      <w:bookmarkStart w:id="76" w:name="_Toc15396610"/>
      <w:bookmarkStart w:id="77" w:name="_Toc15377218"/>
      <w:r>
        <w:rPr>
          <w:rFonts w:hint="eastAsia" w:ascii="Times New Roman" w:hAnsi="Times New Roman" w:eastAsia="仿宋_GB2312" w:cs="仿宋_GB2312"/>
          <w:b/>
          <w:bCs/>
          <w:color w:val="auto"/>
          <w:kern w:val="2"/>
          <w:sz w:val="32"/>
          <w:szCs w:val="32"/>
          <w:highlight w:val="none"/>
          <w:lang w:val="en-US" w:eastAsia="zh-CN" w:bidi="ar-SA"/>
        </w:rPr>
        <w:t>1.因公出国（境）经费支出</w:t>
      </w:r>
      <w:r>
        <w:rPr>
          <w:rFonts w:hint="eastAsia" w:eastAsia="仿宋_GB2312" w:cs="仿宋_GB2312"/>
          <w:b/>
          <w:bCs/>
          <w:color w:val="auto"/>
          <w:kern w:val="2"/>
          <w:sz w:val="32"/>
          <w:szCs w:val="32"/>
          <w:highlight w:val="none"/>
          <w:lang w:val="en-US" w:eastAsia="zh-CN" w:bidi="ar-SA"/>
        </w:rPr>
        <w:t>0</w:t>
      </w:r>
      <w:r>
        <w:rPr>
          <w:rFonts w:hint="eastAsia" w:ascii="Times New Roman" w:hAnsi="Times New Roman" w:eastAsia="仿宋_GB2312" w:cs="仿宋_GB2312"/>
          <w:b/>
          <w:bCs/>
          <w:color w:val="auto"/>
          <w:kern w:val="2"/>
          <w:sz w:val="32"/>
          <w:szCs w:val="32"/>
          <w:highlight w:val="none"/>
          <w:lang w:val="en-US" w:eastAsia="zh-CN" w:bidi="ar-SA"/>
        </w:rPr>
        <w:t>万元。</w:t>
      </w:r>
      <w:r>
        <w:rPr>
          <w:rFonts w:hint="eastAsia" w:ascii="Times New Roman" w:hAnsi="Times New Roman" w:eastAsia="仿宋_GB2312" w:cs="仿宋_GB2312"/>
          <w:color w:val="auto"/>
          <w:kern w:val="2"/>
          <w:sz w:val="32"/>
          <w:szCs w:val="32"/>
          <w:highlight w:val="none"/>
          <w:lang w:val="en-US" w:eastAsia="zh-CN" w:bidi="ar-SA"/>
        </w:rPr>
        <w:t>全年安排因公出国（境）团</w:t>
      </w:r>
      <w:r>
        <w:rPr>
          <w:rFonts w:hint="eastAsia" w:ascii="仿宋_GB2312" w:hAnsi="仿宋_GB2312" w:eastAsia="仿宋_GB2312" w:cs="仿宋_GB2312"/>
          <w:color w:val="auto"/>
          <w:kern w:val="2"/>
          <w:sz w:val="32"/>
          <w:szCs w:val="32"/>
          <w:highlight w:val="none"/>
          <w:lang w:val="en-US" w:eastAsia="zh-CN" w:bidi="ar-SA"/>
        </w:rPr>
        <w:t>组</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次，出国（境）</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人</w:t>
      </w:r>
      <w:r>
        <w:rPr>
          <w:rFonts w:hint="eastAsia" w:ascii="Times New Roman" w:hAnsi="Times New Roman" w:eastAsia="仿宋_GB2312" w:cs="仿宋_GB2312"/>
          <w:color w:val="auto"/>
          <w:kern w:val="2"/>
          <w:sz w:val="32"/>
          <w:szCs w:val="32"/>
          <w:highlight w:val="none"/>
          <w:lang w:val="en-US" w:eastAsia="zh-CN" w:bidi="ar-SA"/>
        </w:rPr>
        <w:t>。</w:t>
      </w:r>
      <w:r>
        <w:rPr>
          <w:rFonts w:hint="eastAsia" w:ascii="仿宋_GB2312" w:eastAsia="仿宋_GB2312"/>
          <w:color w:val="auto"/>
          <w:sz w:val="32"/>
          <w:szCs w:val="32"/>
          <w:highlight w:val="none"/>
        </w:rPr>
        <w:t>因公出国（境）支出决算</w:t>
      </w:r>
      <w:r>
        <w:rPr>
          <w:rFonts w:hint="eastAsia" w:ascii="仿宋_GB2312" w:eastAsia="仿宋_GB2312"/>
          <w:color w:val="auto"/>
          <w:sz w:val="32"/>
          <w:szCs w:val="32"/>
          <w:highlight w:val="none"/>
          <w:lang w:eastAsia="zh-CN"/>
        </w:rPr>
        <w:t>较202</w:t>
      </w:r>
      <w:r>
        <w:rPr>
          <w:rFonts w:hint="eastAsia" w:ascii="仿宋_GB2312" w:eastAsia="仿宋_GB2312"/>
          <w:color w:val="auto"/>
          <w:sz w:val="32"/>
          <w:szCs w:val="32"/>
          <w:highlight w:val="none"/>
          <w:lang w:val="en-US" w:eastAsia="zh-CN"/>
        </w:rPr>
        <w:t>3</w:t>
      </w:r>
      <w:r>
        <w:rPr>
          <w:rFonts w:hint="eastAsia" w:ascii="仿宋_GB2312" w:eastAsia="仿宋_GB2312"/>
          <w:color w:val="auto"/>
          <w:sz w:val="32"/>
          <w:szCs w:val="32"/>
          <w:highlight w:val="none"/>
        </w:rPr>
        <w:t>年</w:t>
      </w:r>
      <w:r>
        <w:rPr>
          <w:rFonts w:hint="eastAsia" w:ascii="仿宋_GB2312" w:eastAsia="仿宋_GB2312"/>
          <w:color w:val="auto"/>
          <w:sz w:val="32"/>
          <w:szCs w:val="32"/>
          <w:highlight w:val="none"/>
          <w:lang w:eastAsia="zh-CN"/>
        </w:rPr>
        <w:t>度无变化</w:t>
      </w:r>
      <w:r>
        <w:rPr>
          <w:rFonts w:hint="eastAsia" w:ascii="仿宋_GB2312" w:eastAsia="仿宋_GB2312"/>
          <w:color w:val="auto"/>
          <w:sz w:val="32"/>
          <w:szCs w:val="32"/>
          <w:highlight w:val="none"/>
        </w:rPr>
        <w:t>。</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2.公务用车购置及运行维护费支出</w:t>
      </w:r>
      <w:r>
        <w:rPr>
          <w:rFonts w:hint="eastAsia" w:ascii="仿宋_GB2312" w:hAnsi="仿宋_GB2312" w:eastAsia="仿宋_GB2312" w:cs="仿宋_GB2312"/>
          <w:b/>
          <w:bCs/>
          <w:color w:val="auto"/>
          <w:kern w:val="2"/>
          <w:sz w:val="32"/>
          <w:szCs w:val="32"/>
          <w:highlight w:val="none"/>
          <w:lang w:val="en-US" w:eastAsia="zh-CN" w:bidi="ar-SA"/>
        </w:rPr>
        <w:t>4.00万</w:t>
      </w:r>
      <w:r>
        <w:rPr>
          <w:rFonts w:hint="eastAsia" w:ascii="Times New Roman" w:hAnsi="Times New Roman" w:eastAsia="仿宋_GB2312" w:cs="仿宋_GB2312"/>
          <w:b/>
          <w:bCs/>
          <w:color w:val="auto"/>
          <w:kern w:val="2"/>
          <w:sz w:val="32"/>
          <w:szCs w:val="32"/>
          <w:highlight w:val="none"/>
          <w:lang w:val="en-US" w:eastAsia="zh-CN" w:bidi="ar-SA"/>
        </w:rPr>
        <w:t>元</w:t>
      </w:r>
      <w:r>
        <w:rPr>
          <w:rFonts w:hint="eastAsia"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b/>
          <w:bCs/>
          <w:color w:val="auto"/>
          <w:kern w:val="2"/>
          <w:sz w:val="32"/>
          <w:szCs w:val="32"/>
          <w:highlight w:val="none"/>
          <w:lang w:val="en-US" w:eastAsia="zh-CN" w:bidi="ar-SA"/>
        </w:rPr>
        <w:t>完成预算</w:t>
      </w:r>
      <w:r>
        <w:rPr>
          <w:rFonts w:hint="eastAsia" w:eastAsia="仿宋_GB2312" w:cs="仿宋_GB2312"/>
          <w:b/>
          <w:bCs/>
          <w:color w:val="auto"/>
          <w:kern w:val="2"/>
          <w:sz w:val="32"/>
          <w:szCs w:val="32"/>
          <w:highlight w:val="none"/>
          <w:lang w:val="en-US" w:eastAsia="zh-CN" w:bidi="ar-SA"/>
        </w:rPr>
        <w:t>100</w:t>
      </w:r>
      <w:r>
        <w:rPr>
          <w:rFonts w:hint="eastAsia" w:ascii="Times New Roman" w:hAnsi="Times New Roman"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公务用车购置及运行维护费支出决算</w:t>
      </w:r>
      <w:r>
        <w:rPr>
          <w:rFonts w:hint="eastAsia" w:eastAsia="仿宋_GB2312" w:cs="仿宋_GB2312"/>
          <w:color w:val="auto"/>
          <w:kern w:val="2"/>
          <w:sz w:val="32"/>
          <w:szCs w:val="32"/>
          <w:highlight w:val="none"/>
          <w:lang w:val="en-US" w:eastAsia="zh-CN" w:bidi="ar-SA"/>
        </w:rPr>
        <w:t>较</w:t>
      </w:r>
      <w:r>
        <w:rPr>
          <w:rFonts w:hint="eastAsia" w:ascii="仿宋_GB2312" w:hAnsi="仿宋_GB2312" w:eastAsia="仿宋_GB2312" w:cs="仿宋_GB2312"/>
          <w:color w:val="auto"/>
          <w:kern w:val="2"/>
          <w:sz w:val="32"/>
          <w:szCs w:val="32"/>
          <w:highlight w:val="none"/>
          <w:lang w:val="en-US" w:eastAsia="zh-CN" w:bidi="ar-SA"/>
        </w:rPr>
        <w:t>2023年度减少2.00万元，下降33.33%。主要原因是：2024年部分油费及修车费未结算。</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其中：公务用车购置支出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全年按规定更新购置公务用车0辆，其中：轿车0辆、金额0万元，越野车0辆、金额0万元，载客汽车0辆、金额0万元。截至2024年12月31日，单位共有公务用车3辆，其中：轿车1辆、越野车0辆、载客汽车1辆、消防车1辆。</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eastAsia="仿宋_GB2312"/>
          <w:color w:val="auto"/>
          <w:sz w:val="32"/>
          <w:szCs w:val="32"/>
          <w:highlight w:val="none"/>
        </w:rPr>
      </w:pPr>
      <w:r>
        <w:rPr>
          <w:rFonts w:hint="eastAsia" w:ascii="Times New Roman" w:hAnsi="Times New Roman" w:eastAsia="仿宋_GB2312" w:cs="仿宋_GB2312"/>
          <w:color w:val="auto"/>
          <w:kern w:val="2"/>
          <w:sz w:val="32"/>
          <w:szCs w:val="32"/>
          <w:highlight w:val="none"/>
          <w:lang w:val="en-US" w:eastAsia="zh-CN" w:bidi="ar-SA"/>
        </w:rPr>
        <w:t>公务用车运行维护费支</w:t>
      </w:r>
      <w:r>
        <w:rPr>
          <w:rFonts w:hint="eastAsia" w:ascii="仿宋_GB2312" w:hAnsi="仿宋_GB2312" w:eastAsia="仿宋_GB2312" w:cs="仿宋_GB2312"/>
          <w:color w:val="auto"/>
          <w:kern w:val="2"/>
          <w:sz w:val="32"/>
          <w:szCs w:val="32"/>
          <w:highlight w:val="none"/>
          <w:lang w:val="en-US" w:eastAsia="zh-CN" w:bidi="ar-SA"/>
        </w:rPr>
        <w:t>出</w:t>
      </w: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val="en-US" w:eastAsia="zh-CN"/>
        </w:rPr>
        <w:t>.00</w:t>
      </w:r>
      <w:r>
        <w:rPr>
          <w:rFonts w:hint="eastAsia" w:ascii="Times New Roman" w:hAnsi="Times New Roman" w:eastAsia="仿宋_GB2312" w:cs="仿宋_GB2312"/>
          <w:color w:val="auto"/>
          <w:kern w:val="2"/>
          <w:sz w:val="32"/>
          <w:szCs w:val="32"/>
          <w:highlight w:val="none"/>
          <w:lang w:val="en-US" w:eastAsia="zh-CN" w:bidi="ar-SA"/>
        </w:rPr>
        <w:t>万元。</w:t>
      </w:r>
      <w:r>
        <w:rPr>
          <w:rFonts w:hint="eastAsia" w:ascii="仿宋_GB2312" w:eastAsia="仿宋_GB2312"/>
          <w:color w:val="auto"/>
          <w:sz w:val="32"/>
          <w:szCs w:val="32"/>
          <w:highlight w:val="none"/>
        </w:rPr>
        <w:t>主要用于</w:t>
      </w:r>
      <w:r>
        <w:rPr>
          <w:rFonts w:hint="eastAsia" w:ascii="仿宋_GB2312" w:eastAsia="仿宋_GB2312"/>
          <w:color w:val="000000"/>
          <w:sz w:val="32"/>
          <w:szCs w:val="32"/>
        </w:rPr>
        <w:t>党委政府人大开展工作</w:t>
      </w:r>
      <w:r>
        <w:rPr>
          <w:rFonts w:hint="eastAsia" w:ascii="仿宋_GB2312" w:eastAsia="仿宋_GB2312"/>
          <w:color w:val="auto"/>
          <w:sz w:val="32"/>
          <w:szCs w:val="32"/>
          <w:highlight w:val="none"/>
        </w:rPr>
        <w:t>等所需的公务用车燃料费、维修费、保险费等支出。</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Fonts w:ascii="仿宋_GB2312" w:eastAsia="仿宋_GB2312"/>
          <w:color w:val="auto"/>
          <w:sz w:val="32"/>
          <w:szCs w:val="32"/>
          <w:highlight w:val="none"/>
        </w:rPr>
      </w:pPr>
      <w:r>
        <w:rPr>
          <w:rFonts w:hint="eastAsia" w:ascii="Times New Roman" w:hAnsi="Times New Roman" w:eastAsia="仿宋_GB2312" w:cs="仿宋_GB2312"/>
          <w:b/>
          <w:bCs/>
          <w:color w:val="auto"/>
          <w:kern w:val="2"/>
          <w:sz w:val="32"/>
          <w:szCs w:val="32"/>
          <w:highlight w:val="none"/>
          <w:lang w:val="en-US" w:eastAsia="zh-CN" w:bidi="ar-SA"/>
        </w:rPr>
        <w:t>3.公务接待费支出</w:t>
      </w:r>
      <w:r>
        <w:rPr>
          <w:rFonts w:hint="eastAsia" w:ascii="仿宋_GB2312" w:hAnsi="仿宋_GB2312" w:eastAsia="仿宋_GB2312" w:cs="仿宋_GB2312"/>
          <w:b/>
          <w:bCs/>
          <w:color w:val="auto"/>
          <w:kern w:val="2"/>
          <w:sz w:val="32"/>
          <w:szCs w:val="32"/>
          <w:highlight w:val="none"/>
          <w:lang w:val="en-US" w:eastAsia="zh-CN" w:bidi="ar-SA"/>
        </w:rPr>
        <w:t>0万</w:t>
      </w:r>
      <w:r>
        <w:rPr>
          <w:rFonts w:hint="eastAsia" w:ascii="Times New Roman" w:hAnsi="Times New Roman" w:eastAsia="仿宋_GB2312" w:cs="仿宋_GB2312"/>
          <w:b/>
          <w:bCs/>
          <w:color w:val="auto"/>
          <w:kern w:val="2"/>
          <w:sz w:val="32"/>
          <w:szCs w:val="32"/>
          <w:highlight w:val="none"/>
          <w:lang w:val="en-US" w:eastAsia="zh-CN" w:bidi="ar-SA"/>
        </w:rPr>
        <w:t>元。</w:t>
      </w:r>
      <w:r>
        <w:rPr>
          <w:rFonts w:hint="eastAsia" w:ascii="仿宋_GB2312" w:eastAsia="仿宋_GB2312"/>
          <w:color w:val="auto"/>
          <w:sz w:val="32"/>
          <w:szCs w:val="32"/>
          <w:highlight w:val="none"/>
        </w:rPr>
        <w:t>公务接待费支出决算</w:t>
      </w:r>
      <w:r>
        <w:rPr>
          <w:rFonts w:hint="eastAsia" w:ascii="仿宋_GB2312" w:eastAsia="仿宋_GB2312"/>
          <w:color w:val="auto"/>
          <w:sz w:val="32"/>
          <w:szCs w:val="32"/>
          <w:highlight w:val="none"/>
          <w:lang w:eastAsia="zh-CN"/>
        </w:rPr>
        <w:t>较202</w:t>
      </w:r>
      <w:r>
        <w:rPr>
          <w:rFonts w:hint="eastAsia" w:ascii="仿宋_GB2312" w:eastAsia="仿宋_GB2312"/>
          <w:color w:val="auto"/>
          <w:sz w:val="32"/>
          <w:szCs w:val="32"/>
          <w:highlight w:val="none"/>
          <w:lang w:val="en-US" w:eastAsia="zh-CN"/>
        </w:rPr>
        <w:t>3</w:t>
      </w:r>
      <w:r>
        <w:rPr>
          <w:rFonts w:hint="eastAsia" w:ascii="仿宋_GB2312" w:eastAsia="仿宋_GB2312"/>
          <w:color w:val="auto"/>
          <w:sz w:val="32"/>
          <w:szCs w:val="32"/>
          <w:highlight w:val="none"/>
        </w:rPr>
        <w:t>年</w:t>
      </w:r>
      <w:r>
        <w:rPr>
          <w:rFonts w:hint="eastAsia" w:ascii="仿宋_GB2312" w:eastAsia="仿宋_GB2312"/>
          <w:color w:val="auto"/>
          <w:sz w:val="32"/>
          <w:szCs w:val="32"/>
          <w:highlight w:val="none"/>
          <w:lang w:eastAsia="zh-CN"/>
        </w:rPr>
        <w:t>度无变化</w:t>
      </w:r>
      <w:r>
        <w:rPr>
          <w:rFonts w:hint="eastAsia" w:ascii="仿宋_GB2312" w:eastAsia="仿宋_GB2312"/>
          <w:color w:val="auto"/>
          <w:sz w:val="32"/>
          <w:szCs w:val="32"/>
          <w:highlight w:val="none"/>
        </w:rPr>
        <w:t>。其中：</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国内公务接待支</w:t>
      </w:r>
      <w:r>
        <w:rPr>
          <w:rFonts w:hint="eastAsia" w:ascii="仿宋_GB2312" w:hAnsi="仿宋_GB2312" w:eastAsia="仿宋_GB2312" w:cs="仿宋_GB2312"/>
          <w:color w:val="auto"/>
          <w:kern w:val="2"/>
          <w:sz w:val="32"/>
          <w:szCs w:val="32"/>
          <w:highlight w:val="none"/>
          <w:lang w:val="en-US" w:eastAsia="zh-CN" w:bidi="ar-SA"/>
        </w:rPr>
        <w:t>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元。国内公务接</w:t>
      </w:r>
      <w:r>
        <w:rPr>
          <w:rFonts w:hint="eastAsia" w:ascii="仿宋_GB2312" w:hAnsi="仿宋_GB2312" w:eastAsia="仿宋_GB2312" w:cs="仿宋_GB2312"/>
          <w:color w:val="auto"/>
          <w:kern w:val="2"/>
          <w:sz w:val="32"/>
          <w:szCs w:val="32"/>
          <w:highlight w:val="none"/>
          <w:lang w:val="en-US" w:eastAsia="zh-CN" w:bidi="ar-SA"/>
        </w:rPr>
        <w:t>待</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批次，</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人次（不包括陪同人员），共计支出</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外事接待支</w:t>
      </w:r>
      <w:r>
        <w:rPr>
          <w:rFonts w:hint="eastAsia" w:ascii="仿宋_GB2312" w:hAnsi="仿宋_GB2312" w:eastAsia="仿宋_GB2312" w:cs="仿宋_GB2312"/>
          <w:color w:val="auto"/>
          <w:kern w:val="2"/>
          <w:sz w:val="32"/>
          <w:szCs w:val="32"/>
          <w:highlight w:val="none"/>
          <w:lang w:val="en-US" w:eastAsia="zh-CN" w:bidi="ar-SA"/>
        </w:rPr>
        <w:t>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万。外事接待</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批次，</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人次（不包括陪同人员），共计支出0万</w:t>
      </w:r>
      <w:r>
        <w:rPr>
          <w:rFonts w:hint="eastAsia" w:ascii="Times New Roman" w:hAnsi="Times New Roman" w:eastAsia="仿宋_GB2312" w:cs="仿宋_GB2312"/>
          <w:color w:val="auto"/>
          <w:kern w:val="2"/>
          <w:sz w:val="32"/>
          <w:szCs w:val="32"/>
          <w:highlight w:val="none"/>
          <w:lang w:val="en-US" w:eastAsia="zh-CN" w:bidi="ar-SA"/>
        </w:rPr>
        <w:t>元。</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1"/>
        <w:rPr>
          <w:rStyle w:val="31"/>
          <w:rFonts w:ascii="Times New Roman" w:hAnsi="Times New Roman" w:eastAsia="黑体"/>
          <w:color w:val="auto"/>
          <w:highlight w:val="none"/>
        </w:rPr>
      </w:pPr>
      <w:bookmarkStart w:id="78" w:name="_Toc13146"/>
      <w:bookmarkStart w:id="79" w:name="_Toc1944864042"/>
      <w:r>
        <w:rPr>
          <w:rFonts w:hint="eastAsia" w:ascii="Times New Roman" w:hAnsi="Times New Roman" w:eastAsia="黑体"/>
          <w:color w:val="auto"/>
          <w:sz w:val="32"/>
          <w:szCs w:val="32"/>
          <w:highlight w:val="none"/>
        </w:rPr>
        <w:t>八、</w:t>
      </w:r>
      <w:r>
        <w:rPr>
          <w:rStyle w:val="31"/>
          <w:rFonts w:hint="eastAsia" w:ascii="Times New Roman" w:hAnsi="Times New Roman" w:eastAsia="黑体"/>
          <w:b w:val="0"/>
          <w:color w:val="auto"/>
          <w:highlight w:val="none"/>
        </w:rPr>
        <w:t>政府性基金预算支出决算情况说明</w:t>
      </w:r>
      <w:bookmarkEnd w:id="76"/>
      <w:bookmarkEnd w:id="77"/>
      <w:bookmarkEnd w:id="78"/>
      <w:bookmarkEnd w:id="79"/>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2024年度政府性基金预算财政拨款支出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w:t>
      </w:r>
    </w:p>
    <w:p>
      <w:pPr>
        <w:pageBreakBefore w:val="0"/>
        <w:numPr>
          <w:ilvl w:val="0"/>
          <w:numId w:val="0"/>
        </w:numPr>
        <w:kinsoku/>
        <w:wordWrap/>
        <w:overflowPunct/>
        <w:topLinePunct w:val="0"/>
        <w:bidi w:val="0"/>
        <w:spacing w:line="576" w:lineRule="exact"/>
        <w:ind w:left="630" w:leftChars="0"/>
        <w:outlineLvl w:val="1"/>
        <w:rPr>
          <w:rStyle w:val="31"/>
          <w:rFonts w:ascii="Times New Roman" w:hAnsi="Times New Roman" w:eastAsia="黑体"/>
          <w:b w:val="0"/>
          <w:color w:val="auto"/>
          <w:highlight w:val="none"/>
        </w:rPr>
      </w:pPr>
      <w:bookmarkStart w:id="80" w:name="_Toc2338"/>
      <w:bookmarkStart w:id="81" w:name="_Toc15396611"/>
      <w:bookmarkStart w:id="82" w:name="_Toc15377219"/>
      <w:bookmarkStart w:id="83" w:name="_Toc511614531"/>
      <w:r>
        <w:rPr>
          <w:rStyle w:val="31"/>
          <w:rFonts w:hint="eastAsia" w:ascii="Times New Roman" w:hAnsi="Times New Roman" w:eastAsia="黑体"/>
          <w:b w:val="0"/>
          <w:color w:val="auto"/>
          <w:highlight w:val="none"/>
          <w:lang w:eastAsia="zh-CN"/>
        </w:rPr>
        <w:t>九、</w:t>
      </w:r>
      <w:r>
        <w:rPr>
          <w:rStyle w:val="31"/>
          <w:rFonts w:hint="eastAsia" w:ascii="Times New Roman" w:hAnsi="Times New Roman" w:eastAsia="黑体"/>
          <w:b w:val="0"/>
          <w:color w:val="auto"/>
          <w:highlight w:val="none"/>
        </w:rPr>
        <w:t>国有资本经营预算支出决算情况说明</w:t>
      </w:r>
      <w:bookmarkEnd w:id="80"/>
      <w:bookmarkEnd w:id="81"/>
      <w:bookmarkEnd w:id="82"/>
      <w:bookmarkEnd w:id="83"/>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w:t>
      </w:r>
      <w:r>
        <w:rPr>
          <w:rFonts w:hint="eastAsia" w:ascii="Times New Roman" w:hAnsi="Times New Roman" w:eastAsia="仿宋_GB2312" w:cs="仿宋_GB2312"/>
          <w:color w:val="auto"/>
          <w:kern w:val="2"/>
          <w:sz w:val="32"/>
          <w:szCs w:val="32"/>
          <w:highlight w:val="none"/>
          <w:lang w:val="en-US" w:eastAsia="zh-CN" w:bidi="ar-SA"/>
        </w:rPr>
        <w:t>度国有资本经营预算财政拨款支出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w:t>
      </w:r>
    </w:p>
    <w:p>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outlineLvl w:val="1"/>
        <w:rPr>
          <w:rStyle w:val="31"/>
          <w:rFonts w:hint="eastAsia" w:ascii="Times New Roman" w:hAnsi="Times New Roman" w:eastAsia="黑体"/>
          <w:b w:val="0"/>
          <w:color w:val="auto"/>
          <w:highlight w:val="none"/>
        </w:rPr>
      </w:pPr>
      <w:bookmarkStart w:id="84" w:name="_Toc837413139"/>
      <w:bookmarkStart w:id="85" w:name="_Toc15396612"/>
      <w:bookmarkStart w:id="86" w:name="_Toc15377221"/>
      <w:bookmarkStart w:id="87" w:name="_Toc6927"/>
      <w:r>
        <w:rPr>
          <w:rStyle w:val="31"/>
          <w:rFonts w:hint="eastAsia" w:ascii="Times New Roman" w:hAnsi="Times New Roman" w:eastAsia="黑体"/>
          <w:b w:val="0"/>
          <w:color w:val="auto"/>
          <w:highlight w:val="none"/>
          <w:lang w:eastAsia="zh-CN"/>
        </w:rPr>
        <w:t>十、</w:t>
      </w:r>
      <w:r>
        <w:rPr>
          <w:rStyle w:val="31"/>
          <w:rFonts w:hint="eastAsia" w:ascii="Times New Roman" w:hAnsi="Times New Roman" w:eastAsia="黑体"/>
          <w:b w:val="0"/>
          <w:color w:val="auto"/>
          <w:highlight w:val="none"/>
        </w:rPr>
        <w:t>其他重要事项的情况说明</w:t>
      </w:r>
      <w:bookmarkEnd w:id="84"/>
      <w:bookmarkEnd w:id="85"/>
      <w:bookmarkEnd w:id="86"/>
      <w:bookmarkEnd w:id="87"/>
    </w:p>
    <w:p>
      <w:pPr>
        <w:keepNext w:val="0"/>
        <w:keepLines w:val="0"/>
        <w:pageBreakBefore w:val="0"/>
        <w:kinsoku/>
        <w:wordWrap/>
        <w:overflowPunct/>
        <w:topLinePunct w:val="0"/>
        <w:autoSpaceDE/>
        <w:autoSpaceDN/>
        <w:bidi w:val="0"/>
        <w:adjustRightInd/>
        <w:snapToGrid/>
        <w:spacing w:line="576" w:lineRule="exact"/>
        <w:ind w:firstLine="642" w:firstLineChars="200"/>
        <w:textAlignment w:val="auto"/>
        <w:outlineLvl w:val="2"/>
        <w:rPr>
          <w:rFonts w:hint="eastAsia" w:ascii="Times New Roman" w:hAnsi="Times New Roman" w:eastAsia="楷体_GB2312" w:cs="楷体_GB2312"/>
          <w:b/>
          <w:color w:val="auto"/>
          <w:sz w:val="32"/>
          <w:szCs w:val="32"/>
          <w:highlight w:val="none"/>
        </w:rPr>
      </w:pPr>
      <w:bookmarkStart w:id="88" w:name="_Toc15377222"/>
      <w:bookmarkStart w:id="89" w:name="_Toc460613910"/>
      <w:bookmarkStart w:id="90" w:name="_Toc4524"/>
      <w:r>
        <w:rPr>
          <w:rFonts w:hint="eastAsia" w:ascii="Times New Roman" w:hAnsi="Times New Roman" w:eastAsia="楷体_GB2312" w:cs="楷体_GB2312"/>
          <w:b/>
          <w:color w:val="auto"/>
          <w:sz w:val="32"/>
          <w:szCs w:val="32"/>
          <w:highlight w:val="none"/>
        </w:rPr>
        <w:t>（一）机关运行经费支出情况</w:t>
      </w:r>
      <w:bookmarkEnd w:id="88"/>
      <w:bookmarkEnd w:id="89"/>
      <w:bookmarkEnd w:id="90"/>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w:t>
      </w:r>
      <w:r>
        <w:rPr>
          <w:rFonts w:hint="eastAsia" w:ascii="仿宋_GB2312" w:hAnsi="仿宋_GB2312" w:eastAsia="仿宋_GB2312" w:cs="仿宋_GB2312"/>
          <w:sz w:val="32"/>
          <w:szCs w:val="32"/>
        </w:rPr>
        <w:t>茂县叠溪镇人民政府</w:t>
      </w:r>
      <w:r>
        <w:rPr>
          <w:rFonts w:hint="eastAsia" w:ascii="仿宋_GB2312" w:hAnsi="仿宋_GB2312" w:eastAsia="仿宋_GB2312" w:cs="仿宋_GB2312"/>
          <w:color w:val="auto"/>
          <w:kern w:val="2"/>
          <w:sz w:val="32"/>
          <w:szCs w:val="32"/>
          <w:highlight w:val="none"/>
          <w:lang w:val="en-US" w:eastAsia="zh-CN" w:bidi="ar-SA"/>
        </w:rPr>
        <w:t>机关运行经费支出</w:t>
      </w:r>
      <w:r>
        <w:rPr>
          <w:rFonts w:hint="eastAsia" w:ascii="仿宋_GB2312" w:hAnsi="仿宋_GB2312" w:eastAsia="仿宋_GB2312" w:cs="仿宋_GB2312"/>
          <w:sz w:val="32"/>
          <w:szCs w:val="32"/>
        </w:rPr>
        <w:t>31.39</w:t>
      </w:r>
      <w:r>
        <w:rPr>
          <w:rFonts w:hint="eastAsia" w:ascii="仿宋_GB2312" w:hAnsi="仿宋_GB2312" w:eastAsia="仿宋_GB2312" w:cs="仿宋_GB2312"/>
          <w:color w:val="auto"/>
          <w:kern w:val="2"/>
          <w:sz w:val="32"/>
          <w:szCs w:val="32"/>
          <w:highlight w:val="none"/>
          <w:lang w:val="en-US" w:eastAsia="zh-CN" w:bidi="ar-SA"/>
        </w:rPr>
        <w:t>万元，较2023年度增加9.60万元，增长30.58%。主要原因是：2024年人员增加，</w:t>
      </w:r>
      <w:r>
        <w:rPr>
          <w:rFonts w:hint="eastAsia" w:ascii="仿宋_GB2312" w:hAnsi="仿宋_GB2312" w:eastAsia="仿宋_GB2312" w:cs="仿宋_GB2312"/>
          <w:color w:val="auto"/>
          <w:sz w:val="32"/>
          <w:szCs w:val="32"/>
          <w:highlight w:val="none"/>
          <w:lang w:val="en-US" w:eastAsia="zh-CN"/>
        </w:rPr>
        <w:t>相应人员的公用经费增加。</w:t>
      </w:r>
    </w:p>
    <w:p>
      <w:pPr>
        <w:keepNext w:val="0"/>
        <w:keepLines w:val="0"/>
        <w:pageBreakBefore w:val="0"/>
        <w:kinsoku/>
        <w:wordWrap/>
        <w:overflowPunct/>
        <w:topLinePunct w:val="0"/>
        <w:autoSpaceDE/>
        <w:autoSpaceDN/>
        <w:bidi w:val="0"/>
        <w:adjustRightInd/>
        <w:snapToGrid/>
        <w:spacing w:line="576" w:lineRule="exact"/>
        <w:ind w:firstLine="642" w:firstLineChars="200"/>
        <w:textAlignment w:val="auto"/>
        <w:outlineLvl w:val="2"/>
        <w:rPr>
          <w:rFonts w:hint="eastAsia" w:ascii="Times New Roman" w:hAnsi="Times New Roman" w:eastAsia="楷体_GB2312" w:cs="楷体_GB2312"/>
          <w:b/>
          <w:color w:val="auto"/>
          <w:sz w:val="32"/>
          <w:szCs w:val="32"/>
          <w:highlight w:val="none"/>
        </w:rPr>
      </w:pPr>
      <w:bookmarkStart w:id="91" w:name="_Toc15377223"/>
      <w:bookmarkStart w:id="92" w:name="_Toc13847"/>
      <w:bookmarkStart w:id="93" w:name="_Toc1849898355"/>
      <w:r>
        <w:rPr>
          <w:rFonts w:hint="eastAsia" w:ascii="Times New Roman" w:hAnsi="Times New Roman" w:eastAsia="楷体_GB2312" w:cs="楷体_GB2312"/>
          <w:b/>
          <w:color w:val="auto"/>
          <w:sz w:val="32"/>
          <w:szCs w:val="32"/>
          <w:highlight w:val="none"/>
        </w:rPr>
        <w:t>（二）政府采购支出情况</w:t>
      </w:r>
      <w:bookmarkEnd w:id="91"/>
      <w:bookmarkEnd w:id="92"/>
      <w:bookmarkEnd w:id="93"/>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w:t>
      </w:r>
      <w:r>
        <w:rPr>
          <w:rFonts w:hint="eastAsia" w:ascii="仿宋_GB2312" w:hAnsi="仿宋_GB2312" w:eastAsia="仿宋_GB2312" w:cs="仿宋_GB2312"/>
          <w:sz w:val="32"/>
          <w:szCs w:val="32"/>
        </w:rPr>
        <w:t>茂县叠溪镇人民政府</w:t>
      </w:r>
      <w:r>
        <w:rPr>
          <w:rFonts w:hint="eastAsia" w:ascii="仿宋_GB2312" w:hAnsi="仿宋_GB2312" w:eastAsia="仿宋_GB2312" w:cs="仿宋_GB2312"/>
          <w:color w:val="auto"/>
          <w:kern w:val="2"/>
          <w:sz w:val="32"/>
          <w:szCs w:val="32"/>
          <w:highlight w:val="none"/>
          <w:lang w:val="en-US" w:eastAsia="zh-CN" w:bidi="ar-SA"/>
        </w:rPr>
        <w:t>政府采购支出总额</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万元，其中：政府采购货物支出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万元、政府采购工程支出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万元、政府采购服务支出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万元。授予中小企业合同金额</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万元，占政府采购支出总额的</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%，其中：授予小微企业合同金额</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万元，占政府采购支出总额的</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w:t>
      </w:r>
    </w:p>
    <w:p>
      <w:pPr>
        <w:keepNext w:val="0"/>
        <w:keepLines w:val="0"/>
        <w:pageBreakBefore w:val="0"/>
        <w:kinsoku/>
        <w:wordWrap/>
        <w:overflowPunct/>
        <w:topLinePunct w:val="0"/>
        <w:autoSpaceDE/>
        <w:autoSpaceDN/>
        <w:bidi w:val="0"/>
        <w:adjustRightInd/>
        <w:snapToGrid/>
        <w:spacing w:line="576" w:lineRule="exact"/>
        <w:ind w:firstLine="642" w:firstLineChars="200"/>
        <w:textAlignment w:val="auto"/>
        <w:outlineLvl w:val="2"/>
        <w:rPr>
          <w:rFonts w:hint="eastAsia" w:ascii="Times New Roman" w:hAnsi="Times New Roman" w:eastAsia="楷体_GB2312" w:cs="楷体_GB2312"/>
          <w:b/>
          <w:color w:val="auto"/>
          <w:sz w:val="32"/>
          <w:szCs w:val="32"/>
          <w:highlight w:val="none"/>
        </w:rPr>
      </w:pPr>
      <w:bookmarkStart w:id="94" w:name="_Toc69462114"/>
      <w:bookmarkStart w:id="95" w:name="_Toc18367"/>
      <w:bookmarkStart w:id="96" w:name="_Toc15377224"/>
      <w:r>
        <w:rPr>
          <w:rFonts w:hint="eastAsia" w:ascii="Times New Roman" w:hAnsi="Times New Roman" w:eastAsia="楷体_GB2312" w:cs="楷体_GB2312"/>
          <w:b/>
          <w:color w:val="auto"/>
          <w:sz w:val="32"/>
          <w:szCs w:val="32"/>
          <w:highlight w:val="none"/>
        </w:rPr>
        <w:t>（三）国有资产占有使用情况</w:t>
      </w:r>
      <w:bookmarkEnd w:id="94"/>
      <w:bookmarkEnd w:id="95"/>
      <w:bookmarkEnd w:id="96"/>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截至2024年12月31日，</w:t>
      </w:r>
      <w:r>
        <w:rPr>
          <w:rFonts w:hint="eastAsia" w:ascii="仿宋_GB2312" w:hAnsi="仿宋_GB2312" w:eastAsia="仿宋_GB2312" w:cs="仿宋_GB2312"/>
          <w:sz w:val="32"/>
          <w:szCs w:val="32"/>
        </w:rPr>
        <w:t>茂县叠溪镇人民政府（</w:t>
      </w:r>
      <w:r>
        <w:rPr>
          <w:rFonts w:hint="eastAsia" w:ascii="仿宋_GB2312" w:hAnsi="仿宋_GB2312" w:eastAsia="仿宋_GB2312" w:cs="仿宋_GB2312"/>
          <w:sz w:val="32"/>
          <w:szCs w:val="32"/>
          <w:lang w:eastAsia="zh-CN"/>
        </w:rPr>
        <w:t>行政</w:t>
      </w:r>
      <w:r>
        <w:rPr>
          <w:rFonts w:hint="eastAsia" w:ascii="仿宋_GB2312" w:hAnsi="仿宋_GB2312" w:eastAsia="仿宋_GB2312" w:cs="仿宋_GB2312"/>
          <w:sz w:val="32"/>
          <w:szCs w:val="32"/>
        </w:rPr>
        <w:t>）</w:t>
      </w:r>
      <w:r>
        <w:rPr>
          <w:rFonts w:hint="eastAsia" w:ascii="仿宋_GB2312" w:hAnsi="仿宋_GB2312" w:eastAsia="仿宋_GB2312" w:cs="仿宋_GB2312"/>
          <w:color w:val="auto"/>
          <w:kern w:val="2"/>
          <w:sz w:val="32"/>
          <w:szCs w:val="32"/>
          <w:highlight w:val="none"/>
          <w:lang w:val="en-US" w:eastAsia="zh-CN" w:bidi="ar-SA"/>
        </w:rPr>
        <w:t>共有车辆</w:t>
      </w:r>
      <w:r>
        <w:rPr>
          <w:rFonts w:hint="eastAsia" w:ascii="仿宋_GB2312" w:hAnsi="仿宋_GB2312" w:eastAsia="仿宋_GB2312" w:cs="仿宋_GB2312"/>
          <w:sz w:val="32"/>
          <w:szCs w:val="32"/>
        </w:rPr>
        <w:t>3</w:t>
      </w:r>
      <w:r>
        <w:rPr>
          <w:rFonts w:hint="eastAsia" w:ascii="仿宋_GB2312" w:hAnsi="仿宋_GB2312" w:eastAsia="仿宋_GB2312" w:cs="仿宋_GB2312"/>
          <w:color w:val="auto"/>
          <w:kern w:val="2"/>
          <w:sz w:val="32"/>
          <w:szCs w:val="32"/>
          <w:highlight w:val="none"/>
          <w:lang w:val="en-US" w:eastAsia="zh-CN" w:bidi="ar-SA"/>
        </w:rPr>
        <w:t>辆，其中：主要负责人用车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辆、机要通信用车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辆、应急保障用车</w:t>
      </w:r>
      <w:r>
        <w:rPr>
          <w:rFonts w:hint="eastAsia" w:ascii="仿宋_GB2312" w:hAnsi="仿宋_GB2312" w:eastAsia="仿宋_GB2312" w:cs="仿宋_GB2312"/>
          <w:sz w:val="32"/>
          <w:szCs w:val="32"/>
        </w:rPr>
        <w:t>3</w:t>
      </w:r>
      <w:r>
        <w:rPr>
          <w:rFonts w:hint="eastAsia" w:ascii="仿宋_GB2312" w:hAnsi="仿宋_GB2312" w:eastAsia="仿宋_GB2312" w:cs="仿宋_GB2312"/>
          <w:color w:val="auto"/>
          <w:kern w:val="2"/>
          <w:sz w:val="32"/>
          <w:szCs w:val="32"/>
          <w:highlight w:val="none"/>
          <w:lang w:val="en-US" w:eastAsia="zh-CN" w:bidi="ar-SA"/>
        </w:rPr>
        <w:t>辆、其他用车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辆。单价100万元（含）以上设备（不含车辆）</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台（套）</w:t>
      </w:r>
      <w:r>
        <w:rPr>
          <w:rFonts w:hint="eastAsia" w:ascii="Times New Roman" w:hAnsi="Times New Roman" w:eastAsia="仿宋_GB2312" w:cs="仿宋_GB2312"/>
          <w:color w:val="auto"/>
          <w:kern w:val="2"/>
          <w:sz w:val="32"/>
          <w:szCs w:val="32"/>
          <w:highlight w:val="none"/>
          <w:lang w:val="en-US" w:eastAsia="zh-CN" w:bidi="ar-SA"/>
        </w:rPr>
        <w:t>。</w:t>
      </w:r>
    </w:p>
    <w:p>
      <w:pPr>
        <w:keepNext w:val="0"/>
        <w:keepLines w:val="0"/>
        <w:pageBreakBefore w:val="0"/>
        <w:kinsoku/>
        <w:wordWrap/>
        <w:overflowPunct/>
        <w:topLinePunct w:val="0"/>
        <w:autoSpaceDE/>
        <w:autoSpaceDN/>
        <w:bidi w:val="0"/>
        <w:adjustRightInd/>
        <w:snapToGrid/>
        <w:spacing w:line="576" w:lineRule="exact"/>
        <w:ind w:firstLine="642" w:firstLineChars="200"/>
        <w:textAlignment w:val="auto"/>
        <w:outlineLvl w:val="2"/>
        <w:rPr>
          <w:rFonts w:hint="eastAsia" w:ascii="Times New Roman" w:hAnsi="Times New Roman" w:eastAsia="楷体_GB2312" w:cs="楷体_GB2312"/>
          <w:b/>
          <w:color w:val="auto"/>
          <w:sz w:val="32"/>
          <w:szCs w:val="32"/>
          <w:highlight w:val="none"/>
        </w:rPr>
      </w:pPr>
      <w:bookmarkStart w:id="97" w:name="_Toc3836"/>
      <w:bookmarkStart w:id="98" w:name="_Toc1145198031"/>
      <w:r>
        <w:rPr>
          <w:rFonts w:hint="eastAsia" w:ascii="Times New Roman" w:hAnsi="Times New Roman" w:eastAsia="楷体_GB2312" w:cs="楷体_GB2312"/>
          <w:b/>
          <w:color w:val="auto"/>
          <w:sz w:val="32"/>
          <w:szCs w:val="32"/>
          <w:highlight w:val="none"/>
        </w:rPr>
        <w:t>（四）预算绩效管理情况</w:t>
      </w:r>
      <w:bookmarkEnd w:id="97"/>
      <w:bookmarkEnd w:id="98"/>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根据预算绩效管理要求，本部门在</w:t>
      </w:r>
      <w:r>
        <w:rPr>
          <w:rFonts w:hint="eastAsia" w:ascii="仿宋_GB2312" w:hAnsi="仿宋_GB2312" w:eastAsia="仿宋_GB2312" w:cs="仿宋_GB2312"/>
          <w:color w:val="auto"/>
          <w:sz w:val="32"/>
          <w:szCs w:val="32"/>
          <w:highlight w:val="none"/>
          <w:lang w:val="en-US" w:eastAsia="zh-CN"/>
        </w:rPr>
        <w:t>2024年度</w:t>
      </w:r>
      <w:r>
        <w:rPr>
          <w:rFonts w:hint="eastAsia" w:ascii="仿宋_GB2312" w:hAnsi="仿宋_GB2312" w:eastAsia="仿宋_GB2312" w:cs="仿宋_GB2312"/>
          <w:color w:val="auto"/>
          <w:sz w:val="32"/>
          <w:szCs w:val="32"/>
          <w:highlight w:val="none"/>
        </w:rPr>
        <w:t>预算编制阶段，组织对</w:t>
      </w:r>
      <w:r>
        <w:rPr>
          <w:rFonts w:hint="eastAsia" w:ascii="仿宋_GB2312" w:hAnsi="Times New Roman" w:eastAsia="仿宋_GB2312"/>
          <w:sz w:val="32"/>
          <w:szCs w:val="32"/>
          <w:lang w:val="en-US" w:eastAsia="zh-CN"/>
        </w:rPr>
        <w:t>叠溪镇村</w:t>
      </w:r>
      <w:r>
        <w:rPr>
          <w:rFonts w:hint="eastAsia" w:ascii="仿宋_GB2312" w:eastAsia="仿宋_GB2312"/>
          <w:sz w:val="32"/>
          <w:szCs w:val="32"/>
          <w:lang w:val="en-US" w:eastAsia="zh-CN"/>
        </w:rPr>
        <w:t>级</w:t>
      </w:r>
      <w:r>
        <w:rPr>
          <w:rFonts w:hint="eastAsia" w:ascii="仿宋_GB2312" w:hAnsi="Times New Roman" w:eastAsia="仿宋_GB2312"/>
          <w:sz w:val="32"/>
          <w:szCs w:val="32"/>
          <w:lang w:val="en-US" w:eastAsia="zh-CN"/>
        </w:rPr>
        <w:t>办公费</w:t>
      </w:r>
      <w:r>
        <w:rPr>
          <w:rFonts w:hint="eastAsia" w:ascii="仿宋_GB2312" w:hAnsi="Times New Roman" w:eastAsia="仿宋_GB2312"/>
          <w:sz w:val="32"/>
          <w:szCs w:val="32"/>
        </w:rPr>
        <w:t>项目等</w:t>
      </w:r>
      <w:r>
        <w:rPr>
          <w:rFonts w:hint="eastAsia" w:ascii="仿宋_GB2312" w:hAnsi="Times New Roman" w:eastAsia="仿宋_GB2312"/>
          <w:sz w:val="32"/>
          <w:szCs w:val="32"/>
          <w:lang w:val="en-US" w:eastAsia="zh-CN"/>
        </w:rPr>
        <w:t>36</w:t>
      </w:r>
      <w:r>
        <w:rPr>
          <w:rFonts w:hint="eastAsia" w:ascii="仿宋_GB2312" w:hAnsi="Times New Roman" w:eastAsia="仿宋_GB2312"/>
          <w:sz w:val="32"/>
          <w:szCs w:val="32"/>
        </w:rPr>
        <w:t>个项目</w:t>
      </w:r>
      <w:r>
        <w:rPr>
          <w:rFonts w:hint="eastAsia" w:ascii="仿宋_GB2312" w:hAnsi="仿宋_GB2312" w:eastAsia="仿宋_GB2312" w:cs="仿宋_GB2312"/>
          <w:color w:val="auto"/>
          <w:sz w:val="32"/>
          <w:szCs w:val="32"/>
          <w:highlight w:val="none"/>
        </w:rPr>
        <w:t>开展了预算事前绩效评估，对</w:t>
      </w:r>
      <w:r>
        <w:rPr>
          <w:rFonts w:hint="eastAsia" w:ascii="仿宋_GB2312" w:hAnsi="仿宋_GB2312" w:eastAsia="仿宋_GB2312" w:cs="仿宋_GB2312"/>
          <w:color w:val="auto"/>
          <w:sz w:val="32"/>
          <w:szCs w:val="32"/>
          <w:highlight w:val="none"/>
          <w:lang w:val="en-US" w:eastAsia="zh-CN"/>
        </w:rPr>
        <w:t>36</w:t>
      </w:r>
      <w:r>
        <w:rPr>
          <w:rFonts w:hint="eastAsia" w:ascii="仿宋_GB2312" w:hAnsi="仿宋_GB2312" w:eastAsia="仿宋_GB2312" w:cs="仿宋_GB2312"/>
          <w:color w:val="auto"/>
          <w:sz w:val="32"/>
          <w:szCs w:val="32"/>
          <w:highlight w:val="none"/>
        </w:rPr>
        <w:t>个项目编制了绩效目标，预算执行过程中，选取</w:t>
      </w:r>
      <w:r>
        <w:rPr>
          <w:rFonts w:hint="eastAsia" w:ascii="仿宋_GB2312" w:hAnsi="仿宋_GB2312" w:eastAsia="仿宋_GB2312" w:cs="仿宋_GB2312"/>
          <w:color w:val="auto"/>
          <w:sz w:val="32"/>
          <w:szCs w:val="32"/>
          <w:highlight w:val="none"/>
          <w:lang w:val="en-US" w:eastAsia="zh-CN"/>
        </w:rPr>
        <w:t>31</w:t>
      </w:r>
      <w:r>
        <w:rPr>
          <w:rFonts w:hint="eastAsia" w:ascii="仿宋_GB2312" w:hAnsi="仿宋_GB2312" w:eastAsia="仿宋_GB2312" w:cs="仿宋_GB2312"/>
          <w:color w:val="auto"/>
          <w:sz w:val="32"/>
          <w:szCs w:val="32"/>
          <w:highlight w:val="none"/>
        </w:rPr>
        <w:t>个项目开展绩效监控</w:t>
      </w:r>
      <w:r>
        <w:rPr>
          <w:rFonts w:hint="eastAsia" w:ascii="仿宋_GB2312" w:hAnsi="仿宋_GB2312" w:eastAsia="仿宋_GB2312" w:cs="仿宋_GB2312"/>
          <w:color w:val="auto"/>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eastAsia="zh-CN"/>
        </w:rPr>
        <w:t>组织</w:t>
      </w:r>
      <w:r>
        <w:rPr>
          <w:rFonts w:hint="eastAsia" w:ascii="仿宋_GB2312" w:hAnsi="仿宋_GB2312" w:eastAsia="仿宋_GB2312" w:cs="仿宋_GB2312"/>
          <w:color w:val="auto"/>
          <w:sz w:val="32"/>
          <w:szCs w:val="32"/>
          <w:highlight w:val="none"/>
        </w:rPr>
        <w:t>对</w:t>
      </w:r>
      <w:r>
        <w:rPr>
          <w:rFonts w:hint="eastAsia" w:ascii="仿宋_GB2312" w:hAnsi="仿宋_GB2312" w:eastAsia="仿宋_GB2312" w:cs="仿宋_GB2312"/>
          <w:color w:val="auto"/>
          <w:sz w:val="32"/>
          <w:szCs w:val="32"/>
          <w:highlight w:val="none"/>
          <w:lang w:val="en-US" w:eastAsia="zh-CN"/>
        </w:rPr>
        <w:t>2024年度一般公共预算、</w:t>
      </w:r>
      <w:r>
        <w:rPr>
          <w:rFonts w:hint="eastAsia" w:ascii="仿宋_GB2312" w:hAnsi="仿宋_GB2312" w:eastAsia="仿宋_GB2312" w:cs="仿宋_GB2312"/>
          <w:color w:val="auto"/>
          <w:sz w:val="32"/>
          <w:szCs w:val="32"/>
          <w:highlight w:val="none"/>
          <w:lang w:eastAsia="zh-CN"/>
        </w:rPr>
        <w:t>政府性基金预算</w:t>
      </w:r>
      <w:r>
        <w:rPr>
          <w:rFonts w:hint="eastAsia" w:ascii="仿宋_GB2312" w:hAnsi="仿宋_GB2312" w:eastAsia="仿宋_GB2312" w:cs="仿宋_GB2312"/>
          <w:color w:val="auto"/>
          <w:sz w:val="32"/>
          <w:szCs w:val="32"/>
          <w:highlight w:val="none"/>
          <w:lang w:val="en-US" w:eastAsia="zh-CN"/>
        </w:rPr>
        <w:t>全面开展绩效自评，形成茂县叠溪镇人民政府</w:t>
      </w:r>
      <w:r>
        <w:rPr>
          <w:rFonts w:hint="eastAsia" w:ascii="仿宋_GB2312" w:hAnsi="仿宋_GB2312" w:eastAsia="仿宋_GB2312" w:cs="仿宋_GB2312"/>
          <w:color w:val="auto"/>
          <w:sz w:val="32"/>
          <w:szCs w:val="32"/>
          <w:highlight w:val="none"/>
          <w:lang w:eastAsia="zh-CN"/>
        </w:rPr>
        <w:t>部门整体</w:t>
      </w:r>
      <w:r>
        <w:rPr>
          <w:rFonts w:hint="eastAsia" w:ascii="仿宋_GB2312" w:hAnsi="仿宋_GB2312" w:eastAsia="仿宋_GB2312" w:cs="仿宋_GB2312"/>
          <w:color w:val="auto"/>
          <w:sz w:val="32"/>
          <w:szCs w:val="32"/>
          <w:highlight w:val="none"/>
          <w:lang w:val="en-US" w:eastAsia="zh-CN"/>
        </w:rPr>
        <w:t>绩效自评报告</w:t>
      </w:r>
      <w:r>
        <w:rPr>
          <w:rFonts w:hint="eastAsia" w:ascii="仿宋_GB2312" w:hAnsi="仿宋_GB2312" w:eastAsia="仿宋_GB2312" w:cs="仿宋_GB2312"/>
          <w:color w:val="auto"/>
          <w:sz w:val="32"/>
          <w:szCs w:val="32"/>
          <w:highlight w:val="none"/>
          <w:lang w:eastAsia="zh-CN"/>
        </w:rPr>
        <w:t>、</w:t>
      </w:r>
      <w:r>
        <w:rPr>
          <w:rFonts w:hint="eastAsia" w:ascii="仿宋_GB2312" w:hAnsi="Times New Roman" w:eastAsia="仿宋_GB2312"/>
          <w:sz w:val="32"/>
          <w:szCs w:val="32"/>
          <w:lang w:val="en-US" w:eastAsia="zh-CN"/>
        </w:rPr>
        <w:t>叠溪镇村级办公费</w:t>
      </w:r>
      <w:r>
        <w:rPr>
          <w:rFonts w:hint="eastAsia" w:ascii="仿宋_GB2312" w:hAnsi="仿宋_GB2312" w:eastAsia="仿宋_GB2312" w:cs="仿宋_GB2312"/>
          <w:color w:val="auto"/>
          <w:sz w:val="32"/>
          <w:szCs w:val="32"/>
          <w:highlight w:val="none"/>
          <w:lang w:val="en-US" w:eastAsia="zh-CN"/>
        </w:rPr>
        <w:t>等</w:t>
      </w:r>
      <w:r>
        <w:rPr>
          <w:rFonts w:hint="eastAsia" w:ascii="仿宋_GB2312" w:hAnsi="仿宋_GB2312" w:eastAsia="仿宋_GB2312" w:cs="仿宋_GB2312"/>
          <w:color w:val="auto"/>
          <w:sz w:val="32"/>
          <w:szCs w:val="32"/>
          <w:highlight w:val="none"/>
          <w:lang w:eastAsia="zh-CN"/>
        </w:rPr>
        <w:t>专项预算项目</w:t>
      </w:r>
      <w:r>
        <w:rPr>
          <w:rFonts w:hint="eastAsia" w:ascii="仿宋_GB2312" w:hAnsi="仿宋_GB2312" w:eastAsia="仿宋_GB2312" w:cs="仿宋_GB2312"/>
          <w:color w:val="auto"/>
          <w:sz w:val="32"/>
          <w:szCs w:val="32"/>
          <w:highlight w:val="none"/>
          <w:lang w:val="en-US" w:eastAsia="zh-CN"/>
        </w:rPr>
        <w:t>绩效自评报告，其中，茂县叠溪镇人民政府部门整体绩效自评得分为</w:t>
      </w:r>
      <w:r>
        <w:rPr>
          <w:rFonts w:hint="eastAsia" w:ascii="仿宋_GB2312" w:eastAsia="仿宋_GB2312" w:cs="仿宋"/>
          <w:color w:val="000000"/>
          <w:sz w:val="32"/>
          <w:szCs w:val="32"/>
          <w:lang w:val="en-US" w:eastAsia="zh-CN"/>
        </w:rPr>
        <w:t>90</w:t>
      </w:r>
      <w:r>
        <w:rPr>
          <w:rFonts w:hint="eastAsia" w:ascii="仿宋_GB2312" w:hAnsi="仿宋_GB2312" w:eastAsia="仿宋_GB2312" w:cs="仿宋_GB2312"/>
          <w:color w:val="auto"/>
          <w:sz w:val="32"/>
          <w:szCs w:val="32"/>
          <w:highlight w:val="none"/>
          <w:lang w:val="en-US" w:eastAsia="zh-CN"/>
        </w:rPr>
        <w:t>分以上，绩效自评综述：2024年我镇部门整体支出绩效自查自评结果良好，全年基本支出保证了部门的正常运转，项目支出保障了重点工作的开展；</w:t>
      </w:r>
      <w:r>
        <w:rPr>
          <w:rFonts w:hint="eastAsia" w:ascii="仿宋_GB2312" w:hAnsi="Times New Roman" w:eastAsia="仿宋_GB2312"/>
          <w:sz w:val="32"/>
          <w:szCs w:val="32"/>
          <w:lang w:val="en-US" w:eastAsia="zh-CN"/>
        </w:rPr>
        <w:t>叠溪镇村级办公费</w:t>
      </w:r>
      <w:r>
        <w:rPr>
          <w:rFonts w:hint="eastAsia" w:ascii="仿宋_GB2312" w:hAnsi="仿宋_GB2312" w:eastAsia="仿宋_GB2312" w:cs="仿宋_GB2312"/>
          <w:color w:val="auto"/>
          <w:sz w:val="32"/>
          <w:szCs w:val="32"/>
          <w:highlight w:val="none"/>
          <w:lang w:eastAsia="zh-CN"/>
        </w:rPr>
        <w:t>专项预</w:t>
      </w:r>
      <w:r>
        <w:rPr>
          <w:rFonts w:hint="eastAsia" w:ascii="仿宋_GB2312" w:hAnsi="仿宋_GB2312" w:eastAsia="仿宋_GB2312" w:cs="仿宋_GB2312"/>
          <w:color w:val="auto"/>
          <w:sz w:val="32"/>
          <w:szCs w:val="32"/>
          <w:highlight w:val="none"/>
          <w:lang w:val="en-US" w:eastAsia="zh-CN"/>
        </w:rPr>
        <w:t>算项目绩效自评得分为99分，</w:t>
      </w:r>
      <w:r>
        <w:rPr>
          <w:rFonts w:hint="eastAsia" w:ascii="仿宋_GB2312" w:hAnsi="Times New Roman" w:eastAsia="仿宋_GB2312" w:cs="Times New Roman"/>
          <w:sz w:val="32"/>
          <w:szCs w:val="32"/>
          <w:lang w:val="en-US" w:eastAsia="zh-CN"/>
        </w:rPr>
        <w:t>绩效自评综述：通过完善基础设施建设，进一步改善了村级的基础设施和公共服务，扩大了农村基层民主，完善了村民自治，密切了党和政府同农民群众的关系，满足了农民群众的需求，也为我镇的村级项目建设起到了示范和引领作用。</w:t>
      </w:r>
      <w:r>
        <w:rPr>
          <w:rFonts w:hint="eastAsia" w:ascii="仿宋_GB2312" w:hAnsi="仿宋_GB2312" w:eastAsia="仿宋_GB2312" w:cs="仿宋_GB2312"/>
          <w:color w:val="auto"/>
          <w:sz w:val="32"/>
          <w:szCs w:val="32"/>
          <w:highlight w:val="none"/>
          <w:lang w:val="en-US" w:eastAsia="zh-CN"/>
        </w:rPr>
        <w:t>绩效自评报告详见附件。</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仿宋_GB2312"/>
          <w:color w:val="auto"/>
          <w:kern w:val="2"/>
          <w:sz w:val="32"/>
          <w:szCs w:val="32"/>
          <w:highlight w:val="none"/>
          <w:lang w:val="en-US" w:eastAsia="zh-CN" w:bidi="ar-SA"/>
        </w:rPr>
      </w:pP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仿宋_GB2312"/>
          <w:color w:val="auto"/>
          <w:kern w:val="2"/>
          <w:sz w:val="32"/>
          <w:szCs w:val="32"/>
          <w:highlight w:val="none"/>
          <w:lang w:val="en-US" w:eastAsia="zh-CN" w:bidi="ar-SA"/>
        </w:rPr>
      </w:pP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仿宋_GB2312"/>
          <w:color w:val="auto"/>
          <w:kern w:val="2"/>
          <w:sz w:val="32"/>
          <w:szCs w:val="32"/>
          <w:highlight w:val="none"/>
          <w:lang w:val="en-US" w:eastAsia="zh-CN" w:bidi="ar-SA"/>
        </w:rPr>
      </w:pP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仿宋_GB2312"/>
          <w:color w:val="auto"/>
          <w:kern w:val="2"/>
          <w:sz w:val="32"/>
          <w:szCs w:val="32"/>
          <w:highlight w:val="none"/>
          <w:lang w:val="en-US" w:eastAsia="zh-CN" w:bidi="ar-SA"/>
        </w:rPr>
      </w:pP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仿宋_GB2312"/>
          <w:color w:val="auto"/>
          <w:kern w:val="2"/>
          <w:sz w:val="32"/>
          <w:szCs w:val="32"/>
          <w:highlight w:val="none"/>
          <w:lang w:val="en-US" w:eastAsia="zh-CN" w:bidi="ar-SA"/>
        </w:rPr>
      </w:pPr>
    </w:p>
    <w:p>
      <w:pPr>
        <w:pStyle w:val="2"/>
        <w:rPr>
          <w:rFonts w:hint="eastAsia" w:ascii="Times New Roman" w:hAnsi="Times New Roman" w:eastAsia="仿宋_GB2312" w:cs="仿宋_GB2312"/>
          <w:color w:val="auto"/>
          <w:kern w:val="2"/>
          <w:sz w:val="32"/>
          <w:szCs w:val="32"/>
          <w:highlight w:val="none"/>
          <w:lang w:val="en-US" w:eastAsia="zh-CN" w:bidi="ar-SA"/>
        </w:rPr>
      </w:pPr>
    </w:p>
    <w:p>
      <w:pPr>
        <w:rPr>
          <w:rFonts w:hint="eastAsia" w:ascii="Times New Roman" w:hAnsi="Times New Roman" w:eastAsia="仿宋_GB2312" w:cs="仿宋_GB2312"/>
          <w:color w:val="auto"/>
          <w:kern w:val="2"/>
          <w:sz w:val="32"/>
          <w:szCs w:val="32"/>
          <w:highlight w:val="none"/>
          <w:lang w:val="en-US" w:eastAsia="zh-CN" w:bidi="ar-SA"/>
        </w:rPr>
      </w:pPr>
    </w:p>
    <w:p>
      <w:pPr>
        <w:pStyle w:val="2"/>
        <w:rPr>
          <w:rFonts w:hint="eastAsia" w:ascii="Times New Roman" w:hAnsi="Times New Roman" w:eastAsia="仿宋_GB2312" w:cs="仿宋_GB2312"/>
          <w:color w:val="auto"/>
          <w:kern w:val="2"/>
          <w:sz w:val="32"/>
          <w:szCs w:val="32"/>
          <w:highlight w:val="none"/>
          <w:lang w:val="en-US" w:eastAsia="zh-CN" w:bidi="ar-SA"/>
        </w:rPr>
      </w:pPr>
    </w:p>
    <w:p>
      <w:pPr>
        <w:rPr>
          <w:rFonts w:hint="eastAsia" w:ascii="Times New Roman" w:hAnsi="Times New Roman" w:eastAsia="仿宋_GB2312" w:cs="仿宋_GB2312"/>
          <w:color w:val="auto"/>
          <w:kern w:val="2"/>
          <w:sz w:val="32"/>
          <w:szCs w:val="32"/>
          <w:highlight w:val="none"/>
          <w:lang w:val="en-US" w:eastAsia="zh-CN" w:bidi="ar-SA"/>
        </w:rPr>
      </w:pPr>
    </w:p>
    <w:p>
      <w:pPr>
        <w:pStyle w:val="2"/>
        <w:rPr>
          <w:rFonts w:hint="eastAsia" w:ascii="Times New Roman" w:hAnsi="Times New Roman" w:eastAsia="仿宋_GB2312" w:cs="仿宋_GB2312"/>
          <w:color w:val="auto"/>
          <w:kern w:val="2"/>
          <w:sz w:val="32"/>
          <w:szCs w:val="32"/>
          <w:highlight w:val="none"/>
          <w:lang w:val="en-US" w:eastAsia="zh-CN" w:bidi="ar-SA"/>
        </w:rPr>
      </w:pPr>
    </w:p>
    <w:p>
      <w:pPr>
        <w:rPr>
          <w:rFonts w:hint="eastAsia" w:ascii="Times New Roman" w:hAnsi="Times New Roman" w:eastAsia="仿宋_GB2312" w:cs="仿宋_GB2312"/>
          <w:color w:val="auto"/>
          <w:kern w:val="2"/>
          <w:sz w:val="32"/>
          <w:szCs w:val="32"/>
          <w:highlight w:val="none"/>
          <w:lang w:val="en-US" w:eastAsia="zh-CN" w:bidi="ar-SA"/>
        </w:rPr>
      </w:pPr>
    </w:p>
    <w:p>
      <w:pPr>
        <w:pStyle w:val="2"/>
        <w:rPr>
          <w:rFonts w:hint="eastAsia" w:ascii="Times New Roman" w:hAnsi="Times New Roman" w:eastAsia="仿宋_GB2312" w:cs="仿宋_GB2312"/>
          <w:color w:val="auto"/>
          <w:kern w:val="2"/>
          <w:sz w:val="32"/>
          <w:szCs w:val="32"/>
          <w:highlight w:val="none"/>
          <w:lang w:val="en-US" w:eastAsia="zh-CN" w:bidi="ar-SA"/>
        </w:rPr>
      </w:pPr>
    </w:p>
    <w:p>
      <w:pPr>
        <w:rPr>
          <w:rFonts w:hint="eastAsia" w:ascii="Times New Roman" w:hAnsi="Times New Roman" w:eastAsia="仿宋_GB2312" w:cs="仿宋_GB2312"/>
          <w:color w:val="auto"/>
          <w:kern w:val="2"/>
          <w:sz w:val="32"/>
          <w:szCs w:val="32"/>
          <w:highlight w:val="none"/>
          <w:lang w:val="en-US" w:eastAsia="zh-CN" w:bidi="ar-SA"/>
        </w:rPr>
      </w:pPr>
    </w:p>
    <w:p>
      <w:pPr>
        <w:pStyle w:val="2"/>
        <w:rPr>
          <w:rFonts w:hint="eastAsia" w:ascii="Times New Roman" w:hAnsi="Times New Roman" w:eastAsia="仿宋_GB2312" w:cs="仿宋_GB2312"/>
          <w:color w:val="auto"/>
          <w:kern w:val="2"/>
          <w:sz w:val="32"/>
          <w:szCs w:val="32"/>
          <w:highlight w:val="none"/>
          <w:lang w:val="en-US" w:eastAsia="zh-CN" w:bidi="ar-SA"/>
        </w:rPr>
      </w:pPr>
    </w:p>
    <w:p>
      <w:pPr>
        <w:rPr>
          <w:rFonts w:hint="eastAsia" w:ascii="Times New Roman" w:hAnsi="Times New Roman" w:eastAsia="仿宋_GB2312" w:cs="仿宋_GB2312"/>
          <w:color w:val="auto"/>
          <w:kern w:val="2"/>
          <w:sz w:val="32"/>
          <w:szCs w:val="32"/>
          <w:highlight w:val="none"/>
          <w:lang w:val="en-US" w:eastAsia="zh-CN" w:bidi="ar-SA"/>
        </w:rPr>
      </w:pPr>
    </w:p>
    <w:p>
      <w:pPr>
        <w:pStyle w:val="2"/>
        <w:rPr>
          <w:rFonts w:hint="eastAsia" w:ascii="Times New Roman" w:hAnsi="Times New Roman" w:eastAsia="仿宋_GB2312" w:cs="仿宋_GB2312"/>
          <w:color w:val="auto"/>
          <w:kern w:val="2"/>
          <w:sz w:val="32"/>
          <w:szCs w:val="32"/>
          <w:highlight w:val="none"/>
          <w:lang w:val="en-US" w:eastAsia="zh-CN" w:bidi="ar-SA"/>
        </w:rPr>
      </w:pPr>
    </w:p>
    <w:p>
      <w:pPr>
        <w:rPr>
          <w:rFonts w:hint="eastAsia" w:ascii="Times New Roman" w:hAnsi="Times New Roman" w:eastAsia="仿宋_GB2312" w:cs="仿宋_GB2312"/>
          <w:color w:val="auto"/>
          <w:kern w:val="2"/>
          <w:sz w:val="32"/>
          <w:szCs w:val="32"/>
          <w:highlight w:val="none"/>
          <w:lang w:val="en-US" w:eastAsia="zh-CN" w:bidi="ar-SA"/>
        </w:rPr>
      </w:pPr>
    </w:p>
    <w:p>
      <w:pPr>
        <w:pStyle w:val="2"/>
        <w:rPr>
          <w:rFonts w:hint="eastAsia" w:ascii="Times New Roman" w:hAnsi="Times New Roman" w:eastAsia="仿宋_GB2312" w:cs="仿宋_GB2312"/>
          <w:color w:val="auto"/>
          <w:kern w:val="2"/>
          <w:sz w:val="32"/>
          <w:szCs w:val="32"/>
          <w:highlight w:val="none"/>
          <w:lang w:val="en-US" w:eastAsia="zh-CN" w:bidi="ar-SA"/>
        </w:rPr>
      </w:pPr>
    </w:p>
    <w:p>
      <w:pPr>
        <w:rPr>
          <w:rFonts w:hint="eastAsia"/>
          <w:lang w:val="en-US" w:eastAsia="zh-CN"/>
        </w:rPr>
      </w:pP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仿宋_GB2312"/>
          <w:color w:val="auto"/>
          <w:kern w:val="2"/>
          <w:sz w:val="32"/>
          <w:szCs w:val="32"/>
          <w:highlight w:val="none"/>
          <w:lang w:val="en-US" w:eastAsia="zh-CN" w:bidi="ar-SA"/>
        </w:rPr>
      </w:pP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仿宋_GB2312"/>
          <w:color w:val="auto"/>
          <w:kern w:val="2"/>
          <w:sz w:val="32"/>
          <w:szCs w:val="32"/>
          <w:highlight w:val="none"/>
          <w:lang w:val="en-US" w:eastAsia="zh-CN" w:bidi="ar-SA"/>
        </w:rPr>
      </w:pPr>
    </w:p>
    <w:p>
      <w:pPr>
        <w:pStyle w:val="2"/>
        <w:rPr>
          <w:rFonts w:hint="eastAsia" w:ascii="Times New Roman" w:hAnsi="Times New Roman" w:eastAsia="仿宋_GB2312" w:cs="仿宋_GB2312"/>
          <w:color w:val="auto"/>
          <w:kern w:val="2"/>
          <w:sz w:val="32"/>
          <w:szCs w:val="32"/>
          <w:highlight w:val="none"/>
          <w:lang w:val="en-US" w:eastAsia="zh-CN" w:bidi="ar-SA"/>
        </w:rPr>
      </w:pPr>
    </w:p>
    <w:p>
      <w:pPr>
        <w:rPr>
          <w:rFonts w:hint="eastAsia"/>
          <w:lang w:val="en-US" w:eastAsia="zh-CN"/>
        </w:rPr>
      </w:pPr>
    </w:p>
    <w:p>
      <w:pPr>
        <w:keepNext w:val="0"/>
        <w:keepLines w:val="0"/>
        <w:pageBreakBefore w:val="0"/>
        <w:numPr>
          <w:ilvl w:val="0"/>
          <w:numId w:val="0"/>
        </w:numPr>
        <w:kinsoku/>
        <w:wordWrap/>
        <w:overflowPunct/>
        <w:topLinePunct w:val="0"/>
        <w:autoSpaceDE/>
        <w:autoSpaceDN/>
        <w:bidi w:val="0"/>
        <w:adjustRightInd/>
        <w:snapToGrid/>
        <w:spacing w:line="576" w:lineRule="exact"/>
        <w:ind w:firstLine="880" w:firstLineChars="200"/>
        <w:jc w:val="center"/>
        <w:textAlignment w:val="auto"/>
        <w:outlineLvl w:val="0"/>
        <w:rPr>
          <w:rFonts w:hint="eastAsia" w:ascii="Times New Roman" w:hAnsi="Times New Roman" w:eastAsia="黑体"/>
          <w:color w:val="auto"/>
          <w:sz w:val="44"/>
          <w:szCs w:val="44"/>
          <w:highlight w:val="none"/>
        </w:rPr>
      </w:pPr>
      <w:bookmarkStart w:id="99" w:name="_Toc6618"/>
      <w:bookmarkStart w:id="100" w:name="_Toc15396613"/>
      <w:bookmarkStart w:id="101" w:name="_Toc1785073215"/>
      <w:bookmarkStart w:id="102" w:name="_Toc15377225"/>
      <w:r>
        <w:rPr>
          <w:rFonts w:hint="eastAsia" w:ascii="Times New Roman" w:hAnsi="Times New Roman" w:eastAsia="黑体"/>
          <w:color w:val="auto"/>
          <w:sz w:val="44"/>
          <w:szCs w:val="44"/>
          <w:highlight w:val="none"/>
        </w:rPr>
        <w:t>第</w:t>
      </w:r>
      <w:r>
        <w:rPr>
          <w:rFonts w:hint="eastAsia" w:eastAsia="黑体"/>
          <w:color w:val="auto"/>
          <w:sz w:val="44"/>
          <w:szCs w:val="44"/>
          <w:highlight w:val="none"/>
          <w:lang w:eastAsia="zh-CN"/>
        </w:rPr>
        <w:t>三</w:t>
      </w:r>
      <w:r>
        <w:rPr>
          <w:rFonts w:hint="eastAsia" w:ascii="Times New Roman" w:hAnsi="Times New Roman" w:eastAsia="黑体"/>
          <w:color w:val="auto"/>
          <w:sz w:val="44"/>
          <w:szCs w:val="44"/>
          <w:highlight w:val="none"/>
        </w:rPr>
        <w:t>部分</w:t>
      </w:r>
      <w:r>
        <w:rPr>
          <w:rFonts w:hint="eastAsia" w:ascii="Times New Roman" w:hAnsi="Times New Roman" w:eastAsia="黑体"/>
          <w:color w:val="auto"/>
          <w:sz w:val="44"/>
          <w:szCs w:val="44"/>
          <w:highlight w:val="none"/>
          <w:lang w:val="en-US" w:eastAsia="zh-CN"/>
        </w:rPr>
        <w:t xml:space="preserve"> </w:t>
      </w:r>
      <w:r>
        <w:rPr>
          <w:rFonts w:hint="eastAsia" w:eastAsia="黑体"/>
          <w:color w:val="auto"/>
          <w:sz w:val="44"/>
          <w:szCs w:val="44"/>
          <w:highlight w:val="none"/>
          <w:lang w:val="en-US" w:eastAsia="zh-CN"/>
        </w:rPr>
        <w:t xml:space="preserve"> </w:t>
      </w:r>
      <w:r>
        <w:rPr>
          <w:rFonts w:hint="eastAsia" w:ascii="Times New Roman" w:hAnsi="Times New Roman" w:eastAsia="黑体"/>
          <w:color w:val="auto"/>
          <w:sz w:val="44"/>
          <w:szCs w:val="44"/>
          <w:highlight w:val="none"/>
        </w:rPr>
        <w:t>名词解释</w:t>
      </w:r>
      <w:bookmarkEnd w:id="99"/>
      <w:bookmarkEnd w:id="100"/>
      <w:bookmarkEnd w:id="101"/>
      <w:bookmarkEnd w:id="102"/>
    </w:p>
    <w:p>
      <w:pPr>
        <w:keepNext w:val="0"/>
        <w:keepLines w:val="0"/>
        <w:pageBreakBefore w:val="0"/>
        <w:kinsoku/>
        <w:wordWrap/>
        <w:overflowPunct/>
        <w:topLinePunct w:val="0"/>
        <w:autoSpaceDE/>
        <w:autoSpaceDN/>
        <w:bidi w:val="0"/>
        <w:adjustRightInd/>
        <w:snapToGrid/>
        <w:spacing w:line="576" w:lineRule="exact"/>
        <w:ind w:firstLine="883" w:firstLineChars="200"/>
        <w:jc w:val="left"/>
        <w:textAlignment w:val="auto"/>
        <w:rPr>
          <w:rFonts w:ascii="Times New Roman" w:hAnsi="Times New Roman"/>
          <w:b/>
          <w:color w:val="auto"/>
          <w:sz w:val="44"/>
          <w:szCs w:val="44"/>
          <w:highlight w:val="none"/>
        </w:rPr>
      </w:pPr>
    </w:p>
    <w:p>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ascii="仿宋_GB2312" w:eastAsia="仿宋_GB2312"/>
          <w:sz w:val="32"/>
          <w:szCs w:val="32"/>
        </w:rPr>
      </w:pPr>
      <w:bookmarkStart w:id="103" w:name="_Toc15377226"/>
      <w:r>
        <w:rPr>
          <w:rFonts w:hint="eastAsia" w:ascii="仿宋_GB2312" w:eastAsia="仿宋_GB2312"/>
          <w:sz w:val="32"/>
          <w:szCs w:val="32"/>
        </w:rPr>
        <w:t>1.财政拨款收入：指单位从同级财政部门取得的财政预算资金。</w:t>
      </w:r>
    </w:p>
    <w:p>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2.事业收入：指事业单位开展专业业务活动及辅助活动取得的收入。</w:t>
      </w:r>
    </w:p>
    <w:p>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3.经营收入：指事业单位在专业业务活动及其辅助活动之外开展非独立核算经营活动取得的收入。</w:t>
      </w:r>
    </w:p>
    <w:p>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4.其他收入：指单位取得的除上述收入以外的各项收入。</w:t>
      </w:r>
    </w:p>
    <w:p>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5.使用非财政拨款结余：指事业单位使用以前年度积累的非财政拨款结余弥补当年收支差额的金额。</w:t>
      </w:r>
    </w:p>
    <w:p>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6.年初结转和结余：指以前年度尚未完成、结转到本年按有关规定继续使用的资金。</w:t>
      </w:r>
    </w:p>
    <w:p>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7.结余分配：指事业单位按照会计制度规定缴纳的所得税、提取的专用结余以及转入非财政拨款结余的金额等。</w:t>
      </w:r>
    </w:p>
    <w:p>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8、年末结转和结余：指单位按有关规定结转到下年或以后年度继续使用的资金。</w:t>
      </w:r>
    </w:p>
    <w:p>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9.一般公共服务支出（</w:t>
      </w:r>
      <w:r>
        <w:rPr>
          <w:rFonts w:hint="eastAsia" w:ascii="仿宋_GB2312" w:eastAsia="仿宋_GB2312"/>
          <w:sz w:val="32"/>
          <w:szCs w:val="32"/>
          <w:lang w:eastAsia="zh-CN"/>
        </w:rPr>
        <w:t>类</w:t>
      </w:r>
      <w:r>
        <w:rPr>
          <w:rFonts w:hint="eastAsia" w:ascii="仿宋_GB2312" w:eastAsia="仿宋_GB2312"/>
          <w:sz w:val="32"/>
          <w:szCs w:val="32"/>
        </w:rPr>
        <w:t>）人大事务（</w:t>
      </w:r>
      <w:r>
        <w:rPr>
          <w:rFonts w:hint="eastAsia" w:ascii="仿宋_GB2312" w:eastAsia="仿宋_GB2312"/>
          <w:sz w:val="32"/>
          <w:szCs w:val="32"/>
          <w:lang w:eastAsia="zh-CN"/>
        </w:rPr>
        <w:t>款</w:t>
      </w:r>
      <w:r>
        <w:rPr>
          <w:rFonts w:hint="eastAsia" w:ascii="仿宋_GB2312" w:eastAsia="仿宋_GB2312"/>
          <w:sz w:val="32"/>
          <w:szCs w:val="32"/>
        </w:rPr>
        <w:t>）代表工作（</w:t>
      </w:r>
      <w:r>
        <w:rPr>
          <w:rFonts w:hint="eastAsia" w:ascii="仿宋_GB2312" w:eastAsia="仿宋_GB2312"/>
          <w:sz w:val="32"/>
          <w:szCs w:val="32"/>
          <w:lang w:eastAsia="zh-CN"/>
        </w:rPr>
        <w:t>项</w:t>
      </w:r>
      <w:r>
        <w:rPr>
          <w:rFonts w:hint="eastAsia" w:ascii="仿宋_GB2312" w:eastAsia="仿宋_GB2312"/>
          <w:sz w:val="32"/>
          <w:szCs w:val="32"/>
        </w:rPr>
        <w:t>）：反映人大代表开展各类视察等方面的支出。</w:t>
      </w:r>
    </w:p>
    <w:p>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10.一般公共服务支出（</w:t>
      </w:r>
      <w:r>
        <w:rPr>
          <w:rFonts w:hint="eastAsia" w:ascii="仿宋_GB2312" w:eastAsia="仿宋_GB2312"/>
          <w:sz w:val="32"/>
          <w:szCs w:val="32"/>
          <w:lang w:eastAsia="zh-CN"/>
        </w:rPr>
        <w:t>类</w:t>
      </w:r>
      <w:r>
        <w:rPr>
          <w:rFonts w:hint="eastAsia" w:ascii="仿宋_GB2312" w:eastAsia="仿宋_GB2312"/>
          <w:sz w:val="32"/>
          <w:szCs w:val="32"/>
        </w:rPr>
        <w:t>）政府办公厅（室）及相关机构事务（</w:t>
      </w:r>
      <w:r>
        <w:rPr>
          <w:rFonts w:hint="eastAsia" w:ascii="仿宋_GB2312" w:eastAsia="仿宋_GB2312"/>
          <w:sz w:val="32"/>
          <w:szCs w:val="32"/>
          <w:lang w:eastAsia="zh-CN"/>
        </w:rPr>
        <w:t>款</w:t>
      </w:r>
      <w:r>
        <w:rPr>
          <w:rFonts w:hint="eastAsia" w:ascii="仿宋_GB2312" w:eastAsia="仿宋_GB2312"/>
          <w:sz w:val="32"/>
          <w:szCs w:val="32"/>
        </w:rPr>
        <w:t>）行政运行（</w:t>
      </w:r>
      <w:r>
        <w:rPr>
          <w:rFonts w:hint="eastAsia" w:ascii="仿宋_GB2312" w:eastAsia="仿宋_GB2312"/>
          <w:sz w:val="32"/>
          <w:szCs w:val="32"/>
          <w:lang w:eastAsia="zh-CN"/>
        </w:rPr>
        <w:t>项</w:t>
      </w:r>
      <w:r>
        <w:rPr>
          <w:rFonts w:hint="eastAsia" w:ascii="仿宋_GB2312" w:eastAsia="仿宋_GB2312"/>
          <w:sz w:val="32"/>
          <w:szCs w:val="32"/>
        </w:rPr>
        <w:t>）：反映行政单位（包括实行公务员管理的事业单位）的基本支出。</w:t>
      </w:r>
    </w:p>
    <w:p>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11.一般公共服务支出（</w:t>
      </w:r>
      <w:r>
        <w:rPr>
          <w:rFonts w:hint="eastAsia" w:ascii="仿宋_GB2312" w:eastAsia="仿宋_GB2312"/>
          <w:sz w:val="32"/>
          <w:szCs w:val="32"/>
          <w:lang w:eastAsia="zh-CN"/>
        </w:rPr>
        <w:t>类</w:t>
      </w:r>
      <w:r>
        <w:rPr>
          <w:rFonts w:hint="eastAsia" w:ascii="仿宋_GB2312" w:eastAsia="仿宋_GB2312"/>
          <w:sz w:val="32"/>
          <w:szCs w:val="32"/>
        </w:rPr>
        <w:t>）政府办公厅（室）及相关机构事务（</w:t>
      </w:r>
      <w:r>
        <w:rPr>
          <w:rFonts w:hint="eastAsia" w:ascii="仿宋_GB2312" w:eastAsia="仿宋_GB2312"/>
          <w:sz w:val="32"/>
          <w:szCs w:val="32"/>
          <w:lang w:eastAsia="zh-CN"/>
        </w:rPr>
        <w:t>款</w:t>
      </w:r>
      <w:r>
        <w:rPr>
          <w:rFonts w:hint="eastAsia" w:ascii="仿宋_GB2312" w:eastAsia="仿宋_GB2312"/>
          <w:sz w:val="32"/>
          <w:szCs w:val="32"/>
        </w:rPr>
        <w:t>）其他政府办公厅（室）及相关机构事务支出（</w:t>
      </w:r>
      <w:r>
        <w:rPr>
          <w:rFonts w:hint="eastAsia" w:ascii="仿宋_GB2312" w:eastAsia="仿宋_GB2312"/>
          <w:sz w:val="32"/>
          <w:szCs w:val="32"/>
          <w:lang w:eastAsia="zh-CN"/>
        </w:rPr>
        <w:t>项</w:t>
      </w:r>
      <w:r>
        <w:rPr>
          <w:rFonts w:hint="eastAsia" w:ascii="仿宋_GB2312" w:eastAsia="仿宋_GB2312"/>
          <w:sz w:val="32"/>
          <w:szCs w:val="32"/>
        </w:rPr>
        <w:t>）：反映除上述项目以外的其他政府办公厅（室）及相关机构事务支出。</w:t>
      </w:r>
    </w:p>
    <w:p>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12.一般公共服务支出（</w:t>
      </w:r>
      <w:r>
        <w:rPr>
          <w:rFonts w:hint="eastAsia" w:ascii="仿宋_GB2312" w:eastAsia="仿宋_GB2312"/>
          <w:sz w:val="32"/>
          <w:szCs w:val="32"/>
          <w:lang w:eastAsia="zh-CN"/>
        </w:rPr>
        <w:t>类</w:t>
      </w:r>
      <w:r>
        <w:rPr>
          <w:rFonts w:hint="eastAsia" w:ascii="仿宋_GB2312" w:eastAsia="仿宋_GB2312"/>
          <w:sz w:val="32"/>
          <w:szCs w:val="32"/>
        </w:rPr>
        <w:t>）财政事务（</w:t>
      </w:r>
      <w:r>
        <w:rPr>
          <w:rFonts w:hint="eastAsia" w:ascii="仿宋_GB2312" w:eastAsia="仿宋_GB2312"/>
          <w:sz w:val="32"/>
          <w:szCs w:val="32"/>
          <w:lang w:eastAsia="zh-CN"/>
        </w:rPr>
        <w:t>款</w:t>
      </w:r>
      <w:r>
        <w:rPr>
          <w:rFonts w:hint="eastAsia" w:ascii="仿宋_GB2312" w:eastAsia="仿宋_GB2312"/>
          <w:sz w:val="32"/>
          <w:szCs w:val="32"/>
        </w:rPr>
        <w:t>）事业运行（</w:t>
      </w:r>
      <w:r>
        <w:rPr>
          <w:rFonts w:hint="eastAsia" w:ascii="仿宋_GB2312" w:eastAsia="仿宋_GB2312"/>
          <w:sz w:val="32"/>
          <w:szCs w:val="32"/>
          <w:lang w:eastAsia="zh-CN"/>
        </w:rPr>
        <w:t>项</w:t>
      </w:r>
      <w:r>
        <w:rPr>
          <w:rFonts w:hint="eastAsia" w:ascii="仿宋_GB2312" w:eastAsia="仿宋_GB2312"/>
          <w:sz w:val="32"/>
          <w:szCs w:val="32"/>
        </w:rPr>
        <w:t>）：反映事业单位的基本支出，不包括行政单位（包括实行公务员管理的事业单位）后勤服务中心、医务室等附属事业单位。</w:t>
      </w:r>
    </w:p>
    <w:p>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13.一般公共服务支出（</w:t>
      </w:r>
      <w:r>
        <w:rPr>
          <w:rFonts w:hint="eastAsia" w:ascii="仿宋_GB2312" w:eastAsia="仿宋_GB2312"/>
          <w:sz w:val="32"/>
          <w:szCs w:val="32"/>
          <w:lang w:eastAsia="zh-CN"/>
        </w:rPr>
        <w:t>类</w:t>
      </w:r>
      <w:r>
        <w:rPr>
          <w:rFonts w:hint="eastAsia" w:ascii="仿宋_GB2312" w:eastAsia="仿宋_GB2312"/>
          <w:sz w:val="32"/>
          <w:szCs w:val="32"/>
        </w:rPr>
        <w:t>）党委办公厅（室）及相关机构事务（</w:t>
      </w:r>
      <w:r>
        <w:rPr>
          <w:rFonts w:hint="eastAsia" w:ascii="仿宋_GB2312" w:eastAsia="仿宋_GB2312"/>
          <w:sz w:val="32"/>
          <w:szCs w:val="32"/>
          <w:lang w:eastAsia="zh-CN"/>
        </w:rPr>
        <w:t>款</w:t>
      </w:r>
      <w:r>
        <w:rPr>
          <w:rFonts w:hint="eastAsia" w:ascii="仿宋_GB2312" w:eastAsia="仿宋_GB2312"/>
          <w:sz w:val="32"/>
          <w:szCs w:val="32"/>
        </w:rPr>
        <w:t>）行政运行（</w:t>
      </w:r>
      <w:r>
        <w:rPr>
          <w:rFonts w:hint="eastAsia" w:ascii="仿宋_GB2312" w:eastAsia="仿宋_GB2312"/>
          <w:sz w:val="32"/>
          <w:szCs w:val="32"/>
          <w:lang w:eastAsia="zh-CN"/>
        </w:rPr>
        <w:t>项</w:t>
      </w:r>
      <w:r>
        <w:rPr>
          <w:rFonts w:hint="eastAsia" w:ascii="仿宋_GB2312" w:eastAsia="仿宋_GB2312"/>
          <w:sz w:val="32"/>
          <w:szCs w:val="32"/>
        </w:rPr>
        <w:t>）：反映行政单位（包括实行公务员管理的事业单位）的基本支出。</w:t>
      </w:r>
    </w:p>
    <w:p>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14.国防支出（</w:t>
      </w:r>
      <w:r>
        <w:rPr>
          <w:rFonts w:hint="eastAsia" w:ascii="仿宋_GB2312" w:eastAsia="仿宋_GB2312"/>
          <w:sz w:val="32"/>
          <w:szCs w:val="32"/>
          <w:lang w:eastAsia="zh-CN"/>
        </w:rPr>
        <w:t>类</w:t>
      </w:r>
      <w:r>
        <w:rPr>
          <w:rFonts w:hint="eastAsia" w:ascii="仿宋_GB2312" w:eastAsia="仿宋_GB2312"/>
          <w:sz w:val="32"/>
          <w:szCs w:val="32"/>
        </w:rPr>
        <w:t>）国防动员（</w:t>
      </w:r>
      <w:r>
        <w:rPr>
          <w:rFonts w:hint="eastAsia" w:ascii="仿宋_GB2312" w:eastAsia="仿宋_GB2312"/>
          <w:sz w:val="32"/>
          <w:szCs w:val="32"/>
          <w:lang w:eastAsia="zh-CN"/>
        </w:rPr>
        <w:t>款</w:t>
      </w:r>
      <w:r>
        <w:rPr>
          <w:rFonts w:hint="eastAsia" w:ascii="仿宋_GB2312" w:eastAsia="仿宋_GB2312"/>
          <w:sz w:val="32"/>
          <w:szCs w:val="32"/>
        </w:rPr>
        <w:t>）民兵（</w:t>
      </w:r>
      <w:r>
        <w:rPr>
          <w:rFonts w:hint="eastAsia" w:ascii="仿宋_GB2312" w:eastAsia="仿宋_GB2312"/>
          <w:sz w:val="32"/>
          <w:szCs w:val="32"/>
          <w:lang w:eastAsia="zh-CN"/>
        </w:rPr>
        <w:t>项</w:t>
      </w:r>
      <w:r>
        <w:rPr>
          <w:rFonts w:hint="eastAsia" w:ascii="仿宋_GB2312" w:eastAsia="仿宋_GB2312"/>
          <w:sz w:val="32"/>
          <w:szCs w:val="32"/>
        </w:rPr>
        <w:t>）:反映用于民兵建设与管理等方面的支出。</w:t>
      </w:r>
    </w:p>
    <w:p>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15.文化旅游体育与传媒支出（</w:t>
      </w:r>
      <w:r>
        <w:rPr>
          <w:rFonts w:hint="eastAsia" w:ascii="仿宋_GB2312" w:eastAsia="仿宋_GB2312"/>
          <w:sz w:val="32"/>
          <w:szCs w:val="32"/>
          <w:lang w:eastAsia="zh-CN"/>
        </w:rPr>
        <w:t>类</w:t>
      </w:r>
      <w:r>
        <w:rPr>
          <w:rFonts w:hint="eastAsia" w:ascii="仿宋_GB2312" w:eastAsia="仿宋_GB2312"/>
          <w:sz w:val="32"/>
          <w:szCs w:val="32"/>
        </w:rPr>
        <w:t>）其他文化旅游体育与传媒支出（</w:t>
      </w:r>
      <w:r>
        <w:rPr>
          <w:rFonts w:hint="eastAsia" w:ascii="仿宋_GB2312" w:eastAsia="仿宋_GB2312"/>
          <w:sz w:val="32"/>
          <w:szCs w:val="32"/>
          <w:lang w:eastAsia="zh-CN"/>
        </w:rPr>
        <w:t>款</w:t>
      </w:r>
      <w:r>
        <w:rPr>
          <w:rFonts w:hint="eastAsia" w:ascii="仿宋_GB2312" w:eastAsia="仿宋_GB2312"/>
          <w:sz w:val="32"/>
          <w:szCs w:val="32"/>
        </w:rPr>
        <w:t>）其他文化旅游体育与传媒支出（</w:t>
      </w:r>
      <w:r>
        <w:rPr>
          <w:rFonts w:hint="eastAsia" w:ascii="仿宋_GB2312" w:eastAsia="仿宋_GB2312"/>
          <w:sz w:val="32"/>
          <w:szCs w:val="32"/>
          <w:lang w:eastAsia="zh-CN"/>
        </w:rPr>
        <w:t>项</w:t>
      </w:r>
      <w:r>
        <w:rPr>
          <w:rFonts w:hint="eastAsia" w:ascii="仿宋_GB2312" w:eastAsia="仿宋_GB2312"/>
          <w:sz w:val="32"/>
          <w:szCs w:val="32"/>
        </w:rPr>
        <w:t>）:反映除上述项目以外其他用于文化旅游体育与传媒方面的支出。</w:t>
      </w:r>
    </w:p>
    <w:p>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16.社会保障和就业支出（</w:t>
      </w:r>
      <w:r>
        <w:rPr>
          <w:rFonts w:hint="eastAsia" w:ascii="仿宋_GB2312" w:eastAsia="仿宋_GB2312"/>
          <w:sz w:val="32"/>
          <w:szCs w:val="32"/>
          <w:lang w:eastAsia="zh-CN"/>
        </w:rPr>
        <w:t>类</w:t>
      </w:r>
      <w:r>
        <w:rPr>
          <w:rFonts w:hint="eastAsia" w:ascii="仿宋_GB2312" w:eastAsia="仿宋_GB2312"/>
          <w:sz w:val="32"/>
          <w:szCs w:val="32"/>
        </w:rPr>
        <w:t>）行政事业单位养老支出（</w:t>
      </w:r>
      <w:r>
        <w:rPr>
          <w:rFonts w:hint="eastAsia" w:ascii="仿宋_GB2312" w:eastAsia="仿宋_GB2312"/>
          <w:sz w:val="32"/>
          <w:szCs w:val="32"/>
          <w:lang w:eastAsia="zh-CN"/>
        </w:rPr>
        <w:t>款</w:t>
      </w:r>
      <w:r>
        <w:rPr>
          <w:rFonts w:hint="eastAsia" w:ascii="仿宋_GB2312" w:eastAsia="仿宋_GB2312"/>
          <w:sz w:val="32"/>
          <w:szCs w:val="32"/>
        </w:rPr>
        <w:t>）机关事业单位基本养老保险缴费支出（</w:t>
      </w:r>
      <w:r>
        <w:rPr>
          <w:rFonts w:hint="eastAsia" w:ascii="仿宋_GB2312" w:eastAsia="仿宋_GB2312"/>
          <w:sz w:val="32"/>
          <w:szCs w:val="32"/>
          <w:lang w:eastAsia="zh-CN"/>
        </w:rPr>
        <w:t>项</w:t>
      </w:r>
      <w:r>
        <w:rPr>
          <w:rFonts w:hint="eastAsia" w:ascii="仿宋_GB2312" w:eastAsia="仿宋_GB2312"/>
          <w:sz w:val="32"/>
          <w:szCs w:val="32"/>
        </w:rPr>
        <w:t>）：反映机关事业单位实施养老保险制度由单位缴纳的基本养老保险费支出。</w:t>
      </w:r>
    </w:p>
    <w:p>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17.社会保障和就业支出（</w:t>
      </w:r>
      <w:r>
        <w:rPr>
          <w:rFonts w:hint="eastAsia" w:ascii="仿宋_GB2312" w:eastAsia="仿宋_GB2312"/>
          <w:sz w:val="32"/>
          <w:szCs w:val="32"/>
          <w:lang w:eastAsia="zh-CN"/>
        </w:rPr>
        <w:t>类</w:t>
      </w:r>
      <w:r>
        <w:rPr>
          <w:rFonts w:hint="eastAsia" w:ascii="仿宋_GB2312" w:eastAsia="仿宋_GB2312"/>
          <w:sz w:val="32"/>
          <w:szCs w:val="32"/>
        </w:rPr>
        <w:t>）行政事业单位养老支出（</w:t>
      </w:r>
      <w:r>
        <w:rPr>
          <w:rFonts w:hint="eastAsia" w:ascii="仿宋_GB2312" w:eastAsia="仿宋_GB2312"/>
          <w:sz w:val="32"/>
          <w:szCs w:val="32"/>
          <w:lang w:eastAsia="zh-CN"/>
        </w:rPr>
        <w:t>款</w:t>
      </w:r>
      <w:r>
        <w:rPr>
          <w:rFonts w:hint="eastAsia" w:ascii="仿宋_GB2312" w:eastAsia="仿宋_GB2312"/>
          <w:sz w:val="32"/>
          <w:szCs w:val="32"/>
        </w:rPr>
        <w:t>）机关事业单位职业年金缴费支出（</w:t>
      </w:r>
      <w:r>
        <w:rPr>
          <w:rFonts w:hint="eastAsia" w:ascii="仿宋_GB2312" w:eastAsia="仿宋_GB2312"/>
          <w:sz w:val="32"/>
          <w:szCs w:val="32"/>
          <w:lang w:eastAsia="zh-CN"/>
        </w:rPr>
        <w:t>项</w:t>
      </w:r>
      <w:r>
        <w:rPr>
          <w:rFonts w:hint="eastAsia" w:ascii="仿宋_GB2312" w:eastAsia="仿宋_GB2312"/>
          <w:sz w:val="32"/>
          <w:szCs w:val="32"/>
        </w:rPr>
        <w:t>）:反映机关事业单位实施养老保险制度由单位实际缴纳的职业年金支出。</w:t>
      </w:r>
    </w:p>
    <w:p>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18.社会保障和就业支出（</w:t>
      </w:r>
      <w:r>
        <w:rPr>
          <w:rFonts w:hint="eastAsia" w:ascii="仿宋_GB2312" w:eastAsia="仿宋_GB2312"/>
          <w:sz w:val="32"/>
          <w:szCs w:val="32"/>
          <w:lang w:eastAsia="zh-CN"/>
        </w:rPr>
        <w:t>类</w:t>
      </w:r>
      <w:r>
        <w:rPr>
          <w:rFonts w:hint="eastAsia" w:ascii="仿宋_GB2312" w:eastAsia="仿宋_GB2312"/>
          <w:sz w:val="32"/>
          <w:szCs w:val="32"/>
        </w:rPr>
        <w:t>）社会福利（</w:t>
      </w:r>
      <w:r>
        <w:rPr>
          <w:rFonts w:hint="eastAsia" w:ascii="仿宋_GB2312" w:eastAsia="仿宋_GB2312"/>
          <w:sz w:val="32"/>
          <w:szCs w:val="32"/>
          <w:lang w:eastAsia="zh-CN"/>
        </w:rPr>
        <w:t>款</w:t>
      </w:r>
      <w:r>
        <w:rPr>
          <w:rFonts w:hint="eastAsia" w:ascii="仿宋_GB2312" w:eastAsia="仿宋_GB2312"/>
          <w:sz w:val="32"/>
          <w:szCs w:val="32"/>
        </w:rPr>
        <w:t>）老年福利（</w:t>
      </w:r>
      <w:r>
        <w:rPr>
          <w:rFonts w:hint="eastAsia" w:ascii="仿宋_GB2312" w:eastAsia="仿宋_GB2312"/>
          <w:sz w:val="32"/>
          <w:szCs w:val="32"/>
          <w:lang w:eastAsia="zh-CN"/>
        </w:rPr>
        <w:t>项</w:t>
      </w:r>
      <w:r>
        <w:rPr>
          <w:rFonts w:hint="eastAsia" w:ascii="仿宋_GB2312" w:eastAsia="仿宋_GB2312"/>
          <w:sz w:val="32"/>
          <w:szCs w:val="32"/>
        </w:rPr>
        <w:t>）：反映对老年人提供福利服务方面的支出，包括为经济困难的高龄、失能等老年人提供基本养老服务保障的资金补助等支出。</w:t>
      </w:r>
    </w:p>
    <w:p>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19.社会保障和就业支出（</w:t>
      </w:r>
      <w:r>
        <w:rPr>
          <w:rFonts w:hint="eastAsia" w:ascii="仿宋_GB2312" w:eastAsia="仿宋_GB2312"/>
          <w:sz w:val="32"/>
          <w:szCs w:val="32"/>
          <w:lang w:eastAsia="zh-CN"/>
        </w:rPr>
        <w:t>类</w:t>
      </w:r>
      <w:r>
        <w:rPr>
          <w:rFonts w:hint="eastAsia" w:ascii="仿宋_GB2312" w:eastAsia="仿宋_GB2312"/>
          <w:sz w:val="32"/>
          <w:szCs w:val="32"/>
        </w:rPr>
        <w:t>）社会福利（</w:t>
      </w:r>
      <w:r>
        <w:rPr>
          <w:rFonts w:hint="eastAsia" w:ascii="仿宋_GB2312" w:eastAsia="仿宋_GB2312"/>
          <w:sz w:val="32"/>
          <w:szCs w:val="32"/>
          <w:lang w:eastAsia="zh-CN"/>
        </w:rPr>
        <w:t>款</w:t>
      </w:r>
      <w:r>
        <w:rPr>
          <w:rFonts w:hint="eastAsia" w:ascii="仿宋_GB2312" w:eastAsia="仿宋_GB2312"/>
          <w:sz w:val="32"/>
          <w:szCs w:val="32"/>
        </w:rPr>
        <w:t>）养老服务（</w:t>
      </w:r>
      <w:r>
        <w:rPr>
          <w:rFonts w:hint="eastAsia" w:ascii="仿宋_GB2312" w:eastAsia="仿宋_GB2312"/>
          <w:sz w:val="32"/>
          <w:szCs w:val="32"/>
          <w:lang w:eastAsia="zh-CN"/>
        </w:rPr>
        <w:t>项</w:t>
      </w:r>
      <w:r>
        <w:rPr>
          <w:rFonts w:hint="eastAsia" w:ascii="仿宋_GB2312" w:eastAsia="仿宋_GB2312"/>
          <w:sz w:val="32"/>
          <w:szCs w:val="32"/>
        </w:rPr>
        <w:t>）：反映财政在养老服务方面的补助支出，包括支持居家养老服务、社区养老服务和机构养老服务的支出，对养老服务机构的运营、建设补助支出等，不包括对社会福利事业单位的补助支出。</w:t>
      </w:r>
    </w:p>
    <w:p>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20.卫生健康支出（</w:t>
      </w:r>
      <w:r>
        <w:rPr>
          <w:rFonts w:hint="eastAsia" w:ascii="仿宋_GB2312" w:eastAsia="仿宋_GB2312"/>
          <w:sz w:val="32"/>
          <w:szCs w:val="32"/>
          <w:lang w:eastAsia="zh-CN"/>
        </w:rPr>
        <w:t>类</w:t>
      </w:r>
      <w:r>
        <w:rPr>
          <w:rFonts w:hint="eastAsia" w:ascii="仿宋_GB2312" w:eastAsia="仿宋_GB2312"/>
          <w:sz w:val="32"/>
          <w:szCs w:val="32"/>
        </w:rPr>
        <w:t>）行政事业单位医疗（</w:t>
      </w:r>
      <w:r>
        <w:rPr>
          <w:rFonts w:hint="eastAsia" w:ascii="仿宋_GB2312" w:eastAsia="仿宋_GB2312"/>
          <w:sz w:val="32"/>
          <w:szCs w:val="32"/>
          <w:lang w:eastAsia="zh-CN"/>
        </w:rPr>
        <w:t>款</w:t>
      </w:r>
      <w:r>
        <w:rPr>
          <w:rFonts w:hint="eastAsia" w:ascii="仿宋_GB2312" w:eastAsia="仿宋_GB2312"/>
          <w:sz w:val="32"/>
          <w:szCs w:val="32"/>
        </w:rPr>
        <w:t>）行政单位医疗（</w:t>
      </w:r>
      <w:r>
        <w:rPr>
          <w:rFonts w:hint="eastAsia" w:ascii="仿宋_GB2312" w:eastAsia="仿宋_GB2312"/>
          <w:sz w:val="32"/>
          <w:szCs w:val="32"/>
          <w:lang w:eastAsia="zh-CN"/>
        </w:rPr>
        <w:t>项</w:t>
      </w:r>
      <w:r>
        <w:rPr>
          <w:rFonts w:hint="eastAsia" w:ascii="仿宋_GB2312" w:eastAsia="仿宋_GB2312"/>
          <w:sz w:val="32"/>
          <w:szCs w:val="32"/>
        </w:rPr>
        <w:t>）：反映财政部门安排的行政单位（包括实行公务员管理的事业单位，下同）基本医疗保险缴费经费，未参加医疗保险的行政单位的公费医疗经费，按国家规定享受离休人员、红军老战士待遇人员的医疗经费。</w:t>
      </w:r>
    </w:p>
    <w:p>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21.卫生健康支出（</w:t>
      </w:r>
      <w:r>
        <w:rPr>
          <w:rFonts w:hint="eastAsia" w:ascii="仿宋_GB2312" w:eastAsia="仿宋_GB2312"/>
          <w:sz w:val="32"/>
          <w:szCs w:val="32"/>
          <w:lang w:eastAsia="zh-CN"/>
        </w:rPr>
        <w:t>类</w:t>
      </w:r>
      <w:r>
        <w:rPr>
          <w:rFonts w:hint="eastAsia" w:ascii="仿宋_GB2312" w:eastAsia="仿宋_GB2312"/>
          <w:sz w:val="32"/>
          <w:szCs w:val="32"/>
        </w:rPr>
        <w:t>）行政事业单位医疗（</w:t>
      </w:r>
      <w:r>
        <w:rPr>
          <w:rFonts w:hint="eastAsia" w:ascii="仿宋_GB2312" w:eastAsia="仿宋_GB2312"/>
          <w:sz w:val="32"/>
          <w:szCs w:val="32"/>
          <w:lang w:eastAsia="zh-CN"/>
        </w:rPr>
        <w:t>款</w:t>
      </w:r>
      <w:r>
        <w:rPr>
          <w:rFonts w:hint="eastAsia" w:ascii="仿宋_GB2312" w:eastAsia="仿宋_GB2312"/>
          <w:sz w:val="32"/>
          <w:szCs w:val="32"/>
        </w:rPr>
        <w:t>）事业单位医疗（</w:t>
      </w:r>
      <w:r>
        <w:rPr>
          <w:rFonts w:hint="eastAsia" w:ascii="仿宋_GB2312" w:eastAsia="仿宋_GB2312"/>
          <w:sz w:val="32"/>
          <w:szCs w:val="32"/>
          <w:lang w:eastAsia="zh-CN"/>
        </w:rPr>
        <w:t>项</w:t>
      </w:r>
      <w:r>
        <w:rPr>
          <w:rFonts w:hint="eastAsia" w:ascii="仿宋_GB2312" w:eastAsia="仿宋_GB2312"/>
          <w:sz w:val="32"/>
          <w:szCs w:val="32"/>
        </w:rPr>
        <w:t>）：反映财政部门安排的事业单位基本医疗保险缴费经费，未参加医疗保险的事业单位的公费医疗经费，按国家规定享受离休人员待遇的医疗经费。</w:t>
      </w:r>
    </w:p>
    <w:p>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22.节能环保支出（</w:t>
      </w:r>
      <w:r>
        <w:rPr>
          <w:rFonts w:hint="eastAsia" w:ascii="仿宋_GB2312" w:eastAsia="仿宋_GB2312"/>
          <w:sz w:val="32"/>
          <w:szCs w:val="32"/>
          <w:lang w:eastAsia="zh-CN"/>
        </w:rPr>
        <w:t>类</w:t>
      </w:r>
      <w:r>
        <w:rPr>
          <w:rFonts w:hint="eastAsia" w:ascii="仿宋_GB2312" w:eastAsia="仿宋_GB2312"/>
          <w:sz w:val="32"/>
          <w:szCs w:val="32"/>
        </w:rPr>
        <w:t>）其他节能环保支出（</w:t>
      </w:r>
      <w:r>
        <w:rPr>
          <w:rFonts w:hint="eastAsia" w:ascii="仿宋_GB2312" w:eastAsia="仿宋_GB2312"/>
          <w:sz w:val="32"/>
          <w:szCs w:val="32"/>
          <w:lang w:eastAsia="zh-CN"/>
        </w:rPr>
        <w:t>款</w:t>
      </w:r>
      <w:r>
        <w:rPr>
          <w:rFonts w:hint="eastAsia" w:ascii="仿宋_GB2312" w:eastAsia="仿宋_GB2312"/>
          <w:sz w:val="32"/>
          <w:szCs w:val="32"/>
        </w:rPr>
        <w:t>）其他节能环保支出（</w:t>
      </w:r>
      <w:r>
        <w:rPr>
          <w:rFonts w:hint="eastAsia" w:ascii="仿宋_GB2312" w:eastAsia="仿宋_GB2312"/>
          <w:sz w:val="32"/>
          <w:szCs w:val="32"/>
          <w:lang w:eastAsia="zh-CN"/>
        </w:rPr>
        <w:t>项</w:t>
      </w:r>
      <w:r>
        <w:rPr>
          <w:rFonts w:hint="eastAsia" w:ascii="仿宋_GB2312" w:eastAsia="仿宋_GB2312"/>
          <w:sz w:val="32"/>
          <w:szCs w:val="32"/>
        </w:rPr>
        <w:t>）：反映除上述项目以外其他用于节能环保方面的支出。</w:t>
      </w:r>
    </w:p>
    <w:p>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23.农林水支出（</w:t>
      </w:r>
      <w:r>
        <w:rPr>
          <w:rFonts w:hint="eastAsia" w:ascii="仿宋_GB2312" w:eastAsia="仿宋_GB2312"/>
          <w:sz w:val="32"/>
          <w:szCs w:val="32"/>
          <w:lang w:eastAsia="zh-CN"/>
        </w:rPr>
        <w:t>类</w:t>
      </w:r>
      <w:r>
        <w:rPr>
          <w:rFonts w:hint="eastAsia" w:ascii="仿宋_GB2312" w:eastAsia="仿宋_GB2312"/>
          <w:sz w:val="32"/>
          <w:szCs w:val="32"/>
        </w:rPr>
        <w:t>）农业农村（</w:t>
      </w:r>
      <w:r>
        <w:rPr>
          <w:rFonts w:hint="eastAsia" w:ascii="仿宋_GB2312" w:eastAsia="仿宋_GB2312"/>
          <w:sz w:val="32"/>
          <w:szCs w:val="32"/>
          <w:lang w:eastAsia="zh-CN"/>
        </w:rPr>
        <w:t>款</w:t>
      </w:r>
      <w:r>
        <w:rPr>
          <w:rFonts w:hint="eastAsia" w:ascii="仿宋_GB2312" w:eastAsia="仿宋_GB2312"/>
          <w:sz w:val="32"/>
          <w:szCs w:val="32"/>
        </w:rPr>
        <w:t>）事业运行（</w:t>
      </w:r>
      <w:r>
        <w:rPr>
          <w:rFonts w:hint="eastAsia" w:ascii="仿宋_GB2312" w:eastAsia="仿宋_GB2312"/>
          <w:sz w:val="32"/>
          <w:szCs w:val="32"/>
          <w:lang w:eastAsia="zh-CN"/>
        </w:rPr>
        <w:t>项</w:t>
      </w:r>
      <w:r>
        <w:rPr>
          <w:rFonts w:hint="eastAsia" w:ascii="仿宋_GB2312" w:eastAsia="仿宋_GB2312"/>
          <w:sz w:val="32"/>
          <w:szCs w:val="32"/>
        </w:rPr>
        <w:t>）：反映用于农业事业单位基本支出，事业单位设施、系统运行与资产维护等方面的支出。</w:t>
      </w:r>
    </w:p>
    <w:p>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24.农林水支出（</w:t>
      </w:r>
      <w:r>
        <w:rPr>
          <w:rFonts w:hint="eastAsia" w:ascii="仿宋_GB2312" w:eastAsia="仿宋_GB2312"/>
          <w:sz w:val="32"/>
          <w:szCs w:val="32"/>
          <w:lang w:eastAsia="zh-CN"/>
        </w:rPr>
        <w:t>类</w:t>
      </w:r>
      <w:r>
        <w:rPr>
          <w:rFonts w:hint="eastAsia" w:ascii="仿宋_GB2312" w:eastAsia="仿宋_GB2312"/>
          <w:sz w:val="32"/>
          <w:szCs w:val="32"/>
        </w:rPr>
        <w:t>）扶贫（</w:t>
      </w:r>
      <w:r>
        <w:rPr>
          <w:rFonts w:hint="eastAsia" w:ascii="仿宋_GB2312" w:eastAsia="仿宋_GB2312"/>
          <w:sz w:val="32"/>
          <w:szCs w:val="32"/>
          <w:lang w:eastAsia="zh-CN"/>
        </w:rPr>
        <w:t>款</w:t>
      </w:r>
      <w:r>
        <w:rPr>
          <w:rFonts w:hint="eastAsia" w:ascii="仿宋_GB2312" w:eastAsia="仿宋_GB2312"/>
          <w:sz w:val="32"/>
          <w:szCs w:val="32"/>
        </w:rPr>
        <w:t>）农村基础设施建设（</w:t>
      </w:r>
      <w:r>
        <w:rPr>
          <w:rFonts w:hint="eastAsia" w:ascii="仿宋_GB2312" w:eastAsia="仿宋_GB2312"/>
          <w:sz w:val="32"/>
          <w:szCs w:val="32"/>
          <w:lang w:eastAsia="zh-CN"/>
        </w:rPr>
        <w:t>项</w:t>
      </w:r>
      <w:r>
        <w:rPr>
          <w:rFonts w:hint="eastAsia" w:ascii="仿宋_GB2312" w:eastAsia="仿宋_GB2312"/>
          <w:sz w:val="32"/>
          <w:szCs w:val="32"/>
        </w:rPr>
        <w:t>）:反映用于农村贫困地区乡村道路、住房、基本农田、水利设施、人畜饮水、生态环境保护等生产生活条件改善方面的支出。</w:t>
      </w:r>
    </w:p>
    <w:p>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25.农林水支出（</w:t>
      </w:r>
      <w:r>
        <w:rPr>
          <w:rFonts w:hint="eastAsia" w:ascii="仿宋_GB2312" w:eastAsia="仿宋_GB2312"/>
          <w:sz w:val="32"/>
          <w:szCs w:val="32"/>
          <w:lang w:eastAsia="zh-CN"/>
        </w:rPr>
        <w:t>类</w:t>
      </w:r>
      <w:r>
        <w:rPr>
          <w:rFonts w:hint="eastAsia" w:ascii="仿宋_GB2312" w:eastAsia="仿宋_GB2312"/>
          <w:sz w:val="32"/>
          <w:szCs w:val="32"/>
        </w:rPr>
        <w:t>）扶贫（</w:t>
      </w:r>
      <w:r>
        <w:rPr>
          <w:rFonts w:hint="eastAsia" w:ascii="仿宋_GB2312" w:eastAsia="仿宋_GB2312"/>
          <w:sz w:val="32"/>
          <w:szCs w:val="32"/>
          <w:lang w:eastAsia="zh-CN"/>
        </w:rPr>
        <w:t>款</w:t>
      </w:r>
      <w:r>
        <w:rPr>
          <w:rFonts w:hint="eastAsia" w:ascii="仿宋_GB2312" w:eastAsia="仿宋_GB2312"/>
          <w:sz w:val="32"/>
          <w:szCs w:val="32"/>
        </w:rPr>
        <w:t>）社会发展（</w:t>
      </w:r>
      <w:r>
        <w:rPr>
          <w:rFonts w:hint="eastAsia" w:ascii="仿宋_GB2312" w:eastAsia="仿宋_GB2312"/>
          <w:sz w:val="32"/>
          <w:szCs w:val="32"/>
          <w:lang w:eastAsia="zh-CN"/>
        </w:rPr>
        <w:t>项</w:t>
      </w:r>
      <w:r>
        <w:rPr>
          <w:rFonts w:hint="eastAsia" w:ascii="仿宋_GB2312" w:eastAsia="仿宋_GB2312"/>
          <w:sz w:val="32"/>
          <w:szCs w:val="32"/>
        </w:rPr>
        <w:t>）:反映用于农村欠发达地区小学教育、文化、广播、电视、卫生健康等方面的项目支出。</w:t>
      </w:r>
    </w:p>
    <w:p>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26.农林水支出（</w:t>
      </w:r>
      <w:r>
        <w:rPr>
          <w:rFonts w:hint="eastAsia" w:ascii="仿宋_GB2312" w:eastAsia="仿宋_GB2312"/>
          <w:sz w:val="32"/>
          <w:szCs w:val="32"/>
          <w:lang w:eastAsia="zh-CN"/>
        </w:rPr>
        <w:t>类</w:t>
      </w:r>
      <w:r>
        <w:rPr>
          <w:rFonts w:hint="eastAsia" w:ascii="仿宋_GB2312" w:eastAsia="仿宋_GB2312"/>
          <w:sz w:val="32"/>
          <w:szCs w:val="32"/>
        </w:rPr>
        <w:t>）扶贫（</w:t>
      </w:r>
      <w:r>
        <w:rPr>
          <w:rFonts w:hint="eastAsia" w:ascii="仿宋_GB2312" w:eastAsia="仿宋_GB2312"/>
          <w:sz w:val="32"/>
          <w:szCs w:val="32"/>
          <w:lang w:eastAsia="zh-CN"/>
        </w:rPr>
        <w:t>款</w:t>
      </w:r>
      <w:r>
        <w:rPr>
          <w:rFonts w:hint="eastAsia" w:ascii="仿宋_GB2312" w:eastAsia="仿宋_GB2312"/>
          <w:sz w:val="32"/>
          <w:szCs w:val="32"/>
        </w:rPr>
        <w:t>）其他扶贫支出（</w:t>
      </w:r>
      <w:r>
        <w:rPr>
          <w:rFonts w:hint="eastAsia" w:ascii="仿宋_GB2312" w:eastAsia="仿宋_GB2312"/>
          <w:sz w:val="32"/>
          <w:szCs w:val="32"/>
          <w:lang w:eastAsia="zh-CN"/>
        </w:rPr>
        <w:t>项</w:t>
      </w:r>
      <w:r>
        <w:rPr>
          <w:rFonts w:hint="eastAsia" w:ascii="仿宋_GB2312" w:eastAsia="仿宋_GB2312"/>
          <w:sz w:val="32"/>
          <w:szCs w:val="32"/>
        </w:rPr>
        <w:t>）:反映除上述项目以外其他用于扶贫方面的支出。</w:t>
      </w:r>
    </w:p>
    <w:p>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27.农林水支出（</w:t>
      </w:r>
      <w:r>
        <w:rPr>
          <w:rFonts w:hint="eastAsia" w:ascii="仿宋_GB2312" w:eastAsia="仿宋_GB2312"/>
          <w:sz w:val="32"/>
          <w:szCs w:val="32"/>
          <w:lang w:eastAsia="zh-CN"/>
        </w:rPr>
        <w:t>类</w:t>
      </w:r>
      <w:r>
        <w:rPr>
          <w:rFonts w:hint="eastAsia" w:ascii="仿宋_GB2312" w:eastAsia="仿宋_GB2312"/>
          <w:sz w:val="32"/>
          <w:szCs w:val="32"/>
        </w:rPr>
        <w:t>）农村综合改革（</w:t>
      </w:r>
      <w:r>
        <w:rPr>
          <w:rFonts w:hint="eastAsia" w:ascii="仿宋_GB2312" w:eastAsia="仿宋_GB2312"/>
          <w:sz w:val="32"/>
          <w:szCs w:val="32"/>
          <w:lang w:eastAsia="zh-CN"/>
        </w:rPr>
        <w:t>款</w:t>
      </w:r>
      <w:r>
        <w:rPr>
          <w:rFonts w:hint="eastAsia" w:ascii="仿宋_GB2312" w:eastAsia="仿宋_GB2312"/>
          <w:sz w:val="32"/>
          <w:szCs w:val="32"/>
        </w:rPr>
        <w:t>）对村民委员会和村党支部的补助（</w:t>
      </w:r>
      <w:r>
        <w:rPr>
          <w:rFonts w:hint="eastAsia" w:ascii="仿宋_GB2312" w:eastAsia="仿宋_GB2312"/>
          <w:sz w:val="32"/>
          <w:szCs w:val="32"/>
          <w:lang w:eastAsia="zh-CN"/>
        </w:rPr>
        <w:t>项</w:t>
      </w:r>
      <w:r>
        <w:rPr>
          <w:rFonts w:hint="eastAsia" w:ascii="仿宋_GB2312" w:eastAsia="仿宋_GB2312"/>
          <w:sz w:val="32"/>
          <w:szCs w:val="32"/>
        </w:rPr>
        <w:t>）：反映各级财政对村民委员会和村党支部的补助支出，以及支持建立县级基本财力保障机制安排的村级组织运转奖补资金。</w:t>
      </w:r>
    </w:p>
    <w:p>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28.住房保障支出（</w:t>
      </w:r>
      <w:r>
        <w:rPr>
          <w:rFonts w:hint="eastAsia" w:ascii="仿宋_GB2312" w:eastAsia="仿宋_GB2312"/>
          <w:sz w:val="32"/>
          <w:szCs w:val="32"/>
          <w:lang w:eastAsia="zh-CN"/>
        </w:rPr>
        <w:t>类</w:t>
      </w:r>
      <w:r>
        <w:rPr>
          <w:rFonts w:hint="eastAsia" w:ascii="仿宋_GB2312" w:eastAsia="仿宋_GB2312"/>
          <w:sz w:val="32"/>
          <w:szCs w:val="32"/>
        </w:rPr>
        <w:t>）住房改革支出（</w:t>
      </w:r>
      <w:r>
        <w:rPr>
          <w:rFonts w:hint="eastAsia" w:ascii="仿宋_GB2312" w:eastAsia="仿宋_GB2312"/>
          <w:sz w:val="32"/>
          <w:szCs w:val="32"/>
          <w:lang w:eastAsia="zh-CN"/>
        </w:rPr>
        <w:t>款</w:t>
      </w:r>
      <w:r>
        <w:rPr>
          <w:rFonts w:hint="eastAsia" w:ascii="仿宋_GB2312" w:eastAsia="仿宋_GB2312"/>
          <w:sz w:val="32"/>
          <w:szCs w:val="32"/>
        </w:rPr>
        <w:t>）住房公积金（</w:t>
      </w:r>
      <w:r>
        <w:rPr>
          <w:rFonts w:hint="eastAsia" w:ascii="仿宋_GB2312" w:eastAsia="仿宋_GB2312"/>
          <w:sz w:val="32"/>
          <w:szCs w:val="32"/>
          <w:lang w:eastAsia="zh-CN"/>
        </w:rPr>
        <w:t>项</w:t>
      </w:r>
      <w:r>
        <w:rPr>
          <w:rFonts w:hint="eastAsia" w:ascii="仿宋_GB2312" w:eastAsia="仿宋_GB2312"/>
          <w:sz w:val="32"/>
          <w:szCs w:val="32"/>
        </w:rPr>
        <w:t>）：反映行政事业单位按人力资源和社会保障部、财政部规定的基本工资和津贴补贴以及规定比例为职工缴纳的住房公积金。</w:t>
      </w:r>
    </w:p>
    <w:p>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29.住房保障支出（</w:t>
      </w:r>
      <w:r>
        <w:rPr>
          <w:rFonts w:hint="eastAsia" w:ascii="仿宋_GB2312" w:eastAsia="仿宋_GB2312"/>
          <w:sz w:val="32"/>
          <w:szCs w:val="32"/>
          <w:lang w:eastAsia="zh-CN"/>
        </w:rPr>
        <w:t>类</w:t>
      </w:r>
      <w:r>
        <w:rPr>
          <w:rFonts w:hint="eastAsia" w:ascii="仿宋_GB2312" w:eastAsia="仿宋_GB2312"/>
          <w:sz w:val="32"/>
          <w:szCs w:val="32"/>
        </w:rPr>
        <w:t>）住房改革支出（</w:t>
      </w:r>
      <w:r>
        <w:rPr>
          <w:rFonts w:hint="eastAsia" w:ascii="仿宋_GB2312" w:eastAsia="仿宋_GB2312"/>
          <w:sz w:val="32"/>
          <w:szCs w:val="32"/>
          <w:lang w:eastAsia="zh-CN"/>
        </w:rPr>
        <w:t>款</w:t>
      </w:r>
      <w:r>
        <w:rPr>
          <w:rFonts w:hint="eastAsia" w:ascii="仿宋_GB2312" w:eastAsia="仿宋_GB2312"/>
          <w:sz w:val="32"/>
          <w:szCs w:val="32"/>
        </w:rPr>
        <w:t>）购房补贴（</w:t>
      </w:r>
      <w:r>
        <w:rPr>
          <w:rFonts w:hint="eastAsia" w:ascii="仿宋_GB2312" w:eastAsia="仿宋_GB2312"/>
          <w:sz w:val="32"/>
          <w:szCs w:val="32"/>
          <w:lang w:eastAsia="zh-CN"/>
        </w:rPr>
        <w:t>项</w:t>
      </w:r>
      <w:r>
        <w:rPr>
          <w:rFonts w:hint="eastAsia" w:ascii="仿宋_GB2312" w:eastAsia="仿宋_GB2312"/>
          <w:sz w:val="32"/>
          <w:szCs w:val="32"/>
        </w:rPr>
        <w:t>）：反映按房改政策规定，行政事业单位向符合条件职工（含离退休人员）、军队（含武警）向转役复员离退休人员发放的用于购买住房的补贴。</w:t>
      </w:r>
    </w:p>
    <w:p>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30.其他支出（</w:t>
      </w:r>
      <w:r>
        <w:rPr>
          <w:rFonts w:hint="eastAsia" w:ascii="仿宋_GB2312" w:eastAsia="仿宋_GB2312"/>
          <w:sz w:val="32"/>
          <w:szCs w:val="32"/>
          <w:lang w:eastAsia="zh-CN"/>
        </w:rPr>
        <w:t>类</w:t>
      </w:r>
      <w:r>
        <w:rPr>
          <w:rFonts w:hint="eastAsia" w:ascii="仿宋_GB2312" w:eastAsia="仿宋_GB2312"/>
          <w:sz w:val="32"/>
          <w:szCs w:val="32"/>
        </w:rPr>
        <w:t>）其他支出（</w:t>
      </w:r>
      <w:r>
        <w:rPr>
          <w:rFonts w:hint="eastAsia" w:ascii="仿宋_GB2312" w:eastAsia="仿宋_GB2312"/>
          <w:sz w:val="32"/>
          <w:szCs w:val="32"/>
          <w:lang w:eastAsia="zh-CN"/>
        </w:rPr>
        <w:t>款</w:t>
      </w:r>
      <w:r>
        <w:rPr>
          <w:rFonts w:hint="eastAsia" w:ascii="仿宋_GB2312" w:eastAsia="仿宋_GB2312"/>
          <w:sz w:val="32"/>
          <w:szCs w:val="32"/>
        </w:rPr>
        <w:t>）其他支出（</w:t>
      </w:r>
      <w:r>
        <w:rPr>
          <w:rFonts w:hint="eastAsia" w:ascii="仿宋_GB2312" w:eastAsia="仿宋_GB2312"/>
          <w:sz w:val="32"/>
          <w:szCs w:val="32"/>
          <w:lang w:eastAsia="zh-CN"/>
        </w:rPr>
        <w:t>项</w:t>
      </w:r>
      <w:r>
        <w:rPr>
          <w:rFonts w:hint="eastAsia" w:ascii="仿宋_GB2312" w:eastAsia="仿宋_GB2312"/>
          <w:sz w:val="32"/>
          <w:szCs w:val="32"/>
        </w:rPr>
        <w:t>）:反映单位的其他支出。</w:t>
      </w:r>
    </w:p>
    <w:p>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31.基本支出：指为保障机构正常运转、完成日常工作任务而发生的人员支出和公用支出。</w:t>
      </w:r>
    </w:p>
    <w:p>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32.项目支出：指在基本支出之外为完成特定行政任务和事业发展目标所发生的支出。</w:t>
      </w:r>
    </w:p>
    <w:p>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33.经营支出：指事业单位在专业业务活动及其辅助活动之外开展非独立核算经营活动发生的支出。</w:t>
      </w:r>
    </w:p>
    <w:p>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34.“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hint="eastAsia" w:ascii="黑体" w:hAnsi="黑体" w:eastAsia="黑体"/>
          <w:sz w:val="44"/>
          <w:szCs w:val="44"/>
        </w:rPr>
      </w:pPr>
      <w:r>
        <w:rPr>
          <w:rFonts w:hint="eastAsia" w:ascii="仿宋_GB2312" w:eastAsia="仿宋_GB2312"/>
          <w:sz w:val="32"/>
          <w:szCs w:val="32"/>
        </w:rPr>
        <w:t>35.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ageBreakBefore w:val="0"/>
        <w:numPr>
          <w:ilvl w:val="0"/>
          <w:numId w:val="0"/>
        </w:numPr>
        <w:kinsoku/>
        <w:wordWrap/>
        <w:overflowPunct/>
        <w:topLinePunct w:val="0"/>
        <w:bidi w:val="0"/>
        <w:spacing w:line="576" w:lineRule="exact"/>
        <w:jc w:val="center"/>
        <w:outlineLvl w:val="0"/>
        <w:rPr>
          <w:rFonts w:hint="eastAsia" w:ascii="Times New Roman" w:hAnsi="Times New Roman" w:eastAsia="黑体"/>
          <w:color w:val="auto"/>
          <w:sz w:val="44"/>
          <w:szCs w:val="44"/>
          <w:highlight w:val="none"/>
          <w:lang w:eastAsia="zh-CN"/>
        </w:rPr>
      </w:pPr>
      <w:r>
        <w:rPr>
          <w:rFonts w:hint="eastAsia" w:ascii="Times New Roman" w:hAnsi="Times New Roman" w:eastAsia="仿宋_GB2312" w:cs="仿宋_GB2312"/>
          <w:color w:val="auto"/>
          <w:kern w:val="2"/>
          <w:sz w:val="32"/>
          <w:szCs w:val="32"/>
          <w:highlight w:val="none"/>
          <w:lang w:val="en-US" w:eastAsia="zh-CN" w:bidi="ar-SA"/>
        </w:rPr>
        <w:br w:type="page"/>
      </w:r>
      <w:bookmarkStart w:id="104" w:name="_Toc831028808"/>
      <w:bookmarkStart w:id="105" w:name="_Toc6127"/>
      <w:bookmarkStart w:id="106" w:name="_Toc15396614"/>
      <w:r>
        <w:rPr>
          <w:rFonts w:hint="eastAsia" w:ascii="Times New Roman" w:hAnsi="Times New Roman" w:eastAsia="黑体"/>
          <w:color w:val="auto"/>
          <w:sz w:val="44"/>
          <w:szCs w:val="44"/>
          <w:highlight w:val="none"/>
        </w:rPr>
        <w:t>第四部分</w:t>
      </w:r>
      <w:r>
        <w:rPr>
          <w:rFonts w:hint="eastAsia" w:ascii="Times New Roman" w:hAnsi="Times New Roman" w:eastAsia="黑体"/>
          <w:color w:val="auto"/>
          <w:sz w:val="44"/>
          <w:szCs w:val="44"/>
          <w:highlight w:val="none"/>
          <w:lang w:val="en-US" w:eastAsia="zh-CN"/>
        </w:rPr>
        <w:t xml:space="preserve"> </w:t>
      </w:r>
      <w:r>
        <w:rPr>
          <w:rFonts w:hint="eastAsia" w:ascii="Times New Roman" w:hAnsi="Times New Roman" w:eastAsia="黑体"/>
          <w:color w:val="auto"/>
          <w:sz w:val="44"/>
          <w:szCs w:val="44"/>
          <w:highlight w:val="none"/>
        </w:rPr>
        <w:t xml:space="preserve"> 附件</w:t>
      </w:r>
      <w:bookmarkEnd w:id="104"/>
      <w:bookmarkEnd w:id="105"/>
      <w:bookmarkEnd w:id="106"/>
    </w:p>
    <w:p>
      <w:pPr>
        <w:keepNext w:val="0"/>
        <w:keepLines w:val="0"/>
        <w:pageBreakBefore w:val="0"/>
        <w:kinsoku/>
        <w:wordWrap/>
        <w:overflowPunct/>
        <w:topLinePunct w:val="0"/>
        <w:autoSpaceDE/>
        <w:autoSpaceDN/>
        <w:bidi w:val="0"/>
        <w:spacing w:line="576" w:lineRule="exact"/>
        <w:jc w:val="left"/>
        <w:textAlignment w:val="auto"/>
        <w:outlineLvl w:val="0"/>
        <w:rPr>
          <w:rFonts w:hint="eastAsia" w:ascii="Times New Roman" w:hAnsi="Times New Roman" w:eastAsia="黑体" w:cs="黑体"/>
          <w:color w:val="FF0000"/>
          <w:sz w:val="32"/>
          <w:szCs w:val="32"/>
          <w:highlight w:val="none"/>
        </w:rPr>
      </w:pPr>
    </w:p>
    <w:p>
      <w:pPr>
        <w:keepNext w:val="0"/>
        <w:keepLines w:val="0"/>
        <w:pageBreakBefore w:val="0"/>
        <w:kinsoku/>
        <w:wordWrap/>
        <w:overflowPunct/>
        <w:topLinePunct w:val="0"/>
        <w:autoSpaceDE/>
        <w:autoSpaceDN/>
        <w:bidi w:val="0"/>
        <w:spacing w:line="576" w:lineRule="exact"/>
        <w:jc w:val="left"/>
        <w:textAlignment w:val="auto"/>
        <w:outlineLvl w:val="0"/>
        <w:rPr>
          <w:rFonts w:hint="eastAsia" w:ascii="Times New Roman" w:hAnsi="Times New Roman" w:eastAsia="黑体" w:cs="方正小标宋简体"/>
          <w:color w:val="auto"/>
          <w:sz w:val="44"/>
          <w:szCs w:val="44"/>
          <w:highlight w:val="none"/>
          <w:lang w:val="en-US" w:eastAsia="zh-CN"/>
        </w:rPr>
      </w:pPr>
      <w:bookmarkStart w:id="107" w:name="_Toc1858688826"/>
      <w:bookmarkStart w:id="108" w:name="_Toc16464"/>
      <w:r>
        <w:rPr>
          <w:rFonts w:hint="eastAsia" w:ascii="Times New Roman" w:hAnsi="Times New Roman" w:eastAsia="黑体" w:cs="黑体"/>
          <w:color w:val="auto"/>
          <w:sz w:val="32"/>
          <w:szCs w:val="32"/>
          <w:highlight w:val="none"/>
        </w:rPr>
        <w:t>附件</w:t>
      </w:r>
      <w:r>
        <w:rPr>
          <w:rFonts w:hint="eastAsia" w:ascii="Times New Roman" w:hAnsi="Times New Roman" w:eastAsia="黑体" w:cs="黑体"/>
          <w:color w:val="auto"/>
          <w:sz w:val="32"/>
          <w:szCs w:val="32"/>
          <w:highlight w:val="none"/>
          <w:lang w:val="en-US" w:eastAsia="zh-CN"/>
        </w:rPr>
        <w:t>1</w:t>
      </w:r>
      <w:bookmarkEnd w:id="107"/>
      <w:bookmarkEnd w:id="108"/>
    </w:p>
    <w:p>
      <w:pPr>
        <w:keepNext w:val="0"/>
        <w:keepLines w:val="0"/>
        <w:pageBreakBefore w:val="0"/>
        <w:widowControl/>
        <w:kinsoku/>
        <w:wordWrap/>
        <w:overflowPunct/>
        <w:topLinePunct w:val="0"/>
        <w:autoSpaceDE/>
        <w:autoSpaceDN/>
        <w:bidi w:val="0"/>
        <w:spacing w:line="576" w:lineRule="exact"/>
        <w:contextualSpacing/>
        <w:jc w:val="center"/>
        <w:textAlignment w:val="auto"/>
        <w:outlineLvl w:val="9"/>
        <w:rPr>
          <w:rFonts w:hint="default" w:ascii="Times New Roman" w:hAnsi="Times New Roman" w:eastAsia="方正小标宋简体" w:cs="Times New Roman"/>
          <w:b w:val="0"/>
          <w:bCs/>
          <w:sz w:val="44"/>
          <w:szCs w:val="44"/>
          <w:highlight w:val="none"/>
          <w:shd w:val="clear" w:color="auto" w:fill="FFFFFF"/>
        </w:rPr>
      </w:pPr>
    </w:p>
    <w:p>
      <w:pPr>
        <w:keepNext w:val="0"/>
        <w:keepLines w:val="0"/>
        <w:pageBreakBefore w:val="0"/>
        <w:widowControl/>
        <w:kinsoku/>
        <w:wordWrap/>
        <w:overflowPunct/>
        <w:topLinePunct w:val="0"/>
        <w:autoSpaceDE/>
        <w:autoSpaceDN/>
        <w:bidi w:val="0"/>
        <w:spacing w:line="576" w:lineRule="exact"/>
        <w:contextualSpacing/>
        <w:jc w:val="center"/>
        <w:textAlignment w:val="auto"/>
        <w:outlineLvl w:val="9"/>
        <w:rPr>
          <w:rFonts w:hint="default" w:ascii="Times New Roman" w:hAnsi="Times New Roman" w:eastAsia="方正小标宋简体" w:cs="Times New Roman"/>
          <w:b w:val="0"/>
          <w:bCs/>
          <w:sz w:val="44"/>
          <w:szCs w:val="44"/>
          <w:highlight w:val="none"/>
          <w:shd w:val="clear" w:color="auto" w:fill="FFFFFF"/>
        </w:rPr>
      </w:pPr>
      <w:r>
        <w:rPr>
          <w:rFonts w:hint="default" w:ascii="Times New Roman" w:hAnsi="Times New Roman" w:eastAsia="方正小标宋简体" w:cs="Times New Roman"/>
          <w:b w:val="0"/>
          <w:bCs/>
          <w:sz w:val="44"/>
          <w:szCs w:val="44"/>
          <w:highlight w:val="none"/>
          <w:shd w:val="clear" w:color="auto" w:fill="FFFFFF"/>
        </w:rPr>
        <w:t>部门</w:t>
      </w:r>
      <w:r>
        <w:rPr>
          <w:rFonts w:hint="default" w:ascii="Times New Roman" w:hAnsi="Times New Roman" w:eastAsia="方正小标宋简体" w:cs="Times New Roman"/>
          <w:b w:val="0"/>
          <w:bCs/>
          <w:sz w:val="44"/>
          <w:szCs w:val="44"/>
          <w:highlight w:val="none"/>
          <w:shd w:val="clear" w:color="auto" w:fill="FFFFFF"/>
          <w:lang w:eastAsia="zh-CN"/>
        </w:rPr>
        <w:t>预算</w:t>
      </w:r>
      <w:r>
        <w:rPr>
          <w:rFonts w:hint="default" w:ascii="Times New Roman" w:hAnsi="Times New Roman" w:eastAsia="方正小标宋简体" w:cs="Times New Roman"/>
          <w:b w:val="0"/>
          <w:bCs/>
          <w:sz w:val="44"/>
          <w:szCs w:val="44"/>
          <w:highlight w:val="none"/>
          <w:shd w:val="clear" w:color="auto" w:fill="FFFFFF"/>
        </w:rPr>
        <w:t>绩效</w:t>
      </w:r>
      <w:r>
        <w:rPr>
          <w:rFonts w:hint="eastAsia" w:ascii="Times New Roman" w:hAnsi="Times New Roman" w:eastAsia="方正小标宋简体" w:cs="Times New Roman"/>
          <w:b w:val="0"/>
          <w:bCs/>
          <w:sz w:val="44"/>
          <w:szCs w:val="44"/>
          <w:highlight w:val="none"/>
          <w:shd w:val="clear" w:color="auto" w:fill="FFFFFF"/>
          <w:lang w:eastAsia="zh-CN"/>
        </w:rPr>
        <w:t>评价</w:t>
      </w:r>
      <w:r>
        <w:rPr>
          <w:rFonts w:hint="default" w:ascii="Times New Roman" w:hAnsi="Times New Roman" w:eastAsia="方正小标宋简体" w:cs="Times New Roman"/>
          <w:b w:val="0"/>
          <w:bCs/>
          <w:sz w:val="44"/>
          <w:szCs w:val="44"/>
          <w:highlight w:val="none"/>
          <w:shd w:val="clear" w:color="auto" w:fill="FFFFFF"/>
        </w:rPr>
        <w:t>报告</w:t>
      </w:r>
    </w:p>
    <w:p>
      <w:pPr>
        <w:keepNext w:val="0"/>
        <w:keepLines w:val="0"/>
        <w:pageBreakBefore w:val="0"/>
        <w:widowControl/>
        <w:kinsoku/>
        <w:wordWrap/>
        <w:overflowPunct/>
        <w:topLinePunct w:val="0"/>
        <w:autoSpaceDE/>
        <w:autoSpaceDN/>
        <w:bidi w:val="0"/>
        <w:adjustRightInd w:val="0"/>
        <w:snapToGrid w:val="0"/>
        <w:spacing w:line="576" w:lineRule="exact"/>
        <w:contextualSpacing/>
        <w:jc w:val="left"/>
        <w:textAlignment w:val="auto"/>
        <w:outlineLvl w:val="9"/>
        <w:rPr>
          <w:rFonts w:hint="default" w:ascii="Times New Roman" w:hAnsi="Times New Roman" w:eastAsia="黑体" w:cs="Times New Roman"/>
          <w:color w:val="000000"/>
          <w:kern w:val="0"/>
          <w:sz w:val="24"/>
          <w:szCs w:val="32"/>
          <w:highlight w:val="none"/>
          <w:shd w:val="clear" w:color="auto" w:fill="FFFFFF"/>
        </w:rPr>
      </w:pPr>
    </w:p>
    <w:p>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left"/>
        <w:textAlignment w:val="auto"/>
        <w:outlineLvl w:val="9"/>
        <w:rPr>
          <w:rFonts w:hint="default" w:ascii="Times New Roman" w:hAnsi="Times New Roman" w:eastAsia="黑体" w:cs="Times New Roman"/>
          <w:color w:val="000000"/>
          <w:kern w:val="0"/>
          <w:sz w:val="32"/>
          <w:szCs w:val="32"/>
          <w:highlight w:val="none"/>
          <w:shd w:val="clear" w:color="auto" w:fill="FFFFFF"/>
          <w:lang w:val="zh-CN"/>
        </w:rPr>
      </w:pPr>
      <w:r>
        <w:rPr>
          <w:rFonts w:hint="eastAsia" w:ascii="Times New Roman" w:hAnsi="Times New Roman" w:eastAsia="黑体" w:cs="Times New Roman"/>
          <w:color w:val="000000"/>
          <w:kern w:val="0"/>
          <w:sz w:val="32"/>
          <w:szCs w:val="32"/>
          <w:highlight w:val="none"/>
          <w:shd w:val="clear" w:color="auto" w:fill="FFFFFF"/>
          <w:lang w:val="zh-CN"/>
        </w:rPr>
        <w:t>一、</w:t>
      </w:r>
      <w:r>
        <w:rPr>
          <w:rFonts w:hint="default" w:ascii="Times New Roman" w:hAnsi="Times New Roman" w:eastAsia="黑体" w:cs="Times New Roman"/>
          <w:color w:val="000000"/>
          <w:kern w:val="0"/>
          <w:sz w:val="32"/>
          <w:szCs w:val="32"/>
          <w:highlight w:val="none"/>
          <w:shd w:val="clear" w:color="auto" w:fill="FFFFFF"/>
          <w:lang w:val="zh-CN"/>
        </w:rPr>
        <w:t>部门（单位）基本情况</w:t>
      </w:r>
    </w:p>
    <w:p>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2" w:firstLineChars="200"/>
        <w:contextualSpacing/>
        <w:jc w:val="left"/>
        <w:textAlignment w:val="auto"/>
        <w:outlineLvl w:val="9"/>
        <w:rPr>
          <w:rFonts w:hint="default" w:ascii="Times New Roman" w:hAnsi="Times New Roman" w:eastAsia="楷体_GB2312" w:cs="楷体_GB2312"/>
          <w:b/>
          <w:color w:val="auto"/>
          <w:sz w:val="32"/>
          <w:szCs w:val="32"/>
          <w:highlight w:val="none"/>
          <w:lang w:val="zh-CN"/>
        </w:rPr>
      </w:pPr>
      <w:r>
        <w:rPr>
          <w:rFonts w:hint="eastAsia" w:ascii="Times New Roman" w:hAnsi="Times New Roman" w:eastAsia="楷体_GB2312" w:cs="楷体_GB2312"/>
          <w:b/>
          <w:color w:val="auto"/>
          <w:sz w:val="32"/>
          <w:szCs w:val="32"/>
          <w:highlight w:val="none"/>
          <w:lang w:val="zh-CN"/>
        </w:rPr>
        <w:t>（一）</w:t>
      </w:r>
      <w:r>
        <w:rPr>
          <w:rFonts w:hint="default" w:ascii="Times New Roman" w:hAnsi="Times New Roman" w:eastAsia="楷体_GB2312" w:cs="楷体_GB2312"/>
          <w:b/>
          <w:color w:val="auto"/>
          <w:sz w:val="32"/>
          <w:szCs w:val="32"/>
          <w:highlight w:val="none"/>
          <w:lang w:val="zh-CN"/>
        </w:rPr>
        <w:t>机构组成</w:t>
      </w:r>
    </w:p>
    <w:p>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left"/>
        <w:textAlignment w:val="auto"/>
        <w:outlineLvl w:val="9"/>
        <w:rPr>
          <w:rFonts w:hint="default"/>
        </w:rPr>
      </w:pPr>
      <w:r>
        <w:rPr>
          <w:rFonts w:hint="eastAsia" w:ascii="仿宋_GB2312" w:hAnsi="仿宋_GB2312" w:eastAsia="仿宋_GB2312" w:cs="仿宋_GB2312"/>
          <w:sz w:val="32"/>
          <w:szCs w:val="32"/>
        </w:rPr>
        <w:t>茂县叠溪镇人民政府</w:t>
      </w:r>
      <w:r>
        <w:rPr>
          <w:rFonts w:hint="eastAsia" w:ascii="仿宋_GB2312" w:hAnsi="仿宋_GB2312" w:eastAsia="仿宋_GB2312" w:cs="仿宋_GB2312"/>
          <w:sz w:val="32"/>
          <w:szCs w:val="32"/>
          <w:lang w:eastAsia="zh-CN"/>
        </w:rPr>
        <w:t>属一级预算单位，</w:t>
      </w:r>
      <w:r>
        <w:rPr>
          <w:rFonts w:hint="eastAsia" w:ascii="仿宋_GB2312" w:hAnsi="仿宋_GB2312" w:eastAsia="仿宋_GB2312" w:cs="仿宋_GB2312"/>
          <w:sz w:val="32"/>
          <w:szCs w:val="32"/>
        </w:rPr>
        <w:t>下属二级单位2个，其中行政单位1个，参照公务员法管理的事业单位0个，其他事业单位1个。其中内设机构11个,</w:t>
      </w:r>
      <w:r>
        <w:rPr>
          <w:rFonts w:hint="eastAsia" w:ascii="仿宋_GB2312" w:hAnsi="仿宋_GB2312" w:eastAsia="仿宋_GB2312" w:cs="仿宋_GB2312"/>
          <w:sz w:val="32"/>
          <w:szCs w:val="32"/>
          <w:lang w:eastAsia="zh-CN"/>
        </w:rPr>
        <w:t>分别是：</w:t>
      </w:r>
      <w:r>
        <w:rPr>
          <w:rFonts w:hint="eastAsia" w:ascii="仿宋_GB2312" w:hAnsi="仿宋_GB2312" w:eastAsia="仿宋_GB2312" w:cs="仿宋_GB2312"/>
          <w:sz w:val="32"/>
          <w:szCs w:val="32"/>
        </w:rPr>
        <w:t>叠溪镇党政办公室</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叠溪镇党建工作办公室</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叠溪镇</w:t>
      </w:r>
      <w:r>
        <w:rPr>
          <w:rFonts w:hint="eastAsia" w:ascii="仿宋_GB2312" w:hAnsi="仿宋_GB2312" w:eastAsia="仿宋_GB2312" w:cs="仿宋_GB2312"/>
          <w:sz w:val="32"/>
          <w:szCs w:val="32"/>
          <w:lang w:eastAsia="zh-CN"/>
        </w:rPr>
        <w:t>社会事务经济发展和乡村振兴</w:t>
      </w:r>
      <w:r>
        <w:rPr>
          <w:rFonts w:hint="eastAsia" w:ascii="仿宋_GB2312" w:hAnsi="仿宋_GB2312" w:eastAsia="仿宋_GB2312" w:cs="仿宋_GB2312"/>
          <w:sz w:val="32"/>
          <w:szCs w:val="32"/>
        </w:rPr>
        <w:t>办公室</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叠溪镇</w:t>
      </w:r>
      <w:r>
        <w:rPr>
          <w:rFonts w:hint="eastAsia" w:ascii="仿宋_GB2312" w:hAnsi="仿宋_GB2312" w:eastAsia="仿宋_GB2312" w:cs="仿宋_GB2312"/>
          <w:sz w:val="32"/>
          <w:szCs w:val="32"/>
          <w:lang w:eastAsia="zh-CN"/>
        </w:rPr>
        <w:t>社会治理和维护稳定</w:t>
      </w:r>
      <w:r>
        <w:rPr>
          <w:rFonts w:hint="eastAsia" w:ascii="仿宋_GB2312" w:hAnsi="仿宋_GB2312" w:eastAsia="仿宋_GB2312" w:cs="仿宋_GB2312"/>
          <w:sz w:val="32"/>
          <w:szCs w:val="32"/>
        </w:rPr>
        <w:t>办公室</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叠溪镇</w:t>
      </w:r>
      <w:r>
        <w:rPr>
          <w:rFonts w:hint="eastAsia" w:ascii="仿宋_GB2312" w:hAnsi="仿宋_GB2312" w:eastAsia="仿宋_GB2312" w:cs="仿宋_GB2312"/>
          <w:sz w:val="32"/>
          <w:szCs w:val="32"/>
          <w:lang w:eastAsia="zh-CN"/>
        </w:rPr>
        <w:t>应急管理</w:t>
      </w:r>
      <w:r>
        <w:rPr>
          <w:rFonts w:hint="eastAsia" w:ascii="仿宋_GB2312" w:hAnsi="仿宋_GB2312" w:eastAsia="仿宋_GB2312" w:cs="仿宋_GB2312"/>
          <w:sz w:val="32"/>
          <w:szCs w:val="32"/>
        </w:rPr>
        <w:t>办公室</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叠溪镇</w:t>
      </w:r>
      <w:r>
        <w:rPr>
          <w:rFonts w:hint="eastAsia" w:ascii="仿宋_GB2312" w:hAnsi="仿宋_GB2312" w:eastAsia="仿宋_GB2312" w:cs="仿宋_GB2312"/>
          <w:sz w:val="32"/>
          <w:szCs w:val="32"/>
          <w:lang w:eastAsia="zh-CN"/>
        </w:rPr>
        <w:t>综合行政执法和生态环境</w:t>
      </w:r>
      <w:r>
        <w:rPr>
          <w:rFonts w:hint="eastAsia" w:ascii="仿宋_GB2312" w:hAnsi="仿宋_GB2312" w:eastAsia="仿宋_GB2312" w:cs="仿宋_GB2312"/>
          <w:sz w:val="32"/>
          <w:szCs w:val="32"/>
        </w:rPr>
        <w:t>办公室</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叠溪镇</w:t>
      </w:r>
      <w:r>
        <w:rPr>
          <w:rFonts w:hint="eastAsia" w:ascii="仿宋_GB2312" w:hAnsi="仿宋_GB2312" w:eastAsia="仿宋_GB2312" w:cs="仿宋_GB2312"/>
          <w:sz w:val="32"/>
          <w:szCs w:val="32"/>
          <w:lang w:eastAsia="zh-CN"/>
        </w:rPr>
        <w:t>财政</w:t>
      </w:r>
      <w:r>
        <w:rPr>
          <w:rFonts w:hint="eastAsia" w:ascii="仿宋_GB2312" w:hAnsi="仿宋_GB2312" w:eastAsia="仿宋_GB2312" w:cs="仿宋_GB2312"/>
          <w:sz w:val="32"/>
          <w:szCs w:val="32"/>
        </w:rPr>
        <w:t>办公室</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叠溪镇便民服务中心</w:t>
      </w:r>
      <w:r>
        <w:rPr>
          <w:rFonts w:hint="eastAsia" w:ascii="仿宋_GB2312" w:hAnsi="仿宋_GB2312" w:eastAsia="仿宋_GB2312" w:cs="仿宋_GB2312"/>
          <w:sz w:val="32"/>
          <w:szCs w:val="32"/>
          <w:lang w:eastAsia="zh-CN"/>
        </w:rPr>
        <w:t>（退役军人服务站）、</w:t>
      </w:r>
      <w:r>
        <w:rPr>
          <w:rFonts w:hint="eastAsia" w:ascii="仿宋_GB2312" w:hAnsi="仿宋_GB2312" w:eastAsia="仿宋_GB2312" w:cs="仿宋_GB2312"/>
          <w:sz w:val="32"/>
          <w:szCs w:val="32"/>
        </w:rPr>
        <w:t>叠溪镇</w:t>
      </w:r>
      <w:r>
        <w:rPr>
          <w:rFonts w:hint="eastAsia" w:ascii="仿宋_GB2312" w:hAnsi="仿宋_GB2312" w:eastAsia="仿宋_GB2312" w:cs="仿宋_GB2312"/>
          <w:sz w:val="32"/>
          <w:szCs w:val="32"/>
          <w:lang w:eastAsia="zh-CN"/>
        </w:rPr>
        <w:t>村镇规划建设服务</w:t>
      </w:r>
      <w:r>
        <w:rPr>
          <w:rFonts w:hint="eastAsia" w:ascii="仿宋_GB2312" w:hAnsi="仿宋_GB2312" w:eastAsia="仿宋_GB2312" w:cs="仿宋_GB2312"/>
          <w:sz w:val="32"/>
          <w:szCs w:val="32"/>
        </w:rPr>
        <w:t>中心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叠溪镇农业农村</w:t>
      </w:r>
      <w:r>
        <w:rPr>
          <w:rFonts w:hint="eastAsia" w:ascii="仿宋_GB2312" w:hAnsi="仿宋_GB2312" w:eastAsia="仿宋_GB2312" w:cs="仿宋_GB2312"/>
          <w:sz w:val="32"/>
          <w:szCs w:val="32"/>
          <w:lang w:eastAsia="zh-CN"/>
        </w:rPr>
        <w:t>服务</w:t>
      </w:r>
      <w:r>
        <w:rPr>
          <w:rFonts w:hint="eastAsia" w:ascii="仿宋_GB2312" w:hAnsi="仿宋_GB2312" w:eastAsia="仿宋_GB2312" w:cs="仿宋_GB2312"/>
          <w:sz w:val="32"/>
          <w:szCs w:val="32"/>
        </w:rPr>
        <w:t>中心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叠溪镇</w:t>
      </w:r>
      <w:r>
        <w:rPr>
          <w:rFonts w:hint="eastAsia" w:ascii="仿宋_GB2312" w:hAnsi="仿宋_GB2312" w:eastAsia="仿宋_GB2312" w:cs="仿宋_GB2312"/>
          <w:sz w:val="32"/>
          <w:szCs w:val="32"/>
          <w:lang w:eastAsia="zh-CN"/>
        </w:rPr>
        <w:t>文化体育广电和旅游综合</w:t>
      </w:r>
      <w:r>
        <w:rPr>
          <w:rFonts w:hint="eastAsia" w:ascii="仿宋_GB2312" w:hAnsi="仿宋_GB2312" w:eastAsia="仿宋_GB2312" w:cs="仿宋_GB2312"/>
          <w:sz w:val="32"/>
          <w:szCs w:val="32"/>
        </w:rPr>
        <w:t>服务中心。</w:t>
      </w:r>
    </w:p>
    <w:p>
      <w:pPr>
        <w:keepNext w:val="0"/>
        <w:keepLines w:val="0"/>
        <w:pageBreakBefore w:val="0"/>
        <w:widowControl/>
        <w:numPr>
          <w:ilvl w:val="0"/>
          <w:numId w:val="1"/>
        </w:numPr>
        <w:kinsoku/>
        <w:wordWrap/>
        <w:overflowPunct/>
        <w:topLinePunct w:val="0"/>
        <w:autoSpaceDE/>
        <w:autoSpaceDN/>
        <w:bidi w:val="0"/>
        <w:adjustRightInd w:val="0"/>
        <w:snapToGrid w:val="0"/>
        <w:spacing w:line="576" w:lineRule="exact"/>
        <w:ind w:firstLine="642" w:firstLineChars="200"/>
        <w:contextualSpacing/>
        <w:jc w:val="left"/>
        <w:textAlignment w:val="auto"/>
        <w:outlineLvl w:val="9"/>
        <w:rPr>
          <w:rFonts w:hint="eastAsia" w:ascii="Times New Roman" w:hAnsi="Times New Roman" w:eastAsia="楷体_GB2312" w:cs="楷体_GB2312"/>
          <w:b/>
          <w:color w:val="auto"/>
          <w:sz w:val="32"/>
          <w:szCs w:val="32"/>
          <w:highlight w:val="none"/>
          <w:lang w:val="zh-CN"/>
        </w:rPr>
      </w:pPr>
      <w:r>
        <w:rPr>
          <w:rFonts w:hint="default" w:ascii="Times New Roman" w:hAnsi="Times New Roman" w:eastAsia="楷体_GB2312" w:cs="楷体_GB2312"/>
          <w:b/>
          <w:color w:val="auto"/>
          <w:sz w:val="32"/>
          <w:szCs w:val="32"/>
          <w:highlight w:val="none"/>
          <w:lang w:val="zh-CN"/>
        </w:rPr>
        <w:t>机构职能</w:t>
      </w:r>
    </w:p>
    <w:p>
      <w:pPr>
        <w:keepNext w:val="0"/>
        <w:keepLines w:val="0"/>
        <w:pageBreakBefore w:val="0"/>
        <w:kinsoku/>
        <w:wordWrap/>
        <w:overflowPunct/>
        <w:topLinePunct w:val="0"/>
        <w:autoSpaceDE/>
        <w:autoSpaceDN/>
        <w:bidi w:val="0"/>
        <w:spacing w:line="576" w:lineRule="exact"/>
        <w:ind w:left="0" w:firstLine="640" w:firstLineChars="200"/>
        <w:jc w:val="lef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1.贯彻执行党和国家的路线方针政策和上级党委、政府各项决策部署，以及本级党员代表大会(党员大会)</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人民代表大会的决议决定。</w:t>
      </w:r>
    </w:p>
    <w:p>
      <w:pPr>
        <w:keepNext w:val="0"/>
        <w:keepLines w:val="0"/>
        <w:pageBreakBefore w:val="0"/>
        <w:kinsoku/>
        <w:wordWrap/>
        <w:overflowPunct/>
        <w:topLinePunct w:val="0"/>
        <w:autoSpaceDE/>
        <w:autoSpaceDN/>
        <w:bidi w:val="0"/>
        <w:spacing w:line="576" w:lineRule="exact"/>
        <w:ind w:left="0" w:firstLine="640" w:firstLineChars="200"/>
        <w:jc w:val="lef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讨论和决定本镇经济建设、政治建设、文化建设、社会建设、生态文明建设和党的建设以及乡村振兴中的重大问题。需由镇政权机关或者集体经济组织决定的重要事项，经镇党委研究讨论后，由镇政权机关或者集体经济组织依照法律和有关规定作出决定。</w:t>
      </w:r>
    </w:p>
    <w:p>
      <w:pPr>
        <w:keepNext w:val="0"/>
        <w:keepLines w:val="0"/>
        <w:pageBreakBefore w:val="0"/>
        <w:kinsoku/>
        <w:wordWrap/>
        <w:overflowPunct/>
        <w:topLinePunct w:val="0"/>
        <w:autoSpaceDE/>
        <w:autoSpaceDN/>
        <w:bidi w:val="0"/>
        <w:spacing w:line="576" w:lineRule="exact"/>
        <w:ind w:left="0" w:firstLine="640" w:firstLineChars="200"/>
        <w:jc w:val="lef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3.领导镇政权机关、群团组织和其他各类组织，加强指导和规范，支持和保证这些机关和组织依照国家法律法规以及各自章程履行职责。</w:t>
      </w:r>
    </w:p>
    <w:p>
      <w:pPr>
        <w:keepNext w:val="0"/>
        <w:keepLines w:val="0"/>
        <w:pageBreakBefore w:val="0"/>
        <w:kinsoku/>
        <w:wordWrap/>
        <w:overflowPunct/>
        <w:topLinePunct w:val="0"/>
        <w:autoSpaceDE/>
        <w:autoSpaceDN/>
        <w:bidi w:val="0"/>
        <w:spacing w:line="576" w:lineRule="exact"/>
        <w:ind w:left="0" w:firstLine="640" w:firstLineChars="200"/>
        <w:jc w:val="lef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4.加强党的建设。坚持全面从严治党，落实管党治党主体责任，全面加强党的政治建设、思想建设、组织建设、作风建设、纪律建设、制度建设等工作。不断强化自身建设和村党组织建设，以及其他隶属</w:t>
      </w:r>
      <w:r>
        <w:rPr>
          <w:rFonts w:hint="eastAsia" w:ascii="仿宋_GB2312" w:hAnsi="仿宋_GB2312" w:eastAsia="仿宋_GB2312" w:cs="仿宋_GB2312"/>
          <w:sz w:val="32"/>
          <w:szCs w:val="32"/>
          <w:lang w:eastAsia="zh-CN"/>
        </w:rPr>
        <w:t>叠溪</w:t>
      </w:r>
      <w:r>
        <w:rPr>
          <w:rFonts w:hint="eastAsia" w:ascii="仿宋_GB2312" w:hAnsi="仿宋_GB2312" w:eastAsia="仿宋_GB2312" w:cs="仿宋_GB2312"/>
          <w:sz w:val="32"/>
          <w:szCs w:val="32"/>
        </w:rPr>
        <w:t>镇党委的党组织建设，抓好发展党员工作，加强党员队伍建设。维护和执行党的纪律，监督党员干部和其他工作人员严格遵守国家法律法规。</w:t>
      </w:r>
    </w:p>
    <w:p>
      <w:pPr>
        <w:keepNext w:val="0"/>
        <w:keepLines w:val="0"/>
        <w:pageBreakBefore w:val="0"/>
        <w:kinsoku/>
        <w:wordWrap/>
        <w:overflowPunct/>
        <w:topLinePunct w:val="0"/>
        <w:autoSpaceDE/>
        <w:autoSpaceDN/>
        <w:bidi w:val="0"/>
        <w:spacing w:line="576" w:lineRule="exact"/>
        <w:ind w:left="0" w:firstLine="640" w:firstLineChars="200"/>
        <w:jc w:val="lef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5.按照干部管理权限，负责对干部的教育、培训、选拔、考核和监督工作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协助管理</w:t>
      </w:r>
      <w:r>
        <w:rPr>
          <w:rFonts w:hint="eastAsia" w:ascii="仿宋_GB2312" w:hAnsi="仿宋_GB2312" w:eastAsia="仿宋_GB2312" w:cs="仿宋_GB2312"/>
          <w:sz w:val="32"/>
          <w:szCs w:val="32"/>
          <w:lang w:eastAsia="zh-CN"/>
        </w:rPr>
        <w:t>上</w:t>
      </w:r>
      <w:r>
        <w:rPr>
          <w:rFonts w:hint="eastAsia" w:ascii="仿宋_GB2312" w:hAnsi="仿宋_GB2312" w:eastAsia="仿宋_GB2312" w:cs="仿宋_GB2312"/>
          <w:sz w:val="32"/>
          <w:szCs w:val="32"/>
        </w:rPr>
        <w:t>级有关部门驻镇单位的干部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做好人才服务和引进工作。</w:t>
      </w:r>
    </w:p>
    <w:p>
      <w:pPr>
        <w:keepNext w:val="0"/>
        <w:keepLines w:val="0"/>
        <w:pageBreakBefore w:val="0"/>
        <w:kinsoku/>
        <w:wordWrap/>
        <w:overflowPunct/>
        <w:topLinePunct w:val="0"/>
        <w:autoSpaceDE/>
        <w:autoSpaceDN/>
        <w:bidi w:val="0"/>
        <w:spacing w:line="576" w:lineRule="exact"/>
        <w:ind w:left="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6.统筹区域发展。</w:t>
      </w:r>
      <w:r>
        <w:rPr>
          <w:rFonts w:hint="eastAsia" w:ascii="仿宋_GB2312" w:hAnsi="仿宋_GB2312" w:eastAsia="仿宋_GB2312" w:cs="仿宋_GB2312"/>
          <w:sz w:val="32"/>
          <w:szCs w:val="32"/>
          <w:lang w:eastAsia="zh-CN"/>
        </w:rPr>
        <w:t>负责落实创新驱动发展、可持续发展战略目标任务，落实新发展理念，推动经济高质量发展；</w:t>
      </w:r>
      <w:r>
        <w:rPr>
          <w:rFonts w:hint="eastAsia" w:ascii="仿宋_GB2312" w:hAnsi="仿宋_GB2312" w:eastAsia="仿宋_GB2312" w:cs="仿宋_GB2312"/>
          <w:sz w:val="32"/>
          <w:szCs w:val="32"/>
        </w:rPr>
        <w:t>落实关于辖区发展的重大决策，制定辖区经济和社会发展规划、公共服务设施布局;负责乡村振兴工作，做好民生保障、</w:t>
      </w:r>
      <w:r>
        <w:rPr>
          <w:rFonts w:hint="eastAsia" w:ascii="仿宋_GB2312" w:hAnsi="仿宋_GB2312" w:eastAsia="仿宋_GB2312" w:cs="仿宋_GB2312"/>
          <w:sz w:val="32"/>
          <w:szCs w:val="32"/>
          <w:lang w:eastAsia="zh-CN"/>
        </w:rPr>
        <w:t>返贫监测和帮扶</w:t>
      </w:r>
      <w:r>
        <w:rPr>
          <w:rFonts w:hint="eastAsia" w:ascii="仿宋_GB2312" w:hAnsi="仿宋_GB2312" w:eastAsia="仿宋_GB2312" w:cs="仿宋_GB2312"/>
          <w:sz w:val="32"/>
          <w:szCs w:val="32"/>
        </w:rPr>
        <w:t>、民族宗教等工作，推动辖区经济社会健康、有序、可持续发展</w:t>
      </w:r>
      <w:r>
        <w:rPr>
          <w:rFonts w:hint="eastAsia" w:ascii="仿宋_GB2312" w:hAnsi="仿宋_GB2312" w:eastAsia="仿宋_GB2312" w:cs="仿宋_GB2312"/>
          <w:sz w:val="32"/>
          <w:szCs w:val="32"/>
          <w:lang w:eastAsia="zh-CN"/>
        </w:rPr>
        <w:t>；负责指导辖区基层供销合作社工作</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E/>
        <w:autoSpaceDN/>
        <w:bidi w:val="0"/>
        <w:spacing w:line="576"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7.强化基层治理。负责本辖区社会治理，加强社会主义民主法治建设和精神文明建设，加快推进基层社会治理体系和治理能力现代化;指导村委会建设，健全自治平台，组织群众和单位参与村委会建设和管理。</w:t>
      </w:r>
    </w:p>
    <w:p>
      <w:pPr>
        <w:keepNext w:val="0"/>
        <w:keepLines w:val="0"/>
        <w:pageBreakBefore w:val="0"/>
        <w:kinsoku/>
        <w:wordWrap/>
        <w:overflowPunct/>
        <w:topLinePunct w:val="0"/>
        <w:autoSpaceDE/>
        <w:autoSpaceDN/>
        <w:bidi w:val="0"/>
        <w:spacing w:line="576" w:lineRule="exact"/>
        <w:ind w:left="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8.优化公共服务。推进服务型政府建设，组织实施并优化教育、卫生健康、文化、民政、社会保障、退役军人事务等各项公共服务。</w:t>
      </w:r>
    </w:p>
    <w:p>
      <w:pPr>
        <w:keepNext w:val="0"/>
        <w:keepLines w:val="0"/>
        <w:pageBreakBefore w:val="0"/>
        <w:kinsoku/>
        <w:wordWrap/>
        <w:overflowPunct/>
        <w:topLinePunct w:val="0"/>
        <w:autoSpaceDE/>
        <w:autoSpaceDN/>
        <w:bidi w:val="0"/>
        <w:spacing w:line="576" w:lineRule="exact"/>
        <w:ind w:left="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9.负责辖区范围内的应急管理、社会稳定、安全生产、生态环境保护、社会信用体系建设和审批服务便民化等工作。</w:t>
      </w:r>
    </w:p>
    <w:p>
      <w:pPr>
        <w:keepNext w:val="0"/>
        <w:keepLines w:val="0"/>
        <w:pageBreakBefore w:val="0"/>
        <w:kinsoku/>
        <w:wordWrap/>
        <w:overflowPunct/>
        <w:topLinePunct w:val="0"/>
        <w:autoSpaceDE/>
        <w:autoSpaceDN/>
        <w:bidi w:val="0"/>
        <w:spacing w:line="576" w:lineRule="exact"/>
        <w:ind w:left="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10.负责辖区农村经营管理体系建设工作。</w:t>
      </w:r>
    </w:p>
    <w:p>
      <w:pPr>
        <w:keepNext w:val="0"/>
        <w:keepLines w:val="0"/>
        <w:pageBreakBefore w:val="0"/>
        <w:kinsoku/>
        <w:wordWrap/>
        <w:overflowPunct/>
        <w:topLinePunct w:val="0"/>
        <w:autoSpaceDE/>
        <w:autoSpaceDN/>
        <w:bidi w:val="0"/>
        <w:spacing w:line="576" w:lineRule="exact"/>
        <w:ind w:left="0" w:firstLine="640" w:firstLineChars="200"/>
        <w:textAlignment w:val="auto"/>
        <w:rPr>
          <w:rFonts w:hint="default"/>
          <w:lang w:val="zh-CN"/>
        </w:rPr>
      </w:pPr>
      <w:r>
        <w:rPr>
          <w:rFonts w:hint="eastAsia" w:ascii="仿宋_GB2312" w:hAnsi="仿宋_GB2312" w:eastAsia="仿宋_GB2312" w:cs="仿宋_GB2312"/>
          <w:sz w:val="32"/>
          <w:szCs w:val="32"/>
        </w:rPr>
        <w:t>11.完成县委、县政府交办的其他任务。</w:t>
      </w:r>
    </w:p>
    <w:p>
      <w:pPr>
        <w:keepNext w:val="0"/>
        <w:keepLines w:val="0"/>
        <w:pageBreakBefore w:val="0"/>
        <w:widowControl/>
        <w:kinsoku/>
        <w:wordWrap/>
        <w:overflowPunct/>
        <w:topLinePunct w:val="0"/>
        <w:autoSpaceDE/>
        <w:autoSpaceDN/>
        <w:bidi w:val="0"/>
        <w:adjustRightInd w:val="0"/>
        <w:snapToGrid w:val="0"/>
        <w:spacing w:line="576" w:lineRule="exact"/>
        <w:ind w:firstLine="642" w:firstLineChars="200"/>
        <w:jc w:val="left"/>
        <w:textAlignment w:val="auto"/>
        <w:rPr>
          <w:rFonts w:hint="eastAsia" w:ascii="Times New Roman" w:hAnsi="Times New Roman" w:eastAsia="楷体_GB2312" w:cs="Times New Roman"/>
          <w:b/>
          <w:bCs/>
          <w:color w:val="000000"/>
          <w:kern w:val="0"/>
          <w:sz w:val="32"/>
          <w:szCs w:val="32"/>
          <w:highlight w:val="none"/>
          <w:shd w:val="clear" w:color="auto" w:fill="FFFFFF"/>
          <w:lang w:val="zh-CN"/>
        </w:rPr>
      </w:pP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hint="eastAsia" w:ascii="Times New Roman" w:hAnsi="Times New Roman" w:eastAsia="楷体_GB2312" w:cs="Times New Roman"/>
          <w:b/>
          <w:bCs/>
          <w:color w:val="000000"/>
          <w:kern w:val="0"/>
          <w:sz w:val="32"/>
          <w:szCs w:val="32"/>
          <w:highlight w:val="none"/>
          <w:shd w:val="clear" w:color="auto" w:fill="FFFFFF"/>
          <w:lang w:val="zh-CN"/>
        </w:rPr>
        <w:t>三</w:t>
      </w:r>
      <w:r>
        <w:rPr>
          <w:rFonts w:hint="default" w:ascii="Times New Roman" w:hAnsi="Times New Roman" w:eastAsia="楷体_GB2312" w:cs="Times New Roman"/>
          <w:b/>
          <w:bCs/>
          <w:color w:val="000000"/>
          <w:kern w:val="0"/>
          <w:sz w:val="32"/>
          <w:szCs w:val="32"/>
          <w:highlight w:val="none"/>
          <w:shd w:val="clear" w:color="auto" w:fill="FFFFFF"/>
          <w:lang w:val="zh-CN"/>
        </w:rPr>
        <w:t>）人员概况</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jc w:val="left"/>
        <w:textAlignment w:val="auto"/>
        <w:rPr>
          <w:rFonts w:hint="default" w:ascii="Times New Roman" w:hAnsi="Times New Roman" w:cs="Times New Roman"/>
          <w:szCs w:val="32"/>
        </w:rPr>
      </w:pPr>
      <w:r>
        <w:rPr>
          <w:rFonts w:hint="eastAsia" w:ascii="仿宋_GB2312" w:hAnsi="Calibri" w:eastAsia="仿宋_GB2312" w:cs="仿宋"/>
          <w:color w:val="000000"/>
          <w:kern w:val="0"/>
          <w:sz w:val="32"/>
          <w:szCs w:val="32"/>
        </w:rPr>
        <w:t>截至202</w:t>
      </w:r>
      <w:r>
        <w:rPr>
          <w:rFonts w:hint="eastAsia" w:ascii="仿宋_GB2312" w:hAnsi="Calibri" w:eastAsia="仿宋_GB2312" w:cs="仿宋"/>
          <w:color w:val="000000"/>
          <w:kern w:val="0"/>
          <w:sz w:val="32"/>
          <w:szCs w:val="32"/>
          <w:lang w:val="en-US" w:eastAsia="zh-CN"/>
        </w:rPr>
        <w:t>4</w:t>
      </w:r>
      <w:r>
        <w:rPr>
          <w:rFonts w:hint="eastAsia" w:ascii="仿宋_GB2312" w:hAnsi="Calibri" w:eastAsia="仿宋_GB2312" w:cs="仿宋"/>
          <w:color w:val="000000"/>
          <w:kern w:val="0"/>
          <w:sz w:val="32"/>
          <w:szCs w:val="32"/>
        </w:rPr>
        <w:t>年末编制数为</w:t>
      </w:r>
      <w:r>
        <w:rPr>
          <w:rFonts w:hint="eastAsia" w:ascii="仿宋_GB2312" w:hAnsi="Calibri" w:cs="仿宋"/>
          <w:color w:val="000000"/>
          <w:kern w:val="0"/>
          <w:sz w:val="32"/>
          <w:szCs w:val="32"/>
          <w:lang w:val="en-US" w:eastAsia="zh-CN"/>
        </w:rPr>
        <w:t>65</w:t>
      </w:r>
      <w:r>
        <w:rPr>
          <w:rFonts w:hint="eastAsia" w:ascii="仿宋_GB2312" w:hAnsi="Calibri" w:eastAsia="仿宋_GB2312" w:cs="仿宋"/>
          <w:color w:val="000000"/>
          <w:kern w:val="0"/>
          <w:sz w:val="32"/>
          <w:szCs w:val="32"/>
        </w:rPr>
        <w:t>人（行政35人，事业30人）</w:t>
      </w:r>
      <w:r>
        <w:rPr>
          <w:rFonts w:hint="eastAsia" w:ascii="Calibri" w:hAnsi="Calibri" w:eastAsia="仿宋_GB2312" w:cs="仿宋"/>
          <w:color w:val="000000"/>
          <w:kern w:val="0"/>
          <w:sz w:val="32"/>
          <w:szCs w:val="32"/>
        </w:rPr>
        <w:t>。</w:t>
      </w:r>
      <w:r>
        <w:rPr>
          <w:rFonts w:hint="eastAsia" w:ascii="仿宋_GB2312" w:hAnsi="Calibri" w:eastAsia="仿宋_GB2312" w:cs="仿宋"/>
          <w:color w:val="000000"/>
          <w:kern w:val="0"/>
          <w:sz w:val="32"/>
          <w:szCs w:val="32"/>
        </w:rPr>
        <w:t>实有人数</w:t>
      </w:r>
      <w:r>
        <w:rPr>
          <w:rFonts w:hint="eastAsia" w:ascii="仿宋_GB2312" w:hAnsi="Calibri" w:cs="仿宋"/>
          <w:color w:val="000000"/>
          <w:kern w:val="0"/>
          <w:sz w:val="32"/>
          <w:szCs w:val="32"/>
          <w:lang w:val="en-US" w:eastAsia="zh-CN"/>
        </w:rPr>
        <w:t>58</w:t>
      </w:r>
      <w:r>
        <w:rPr>
          <w:rFonts w:hint="eastAsia" w:ascii="仿宋_GB2312" w:hAnsi="Calibri" w:eastAsia="仿宋_GB2312" w:cs="仿宋"/>
          <w:color w:val="000000"/>
          <w:kern w:val="0"/>
          <w:sz w:val="32"/>
          <w:szCs w:val="32"/>
        </w:rPr>
        <w:t>人，其中：行政人员</w:t>
      </w:r>
      <w:r>
        <w:rPr>
          <w:rFonts w:hint="eastAsia" w:ascii="仿宋_GB2312" w:hAnsi="Calibri" w:cs="仿宋"/>
          <w:color w:val="000000"/>
          <w:kern w:val="0"/>
          <w:sz w:val="32"/>
          <w:szCs w:val="32"/>
          <w:lang w:val="en-US" w:eastAsia="zh-CN"/>
        </w:rPr>
        <w:t>31</w:t>
      </w:r>
      <w:r>
        <w:rPr>
          <w:rFonts w:hint="eastAsia" w:ascii="仿宋_GB2312" w:hAnsi="Calibri" w:eastAsia="仿宋_GB2312" w:cs="仿宋"/>
          <w:color w:val="000000"/>
          <w:kern w:val="0"/>
          <w:sz w:val="32"/>
          <w:szCs w:val="32"/>
        </w:rPr>
        <w:t>人，行政工勤4人，事业</w:t>
      </w:r>
      <w:r>
        <w:rPr>
          <w:rFonts w:hint="eastAsia" w:ascii="仿宋_GB2312" w:hAnsi="Calibri" w:cs="仿宋"/>
          <w:color w:val="000000"/>
          <w:kern w:val="0"/>
          <w:sz w:val="32"/>
          <w:szCs w:val="32"/>
          <w:lang w:val="en-US" w:eastAsia="zh-CN"/>
        </w:rPr>
        <w:t>23</w:t>
      </w:r>
      <w:r>
        <w:rPr>
          <w:rFonts w:hint="eastAsia" w:ascii="仿宋_GB2312" w:hAnsi="Calibri" w:eastAsia="仿宋_GB2312" w:cs="仿宋"/>
          <w:color w:val="000000"/>
          <w:kern w:val="0"/>
          <w:sz w:val="32"/>
          <w:szCs w:val="32"/>
        </w:rPr>
        <w:t>人。</w:t>
      </w:r>
    </w:p>
    <w:p>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left"/>
        <w:textAlignment w:val="auto"/>
        <w:outlineLvl w:val="9"/>
        <w:rPr>
          <w:rFonts w:hint="default" w:ascii="Times New Roman" w:hAnsi="Times New Roman" w:eastAsia="黑体" w:cs="Times New Roman"/>
          <w:color w:val="000000"/>
          <w:kern w:val="0"/>
          <w:sz w:val="32"/>
          <w:szCs w:val="32"/>
          <w:highlight w:val="none"/>
          <w:shd w:val="clear" w:color="auto" w:fill="FFFFFF"/>
          <w:lang w:val="zh-CN" w:eastAsia="zh-CN"/>
        </w:rPr>
      </w:pPr>
      <w:r>
        <w:rPr>
          <w:rFonts w:hint="default" w:ascii="Times New Roman" w:hAnsi="Times New Roman" w:eastAsia="黑体" w:cs="Times New Roman"/>
          <w:color w:val="000000"/>
          <w:kern w:val="0"/>
          <w:sz w:val="32"/>
          <w:szCs w:val="32"/>
          <w:highlight w:val="none"/>
          <w:shd w:val="clear" w:color="auto" w:fill="FFFFFF"/>
          <w:lang w:val="zh-CN" w:eastAsia="zh-CN"/>
        </w:rPr>
        <w:t>二、部门资金收支情况</w:t>
      </w:r>
    </w:p>
    <w:p>
      <w:pPr>
        <w:keepNext w:val="0"/>
        <w:keepLines w:val="0"/>
        <w:pageBreakBefore w:val="0"/>
        <w:widowControl/>
        <w:kinsoku/>
        <w:wordWrap/>
        <w:overflowPunct/>
        <w:topLinePunct w:val="0"/>
        <w:autoSpaceDE/>
        <w:autoSpaceDN/>
        <w:bidi w:val="0"/>
        <w:adjustRightInd w:val="0"/>
        <w:snapToGrid w:val="0"/>
        <w:spacing w:line="576" w:lineRule="exact"/>
        <w:ind w:firstLine="642" w:firstLineChars="200"/>
        <w:jc w:val="left"/>
        <w:textAlignment w:val="auto"/>
        <w:rPr>
          <w:rFonts w:hint="default" w:ascii="Times New Roman" w:hAnsi="Times New Roman" w:eastAsia="楷体_GB2312" w:cs="楷体_GB2312"/>
          <w:b/>
          <w:color w:val="auto"/>
          <w:sz w:val="32"/>
          <w:szCs w:val="32"/>
          <w:highlight w:val="none"/>
          <w:lang w:val="zh-CN"/>
        </w:rPr>
      </w:pPr>
      <w:r>
        <w:rPr>
          <w:rFonts w:hint="default" w:ascii="Times New Roman" w:hAnsi="Times New Roman" w:eastAsia="楷体_GB2312" w:cs="楷体_GB2312"/>
          <w:b/>
          <w:color w:val="auto"/>
          <w:sz w:val="32"/>
          <w:szCs w:val="32"/>
          <w:highlight w:val="none"/>
          <w:lang w:val="zh-CN"/>
        </w:rPr>
        <w:t>（一）收入情况</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jc w:val="left"/>
        <w:textAlignment w:val="auto"/>
        <w:rPr>
          <w:rFonts w:eastAsia="楷体_GB2312"/>
          <w:b/>
          <w:bCs/>
          <w:color w:val="000000"/>
          <w:kern w:val="0"/>
          <w:szCs w:val="32"/>
          <w:shd w:val="clear" w:color="auto" w:fill="FFFFFF"/>
        </w:rPr>
      </w:pPr>
      <w:r>
        <w:rPr>
          <w:rFonts w:hint="eastAsia" w:ascii="仿宋_GB2312" w:hAnsi="Calibri" w:eastAsia="仿宋_GB2312" w:cs="仿宋"/>
          <w:color w:val="000000"/>
          <w:kern w:val="0"/>
          <w:sz w:val="32"/>
          <w:szCs w:val="32"/>
          <w:lang w:val="zh-CN"/>
        </w:rPr>
        <w:t>茂县叠溪镇人民政府</w:t>
      </w:r>
      <w:r>
        <w:rPr>
          <w:rFonts w:hint="eastAsia" w:ascii="仿宋_GB2312" w:hAnsi="Calibri" w:eastAsia="仿宋_GB2312" w:cs="仿宋"/>
          <w:color w:val="000000"/>
          <w:kern w:val="0"/>
          <w:sz w:val="32"/>
          <w:szCs w:val="32"/>
        </w:rPr>
        <w:t>202</w:t>
      </w:r>
      <w:r>
        <w:rPr>
          <w:rFonts w:hint="eastAsia" w:ascii="仿宋_GB2312" w:hAnsi="Calibri" w:cs="仿宋"/>
          <w:color w:val="000000"/>
          <w:kern w:val="0"/>
          <w:sz w:val="32"/>
          <w:szCs w:val="32"/>
          <w:lang w:val="en-US" w:eastAsia="zh-CN"/>
        </w:rPr>
        <w:t>4</w:t>
      </w:r>
      <w:r>
        <w:rPr>
          <w:rFonts w:hint="eastAsia" w:ascii="仿宋_GB2312" w:hAnsi="Calibri" w:eastAsia="仿宋_GB2312" w:cs="仿宋"/>
          <w:color w:val="000000"/>
          <w:kern w:val="0"/>
          <w:sz w:val="32"/>
          <w:szCs w:val="32"/>
        </w:rPr>
        <w:t>年收入</w:t>
      </w:r>
      <w:r>
        <w:rPr>
          <w:rFonts w:hint="eastAsia" w:ascii="仿宋_GB2312" w:hAnsi="Calibri" w:cs="仿宋"/>
          <w:color w:val="000000"/>
          <w:kern w:val="0"/>
          <w:sz w:val="32"/>
          <w:szCs w:val="32"/>
          <w:lang w:val="en-US" w:eastAsia="zh-CN"/>
        </w:rPr>
        <w:t>2090.65</w:t>
      </w:r>
      <w:r>
        <w:rPr>
          <w:rFonts w:hint="eastAsia" w:ascii="仿宋_GB2312" w:hAnsi="Calibri" w:eastAsia="仿宋_GB2312" w:cs="仿宋"/>
          <w:color w:val="000000"/>
          <w:kern w:val="0"/>
          <w:sz w:val="32"/>
          <w:szCs w:val="32"/>
        </w:rPr>
        <w:t>万元，其中：一般公共预算财政拨款收入</w:t>
      </w:r>
      <w:r>
        <w:rPr>
          <w:rFonts w:hint="eastAsia" w:ascii="仿宋_GB2312" w:hAnsi="Calibri" w:cs="仿宋"/>
          <w:color w:val="000000"/>
          <w:kern w:val="0"/>
          <w:sz w:val="32"/>
          <w:szCs w:val="32"/>
          <w:lang w:val="en-US" w:eastAsia="zh-CN"/>
        </w:rPr>
        <w:t>2090.65</w:t>
      </w:r>
      <w:r>
        <w:rPr>
          <w:rFonts w:hint="eastAsia" w:ascii="仿宋_GB2312" w:hAnsi="Calibri" w:eastAsia="仿宋_GB2312" w:cs="仿宋"/>
          <w:color w:val="000000"/>
          <w:kern w:val="0"/>
          <w:sz w:val="32"/>
          <w:szCs w:val="32"/>
        </w:rPr>
        <w:t>万元。</w:t>
      </w:r>
    </w:p>
    <w:p>
      <w:pPr>
        <w:keepNext w:val="0"/>
        <w:keepLines w:val="0"/>
        <w:pageBreakBefore w:val="0"/>
        <w:widowControl/>
        <w:kinsoku/>
        <w:wordWrap/>
        <w:overflowPunct/>
        <w:topLinePunct w:val="0"/>
        <w:autoSpaceDE/>
        <w:autoSpaceDN/>
        <w:bidi w:val="0"/>
        <w:adjustRightInd w:val="0"/>
        <w:snapToGrid w:val="0"/>
        <w:spacing w:line="576" w:lineRule="exact"/>
        <w:ind w:firstLine="642" w:firstLineChars="200"/>
        <w:jc w:val="left"/>
        <w:textAlignment w:val="auto"/>
        <w:rPr>
          <w:rFonts w:hint="default" w:ascii="Times New Roman" w:hAnsi="Times New Roman" w:eastAsia="楷体_GB2312" w:cs="楷体_GB2312"/>
          <w:b/>
          <w:color w:val="auto"/>
          <w:sz w:val="32"/>
          <w:szCs w:val="32"/>
          <w:highlight w:val="none"/>
          <w:lang w:val="zh-CN"/>
        </w:rPr>
      </w:pPr>
      <w:r>
        <w:rPr>
          <w:rFonts w:hint="default" w:ascii="Times New Roman" w:hAnsi="Times New Roman" w:eastAsia="楷体_GB2312" w:cs="楷体_GB2312"/>
          <w:b/>
          <w:color w:val="auto"/>
          <w:sz w:val="32"/>
          <w:szCs w:val="32"/>
          <w:highlight w:val="none"/>
          <w:lang w:val="zh-CN"/>
        </w:rPr>
        <w:t>（二）支出情况</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jc w:val="left"/>
        <w:textAlignment w:val="auto"/>
        <w:rPr>
          <w:rFonts w:hint="eastAsia" w:ascii="仿宋_GB2312" w:hAnsi="Calibri" w:eastAsia="仿宋_GB2312" w:cs="仿宋"/>
          <w:color w:val="000000"/>
          <w:kern w:val="0"/>
          <w:sz w:val="32"/>
          <w:szCs w:val="32"/>
          <w:lang w:val="zh-CN"/>
        </w:rPr>
      </w:pPr>
      <w:r>
        <w:rPr>
          <w:rFonts w:hint="eastAsia" w:ascii="仿宋_GB2312" w:hAnsi="Calibri" w:eastAsia="仿宋_GB2312" w:cs="仿宋"/>
          <w:color w:val="000000"/>
          <w:kern w:val="0"/>
          <w:sz w:val="32"/>
          <w:szCs w:val="32"/>
          <w:lang w:val="zh-CN"/>
        </w:rPr>
        <w:t>202</w:t>
      </w:r>
      <w:r>
        <w:rPr>
          <w:rFonts w:hint="eastAsia" w:ascii="仿宋_GB2312" w:hAnsi="Calibri" w:eastAsia="仿宋_GB2312" w:cs="仿宋"/>
          <w:color w:val="000000"/>
          <w:kern w:val="0"/>
          <w:sz w:val="32"/>
          <w:szCs w:val="32"/>
          <w:lang w:val="en-US" w:eastAsia="zh-CN"/>
        </w:rPr>
        <w:t>4</w:t>
      </w:r>
      <w:r>
        <w:rPr>
          <w:rFonts w:hint="eastAsia" w:ascii="仿宋_GB2312" w:hAnsi="Calibri" w:eastAsia="仿宋_GB2312" w:cs="仿宋"/>
          <w:color w:val="000000"/>
          <w:kern w:val="0"/>
          <w:sz w:val="32"/>
          <w:szCs w:val="32"/>
          <w:lang w:val="zh-CN"/>
        </w:rPr>
        <w:t>年叠溪镇人民政府支出总额为</w:t>
      </w:r>
      <w:r>
        <w:rPr>
          <w:rFonts w:hint="eastAsia" w:ascii="仿宋_GB2312" w:hAnsi="Calibri" w:eastAsia="仿宋_GB2312" w:cs="仿宋"/>
          <w:color w:val="000000"/>
          <w:kern w:val="0"/>
          <w:sz w:val="32"/>
          <w:szCs w:val="32"/>
          <w:lang w:val="en-US" w:eastAsia="zh-CN"/>
        </w:rPr>
        <w:t>2090.65</w:t>
      </w:r>
      <w:r>
        <w:rPr>
          <w:rFonts w:hint="eastAsia" w:ascii="仿宋_GB2312" w:hAnsi="Calibri" w:eastAsia="仿宋_GB2312" w:cs="仿宋"/>
          <w:color w:val="000000"/>
          <w:kern w:val="0"/>
          <w:sz w:val="32"/>
          <w:szCs w:val="32"/>
          <w:lang w:val="zh-CN"/>
        </w:rPr>
        <w:t>万元，其中：财政基本支出</w:t>
      </w:r>
      <w:r>
        <w:rPr>
          <w:rFonts w:hint="eastAsia" w:ascii="仿宋_GB2312" w:hAnsi="Calibri" w:eastAsia="仿宋_GB2312" w:cs="仿宋"/>
          <w:color w:val="000000"/>
          <w:kern w:val="0"/>
          <w:sz w:val="32"/>
          <w:szCs w:val="32"/>
          <w:lang w:val="en-US" w:eastAsia="zh-CN"/>
        </w:rPr>
        <w:t>1202.05</w:t>
      </w:r>
      <w:r>
        <w:rPr>
          <w:rFonts w:hint="eastAsia" w:ascii="仿宋_GB2312" w:hAnsi="Calibri" w:eastAsia="仿宋_GB2312" w:cs="仿宋"/>
          <w:color w:val="000000"/>
          <w:kern w:val="0"/>
          <w:sz w:val="32"/>
          <w:szCs w:val="32"/>
          <w:lang w:val="zh-CN"/>
        </w:rPr>
        <w:t>万元，项目支出</w:t>
      </w:r>
      <w:r>
        <w:rPr>
          <w:rFonts w:hint="eastAsia" w:ascii="仿宋_GB2312" w:hAnsi="Calibri" w:eastAsia="仿宋_GB2312" w:cs="仿宋"/>
          <w:color w:val="000000"/>
          <w:kern w:val="0"/>
          <w:sz w:val="32"/>
          <w:szCs w:val="32"/>
          <w:lang w:val="en-US" w:eastAsia="zh-CN"/>
        </w:rPr>
        <w:t>888.61</w:t>
      </w:r>
      <w:r>
        <w:rPr>
          <w:rFonts w:hint="eastAsia" w:ascii="仿宋_GB2312" w:hAnsi="Calibri" w:eastAsia="仿宋_GB2312" w:cs="仿宋"/>
          <w:color w:val="000000"/>
          <w:kern w:val="0"/>
          <w:sz w:val="32"/>
          <w:szCs w:val="32"/>
          <w:lang w:val="zh-CN"/>
        </w:rPr>
        <w:t>万元。按功能分：一般公共服务支出</w:t>
      </w:r>
      <w:r>
        <w:rPr>
          <w:rFonts w:hint="eastAsia" w:ascii="仿宋_GB2312" w:hAnsi="Calibri" w:eastAsia="仿宋_GB2312" w:cs="仿宋"/>
          <w:color w:val="000000"/>
          <w:kern w:val="0"/>
          <w:sz w:val="32"/>
          <w:szCs w:val="32"/>
          <w:lang w:val="en-US" w:eastAsia="zh-CN"/>
        </w:rPr>
        <w:t>643.64</w:t>
      </w:r>
      <w:r>
        <w:rPr>
          <w:rFonts w:hint="eastAsia" w:ascii="仿宋_GB2312" w:hAnsi="Calibri" w:eastAsia="仿宋_GB2312" w:cs="仿宋"/>
          <w:color w:val="000000"/>
          <w:kern w:val="0"/>
          <w:sz w:val="32"/>
          <w:szCs w:val="32"/>
          <w:lang w:val="zh-CN"/>
        </w:rPr>
        <w:t>万元，社会保障和就业支出</w:t>
      </w:r>
      <w:r>
        <w:rPr>
          <w:rFonts w:hint="eastAsia" w:ascii="仿宋_GB2312" w:hAnsi="Calibri" w:eastAsia="仿宋_GB2312" w:cs="仿宋"/>
          <w:color w:val="000000"/>
          <w:kern w:val="0"/>
          <w:sz w:val="32"/>
          <w:szCs w:val="32"/>
          <w:lang w:val="en-US" w:eastAsia="zh-CN"/>
        </w:rPr>
        <w:t>162.25</w:t>
      </w:r>
      <w:r>
        <w:rPr>
          <w:rFonts w:hint="eastAsia" w:ascii="仿宋_GB2312" w:hAnsi="Calibri" w:eastAsia="仿宋_GB2312" w:cs="仿宋"/>
          <w:color w:val="000000"/>
          <w:kern w:val="0"/>
          <w:sz w:val="32"/>
          <w:szCs w:val="32"/>
          <w:lang w:val="zh-CN"/>
        </w:rPr>
        <w:t>万元，卫生健康支出</w:t>
      </w:r>
      <w:r>
        <w:rPr>
          <w:rFonts w:hint="eastAsia" w:ascii="仿宋_GB2312" w:hAnsi="Calibri" w:eastAsia="仿宋_GB2312" w:cs="仿宋"/>
          <w:color w:val="000000"/>
          <w:kern w:val="0"/>
          <w:sz w:val="32"/>
          <w:szCs w:val="32"/>
          <w:lang w:val="en-US" w:eastAsia="zh-CN"/>
        </w:rPr>
        <w:t>66.06</w:t>
      </w:r>
      <w:r>
        <w:rPr>
          <w:rFonts w:hint="eastAsia" w:ascii="仿宋_GB2312" w:hAnsi="Calibri" w:eastAsia="仿宋_GB2312" w:cs="仿宋"/>
          <w:color w:val="000000"/>
          <w:kern w:val="0"/>
          <w:sz w:val="32"/>
          <w:szCs w:val="32"/>
          <w:lang w:val="zh-CN"/>
        </w:rPr>
        <w:t>万元，农林水事务支出</w:t>
      </w:r>
      <w:r>
        <w:rPr>
          <w:rFonts w:hint="eastAsia" w:ascii="仿宋_GB2312" w:hAnsi="Calibri" w:eastAsia="仿宋_GB2312" w:cs="仿宋"/>
          <w:color w:val="000000"/>
          <w:kern w:val="0"/>
          <w:sz w:val="32"/>
          <w:szCs w:val="32"/>
          <w:lang w:val="en-US" w:eastAsia="zh-CN"/>
        </w:rPr>
        <w:t>1112.23</w:t>
      </w:r>
      <w:r>
        <w:rPr>
          <w:rFonts w:hint="eastAsia" w:ascii="仿宋_GB2312" w:hAnsi="Calibri" w:eastAsia="仿宋_GB2312" w:cs="仿宋"/>
          <w:color w:val="000000"/>
          <w:kern w:val="0"/>
          <w:sz w:val="32"/>
          <w:szCs w:val="32"/>
          <w:lang w:val="zh-CN"/>
        </w:rPr>
        <w:t>万元，住房保障支出</w:t>
      </w:r>
      <w:r>
        <w:rPr>
          <w:rFonts w:hint="eastAsia" w:ascii="仿宋_GB2312" w:hAnsi="Calibri" w:eastAsia="仿宋_GB2312" w:cs="仿宋"/>
          <w:color w:val="000000"/>
          <w:kern w:val="0"/>
          <w:sz w:val="32"/>
          <w:szCs w:val="32"/>
          <w:lang w:val="en-US" w:eastAsia="zh-CN"/>
        </w:rPr>
        <w:t>91.47</w:t>
      </w:r>
      <w:r>
        <w:rPr>
          <w:rFonts w:hint="eastAsia" w:ascii="仿宋_GB2312" w:hAnsi="Calibri" w:eastAsia="仿宋_GB2312" w:cs="仿宋"/>
          <w:color w:val="000000"/>
          <w:kern w:val="0"/>
          <w:sz w:val="32"/>
          <w:szCs w:val="32"/>
          <w:lang w:val="zh-CN"/>
        </w:rPr>
        <w:t>万元</w:t>
      </w:r>
      <w:r>
        <w:rPr>
          <w:rFonts w:hint="eastAsia" w:ascii="仿宋_GB2312" w:hAnsi="Calibri" w:eastAsia="仿宋_GB2312" w:cs="仿宋"/>
          <w:color w:val="000000"/>
          <w:kern w:val="0"/>
          <w:sz w:val="32"/>
          <w:szCs w:val="32"/>
          <w:lang w:val="zh-CN" w:eastAsia="zh-CN"/>
        </w:rPr>
        <w:t>，灾害防治及应急管理支出</w:t>
      </w:r>
      <w:r>
        <w:rPr>
          <w:rFonts w:hint="eastAsia" w:ascii="仿宋_GB2312" w:hAnsi="Calibri" w:eastAsia="仿宋_GB2312" w:cs="仿宋"/>
          <w:color w:val="000000"/>
          <w:kern w:val="0"/>
          <w:sz w:val="32"/>
          <w:szCs w:val="32"/>
          <w:lang w:val="en-US" w:eastAsia="zh-CN"/>
        </w:rPr>
        <w:t>15.00万元</w:t>
      </w:r>
      <w:r>
        <w:rPr>
          <w:rFonts w:hint="eastAsia" w:ascii="仿宋_GB2312" w:hAnsi="Calibri" w:eastAsia="仿宋_GB2312" w:cs="仿宋"/>
          <w:color w:val="000000"/>
          <w:kern w:val="0"/>
          <w:sz w:val="32"/>
          <w:szCs w:val="32"/>
          <w:lang w:val="zh-CN"/>
        </w:rPr>
        <w:t>。</w:t>
      </w:r>
    </w:p>
    <w:p>
      <w:pPr>
        <w:keepNext w:val="0"/>
        <w:keepLines w:val="0"/>
        <w:pageBreakBefore w:val="0"/>
        <w:widowControl/>
        <w:kinsoku/>
        <w:wordWrap/>
        <w:overflowPunct/>
        <w:topLinePunct w:val="0"/>
        <w:autoSpaceDE/>
        <w:autoSpaceDN/>
        <w:bidi w:val="0"/>
        <w:adjustRightInd w:val="0"/>
        <w:snapToGrid w:val="0"/>
        <w:spacing w:line="576" w:lineRule="exact"/>
        <w:ind w:firstLine="642" w:firstLineChars="200"/>
        <w:contextualSpacing/>
        <w:jc w:val="left"/>
        <w:textAlignment w:val="auto"/>
        <w:rPr>
          <w:rFonts w:hint="default" w:ascii="Times New Roman" w:hAnsi="Times New Roman" w:eastAsia="楷体_GB2312" w:cs="楷体_GB2312"/>
          <w:b/>
          <w:color w:val="auto"/>
          <w:sz w:val="32"/>
          <w:szCs w:val="32"/>
          <w:highlight w:val="none"/>
          <w:lang w:val="zh-CN"/>
        </w:rPr>
      </w:pPr>
      <w:r>
        <w:rPr>
          <w:rFonts w:hint="default" w:ascii="Times New Roman" w:hAnsi="Times New Roman" w:eastAsia="楷体_GB2312" w:cs="楷体_GB2312"/>
          <w:b/>
          <w:color w:val="auto"/>
          <w:sz w:val="32"/>
          <w:szCs w:val="32"/>
          <w:highlight w:val="none"/>
          <w:lang w:val="zh-CN"/>
        </w:rPr>
        <w:t>（三）结余分配和结转结余情况</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rPr>
          <w:rFonts w:hint="eastAsia" w:ascii="仿宋_GB2312" w:hAnsi="Calibri" w:eastAsia="仿宋_GB2312" w:cs="仿宋"/>
          <w:color w:val="000000"/>
          <w:kern w:val="0"/>
          <w:sz w:val="32"/>
          <w:szCs w:val="32"/>
          <w:lang w:val="zh-CN"/>
        </w:rPr>
      </w:pPr>
      <w:r>
        <w:rPr>
          <w:rFonts w:hint="eastAsia" w:ascii="仿宋_GB2312" w:hAnsi="Calibri" w:eastAsia="仿宋_GB2312" w:cs="仿宋"/>
          <w:color w:val="000000"/>
          <w:kern w:val="0"/>
          <w:sz w:val="32"/>
          <w:szCs w:val="32"/>
          <w:lang w:val="zh-CN" w:eastAsia="zh-CN"/>
        </w:rPr>
        <w:t>茂县叠溪镇人民政府</w:t>
      </w:r>
      <w:r>
        <w:rPr>
          <w:rFonts w:hint="eastAsia" w:ascii="仿宋_GB2312" w:hAnsi="Calibri" w:eastAsia="仿宋_GB2312" w:cs="仿宋"/>
          <w:color w:val="000000"/>
          <w:kern w:val="0"/>
          <w:sz w:val="32"/>
          <w:szCs w:val="32"/>
          <w:lang w:val="zh-CN"/>
        </w:rPr>
        <w:t>202</w:t>
      </w:r>
      <w:r>
        <w:rPr>
          <w:rFonts w:hint="eastAsia" w:ascii="仿宋_GB2312" w:hAnsi="Calibri" w:eastAsia="仿宋_GB2312" w:cs="仿宋"/>
          <w:color w:val="000000"/>
          <w:kern w:val="0"/>
          <w:sz w:val="32"/>
          <w:szCs w:val="32"/>
          <w:lang w:val="en-US" w:eastAsia="zh-CN"/>
        </w:rPr>
        <w:t>4</w:t>
      </w:r>
      <w:r>
        <w:rPr>
          <w:rFonts w:hint="eastAsia" w:ascii="仿宋_GB2312" w:hAnsi="Calibri" w:eastAsia="仿宋_GB2312" w:cs="仿宋"/>
          <w:color w:val="000000"/>
          <w:kern w:val="0"/>
          <w:sz w:val="32"/>
          <w:szCs w:val="32"/>
          <w:lang w:val="zh-CN"/>
        </w:rPr>
        <w:t>年决算报表结转结余</w:t>
      </w:r>
      <w:r>
        <w:rPr>
          <w:rFonts w:hint="eastAsia" w:ascii="仿宋_GB2312" w:hAnsi="Calibri" w:eastAsia="仿宋_GB2312" w:cs="仿宋"/>
          <w:color w:val="000000"/>
          <w:kern w:val="0"/>
          <w:sz w:val="32"/>
          <w:szCs w:val="32"/>
          <w:lang w:val="zh-CN" w:eastAsia="zh-CN"/>
        </w:rPr>
        <w:t>数据为</w:t>
      </w:r>
      <w:r>
        <w:rPr>
          <w:rFonts w:hint="eastAsia" w:ascii="仿宋_GB2312" w:hAnsi="Calibri" w:eastAsia="仿宋_GB2312" w:cs="仿宋"/>
          <w:color w:val="000000"/>
          <w:kern w:val="0"/>
          <w:sz w:val="32"/>
          <w:szCs w:val="32"/>
          <w:lang w:val="en-US" w:eastAsia="zh-CN"/>
        </w:rPr>
        <w:t>0万元</w:t>
      </w:r>
      <w:r>
        <w:rPr>
          <w:rFonts w:hint="eastAsia" w:ascii="仿宋_GB2312" w:hAnsi="Calibri" w:eastAsia="仿宋_GB2312" w:cs="仿宋"/>
          <w:color w:val="000000"/>
          <w:kern w:val="0"/>
          <w:sz w:val="32"/>
          <w:szCs w:val="32"/>
          <w:lang w:val="zh-CN"/>
        </w:rPr>
        <w:t>。</w:t>
      </w:r>
    </w:p>
    <w:p>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left"/>
        <w:textAlignment w:val="auto"/>
        <w:outlineLvl w:val="9"/>
        <w:rPr>
          <w:rFonts w:hint="default" w:ascii="Times New Roman" w:hAnsi="Times New Roman" w:eastAsia="黑体" w:cs="Times New Roman"/>
          <w:color w:val="000000"/>
          <w:kern w:val="0"/>
          <w:sz w:val="32"/>
          <w:szCs w:val="32"/>
          <w:highlight w:val="none"/>
          <w:shd w:val="clear" w:color="auto" w:fill="FFFFFF"/>
          <w:lang w:val="zh-CN" w:eastAsia="zh-CN"/>
        </w:rPr>
      </w:pPr>
      <w:r>
        <w:rPr>
          <w:rFonts w:hint="default" w:ascii="Times New Roman" w:hAnsi="Times New Roman" w:eastAsia="黑体" w:cs="Times New Roman"/>
          <w:color w:val="000000"/>
          <w:kern w:val="0"/>
          <w:sz w:val="32"/>
          <w:szCs w:val="32"/>
          <w:highlight w:val="none"/>
          <w:shd w:val="clear" w:color="auto" w:fill="FFFFFF"/>
          <w:lang w:val="zh-CN" w:eastAsia="zh-CN"/>
        </w:rPr>
        <w:t>三、部门预算绩效分析</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2" w:firstLineChars="200"/>
        <w:contextualSpacing/>
        <w:jc w:val="left"/>
        <w:textAlignment w:val="auto"/>
        <w:outlineLvl w:val="9"/>
        <w:rPr>
          <w:rFonts w:hint="default" w:ascii="Times New Roman" w:hAnsi="Times New Roman" w:eastAsia="仿宋_GB2312" w:cs="仿宋_GB2312"/>
          <w:color w:val="auto"/>
          <w:kern w:val="2"/>
          <w:sz w:val="32"/>
          <w:szCs w:val="32"/>
          <w:highlight w:val="none"/>
          <w:lang w:val="zh-CN" w:eastAsia="zh-CN" w:bidi="ar-SA"/>
        </w:rPr>
      </w:pPr>
      <w:r>
        <w:rPr>
          <w:rFonts w:hint="default" w:ascii="Times New Roman" w:hAnsi="Times New Roman" w:eastAsia="楷体_GB2312" w:cs="Times New Roman"/>
          <w:b/>
          <w:bCs/>
          <w:color w:val="000000"/>
          <w:kern w:val="0"/>
          <w:sz w:val="32"/>
          <w:szCs w:val="32"/>
          <w:highlight w:val="none"/>
          <w:shd w:val="clear" w:color="auto" w:fill="FFFFFF"/>
          <w:lang w:val="zh-CN"/>
        </w:rPr>
        <w:t>（一）</w:t>
      </w:r>
      <w:r>
        <w:rPr>
          <w:rFonts w:hint="eastAsia" w:ascii="Times New Roman" w:hAnsi="Times New Roman" w:eastAsia="楷体_GB2312" w:cs="Times New Roman"/>
          <w:b/>
          <w:bCs/>
          <w:color w:val="000000"/>
          <w:kern w:val="0"/>
          <w:sz w:val="32"/>
          <w:szCs w:val="32"/>
          <w:highlight w:val="none"/>
          <w:shd w:val="clear" w:color="auto" w:fill="FFFFFF"/>
          <w:lang w:val="zh-CN"/>
        </w:rPr>
        <w:t>部门预算</w:t>
      </w:r>
      <w:r>
        <w:rPr>
          <w:rFonts w:hint="default" w:ascii="Times New Roman" w:hAnsi="Times New Roman" w:eastAsia="楷体_GB2312" w:cs="Times New Roman"/>
          <w:b/>
          <w:bCs/>
          <w:color w:val="000000"/>
          <w:kern w:val="0"/>
          <w:sz w:val="32"/>
          <w:szCs w:val="32"/>
          <w:highlight w:val="none"/>
          <w:shd w:val="clear" w:color="auto" w:fill="FFFFFF"/>
          <w:lang w:val="zh-CN"/>
        </w:rPr>
        <w:t>总体绩效分析</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jc w:val="left"/>
        <w:textAlignment w:val="auto"/>
        <w:rPr>
          <w:rFonts w:hint="eastAsia" w:ascii="仿宋_GB2312" w:hAnsi="Calibri" w:eastAsia="仿宋_GB2312" w:cs="仿宋"/>
          <w:color w:val="000000"/>
          <w:kern w:val="0"/>
          <w:sz w:val="32"/>
          <w:szCs w:val="32"/>
          <w:lang w:val="zh-CN"/>
        </w:rPr>
      </w:pPr>
      <w:r>
        <w:rPr>
          <w:rFonts w:hint="eastAsia" w:ascii="仿宋_GB2312" w:hAnsi="Calibri" w:eastAsia="仿宋_GB2312" w:cs="仿宋"/>
          <w:color w:val="000000"/>
          <w:kern w:val="0"/>
          <w:sz w:val="32"/>
          <w:szCs w:val="32"/>
        </w:rPr>
        <w:t>1.</w:t>
      </w:r>
      <w:r>
        <w:rPr>
          <w:rFonts w:hint="eastAsia" w:ascii="仿宋_GB2312" w:hAnsi="Calibri" w:eastAsia="仿宋_GB2312" w:cs="仿宋"/>
          <w:color w:val="000000"/>
          <w:kern w:val="0"/>
          <w:sz w:val="32"/>
          <w:szCs w:val="32"/>
          <w:lang w:val="zh-CN"/>
        </w:rPr>
        <w:t>履职效能。部门整体绩效目标中选定3个核心职能目标，根据党委履职情况、政府履职情况、人大履职情况的职能目标完成效果情况来进行打分。</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jc w:val="left"/>
        <w:textAlignment w:val="auto"/>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2.</w:t>
      </w:r>
      <w:r>
        <w:rPr>
          <w:rFonts w:hint="eastAsia" w:ascii="仿宋_GB2312" w:hAnsi="Calibri" w:eastAsia="仿宋_GB2312" w:cs="仿宋"/>
          <w:color w:val="000000"/>
          <w:kern w:val="0"/>
          <w:sz w:val="32"/>
          <w:szCs w:val="32"/>
          <w:lang w:val="zh-CN"/>
        </w:rPr>
        <w:t>预算管理。</w:t>
      </w:r>
      <w:r>
        <w:rPr>
          <w:rFonts w:hint="eastAsia" w:ascii="仿宋_GB2312" w:hAnsi="Calibri" w:eastAsia="仿宋_GB2312" w:cs="仿宋"/>
          <w:color w:val="000000"/>
          <w:kern w:val="0"/>
          <w:sz w:val="32"/>
          <w:szCs w:val="32"/>
        </w:rPr>
        <w:t>我镇严格按照县级部门预算编制通知和有关要求，按时完成</w:t>
      </w:r>
      <w:r>
        <w:rPr>
          <w:rFonts w:hint="eastAsia" w:ascii="仿宋_GB2312" w:hAnsi="Calibri" w:cs="仿宋"/>
          <w:color w:val="000000"/>
          <w:kern w:val="0"/>
          <w:sz w:val="32"/>
          <w:szCs w:val="32"/>
          <w:lang w:val="en-US" w:eastAsia="zh-CN"/>
        </w:rPr>
        <w:t>2024</w:t>
      </w:r>
      <w:r>
        <w:rPr>
          <w:rFonts w:hint="eastAsia" w:ascii="仿宋_GB2312" w:hAnsi="Calibri" w:eastAsia="仿宋_GB2312" w:cs="仿宋"/>
          <w:color w:val="000000"/>
          <w:kern w:val="0"/>
          <w:sz w:val="32"/>
          <w:szCs w:val="32"/>
        </w:rPr>
        <w:t>年预算编制工作，提交部门预算草案。按规定编制政府采购预算，预算编制全面、科学。202</w:t>
      </w:r>
      <w:r>
        <w:rPr>
          <w:rFonts w:hint="eastAsia" w:ascii="仿宋_GB2312" w:hAnsi="Calibri" w:cs="仿宋"/>
          <w:color w:val="000000"/>
          <w:kern w:val="0"/>
          <w:sz w:val="32"/>
          <w:szCs w:val="32"/>
          <w:lang w:val="en-US" w:eastAsia="zh-CN"/>
        </w:rPr>
        <w:t>4</w:t>
      </w:r>
      <w:r>
        <w:rPr>
          <w:rFonts w:hint="eastAsia" w:ascii="仿宋_GB2312" w:hAnsi="Calibri" w:eastAsia="仿宋_GB2312" w:cs="仿宋"/>
          <w:color w:val="000000"/>
          <w:kern w:val="0"/>
          <w:sz w:val="32"/>
          <w:szCs w:val="32"/>
        </w:rPr>
        <w:t>年部门决算、绩效目标填报及年末结余结转都是严格按照县财政局的要求认真完成。</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jc w:val="left"/>
        <w:textAlignment w:val="auto"/>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决算编制：202</w:t>
      </w:r>
      <w:r>
        <w:rPr>
          <w:rFonts w:hint="eastAsia" w:ascii="仿宋_GB2312" w:hAnsi="Calibri" w:cs="仿宋"/>
          <w:color w:val="000000"/>
          <w:kern w:val="0"/>
          <w:sz w:val="32"/>
          <w:szCs w:val="32"/>
          <w:lang w:val="en-US" w:eastAsia="zh-CN"/>
        </w:rPr>
        <w:t>4</w:t>
      </w:r>
      <w:r>
        <w:rPr>
          <w:rFonts w:hint="eastAsia" w:ascii="仿宋_GB2312" w:hAnsi="Calibri" w:eastAsia="仿宋_GB2312" w:cs="仿宋"/>
          <w:color w:val="000000"/>
          <w:kern w:val="0"/>
          <w:sz w:val="32"/>
          <w:szCs w:val="32"/>
        </w:rPr>
        <w:t>年12月对全年收支进行决算：202</w:t>
      </w:r>
      <w:r>
        <w:rPr>
          <w:rFonts w:hint="eastAsia" w:ascii="仿宋_GB2312" w:hAnsi="Calibri" w:cs="仿宋"/>
          <w:color w:val="000000"/>
          <w:kern w:val="0"/>
          <w:sz w:val="32"/>
          <w:szCs w:val="32"/>
          <w:lang w:val="en-US" w:eastAsia="zh-CN"/>
        </w:rPr>
        <w:t>4</w:t>
      </w:r>
      <w:r>
        <w:rPr>
          <w:rFonts w:hint="eastAsia" w:ascii="仿宋_GB2312" w:hAnsi="Calibri" w:eastAsia="仿宋_GB2312" w:cs="仿宋"/>
          <w:color w:val="000000"/>
          <w:kern w:val="0"/>
          <w:sz w:val="32"/>
          <w:szCs w:val="32"/>
        </w:rPr>
        <w:t>年收入</w:t>
      </w:r>
      <w:r>
        <w:rPr>
          <w:rFonts w:hint="eastAsia" w:ascii="仿宋_GB2312" w:hAnsi="Calibri" w:cs="仿宋"/>
          <w:color w:val="000000"/>
          <w:kern w:val="0"/>
          <w:sz w:val="32"/>
          <w:szCs w:val="32"/>
          <w:lang w:val="en-US" w:eastAsia="zh-CN"/>
        </w:rPr>
        <w:t>2090.65</w:t>
      </w:r>
      <w:r>
        <w:rPr>
          <w:rFonts w:hint="eastAsia" w:ascii="仿宋_GB2312" w:hAnsi="Calibri" w:eastAsia="仿宋_GB2312" w:cs="仿宋"/>
          <w:color w:val="000000"/>
          <w:kern w:val="0"/>
          <w:sz w:val="32"/>
          <w:szCs w:val="32"/>
        </w:rPr>
        <w:t>万元，其中：一般公共预算财政拨款收入</w:t>
      </w:r>
      <w:r>
        <w:rPr>
          <w:rFonts w:hint="eastAsia" w:ascii="仿宋_GB2312" w:hAnsi="Calibri" w:cs="仿宋"/>
          <w:color w:val="000000"/>
          <w:kern w:val="0"/>
          <w:sz w:val="32"/>
          <w:szCs w:val="32"/>
          <w:lang w:val="en-US" w:eastAsia="zh-CN"/>
        </w:rPr>
        <w:t>2090.65</w:t>
      </w:r>
      <w:r>
        <w:rPr>
          <w:rFonts w:hint="eastAsia" w:ascii="仿宋_GB2312" w:hAnsi="Calibri" w:eastAsia="仿宋_GB2312" w:cs="仿宋"/>
          <w:color w:val="000000"/>
          <w:kern w:val="0"/>
          <w:sz w:val="32"/>
          <w:szCs w:val="32"/>
        </w:rPr>
        <w:t>万元。</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jc w:val="left"/>
        <w:textAlignment w:val="auto"/>
        <w:rPr>
          <w:rFonts w:hint="eastAsia"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支出总额为</w:t>
      </w:r>
      <w:r>
        <w:rPr>
          <w:rFonts w:hint="eastAsia" w:ascii="仿宋_GB2312" w:hAnsi="Calibri" w:cs="仿宋"/>
          <w:color w:val="000000"/>
          <w:kern w:val="0"/>
          <w:sz w:val="32"/>
          <w:szCs w:val="32"/>
          <w:lang w:val="en-US" w:eastAsia="zh-CN"/>
        </w:rPr>
        <w:t>2090.65</w:t>
      </w:r>
      <w:r>
        <w:rPr>
          <w:rFonts w:hint="eastAsia" w:ascii="仿宋_GB2312" w:hAnsi="Calibri" w:eastAsia="仿宋_GB2312" w:cs="仿宋"/>
          <w:color w:val="000000"/>
          <w:kern w:val="0"/>
          <w:sz w:val="32"/>
          <w:szCs w:val="32"/>
        </w:rPr>
        <w:t>万元，其中：财政基本支出</w:t>
      </w:r>
      <w:r>
        <w:rPr>
          <w:rFonts w:hint="eastAsia" w:ascii="仿宋_GB2312" w:hAnsi="Calibri" w:cs="仿宋"/>
          <w:color w:val="000000"/>
          <w:kern w:val="0"/>
          <w:sz w:val="32"/>
          <w:szCs w:val="32"/>
          <w:lang w:val="en-US" w:eastAsia="zh-CN"/>
        </w:rPr>
        <w:t>1202.04</w:t>
      </w:r>
      <w:r>
        <w:rPr>
          <w:rFonts w:hint="eastAsia" w:ascii="仿宋_GB2312" w:hAnsi="Calibri" w:eastAsia="仿宋_GB2312" w:cs="仿宋"/>
          <w:color w:val="000000"/>
          <w:kern w:val="0"/>
          <w:sz w:val="32"/>
          <w:szCs w:val="32"/>
        </w:rPr>
        <w:t>万元，项目支出</w:t>
      </w:r>
      <w:r>
        <w:rPr>
          <w:rFonts w:hint="eastAsia" w:ascii="仿宋_GB2312" w:hAnsi="Calibri" w:cs="仿宋"/>
          <w:color w:val="000000"/>
          <w:kern w:val="0"/>
          <w:sz w:val="32"/>
          <w:szCs w:val="32"/>
          <w:lang w:val="en-US" w:eastAsia="zh-CN"/>
        </w:rPr>
        <w:t>888.61</w:t>
      </w:r>
      <w:r>
        <w:rPr>
          <w:rFonts w:hint="eastAsia" w:ascii="仿宋_GB2312" w:hAnsi="Calibri" w:eastAsia="仿宋_GB2312" w:cs="仿宋"/>
          <w:color w:val="000000"/>
          <w:kern w:val="0"/>
          <w:sz w:val="32"/>
          <w:szCs w:val="32"/>
        </w:rPr>
        <w:t>万元。按功能分：一般公共服务支出</w:t>
      </w:r>
      <w:r>
        <w:rPr>
          <w:rFonts w:hint="eastAsia" w:ascii="仿宋_GB2312" w:hAnsi="Calibri" w:cs="仿宋"/>
          <w:color w:val="000000"/>
          <w:kern w:val="0"/>
          <w:sz w:val="32"/>
          <w:szCs w:val="32"/>
          <w:lang w:val="en-US" w:eastAsia="zh-CN"/>
        </w:rPr>
        <w:t>643.64</w:t>
      </w:r>
      <w:r>
        <w:rPr>
          <w:rFonts w:hint="eastAsia" w:ascii="仿宋_GB2312" w:hAnsi="Calibri" w:eastAsia="仿宋_GB2312" w:cs="仿宋"/>
          <w:color w:val="000000"/>
          <w:kern w:val="0"/>
          <w:sz w:val="32"/>
          <w:szCs w:val="32"/>
        </w:rPr>
        <w:t>万元，社会保障和就业支</w:t>
      </w:r>
      <w:r>
        <w:rPr>
          <w:rFonts w:hint="eastAsia" w:ascii="仿宋_GB2312" w:hAnsi="Calibri" w:eastAsia="仿宋_GB2312" w:cs="仿宋"/>
          <w:color w:val="000000"/>
          <w:kern w:val="0"/>
          <w:sz w:val="32"/>
          <w:szCs w:val="32"/>
          <w:lang w:eastAsia="zh-CN"/>
        </w:rPr>
        <w:t>出</w:t>
      </w:r>
      <w:r>
        <w:rPr>
          <w:rFonts w:hint="eastAsia" w:ascii="仿宋_GB2312" w:hAnsi="Calibri" w:cs="仿宋"/>
          <w:color w:val="000000"/>
          <w:kern w:val="0"/>
          <w:sz w:val="32"/>
          <w:szCs w:val="32"/>
          <w:lang w:val="en-US" w:eastAsia="zh-CN"/>
        </w:rPr>
        <w:t>162.25</w:t>
      </w:r>
      <w:r>
        <w:rPr>
          <w:rFonts w:hint="eastAsia" w:ascii="仿宋_GB2312" w:hAnsi="Calibri" w:eastAsia="仿宋_GB2312" w:cs="仿宋"/>
          <w:color w:val="000000"/>
          <w:kern w:val="0"/>
          <w:sz w:val="32"/>
          <w:szCs w:val="32"/>
        </w:rPr>
        <w:t>万元，卫生健康支出</w:t>
      </w:r>
      <w:r>
        <w:rPr>
          <w:rFonts w:hint="eastAsia" w:ascii="仿宋_GB2312" w:hAnsi="Calibri" w:cs="仿宋"/>
          <w:color w:val="000000"/>
          <w:kern w:val="0"/>
          <w:sz w:val="32"/>
          <w:szCs w:val="32"/>
          <w:lang w:val="en-US" w:eastAsia="zh-CN"/>
        </w:rPr>
        <w:t>66.05</w:t>
      </w:r>
      <w:r>
        <w:rPr>
          <w:rFonts w:hint="eastAsia" w:ascii="仿宋_GB2312" w:hAnsi="Calibri" w:eastAsia="仿宋_GB2312" w:cs="仿宋"/>
          <w:color w:val="000000"/>
          <w:kern w:val="0"/>
          <w:sz w:val="32"/>
          <w:szCs w:val="32"/>
        </w:rPr>
        <w:t>万元，农林水事务支出</w:t>
      </w:r>
      <w:r>
        <w:rPr>
          <w:rFonts w:hint="eastAsia" w:ascii="仿宋_GB2312" w:hAnsi="Calibri" w:eastAsia="仿宋_GB2312" w:cs="仿宋"/>
          <w:color w:val="000000"/>
          <w:kern w:val="0"/>
          <w:sz w:val="32"/>
          <w:szCs w:val="32"/>
          <w:lang w:val="en-US" w:eastAsia="zh-CN"/>
        </w:rPr>
        <w:t>1112.23</w:t>
      </w:r>
      <w:r>
        <w:rPr>
          <w:rFonts w:hint="eastAsia" w:ascii="仿宋_GB2312" w:hAnsi="Calibri" w:eastAsia="仿宋_GB2312" w:cs="仿宋"/>
          <w:color w:val="000000"/>
          <w:kern w:val="0"/>
          <w:sz w:val="32"/>
          <w:szCs w:val="32"/>
        </w:rPr>
        <w:t>万元，住房保障支出</w:t>
      </w:r>
      <w:r>
        <w:rPr>
          <w:rFonts w:hint="eastAsia" w:ascii="仿宋_GB2312" w:hAnsi="Calibri" w:eastAsia="仿宋_GB2312" w:cs="仿宋"/>
          <w:color w:val="000000"/>
          <w:kern w:val="0"/>
          <w:sz w:val="32"/>
          <w:szCs w:val="32"/>
          <w:lang w:val="en-US" w:eastAsia="zh-CN"/>
        </w:rPr>
        <w:t>91.47</w:t>
      </w:r>
      <w:r>
        <w:rPr>
          <w:rFonts w:hint="eastAsia" w:ascii="仿宋_GB2312" w:hAnsi="Calibri" w:eastAsia="仿宋_GB2312" w:cs="仿宋"/>
          <w:color w:val="000000"/>
          <w:kern w:val="0"/>
          <w:sz w:val="32"/>
          <w:szCs w:val="32"/>
        </w:rPr>
        <w:t>万元</w:t>
      </w:r>
      <w:r>
        <w:rPr>
          <w:rFonts w:hint="eastAsia" w:ascii="仿宋_GB2312" w:hAnsi="Calibri" w:eastAsia="仿宋_GB2312" w:cs="仿宋"/>
          <w:color w:val="000000"/>
          <w:kern w:val="0"/>
          <w:sz w:val="32"/>
          <w:szCs w:val="32"/>
          <w:lang w:eastAsia="zh-CN"/>
        </w:rPr>
        <w:t>，</w:t>
      </w:r>
      <w:r>
        <w:rPr>
          <w:rFonts w:hint="eastAsia" w:ascii="仿宋_GB2312" w:hAnsi="Calibri" w:eastAsia="仿宋_GB2312" w:cs="仿宋"/>
          <w:color w:val="000000"/>
          <w:kern w:val="0"/>
          <w:sz w:val="32"/>
          <w:szCs w:val="32"/>
          <w:lang w:val="en-US" w:eastAsia="zh-CN"/>
        </w:rPr>
        <w:t>灾害防治及应急管理支出15.00万元</w:t>
      </w:r>
      <w:r>
        <w:rPr>
          <w:rFonts w:hint="eastAsia" w:ascii="仿宋_GB2312" w:hAnsi="Calibri" w:eastAsia="仿宋_GB2312" w:cs="仿宋"/>
          <w:color w:val="000000"/>
          <w:kern w:val="0"/>
          <w:sz w:val="32"/>
          <w:szCs w:val="32"/>
        </w:rPr>
        <w:t>。</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jc w:val="left"/>
        <w:textAlignment w:val="auto"/>
        <w:rPr>
          <w:rFonts w:ascii="仿宋_GB2312" w:hAnsi="仿宋_GB2312" w:eastAsia="仿宋_GB2312" w:cs="仿宋_GB2312"/>
          <w:sz w:val="32"/>
          <w:szCs w:val="32"/>
        </w:rPr>
      </w:pPr>
      <w:r>
        <w:rPr>
          <w:rFonts w:hint="eastAsia" w:ascii="仿宋_GB2312" w:hAnsi="Calibri" w:eastAsia="仿宋_GB2312" w:cs="仿宋"/>
          <w:color w:val="000000"/>
          <w:kern w:val="0"/>
          <w:sz w:val="32"/>
          <w:szCs w:val="32"/>
        </w:rPr>
        <w:t>我镇按照县财政</w:t>
      </w:r>
      <w:r>
        <w:rPr>
          <w:rFonts w:hint="eastAsia" w:ascii="仿宋_GB2312" w:hAnsi="Calibri" w:eastAsia="仿宋_GB2312" w:cs="仿宋"/>
          <w:color w:val="000000"/>
          <w:kern w:val="0"/>
          <w:sz w:val="32"/>
          <w:szCs w:val="32"/>
          <w:lang w:eastAsia="zh-CN"/>
        </w:rPr>
        <w:t>局</w:t>
      </w:r>
      <w:r>
        <w:rPr>
          <w:rFonts w:hint="eastAsia" w:ascii="仿宋_GB2312" w:hAnsi="Calibri" w:eastAsia="仿宋_GB2312" w:cs="仿宋"/>
          <w:color w:val="000000"/>
          <w:kern w:val="0"/>
          <w:sz w:val="32"/>
          <w:szCs w:val="32"/>
        </w:rPr>
        <w:t>的要求，及时分月、分季度上报相应计划，待</w:t>
      </w:r>
      <w:r>
        <w:rPr>
          <w:rFonts w:hint="eastAsia" w:ascii="仿宋_GB2312" w:hAnsi="Calibri" w:eastAsia="仿宋_GB2312" w:cs="仿宋"/>
          <w:color w:val="000000"/>
          <w:kern w:val="0"/>
          <w:sz w:val="32"/>
          <w:szCs w:val="32"/>
          <w:lang w:eastAsia="zh-CN"/>
        </w:rPr>
        <w:t>县</w:t>
      </w:r>
      <w:r>
        <w:rPr>
          <w:rFonts w:hint="eastAsia" w:ascii="仿宋_GB2312" w:hAnsi="Calibri" w:eastAsia="仿宋_GB2312" w:cs="仿宋"/>
          <w:color w:val="000000"/>
          <w:kern w:val="0"/>
          <w:sz w:val="32"/>
          <w:szCs w:val="32"/>
        </w:rPr>
        <w:t>财政</w:t>
      </w:r>
      <w:r>
        <w:rPr>
          <w:rFonts w:hint="eastAsia" w:ascii="仿宋_GB2312" w:hAnsi="Calibri" w:eastAsia="仿宋_GB2312" w:cs="仿宋"/>
          <w:color w:val="000000"/>
          <w:kern w:val="0"/>
          <w:sz w:val="32"/>
          <w:szCs w:val="32"/>
          <w:lang w:eastAsia="zh-CN"/>
        </w:rPr>
        <w:t>局</w:t>
      </w:r>
      <w:r>
        <w:rPr>
          <w:rFonts w:hint="eastAsia" w:ascii="仿宋_GB2312" w:hAnsi="Calibri" w:eastAsia="仿宋_GB2312" w:cs="仿宋"/>
          <w:color w:val="000000"/>
          <w:kern w:val="0"/>
          <w:sz w:val="32"/>
          <w:szCs w:val="32"/>
        </w:rPr>
        <w:t>审核通过后，严格按计划执行，各季度</w:t>
      </w:r>
      <w:r>
        <w:rPr>
          <w:rFonts w:hint="eastAsia" w:ascii="仿宋_GB2312" w:hAnsi="仿宋_GB2312" w:eastAsia="仿宋_GB2312" w:cs="仿宋_GB2312"/>
          <w:sz w:val="32"/>
          <w:szCs w:val="32"/>
        </w:rPr>
        <w:t>执行情况良好。</w:t>
      </w:r>
    </w:p>
    <w:p>
      <w:pPr>
        <w:keepNext w:val="0"/>
        <w:keepLines w:val="0"/>
        <w:pageBreakBefore w:val="0"/>
        <w:kinsoku/>
        <w:wordWrap/>
        <w:overflowPunct/>
        <w:topLinePunct w:val="0"/>
        <w:autoSpaceDE/>
        <w:autoSpaceDN/>
        <w:bidi w:val="0"/>
        <w:spacing w:line="576" w:lineRule="exact"/>
        <w:ind w:firstLine="640" w:firstLineChars="200"/>
        <w:textAlignment w:val="auto"/>
      </w:pPr>
      <w:r>
        <w:rPr>
          <w:rFonts w:hint="eastAsia" w:ascii="仿宋_GB2312" w:hAnsi="仿宋_GB2312" w:eastAsia="仿宋_GB2312" w:cs="仿宋_GB2312"/>
          <w:sz w:val="32"/>
          <w:szCs w:val="32"/>
        </w:rPr>
        <w:t>基本支出202</w:t>
      </w:r>
      <w:r>
        <w:rPr>
          <w:rFonts w:hint="eastAsia" w:ascii="仿宋_GB2312" w:hAnsi="仿宋_GB2312" w:cs="仿宋_GB2312"/>
          <w:sz w:val="32"/>
          <w:szCs w:val="32"/>
          <w:lang w:val="en-US" w:eastAsia="zh-CN"/>
        </w:rPr>
        <w:t>4</w:t>
      </w:r>
      <w:r>
        <w:rPr>
          <w:rFonts w:hint="eastAsia" w:ascii="仿宋_GB2312" w:hAnsi="仿宋_GB2312" w:eastAsia="仿宋_GB2312" w:cs="仿宋_GB2312"/>
          <w:sz w:val="32"/>
          <w:szCs w:val="32"/>
        </w:rPr>
        <w:t>年按月或季度进行申报，其中人员工资按月申报并直接支付，日常公用经费按季度进行申报并支付， 12月执行进度100%。项目支出按月申报并直接支付，1-12月执行进度</w:t>
      </w:r>
      <w:r>
        <w:rPr>
          <w:rFonts w:hint="eastAsia" w:ascii="仿宋_GB2312" w:hAnsi="仿宋_GB2312" w:cs="仿宋_GB2312"/>
          <w:sz w:val="32"/>
          <w:szCs w:val="32"/>
          <w:lang w:val="en-US" w:eastAsia="zh-CN"/>
        </w:rPr>
        <w:t>100</w:t>
      </w:r>
      <w:r>
        <w:rPr>
          <w:rFonts w:hint="eastAsia" w:ascii="仿宋_GB2312" w:hAnsi="仿宋_GB2312" w:eastAsia="仿宋_GB2312" w:cs="仿宋_GB2312"/>
          <w:sz w:val="32"/>
          <w:szCs w:val="32"/>
        </w:rPr>
        <w:t>%。</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jc w:val="left"/>
        <w:textAlignment w:val="auto"/>
        <w:rPr>
          <w:rFonts w:hint="eastAsia" w:ascii="仿宋_GB2312" w:hAnsi="Calibri" w:eastAsia="仿宋_GB2312" w:cs="仿宋"/>
          <w:color w:val="000000"/>
          <w:kern w:val="0"/>
          <w:sz w:val="32"/>
          <w:szCs w:val="32"/>
          <w:lang w:val="zh-CN"/>
        </w:rPr>
      </w:pPr>
      <w:r>
        <w:rPr>
          <w:rFonts w:hint="eastAsia" w:ascii="仿宋_GB2312" w:hAnsi="Calibri" w:eastAsia="仿宋_GB2312" w:cs="仿宋"/>
          <w:color w:val="000000"/>
          <w:kern w:val="0"/>
          <w:sz w:val="32"/>
          <w:szCs w:val="32"/>
        </w:rPr>
        <w:t>3.</w:t>
      </w:r>
      <w:r>
        <w:rPr>
          <w:rFonts w:hint="eastAsia" w:ascii="仿宋_GB2312" w:hAnsi="Calibri" w:eastAsia="仿宋_GB2312" w:cs="仿宋"/>
          <w:color w:val="000000"/>
          <w:kern w:val="0"/>
          <w:sz w:val="32"/>
          <w:szCs w:val="32"/>
          <w:lang w:val="zh-CN"/>
        </w:rPr>
        <w:t>财务管理。我镇建立健全财务管理制度，财务岗位设置、资金使用规范。</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jc w:val="left"/>
        <w:textAlignment w:val="auto"/>
        <w:rPr>
          <w:rFonts w:hint="eastAsia" w:ascii="仿宋_GB2312" w:hAnsi="Calibri" w:eastAsia="仿宋_GB2312" w:cs="仿宋"/>
          <w:color w:val="000000"/>
          <w:kern w:val="0"/>
          <w:sz w:val="32"/>
          <w:szCs w:val="32"/>
          <w:lang w:val="zh-CN"/>
        </w:rPr>
      </w:pPr>
      <w:r>
        <w:rPr>
          <w:rFonts w:hint="eastAsia" w:ascii="仿宋_GB2312" w:hAnsi="Calibri" w:eastAsia="仿宋_GB2312" w:cs="仿宋"/>
          <w:color w:val="000000"/>
          <w:kern w:val="0"/>
          <w:sz w:val="32"/>
          <w:szCs w:val="32"/>
          <w:lang w:val="en-US" w:eastAsia="zh-CN"/>
        </w:rPr>
        <w:t>4.</w:t>
      </w:r>
      <w:r>
        <w:rPr>
          <w:rFonts w:hint="eastAsia" w:ascii="仿宋_GB2312" w:hAnsi="Calibri" w:eastAsia="仿宋_GB2312" w:cs="仿宋"/>
          <w:color w:val="000000"/>
          <w:kern w:val="0"/>
          <w:sz w:val="32"/>
          <w:szCs w:val="32"/>
          <w:lang w:val="zh-CN" w:eastAsia="zh-CN"/>
        </w:rPr>
        <w:t>资产管理。</w:t>
      </w:r>
      <w:r>
        <w:rPr>
          <w:rFonts w:hint="eastAsia" w:ascii="仿宋_GB2312" w:hAnsi="Calibri" w:eastAsia="仿宋_GB2312" w:cs="仿宋"/>
          <w:color w:val="000000"/>
          <w:kern w:val="0"/>
          <w:sz w:val="32"/>
          <w:szCs w:val="32"/>
          <w:lang w:val="en-US" w:eastAsia="zh-CN"/>
        </w:rPr>
        <w:t>截</w:t>
      </w:r>
      <w:r>
        <w:rPr>
          <w:rFonts w:hint="eastAsia" w:ascii="仿宋_GB2312" w:hAnsi="Calibri" w:eastAsia="仿宋_GB2312" w:cs="仿宋"/>
          <w:color w:val="000000"/>
          <w:kern w:val="0"/>
          <w:sz w:val="32"/>
          <w:szCs w:val="32"/>
        </w:rPr>
        <w:t>至</w:t>
      </w:r>
      <w:r>
        <w:rPr>
          <w:rFonts w:hint="eastAsia" w:ascii="仿宋_GB2312" w:hAnsi="Calibri" w:eastAsia="仿宋_GB2312" w:cs="仿宋"/>
          <w:color w:val="000000"/>
          <w:kern w:val="0"/>
          <w:sz w:val="32"/>
          <w:szCs w:val="32"/>
          <w:lang w:eastAsia="zh-CN"/>
        </w:rPr>
        <w:t>202</w:t>
      </w:r>
      <w:r>
        <w:rPr>
          <w:rFonts w:hint="eastAsia" w:ascii="仿宋_GB2312" w:hAnsi="Calibri" w:eastAsia="仿宋_GB2312" w:cs="仿宋"/>
          <w:color w:val="000000"/>
          <w:kern w:val="0"/>
          <w:sz w:val="32"/>
          <w:szCs w:val="32"/>
          <w:lang w:val="en-US" w:eastAsia="zh-CN"/>
        </w:rPr>
        <w:t>4</w:t>
      </w:r>
      <w:r>
        <w:rPr>
          <w:rFonts w:hint="eastAsia" w:ascii="仿宋_GB2312" w:hAnsi="Calibri" w:eastAsia="仿宋_GB2312" w:cs="仿宋"/>
          <w:color w:val="000000"/>
          <w:kern w:val="0"/>
          <w:sz w:val="32"/>
          <w:szCs w:val="32"/>
        </w:rPr>
        <w:t>年12月31日，我镇资产总额</w:t>
      </w:r>
      <w:r>
        <w:rPr>
          <w:rFonts w:hint="eastAsia" w:ascii="仿宋_GB2312" w:hAnsi="Calibri" w:eastAsia="仿宋_GB2312" w:cs="仿宋"/>
          <w:color w:val="000000"/>
          <w:kern w:val="0"/>
          <w:sz w:val="32"/>
          <w:szCs w:val="32"/>
          <w:lang w:val="en-US" w:eastAsia="zh-CN"/>
        </w:rPr>
        <w:t>1761.97</w:t>
      </w:r>
      <w:r>
        <w:rPr>
          <w:rFonts w:hint="eastAsia" w:ascii="仿宋_GB2312" w:hAnsi="Calibri" w:eastAsia="仿宋_GB2312" w:cs="仿宋"/>
          <w:color w:val="000000"/>
          <w:kern w:val="0"/>
          <w:sz w:val="32"/>
          <w:szCs w:val="32"/>
        </w:rPr>
        <w:t>万元，较上年增长</w:t>
      </w:r>
      <w:r>
        <w:rPr>
          <w:rFonts w:hint="eastAsia" w:ascii="仿宋_GB2312" w:hAnsi="Calibri" w:eastAsia="仿宋_GB2312" w:cs="仿宋"/>
          <w:color w:val="000000"/>
          <w:kern w:val="0"/>
          <w:sz w:val="32"/>
          <w:szCs w:val="32"/>
          <w:lang w:val="en-US" w:eastAsia="zh-CN"/>
        </w:rPr>
        <w:t>25.32</w:t>
      </w:r>
      <w:r>
        <w:rPr>
          <w:rFonts w:hint="eastAsia" w:ascii="仿宋_GB2312" w:hAnsi="Calibri" w:eastAsia="仿宋_GB2312" w:cs="仿宋"/>
          <w:color w:val="000000"/>
          <w:kern w:val="0"/>
          <w:sz w:val="32"/>
          <w:szCs w:val="32"/>
        </w:rPr>
        <w:t>%。负债总额</w:t>
      </w:r>
      <w:r>
        <w:rPr>
          <w:rFonts w:hint="eastAsia" w:ascii="仿宋_GB2312" w:hAnsi="Calibri" w:eastAsia="仿宋_GB2312" w:cs="仿宋"/>
          <w:color w:val="000000"/>
          <w:kern w:val="0"/>
          <w:sz w:val="32"/>
          <w:szCs w:val="32"/>
          <w:lang w:val="en-US" w:eastAsia="zh-CN"/>
        </w:rPr>
        <w:t>805.51</w:t>
      </w:r>
      <w:r>
        <w:rPr>
          <w:rFonts w:hint="eastAsia" w:ascii="仿宋_GB2312" w:hAnsi="Calibri" w:eastAsia="仿宋_GB2312" w:cs="仿宋"/>
          <w:color w:val="000000"/>
          <w:kern w:val="0"/>
          <w:sz w:val="32"/>
          <w:szCs w:val="32"/>
        </w:rPr>
        <w:t>万元,较上年增长</w:t>
      </w:r>
      <w:r>
        <w:rPr>
          <w:rFonts w:hint="eastAsia" w:ascii="仿宋_GB2312" w:hAnsi="Calibri" w:eastAsia="仿宋_GB2312" w:cs="仿宋"/>
          <w:color w:val="000000"/>
          <w:kern w:val="0"/>
          <w:sz w:val="32"/>
          <w:szCs w:val="32"/>
          <w:lang w:val="en-US" w:eastAsia="zh-CN"/>
        </w:rPr>
        <w:t>1.73</w:t>
      </w:r>
      <w:r>
        <w:rPr>
          <w:rFonts w:hint="eastAsia" w:ascii="仿宋_GB2312" w:hAnsi="Calibri" w:eastAsia="仿宋_GB2312" w:cs="仿宋"/>
          <w:color w:val="000000"/>
          <w:kern w:val="0"/>
          <w:sz w:val="32"/>
          <w:szCs w:val="32"/>
        </w:rPr>
        <w:t>%。净资产</w:t>
      </w:r>
      <w:r>
        <w:rPr>
          <w:rFonts w:hint="eastAsia" w:ascii="仿宋_GB2312" w:hAnsi="Calibri" w:eastAsia="仿宋_GB2312" w:cs="仿宋"/>
          <w:color w:val="000000"/>
          <w:kern w:val="0"/>
          <w:sz w:val="32"/>
          <w:szCs w:val="32"/>
          <w:lang w:val="en-US" w:eastAsia="zh-CN"/>
        </w:rPr>
        <w:t>956.47</w:t>
      </w:r>
      <w:r>
        <w:rPr>
          <w:rFonts w:hint="eastAsia" w:ascii="仿宋_GB2312" w:hAnsi="Calibri" w:eastAsia="仿宋_GB2312" w:cs="仿宋"/>
          <w:color w:val="000000"/>
          <w:kern w:val="0"/>
          <w:sz w:val="32"/>
          <w:szCs w:val="32"/>
        </w:rPr>
        <w:t>万元,较上年增长</w:t>
      </w:r>
      <w:r>
        <w:rPr>
          <w:rFonts w:hint="eastAsia" w:ascii="仿宋_GB2312" w:hAnsi="Calibri" w:eastAsia="仿宋_GB2312" w:cs="仿宋"/>
          <w:color w:val="000000"/>
          <w:kern w:val="0"/>
          <w:sz w:val="32"/>
          <w:szCs w:val="32"/>
          <w:lang w:val="en-US" w:eastAsia="zh-CN"/>
        </w:rPr>
        <w:t>37.73</w:t>
      </w:r>
      <w:r>
        <w:rPr>
          <w:rFonts w:hint="eastAsia" w:ascii="仿宋_GB2312" w:hAnsi="Calibri" w:eastAsia="仿宋_GB2312" w:cs="仿宋"/>
          <w:color w:val="000000"/>
          <w:kern w:val="0"/>
          <w:sz w:val="32"/>
          <w:szCs w:val="32"/>
        </w:rPr>
        <w:t>%。</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jc w:val="left"/>
        <w:textAlignment w:val="auto"/>
        <w:rPr>
          <w:rFonts w:hint="eastAsia" w:ascii="仿宋_GB2312" w:hAnsi="Calibri" w:eastAsia="仿宋_GB2312" w:cs="仿宋"/>
          <w:color w:val="000000"/>
          <w:kern w:val="0"/>
          <w:sz w:val="32"/>
          <w:szCs w:val="32"/>
          <w:lang w:val="zh-CN" w:eastAsia="zh-CN"/>
        </w:rPr>
      </w:pPr>
      <w:r>
        <w:rPr>
          <w:rFonts w:hint="eastAsia" w:ascii="仿宋_GB2312" w:hAnsi="Calibri" w:eastAsia="仿宋_GB2312" w:cs="仿宋"/>
          <w:color w:val="000000"/>
          <w:kern w:val="0"/>
          <w:sz w:val="32"/>
          <w:szCs w:val="32"/>
          <w:lang w:val="en-US" w:eastAsia="zh-CN"/>
        </w:rPr>
        <w:t>5.</w:t>
      </w:r>
      <w:r>
        <w:rPr>
          <w:rFonts w:hint="eastAsia" w:ascii="仿宋_GB2312" w:hAnsi="Calibri" w:eastAsia="仿宋_GB2312" w:cs="仿宋"/>
          <w:color w:val="000000"/>
          <w:kern w:val="0"/>
          <w:sz w:val="32"/>
          <w:szCs w:val="32"/>
          <w:lang w:val="zh-CN" w:eastAsia="zh-CN"/>
        </w:rPr>
        <w:t>采购管理。围绕支持中小企业发展、采购执行率进行绩效分析。</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2" w:firstLineChars="200"/>
        <w:contextualSpacing/>
        <w:jc w:val="both"/>
        <w:textAlignment w:val="auto"/>
        <w:outlineLvl w:val="9"/>
        <w:rPr>
          <w:rFonts w:hint="default" w:ascii="Times New Roman" w:hAnsi="Times New Roman" w:eastAsia="仿宋_GB2312" w:cs="仿宋_GB2312"/>
          <w:color w:val="auto"/>
          <w:kern w:val="2"/>
          <w:sz w:val="32"/>
          <w:szCs w:val="32"/>
          <w:highlight w:val="none"/>
          <w:lang w:val="en-US" w:eastAsia="zh-CN" w:bidi="ar-SA"/>
        </w:rPr>
      </w:pPr>
      <w:r>
        <w:rPr>
          <w:rFonts w:hint="default" w:ascii="Times New Roman" w:hAnsi="Times New Roman" w:eastAsia="楷体_GB2312" w:cs="Times New Roman"/>
          <w:b/>
          <w:bCs/>
          <w:color w:val="000000"/>
          <w:kern w:val="0"/>
          <w:sz w:val="32"/>
          <w:szCs w:val="32"/>
          <w:highlight w:val="none"/>
          <w:shd w:val="clear" w:color="auto" w:fill="FFFFFF"/>
          <w:lang w:val="zh-CN"/>
        </w:rPr>
        <w:t>（二）部门预算项目绩效分析</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jc w:val="left"/>
        <w:textAlignment w:val="auto"/>
        <w:rPr>
          <w:rFonts w:hint="eastAsia" w:ascii="仿宋_GB2312" w:hAnsi="Calibri" w:eastAsia="仿宋_GB2312" w:cs="仿宋"/>
          <w:color w:val="000000"/>
          <w:kern w:val="0"/>
          <w:sz w:val="32"/>
          <w:szCs w:val="32"/>
          <w:lang w:val="zh-CN" w:eastAsia="zh-CN"/>
        </w:rPr>
      </w:pPr>
      <w:r>
        <w:rPr>
          <w:rFonts w:hint="eastAsia" w:ascii="仿宋_GB2312" w:hAnsi="Calibri" w:eastAsia="仿宋_GB2312" w:cs="仿宋"/>
          <w:color w:val="000000"/>
          <w:kern w:val="0"/>
          <w:sz w:val="32"/>
          <w:szCs w:val="32"/>
          <w:lang w:val="en-US" w:eastAsia="zh-CN"/>
        </w:rPr>
        <w:t>常年项目绩效分析。</w:t>
      </w:r>
      <w:r>
        <w:rPr>
          <w:rFonts w:hint="eastAsia" w:ascii="仿宋_GB2312" w:hAnsi="Calibri" w:eastAsia="仿宋_GB2312" w:cs="仿宋"/>
          <w:color w:val="000000"/>
          <w:kern w:val="0"/>
          <w:sz w:val="32"/>
          <w:szCs w:val="32"/>
          <w:lang w:val="zh-CN" w:eastAsia="zh-CN"/>
        </w:rPr>
        <w:t>该类项目总数</w:t>
      </w:r>
      <w:r>
        <w:rPr>
          <w:rFonts w:hint="eastAsia" w:ascii="仿宋_GB2312" w:hAnsi="Calibri" w:eastAsia="仿宋_GB2312" w:cs="仿宋"/>
          <w:color w:val="000000"/>
          <w:kern w:val="0"/>
          <w:sz w:val="32"/>
          <w:szCs w:val="32"/>
          <w:lang w:val="en-US" w:eastAsia="zh-CN"/>
        </w:rPr>
        <w:t>9</w:t>
      </w:r>
      <w:r>
        <w:rPr>
          <w:rFonts w:hint="eastAsia" w:ascii="仿宋_GB2312" w:hAnsi="Calibri" w:eastAsia="仿宋_GB2312" w:cs="仿宋"/>
          <w:color w:val="000000"/>
          <w:kern w:val="0"/>
          <w:sz w:val="32"/>
          <w:szCs w:val="32"/>
          <w:lang w:val="zh-CN" w:eastAsia="zh-CN"/>
        </w:rPr>
        <w:t>个，涉及预算总金额</w:t>
      </w:r>
      <w:r>
        <w:rPr>
          <w:rFonts w:hint="eastAsia" w:ascii="仿宋_GB2312" w:hAnsi="Calibri" w:eastAsia="仿宋_GB2312" w:cs="仿宋"/>
          <w:color w:val="000000"/>
          <w:kern w:val="0"/>
          <w:sz w:val="32"/>
          <w:szCs w:val="32"/>
          <w:lang w:val="en-US" w:eastAsia="zh-CN"/>
        </w:rPr>
        <w:t>529.26</w:t>
      </w:r>
      <w:r>
        <w:rPr>
          <w:rFonts w:hint="eastAsia" w:ascii="仿宋_GB2312" w:hAnsi="Calibri" w:eastAsia="仿宋_GB2312" w:cs="仿宋"/>
          <w:color w:val="000000"/>
          <w:kern w:val="0"/>
          <w:sz w:val="32"/>
          <w:szCs w:val="32"/>
          <w:lang w:val="zh-CN" w:eastAsia="zh-CN"/>
        </w:rPr>
        <w:t>万元，1—1</w:t>
      </w:r>
      <w:r>
        <w:rPr>
          <w:rFonts w:hint="eastAsia" w:ascii="仿宋_GB2312" w:hAnsi="Calibri" w:eastAsia="仿宋_GB2312" w:cs="仿宋"/>
          <w:color w:val="000000"/>
          <w:kern w:val="0"/>
          <w:sz w:val="32"/>
          <w:szCs w:val="32"/>
          <w:lang w:val="en-US" w:eastAsia="zh-CN"/>
        </w:rPr>
        <w:t>2</w:t>
      </w:r>
      <w:r>
        <w:rPr>
          <w:rFonts w:hint="eastAsia" w:ascii="仿宋_GB2312" w:hAnsi="Calibri" w:eastAsia="仿宋_GB2312" w:cs="仿宋"/>
          <w:color w:val="000000"/>
          <w:kern w:val="0"/>
          <w:sz w:val="32"/>
          <w:szCs w:val="32"/>
          <w:lang w:val="zh-CN" w:eastAsia="zh-CN"/>
        </w:rPr>
        <w:t>月预算执行总体进度为</w:t>
      </w:r>
      <w:r>
        <w:rPr>
          <w:rFonts w:hint="eastAsia" w:ascii="仿宋_GB2312" w:hAnsi="Calibri" w:eastAsia="仿宋_GB2312" w:cs="仿宋"/>
          <w:color w:val="000000"/>
          <w:kern w:val="0"/>
          <w:sz w:val="32"/>
          <w:szCs w:val="32"/>
          <w:lang w:val="en-US" w:eastAsia="zh-CN"/>
        </w:rPr>
        <w:t>100</w:t>
      </w:r>
      <w:r>
        <w:rPr>
          <w:rFonts w:hint="eastAsia" w:ascii="仿宋_GB2312" w:hAnsi="Calibri" w:eastAsia="仿宋_GB2312" w:cs="仿宋"/>
          <w:color w:val="000000"/>
          <w:kern w:val="0"/>
          <w:sz w:val="32"/>
          <w:szCs w:val="32"/>
          <w:lang w:val="zh-CN" w:eastAsia="zh-CN"/>
        </w:rPr>
        <w:t>%。</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jc w:val="left"/>
        <w:textAlignment w:val="auto"/>
        <w:rPr>
          <w:rFonts w:hint="eastAsia" w:ascii="仿宋_GB2312" w:hAnsi="Calibri" w:eastAsia="仿宋_GB2312" w:cs="仿宋"/>
          <w:color w:val="000000"/>
          <w:kern w:val="0"/>
          <w:sz w:val="32"/>
          <w:szCs w:val="32"/>
          <w:lang w:val="zh-CN" w:eastAsia="zh-CN"/>
        </w:rPr>
      </w:pPr>
      <w:r>
        <w:rPr>
          <w:rFonts w:hint="eastAsia" w:ascii="仿宋_GB2312" w:hAnsi="Calibri" w:eastAsia="仿宋_GB2312" w:cs="仿宋"/>
          <w:color w:val="000000"/>
          <w:kern w:val="0"/>
          <w:sz w:val="32"/>
          <w:szCs w:val="32"/>
          <w:lang w:val="en-US" w:eastAsia="zh-CN"/>
        </w:rPr>
        <w:t>阶段（一次性）项目绩效分析。</w:t>
      </w:r>
      <w:r>
        <w:rPr>
          <w:rFonts w:hint="eastAsia" w:ascii="仿宋_GB2312" w:hAnsi="Calibri" w:eastAsia="仿宋_GB2312" w:cs="仿宋"/>
          <w:color w:val="000000"/>
          <w:kern w:val="0"/>
          <w:sz w:val="32"/>
          <w:szCs w:val="32"/>
          <w:lang w:val="zh-CN" w:eastAsia="zh-CN"/>
        </w:rPr>
        <w:t>该类项目总数</w:t>
      </w:r>
      <w:r>
        <w:rPr>
          <w:rFonts w:hint="eastAsia" w:ascii="仿宋_GB2312" w:hAnsi="Calibri" w:eastAsia="仿宋_GB2312" w:cs="仿宋"/>
          <w:color w:val="000000"/>
          <w:kern w:val="0"/>
          <w:sz w:val="32"/>
          <w:szCs w:val="32"/>
          <w:lang w:val="en-US" w:eastAsia="zh-CN"/>
        </w:rPr>
        <w:t>22</w:t>
      </w:r>
      <w:r>
        <w:rPr>
          <w:rFonts w:hint="eastAsia" w:ascii="仿宋_GB2312" w:hAnsi="Calibri" w:eastAsia="仿宋_GB2312" w:cs="仿宋"/>
          <w:color w:val="000000"/>
          <w:kern w:val="0"/>
          <w:sz w:val="32"/>
          <w:szCs w:val="32"/>
          <w:lang w:val="zh-CN" w:eastAsia="zh-CN"/>
        </w:rPr>
        <w:t>个，涉及预算总金额</w:t>
      </w:r>
      <w:r>
        <w:rPr>
          <w:rFonts w:hint="eastAsia" w:ascii="仿宋_GB2312" w:hAnsi="Calibri" w:eastAsia="仿宋_GB2312" w:cs="仿宋"/>
          <w:color w:val="000000"/>
          <w:kern w:val="0"/>
          <w:sz w:val="32"/>
          <w:szCs w:val="32"/>
          <w:lang w:val="en-US" w:eastAsia="zh-CN"/>
        </w:rPr>
        <w:t>359.34</w:t>
      </w:r>
      <w:r>
        <w:rPr>
          <w:rFonts w:hint="eastAsia" w:ascii="仿宋_GB2312" w:hAnsi="Calibri" w:eastAsia="仿宋_GB2312" w:cs="仿宋"/>
          <w:color w:val="000000"/>
          <w:kern w:val="0"/>
          <w:sz w:val="32"/>
          <w:szCs w:val="32"/>
          <w:lang w:val="zh-CN" w:eastAsia="zh-CN"/>
        </w:rPr>
        <w:t>万元，1—1</w:t>
      </w:r>
      <w:r>
        <w:rPr>
          <w:rFonts w:hint="eastAsia" w:ascii="仿宋_GB2312" w:hAnsi="Calibri" w:eastAsia="仿宋_GB2312" w:cs="仿宋"/>
          <w:color w:val="000000"/>
          <w:kern w:val="0"/>
          <w:sz w:val="32"/>
          <w:szCs w:val="32"/>
          <w:lang w:val="en-US" w:eastAsia="zh-CN"/>
        </w:rPr>
        <w:t>2</w:t>
      </w:r>
      <w:r>
        <w:rPr>
          <w:rFonts w:hint="eastAsia" w:ascii="仿宋_GB2312" w:hAnsi="Calibri" w:eastAsia="仿宋_GB2312" w:cs="仿宋"/>
          <w:color w:val="000000"/>
          <w:kern w:val="0"/>
          <w:sz w:val="32"/>
          <w:szCs w:val="32"/>
          <w:lang w:val="zh-CN" w:eastAsia="zh-CN"/>
        </w:rPr>
        <w:t>月预算执行总体进度为</w:t>
      </w:r>
      <w:r>
        <w:rPr>
          <w:rFonts w:hint="eastAsia" w:ascii="仿宋_GB2312" w:hAnsi="Calibri" w:eastAsia="仿宋_GB2312" w:cs="仿宋"/>
          <w:color w:val="000000"/>
          <w:kern w:val="0"/>
          <w:sz w:val="32"/>
          <w:szCs w:val="32"/>
          <w:lang w:val="en-US" w:eastAsia="zh-CN"/>
        </w:rPr>
        <w:t>100</w:t>
      </w:r>
      <w:r>
        <w:rPr>
          <w:rFonts w:hint="eastAsia" w:ascii="仿宋_GB2312" w:hAnsi="Calibri" w:eastAsia="仿宋_GB2312" w:cs="仿宋"/>
          <w:color w:val="000000"/>
          <w:kern w:val="0"/>
          <w:sz w:val="32"/>
          <w:szCs w:val="32"/>
          <w:lang w:val="zh-CN" w:eastAsia="zh-CN"/>
        </w:rPr>
        <w:t>%。</w:t>
      </w:r>
    </w:p>
    <w:p>
      <w:pPr>
        <w:keepNext w:val="0"/>
        <w:keepLines w:val="0"/>
        <w:pageBreakBefore w:val="0"/>
        <w:widowControl w:val="0"/>
        <w:kinsoku/>
        <w:wordWrap/>
        <w:overflowPunct/>
        <w:topLinePunct w:val="0"/>
        <w:autoSpaceDE/>
        <w:autoSpaceDN/>
        <w:bidi w:val="0"/>
        <w:snapToGrid w:val="0"/>
        <w:spacing w:line="576" w:lineRule="exact"/>
        <w:ind w:firstLine="642" w:firstLineChars="200"/>
        <w:textAlignment w:val="auto"/>
        <w:rPr>
          <w:rFonts w:hint="eastAsia" w:ascii="Times New Roman" w:hAnsi="Times New Roman" w:eastAsia="楷体_GB2312" w:cs="Times New Roman"/>
          <w:b/>
          <w:bCs/>
          <w:color w:val="000000"/>
          <w:kern w:val="0"/>
          <w:sz w:val="32"/>
          <w:szCs w:val="32"/>
          <w:highlight w:val="none"/>
          <w:shd w:val="clear" w:color="auto" w:fill="FFFFFF"/>
          <w:lang w:val="zh-CN" w:eastAsia="zh-CN"/>
        </w:rPr>
      </w:pPr>
      <w:r>
        <w:rPr>
          <w:rFonts w:hint="default" w:ascii="Times New Roman" w:hAnsi="Times New Roman" w:eastAsia="楷体_GB2312" w:cs="Times New Roman"/>
          <w:b/>
          <w:bCs/>
          <w:color w:val="000000"/>
          <w:kern w:val="0"/>
          <w:sz w:val="32"/>
          <w:szCs w:val="32"/>
          <w:highlight w:val="none"/>
          <w:shd w:val="clear" w:color="auto" w:fill="FFFFFF"/>
          <w:lang w:val="zh-CN" w:eastAsia="zh-CN"/>
        </w:rPr>
        <w:t>（</w:t>
      </w:r>
      <w:r>
        <w:rPr>
          <w:rFonts w:hint="eastAsia" w:eastAsia="楷体_GB2312" w:cs="Times New Roman"/>
          <w:b/>
          <w:bCs/>
          <w:color w:val="000000"/>
          <w:kern w:val="0"/>
          <w:sz w:val="32"/>
          <w:szCs w:val="32"/>
          <w:highlight w:val="none"/>
          <w:shd w:val="clear" w:color="auto" w:fill="FFFFFF"/>
          <w:lang w:val="en-US" w:eastAsia="zh-CN"/>
        </w:rPr>
        <w:t>三</w:t>
      </w:r>
      <w:r>
        <w:rPr>
          <w:rFonts w:hint="default" w:ascii="Times New Roman" w:hAnsi="Times New Roman" w:eastAsia="楷体_GB2312" w:cs="Times New Roman"/>
          <w:b/>
          <w:bCs/>
          <w:color w:val="000000"/>
          <w:kern w:val="0"/>
          <w:sz w:val="32"/>
          <w:szCs w:val="32"/>
          <w:highlight w:val="none"/>
          <w:shd w:val="clear" w:color="auto" w:fill="FFFFFF"/>
          <w:lang w:val="zh-CN" w:eastAsia="zh-CN"/>
        </w:rPr>
        <w:t>）绩效结果应用情况</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jc w:val="left"/>
        <w:textAlignment w:val="auto"/>
        <w:rPr>
          <w:rFonts w:hint="default" w:ascii="Times New Roman" w:hAnsi="Times New Roman" w:eastAsia="楷体_GB2312" w:cs="Times New Roman"/>
          <w:b/>
          <w:bCs/>
          <w:color w:val="000000"/>
          <w:kern w:val="0"/>
          <w:sz w:val="32"/>
          <w:szCs w:val="32"/>
          <w:highlight w:val="none"/>
          <w:shd w:val="clear" w:color="auto" w:fill="FFFFFF"/>
          <w:lang w:val="zh-CN" w:eastAsia="zh-CN"/>
        </w:rPr>
      </w:pPr>
      <w:r>
        <w:rPr>
          <w:rFonts w:hint="eastAsia" w:ascii="仿宋_GB2312" w:hAnsi="Calibri" w:eastAsia="仿宋_GB2312" w:cs="仿宋"/>
          <w:color w:val="000000"/>
          <w:kern w:val="0"/>
          <w:sz w:val="32"/>
          <w:szCs w:val="32"/>
          <w:lang w:val="zh-CN" w:eastAsia="zh-CN"/>
        </w:rPr>
        <w:t>我镇信息按照相关要求及时公开，根据年度人大监督、巡视巡察、审计监督、财会监督等结果以及评价指标体系涉及的履职效果、预算管理、财务管理、资产管理、采购管理、项目绩效等方面出现的问题及时整改，整改结果及时反馈给相关单位。</w:t>
      </w:r>
    </w:p>
    <w:p>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left"/>
        <w:textAlignment w:val="auto"/>
        <w:outlineLvl w:val="9"/>
        <w:rPr>
          <w:rFonts w:hint="default" w:ascii="Times New Roman" w:hAnsi="Times New Roman" w:eastAsia="黑体" w:cs="Times New Roman"/>
          <w:color w:val="000000"/>
          <w:kern w:val="0"/>
          <w:sz w:val="32"/>
          <w:szCs w:val="32"/>
          <w:highlight w:val="none"/>
          <w:shd w:val="clear" w:color="auto" w:fill="FFFFFF"/>
          <w:lang w:val="zh-CN"/>
        </w:rPr>
      </w:pPr>
      <w:r>
        <w:rPr>
          <w:rFonts w:hint="default" w:ascii="Times New Roman" w:hAnsi="Times New Roman" w:eastAsia="黑体" w:cs="Times New Roman"/>
          <w:color w:val="000000"/>
          <w:kern w:val="0"/>
          <w:sz w:val="32"/>
          <w:szCs w:val="32"/>
          <w:highlight w:val="none"/>
          <w:shd w:val="clear" w:color="auto" w:fill="FFFFFF"/>
          <w:lang w:val="zh-CN" w:eastAsia="zh-CN"/>
        </w:rPr>
        <w:t>四、</w:t>
      </w:r>
      <w:r>
        <w:rPr>
          <w:rFonts w:hint="default" w:ascii="Times New Roman" w:hAnsi="Times New Roman" w:eastAsia="黑体" w:cs="Times New Roman"/>
          <w:color w:val="000000"/>
          <w:kern w:val="0"/>
          <w:sz w:val="32"/>
          <w:szCs w:val="32"/>
          <w:highlight w:val="none"/>
          <w:shd w:val="clear" w:color="auto" w:fill="FFFFFF"/>
          <w:lang w:val="zh-CN"/>
        </w:rPr>
        <w:t>评价结论及建议</w:t>
      </w:r>
    </w:p>
    <w:p>
      <w:pPr>
        <w:keepNext w:val="0"/>
        <w:keepLines w:val="0"/>
        <w:pageBreakBefore w:val="0"/>
        <w:widowControl/>
        <w:kinsoku/>
        <w:wordWrap/>
        <w:overflowPunct/>
        <w:topLinePunct w:val="0"/>
        <w:autoSpaceDE/>
        <w:autoSpaceDN/>
        <w:bidi w:val="0"/>
        <w:adjustRightInd w:val="0"/>
        <w:snapToGrid w:val="0"/>
        <w:spacing w:line="576" w:lineRule="exact"/>
        <w:ind w:firstLine="642" w:firstLineChars="200"/>
        <w:jc w:val="left"/>
        <w:textAlignment w:val="auto"/>
        <w:rPr>
          <w:rFonts w:hint="eastAsia" w:ascii="仿宋_GB2312" w:hAnsi="Calibri" w:eastAsia="仿宋_GB2312" w:cs="仿宋"/>
          <w:color w:val="000000"/>
          <w:kern w:val="0"/>
          <w:sz w:val="32"/>
          <w:szCs w:val="32"/>
          <w:highlight w:val="none"/>
          <w:lang w:val="zh-CN"/>
        </w:rPr>
      </w:pPr>
      <w:r>
        <w:rPr>
          <w:rFonts w:hint="default" w:ascii="Times New Roman" w:hAnsi="Times New Roman" w:eastAsia="楷体_GB2312" w:cs="Times New Roman"/>
          <w:b/>
          <w:bCs/>
          <w:color w:val="000000"/>
          <w:kern w:val="0"/>
          <w:sz w:val="32"/>
          <w:szCs w:val="32"/>
          <w:highlight w:val="none"/>
          <w:shd w:val="clear" w:color="auto" w:fill="FFFFFF"/>
          <w:lang w:val="zh-CN"/>
        </w:rPr>
        <w:t>（一）评价结论。</w:t>
      </w:r>
      <w:r>
        <w:rPr>
          <w:rFonts w:hint="eastAsia" w:ascii="仿宋_GB2312" w:hAnsi="Calibri" w:eastAsia="仿宋_GB2312" w:cs="仿宋"/>
          <w:color w:val="000000"/>
          <w:kern w:val="0"/>
          <w:sz w:val="32"/>
          <w:szCs w:val="32"/>
          <w:highlight w:val="none"/>
        </w:rPr>
        <w:t>我镇按照预算法按时完成预决算编制。在执行过程中有计划进行资金申报使用，完善资金管理及内部控制制度，确保资金安全，做到账款、账账、账实相符。为全镇经济和社会事业发展提供资金保障</w:t>
      </w:r>
      <w:r>
        <w:rPr>
          <w:rFonts w:hint="eastAsia" w:ascii="仿宋_GB2312" w:hAnsi="Calibri" w:eastAsia="仿宋_GB2312" w:cs="仿宋"/>
          <w:color w:val="000000"/>
          <w:kern w:val="0"/>
          <w:sz w:val="32"/>
          <w:szCs w:val="32"/>
          <w:highlight w:val="none"/>
          <w:lang w:eastAsia="zh-CN"/>
        </w:rPr>
        <w:t>，总体得分</w:t>
      </w:r>
      <w:r>
        <w:rPr>
          <w:rFonts w:hint="eastAsia" w:ascii="仿宋_GB2312" w:hAnsi="Calibri" w:eastAsia="仿宋_GB2312" w:cs="仿宋"/>
          <w:color w:val="000000"/>
          <w:kern w:val="0"/>
          <w:sz w:val="32"/>
          <w:szCs w:val="32"/>
          <w:highlight w:val="none"/>
          <w:lang w:val="en-US" w:eastAsia="zh-CN"/>
        </w:rPr>
        <w:t>92分</w:t>
      </w:r>
      <w:r>
        <w:rPr>
          <w:rFonts w:hint="eastAsia" w:ascii="仿宋_GB2312" w:hAnsi="Calibri" w:eastAsia="仿宋_GB2312" w:cs="仿宋"/>
          <w:color w:val="000000"/>
          <w:kern w:val="0"/>
          <w:sz w:val="32"/>
          <w:szCs w:val="32"/>
          <w:highlight w:val="none"/>
        </w:rPr>
        <w:t>。</w:t>
      </w:r>
    </w:p>
    <w:p>
      <w:pPr>
        <w:keepNext w:val="0"/>
        <w:keepLines w:val="0"/>
        <w:pageBreakBefore w:val="0"/>
        <w:widowControl/>
        <w:kinsoku/>
        <w:wordWrap/>
        <w:overflowPunct/>
        <w:topLinePunct w:val="0"/>
        <w:autoSpaceDE/>
        <w:autoSpaceDN/>
        <w:bidi w:val="0"/>
        <w:adjustRightInd w:val="0"/>
        <w:snapToGrid w:val="0"/>
        <w:spacing w:line="576" w:lineRule="exact"/>
        <w:ind w:firstLine="642" w:firstLineChars="200"/>
        <w:jc w:val="left"/>
        <w:textAlignment w:val="auto"/>
        <w:rPr>
          <w:rFonts w:hint="default" w:ascii="Times New Roman" w:hAnsi="Times New Roman" w:eastAsia="楷体_GB2312" w:cs="Times New Roman"/>
          <w:b/>
          <w:bCs/>
          <w:color w:val="000000"/>
          <w:kern w:val="0"/>
          <w:sz w:val="32"/>
          <w:szCs w:val="32"/>
          <w:highlight w:val="none"/>
          <w:shd w:val="clear" w:color="auto" w:fill="FFFFFF"/>
          <w:lang w:val="zh-CN"/>
        </w:rPr>
      </w:pPr>
      <w:r>
        <w:rPr>
          <w:rFonts w:hint="default" w:ascii="Times New Roman" w:hAnsi="Times New Roman" w:eastAsia="楷体_GB2312" w:cs="Times New Roman"/>
          <w:b/>
          <w:bCs/>
          <w:color w:val="000000"/>
          <w:kern w:val="0"/>
          <w:sz w:val="32"/>
          <w:szCs w:val="32"/>
          <w:highlight w:val="none"/>
          <w:shd w:val="clear" w:color="auto" w:fill="FFFFFF"/>
          <w:lang w:val="zh-CN"/>
        </w:rPr>
        <w:t>（二）存在问题。</w:t>
      </w:r>
      <w:r>
        <w:rPr>
          <w:rFonts w:hint="eastAsia" w:ascii="仿宋_GB2312" w:eastAsia="仿宋_GB2312" w:cs="仿宋"/>
          <w:color w:val="000000"/>
          <w:kern w:val="0"/>
          <w:sz w:val="32"/>
          <w:szCs w:val="32"/>
        </w:rPr>
        <w:t>预算</w:t>
      </w:r>
      <w:r>
        <w:rPr>
          <w:rFonts w:hint="eastAsia" w:ascii="仿宋_GB2312" w:eastAsia="仿宋_GB2312" w:cs="仿宋"/>
          <w:color w:val="000000"/>
          <w:kern w:val="0"/>
          <w:sz w:val="32"/>
          <w:szCs w:val="32"/>
          <w:lang w:val="en-US" w:eastAsia="zh-CN"/>
        </w:rPr>
        <w:t>资金安排</w:t>
      </w:r>
      <w:r>
        <w:rPr>
          <w:rFonts w:hint="eastAsia" w:ascii="仿宋_GB2312" w:eastAsia="仿宋_GB2312" w:cs="仿宋"/>
          <w:color w:val="000000"/>
          <w:kern w:val="0"/>
          <w:sz w:val="32"/>
          <w:szCs w:val="32"/>
        </w:rPr>
        <w:t>与支出存在差异</w:t>
      </w:r>
      <w:r>
        <w:rPr>
          <w:rFonts w:hint="eastAsia" w:ascii="仿宋_GB2312" w:hAnsi="Calibri" w:eastAsia="仿宋_GB2312" w:cs="仿宋"/>
          <w:color w:val="000000"/>
          <w:kern w:val="0"/>
          <w:sz w:val="32"/>
          <w:szCs w:val="32"/>
        </w:rPr>
        <w:t>，导致预算经费科目与支出科目存在差异。</w:t>
      </w:r>
    </w:p>
    <w:p>
      <w:pPr>
        <w:keepNext w:val="0"/>
        <w:keepLines w:val="0"/>
        <w:pageBreakBefore w:val="0"/>
        <w:widowControl/>
        <w:kinsoku/>
        <w:wordWrap/>
        <w:overflowPunct/>
        <w:topLinePunct w:val="0"/>
        <w:autoSpaceDE/>
        <w:autoSpaceDN/>
        <w:bidi w:val="0"/>
        <w:adjustRightInd w:val="0"/>
        <w:snapToGrid w:val="0"/>
        <w:spacing w:line="576" w:lineRule="exact"/>
        <w:ind w:firstLine="642" w:firstLineChars="200"/>
        <w:jc w:val="left"/>
        <w:textAlignment w:val="auto"/>
        <w:rPr>
          <w:rFonts w:hint="eastAsia" w:ascii="仿宋_GB2312" w:hAnsi="Calibri" w:eastAsia="仿宋_GB2312" w:cs="仿宋"/>
          <w:color w:val="000000"/>
          <w:kern w:val="0"/>
          <w:sz w:val="32"/>
          <w:szCs w:val="32"/>
        </w:rPr>
      </w:pPr>
      <w:r>
        <w:rPr>
          <w:rFonts w:hint="default" w:ascii="Times New Roman" w:hAnsi="Times New Roman" w:eastAsia="楷体_GB2312" w:cs="Times New Roman"/>
          <w:b/>
          <w:bCs/>
          <w:color w:val="000000"/>
          <w:kern w:val="0"/>
          <w:sz w:val="32"/>
          <w:szCs w:val="32"/>
          <w:highlight w:val="none"/>
          <w:shd w:val="clear" w:color="auto" w:fill="FFFFFF"/>
          <w:lang w:val="zh-CN" w:eastAsia="zh-CN"/>
        </w:rPr>
        <w:t>（三）改进建议。</w:t>
      </w:r>
      <w:bookmarkStart w:id="109" w:name="_Hlk110546638"/>
      <w:r>
        <w:rPr>
          <w:rFonts w:hint="eastAsia" w:ascii="仿宋_GB2312" w:hAnsi="Calibri" w:eastAsia="仿宋_GB2312" w:cs="仿宋"/>
          <w:color w:val="000000"/>
          <w:kern w:val="0"/>
          <w:sz w:val="32"/>
          <w:szCs w:val="32"/>
        </w:rPr>
        <w:t>在今后工作中，进一步提高工作效率，在合法、合规的前提下，合理安排和使用本镇资金，为全镇经济和社会事业发展更好地服务。</w:t>
      </w:r>
      <w:bookmarkEnd w:id="109"/>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jc w:val="left"/>
        <w:textAlignment w:val="auto"/>
        <w:rPr>
          <w:rFonts w:hint="eastAsia" w:ascii="仿宋_GB2312" w:hAnsi="Calibri" w:eastAsia="仿宋_GB2312" w:cs="仿宋"/>
          <w:color w:val="000000"/>
          <w:kern w:val="0"/>
          <w:sz w:val="32"/>
          <w:szCs w:val="32"/>
        </w:rPr>
      </w:pP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jc w:val="left"/>
        <w:textAlignment w:val="auto"/>
        <w:rPr>
          <w:rFonts w:hint="eastAsia" w:ascii="仿宋_GB2312" w:hAnsi="Calibri" w:eastAsia="仿宋_GB2312" w:cs="仿宋"/>
          <w:color w:val="000000"/>
          <w:kern w:val="0"/>
          <w:sz w:val="32"/>
          <w:szCs w:val="32"/>
        </w:rPr>
      </w:pP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jc w:val="left"/>
        <w:textAlignment w:val="auto"/>
        <w:rPr>
          <w:rFonts w:hint="eastAsia" w:ascii="仿宋_GB2312" w:hAnsi="Calibri" w:eastAsia="仿宋_GB2312" w:cs="仿宋"/>
          <w:color w:val="000000"/>
          <w:kern w:val="0"/>
          <w:sz w:val="32"/>
          <w:szCs w:val="32"/>
        </w:rPr>
      </w:pP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jc w:val="left"/>
        <w:textAlignment w:val="auto"/>
        <w:rPr>
          <w:rFonts w:hint="eastAsia" w:ascii="仿宋_GB2312" w:hAnsi="Calibri" w:eastAsia="仿宋_GB2312" w:cs="仿宋"/>
          <w:color w:val="000000"/>
          <w:kern w:val="0"/>
          <w:sz w:val="32"/>
          <w:szCs w:val="32"/>
        </w:rPr>
      </w:pP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jc w:val="left"/>
        <w:textAlignment w:val="auto"/>
        <w:rPr>
          <w:rFonts w:hint="eastAsia" w:ascii="仿宋_GB2312" w:hAnsi="Calibri" w:eastAsia="仿宋_GB2312" w:cs="仿宋"/>
          <w:color w:val="000000"/>
          <w:kern w:val="0"/>
          <w:sz w:val="32"/>
          <w:szCs w:val="32"/>
        </w:rPr>
      </w:pP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jc w:val="left"/>
        <w:textAlignment w:val="auto"/>
        <w:rPr>
          <w:rFonts w:hint="eastAsia" w:ascii="仿宋_GB2312" w:hAnsi="Calibri" w:eastAsia="仿宋_GB2312" w:cs="仿宋"/>
          <w:color w:val="000000"/>
          <w:kern w:val="0"/>
          <w:sz w:val="32"/>
          <w:szCs w:val="32"/>
        </w:rPr>
      </w:pP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jc w:val="left"/>
        <w:textAlignment w:val="auto"/>
        <w:rPr>
          <w:rFonts w:hint="eastAsia" w:ascii="仿宋_GB2312" w:hAnsi="Calibri" w:eastAsia="仿宋_GB2312" w:cs="仿宋"/>
          <w:color w:val="000000"/>
          <w:kern w:val="0"/>
          <w:sz w:val="32"/>
          <w:szCs w:val="32"/>
        </w:rPr>
      </w:pP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jc w:val="left"/>
        <w:textAlignment w:val="auto"/>
        <w:rPr>
          <w:rFonts w:hint="eastAsia" w:ascii="仿宋_GB2312" w:hAnsi="Calibri" w:eastAsia="仿宋_GB2312" w:cs="仿宋"/>
          <w:color w:val="000000"/>
          <w:kern w:val="0"/>
          <w:sz w:val="32"/>
          <w:szCs w:val="32"/>
        </w:rPr>
      </w:pP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jc w:val="left"/>
        <w:textAlignment w:val="auto"/>
        <w:rPr>
          <w:rFonts w:hint="eastAsia" w:ascii="仿宋_GB2312" w:hAnsi="Calibri" w:eastAsia="仿宋_GB2312" w:cs="仿宋"/>
          <w:color w:val="000000"/>
          <w:kern w:val="0"/>
          <w:sz w:val="32"/>
          <w:szCs w:val="32"/>
        </w:rPr>
      </w:pP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jc w:val="left"/>
        <w:textAlignment w:val="auto"/>
        <w:rPr>
          <w:rFonts w:hint="eastAsia" w:ascii="仿宋_GB2312" w:hAnsi="Calibri" w:eastAsia="仿宋_GB2312" w:cs="仿宋"/>
          <w:color w:val="000000"/>
          <w:kern w:val="0"/>
          <w:sz w:val="32"/>
          <w:szCs w:val="32"/>
        </w:rPr>
      </w:pP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jc w:val="left"/>
        <w:textAlignment w:val="auto"/>
        <w:rPr>
          <w:rFonts w:hint="eastAsia" w:ascii="仿宋_GB2312" w:hAnsi="Calibri" w:eastAsia="仿宋_GB2312" w:cs="仿宋"/>
          <w:color w:val="000000"/>
          <w:kern w:val="0"/>
          <w:sz w:val="32"/>
          <w:szCs w:val="32"/>
        </w:rPr>
      </w:pP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jc w:val="left"/>
        <w:textAlignment w:val="auto"/>
        <w:rPr>
          <w:rFonts w:hint="eastAsia" w:ascii="仿宋_GB2312" w:hAnsi="Calibri" w:eastAsia="仿宋_GB2312" w:cs="仿宋"/>
          <w:color w:val="000000"/>
          <w:kern w:val="0"/>
          <w:sz w:val="32"/>
          <w:szCs w:val="32"/>
        </w:rPr>
      </w:pP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jc w:val="left"/>
        <w:textAlignment w:val="auto"/>
        <w:rPr>
          <w:rFonts w:hint="eastAsia" w:ascii="仿宋_GB2312" w:hAnsi="Calibri" w:eastAsia="仿宋_GB2312" w:cs="仿宋"/>
          <w:color w:val="000000"/>
          <w:kern w:val="0"/>
          <w:sz w:val="32"/>
          <w:szCs w:val="32"/>
        </w:rPr>
      </w:pP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jc w:val="left"/>
        <w:textAlignment w:val="auto"/>
        <w:rPr>
          <w:rFonts w:hint="eastAsia" w:ascii="仿宋_GB2312" w:hAnsi="Calibri" w:eastAsia="仿宋_GB2312" w:cs="仿宋"/>
          <w:color w:val="000000"/>
          <w:kern w:val="0"/>
          <w:sz w:val="32"/>
          <w:szCs w:val="32"/>
          <w:lang w:val="zh-CN" w:eastAsia="zh-CN"/>
        </w:rPr>
      </w:pPr>
    </w:p>
    <w:tbl>
      <w:tblPr>
        <w:tblStyle w:val="17"/>
        <w:tblW w:w="9638" w:type="dxa"/>
        <w:jc w:val="center"/>
        <w:tblLayout w:type="fixed"/>
        <w:tblCellMar>
          <w:top w:w="15" w:type="dxa"/>
          <w:left w:w="15" w:type="dxa"/>
          <w:bottom w:w="15" w:type="dxa"/>
          <w:right w:w="15" w:type="dxa"/>
        </w:tblCellMar>
      </w:tblPr>
      <w:tblGrid>
        <w:gridCol w:w="1193"/>
        <w:gridCol w:w="1229"/>
        <w:gridCol w:w="1162"/>
        <w:gridCol w:w="1004"/>
        <w:gridCol w:w="1045"/>
        <w:gridCol w:w="1176"/>
        <w:gridCol w:w="966"/>
        <w:gridCol w:w="846"/>
        <w:gridCol w:w="1017"/>
      </w:tblGrid>
      <w:tr>
        <w:tblPrEx>
          <w:tblCellMar>
            <w:top w:w="15" w:type="dxa"/>
            <w:left w:w="15" w:type="dxa"/>
            <w:bottom w:w="15" w:type="dxa"/>
            <w:right w:w="15" w:type="dxa"/>
          </w:tblCellMar>
        </w:tblPrEx>
        <w:trPr>
          <w:trHeight w:val="762" w:hRule="exact"/>
          <w:jc w:val="center"/>
        </w:trPr>
        <w:tc>
          <w:tcPr>
            <w:tcW w:w="10560" w:type="dxa"/>
            <w:gridSpan w:val="9"/>
            <w:shd w:val="clear" w:color="auto" w:fill="auto"/>
            <w:vAlign w:val="center"/>
          </w:tcPr>
          <w:p>
            <w:pPr>
              <w:pageBreakBefore w:val="0"/>
              <w:widowControl/>
              <w:kinsoku/>
              <w:wordWrap/>
              <w:overflowPunct/>
              <w:topLinePunct w:val="0"/>
              <w:bidi w:val="0"/>
              <w:spacing w:line="576" w:lineRule="exact"/>
              <w:jc w:val="center"/>
              <w:textAlignment w:val="center"/>
              <w:rPr>
                <w:rFonts w:eastAsia="黑体"/>
                <w:color w:val="000000"/>
                <w:sz w:val="28"/>
                <w:szCs w:val="28"/>
              </w:rPr>
            </w:pPr>
            <w:r>
              <w:rPr>
                <w:rFonts w:eastAsia="方正小标宋简体"/>
                <w:color w:val="000000"/>
                <w:kern w:val="0"/>
                <w:sz w:val="44"/>
                <w:szCs w:val="44"/>
                <w:lang w:bidi="ar"/>
              </w:rPr>
              <w:t>部门整体绩效目标完成情况自评表</w:t>
            </w:r>
          </w:p>
        </w:tc>
      </w:tr>
      <w:tr>
        <w:tblPrEx>
          <w:tblCellMar>
            <w:top w:w="15" w:type="dxa"/>
            <w:left w:w="15" w:type="dxa"/>
            <w:bottom w:w="15" w:type="dxa"/>
            <w:right w:w="15" w:type="dxa"/>
          </w:tblCellMar>
        </w:tblPrEx>
        <w:trPr>
          <w:trHeight w:val="23" w:hRule="atLeast"/>
          <w:jc w:val="center"/>
        </w:trPr>
        <w:tc>
          <w:tcPr>
            <w:tcW w:w="10560" w:type="dxa"/>
            <w:gridSpan w:val="9"/>
            <w:shd w:val="clear" w:color="auto" w:fill="auto"/>
            <w:vAlign w:val="center"/>
          </w:tcPr>
          <w:p>
            <w:pPr>
              <w:pageBreakBefore w:val="0"/>
              <w:widowControl/>
              <w:kinsoku/>
              <w:wordWrap/>
              <w:overflowPunct/>
              <w:topLinePunct w:val="0"/>
              <w:bidi w:val="0"/>
              <w:spacing w:line="576" w:lineRule="exact"/>
              <w:jc w:val="center"/>
              <w:textAlignment w:val="center"/>
              <w:rPr>
                <w:rFonts w:eastAsia="宋体"/>
                <w:color w:val="000000"/>
                <w:sz w:val="28"/>
                <w:szCs w:val="28"/>
              </w:rPr>
            </w:pPr>
            <w:r>
              <w:rPr>
                <w:rFonts w:eastAsia="宋体"/>
                <w:color w:val="000000"/>
                <w:kern w:val="0"/>
                <w:sz w:val="28"/>
                <w:szCs w:val="28"/>
                <w:lang w:bidi="ar"/>
              </w:rPr>
              <w:t>（202</w:t>
            </w:r>
            <w:r>
              <w:rPr>
                <w:rFonts w:hint="eastAsia" w:eastAsia="宋体"/>
                <w:color w:val="000000"/>
                <w:kern w:val="0"/>
                <w:sz w:val="28"/>
                <w:szCs w:val="28"/>
                <w:lang w:bidi="ar"/>
              </w:rPr>
              <w:t>4</w:t>
            </w:r>
            <w:r>
              <w:rPr>
                <w:rFonts w:eastAsia="宋体"/>
                <w:color w:val="000000"/>
                <w:kern w:val="0"/>
                <w:sz w:val="28"/>
                <w:szCs w:val="28"/>
                <w:lang w:bidi="ar"/>
              </w:rPr>
              <w:t>年度）</w:t>
            </w:r>
          </w:p>
        </w:tc>
      </w:tr>
      <w:tr>
        <w:tblPrEx>
          <w:tblCellMar>
            <w:top w:w="15" w:type="dxa"/>
            <w:left w:w="15" w:type="dxa"/>
            <w:bottom w:w="15" w:type="dxa"/>
            <w:right w:w="15" w:type="dxa"/>
          </w:tblCellMar>
        </w:tblPrEx>
        <w:trPr>
          <w:trHeight w:val="23" w:hRule="atLeast"/>
          <w:jc w:val="center"/>
        </w:trPr>
        <w:tc>
          <w:tcPr>
            <w:tcW w:w="10560" w:type="dxa"/>
            <w:gridSpan w:val="9"/>
            <w:tcBorders>
              <w:bottom w:val="single" w:color="000000" w:sz="4" w:space="0"/>
            </w:tcBorders>
            <w:shd w:val="clear" w:color="auto" w:fill="auto"/>
            <w:vAlign w:val="center"/>
          </w:tcPr>
          <w:p>
            <w:pPr>
              <w:pageBreakBefore w:val="0"/>
              <w:widowControl/>
              <w:kinsoku/>
              <w:wordWrap/>
              <w:overflowPunct/>
              <w:topLinePunct w:val="0"/>
              <w:bidi w:val="0"/>
              <w:spacing w:line="576" w:lineRule="exact"/>
              <w:jc w:val="right"/>
              <w:textAlignment w:val="center"/>
              <w:rPr>
                <w:rFonts w:eastAsia="宋体"/>
                <w:color w:val="000000"/>
                <w:sz w:val="21"/>
                <w:szCs w:val="21"/>
              </w:rPr>
            </w:pPr>
            <w:r>
              <w:rPr>
                <w:rFonts w:eastAsia="宋体"/>
                <w:color w:val="000000"/>
                <w:kern w:val="0"/>
                <w:sz w:val="21"/>
                <w:szCs w:val="21"/>
                <w:lang w:bidi="ar"/>
              </w:rPr>
              <w:t>单位：万元</w:t>
            </w:r>
          </w:p>
        </w:tc>
      </w:tr>
      <w:tr>
        <w:tblPrEx>
          <w:tblCellMar>
            <w:top w:w="15" w:type="dxa"/>
            <w:left w:w="15" w:type="dxa"/>
            <w:bottom w:w="15" w:type="dxa"/>
            <w:right w:w="15" w:type="dxa"/>
          </w:tblCellMar>
        </w:tblPrEx>
        <w:trPr>
          <w:trHeight w:val="23" w:hRule="atLeast"/>
          <w:jc w:val="center"/>
        </w:trPr>
        <w:tc>
          <w:tcPr>
            <w:tcW w:w="39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部门名称</w:t>
            </w:r>
          </w:p>
        </w:tc>
        <w:tc>
          <w:tcPr>
            <w:tcW w:w="663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kern w:val="0"/>
                <w:sz w:val="24"/>
                <w:lang w:eastAsia="zh-CN" w:bidi="ar"/>
              </w:rPr>
              <w:t>茂县叠溪镇人民政府</w:t>
            </w:r>
          </w:p>
        </w:tc>
      </w:tr>
      <w:tr>
        <w:tblPrEx>
          <w:tblCellMar>
            <w:top w:w="15" w:type="dxa"/>
            <w:left w:w="15" w:type="dxa"/>
            <w:bottom w:w="15" w:type="dxa"/>
            <w:right w:w="15" w:type="dxa"/>
          </w:tblCellMar>
        </w:tblPrEx>
        <w:trPr>
          <w:trHeight w:val="23" w:hRule="atLeast"/>
          <w:jc w:val="center"/>
        </w:trPr>
        <w:tc>
          <w:tcPr>
            <w:tcW w:w="13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年度部门整体支出预算</w:t>
            </w: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资金总额</w:t>
            </w:r>
          </w:p>
        </w:tc>
        <w:tc>
          <w:tcPr>
            <w:tcW w:w="22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财政拨款</w:t>
            </w:r>
          </w:p>
        </w:tc>
        <w:tc>
          <w:tcPr>
            <w:tcW w:w="438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其他资金</w:t>
            </w:r>
          </w:p>
        </w:tc>
      </w:tr>
      <w:tr>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jc w:val="center"/>
              <w:rPr>
                <w:rFonts w:hint="eastAsia" w:ascii="仿宋_GB2312" w:hAnsi="仿宋_GB2312" w:eastAsia="仿宋_GB2312" w:cs="仿宋_GB2312"/>
                <w:color w:val="000000"/>
                <w:sz w:val="24"/>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2090.65</w:t>
            </w:r>
          </w:p>
        </w:tc>
        <w:tc>
          <w:tcPr>
            <w:tcW w:w="22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2090.65</w:t>
            </w:r>
          </w:p>
        </w:tc>
        <w:tc>
          <w:tcPr>
            <w:tcW w:w="438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rPr>
            </w:pPr>
          </w:p>
        </w:tc>
      </w:tr>
      <w:tr>
        <w:tblPrEx>
          <w:tblCellMar>
            <w:top w:w="15" w:type="dxa"/>
            <w:left w:w="15" w:type="dxa"/>
            <w:bottom w:w="15" w:type="dxa"/>
            <w:right w:w="15" w:type="dxa"/>
          </w:tblCellMar>
        </w:tblPrEx>
        <w:trPr>
          <w:trHeight w:val="23" w:hRule="atLeast"/>
          <w:jc w:val="center"/>
        </w:trPr>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年度总体</w:t>
            </w:r>
          </w:p>
          <w:p>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目标</w:t>
            </w:r>
          </w:p>
        </w:tc>
        <w:tc>
          <w:tcPr>
            <w:tcW w:w="925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jc w:val="left"/>
              <w:textAlignment w:val="center"/>
              <w:rPr>
                <w:rFonts w:hint="eastAsia"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我们将坚持以习近平新时代中国特色社会主义思想为指引，贯彻落实中央、省、州和县决策部署，准确把握新发展阶段、全面贯彻新发展理念、主动融入新发展格局，按照“产业兴旺、生态宜居、乡风文明、治理有效、生活富裕”的乡村振兴战略总要求，基本实现“一心两轴三片”奋斗目标，认真贯彻落实推进生态叠溪、富裕叠溪、和谐叠溪，实现生态环境高颜值、经济发展高质量、人民生活高品质、社会治理高效能。</w:t>
            </w:r>
          </w:p>
          <w:p>
            <w:pPr>
              <w:pageBreakBefore w:val="0"/>
              <w:widowControl/>
              <w:kinsoku/>
              <w:wordWrap/>
              <w:overflowPunct/>
              <w:topLinePunct w:val="0"/>
              <w:bidi w:val="0"/>
              <w:spacing w:line="576" w:lineRule="exact"/>
              <w:jc w:val="left"/>
              <w:textAlignment w:val="center"/>
              <w:rPr>
                <w:rFonts w:hint="eastAsia"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以推动“乡村振兴”为抓手，奋力建设“生态叠溪”。一是筹备一批重点项目。加快各村项目筹备与推进，进一步完善农村基础设施，织起路网、水网、电网等保障网络，解决好文化室、卫生室、活动阵地等的建设和日常维护工作。二是壮大村级集体经济。进一步探索提升农村地区公共服务水平，将快递业务、电商平台等功能延伸到农村，通过土地流转、租赁经营分红、产业带动等模式，盘活闲置资源，增强村级集体经济“造血”功能，推动农民持续增收。三是推进人居环境整治。深入推进农房彩钢棚专项整治、田园规整、农村污水治理以及白色垃圾清理，彻底整治农村环境脏乱差突出问题，形成环境卫生人人参与的良好社会氛围。扎实开展“四净三美”、“三清一改”的村庄美化行动，着力打造幸福美丽家园。</w:t>
            </w:r>
          </w:p>
          <w:p>
            <w:pPr>
              <w:pageBreakBefore w:val="0"/>
              <w:widowControl/>
              <w:kinsoku/>
              <w:wordWrap/>
              <w:overflowPunct/>
              <w:topLinePunct w:val="0"/>
              <w:bidi w:val="0"/>
              <w:spacing w:line="576" w:lineRule="exact"/>
              <w:jc w:val="left"/>
              <w:textAlignment w:val="center"/>
              <w:rPr>
                <w:rFonts w:hint="eastAsia"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以发展“特色产业”为抓手，奋力建设“富裕叠溪”。一方面，培育农村新型经营主体，着力打造产业园、示范园、生态绿色蔬菜、水果基地等，并培育更多诸如羌脆李、大红袍花的地理标志产品。另一方面，围绕“吃住行游购娱”旅游六要素，打造特色打卡微景观，延伸旅游产业链条。积极购买第三方社会服务用于对景区及经营企业进行集中规范化运营，助推景区提档升级。深入挖掘景区典故历史、民俗传说、特色农事活动、民族文化地标等文化资源和利用自然优势条件，构建松坪沟—较场—沙湾—杨柳—牛尾”文化旅游长廊。办好松坪沟“转山会”，杨柳村“哑巴节”等具有一定影响力的文化活动，提升游客参与度。加快推进松坪沟省级旅游风景区、蚕陵重镇、牛尾羌寨、杨柳花村等品牌的推广度，突出特色村庄的典型示范和辐射带动作用，定位于集康养度假、休闲度假、文化体验于一体的旅游小镇。</w:t>
            </w:r>
          </w:p>
          <w:p>
            <w:pPr>
              <w:pageBreakBefore w:val="0"/>
              <w:widowControl/>
              <w:kinsoku/>
              <w:wordWrap/>
              <w:overflowPunct/>
              <w:topLinePunct w:val="0"/>
              <w:bidi w:val="0"/>
              <w:spacing w:line="576" w:lineRule="exact"/>
              <w:jc w:val="left"/>
              <w:textAlignment w:val="center"/>
              <w:rPr>
                <w:rFonts w:hint="eastAsia"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以发展“民生事业”为抓手，奋力建设“和谐叠溪”。关注弱势群体，全面落实困难群体救助政策，持续做好低收入家庭帮扶工作惠民政策落地落实；发展多层次养老保障体系，建成开放叠溪镇日间照料中心，确保老有所养；完善医疗卫生体系，常态化开展爱国卫生运动。</w:t>
            </w:r>
          </w:p>
          <w:p>
            <w:pPr>
              <w:pageBreakBefore w:val="0"/>
              <w:widowControl/>
              <w:kinsoku/>
              <w:wordWrap/>
              <w:overflowPunct/>
              <w:topLinePunct w:val="0"/>
              <w:bidi w:val="0"/>
              <w:spacing w:line="576" w:lineRule="exact"/>
              <w:jc w:val="left"/>
              <w:textAlignment w:val="center"/>
              <w:rPr>
                <w:rFonts w:hint="eastAsia" w:ascii="仿宋_GB2312" w:hAnsi="仿宋_GB2312" w:eastAsia="仿宋_GB2312" w:cs="仿宋_GB2312"/>
                <w:color w:val="000000"/>
                <w:sz w:val="24"/>
              </w:rPr>
            </w:pPr>
          </w:p>
        </w:tc>
      </w:tr>
      <w:tr>
        <w:tblPrEx>
          <w:tblCellMar>
            <w:top w:w="15" w:type="dxa"/>
            <w:left w:w="15" w:type="dxa"/>
            <w:bottom w:w="15" w:type="dxa"/>
            <w:right w:w="15" w:type="dxa"/>
          </w:tblCellMar>
        </w:tblPrEx>
        <w:trPr>
          <w:trHeight w:val="23" w:hRule="atLeast"/>
          <w:jc w:val="center"/>
        </w:trPr>
        <w:tc>
          <w:tcPr>
            <w:tcW w:w="13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年度主要</w:t>
            </w:r>
          </w:p>
          <w:p>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任务</w:t>
            </w: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任务名称</w:t>
            </w:r>
          </w:p>
        </w:tc>
        <w:tc>
          <w:tcPr>
            <w:tcW w:w="663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主要内容</w:t>
            </w:r>
          </w:p>
        </w:tc>
      </w:tr>
      <w:tr>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jc w:val="center"/>
              <w:rPr>
                <w:rFonts w:hint="eastAsia" w:ascii="仿宋_GB2312" w:hAnsi="仿宋_GB2312" w:eastAsia="仿宋_GB2312" w:cs="仿宋_GB2312"/>
                <w:color w:val="000000"/>
                <w:sz w:val="24"/>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认真贯彻落实各项政策，扎实推进财政工作。</w:t>
            </w:r>
          </w:p>
        </w:tc>
        <w:tc>
          <w:tcPr>
            <w:tcW w:w="663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ind w:firstLine="480" w:firstLineChars="200"/>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我们将坚持以习近平新时代中国特色社会主义思想为指引，贯彻落实中央、省、州和县决策部署，准确把握新发展阶段、全面贯彻新发展理念、主动融入新发展格局，按照“产业兴旺、生态宜居、乡风文明、治理有效、生活富裕”的乡村振兴战略总要求，基本实现“一心两轴三片”奋斗目标，认真贯彻落实推进生态叠溪、富裕叠溪、和谐叠溪，实现生态环境高颜值、经济发展高质量、人民生活高品质、社会治理高效能。</w:t>
            </w:r>
          </w:p>
        </w:tc>
      </w:tr>
      <w:tr>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jc w:val="center"/>
              <w:rPr>
                <w:rFonts w:hint="eastAsia" w:ascii="仿宋_GB2312" w:hAnsi="仿宋_GB2312" w:eastAsia="仿宋_GB2312" w:cs="仿宋_GB2312"/>
                <w:color w:val="000000"/>
                <w:sz w:val="24"/>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以发展“特色产业”为抓手，奋力建设“富裕叠溪”。</w:t>
            </w:r>
          </w:p>
        </w:tc>
        <w:tc>
          <w:tcPr>
            <w:tcW w:w="663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ind w:firstLine="480" w:firstLineChars="200"/>
              <w:jc w:val="left"/>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一方面，培育农村新型经营主体，着力打造产业园、示范园、生态绿色蔬菜、水果基地等，并培育更多诸如羌脆李、大红袍花的地理标志产品。另一方面，围绕“吃住行游购娱”旅游六要素，打造特色打卡微景观，延伸旅游产业链条。积极购买第三方社会服务用于对景区及经营企业进行集中规范化运营，助推景区提档升级。深入挖掘景区典故历史、民俗传说、特色农事活动、民族文化地标等文化资源和利用自然优势条件，构建松坪沟—较场—沙湾—杨柳—牛尾”文化旅游长廊。办好松坪沟“转山会”，杨柳村“哑巴节”等具有一定影响力的文化活动，提升游客参与度。加快推进松坪沟省级旅游风景区、蚕陵重镇、牛尾羌寨、杨柳花村等品牌的推广度，突出特色村庄的典型示范和辐射带动作用，定位于集康养度假、休闲度假、文化体验于一体的旅游小镇。</w:t>
            </w:r>
          </w:p>
        </w:tc>
      </w:tr>
      <w:tr>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jc w:val="center"/>
              <w:rPr>
                <w:rFonts w:hint="eastAsia" w:ascii="仿宋_GB2312" w:hAnsi="仿宋_GB2312" w:eastAsia="仿宋_GB2312" w:cs="仿宋_GB2312"/>
                <w:color w:val="000000"/>
                <w:sz w:val="24"/>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以推动”乡村振兴“为抓手，奋力建设”生态叠溪“。</w:t>
            </w:r>
          </w:p>
        </w:tc>
        <w:tc>
          <w:tcPr>
            <w:tcW w:w="663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ind w:firstLine="480" w:firstLineChars="200"/>
              <w:jc w:val="left"/>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一</w:t>
            </w:r>
            <w:r>
              <w:rPr>
                <w:rFonts w:hint="eastAsia" w:ascii="仿宋_GB2312" w:hAnsi="仿宋_GB2312" w:eastAsia="仿宋_GB2312" w:cs="仿宋_GB2312"/>
                <w:color w:val="000000"/>
                <w:sz w:val="24"/>
              </w:rPr>
              <w:t>方面，培育农村新型经营主体，着力打造产业园、示范园、生态绿色蔬菜、水果基地等，并培育更多诸如羌脆李、大红袍花的地理标志产品。另一方面，围绕“吃住行游购娱”旅游六要素，打造特色打卡微景观，延伸旅游产业链条。积极购买第三方社会服务用于对景区及经营企业进行集中规范化运营，助推景区提档升级。深入挖掘景区典故历史、民俗传说、特色农事活动、民族文化地标等文化资源和利用自然优势条件，构建松坪沟—较场—沙湾—杨柳—牛尾”文化旅游长廊。办好松坪沟“转山会”，杨柳村“哑巴节”等具有一定影响力的文化活动，提升游客参与度。加快推进松坪沟省级旅游风景区、蚕陵重镇、牛尾羌寨、杨柳花村等品牌的推广度，突出特色村庄的典型示范和辐射带动作用，定位于集康养度假、休闲度假、文化体验于一体的旅游小镇。</w:t>
            </w:r>
          </w:p>
        </w:tc>
      </w:tr>
      <w:tr>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jc w:val="center"/>
              <w:rPr>
                <w:rFonts w:hint="eastAsia" w:ascii="仿宋_GB2312" w:hAnsi="仿宋_GB2312" w:eastAsia="仿宋_GB2312" w:cs="仿宋_GB2312"/>
                <w:color w:val="000000"/>
                <w:sz w:val="24"/>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以发展“民生事业"为抓手，奋力建设”和谐叠溪“。</w:t>
            </w:r>
          </w:p>
        </w:tc>
        <w:tc>
          <w:tcPr>
            <w:tcW w:w="663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ind w:firstLine="480" w:firstLineChars="200"/>
              <w:jc w:val="left"/>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关注弱势群体，全面落实困难群体救助政策，持续做好低收入家庭帮扶工作惠民政策落地落实；发展多层次养老保障体系，建成开放叠溪镇日间照料中心，确保老有所养；完善医疗卫生体系，常态化开展爱国卫生运动和疫情防控，全方位保障人民群众生命健康安全；加大就业创业扶持服务力度，兴办农民夜校培训就业技能，提供更多招聘机会；大力发展文化事业，充分发挥工会、妇联等团体作用，扎实做好民族宗教等各项工作；建立健全安全生产服务体系，提升安全生产监管专业化水平。积极推进“政法小院”建设，切实提升镇域社会治理效能。</w:t>
            </w:r>
          </w:p>
        </w:tc>
      </w:tr>
      <w:tr>
        <w:tblPrEx>
          <w:tblCellMar>
            <w:top w:w="15" w:type="dxa"/>
            <w:left w:w="15" w:type="dxa"/>
            <w:bottom w:w="15" w:type="dxa"/>
            <w:right w:w="15" w:type="dxa"/>
          </w:tblCellMar>
        </w:tblPrEx>
        <w:trPr>
          <w:trHeight w:val="23" w:hRule="atLeast"/>
          <w:jc w:val="center"/>
        </w:trPr>
        <w:tc>
          <w:tcPr>
            <w:tcW w:w="1308" w:type="dxa"/>
            <w:vMerge w:val="restart"/>
            <w:tcBorders>
              <w:top w:val="single" w:color="000000" w:sz="4" w:space="0"/>
              <w:left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年度绩效</w:t>
            </w:r>
          </w:p>
          <w:p>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指标</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一级指标</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二级指标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三级指标</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绩效指标</w:t>
            </w:r>
          </w:p>
          <w:p>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性质</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绩效指标值</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绩效度量单位</w:t>
            </w:r>
          </w:p>
        </w:tc>
        <w:tc>
          <w:tcPr>
            <w:tcW w:w="926" w:type="dxa"/>
            <w:tcBorders>
              <w:top w:val="single" w:color="000000" w:sz="4" w:space="0"/>
              <w:left w:val="single" w:color="000000" w:sz="4" w:space="0"/>
              <w:bottom w:val="single" w:color="000000" w:sz="4" w:space="0"/>
            </w:tcBorders>
            <w:shd w:val="clear" w:color="auto" w:fill="auto"/>
            <w:vAlign w:val="center"/>
          </w:tcPr>
          <w:p>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权重</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实际完成</w:t>
            </w:r>
          </w:p>
          <w:p>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指标值</w:t>
            </w:r>
          </w:p>
        </w:tc>
      </w:tr>
      <w:tr>
        <w:tblPrEx>
          <w:tblCellMar>
            <w:top w:w="15" w:type="dxa"/>
            <w:left w:w="15" w:type="dxa"/>
            <w:bottom w:w="15" w:type="dxa"/>
            <w:right w:w="15" w:type="dxa"/>
          </w:tblCellMar>
        </w:tblPrEx>
        <w:trPr>
          <w:trHeight w:val="23" w:hRule="atLeast"/>
          <w:jc w:val="center"/>
        </w:trPr>
        <w:tc>
          <w:tcPr>
            <w:tcW w:w="1308" w:type="dxa"/>
            <w:vMerge w:val="continue"/>
            <w:tcBorders>
              <w:left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jc w:val="center"/>
              <w:rPr>
                <w:rFonts w:hint="eastAsia" w:ascii="仿宋_GB2312" w:hAnsi="仿宋_GB2312" w:eastAsia="仿宋_GB2312" w:cs="仿宋_GB2312"/>
                <w:color w:val="000000"/>
                <w:sz w:val="24"/>
              </w:rPr>
            </w:pPr>
          </w:p>
        </w:tc>
        <w:tc>
          <w:tcPr>
            <w:tcW w:w="13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产出指标</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数量指标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保障全镇干部职工的人员经费</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kern w:val="0"/>
                <w:sz w:val="24"/>
                <w:lang w:val="en-US" w:eastAsia="zh-CN" w:bidi="ar"/>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59</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人</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20</w:t>
            </w:r>
          </w:p>
        </w:tc>
        <w:tc>
          <w:tcPr>
            <w:tcW w:w="1114" w:type="dxa"/>
            <w:tcBorders>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59</w:t>
            </w:r>
          </w:p>
        </w:tc>
      </w:tr>
      <w:tr>
        <w:tblPrEx>
          <w:tblCellMar>
            <w:top w:w="15" w:type="dxa"/>
            <w:left w:w="15" w:type="dxa"/>
            <w:bottom w:w="15" w:type="dxa"/>
            <w:right w:w="15" w:type="dxa"/>
          </w:tblCellMar>
        </w:tblPrEx>
        <w:trPr>
          <w:trHeight w:val="23" w:hRule="atLeast"/>
          <w:jc w:val="center"/>
        </w:trPr>
        <w:tc>
          <w:tcPr>
            <w:tcW w:w="1308" w:type="dxa"/>
            <w:vMerge w:val="continue"/>
            <w:tcBorders>
              <w:left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jc w:val="center"/>
              <w:rPr>
                <w:rFonts w:hint="eastAsia" w:ascii="仿宋_GB2312" w:hAnsi="仿宋_GB2312" w:eastAsia="仿宋_GB2312" w:cs="仿宋_GB2312"/>
                <w:color w:val="000000"/>
                <w:sz w:val="24"/>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jc w:val="center"/>
              <w:rPr>
                <w:rFonts w:hint="eastAsia" w:ascii="仿宋_GB2312" w:hAnsi="仿宋_GB2312" w:eastAsia="仿宋_GB2312" w:cs="仿宋_GB2312"/>
                <w:color w:val="000000"/>
                <w:sz w:val="24"/>
              </w:rPr>
            </w:pP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质量指标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按要求各项工作完成各项工作</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jc w:val="left"/>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jc w:val="left"/>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100</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jc w:val="left"/>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jc w:val="left"/>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10</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jc w:val="left"/>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100</w:t>
            </w:r>
          </w:p>
        </w:tc>
      </w:tr>
      <w:tr>
        <w:tblPrEx>
          <w:tblCellMar>
            <w:top w:w="15" w:type="dxa"/>
            <w:left w:w="15" w:type="dxa"/>
            <w:bottom w:w="15" w:type="dxa"/>
            <w:right w:w="15" w:type="dxa"/>
          </w:tblCellMar>
        </w:tblPrEx>
        <w:trPr>
          <w:trHeight w:val="23" w:hRule="atLeast"/>
          <w:jc w:val="center"/>
        </w:trPr>
        <w:tc>
          <w:tcPr>
            <w:tcW w:w="1308" w:type="dxa"/>
            <w:vMerge w:val="continue"/>
            <w:tcBorders>
              <w:left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jc w:val="center"/>
              <w:rPr>
                <w:rFonts w:hint="eastAsia" w:ascii="仿宋_GB2312" w:hAnsi="仿宋_GB2312" w:eastAsia="仿宋_GB2312" w:cs="仿宋_GB2312"/>
                <w:color w:val="000000"/>
                <w:sz w:val="24"/>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jc w:val="center"/>
              <w:rPr>
                <w:rFonts w:hint="eastAsia" w:ascii="仿宋_GB2312" w:hAnsi="仿宋_GB2312" w:eastAsia="仿宋_GB2312" w:cs="仿宋_GB2312"/>
                <w:color w:val="000000"/>
                <w:sz w:val="24"/>
              </w:rPr>
            </w:pP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时效指标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按时完成我镇工作任务</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jc w:val="left"/>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jc w:val="left"/>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2024</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jc w:val="left"/>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年</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jc w:val="left"/>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10</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jc w:val="left"/>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2024</w:t>
            </w:r>
          </w:p>
        </w:tc>
      </w:tr>
      <w:tr>
        <w:tblPrEx>
          <w:tblCellMar>
            <w:top w:w="15" w:type="dxa"/>
            <w:left w:w="15" w:type="dxa"/>
            <w:bottom w:w="15" w:type="dxa"/>
            <w:right w:w="15" w:type="dxa"/>
          </w:tblCellMar>
        </w:tblPrEx>
        <w:trPr>
          <w:trHeight w:val="23" w:hRule="atLeast"/>
          <w:jc w:val="center"/>
        </w:trPr>
        <w:tc>
          <w:tcPr>
            <w:tcW w:w="1308" w:type="dxa"/>
            <w:vMerge w:val="continue"/>
            <w:tcBorders>
              <w:left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jc w:val="center"/>
              <w:rPr>
                <w:rFonts w:hint="eastAsia" w:ascii="仿宋_GB2312" w:hAnsi="仿宋_GB2312" w:eastAsia="仿宋_GB2312" w:cs="仿宋_GB2312"/>
                <w:color w:val="000000"/>
                <w:sz w:val="24"/>
              </w:rPr>
            </w:pPr>
          </w:p>
        </w:tc>
        <w:tc>
          <w:tcPr>
            <w:tcW w:w="13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效益指标</w:t>
            </w:r>
          </w:p>
        </w:tc>
        <w:tc>
          <w:tcPr>
            <w:tcW w:w="1273" w:type="dxa"/>
            <w:tcBorders>
              <w:top w:val="single" w:color="000000" w:sz="4" w:space="0"/>
              <w:left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经济效益指标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带动发展叠溪镇经济发展</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jc w:val="left"/>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jc w:val="left"/>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100</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jc w:val="left"/>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jc w:val="left"/>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20</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jc w:val="left"/>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100</w:t>
            </w:r>
          </w:p>
        </w:tc>
      </w:tr>
      <w:tr>
        <w:tblPrEx>
          <w:tblCellMar>
            <w:top w:w="15" w:type="dxa"/>
            <w:left w:w="15" w:type="dxa"/>
            <w:bottom w:w="15" w:type="dxa"/>
            <w:right w:w="15" w:type="dxa"/>
          </w:tblCellMar>
        </w:tblPrEx>
        <w:trPr>
          <w:trHeight w:val="23" w:hRule="atLeast"/>
          <w:jc w:val="center"/>
        </w:trPr>
        <w:tc>
          <w:tcPr>
            <w:tcW w:w="1308" w:type="dxa"/>
            <w:vMerge w:val="continue"/>
            <w:tcBorders>
              <w:left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jc w:val="center"/>
              <w:rPr>
                <w:rFonts w:hint="eastAsia" w:ascii="仿宋_GB2312" w:hAnsi="仿宋_GB2312" w:eastAsia="仿宋_GB2312" w:cs="仿宋_GB2312"/>
                <w:color w:val="000000"/>
                <w:sz w:val="24"/>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jc w:val="center"/>
              <w:rPr>
                <w:rFonts w:hint="eastAsia" w:ascii="仿宋_GB2312" w:hAnsi="仿宋_GB2312" w:eastAsia="仿宋_GB2312" w:cs="仿宋_GB2312"/>
                <w:color w:val="000000"/>
                <w:sz w:val="24"/>
              </w:rPr>
            </w:pP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社会效益指标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保障我镇社会稳定发展</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jc w:val="left"/>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jc w:val="left"/>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100</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jc w:val="left"/>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jc w:val="left"/>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10</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jc w:val="left"/>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100</w:t>
            </w:r>
          </w:p>
        </w:tc>
      </w:tr>
      <w:tr>
        <w:tblPrEx>
          <w:tblCellMar>
            <w:top w:w="15" w:type="dxa"/>
            <w:left w:w="15" w:type="dxa"/>
            <w:bottom w:w="15" w:type="dxa"/>
            <w:right w:w="15" w:type="dxa"/>
          </w:tblCellMar>
        </w:tblPrEx>
        <w:trPr>
          <w:trHeight w:val="23" w:hRule="atLeast"/>
          <w:jc w:val="center"/>
        </w:trPr>
        <w:tc>
          <w:tcPr>
            <w:tcW w:w="1308" w:type="dxa"/>
            <w:vMerge w:val="continue"/>
            <w:tcBorders>
              <w:left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jc w:val="center"/>
              <w:rPr>
                <w:rFonts w:hint="eastAsia" w:ascii="仿宋_GB2312" w:hAnsi="仿宋_GB2312" w:eastAsia="仿宋_GB2312" w:cs="仿宋_GB2312"/>
                <w:color w:val="000000"/>
                <w:sz w:val="24"/>
              </w:rPr>
            </w:pP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满意度指标</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满意度指标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全镇干部职工人民群众都能满意度</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jc w:val="left"/>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jc w:val="left"/>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100</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jc w:val="left"/>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jc w:val="left"/>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10</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jc w:val="left"/>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100</w:t>
            </w:r>
          </w:p>
        </w:tc>
      </w:tr>
      <w:tr>
        <w:tblPrEx>
          <w:tblCellMar>
            <w:top w:w="15" w:type="dxa"/>
            <w:left w:w="15" w:type="dxa"/>
            <w:bottom w:w="15" w:type="dxa"/>
            <w:right w:w="15" w:type="dxa"/>
          </w:tblCellMar>
        </w:tblPrEx>
        <w:trPr>
          <w:trHeight w:val="23" w:hRule="atLeast"/>
          <w:jc w:val="center"/>
        </w:trPr>
        <w:tc>
          <w:tcPr>
            <w:tcW w:w="1308" w:type="dxa"/>
            <w:vMerge w:val="continue"/>
            <w:tcBorders>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jc w:val="center"/>
              <w:rPr>
                <w:rFonts w:hint="eastAsia" w:ascii="仿宋_GB2312" w:hAnsi="仿宋_GB2312" w:eastAsia="仿宋_GB2312" w:cs="仿宋_GB2312"/>
                <w:color w:val="000000"/>
                <w:sz w:val="24"/>
              </w:rPr>
            </w:pP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成本指标</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jc w:val="center"/>
              <w:textAlignment w:val="center"/>
              <w:rPr>
                <w:rFonts w:hint="eastAsia"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经济成本指标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叠溪镇2024年预算指标</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jc w:val="left"/>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jc w:val="left"/>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2090.64</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jc w:val="left"/>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万元</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jc w:val="left"/>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10</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bidi w:val="0"/>
              <w:spacing w:line="576" w:lineRule="exact"/>
              <w:jc w:val="left"/>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2090.64</w:t>
            </w:r>
          </w:p>
        </w:tc>
      </w:tr>
    </w:tbl>
    <w:p>
      <w:pPr>
        <w:pStyle w:val="14"/>
        <w:keepNext w:val="0"/>
        <w:keepLines w:val="0"/>
        <w:pageBreakBefore w:val="0"/>
        <w:numPr>
          <w:ilvl w:val="0"/>
          <w:numId w:val="0"/>
        </w:numPr>
        <w:kinsoku/>
        <w:wordWrap/>
        <w:overflowPunct/>
        <w:topLinePunct w:val="0"/>
        <w:autoSpaceDE/>
        <w:autoSpaceDN/>
        <w:bidi w:val="0"/>
        <w:spacing w:line="576" w:lineRule="exact"/>
        <w:textAlignment w:val="auto"/>
        <w:rPr>
          <w:rFonts w:hint="eastAsia" w:ascii="仿宋_GB2312" w:hAnsi="仿宋_GB2312" w:eastAsia="仿宋_GB2312" w:cs="仿宋_GB2312"/>
          <w:sz w:val="32"/>
          <w:szCs w:val="32"/>
          <w:highlight w:val="yellow"/>
          <w:lang w:val="zh-CN" w:eastAsia="zh-CN"/>
        </w:rPr>
      </w:pPr>
    </w:p>
    <w:p>
      <w:pPr>
        <w:pStyle w:val="6"/>
        <w:pageBreakBefore w:val="0"/>
        <w:kinsoku/>
        <w:wordWrap/>
        <w:overflowPunct/>
        <w:topLinePunct w:val="0"/>
        <w:bidi w:val="0"/>
        <w:spacing w:line="576" w:lineRule="exact"/>
        <w:rPr>
          <w:rFonts w:hint="eastAsia" w:ascii="Times New Roman" w:hAnsi="Times New Roman" w:cs="宋体"/>
          <w:color w:val="FF0000"/>
          <w:kern w:val="0"/>
          <w:sz w:val="32"/>
          <w:szCs w:val="32"/>
          <w:highlight w:val="yellow"/>
          <w:shd w:val="clear" w:color="auto" w:fill="FFFFFF"/>
          <w:lang w:val="zh-CN"/>
        </w:rPr>
      </w:pPr>
    </w:p>
    <w:p>
      <w:pPr>
        <w:pageBreakBefore w:val="0"/>
        <w:kinsoku/>
        <w:wordWrap/>
        <w:overflowPunct/>
        <w:topLinePunct w:val="0"/>
        <w:bidi w:val="0"/>
        <w:spacing w:line="576" w:lineRule="exact"/>
        <w:rPr>
          <w:rFonts w:hint="eastAsia" w:ascii="Times New Roman" w:hAnsi="Times New Roman" w:eastAsia="黑体" w:cs="黑体"/>
          <w:color w:val="auto"/>
          <w:kern w:val="0"/>
          <w:sz w:val="32"/>
          <w:szCs w:val="32"/>
          <w:highlight w:val="none"/>
          <w:shd w:val="clear" w:color="auto" w:fill="FFFFFF"/>
          <w:lang w:val="zh-CN"/>
        </w:rPr>
      </w:pPr>
      <w:r>
        <w:rPr>
          <w:rFonts w:hint="eastAsia" w:ascii="Times New Roman" w:hAnsi="Times New Roman" w:eastAsia="黑体" w:cs="黑体"/>
          <w:color w:val="auto"/>
          <w:kern w:val="0"/>
          <w:sz w:val="32"/>
          <w:szCs w:val="32"/>
          <w:highlight w:val="none"/>
          <w:shd w:val="clear" w:color="auto" w:fill="FFFFFF"/>
          <w:lang w:val="zh-CN"/>
        </w:rPr>
        <w:br w:type="page"/>
      </w:r>
    </w:p>
    <w:p>
      <w:pPr>
        <w:keepNext w:val="0"/>
        <w:keepLines w:val="0"/>
        <w:pageBreakBefore w:val="0"/>
        <w:kinsoku/>
        <w:wordWrap/>
        <w:overflowPunct/>
        <w:topLinePunct w:val="0"/>
        <w:autoSpaceDE/>
        <w:autoSpaceDN/>
        <w:bidi w:val="0"/>
        <w:spacing w:line="576" w:lineRule="exact"/>
        <w:jc w:val="left"/>
        <w:textAlignment w:val="auto"/>
        <w:outlineLvl w:val="0"/>
        <w:rPr>
          <w:rFonts w:hint="eastAsia" w:ascii="Times New Roman" w:hAnsi="Times New Roman" w:eastAsia="黑体" w:cs="黑体"/>
          <w:color w:val="auto"/>
          <w:sz w:val="32"/>
          <w:szCs w:val="32"/>
          <w:highlight w:val="none"/>
          <w:lang w:val="en-US" w:eastAsia="zh-CN"/>
        </w:rPr>
      </w:pPr>
      <w:bookmarkStart w:id="110" w:name="_Toc9022"/>
      <w:bookmarkStart w:id="111" w:name="_Toc1628807001"/>
      <w:r>
        <w:rPr>
          <w:rFonts w:hint="eastAsia" w:ascii="Times New Roman" w:hAnsi="Times New Roman" w:eastAsia="黑体" w:cs="黑体"/>
          <w:color w:val="auto"/>
          <w:sz w:val="32"/>
          <w:szCs w:val="32"/>
          <w:highlight w:val="none"/>
          <w:lang w:val="zh-CN"/>
        </w:rPr>
        <w:t>附件</w:t>
      </w:r>
      <w:r>
        <w:rPr>
          <w:rFonts w:hint="eastAsia" w:ascii="Times New Roman" w:hAnsi="Times New Roman" w:eastAsia="黑体" w:cs="黑体"/>
          <w:color w:val="auto"/>
          <w:sz w:val="32"/>
          <w:szCs w:val="32"/>
          <w:highlight w:val="none"/>
          <w:lang w:val="en-US" w:eastAsia="zh-CN"/>
        </w:rPr>
        <w:t>2</w:t>
      </w:r>
      <w:bookmarkEnd w:id="110"/>
      <w:bookmarkEnd w:id="111"/>
    </w:p>
    <w:p>
      <w:pPr>
        <w:keepNext w:val="0"/>
        <w:keepLines w:val="0"/>
        <w:pageBreakBefore w:val="0"/>
        <w:kinsoku/>
        <w:wordWrap/>
        <w:overflowPunct/>
        <w:topLinePunct w:val="0"/>
        <w:bidi w:val="0"/>
        <w:spacing w:line="576" w:lineRule="exact"/>
        <w:jc w:val="left"/>
        <w:textAlignment w:val="auto"/>
        <w:rPr>
          <w:rFonts w:hint="eastAsia" w:ascii="仿宋_GB2312" w:hAnsi="仿宋_GB2312" w:eastAsia="仿宋_GB2312" w:cs="仿宋_GB2312"/>
          <w:sz w:val="32"/>
          <w:szCs w:val="32"/>
          <w:lang w:val="en-US" w:eastAsia="zh-CN"/>
        </w:rPr>
      </w:pPr>
    </w:p>
    <w:p>
      <w:pPr>
        <w:pStyle w:val="36"/>
        <w:pageBreakBefore w:val="0"/>
        <w:kinsoku/>
        <w:wordWrap/>
        <w:overflowPunct/>
        <w:topLinePunct w:val="0"/>
        <w:bidi w:val="0"/>
        <w:spacing w:line="576" w:lineRule="exact"/>
        <w:jc w:val="center"/>
        <w:rPr>
          <w:rFonts w:hint="eastAsia" w:ascii="方正小标宋简体" w:hAnsi="宋体" w:eastAsia="方正小标宋简体"/>
          <w:sz w:val="44"/>
          <w:szCs w:val="44"/>
          <w:lang w:val="en-US" w:eastAsia="zh-CN"/>
        </w:rPr>
      </w:pPr>
      <w:r>
        <w:rPr>
          <w:rFonts w:hint="eastAsia" w:ascii="方正小标宋简体" w:hAnsi="宋体" w:eastAsia="方正小标宋简体"/>
          <w:sz w:val="44"/>
          <w:szCs w:val="44"/>
          <w:lang w:val="en-US" w:eastAsia="zh-CN"/>
        </w:rPr>
        <w:t>2024年乡镇机关食堂经费</w:t>
      </w:r>
    </w:p>
    <w:p>
      <w:pPr>
        <w:pStyle w:val="36"/>
        <w:pageBreakBefore w:val="0"/>
        <w:kinsoku/>
        <w:wordWrap/>
        <w:overflowPunct/>
        <w:topLinePunct w:val="0"/>
        <w:bidi w:val="0"/>
        <w:spacing w:line="576" w:lineRule="exact"/>
        <w:jc w:val="center"/>
        <w:rPr>
          <w:rFonts w:ascii="Times New Roman" w:hAnsi="Times New Roman" w:eastAsia="方正小标宋简体"/>
          <w:color w:val="auto"/>
          <w:kern w:val="2"/>
          <w:sz w:val="44"/>
          <w:szCs w:val="44"/>
          <w:lang w:val="en-US"/>
        </w:rPr>
      </w:pPr>
      <w:r>
        <w:rPr>
          <w:rFonts w:ascii="Times New Roman" w:hAnsi="Times New Roman" w:eastAsia="方正小标宋简体"/>
          <w:color w:val="auto"/>
          <w:kern w:val="2"/>
          <w:sz w:val="44"/>
          <w:szCs w:val="44"/>
          <w:lang w:val="en-US"/>
        </w:rPr>
        <w:t>预算绩效自评报告</w:t>
      </w:r>
    </w:p>
    <w:p>
      <w:pPr>
        <w:pStyle w:val="36"/>
        <w:pageBreakBefore w:val="0"/>
        <w:kinsoku/>
        <w:wordWrap/>
        <w:overflowPunct/>
        <w:topLinePunct w:val="0"/>
        <w:bidi w:val="0"/>
        <w:spacing w:line="576" w:lineRule="exact"/>
        <w:ind w:firstLine="640"/>
        <w:jc w:val="center"/>
        <w:rPr>
          <w:rFonts w:ascii="Times New Roman" w:hAnsi="Times New Roman"/>
          <w:color w:val="auto"/>
          <w:kern w:val="2"/>
          <w:sz w:val="32"/>
          <w:szCs w:val="32"/>
        </w:rPr>
      </w:pPr>
    </w:p>
    <w:p>
      <w:pPr>
        <w:pageBreakBefore w:val="0"/>
        <w:kinsoku/>
        <w:wordWrap/>
        <w:overflowPunct/>
        <w:topLinePunct w:val="0"/>
        <w:bidi w:val="0"/>
        <w:adjustRightInd w:val="0"/>
        <w:snapToGrid w:val="0"/>
        <w:spacing w:line="576" w:lineRule="exact"/>
        <w:ind w:firstLine="640" w:firstLineChars="200"/>
        <w:rPr>
          <w:rFonts w:eastAsia="黑体"/>
          <w:sz w:val="32"/>
          <w:szCs w:val="32"/>
          <w:lang w:val="zh-CN"/>
        </w:rPr>
      </w:pPr>
      <w:r>
        <w:rPr>
          <w:rFonts w:eastAsia="黑体"/>
          <w:sz w:val="32"/>
          <w:szCs w:val="32"/>
        </w:rPr>
        <w:t>一、</w:t>
      </w:r>
      <w:r>
        <w:rPr>
          <w:rFonts w:eastAsia="黑体"/>
          <w:sz w:val="32"/>
          <w:szCs w:val="32"/>
          <w:lang w:val="zh-CN"/>
        </w:rPr>
        <w:t>项目概况</w:t>
      </w:r>
    </w:p>
    <w:p>
      <w:pPr>
        <w:keepNext w:val="0"/>
        <w:keepLines w:val="0"/>
        <w:pageBreakBefore w:val="0"/>
        <w:kinsoku/>
        <w:wordWrap/>
        <w:overflowPunct/>
        <w:topLinePunct w:val="0"/>
        <w:bidi w:val="0"/>
        <w:adjustRightInd w:val="0"/>
        <w:snapToGrid w:val="0"/>
        <w:spacing w:line="576" w:lineRule="exact"/>
        <w:ind w:firstLine="720"/>
        <w:jc w:val="left"/>
        <w:textAlignment w:val="auto"/>
        <w:rPr>
          <w:rFonts w:hint="eastAsia" w:ascii="楷体_GB2312" w:hAnsi="宋体" w:eastAsia="楷体_GB2312"/>
          <w:b/>
          <w:sz w:val="32"/>
          <w:szCs w:val="32"/>
          <w:lang w:val="zh-CN"/>
        </w:rPr>
      </w:pPr>
      <w:r>
        <w:rPr>
          <w:rFonts w:hint="eastAsia" w:ascii="楷体_GB2312" w:hAnsi="宋体" w:eastAsia="楷体_GB2312"/>
          <w:b/>
          <w:sz w:val="32"/>
          <w:szCs w:val="32"/>
          <w:lang w:val="zh-CN"/>
        </w:rPr>
        <w:t>（一）设立背景及基本情况</w:t>
      </w:r>
    </w:p>
    <w:p>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leftChars="0" w:firstLine="640" w:firstLineChars="200"/>
        <w:contextualSpacing/>
        <w:jc w:val="left"/>
        <w:textAlignment w:val="auto"/>
        <w:rPr>
          <w:rFonts w:hint="eastAsia" w:ascii="仿宋_GB2312" w:hAnsi="仿宋_GB2312" w:eastAsia="仿宋_GB2312" w:cs="仿宋_GB2312"/>
          <w:color w:val="auto"/>
          <w:kern w:val="0"/>
          <w:sz w:val="32"/>
          <w:szCs w:val="32"/>
          <w:highlight w:val="none"/>
          <w:u w:val="none"/>
          <w:shd w:val="clear" w:color="auto" w:fill="FFFFFF"/>
          <w:lang w:val="zh-CN"/>
        </w:rPr>
      </w:pPr>
      <w:r>
        <w:rPr>
          <w:rFonts w:hint="eastAsia" w:ascii="仿宋_GB2312" w:hAnsi="仿宋_GB2312" w:eastAsia="仿宋_GB2312" w:cs="仿宋_GB2312"/>
          <w:color w:val="auto"/>
          <w:kern w:val="0"/>
          <w:sz w:val="32"/>
          <w:szCs w:val="32"/>
          <w:highlight w:val="none"/>
          <w:u w:val="none"/>
          <w:shd w:val="clear" w:color="auto" w:fill="FFFFFF"/>
          <w:lang w:val="en-US" w:eastAsia="zh-CN"/>
        </w:rPr>
        <w:t>“2024年乡镇机关食堂经费”项目设立的背景是为了保障我镇食堂正常运转、保障我镇职工正常用餐。用于支付叠溪镇机关食堂购买大米、蔬菜、油、肉类等支出，及食堂厨师工资。总计12.00万元。项目由叠溪镇人民政府负责实施</w:t>
      </w:r>
      <w:r>
        <w:rPr>
          <w:rFonts w:hint="eastAsia" w:ascii="仿宋_GB2312" w:hAnsi="仿宋_GB2312" w:eastAsia="仿宋_GB2312" w:cs="仿宋_GB2312"/>
          <w:color w:val="auto"/>
          <w:kern w:val="0"/>
          <w:sz w:val="32"/>
          <w:szCs w:val="32"/>
          <w:highlight w:val="none"/>
          <w:u w:val="none"/>
          <w:shd w:val="clear" w:color="auto" w:fill="FFFFFF"/>
          <w:lang w:val="zh-CN"/>
        </w:rPr>
        <w:t>。</w:t>
      </w:r>
    </w:p>
    <w:p>
      <w:pPr>
        <w:keepNext w:val="0"/>
        <w:keepLines w:val="0"/>
        <w:pageBreakBefore w:val="0"/>
        <w:numPr>
          <w:ilvl w:val="0"/>
          <w:numId w:val="0"/>
        </w:numPr>
        <w:kinsoku/>
        <w:wordWrap/>
        <w:overflowPunct/>
        <w:topLinePunct w:val="0"/>
        <w:bidi w:val="0"/>
        <w:adjustRightInd w:val="0"/>
        <w:snapToGrid w:val="0"/>
        <w:spacing w:line="576" w:lineRule="exact"/>
        <w:ind w:firstLine="642" w:firstLineChars="200"/>
        <w:jc w:val="left"/>
        <w:textAlignment w:val="auto"/>
        <w:rPr>
          <w:rFonts w:ascii="楷体_GB2312" w:hAnsi="宋体" w:eastAsia="楷体_GB2312"/>
          <w:b/>
          <w:sz w:val="32"/>
          <w:szCs w:val="32"/>
        </w:rPr>
      </w:pPr>
      <w:r>
        <w:rPr>
          <w:rFonts w:hint="eastAsia" w:ascii="楷体_GB2312" w:hAnsi="宋体" w:eastAsia="楷体_GB2312" w:cs="Times New Roman"/>
          <w:b/>
          <w:kern w:val="2"/>
          <w:sz w:val="32"/>
          <w:szCs w:val="32"/>
          <w:lang w:val="en-US" w:eastAsia="zh-CN" w:bidi="ar-SA"/>
        </w:rPr>
        <w:t>（二）</w:t>
      </w:r>
      <w:r>
        <w:rPr>
          <w:rFonts w:ascii="楷体_GB2312" w:hAnsi="宋体" w:eastAsia="楷体_GB2312"/>
          <w:b/>
          <w:sz w:val="32"/>
          <w:szCs w:val="32"/>
        </w:rPr>
        <w:t>实施目的及支持方向</w:t>
      </w:r>
    </w:p>
    <w:p>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leftChars="0" w:firstLine="640" w:firstLineChars="200"/>
        <w:contextualSpacing/>
        <w:jc w:val="left"/>
        <w:textAlignment w:val="auto"/>
        <w:rPr>
          <w:rFonts w:hint="eastAsia" w:ascii="仿宋_GB2312" w:hAnsi="仿宋_GB2312" w:eastAsia="仿宋_GB2312" w:cs="仿宋_GB2312"/>
          <w:color w:val="auto"/>
          <w:kern w:val="0"/>
          <w:sz w:val="32"/>
          <w:szCs w:val="32"/>
          <w:highlight w:val="none"/>
          <w:u w:val="none"/>
          <w:shd w:val="clear" w:color="auto" w:fill="FFFFFF"/>
          <w:lang w:val="zh-CN" w:eastAsia="zh-CN"/>
        </w:rPr>
      </w:pPr>
      <w:r>
        <w:rPr>
          <w:rFonts w:hint="eastAsia" w:ascii="仿宋_GB2312" w:hAnsi="仿宋_GB2312" w:eastAsia="仿宋_GB2312" w:cs="仿宋_GB2312"/>
          <w:color w:val="auto"/>
          <w:kern w:val="0"/>
          <w:sz w:val="32"/>
          <w:szCs w:val="32"/>
          <w:highlight w:val="none"/>
          <w:u w:val="none"/>
          <w:shd w:val="clear" w:color="auto" w:fill="FFFFFF"/>
          <w:lang w:val="en-US" w:eastAsia="zh-CN"/>
        </w:rPr>
        <w:t>项目的实施目的是通过支付，保障了我镇食堂正常运转、保障了我镇职工正常用餐。支持方向主要集中用于支付叠溪镇机关食堂购买大米、油、调味品等支出4.80万元，食堂厨师工资7.20万元</w:t>
      </w:r>
      <w:r>
        <w:rPr>
          <w:rFonts w:hint="eastAsia" w:ascii="仿宋_GB2312" w:hAnsi="仿宋_GB2312" w:eastAsia="仿宋_GB2312" w:cs="仿宋_GB2312"/>
          <w:color w:val="auto"/>
          <w:kern w:val="0"/>
          <w:sz w:val="32"/>
          <w:szCs w:val="32"/>
          <w:highlight w:val="none"/>
          <w:u w:val="none"/>
          <w:shd w:val="clear" w:color="auto" w:fill="FFFFFF"/>
          <w:lang w:val="zh-CN" w:eastAsia="zh-CN"/>
        </w:rPr>
        <w:t>。</w:t>
      </w:r>
    </w:p>
    <w:p>
      <w:pPr>
        <w:keepNext w:val="0"/>
        <w:keepLines w:val="0"/>
        <w:pageBreakBefore w:val="0"/>
        <w:numPr>
          <w:ilvl w:val="0"/>
          <w:numId w:val="0"/>
        </w:numPr>
        <w:kinsoku/>
        <w:wordWrap/>
        <w:overflowPunct/>
        <w:topLinePunct w:val="0"/>
        <w:bidi w:val="0"/>
        <w:adjustRightInd w:val="0"/>
        <w:snapToGrid w:val="0"/>
        <w:spacing w:line="576" w:lineRule="exact"/>
        <w:ind w:left="0" w:leftChars="0" w:firstLine="642" w:firstLineChars="200"/>
        <w:jc w:val="left"/>
        <w:textAlignment w:val="auto"/>
        <w:rPr>
          <w:rFonts w:hint="eastAsia" w:ascii="楷体_GB2312" w:hAnsi="宋体" w:eastAsia="楷体_GB2312"/>
          <w:b/>
          <w:sz w:val="32"/>
          <w:szCs w:val="32"/>
          <w:lang w:val="zh-CN"/>
        </w:rPr>
      </w:pPr>
      <w:r>
        <w:rPr>
          <w:rFonts w:hint="eastAsia" w:ascii="楷体_GB2312" w:hAnsi="宋体" w:eastAsia="楷体_GB2312" w:cs="Times New Roman"/>
          <w:b/>
          <w:kern w:val="2"/>
          <w:sz w:val="32"/>
          <w:szCs w:val="32"/>
          <w:lang w:val="zh-CN" w:eastAsia="zh-CN" w:bidi="ar-SA"/>
        </w:rPr>
        <w:t>（三）</w:t>
      </w:r>
      <w:r>
        <w:rPr>
          <w:rFonts w:ascii="楷体_GB2312" w:hAnsi="宋体" w:eastAsia="楷体_GB2312"/>
          <w:b/>
          <w:sz w:val="32"/>
          <w:szCs w:val="32"/>
        </w:rPr>
        <w:t>预算安排及分配管理</w:t>
      </w:r>
    </w:p>
    <w:p>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leftChars="0" w:firstLine="640" w:firstLineChars="200"/>
        <w:contextualSpacing/>
        <w:jc w:val="left"/>
        <w:textAlignment w:val="auto"/>
        <w:rPr>
          <w:rFonts w:hint="default" w:ascii="仿宋_GB2312" w:hAnsi="仿宋_GB2312" w:eastAsia="仿宋_GB2312" w:cs="仿宋_GB2312"/>
          <w:color w:val="auto"/>
          <w:kern w:val="0"/>
          <w:sz w:val="32"/>
          <w:szCs w:val="32"/>
          <w:highlight w:val="none"/>
          <w:u w:val="none"/>
          <w:shd w:val="clear" w:color="auto" w:fill="FFFFFF"/>
          <w:lang w:val="en-US" w:eastAsia="zh-CN"/>
        </w:rPr>
      </w:pPr>
      <w:r>
        <w:rPr>
          <w:rFonts w:hint="eastAsia" w:ascii="仿宋_GB2312" w:hAnsi="仿宋_GB2312" w:eastAsia="仿宋_GB2312" w:cs="仿宋_GB2312"/>
          <w:color w:val="auto"/>
          <w:kern w:val="0"/>
          <w:sz w:val="32"/>
          <w:szCs w:val="32"/>
          <w:highlight w:val="none"/>
          <w:u w:val="none"/>
          <w:shd w:val="clear" w:color="auto" w:fill="FFFFFF"/>
          <w:lang w:val="zh-CN" w:eastAsia="zh-CN"/>
        </w:rPr>
        <w:t>“2024年乡镇机关食堂经费”项目的年度预算数为12.00万元，实际执行金额为</w:t>
      </w:r>
      <w:r>
        <w:rPr>
          <w:rFonts w:hint="eastAsia" w:ascii="仿宋_GB2312" w:hAnsi="仿宋_GB2312" w:eastAsia="仿宋_GB2312" w:cs="仿宋_GB2312"/>
          <w:color w:val="auto"/>
          <w:kern w:val="0"/>
          <w:sz w:val="32"/>
          <w:szCs w:val="32"/>
          <w:highlight w:val="none"/>
          <w:u w:val="none"/>
          <w:shd w:val="clear" w:color="auto" w:fill="FFFFFF"/>
          <w:lang w:val="en-US" w:eastAsia="zh-CN"/>
        </w:rPr>
        <w:t>12.00</w:t>
      </w:r>
      <w:r>
        <w:rPr>
          <w:rFonts w:hint="eastAsia" w:ascii="仿宋_GB2312" w:hAnsi="仿宋_GB2312" w:eastAsia="仿宋_GB2312" w:cs="仿宋_GB2312"/>
          <w:color w:val="auto"/>
          <w:kern w:val="0"/>
          <w:sz w:val="32"/>
          <w:szCs w:val="32"/>
          <w:highlight w:val="none"/>
          <w:u w:val="none"/>
          <w:shd w:val="clear" w:color="auto" w:fill="FFFFFF"/>
          <w:lang w:val="zh-CN" w:eastAsia="zh-CN"/>
        </w:rPr>
        <w:t>万元。</w:t>
      </w:r>
      <w:r>
        <w:rPr>
          <w:rFonts w:hint="eastAsia" w:ascii="仿宋_GB2312" w:hAnsi="仿宋_GB2312" w:eastAsia="仿宋_GB2312" w:cs="仿宋_GB2312"/>
          <w:color w:val="auto"/>
          <w:kern w:val="0"/>
          <w:sz w:val="32"/>
          <w:szCs w:val="32"/>
          <w:highlight w:val="none"/>
          <w:u w:val="none"/>
          <w:shd w:val="clear" w:color="auto" w:fill="FFFFFF"/>
          <w:lang w:val="en-US" w:eastAsia="zh-CN"/>
        </w:rPr>
        <w:t>资金分配：用于支付叠溪镇机关食堂购买大米、油、调味品等支出4.80万元，食堂厨师工资7.20万元。</w:t>
      </w:r>
    </w:p>
    <w:p>
      <w:pPr>
        <w:keepNext w:val="0"/>
        <w:keepLines w:val="0"/>
        <w:pageBreakBefore w:val="0"/>
        <w:numPr>
          <w:ilvl w:val="0"/>
          <w:numId w:val="0"/>
        </w:numPr>
        <w:kinsoku/>
        <w:wordWrap/>
        <w:overflowPunct/>
        <w:topLinePunct w:val="0"/>
        <w:bidi w:val="0"/>
        <w:adjustRightInd w:val="0"/>
        <w:snapToGrid w:val="0"/>
        <w:spacing w:line="576" w:lineRule="exact"/>
        <w:ind w:left="0" w:leftChars="0" w:firstLine="642" w:firstLineChars="200"/>
        <w:jc w:val="left"/>
        <w:textAlignment w:val="auto"/>
        <w:rPr>
          <w:rFonts w:hint="eastAsia" w:ascii="楷体_GB2312" w:hAnsi="宋体" w:eastAsia="楷体_GB2312"/>
          <w:b/>
          <w:sz w:val="32"/>
          <w:szCs w:val="32"/>
          <w:lang w:val="zh-CN"/>
        </w:rPr>
      </w:pPr>
      <w:r>
        <w:rPr>
          <w:rFonts w:hint="eastAsia" w:ascii="楷体_GB2312" w:hAnsi="宋体" w:eastAsia="楷体_GB2312" w:cs="Times New Roman"/>
          <w:b/>
          <w:kern w:val="2"/>
          <w:sz w:val="32"/>
          <w:szCs w:val="32"/>
          <w:lang w:val="zh-CN" w:eastAsia="zh-CN" w:bidi="ar-SA"/>
        </w:rPr>
        <w:t>（四）</w:t>
      </w:r>
      <w:r>
        <w:rPr>
          <w:rFonts w:hint="eastAsia" w:ascii="楷体_GB2312" w:hAnsi="宋体" w:eastAsia="楷体_GB2312"/>
          <w:b/>
          <w:sz w:val="32"/>
          <w:szCs w:val="32"/>
          <w:lang w:val="zh-CN"/>
        </w:rPr>
        <w:t>项目绩效目标设置</w:t>
      </w:r>
    </w:p>
    <w:p>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leftChars="0" w:firstLine="640" w:firstLineChars="200"/>
        <w:contextualSpacing/>
        <w:jc w:val="left"/>
        <w:textAlignment w:val="auto"/>
        <w:rPr>
          <w:rFonts w:hint="default" w:ascii="仿宋_GB2312" w:hAnsi="仿宋_GB2312" w:eastAsia="仿宋_GB2312" w:cs="仿宋_GB2312"/>
          <w:color w:val="auto"/>
          <w:kern w:val="0"/>
          <w:sz w:val="32"/>
          <w:szCs w:val="32"/>
          <w:highlight w:val="none"/>
          <w:u w:val="none"/>
          <w:shd w:val="clear" w:color="auto" w:fill="FFFFFF"/>
          <w:lang w:val="zh-CN" w:eastAsia="zh-CN"/>
        </w:rPr>
      </w:pPr>
      <w:r>
        <w:rPr>
          <w:rFonts w:hint="eastAsia" w:ascii="仿宋_GB2312" w:hAnsi="仿宋_GB2312" w:eastAsia="仿宋_GB2312" w:cs="仿宋_GB2312"/>
          <w:color w:val="auto"/>
          <w:kern w:val="0"/>
          <w:sz w:val="32"/>
          <w:szCs w:val="32"/>
          <w:highlight w:val="none"/>
          <w:u w:val="none"/>
          <w:shd w:val="clear" w:color="auto" w:fill="FFFFFF"/>
          <w:lang w:val="zh-CN" w:eastAsia="zh-CN"/>
        </w:rPr>
        <w:t>项目的整体绩效目标是</w:t>
      </w:r>
      <w:r>
        <w:rPr>
          <w:rFonts w:hint="eastAsia" w:ascii="仿宋_GB2312" w:hAnsi="仿宋_GB2312" w:eastAsia="仿宋_GB2312" w:cs="仿宋_GB2312"/>
          <w:color w:val="auto"/>
          <w:kern w:val="0"/>
          <w:sz w:val="32"/>
          <w:szCs w:val="32"/>
          <w:highlight w:val="none"/>
          <w:u w:val="none"/>
          <w:shd w:val="clear" w:color="auto" w:fill="FFFFFF"/>
          <w:lang w:val="en-US" w:eastAsia="zh-CN"/>
        </w:rPr>
        <w:t>保障我镇食堂正常运转、保障我镇职工正常用餐</w:t>
      </w:r>
      <w:r>
        <w:rPr>
          <w:rFonts w:hint="eastAsia" w:ascii="仿宋_GB2312" w:hAnsi="仿宋_GB2312" w:eastAsia="仿宋_GB2312" w:cs="仿宋_GB2312"/>
          <w:color w:val="auto"/>
          <w:kern w:val="0"/>
          <w:sz w:val="32"/>
          <w:szCs w:val="32"/>
          <w:highlight w:val="none"/>
          <w:u w:val="none"/>
          <w:shd w:val="clear" w:color="auto" w:fill="FFFFFF"/>
          <w:lang w:val="zh-CN" w:eastAsia="zh-CN"/>
        </w:rPr>
        <w:t>。具体绩效目标包括：确保在2024年内完成所有资金支付，职工满意度达到95%以上。</w:t>
      </w:r>
    </w:p>
    <w:p>
      <w:pPr>
        <w:keepNext w:val="0"/>
        <w:keepLines w:val="0"/>
        <w:pageBreakBefore w:val="0"/>
        <w:kinsoku/>
        <w:wordWrap/>
        <w:overflowPunct/>
        <w:topLinePunct w:val="0"/>
        <w:bidi w:val="0"/>
        <w:adjustRightInd w:val="0"/>
        <w:snapToGrid w:val="0"/>
        <w:spacing w:line="576" w:lineRule="exact"/>
        <w:ind w:firstLine="640" w:firstLineChars="200"/>
        <w:jc w:val="left"/>
        <w:textAlignment w:val="auto"/>
        <w:rPr>
          <w:rFonts w:ascii="黑体" w:hAnsi="宋体" w:eastAsia="黑体"/>
          <w:sz w:val="32"/>
          <w:szCs w:val="32"/>
        </w:rPr>
      </w:pPr>
      <w:r>
        <w:rPr>
          <w:rFonts w:hint="eastAsia" w:ascii="黑体" w:hAnsi="宋体" w:eastAsia="黑体"/>
          <w:sz w:val="32"/>
          <w:szCs w:val="32"/>
        </w:rPr>
        <w:t>二、评价实施</w:t>
      </w:r>
    </w:p>
    <w:p>
      <w:pPr>
        <w:keepNext w:val="0"/>
        <w:keepLines w:val="0"/>
        <w:pageBreakBefore w:val="0"/>
        <w:widowControl w:val="0"/>
        <w:kinsoku/>
        <w:wordWrap/>
        <w:overflowPunct/>
        <w:topLinePunct w:val="0"/>
        <w:autoSpaceDE/>
        <w:autoSpaceDN/>
        <w:bidi w:val="0"/>
        <w:spacing w:line="576" w:lineRule="exact"/>
        <w:ind w:firstLine="640"/>
        <w:textAlignment w:val="auto"/>
        <w:outlineLvl w:val="9"/>
        <w:rPr>
          <w:rFonts w:hint="eastAsia" w:ascii="楷体_GB2312" w:hAnsi="宋体" w:eastAsia="楷体_GB2312"/>
          <w:b/>
          <w:color w:val="auto"/>
          <w:sz w:val="32"/>
          <w:szCs w:val="32"/>
          <w:highlight w:val="none"/>
          <w:u w:val="none"/>
          <w:lang w:val="zh-CN"/>
        </w:rPr>
      </w:pPr>
      <w:r>
        <w:rPr>
          <w:rFonts w:hint="eastAsia" w:ascii="楷体_GB2312" w:hAnsi="宋体" w:eastAsia="楷体_GB2312"/>
          <w:b/>
          <w:color w:val="auto"/>
          <w:sz w:val="32"/>
          <w:szCs w:val="32"/>
          <w:highlight w:val="none"/>
          <w:u w:val="none"/>
          <w:lang w:val="zh-CN"/>
        </w:rPr>
        <w:t>（一）评价目的</w:t>
      </w:r>
    </w:p>
    <w:p>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leftChars="0" w:firstLine="640" w:firstLineChars="200"/>
        <w:contextualSpacing/>
        <w:jc w:val="left"/>
        <w:textAlignment w:val="auto"/>
        <w:rPr>
          <w:rFonts w:hint="eastAsia" w:ascii="仿宋_GB2312" w:hAnsi="仿宋_GB2312" w:eastAsia="仿宋_GB2312" w:cs="仿宋_GB2312"/>
          <w:color w:val="auto"/>
          <w:kern w:val="0"/>
          <w:sz w:val="32"/>
          <w:szCs w:val="32"/>
          <w:highlight w:val="none"/>
          <w:u w:val="none"/>
          <w:shd w:val="clear" w:color="auto" w:fill="FFFFFF"/>
          <w:lang w:val="zh-CN" w:eastAsia="zh-CN"/>
        </w:rPr>
      </w:pPr>
      <w:r>
        <w:rPr>
          <w:rFonts w:hint="eastAsia" w:ascii="仿宋_GB2312" w:hAnsi="仿宋_GB2312" w:eastAsia="仿宋_GB2312" w:cs="仿宋_GB2312"/>
          <w:color w:val="auto"/>
          <w:kern w:val="0"/>
          <w:sz w:val="32"/>
          <w:szCs w:val="32"/>
          <w:highlight w:val="none"/>
          <w:u w:val="none"/>
          <w:shd w:val="clear" w:color="auto" w:fill="FFFFFF"/>
          <w:lang w:val="zh-CN" w:eastAsia="zh-CN"/>
        </w:rPr>
        <w:t>通过对项目的绩效自评，评估“2024年乡镇机关食堂经费”项目在</w:t>
      </w:r>
      <w:r>
        <w:rPr>
          <w:rFonts w:hint="eastAsia" w:ascii="仿宋_GB2312" w:hAnsi="仿宋_GB2312" w:eastAsia="仿宋_GB2312" w:cs="仿宋_GB2312"/>
          <w:color w:val="auto"/>
          <w:kern w:val="0"/>
          <w:sz w:val="32"/>
          <w:szCs w:val="32"/>
          <w:highlight w:val="none"/>
          <w:u w:val="none"/>
          <w:shd w:val="clear" w:color="auto" w:fill="FFFFFF"/>
          <w:lang w:val="en-US" w:eastAsia="zh-CN"/>
        </w:rPr>
        <w:t>保障我镇食堂正常运转、保障我镇职工正常用餐</w:t>
      </w:r>
      <w:r>
        <w:rPr>
          <w:rFonts w:hint="eastAsia" w:ascii="仿宋_GB2312" w:hAnsi="仿宋_GB2312" w:eastAsia="仿宋_GB2312" w:cs="仿宋_GB2312"/>
          <w:color w:val="auto"/>
          <w:kern w:val="0"/>
          <w:sz w:val="32"/>
          <w:szCs w:val="32"/>
          <w:highlight w:val="none"/>
          <w:u w:val="none"/>
          <w:shd w:val="clear" w:color="auto" w:fill="FFFFFF"/>
          <w:lang w:val="zh-CN" w:eastAsia="zh-CN"/>
        </w:rPr>
        <w:t>方面的成效。</w:t>
      </w:r>
    </w:p>
    <w:p>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2" w:firstLineChars="200"/>
        <w:textAlignment w:val="auto"/>
        <w:outlineLvl w:val="9"/>
        <w:rPr>
          <w:rFonts w:hint="eastAsia" w:ascii="楷体_GB2312" w:hAnsi="宋体" w:eastAsia="楷体_GB2312"/>
          <w:b/>
          <w:color w:val="auto"/>
          <w:sz w:val="32"/>
          <w:szCs w:val="32"/>
          <w:highlight w:val="none"/>
          <w:u w:val="none"/>
          <w:lang w:val="zh-CN"/>
        </w:rPr>
      </w:pPr>
      <w:r>
        <w:rPr>
          <w:rFonts w:hint="eastAsia" w:ascii="楷体_GB2312" w:hAnsi="宋体" w:eastAsia="楷体_GB2312"/>
          <w:b/>
          <w:color w:val="auto"/>
          <w:sz w:val="32"/>
          <w:szCs w:val="32"/>
          <w:highlight w:val="none"/>
          <w:u w:val="none"/>
          <w:lang w:val="zh-CN"/>
        </w:rPr>
        <w:t>（二）预设问题及评价重点</w:t>
      </w:r>
    </w:p>
    <w:p>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leftChars="0" w:firstLine="640" w:firstLineChars="200"/>
        <w:contextualSpacing/>
        <w:jc w:val="left"/>
        <w:textAlignment w:val="auto"/>
        <w:rPr>
          <w:rFonts w:hint="eastAsia" w:ascii="仿宋_GB2312" w:hAnsi="仿宋_GB2312" w:eastAsia="仿宋_GB2312" w:cs="仿宋_GB2312"/>
          <w:color w:val="auto"/>
          <w:kern w:val="0"/>
          <w:sz w:val="32"/>
          <w:szCs w:val="32"/>
          <w:highlight w:val="none"/>
          <w:u w:val="none"/>
          <w:shd w:val="clear" w:color="auto" w:fill="FFFFFF"/>
          <w:lang w:val="zh-CN" w:eastAsia="zh-CN"/>
        </w:rPr>
      </w:pPr>
      <w:r>
        <w:rPr>
          <w:rFonts w:hint="eastAsia" w:ascii="仿宋_GB2312" w:hAnsi="仿宋_GB2312" w:eastAsia="仿宋_GB2312" w:cs="仿宋_GB2312"/>
          <w:color w:val="auto"/>
          <w:kern w:val="0"/>
          <w:sz w:val="32"/>
          <w:szCs w:val="32"/>
          <w:highlight w:val="none"/>
          <w:u w:val="none"/>
          <w:shd w:val="clear" w:color="auto" w:fill="FFFFFF"/>
          <w:lang w:val="zh-CN" w:eastAsia="zh-CN"/>
        </w:rPr>
        <w:t>按照绩效评价指标体系，重点评价资金支出使用的合理性和及时性，以及项目在</w:t>
      </w:r>
      <w:r>
        <w:rPr>
          <w:rFonts w:hint="eastAsia" w:ascii="仿宋_GB2312" w:hAnsi="仿宋_GB2312" w:eastAsia="仿宋_GB2312" w:cs="仿宋_GB2312"/>
          <w:color w:val="auto"/>
          <w:kern w:val="0"/>
          <w:sz w:val="32"/>
          <w:szCs w:val="32"/>
          <w:highlight w:val="none"/>
          <w:u w:val="none"/>
          <w:shd w:val="clear" w:color="auto" w:fill="FFFFFF"/>
          <w:lang w:val="en-US" w:eastAsia="zh-CN"/>
        </w:rPr>
        <w:t>保障我镇食堂正常运转、保障我镇职工正常用餐</w:t>
      </w:r>
      <w:r>
        <w:rPr>
          <w:rFonts w:hint="eastAsia" w:ascii="仿宋_GB2312" w:hAnsi="仿宋_GB2312" w:eastAsia="仿宋_GB2312" w:cs="仿宋_GB2312"/>
          <w:color w:val="auto"/>
          <w:kern w:val="0"/>
          <w:sz w:val="32"/>
          <w:szCs w:val="32"/>
          <w:highlight w:val="none"/>
          <w:u w:val="none"/>
          <w:shd w:val="clear" w:color="auto" w:fill="FFFFFF"/>
          <w:lang w:val="zh-CN" w:eastAsia="zh-CN"/>
        </w:rPr>
        <w:t>方面的实际效果。</w:t>
      </w:r>
    </w:p>
    <w:p>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2" w:firstLineChars="200"/>
        <w:textAlignment w:val="auto"/>
        <w:outlineLvl w:val="9"/>
        <w:rPr>
          <w:rFonts w:hint="eastAsia" w:ascii="楷体_GB2312" w:hAnsi="宋体" w:eastAsia="楷体_GB2312"/>
          <w:b/>
          <w:color w:val="auto"/>
          <w:sz w:val="32"/>
          <w:szCs w:val="32"/>
          <w:highlight w:val="none"/>
          <w:u w:val="none"/>
          <w:lang w:val="zh-CN"/>
        </w:rPr>
      </w:pPr>
      <w:r>
        <w:rPr>
          <w:rFonts w:hint="eastAsia" w:ascii="楷体_GB2312" w:hAnsi="宋体" w:eastAsia="楷体_GB2312"/>
          <w:b/>
          <w:color w:val="auto"/>
          <w:sz w:val="32"/>
          <w:szCs w:val="32"/>
          <w:highlight w:val="none"/>
          <w:u w:val="none"/>
          <w:lang w:val="zh-CN"/>
        </w:rPr>
        <w:t>（三）评价选点</w:t>
      </w:r>
    </w:p>
    <w:p>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textAlignment w:val="auto"/>
        <w:outlineLvl w:val="9"/>
        <w:rPr>
          <w:rFonts w:hint="eastAsia" w:cs="Times New Roman"/>
          <w:sz w:val="32"/>
          <w:szCs w:val="32"/>
          <w:lang w:val="zh-CN" w:eastAsia="zh-CN"/>
        </w:rPr>
      </w:pPr>
      <w:r>
        <w:rPr>
          <w:rFonts w:hint="eastAsia" w:ascii="仿宋_GB2312" w:hAnsi="仿宋_GB2312" w:eastAsia="仿宋_GB2312" w:cs="仿宋_GB2312"/>
          <w:color w:val="auto"/>
          <w:kern w:val="0"/>
          <w:sz w:val="32"/>
          <w:szCs w:val="32"/>
          <w:highlight w:val="none"/>
          <w:u w:val="none"/>
          <w:shd w:val="clear" w:color="auto" w:fill="FFFFFF"/>
          <w:lang w:val="zh-CN" w:eastAsia="zh-CN"/>
        </w:rPr>
        <w:t>本次绩效评价选取了涉及的</w:t>
      </w:r>
      <w:r>
        <w:rPr>
          <w:rFonts w:hint="eastAsia" w:ascii="仿宋_GB2312" w:hAnsi="仿宋_GB2312" w:eastAsia="仿宋_GB2312" w:cs="仿宋_GB2312"/>
          <w:color w:val="auto"/>
          <w:kern w:val="0"/>
          <w:sz w:val="32"/>
          <w:szCs w:val="32"/>
          <w:highlight w:val="none"/>
          <w:u w:val="none"/>
          <w:shd w:val="clear" w:color="auto" w:fill="FFFFFF"/>
          <w:lang w:val="en-US" w:eastAsia="zh-CN"/>
        </w:rPr>
        <w:t>叠溪镇人民政府</w:t>
      </w:r>
      <w:r>
        <w:rPr>
          <w:rFonts w:hint="eastAsia" w:ascii="仿宋_GB2312" w:hAnsi="仿宋_GB2312" w:eastAsia="仿宋_GB2312" w:cs="仿宋_GB2312"/>
          <w:color w:val="auto"/>
          <w:kern w:val="0"/>
          <w:sz w:val="32"/>
          <w:szCs w:val="32"/>
          <w:highlight w:val="none"/>
          <w:u w:val="none"/>
          <w:shd w:val="clear" w:color="auto" w:fill="FFFFFF"/>
          <w:lang w:val="zh-CN" w:eastAsia="zh-CN"/>
        </w:rPr>
        <w:t>作为样本点，重点评估</w:t>
      </w:r>
      <w:r>
        <w:rPr>
          <w:rFonts w:hint="eastAsia" w:ascii="仿宋_GB2312" w:hAnsi="仿宋_GB2312" w:eastAsia="仿宋_GB2312" w:cs="仿宋_GB2312"/>
          <w:color w:val="auto"/>
          <w:kern w:val="0"/>
          <w:sz w:val="32"/>
          <w:szCs w:val="32"/>
          <w:highlight w:val="none"/>
          <w:u w:val="none"/>
          <w:shd w:val="clear" w:color="auto" w:fill="FFFFFF"/>
          <w:lang w:val="en-US" w:eastAsia="zh-CN"/>
        </w:rPr>
        <w:t>2024年乡镇机关食堂经费</w:t>
      </w:r>
      <w:r>
        <w:rPr>
          <w:rFonts w:hint="eastAsia" w:ascii="仿宋_GB2312" w:hAnsi="仿宋_GB2312" w:eastAsia="仿宋_GB2312" w:cs="仿宋_GB2312"/>
          <w:color w:val="auto"/>
          <w:kern w:val="0"/>
          <w:sz w:val="32"/>
          <w:szCs w:val="32"/>
          <w:highlight w:val="none"/>
          <w:u w:val="none"/>
          <w:shd w:val="clear" w:color="auto" w:fill="FFFFFF"/>
          <w:lang w:val="zh-CN" w:eastAsia="zh-CN"/>
        </w:rPr>
        <w:t>的支付情况和</w:t>
      </w:r>
      <w:r>
        <w:rPr>
          <w:rFonts w:hint="eastAsia" w:ascii="仿宋_GB2312" w:hAnsi="仿宋_GB2312" w:eastAsia="仿宋_GB2312" w:cs="仿宋_GB2312"/>
          <w:color w:val="auto"/>
          <w:kern w:val="0"/>
          <w:sz w:val="32"/>
          <w:szCs w:val="32"/>
          <w:highlight w:val="none"/>
          <w:u w:val="none"/>
          <w:shd w:val="clear" w:color="auto" w:fill="FFFFFF"/>
          <w:lang w:val="en-US" w:eastAsia="zh-CN"/>
        </w:rPr>
        <w:t>叠溪镇职工</w:t>
      </w:r>
      <w:r>
        <w:rPr>
          <w:rFonts w:hint="eastAsia" w:ascii="仿宋_GB2312" w:hAnsi="仿宋_GB2312" w:eastAsia="仿宋_GB2312" w:cs="仿宋_GB2312"/>
          <w:color w:val="auto"/>
          <w:kern w:val="0"/>
          <w:sz w:val="32"/>
          <w:szCs w:val="32"/>
          <w:highlight w:val="none"/>
          <w:u w:val="none"/>
          <w:shd w:val="clear" w:color="auto" w:fill="FFFFFF"/>
          <w:lang w:val="zh-CN" w:eastAsia="zh-CN"/>
        </w:rPr>
        <w:t>的反馈。</w:t>
      </w:r>
    </w:p>
    <w:p>
      <w:pPr>
        <w:keepNext w:val="0"/>
        <w:keepLines w:val="0"/>
        <w:pageBreakBefore w:val="0"/>
        <w:widowControl w:val="0"/>
        <w:kinsoku/>
        <w:wordWrap/>
        <w:overflowPunct/>
        <w:topLinePunct w:val="0"/>
        <w:autoSpaceDE/>
        <w:autoSpaceDN/>
        <w:bidi w:val="0"/>
        <w:spacing w:line="576" w:lineRule="exact"/>
        <w:ind w:firstLine="640"/>
        <w:textAlignment w:val="auto"/>
        <w:outlineLvl w:val="9"/>
        <w:rPr>
          <w:rFonts w:hint="eastAsia" w:ascii="楷体_GB2312" w:hAnsi="宋体" w:eastAsia="楷体_GB2312"/>
          <w:b/>
          <w:color w:val="auto"/>
          <w:sz w:val="32"/>
          <w:szCs w:val="32"/>
          <w:highlight w:val="none"/>
          <w:u w:val="none"/>
          <w:lang w:val="zh-CN"/>
        </w:rPr>
      </w:pPr>
      <w:r>
        <w:rPr>
          <w:rFonts w:hint="eastAsia" w:ascii="楷体_GB2312" w:hAnsi="宋体" w:eastAsia="楷体_GB2312"/>
          <w:b/>
          <w:color w:val="auto"/>
          <w:sz w:val="32"/>
          <w:szCs w:val="32"/>
          <w:highlight w:val="none"/>
          <w:u w:val="none"/>
          <w:lang w:val="zh-CN"/>
        </w:rPr>
        <w:t>（四）评价方法</w:t>
      </w:r>
    </w:p>
    <w:p>
      <w:pPr>
        <w:keepNext w:val="0"/>
        <w:keepLines w:val="0"/>
        <w:pageBreakBefore w:val="0"/>
        <w:widowControl w:val="0"/>
        <w:kinsoku/>
        <w:wordWrap/>
        <w:overflowPunct/>
        <w:topLinePunct w:val="0"/>
        <w:autoSpaceDE/>
        <w:autoSpaceDN/>
        <w:bidi w:val="0"/>
        <w:spacing w:line="576" w:lineRule="exact"/>
        <w:ind w:firstLine="64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评价方法包括成本效益分析法和问卷调查法。通过</w:t>
      </w:r>
      <w:r>
        <w:rPr>
          <w:rFonts w:hint="eastAsia" w:ascii="仿宋_GB2312" w:hAnsi="仿宋_GB2312" w:eastAsia="仿宋_GB2312" w:cs="仿宋_GB2312"/>
          <w:sz w:val="32"/>
          <w:szCs w:val="32"/>
          <w:lang w:val="en-US" w:eastAsia="zh-CN"/>
        </w:rPr>
        <w:t>职工</w:t>
      </w:r>
      <w:r>
        <w:rPr>
          <w:rFonts w:hint="eastAsia" w:ascii="仿宋_GB2312" w:hAnsi="仿宋_GB2312" w:eastAsia="仿宋_GB2312" w:cs="仿宋_GB2312"/>
          <w:sz w:val="32"/>
          <w:szCs w:val="32"/>
        </w:rPr>
        <w:t>的满意度调查，全面评估项目的实施效果和绩效目标的实现情况</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spacing w:line="576" w:lineRule="exact"/>
        <w:ind w:firstLine="640"/>
        <w:textAlignment w:val="auto"/>
        <w:outlineLvl w:val="9"/>
        <w:rPr>
          <w:rFonts w:hint="eastAsia" w:ascii="楷体_GB2312" w:hAnsi="宋体" w:eastAsia="楷体_GB2312"/>
          <w:b/>
          <w:color w:val="auto"/>
          <w:sz w:val="32"/>
          <w:szCs w:val="32"/>
          <w:highlight w:val="none"/>
          <w:u w:val="none"/>
          <w:lang w:val="zh-CN"/>
        </w:rPr>
      </w:pPr>
      <w:r>
        <w:rPr>
          <w:rFonts w:hint="eastAsia" w:ascii="楷体_GB2312" w:hAnsi="宋体" w:eastAsia="楷体_GB2312"/>
          <w:b/>
          <w:color w:val="auto"/>
          <w:sz w:val="32"/>
          <w:szCs w:val="32"/>
          <w:highlight w:val="none"/>
          <w:u w:val="none"/>
          <w:lang w:val="zh-CN"/>
        </w:rPr>
        <w:t>（五）评价组织</w:t>
      </w:r>
    </w:p>
    <w:p>
      <w:pPr>
        <w:keepNext w:val="0"/>
        <w:keepLines w:val="0"/>
        <w:pageBreakBefore w:val="0"/>
        <w:widowControl w:val="0"/>
        <w:kinsoku/>
        <w:wordWrap/>
        <w:overflowPunct/>
        <w:topLinePunct w:val="0"/>
        <w:autoSpaceDE/>
        <w:autoSpaceDN/>
        <w:bidi w:val="0"/>
        <w:spacing w:line="576" w:lineRule="exact"/>
        <w:ind w:firstLine="640"/>
        <w:textAlignment w:val="auto"/>
        <w:outlineLvl w:val="9"/>
        <w:rPr>
          <w:rFonts w:hint="eastAsia" w:eastAsia="仿宋_GB2312" w:cs="Times New Roman"/>
          <w:bCs/>
          <w:sz w:val="32"/>
          <w:szCs w:val="32"/>
          <w:lang w:eastAsia="zh-CN"/>
        </w:rPr>
      </w:pPr>
      <w:r>
        <w:rPr>
          <w:rFonts w:hint="eastAsia" w:ascii="仿宋_GB2312" w:hAnsi="仿宋_GB2312" w:eastAsia="仿宋_GB2312" w:cs="仿宋_GB2312"/>
          <w:sz w:val="32"/>
          <w:szCs w:val="32"/>
        </w:rPr>
        <w:t>评价组由</w:t>
      </w:r>
      <w:r>
        <w:rPr>
          <w:rFonts w:hint="eastAsia" w:ascii="仿宋_GB2312" w:hAnsi="仿宋_GB2312" w:eastAsia="仿宋_GB2312" w:cs="仿宋_GB2312"/>
          <w:sz w:val="32"/>
          <w:szCs w:val="32"/>
          <w:lang w:val="en-US" w:eastAsia="zh-CN"/>
        </w:rPr>
        <w:t>叠溪镇人民</w:t>
      </w:r>
      <w:r>
        <w:rPr>
          <w:rFonts w:hint="eastAsia" w:ascii="仿宋_GB2312" w:hAnsi="仿宋_GB2312" w:eastAsia="仿宋_GB2312" w:cs="仿宋_GB2312"/>
          <w:sz w:val="32"/>
          <w:szCs w:val="32"/>
        </w:rPr>
        <w:t>政府的4名工作人员组成，分别负责资料收集、数据分析、问卷设计与实施、以及报告撰写工作</w:t>
      </w:r>
      <w:r>
        <w:rPr>
          <w:rFonts w:hint="eastAsia" w:ascii="仿宋_GB2312" w:hAnsi="仿宋_GB2312" w:eastAsia="仿宋_GB2312" w:cs="仿宋_GB2312"/>
          <w:sz w:val="32"/>
          <w:szCs w:val="32"/>
          <w:lang w:eastAsia="zh-CN"/>
        </w:rPr>
        <w:t>。</w:t>
      </w:r>
    </w:p>
    <w:p>
      <w:pPr>
        <w:keepNext w:val="0"/>
        <w:keepLines w:val="0"/>
        <w:pageBreakBefore w:val="0"/>
        <w:kinsoku/>
        <w:wordWrap/>
        <w:overflowPunct/>
        <w:topLinePunct w:val="0"/>
        <w:bidi w:val="0"/>
        <w:adjustRightInd w:val="0"/>
        <w:snapToGrid w:val="0"/>
        <w:spacing w:line="576" w:lineRule="exact"/>
        <w:ind w:firstLine="640" w:firstLineChars="200"/>
        <w:jc w:val="left"/>
        <w:textAlignment w:val="auto"/>
        <w:rPr>
          <w:rFonts w:hint="eastAsia" w:ascii="仿宋_GB2312" w:hAnsi="宋体"/>
          <w:sz w:val="32"/>
          <w:szCs w:val="32"/>
          <w:lang w:val="zh-CN"/>
        </w:rPr>
      </w:pPr>
      <w:r>
        <w:rPr>
          <w:rFonts w:hint="eastAsia" w:ascii="黑体" w:eastAsia="黑体" w:cs="Times New Roman"/>
          <w:sz w:val="32"/>
          <w:szCs w:val="32"/>
          <w:lang w:val="en-US" w:eastAsia="zh-CN"/>
        </w:rPr>
        <w:t xml:space="preserve"> </w:t>
      </w:r>
      <w:r>
        <w:rPr>
          <w:rFonts w:hint="eastAsia" w:ascii="黑体" w:hAnsi="宋体" w:eastAsia="黑体"/>
          <w:sz w:val="32"/>
          <w:szCs w:val="32"/>
        </w:rPr>
        <w:t>三、绩效分析</w:t>
      </w:r>
      <w:r>
        <w:rPr>
          <w:rFonts w:hint="eastAsia" w:ascii="仿宋_GB2312" w:hAnsi="宋体"/>
          <w:sz w:val="32"/>
          <w:szCs w:val="32"/>
          <w:lang w:val="zh-CN"/>
        </w:rPr>
        <w:tab/>
      </w:r>
    </w:p>
    <w:p>
      <w:pPr>
        <w:keepNext w:val="0"/>
        <w:keepLines w:val="0"/>
        <w:pageBreakBefore w:val="0"/>
        <w:widowControl w:val="0"/>
        <w:kinsoku/>
        <w:wordWrap/>
        <w:overflowPunct/>
        <w:topLinePunct w:val="0"/>
        <w:autoSpaceDE/>
        <w:autoSpaceDN/>
        <w:bidi w:val="0"/>
        <w:spacing w:line="576" w:lineRule="exact"/>
        <w:ind w:firstLine="640"/>
        <w:textAlignment w:val="auto"/>
        <w:outlineLvl w:val="9"/>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eastAsia="zh-CN"/>
        </w:rPr>
        <w:t>数量指标</w:t>
      </w:r>
      <w:r>
        <w:rPr>
          <w:rFonts w:hint="eastAsia" w:ascii="仿宋_GB2312" w:hAnsi="仿宋_GB2312" w:eastAsia="仿宋_GB2312" w:cs="仿宋_GB2312"/>
          <w:sz w:val="32"/>
          <w:szCs w:val="32"/>
          <w:lang w:val="en-US" w:eastAsia="zh-CN"/>
        </w:rPr>
        <w:t>是涉及职工人数40人，该指标权重为20；时效指标完成年度2024年，该指标权重为20；经济效益指标为增加村民务工收入等于7.20万元，该指标权重为10；社会效益指标为受益人口数40人，该指标权重为10；可持续影响指标为保障职工食堂运转较高，该指标权重为10；满意度指标为受益人口满意度95%，该指标权重为10；成本指标为投入资金12.00万</w:t>
      </w:r>
      <w:r>
        <w:rPr>
          <w:rFonts w:hint="eastAsia" w:ascii="仿宋_GB2312" w:hAnsi="仿宋_GB2312" w:eastAsia="仿宋_GB2312" w:cs="仿宋_GB2312"/>
          <w:sz w:val="32"/>
          <w:szCs w:val="32"/>
          <w:lang w:val="zh-CN"/>
        </w:rPr>
        <w:t>元</w:t>
      </w:r>
      <w:r>
        <w:rPr>
          <w:rFonts w:hint="eastAsia" w:ascii="仿宋_GB2312" w:hAnsi="仿宋_GB2312" w:eastAsia="仿宋_GB2312" w:cs="仿宋_GB2312"/>
          <w:sz w:val="32"/>
          <w:szCs w:val="32"/>
          <w:lang w:val="en-US" w:eastAsia="zh-CN"/>
        </w:rPr>
        <w:t>，该指标权重为10。</w:t>
      </w:r>
    </w:p>
    <w:p>
      <w:pPr>
        <w:keepNext w:val="0"/>
        <w:keepLines w:val="0"/>
        <w:pageBreakBefore w:val="0"/>
        <w:widowControl w:val="0"/>
        <w:kinsoku/>
        <w:wordWrap/>
        <w:overflowPunct/>
        <w:topLinePunct w:val="0"/>
        <w:autoSpaceDE/>
        <w:autoSpaceDN/>
        <w:bidi w:val="0"/>
        <w:adjustRightInd/>
        <w:snapToGrid/>
        <w:spacing w:line="576" w:lineRule="exact"/>
        <w:ind w:firstLine="640"/>
        <w:textAlignment w:val="auto"/>
        <w:outlineLvl w:val="9"/>
        <w:rPr>
          <w:rFonts w:hint="eastAsia" w:ascii="楷体_GB2312" w:hAnsi="宋体" w:eastAsia="楷体_GB2312" w:cs="Times New Roman"/>
          <w:b/>
          <w:color w:val="auto"/>
          <w:sz w:val="32"/>
          <w:szCs w:val="32"/>
          <w:highlight w:val="none"/>
          <w:u w:val="none"/>
          <w:lang w:val="en-US" w:eastAsia="zh-CN"/>
        </w:rPr>
      </w:pPr>
      <w:r>
        <w:rPr>
          <w:rFonts w:hint="eastAsia" w:ascii="楷体_GB2312" w:hAnsi="宋体" w:eastAsia="楷体_GB2312" w:cs="Times New Roman"/>
          <w:b/>
          <w:color w:val="auto"/>
          <w:sz w:val="32"/>
          <w:szCs w:val="32"/>
          <w:highlight w:val="none"/>
          <w:u w:val="none"/>
          <w:lang w:val="zh-CN"/>
        </w:rPr>
        <w:t>（一）</w:t>
      </w:r>
      <w:r>
        <w:rPr>
          <w:rFonts w:hint="eastAsia" w:ascii="楷体_GB2312" w:hAnsi="宋体" w:eastAsia="楷体_GB2312" w:cs="Times New Roman"/>
          <w:b/>
          <w:color w:val="auto"/>
          <w:sz w:val="32"/>
          <w:szCs w:val="32"/>
          <w:highlight w:val="none"/>
          <w:u w:val="none"/>
          <w:lang w:val="en-US" w:eastAsia="zh-CN"/>
        </w:rPr>
        <w:t>通用指标</w:t>
      </w:r>
      <w:r>
        <w:rPr>
          <w:rFonts w:hint="default" w:ascii="Times New Roman" w:hAnsi="Times New Roman" w:eastAsia="楷体_GB2312" w:cs="Times New Roman"/>
          <w:b/>
          <w:bCs/>
          <w:color w:val="000000"/>
          <w:kern w:val="0"/>
          <w:sz w:val="32"/>
          <w:szCs w:val="32"/>
          <w:highlight w:val="none"/>
          <w:shd w:val="clear" w:color="auto" w:fill="FFFFFF"/>
          <w:lang w:val="zh-CN"/>
        </w:rPr>
        <w:t>绩效分析</w:t>
      </w:r>
    </w:p>
    <w:p>
      <w:pPr>
        <w:keepNext w:val="0"/>
        <w:keepLines w:val="0"/>
        <w:pageBreakBefore w:val="0"/>
        <w:widowControl w:val="0"/>
        <w:kinsoku/>
        <w:wordWrap/>
        <w:overflowPunct/>
        <w:topLinePunct w:val="0"/>
        <w:autoSpaceDE/>
        <w:autoSpaceDN/>
        <w:bidi w:val="0"/>
        <w:spacing w:line="576" w:lineRule="exact"/>
        <w:ind w:firstLine="640"/>
        <w:textAlignment w:val="auto"/>
        <w:outlineLvl w:val="9"/>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zh-CN" w:eastAsia="zh-CN"/>
        </w:rPr>
        <w:t>1.项目决策：项目决策程序合规，符合</w:t>
      </w:r>
      <w:r>
        <w:rPr>
          <w:rFonts w:hint="eastAsia" w:ascii="仿宋_GB2312" w:hAnsi="仿宋_GB2312" w:eastAsia="仿宋_GB2312" w:cs="仿宋_GB2312"/>
          <w:sz w:val="32"/>
          <w:szCs w:val="32"/>
          <w:lang w:val="en-US" w:eastAsia="zh-CN"/>
        </w:rPr>
        <w:t>保障我镇食堂正常运转、保障我镇职工正常用餐</w:t>
      </w:r>
      <w:r>
        <w:rPr>
          <w:rFonts w:hint="eastAsia" w:ascii="仿宋_GB2312" w:hAnsi="仿宋_GB2312" w:eastAsia="仿宋_GB2312" w:cs="仿宋_GB2312"/>
          <w:sz w:val="32"/>
          <w:szCs w:val="32"/>
          <w:lang w:val="zh-CN" w:eastAsia="zh-CN"/>
        </w:rPr>
        <w:t>的政策要求，决策科学合理。</w:t>
      </w:r>
    </w:p>
    <w:p>
      <w:pPr>
        <w:keepNext w:val="0"/>
        <w:keepLines w:val="0"/>
        <w:pageBreakBefore w:val="0"/>
        <w:widowControl w:val="0"/>
        <w:kinsoku/>
        <w:wordWrap/>
        <w:overflowPunct/>
        <w:topLinePunct w:val="0"/>
        <w:autoSpaceDE/>
        <w:autoSpaceDN/>
        <w:bidi w:val="0"/>
        <w:spacing w:line="576" w:lineRule="exact"/>
        <w:ind w:firstLine="640"/>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zh-CN" w:eastAsia="zh-CN"/>
        </w:rPr>
        <w:t>2.项目管理：项目管理制度健全，资金支付率</w:t>
      </w:r>
      <w:r>
        <w:rPr>
          <w:rFonts w:hint="eastAsia" w:ascii="仿宋_GB2312" w:hAnsi="仿宋_GB2312" w:eastAsia="仿宋_GB2312" w:cs="仿宋_GB2312"/>
          <w:sz w:val="32"/>
          <w:szCs w:val="32"/>
          <w:lang w:val="en-US" w:eastAsia="zh-CN"/>
        </w:rPr>
        <w:t>为100</w:t>
      </w:r>
      <w:r>
        <w:rPr>
          <w:rFonts w:hint="eastAsia" w:ascii="仿宋_GB2312" w:hAnsi="仿宋_GB2312" w:eastAsia="仿宋_GB2312" w:cs="仿宋_GB2312"/>
          <w:sz w:val="32"/>
          <w:szCs w:val="32"/>
          <w:lang w:val="zh-CN" w:eastAsia="zh-CN"/>
        </w:rPr>
        <w:t>%，</w:t>
      </w:r>
      <w:r>
        <w:rPr>
          <w:rFonts w:hint="eastAsia" w:ascii="仿宋_GB2312" w:hAnsi="仿宋_GB2312" w:eastAsia="仿宋_GB2312" w:cs="仿宋_GB2312"/>
          <w:sz w:val="32"/>
          <w:szCs w:val="32"/>
          <w:lang w:val="en-US" w:eastAsia="zh-CN"/>
        </w:rPr>
        <w:t>叠溪镇机关食堂购买大米、油、调味品等支出4.80万元，食堂厨师工资7.20万元。</w:t>
      </w:r>
    </w:p>
    <w:p>
      <w:pPr>
        <w:keepNext w:val="0"/>
        <w:keepLines w:val="0"/>
        <w:pageBreakBefore w:val="0"/>
        <w:widowControl w:val="0"/>
        <w:kinsoku/>
        <w:wordWrap/>
        <w:overflowPunct/>
        <w:topLinePunct w:val="0"/>
        <w:autoSpaceDE/>
        <w:autoSpaceDN/>
        <w:bidi w:val="0"/>
        <w:spacing w:line="576" w:lineRule="exact"/>
        <w:ind w:firstLine="640"/>
        <w:textAlignment w:val="auto"/>
        <w:outlineLvl w:val="9"/>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zh-CN" w:eastAsia="zh-CN"/>
        </w:rPr>
        <w:t>3.项目实施：预算执行情况良好，实际执行金额与预算安排一致，所有资金在2024年内按时支付。</w:t>
      </w:r>
    </w:p>
    <w:p>
      <w:pPr>
        <w:keepNext w:val="0"/>
        <w:keepLines w:val="0"/>
        <w:pageBreakBefore w:val="0"/>
        <w:widowControl w:val="0"/>
        <w:kinsoku/>
        <w:wordWrap/>
        <w:overflowPunct/>
        <w:topLinePunct w:val="0"/>
        <w:autoSpaceDE/>
        <w:autoSpaceDN/>
        <w:bidi w:val="0"/>
        <w:spacing w:line="576" w:lineRule="exact"/>
        <w:ind w:firstLine="640"/>
        <w:textAlignment w:val="auto"/>
        <w:outlineLvl w:val="9"/>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zh-CN" w:eastAsia="zh-CN"/>
        </w:rPr>
        <w:t>4.项目结果：项目绩效目标全面实现，职工幸福感提升显著，受益职工满意度达到95%以上。</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outlineLvl w:val="9"/>
        <w:rPr>
          <w:rFonts w:hint="default" w:ascii="Times New Roman" w:hAnsi="Times New Roman" w:eastAsia="楷体_GB2312" w:cs="Times New Roman"/>
          <w:b/>
          <w:bCs/>
          <w:color w:val="000000"/>
          <w:kern w:val="0"/>
          <w:sz w:val="32"/>
          <w:szCs w:val="32"/>
          <w:highlight w:val="none"/>
          <w:shd w:val="clear" w:color="auto" w:fill="FFFFFF"/>
          <w:lang w:val="zh-CN"/>
        </w:rPr>
      </w:pPr>
      <w:r>
        <w:rPr>
          <w:rFonts w:hint="eastAsia" w:ascii="楷体_GB2312" w:hAnsi="宋体" w:eastAsia="楷体_GB2312" w:cs="Times New Roman"/>
          <w:b/>
          <w:color w:val="auto"/>
          <w:sz w:val="32"/>
          <w:szCs w:val="32"/>
          <w:highlight w:val="none"/>
          <w:u w:val="none"/>
          <w:lang w:val="zh-CN"/>
        </w:rPr>
        <w:t>（二）</w:t>
      </w:r>
      <w:r>
        <w:rPr>
          <w:rFonts w:hint="eastAsia" w:ascii="楷体_GB2312" w:hAnsi="宋体" w:eastAsia="楷体_GB2312" w:cs="Times New Roman"/>
          <w:b/>
          <w:color w:val="auto"/>
          <w:sz w:val="32"/>
          <w:szCs w:val="32"/>
          <w:highlight w:val="none"/>
          <w:u w:val="none"/>
          <w:lang w:val="en-US" w:eastAsia="zh-CN"/>
        </w:rPr>
        <w:t>专用指标</w:t>
      </w:r>
      <w:r>
        <w:rPr>
          <w:rFonts w:hint="default" w:ascii="Times New Roman" w:hAnsi="Times New Roman" w:eastAsia="楷体_GB2312" w:cs="Times New Roman"/>
          <w:b/>
          <w:bCs/>
          <w:color w:val="000000"/>
          <w:kern w:val="0"/>
          <w:sz w:val="32"/>
          <w:szCs w:val="32"/>
          <w:highlight w:val="none"/>
          <w:shd w:val="clear" w:color="auto" w:fill="FFFFFF"/>
          <w:lang w:val="zh-CN"/>
        </w:rPr>
        <w:t>绩效分析</w:t>
      </w:r>
    </w:p>
    <w:p>
      <w:pPr>
        <w:keepNext w:val="0"/>
        <w:keepLines w:val="0"/>
        <w:pageBreakBefore w:val="0"/>
        <w:widowControl w:val="0"/>
        <w:kinsoku/>
        <w:wordWrap/>
        <w:overflowPunct/>
        <w:topLinePunct w:val="0"/>
        <w:autoSpaceDE/>
        <w:autoSpaceDN/>
        <w:bidi w:val="0"/>
        <w:spacing w:line="576" w:lineRule="exact"/>
        <w:ind w:firstLine="64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zh-CN" w:eastAsia="zh-CN"/>
        </w:rPr>
        <w:t>社会效益：通过支付</w:t>
      </w:r>
      <w:r>
        <w:rPr>
          <w:rFonts w:hint="eastAsia" w:ascii="仿宋_GB2312" w:hAnsi="仿宋_GB2312" w:eastAsia="仿宋_GB2312" w:cs="仿宋_GB2312"/>
          <w:sz w:val="32"/>
          <w:szCs w:val="32"/>
          <w:lang w:val="en-US" w:eastAsia="zh-CN"/>
        </w:rPr>
        <w:t>叠溪镇食堂经费</w:t>
      </w:r>
      <w:r>
        <w:rPr>
          <w:rFonts w:hint="eastAsia" w:ascii="仿宋_GB2312" w:hAnsi="仿宋_GB2312" w:eastAsia="仿宋_GB2312" w:cs="仿宋_GB2312"/>
          <w:sz w:val="32"/>
          <w:szCs w:val="32"/>
          <w:lang w:val="zh-CN" w:eastAsia="zh-CN"/>
        </w:rPr>
        <w:t>，</w:t>
      </w:r>
      <w:r>
        <w:rPr>
          <w:rFonts w:hint="eastAsia" w:ascii="仿宋_GB2312" w:hAnsi="仿宋_GB2312" w:eastAsia="仿宋_GB2312" w:cs="仿宋_GB2312"/>
          <w:sz w:val="32"/>
          <w:szCs w:val="32"/>
          <w:lang w:val="en-US" w:eastAsia="zh-CN"/>
        </w:rPr>
        <w:t>保障了我镇食堂正常运转、保障了我镇职工正常用餐。</w:t>
      </w:r>
    </w:p>
    <w:p>
      <w:pPr>
        <w:keepNext w:val="0"/>
        <w:keepLines w:val="0"/>
        <w:pageBreakBefore w:val="0"/>
        <w:widowControl w:val="0"/>
        <w:kinsoku/>
        <w:wordWrap/>
        <w:overflowPunct/>
        <w:topLinePunct w:val="0"/>
        <w:autoSpaceDE/>
        <w:autoSpaceDN/>
        <w:bidi w:val="0"/>
        <w:adjustRightInd/>
        <w:snapToGrid/>
        <w:spacing w:line="576" w:lineRule="exact"/>
        <w:ind w:firstLine="640"/>
        <w:textAlignment w:val="auto"/>
        <w:outlineLvl w:val="9"/>
        <w:rPr>
          <w:rFonts w:hint="default" w:ascii="Times New Roman" w:hAnsi="Times New Roman" w:eastAsia="楷体_GB2312" w:cs="Times New Roman"/>
          <w:b/>
          <w:bCs/>
          <w:color w:val="000000"/>
          <w:kern w:val="0"/>
          <w:sz w:val="32"/>
          <w:szCs w:val="32"/>
          <w:highlight w:val="none"/>
          <w:shd w:val="clear" w:color="auto" w:fill="FFFFFF"/>
          <w:lang w:val="zh-CN"/>
        </w:rPr>
      </w:pPr>
      <w:r>
        <w:rPr>
          <w:rFonts w:hint="eastAsia" w:ascii="楷体_GB2312" w:hAnsi="宋体" w:eastAsia="楷体_GB2312" w:cs="Times New Roman"/>
          <w:b/>
          <w:color w:val="auto"/>
          <w:sz w:val="32"/>
          <w:szCs w:val="32"/>
          <w:highlight w:val="none"/>
          <w:u w:val="none"/>
          <w:lang w:val="zh-CN"/>
        </w:rPr>
        <w:t>（三）</w:t>
      </w:r>
      <w:r>
        <w:rPr>
          <w:rFonts w:hint="eastAsia" w:ascii="楷体_GB2312" w:hAnsi="宋体" w:eastAsia="楷体_GB2312" w:cs="Times New Roman"/>
          <w:b/>
          <w:color w:val="auto"/>
          <w:sz w:val="32"/>
          <w:szCs w:val="32"/>
          <w:highlight w:val="none"/>
          <w:u w:val="none"/>
          <w:lang w:val="en-US" w:eastAsia="zh-CN"/>
        </w:rPr>
        <w:t>个性指标</w:t>
      </w:r>
      <w:r>
        <w:rPr>
          <w:rFonts w:hint="default" w:ascii="Times New Roman" w:hAnsi="Times New Roman" w:eastAsia="楷体_GB2312" w:cs="Times New Roman"/>
          <w:b/>
          <w:bCs/>
          <w:color w:val="000000"/>
          <w:kern w:val="0"/>
          <w:sz w:val="32"/>
          <w:szCs w:val="32"/>
          <w:highlight w:val="none"/>
          <w:shd w:val="clear" w:color="auto" w:fill="FFFFFF"/>
          <w:lang w:val="zh-CN"/>
        </w:rPr>
        <w:t>绩效分析</w:t>
      </w:r>
    </w:p>
    <w:p>
      <w:pPr>
        <w:keepNext w:val="0"/>
        <w:keepLines w:val="0"/>
        <w:pageBreakBefore w:val="0"/>
        <w:widowControl w:val="0"/>
        <w:kinsoku/>
        <w:wordWrap/>
        <w:overflowPunct/>
        <w:topLinePunct w:val="0"/>
        <w:autoSpaceDE/>
        <w:autoSpaceDN/>
        <w:bidi w:val="0"/>
        <w:spacing w:line="576" w:lineRule="exact"/>
        <w:ind w:firstLine="64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zh-CN" w:eastAsia="zh-CN"/>
        </w:rPr>
        <w:t>满意度指标：根据问卷调查结果，职工满意度达到了95%以上，表明项目实施效果显著，得到了广泛认可。</w:t>
      </w:r>
    </w:p>
    <w:p>
      <w:pPr>
        <w:pStyle w:val="6"/>
        <w:keepNext w:val="0"/>
        <w:keepLines w:val="0"/>
        <w:pageBreakBefore w:val="0"/>
        <w:tabs>
          <w:tab w:val="left" w:pos="2160"/>
        </w:tabs>
        <w:kinsoku/>
        <w:wordWrap/>
        <w:overflowPunct/>
        <w:topLinePunct w:val="0"/>
        <w:bidi w:val="0"/>
        <w:spacing w:line="576" w:lineRule="exact"/>
        <w:ind w:firstLine="640" w:firstLineChars="200"/>
        <w:jc w:val="left"/>
        <w:textAlignment w:val="auto"/>
        <w:rPr>
          <w:rFonts w:hint="eastAsia" w:ascii="黑体" w:hAnsi="黑体" w:eastAsia="黑体" w:cs="黑体"/>
          <w:sz w:val="32"/>
          <w:szCs w:val="32"/>
          <w:lang w:val="zh-CN" w:eastAsia="zh-CN"/>
        </w:rPr>
      </w:pPr>
      <w:r>
        <w:rPr>
          <w:rFonts w:hint="eastAsia" w:ascii="黑体" w:hAnsi="黑体" w:eastAsia="黑体" w:cs="黑体"/>
          <w:sz w:val="32"/>
          <w:szCs w:val="32"/>
          <w:lang w:val="zh-CN" w:eastAsia="zh-CN"/>
        </w:rPr>
        <w:t>四、评价结论</w:t>
      </w:r>
    </w:p>
    <w:p>
      <w:pPr>
        <w:keepNext w:val="0"/>
        <w:keepLines w:val="0"/>
        <w:pageBreakBefore w:val="0"/>
        <w:widowControl w:val="0"/>
        <w:kinsoku/>
        <w:wordWrap/>
        <w:overflowPunct/>
        <w:topLinePunct w:val="0"/>
        <w:autoSpaceDE/>
        <w:autoSpaceDN/>
        <w:bidi w:val="0"/>
        <w:spacing w:line="576" w:lineRule="exact"/>
        <w:ind w:firstLine="640"/>
        <w:textAlignment w:val="auto"/>
        <w:outlineLvl w:val="9"/>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zh-CN" w:eastAsia="zh-CN"/>
        </w:rPr>
        <w:t>项目管理做到了管理规范，操作阳光透明，运行有序高效，态度优质，群众满意度高。在项目管理上，通过逐步规范申报审批支付程序，确保了资金高效运转。在资金管理上，严格按照财务制度，确保了资金及时到位和使用。</w:t>
      </w:r>
    </w:p>
    <w:p>
      <w:pPr>
        <w:pStyle w:val="6"/>
        <w:keepNext w:val="0"/>
        <w:keepLines w:val="0"/>
        <w:pageBreakBefore w:val="0"/>
        <w:tabs>
          <w:tab w:val="left" w:pos="2160"/>
        </w:tabs>
        <w:kinsoku/>
        <w:wordWrap/>
        <w:overflowPunct/>
        <w:topLinePunct w:val="0"/>
        <w:bidi w:val="0"/>
        <w:spacing w:line="576" w:lineRule="exact"/>
        <w:ind w:firstLine="640" w:firstLineChars="200"/>
        <w:jc w:val="left"/>
        <w:textAlignment w:val="auto"/>
        <w:rPr>
          <w:rFonts w:hint="eastAsia" w:ascii="黑体" w:hAnsi="黑体" w:eastAsia="黑体" w:cs="黑体"/>
          <w:sz w:val="32"/>
          <w:szCs w:val="32"/>
          <w:lang w:val="zh-CN" w:eastAsia="zh-CN"/>
        </w:rPr>
      </w:pPr>
      <w:r>
        <w:rPr>
          <w:rFonts w:hint="eastAsia" w:ascii="黑体" w:hAnsi="黑体" w:eastAsia="黑体" w:cs="黑体"/>
          <w:sz w:val="32"/>
          <w:szCs w:val="32"/>
          <w:lang w:val="zh-CN" w:eastAsia="zh-CN"/>
        </w:rPr>
        <w:t>五、存在主要问题</w:t>
      </w:r>
    </w:p>
    <w:p>
      <w:pPr>
        <w:keepNext w:val="0"/>
        <w:keepLines w:val="0"/>
        <w:pageBreakBefore w:val="0"/>
        <w:widowControl w:val="0"/>
        <w:kinsoku/>
        <w:wordWrap/>
        <w:overflowPunct/>
        <w:topLinePunct w:val="0"/>
        <w:autoSpaceDE/>
        <w:autoSpaceDN/>
        <w:bidi w:val="0"/>
        <w:spacing w:line="576" w:lineRule="exact"/>
        <w:ind w:firstLine="64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专项预算项目绩效自评未发现问题。</w:t>
      </w:r>
    </w:p>
    <w:p>
      <w:pPr>
        <w:pStyle w:val="6"/>
        <w:keepNext w:val="0"/>
        <w:keepLines w:val="0"/>
        <w:pageBreakBefore w:val="0"/>
        <w:tabs>
          <w:tab w:val="left" w:pos="2160"/>
        </w:tabs>
        <w:kinsoku/>
        <w:wordWrap/>
        <w:overflowPunct/>
        <w:topLinePunct w:val="0"/>
        <w:bidi w:val="0"/>
        <w:spacing w:line="576" w:lineRule="exact"/>
        <w:ind w:firstLine="640" w:firstLineChars="200"/>
        <w:jc w:val="left"/>
        <w:textAlignment w:val="auto"/>
        <w:rPr>
          <w:rFonts w:hint="eastAsia" w:ascii="黑体" w:hAnsi="黑体" w:eastAsia="黑体" w:cs="黑体"/>
          <w:sz w:val="32"/>
          <w:szCs w:val="32"/>
          <w:lang w:val="zh-CN" w:eastAsia="zh-CN"/>
        </w:rPr>
      </w:pPr>
      <w:r>
        <w:rPr>
          <w:rFonts w:hint="eastAsia" w:ascii="黑体" w:hAnsi="黑体" w:eastAsia="黑体" w:cs="黑体"/>
          <w:sz w:val="32"/>
          <w:szCs w:val="32"/>
          <w:lang w:val="zh-CN" w:eastAsia="zh-CN"/>
        </w:rPr>
        <w:t>六、改进建议</w:t>
      </w:r>
    </w:p>
    <w:p>
      <w:pPr>
        <w:keepNext w:val="0"/>
        <w:keepLines w:val="0"/>
        <w:pageBreakBefore w:val="0"/>
        <w:widowControl w:val="0"/>
        <w:kinsoku/>
        <w:wordWrap/>
        <w:overflowPunct/>
        <w:topLinePunct w:val="0"/>
        <w:autoSpaceDE/>
        <w:autoSpaceDN/>
        <w:bidi w:val="0"/>
        <w:spacing w:line="576" w:lineRule="exact"/>
        <w:ind w:firstLine="64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无专项预算项目在预算安排、完善政策、改进管理等方面的措施建议。</w:t>
      </w:r>
    </w:p>
    <w:p>
      <w:pPr>
        <w:keepNext w:val="0"/>
        <w:keepLines w:val="0"/>
        <w:pageBreakBefore w:val="0"/>
        <w:widowControl w:val="0"/>
        <w:kinsoku/>
        <w:wordWrap/>
        <w:overflowPunct/>
        <w:topLinePunct w:val="0"/>
        <w:autoSpaceDE/>
        <w:autoSpaceDN/>
        <w:bidi w:val="0"/>
        <w:spacing w:line="576" w:lineRule="exact"/>
        <w:ind w:firstLine="640"/>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spacing w:line="576" w:lineRule="exact"/>
        <w:ind w:firstLine="640"/>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spacing w:line="576" w:lineRule="exact"/>
        <w:ind w:firstLine="640"/>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spacing w:line="576" w:lineRule="exact"/>
        <w:ind w:firstLine="640"/>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spacing w:line="576" w:lineRule="exact"/>
        <w:ind w:firstLine="640"/>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spacing w:line="576" w:lineRule="exact"/>
        <w:ind w:firstLine="640"/>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spacing w:line="576" w:lineRule="exact"/>
        <w:ind w:firstLine="640"/>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spacing w:line="576" w:lineRule="exact"/>
        <w:ind w:firstLine="640"/>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spacing w:line="576" w:lineRule="exact"/>
        <w:ind w:firstLine="640"/>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spacing w:line="576" w:lineRule="exact"/>
        <w:ind w:firstLine="640"/>
        <w:textAlignment w:val="auto"/>
        <w:outlineLvl w:val="9"/>
        <w:rPr>
          <w:rFonts w:hint="eastAsia" w:ascii="仿宋_GB2312" w:hAnsi="仿宋_GB2312" w:eastAsia="仿宋_GB2312" w:cs="仿宋_GB2312"/>
          <w:sz w:val="32"/>
          <w:szCs w:val="32"/>
          <w:lang w:val="en-US" w:eastAsia="zh-CN"/>
        </w:rPr>
      </w:pPr>
    </w:p>
    <w:p>
      <w:pPr>
        <w:pStyle w:val="2"/>
        <w:rPr>
          <w:rFonts w:hint="eastAsia" w:ascii="仿宋_GB2312" w:hAnsi="仿宋_GB2312" w:eastAsia="仿宋_GB2312" w:cs="仿宋_GB2312"/>
          <w:sz w:val="32"/>
          <w:szCs w:val="32"/>
          <w:lang w:val="en-US" w:eastAsia="zh-CN"/>
        </w:rPr>
      </w:pPr>
    </w:p>
    <w:p>
      <w:pPr>
        <w:rPr>
          <w:rFonts w:hint="eastAsia"/>
          <w:lang w:val="en-US" w:eastAsia="zh-CN"/>
        </w:rPr>
      </w:pPr>
    </w:p>
    <w:p>
      <w:pPr>
        <w:pStyle w:val="2"/>
        <w:rPr>
          <w:rFonts w:hint="eastAsia"/>
          <w:lang w:val="en-US" w:eastAsia="zh-CN"/>
        </w:rPr>
      </w:pPr>
    </w:p>
    <w:p>
      <w:pPr>
        <w:pStyle w:val="36"/>
        <w:pageBreakBefore w:val="0"/>
        <w:kinsoku/>
        <w:wordWrap/>
        <w:overflowPunct/>
        <w:topLinePunct w:val="0"/>
        <w:bidi w:val="0"/>
        <w:spacing w:line="576" w:lineRule="exact"/>
        <w:jc w:val="both"/>
        <w:rPr>
          <w:rFonts w:hint="eastAsia" w:ascii="Times New Roman" w:hAnsi="Times New Roman" w:eastAsia="方正小标宋简体"/>
          <w:color w:val="auto"/>
          <w:kern w:val="2"/>
          <w:sz w:val="44"/>
          <w:szCs w:val="44"/>
          <w:lang w:val="en-US" w:eastAsia="zh-CN"/>
        </w:rPr>
      </w:pPr>
    </w:p>
    <w:p>
      <w:pPr>
        <w:pStyle w:val="36"/>
        <w:pageBreakBefore w:val="0"/>
        <w:kinsoku/>
        <w:wordWrap/>
        <w:overflowPunct/>
        <w:topLinePunct w:val="0"/>
        <w:bidi w:val="0"/>
        <w:spacing w:line="576" w:lineRule="exact"/>
        <w:jc w:val="center"/>
        <w:rPr>
          <w:rFonts w:ascii="Times New Roman" w:hAnsi="Times New Roman" w:eastAsia="方正小标宋简体"/>
          <w:color w:val="auto"/>
          <w:kern w:val="2"/>
          <w:sz w:val="44"/>
          <w:szCs w:val="44"/>
          <w:lang w:val="en-US"/>
        </w:rPr>
      </w:pPr>
      <w:r>
        <w:rPr>
          <w:rFonts w:hint="eastAsia" w:ascii="Times New Roman" w:hAnsi="Times New Roman" w:eastAsia="方正小标宋简体"/>
          <w:color w:val="auto"/>
          <w:kern w:val="2"/>
          <w:sz w:val="44"/>
          <w:szCs w:val="44"/>
          <w:lang w:val="en-US" w:eastAsia="zh-CN"/>
        </w:rPr>
        <w:t>叠溪镇2024年村级公共服务经费补助资金</w:t>
      </w:r>
      <w:r>
        <w:rPr>
          <w:rFonts w:ascii="Times New Roman" w:hAnsi="Times New Roman" w:eastAsia="方正小标宋简体"/>
          <w:color w:val="auto"/>
          <w:kern w:val="2"/>
          <w:sz w:val="44"/>
          <w:szCs w:val="44"/>
          <w:lang w:val="en-US"/>
        </w:rPr>
        <w:t>预算绩效自评报告</w:t>
      </w:r>
    </w:p>
    <w:p>
      <w:pPr>
        <w:pStyle w:val="36"/>
        <w:pageBreakBefore w:val="0"/>
        <w:kinsoku/>
        <w:wordWrap/>
        <w:overflowPunct/>
        <w:topLinePunct w:val="0"/>
        <w:bidi w:val="0"/>
        <w:spacing w:line="576" w:lineRule="exact"/>
        <w:ind w:firstLine="640"/>
        <w:jc w:val="center"/>
        <w:rPr>
          <w:rFonts w:ascii="Times New Roman" w:hAnsi="Times New Roman"/>
          <w:color w:val="auto"/>
          <w:kern w:val="2"/>
          <w:sz w:val="32"/>
          <w:szCs w:val="32"/>
        </w:rPr>
      </w:pPr>
    </w:p>
    <w:p>
      <w:pPr>
        <w:keepNext w:val="0"/>
        <w:keepLines w:val="0"/>
        <w:pageBreakBefore w:val="0"/>
        <w:kinsoku/>
        <w:wordWrap/>
        <w:overflowPunct/>
        <w:topLinePunct w:val="0"/>
        <w:autoSpaceDE/>
        <w:autoSpaceDN/>
        <w:bidi w:val="0"/>
        <w:adjustRightInd w:val="0"/>
        <w:snapToGrid w:val="0"/>
        <w:spacing w:line="576" w:lineRule="exact"/>
        <w:ind w:firstLine="640" w:firstLineChars="200"/>
        <w:jc w:val="left"/>
        <w:textAlignment w:val="auto"/>
        <w:rPr>
          <w:rFonts w:eastAsia="黑体"/>
          <w:sz w:val="32"/>
          <w:szCs w:val="32"/>
          <w:lang w:val="zh-CN"/>
        </w:rPr>
      </w:pPr>
      <w:r>
        <w:rPr>
          <w:rFonts w:eastAsia="黑体"/>
          <w:sz w:val="32"/>
          <w:szCs w:val="32"/>
        </w:rPr>
        <w:t>一、</w:t>
      </w:r>
      <w:r>
        <w:rPr>
          <w:rFonts w:eastAsia="黑体"/>
          <w:sz w:val="32"/>
          <w:szCs w:val="32"/>
          <w:lang w:val="zh-CN"/>
        </w:rPr>
        <w:t>项目概况</w:t>
      </w:r>
    </w:p>
    <w:p>
      <w:pPr>
        <w:keepNext w:val="0"/>
        <w:keepLines w:val="0"/>
        <w:pageBreakBefore w:val="0"/>
        <w:kinsoku/>
        <w:wordWrap/>
        <w:overflowPunct/>
        <w:topLinePunct w:val="0"/>
        <w:autoSpaceDE/>
        <w:autoSpaceDN/>
        <w:bidi w:val="0"/>
        <w:adjustRightInd w:val="0"/>
        <w:snapToGrid w:val="0"/>
        <w:spacing w:line="576" w:lineRule="exact"/>
        <w:ind w:firstLine="642" w:firstLineChars="200"/>
        <w:jc w:val="left"/>
        <w:textAlignment w:val="auto"/>
        <w:rPr>
          <w:rFonts w:hint="eastAsia" w:ascii="仿宋_GB2312" w:hAnsi="仿宋_GB2312" w:eastAsia="仿宋_GB2312" w:cs="仿宋_GB2312"/>
          <w:kern w:val="0"/>
          <w:sz w:val="32"/>
          <w:szCs w:val="32"/>
          <w:shd w:val="clear" w:color="auto" w:fill="FFFFFF"/>
          <w:lang w:val="en-US" w:eastAsia="zh-CN"/>
        </w:rPr>
      </w:pPr>
      <w:r>
        <w:rPr>
          <w:rFonts w:eastAsia="楷体_GB2312"/>
          <w:b/>
          <w:sz w:val="32"/>
          <w:szCs w:val="32"/>
          <w:lang w:val="zh-CN"/>
        </w:rPr>
        <w:t>（一）设立背景及基本情况。</w:t>
      </w:r>
      <w:r>
        <w:rPr>
          <w:rFonts w:hint="eastAsia" w:ascii="仿宋_GB2312" w:hAnsi="仿宋_GB2312" w:eastAsia="仿宋_GB2312" w:cs="仿宋_GB2312"/>
          <w:sz w:val="32"/>
          <w:szCs w:val="32"/>
          <w:lang w:val="en-US" w:eastAsia="zh-CN"/>
        </w:rPr>
        <w:t>补助资金主要用于办公运转、基层活动、服务群众、公共运维四类。办公运转。包括村（社区）正常运转所必需的办公用品费、水电费、印刷费、报刊费、差旅费等支出。基层活动。包括村（社区）基层组织开展党群活动、组织会议、教育培训、走访慰问等支出。服务群众。包括村（社区）内治安、信息公开、政策宣传、文化体育、公共卫生、矛盾纠纷调解等工作事务支出。公共运维。包括基层组织活动场所以及村组道路、农业生产、污水垃圾等公共设施运行维护支出。我镇辖区内13个行政村，各村3.00万元村级公共服务经费，共计39.00万元。</w:t>
      </w:r>
    </w:p>
    <w:p>
      <w:pPr>
        <w:keepNext w:val="0"/>
        <w:keepLines w:val="0"/>
        <w:pageBreakBefore w:val="0"/>
        <w:kinsoku/>
        <w:wordWrap/>
        <w:overflowPunct/>
        <w:topLinePunct w:val="0"/>
        <w:autoSpaceDE/>
        <w:autoSpaceDN/>
        <w:bidi w:val="0"/>
        <w:adjustRightInd w:val="0"/>
        <w:snapToGrid w:val="0"/>
        <w:spacing w:line="576" w:lineRule="exact"/>
        <w:ind w:firstLine="642" w:firstLineChars="200"/>
        <w:jc w:val="left"/>
        <w:textAlignment w:val="auto"/>
        <w:rPr>
          <w:rFonts w:eastAsia="楷体_GB2312"/>
          <w:b/>
          <w:sz w:val="32"/>
          <w:szCs w:val="32"/>
          <w:lang w:val="zh-CN"/>
        </w:rPr>
      </w:pPr>
      <w:r>
        <w:rPr>
          <w:rFonts w:eastAsia="楷体_GB2312"/>
          <w:b/>
          <w:sz w:val="32"/>
          <w:szCs w:val="32"/>
          <w:lang w:val="zh-CN"/>
        </w:rPr>
        <w:t>（二）</w:t>
      </w:r>
      <w:r>
        <w:rPr>
          <w:rFonts w:eastAsia="楷体_GB2312"/>
          <w:b/>
          <w:sz w:val="32"/>
          <w:szCs w:val="32"/>
        </w:rPr>
        <w:t>实施目的及支持方向。</w:t>
      </w:r>
      <w:r>
        <w:rPr>
          <w:rFonts w:hint="eastAsia" w:ascii="仿宋_GB2312" w:hAnsi="Times New Roman" w:eastAsia="仿宋_GB2312" w:cs="Times New Roman"/>
          <w:sz w:val="32"/>
          <w:szCs w:val="32"/>
          <w:lang w:val="zh-CN"/>
        </w:rPr>
        <w:t>保障各村运行能力，为进一步提升我镇各村组织活动和公共服务运行经费保障能力，巩固党在基层的执政基础。</w:t>
      </w:r>
    </w:p>
    <w:p>
      <w:pPr>
        <w:keepNext w:val="0"/>
        <w:keepLines w:val="0"/>
        <w:pageBreakBefore w:val="0"/>
        <w:kinsoku/>
        <w:wordWrap/>
        <w:overflowPunct/>
        <w:topLinePunct w:val="0"/>
        <w:autoSpaceDE/>
        <w:autoSpaceDN/>
        <w:bidi w:val="0"/>
        <w:adjustRightInd w:val="0"/>
        <w:snapToGrid w:val="0"/>
        <w:spacing w:line="576" w:lineRule="exact"/>
        <w:ind w:firstLine="642" w:firstLineChars="200"/>
        <w:jc w:val="left"/>
        <w:textAlignment w:val="auto"/>
        <w:rPr>
          <w:rFonts w:hint="eastAsia" w:ascii="仿宋_GB2312" w:hAnsi="仿宋_GB2312" w:eastAsia="仿宋_GB2312" w:cs="仿宋_GB2312"/>
          <w:sz w:val="32"/>
          <w:szCs w:val="32"/>
          <w:lang w:val="zh-CN" w:eastAsia="zh-CN"/>
        </w:rPr>
      </w:pPr>
      <w:r>
        <w:rPr>
          <w:rFonts w:eastAsia="楷体_GB2312"/>
          <w:b/>
          <w:sz w:val="32"/>
          <w:szCs w:val="32"/>
          <w:lang w:val="zh-CN"/>
        </w:rPr>
        <w:t>（三）</w:t>
      </w:r>
      <w:r>
        <w:rPr>
          <w:rFonts w:eastAsia="楷体_GB2312"/>
          <w:b/>
          <w:sz w:val="32"/>
          <w:szCs w:val="32"/>
        </w:rPr>
        <w:t>预算安排及分配管理</w:t>
      </w:r>
      <w:r>
        <w:rPr>
          <w:rFonts w:eastAsia="楷体_GB2312"/>
          <w:b/>
          <w:sz w:val="32"/>
          <w:szCs w:val="32"/>
          <w:lang w:val="zh-CN"/>
        </w:rPr>
        <w:t>。</w:t>
      </w:r>
      <w:r>
        <w:rPr>
          <w:rFonts w:hint="eastAsia" w:ascii="仿宋_GB2312" w:hAnsi="仿宋_GB2312" w:eastAsia="仿宋_GB2312" w:cs="仿宋_GB2312"/>
          <w:sz w:val="32"/>
          <w:szCs w:val="32"/>
          <w:lang w:val="zh-CN" w:eastAsia="zh-CN"/>
        </w:rPr>
        <w:t>叠溪镇2024年村级公共服务经费补助资金</w:t>
      </w:r>
      <w:r>
        <w:rPr>
          <w:rFonts w:hint="eastAsia" w:ascii="仿宋_GB2312" w:hAnsi="仿宋_GB2312" w:eastAsia="仿宋_GB2312" w:cs="仿宋_GB2312"/>
          <w:sz w:val="32"/>
          <w:szCs w:val="32"/>
          <w:lang w:val="en-US" w:eastAsia="zh-CN"/>
        </w:rPr>
        <w:t>申报39.00</w:t>
      </w:r>
      <w:r>
        <w:rPr>
          <w:rFonts w:hint="eastAsia" w:ascii="仿宋_GB2312" w:hAnsi="仿宋_GB2312" w:eastAsia="仿宋_GB2312" w:cs="仿宋_GB2312"/>
          <w:sz w:val="32"/>
          <w:szCs w:val="32"/>
          <w:lang w:val="zh-CN" w:eastAsia="zh-CN"/>
        </w:rPr>
        <w:t>万元，</w:t>
      </w:r>
      <w:r>
        <w:rPr>
          <w:rFonts w:hint="eastAsia" w:ascii="仿宋_GB2312" w:hAnsi="仿宋_GB2312" w:eastAsia="仿宋_GB2312" w:cs="仿宋_GB2312"/>
          <w:sz w:val="32"/>
          <w:szCs w:val="32"/>
          <w:lang w:val="en-US" w:eastAsia="zh-CN"/>
        </w:rPr>
        <w:t>批复39.00</w:t>
      </w:r>
      <w:r>
        <w:rPr>
          <w:rFonts w:hint="eastAsia" w:ascii="仿宋_GB2312" w:hAnsi="仿宋_GB2312" w:eastAsia="仿宋_GB2312" w:cs="仿宋_GB2312"/>
          <w:sz w:val="32"/>
          <w:szCs w:val="32"/>
          <w:lang w:val="zh-CN" w:eastAsia="zh-CN"/>
        </w:rPr>
        <w:t>万元，</w:t>
      </w:r>
      <w:r>
        <w:rPr>
          <w:rFonts w:hint="eastAsia" w:ascii="仿宋_GB2312" w:hAnsi="仿宋_GB2312" w:eastAsia="仿宋_GB2312" w:cs="仿宋_GB2312"/>
          <w:sz w:val="32"/>
          <w:szCs w:val="32"/>
          <w:lang w:val="en-US" w:eastAsia="zh-CN"/>
        </w:rPr>
        <w:t>申报与批复资金一致。我镇</w:t>
      </w:r>
      <w:r>
        <w:rPr>
          <w:rFonts w:hint="eastAsia" w:ascii="仿宋_GB2312" w:hAnsi="仿宋_GB2312" w:eastAsia="仿宋_GB2312" w:cs="仿宋_GB2312"/>
          <w:sz w:val="32"/>
          <w:szCs w:val="32"/>
          <w:lang w:val="zh-CN" w:eastAsia="zh-CN"/>
        </w:rPr>
        <w:t>对叠溪镇2024年村级公共服务经费补助资金进行分配，补助资金根据各村人口、幅员面积、地理区位、村集体收入和工作绩效等因素分村确定具体的补助标准。</w:t>
      </w:r>
    </w:p>
    <w:p>
      <w:pPr>
        <w:keepNext w:val="0"/>
        <w:keepLines w:val="0"/>
        <w:pageBreakBefore w:val="0"/>
        <w:kinsoku/>
        <w:wordWrap/>
        <w:overflowPunct/>
        <w:topLinePunct w:val="0"/>
        <w:autoSpaceDE/>
        <w:autoSpaceDN/>
        <w:bidi w:val="0"/>
        <w:adjustRightInd w:val="0"/>
        <w:snapToGrid w:val="0"/>
        <w:spacing w:line="576" w:lineRule="exact"/>
        <w:ind w:firstLine="642" w:firstLineChars="200"/>
        <w:jc w:val="left"/>
        <w:textAlignment w:val="auto"/>
        <w:rPr>
          <w:rFonts w:hint="eastAsia" w:ascii="仿宋_GB2312" w:hAnsi="仿宋_GB2312" w:eastAsia="仿宋_GB2312" w:cs="仿宋_GB2312"/>
          <w:sz w:val="32"/>
          <w:szCs w:val="32"/>
          <w:lang w:val="zh-CN" w:eastAsia="zh-CN"/>
        </w:rPr>
      </w:pPr>
      <w:r>
        <w:rPr>
          <w:rFonts w:eastAsia="楷体_GB2312"/>
          <w:b/>
          <w:sz w:val="32"/>
          <w:szCs w:val="32"/>
          <w:lang w:val="zh-CN"/>
        </w:rPr>
        <w:t>（四）项目绩效目标设置。</w:t>
      </w:r>
      <w:r>
        <w:rPr>
          <w:rFonts w:hint="eastAsia" w:ascii="仿宋_GB2312" w:hAnsi="仿宋_GB2312" w:eastAsia="仿宋_GB2312" w:cs="仿宋_GB2312"/>
          <w:sz w:val="32"/>
          <w:szCs w:val="32"/>
          <w:lang w:val="en-US" w:eastAsia="zh-CN"/>
        </w:rPr>
        <w:t>叠溪镇2024年村级公共服务经费补助资金整体绩效目标是</w:t>
      </w:r>
      <w:r>
        <w:rPr>
          <w:rFonts w:hint="eastAsia" w:ascii="仿宋_GB2312" w:hAnsi="仿宋_GB2312" w:eastAsia="仿宋_GB2312" w:cs="仿宋_GB2312"/>
          <w:sz w:val="32"/>
          <w:szCs w:val="32"/>
          <w:lang w:val="zh-CN" w:eastAsia="zh-CN"/>
        </w:rPr>
        <w:t>保障各村运行能力，为进一步提升我镇各村组织活动和公共服务运行经费保障能力，巩固党在基层的执政基础。</w:t>
      </w:r>
    </w:p>
    <w:p>
      <w:pPr>
        <w:keepNext w:val="0"/>
        <w:keepLines w:val="0"/>
        <w:pageBreakBefore w:val="0"/>
        <w:kinsoku/>
        <w:wordWrap/>
        <w:overflowPunct/>
        <w:topLinePunct w:val="0"/>
        <w:autoSpaceDE/>
        <w:autoSpaceDN/>
        <w:bidi w:val="0"/>
        <w:adjustRightInd w:val="0"/>
        <w:snapToGrid w:val="0"/>
        <w:spacing w:line="576" w:lineRule="exact"/>
        <w:ind w:firstLine="640" w:firstLineChars="200"/>
        <w:jc w:val="left"/>
        <w:textAlignment w:val="auto"/>
        <w:rPr>
          <w:rFonts w:eastAsia="黑体"/>
          <w:sz w:val="32"/>
          <w:szCs w:val="32"/>
        </w:rPr>
      </w:pPr>
      <w:r>
        <w:rPr>
          <w:rFonts w:eastAsia="黑体"/>
          <w:sz w:val="32"/>
          <w:szCs w:val="32"/>
        </w:rPr>
        <w:t>二、评价实施</w:t>
      </w:r>
    </w:p>
    <w:p>
      <w:pPr>
        <w:keepNext w:val="0"/>
        <w:keepLines w:val="0"/>
        <w:pageBreakBefore w:val="0"/>
        <w:kinsoku/>
        <w:wordWrap/>
        <w:overflowPunct/>
        <w:topLinePunct w:val="0"/>
        <w:autoSpaceDE/>
        <w:autoSpaceDN/>
        <w:bidi w:val="0"/>
        <w:adjustRightInd w:val="0"/>
        <w:snapToGrid w:val="0"/>
        <w:spacing w:line="576" w:lineRule="exact"/>
        <w:ind w:firstLine="642" w:firstLineChars="200"/>
        <w:jc w:val="left"/>
        <w:textAlignment w:val="auto"/>
        <w:rPr>
          <w:sz w:val="32"/>
          <w:szCs w:val="32"/>
        </w:rPr>
      </w:pPr>
      <w:r>
        <w:rPr>
          <w:rFonts w:eastAsia="楷体_GB2312"/>
          <w:b/>
          <w:sz w:val="32"/>
          <w:szCs w:val="32"/>
          <w:lang w:val="zh-CN"/>
        </w:rPr>
        <w:t>（一）评价目的。</w:t>
      </w:r>
      <w:r>
        <w:rPr>
          <w:rFonts w:hint="eastAsia" w:ascii="仿宋_GB2312" w:hAnsi="Times New Roman" w:eastAsia="仿宋_GB2312" w:cs="Times New Roman"/>
          <w:sz w:val="32"/>
          <w:szCs w:val="32"/>
          <w:lang w:val="zh-CN"/>
        </w:rPr>
        <w:t>保障各村运行能力，为进一步提升我镇各村组织活动和公共服务运行经费保障能力，巩固党在基层的执政基础。</w:t>
      </w:r>
    </w:p>
    <w:p>
      <w:pPr>
        <w:keepNext w:val="0"/>
        <w:keepLines w:val="0"/>
        <w:pageBreakBefore w:val="0"/>
        <w:kinsoku/>
        <w:wordWrap/>
        <w:overflowPunct/>
        <w:topLinePunct w:val="0"/>
        <w:autoSpaceDE/>
        <w:autoSpaceDN/>
        <w:bidi w:val="0"/>
        <w:adjustRightInd w:val="0"/>
        <w:snapToGrid w:val="0"/>
        <w:spacing w:line="576" w:lineRule="exact"/>
        <w:ind w:firstLine="642" w:firstLineChars="200"/>
        <w:jc w:val="left"/>
        <w:textAlignment w:val="auto"/>
        <w:rPr>
          <w:rFonts w:hint="eastAsia" w:eastAsia="楷体_GB2312"/>
          <w:sz w:val="32"/>
          <w:szCs w:val="32"/>
          <w:lang w:eastAsia="zh-CN"/>
        </w:rPr>
      </w:pPr>
      <w:r>
        <w:rPr>
          <w:rFonts w:eastAsia="楷体_GB2312"/>
          <w:b/>
          <w:sz w:val="32"/>
          <w:szCs w:val="32"/>
          <w:lang w:val="zh-CN"/>
        </w:rPr>
        <w:t>（二）预设问题及评价重点。</w:t>
      </w:r>
      <w:r>
        <w:rPr>
          <w:rFonts w:hint="eastAsia" w:eastAsia="楷体_GB2312"/>
          <w:sz w:val="32"/>
          <w:szCs w:val="32"/>
          <w:lang w:eastAsia="zh-CN"/>
        </w:rPr>
        <w:t>无</w:t>
      </w:r>
    </w:p>
    <w:p>
      <w:pPr>
        <w:keepNext w:val="0"/>
        <w:keepLines w:val="0"/>
        <w:pageBreakBefore w:val="0"/>
        <w:kinsoku/>
        <w:wordWrap/>
        <w:overflowPunct/>
        <w:topLinePunct w:val="0"/>
        <w:autoSpaceDE/>
        <w:autoSpaceDN/>
        <w:bidi w:val="0"/>
        <w:adjustRightInd w:val="0"/>
        <w:snapToGrid w:val="0"/>
        <w:spacing w:line="576" w:lineRule="exact"/>
        <w:ind w:firstLine="642" w:firstLineChars="200"/>
        <w:jc w:val="left"/>
        <w:textAlignment w:val="auto"/>
        <w:rPr>
          <w:rFonts w:hint="eastAsia" w:ascii="仿宋_GB2312" w:hAnsi="仿宋_GB2312" w:eastAsia="仿宋_GB2312" w:cs="仿宋_GB2312"/>
          <w:sz w:val="32"/>
          <w:szCs w:val="32"/>
          <w:lang w:val="zh-CN" w:eastAsia="zh-CN"/>
        </w:rPr>
      </w:pPr>
      <w:r>
        <w:rPr>
          <w:rFonts w:eastAsia="楷体_GB2312"/>
          <w:b/>
          <w:sz w:val="32"/>
          <w:szCs w:val="32"/>
          <w:lang w:val="zh-CN"/>
        </w:rPr>
        <w:t>（三）评价选点。</w:t>
      </w:r>
      <w:r>
        <w:rPr>
          <w:rFonts w:hint="eastAsia" w:ascii="仿宋_GB2312" w:hAnsi="仿宋_GB2312" w:eastAsia="仿宋_GB2312" w:cs="仿宋_GB2312"/>
          <w:sz w:val="32"/>
          <w:szCs w:val="32"/>
          <w:lang w:val="en-US" w:eastAsia="zh-CN"/>
        </w:rPr>
        <w:t>抽取叠溪镇2024年村级公共服务经费补助资金使用率进行评价</w:t>
      </w:r>
      <w:r>
        <w:rPr>
          <w:rFonts w:hint="eastAsia" w:ascii="仿宋_GB2312" w:hAnsi="仿宋_GB2312" w:eastAsia="仿宋_GB2312" w:cs="仿宋_GB2312"/>
          <w:sz w:val="32"/>
          <w:szCs w:val="32"/>
          <w:lang w:val="zh-CN" w:eastAsia="zh-CN"/>
        </w:rPr>
        <w:t>。</w:t>
      </w:r>
    </w:p>
    <w:p>
      <w:pPr>
        <w:keepNext w:val="0"/>
        <w:keepLines w:val="0"/>
        <w:pageBreakBefore w:val="0"/>
        <w:kinsoku/>
        <w:wordWrap/>
        <w:overflowPunct/>
        <w:topLinePunct w:val="0"/>
        <w:autoSpaceDE/>
        <w:autoSpaceDN/>
        <w:bidi w:val="0"/>
        <w:spacing w:line="576" w:lineRule="exact"/>
        <w:ind w:firstLine="640"/>
        <w:jc w:val="left"/>
        <w:textAlignment w:val="auto"/>
        <w:rPr>
          <w:rFonts w:hint="eastAsia" w:ascii="仿宋_GB2312" w:hAnsi="仿宋_GB2312" w:eastAsia="仿宋_GB2312" w:cs="仿宋_GB2312"/>
          <w:sz w:val="32"/>
          <w:szCs w:val="32"/>
          <w:lang w:val="en-US" w:eastAsia="zh-CN"/>
        </w:rPr>
      </w:pPr>
      <w:r>
        <w:rPr>
          <w:rFonts w:eastAsia="楷体_GB2312"/>
          <w:b/>
          <w:sz w:val="32"/>
          <w:szCs w:val="32"/>
          <w:lang w:val="zh-CN"/>
        </w:rPr>
        <w:t>（四）评价方法。</w:t>
      </w:r>
      <w:r>
        <w:rPr>
          <w:rFonts w:hint="eastAsia" w:ascii="仿宋_GB2312" w:hAnsi="仿宋_GB2312" w:eastAsia="仿宋_GB2312" w:cs="仿宋_GB2312"/>
          <w:sz w:val="32"/>
          <w:szCs w:val="32"/>
          <w:lang w:val="en-US" w:eastAsia="zh-CN"/>
        </w:rPr>
        <w:t>叠溪镇2024年村级公共服务经费补助资金采用单位自评法进行评价分析。</w:t>
      </w:r>
    </w:p>
    <w:p>
      <w:pPr>
        <w:keepNext w:val="0"/>
        <w:keepLines w:val="0"/>
        <w:pageBreakBefore w:val="0"/>
        <w:kinsoku/>
        <w:wordWrap/>
        <w:overflowPunct/>
        <w:topLinePunct w:val="0"/>
        <w:autoSpaceDE/>
        <w:autoSpaceDN/>
        <w:bidi w:val="0"/>
        <w:spacing w:line="576" w:lineRule="exact"/>
        <w:ind w:firstLine="640"/>
        <w:jc w:val="left"/>
        <w:textAlignment w:val="auto"/>
        <w:rPr>
          <w:rFonts w:hint="eastAsia" w:ascii="仿宋_GB2312" w:hAnsi="仿宋_GB2312" w:eastAsia="仿宋_GB2312" w:cs="仿宋_GB2312"/>
          <w:sz w:val="32"/>
          <w:szCs w:val="32"/>
          <w:lang w:val="en-US" w:eastAsia="zh-CN"/>
        </w:rPr>
      </w:pPr>
      <w:r>
        <w:rPr>
          <w:rFonts w:eastAsia="楷体_GB2312"/>
          <w:b/>
          <w:sz w:val="32"/>
          <w:szCs w:val="32"/>
          <w:lang w:val="zh-CN"/>
        </w:rPr>
        <w:t>（五）评价组织。</w:t>
      </w:r>
      <w:r>
        <w:rPr>
          <w:rFonts w:hint="eastAsia" w:ascii="仿宋_GB2312" w:hAnsi="仿宋_GB2312" w:eastAsia="仿宋_GB2312" w:cs="仿宋_GB2312"/>
          <w:sz w:val="32"/>
          <w:szCs w:val="32"/>
          <w:lang w:val="zh-CN" w:eastAsia="zh-CN"/>
        </w:rPr>
        <w:t>成立项目绩效自评领导小组，由分管财务副镇长牵头，叠溪镇财政办公室、叠溪镇各驻村工作组组成自评小组，</w:t>
      </w:r>
      <w:r>
        <w:rPr>
          <w:rFonts w:hint="eastAsia" w:ascii="仿宋_GB2312" w:hAnsi="仿宋_GB2312" w:eastAsia="仿宋_GB2312" w:cs="仿宋_GB2312"/>
          <w:sz w:val="32"/>
          <w:szCs w:val="32"/>
          <w:lang w:val="en-US" w:eastAsia="zh-CN"/>
        </w:rPr>
        <w:t>项目经办人员负责项目具体实施，财务人员负责评价方法</w:t>
      </w:r>
      <w:r>
        <w:rPr>
          <w:rFonts w:hint="eastAsia" w:ascii="仿宋_GB2312" w:hAnsi="仿宋_GB2312" w:eastAsia="仿宋_GB2312" w:cs="仿宋_GB2312"/>
          <w:sz w:val="32"/>
          <w:szCs w:val="32"/>
          <w:lang w:val="zh-CN" w:eastAsia="zh-CN"/>
        </w:rPr>
        <w:t>。</w:t>
      </w:r>
    </w:p>
    <w:p>
      <w:pPr>
        <w:keepNext w:val="0"/>
        <w:keepLines w:val="0"/>
        <w:pageBreakBefore w:val="0"/>
        <w:kinsoku/>
        <w:wordWrap/>
        <w:overflowPunct/>
        <w:topLinePunct w:val="0"/>
        <w:autoSpaceDE/>
        <w:autoSpaceDN/>
        <w:bidi w:val="0"/>
        <w:adjustRightInd w:val="0"/>
        <w:snapToGrid w:val="0"/>
        <w:spacing w:line="576" w:lineRule="exact"/>
        <w:ind w:firstLine="640" w:firstLineChars="200"/>
        <w:jc w:val="left"/>
        <w:textAlignment w:val="auto"/>
        <w:rPr>
          <w:sz w:val="32"/>
          <w:szCs w:val="32"/>
          <w:lang w:val="zh-CN"/>
        </w:rPr>
      </w:pPr>
      <w:r>
        <w:rPr>
          <w:rFonts w:eastAsia="黑体"/>
          <w:sz w:val="32"/>
          <w:szCs w:val="32"/>
        </w:rPr>
        <w:t>三、绩效分析</w:t>
      </w:r>
      <w:r>
        <w:rPr>
          <w:sz w:val="32"/>
          <w:szCs w:val="32"/>
          <w:lang w:val="zh-CN"/>
        </w:rPr>
        <w:tab/>
      </w:r>
    </w:p>
    <w:p>
      <w:pPr>
        <w:keepNext w:val="0"/>
        <w:keepLines w:val="0"/>
        <w:pageBreakBefore w:val="0"/>
        <w:kinsoku/>
        <w:wordWrap/>
        <w:overflowPunct/>
        <w:topLinePunct w:val="0"/>
        <w:autoSpaceDE/>
        <w:autoSpaceDN/>
        <w:bidi w:val="0"/>
        <w:spacing w:line="576" w:lineRule="exact"/>
        <w:ind w:firstLine="64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zh-CN" w:eastAsia="zh-CN"/>
        </w:rPr>
        <w:t>数量指标</w:t>
      </w:r>
      <w:r>
        <w:rPr>
          <w:rFonts w:hint="eastAsia" w:ascii="仿宋_GB2312" w:hAnsi="仿宋_GB2312" w:eastAsia="仿宋_GB2312" w:cs="仿宋_GB2312"/>
          <w:sz w:val="32"/>
          <w:szCs w:val="32"/>
          <w:lang w:val="en-US" w:eastAsia="zh-CN"/>
        </w:rPr>
        <w:t>是叠溪镇村数量13个，该指标权重为20；时效指标完成年度2024年，该指标权重为20；可持续影响指标保障村两委运转高效，该指标权重为10；经济效益指标为村民参与本村基础设施维护，从中获得报酬，增加收入大于等于10.00万元，该指标权重为10；社会效益指标为受益人口数1000人，该指标权重为10；满意度指标为受益人口满意度95%，该指标权重为10；成本指标为投入资金39.00万元，该指标权重为10。</w:t>
      </w:r>
    </w:p>
    <w:p>
      <w:pPr>
        <w:keepNext w:val="0"/>
        <w:keepLines w:val="0"/>
        <w:pageBreakBefore w:val="0"/>
        <w:kinsoku/>
        <w:wordWrap/>
        <w:overflowPunct/>
        <w:topLinePunct w:val="0"/>
        <w:autoSpaceDE/>
        <w:autoSpaceDN/>
        <w:bidi w:val="0"/>
        <w:spacing w:line="576" w:lineRule="exact"/>
        <w:ind w:firstLine="640"/>
        <w:jc w:val="left"/>
        <w:textAlignment w:val="auto"/>
        <w:rPr>
          <w:rFonts w:eastAsia="楷体_GB2312"/>
          <w:b/>
          <w:sz w:val="32"/>
          <w:szCs w:val="32"/>
        </w:rPr>
      </w:pPr>
      <w:r>
        <w:rPr>
          <w:rFonts w:eastAsia="楷体_GB2312"/>
          <w:b/>
          <w:sz w:val="32"/>
          <w:szCs w:val="32"/>
          <w:lang w:val="zh-CN"/>
        </w:rPr>
        <w:t>（一）</w:t>
      </w:r>
      <w:r>
        <w:rPr>
          <w:rFonts w:eastAsia="楷体_GB2312"/>
          <w:b/>
          <w:sz w:val="32"/>
          <w:szCs w:val="32"/>
        </w:rPr>
        <w:t>通用指标</w:t>
      </w:r>
      <w:r>
        <w:rPr>
          <w:rFonts w:eastAsia="楷体_GB2312"/>
          <w:b/>
          <w:bCs/>
          <w:color w:val="000000"/>
          <w:kern w:val="0"/>
          <w:sz w:val="32"/>
          <w:szCs w:val="32"/>
          <w:shd w:val="clear" w:color="auto" w:fill="FFFFFF"/>
          <w:lang w:val="zh-CN"/>
        </w:rPr>
        <w:t>绩效分析</w:t>
      </w:r>
    </w:p>
    <w:p>
      <w:pPr>
        <w:keepNext w:val="0"/>
        <w:keepLines w:val="0"/>
        <w:pageBreakBefore w:val="0"/>
        <w:kinsoku/>
        <w:wordWrap/>
        <w:overflowPunct/>
        <w:topLinePunct w:val="0"/>
        <w:autoSpaceDE/>
        <w:autoSpaceDN/>
        <w:bidi w:val="0"/>
        <w:spacing w:line="576" w:lineRule="exact"/>
        <w:ind w:firstLine="640"/>
        <w:jc w:val="left"/>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sz w:val="32"/>
          <w:szCs w:val="32"/>
          <w:lang w:val="zh-CN" w:eastAsia="zh-CN"/>
        </w:rPr>
        <w:t>1.项目决策。</w:t>
      </w:r>
      <w:r>
        <w:rPr>
          <w:rFonts w:hint="eastAsia" w:ascii="仿宋_GB2312" w:hAnsi="仿宋_GB2312" w:eastAsia="仿宋_GB2312" w:cs="仿宋_GB2312"/>
          <w:sz w:val="32"/>
          <w:szCs w:val="32"/>
          <w:lang w:val="en-US" w:eastAsia="zh-CN"/>
        </w:rPr>
        <w:t>茂县叠溪镇人民政府负责对2024年基层组织活动和公共服务运行费进行分配，补助资金根据各村人口、幅员面积、地理区位、村集体收入和工作绩效等因素分村确定具体的补助标准，叠溪镇驻村工作组对完工内容进行验收，叠溪镇财政办公室支付资金。</w:t>
      </w:r>
    </w:p>
    <w:p>
      <w:pPr>
        <w:keepNext w:val="0"/>
        <w:keepLines w:val="0"/>
        <w:pageBreakBefore w:val="0"/>
        <w:kinsoku/>
        <w:wordWrap/>
        <w:overflowPunct/>
        <w:topLinePunct w:val="0"/>
        <w:autoSpaceDE/>
        <w:autoSpaceDN/>
        <w:bidi w:val="0"/>
        <w:spacing w:line="576" w:lineRule="exact"/>
        <w:ind w:firstLine="640"/>
        <w:jc w:val="left"/>
        <w:textAlignment w:val="auto"/>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en-US" w:eastAsia="zh-CN"/>
        </w:rPr>
        <w:t>茂县叠溪镇人民政府各村两委会负责召开户主大会确定各村具体实施内容，确定实施人员，对施工进行监督检查，各村两委会对完工内容进行验收，并做好公开公示。</w:t>
      </w:r>
    </w:p>
    <w:p>
      <w:pPr>
        <w:keepNext w:val="0"/>
        <w:keepLines w:val="0"/>
        <w:pageBreakBefore w:val="0"/>
        <w:kinsoku/>
        <w:wordWrap/>
        <w:overflowPunct/>
        <w:topLinePunct w:val="0"/>
        <w:autoSpaceDE/>
        <w:autoSpaceDN/>
        <w:bidi w:val="0"/>
        <w:spacing w:line="576" w:lineRule="exact"/>
        <w:ind w:firstLine="640"/>
        <w:jc w:val="left"/>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sz w:val="32"/>
          <w:szCs w:val="32"/>
          <w:lang w:val="zh-CN" w:eastAsia="zh-CN"/>
        </w:rPr>
        <w:t>2.项目管理。</w:t>
      </w:r>
      <w:r>
        <w:rPr>
          <w:rFonts w:hint="eastAsia" w:ascii="仿宋_GB2312" w:hAnsi="仿宋_GB2312" w:eastAsia="仿宋_GB2312" w:cs="仿宋_GB2312"/>
          <w:sz w:val="32"/>
          <w:szCs w:val="32"/>
          <w:lang w:val="en-US" w:eastAsia="zh-CN"/>
        </w:rPr>
        <w:t>我镇的村</w:t>
      </w:r>
      <w:r>
        <w:rPr>
          <w:rFonts w:hint="eastAsia" w:ascii="仿宋_GB2312" w:hAnsi="仿宋_GB2312" w:eastAsia="仿宋_GB2312" w:cs="仿宋_GB2312"/>
          <w:sz w:val="32"/>
          <w:szCs w:val="32"/>
          <w:lang w:val="zh-CN" w:eastAsia="zh-CN"/>
        </w:rPr>
        <w:t>基层组织活动和公共服务运行经费</w:t>
      </w:r>
      <w:r>
        <w:rPr>
          <w:rFonts w:hint="eastAsia" w:ascii="仿宋_GB2312" w:hAnsi="仿宋_GB2312" w:eastAsia="仿宋_GB2312" w:cs="仿宋_GB2312"/>
          <w:sz w:val="32"/>
          <w:szCs w:val="32"/>
          <w:lang w:val="en-US" w:eastAsia="zh-CN"/>
        </w:rPr>
        <w:t>由上级拨款，镇政府统一监督管理，村级项目资金开支召开村干部会议及村民代表大会，报账资料经过村监督理财小组（2人以上签字）、村会计，村支部书记和村主任签字确认，严禁弄虚作假，报账资料必须和村财务公开的一致。</w:t>
      </w:r>
      <w:r>
        <w:rPr>
          <w:rFonts w:hint="eastAsia" w:ascii="仿宋_GB2312" w:hAnsi="仿宋_GB2312" w:eastAsia="仿宋_GB2312" w:cs="仿宋_GB2312"/>
          <w:sz w:val="32"/>
          <w:szCs w:val="32"/>
          <w:lang w:val="zh-CN" w:eastAsia="zh-CN"/>
        </w:rPr>
        <w:t>项目实施过程中，严格按照相关法律法规及项目管理制度进行管理。</w:t>
      </w:r>
    </w:p>
    <w:p>
      <w:pPr>
        <w:keepNext w:val="0"/>
        <w:keepLines w:val="0"/>
        <w:pageBreakBefore w:val="0"/>
        <w:kinsoku/>
        <w:wordWrap/>
        <w:overflowPunct/>
        <w:topLinePunct w:val="0"/>
        <w:autoSpaceDE/>
        <w:autoSpaceDN/>
        <w:bidi w:val="0"/>
        <w:spacing w:line="576" w:lineRule="exact"/>
        <w:ind w:firstLine="640"/>
        <w:jc w:val="left"/>
        <w:textAlignment w:val="auto"/>
        <w:rPr>
          <w:rFonts w:hint="eastAsia" w:ascii="仿宋_GB2312" w:hAnsi="仿宋_GB2312" w:eastAsia="仿宋_GB2312" w:cs="仿宋_GB2312"/>
          <w:sz w:val="32"/>
          <w:szCs w:val="32"/>
          <w:lang w:val="zh-CN" w:eastAsia="zh-CN"/>
        </w:rPr>
      </w:pPr>
      <w:r>
        <w:rPr>
          <w:rFonts w:hint="eastAsia" w:ascii="楷体_GB2312" w:hAnsi="楷体_GB2312" w:eastAsia="楷体_GB2312" w:cs="楷体_GB2312"/>
          <w:sz w:val="32"/>
          <w:szCs w:val="32"/>
          <w:lang w:val="zh-CN" w:eastAsia="zh-CN"/>
        </w:rPr>
        <w:t>3.项目实施。</w:t>
      </w:r>
      <w:r>
        <w:rPr>
          <w:rFonts w:hint="eastAsia" w:ascii="仿宋_GB2312" w:hAnsi="仿宋_GB2312" w:eastAsia="仿宋_GB2312" w:cs="仿宋_GB2312"/>
          <w:sz w:val="32"/>
          <w:szCs w:val="32"/>
          <w:lang w:val="en-US" w:eastAsia="zh-CN"/>
        </w:rPr>
        <w:t>截至2024年12月31日，我镇支付2024年基层组织活动和公共服务运行经费39.00万元。</w:t>
      </w:r>
      <w:r>
        <w:rPr>
          <w:rFonts w:hint="eastAsia" w:ascii="仿宋_GB2312" w:hAnsi="仿宋_GB2312" w:eastAsia="仿宋_GB2312" w:cs="仿宋_GB2312"/>
          <w:sz w:val="32"/>
          <w:szCs w:val="32"/>
          <w:lang w:val="zh-CN" w:eastAsia="zh-CN"/>
        </w:rPr>
        <w:t>我镇基层组织活动和公共服务运行经费现已按要求实施完成，项目理事会、村两委、镇政府已验收。</w:t>
      </w:r>
    </w:p>
    <w:p>
      <w:pPr>
        <w:keepNext w:val="0"/>
        <w:keepLines w:val="0"/>
        <w:pageBreakBefore w:val="0"/>
        <w:kinsoku/>
        <w:wordWrap/>
        <w:overflowPunct/>
        <w:topLinePunct w:val="0"/>
        <w:autoSpaceDE/>
        <w:autoSpaceDN/>
        <w:bidi w:val="0"/>
        <w:spacing w:line="576" w:lineRule="exact"/>
        <w:ind w:firstLine="640"/>
        <w:jc w:val="left"/>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sz w:val="32"/>
          <w:szCs w:val="32"/>
          <w:lang w:val="zh-CN" w:eastAsia="zh-CN"/>
        </w:rPr>
        <w:t>4.项目结果。</w:t>
      </w:r>
      <w:r>
        <w:rPr>
          <w:rFonts w:hint="eastAsia" w:ascii="仿宋_GB2312" w:hAnsi="仿宋_GB2312" w:eastAsia="仿宋_GB2312" w:cs="仿宋_GB2312"/>
          <w:sz w:val="32"/>
          <w:szCs w:val="32"/>
          <w:lang w:val="en-US" w:eastAsia="zh-CN"/>
        </w:rPr>
        <w:t>通过完善基础设施建设，进一步改善了村级的基础设施和公共服务，扩大了农村基层民主，完善了村民自治，密切了党和政府同农民群众的关系，满足了农民群众的需求，也为我镇的村级项目建设起到了示范和引领作用。</w:t>
      </w:r>
    </w:p>
    <w:p>
      <w:pPr>
        <w:pStyle w:val="36"/>
        <w:keepNext w:val="0"/>
        <w:keepLines w:val="0"/>
        <w:pageBreakBefore w:val="0"/>
        <w:kinsoku/>
        <w:wordWrap/>
        <w:overflowPunct/>
        <w:topLinePunct w:val="0"/>
        <w:autoSpaceDE/>
        <w:autoSpaceDN/>
        <w:bidi w:val="0"/>
        <w:spacing w:line="576" w:lineRule="exact"/>
        <w:ind w:firstLine="642" w:firstLineChars="200"/>
        <w:jc w:val="left"/>
        <w:textAlignment w:val="auto"/>
        <w:rPr>
          <w:rFonts w:eastAsia="楷体_GB2312"/>
          <w:b/>
          <w:bCs/>
          <w:color w:val="000000"/>
          <w:kern w:val="0"/>
          <w:sz w:val="32"/>
          <w:szCs w:val="32"/>
          <w:shd w:val="clear" w:color="auto" w:fill="FFFFFF"/>
          <w:lang w:val="zh-CN"/>
        </w:rPr>
      </w:pPr>
      <w:r>
        <w:rPr>
          <w:rFonts w:eastAsia="楷体_GB2312"/>
          <w:b/>
          <w:sz w:val="32"/>
          <w:szCs w:val="32"/>
          <w:lang w:val="zh-CN"/>
        </w:rPr>
        <w:t>（二）</w:t>
      </w:r>
      <w:r>
        <w:rPr>
          <w:rFonts w:eastAsia="楷体_GB2312"/>
          <w:b/>
          <w:sz w:val="32"/>
          <w:szCs w:val="32"/>
        </w:rPr>
        <w:t>专用指标</w:t>
      </w:r>
      <w:r>
        <w:rPr>
          <w:rFonts w:eastAsia="楷体_GB2312"/>
          <w:b/>
          <w:bCs/>
          <w:color w:val="000000"/>
          <w:kern w:val="0"/>
          <w:sz w:val="32"/>
          <w:szCs w:val="32"/>
          <w:shd w:val="clear" w:color="auto" w:fill="FFFFFF"/>
          <w:lang w:val="zh-CN"/>
        </w:rPr>
        <w:t>绩效分析</w:t>
      </w:r>
    </w:p>
    <w:p>
      <w:pPr>
        <w:keepNext w:val="0"/>
        <w:keepLines w:val="0"/>
        <w:pageBreakBefore w:val="0"/>
        <w:kinsoku/>
        <w:wordWrap/>
        <w:overflowPunct/>
        <w:topLinePunct w:val="0"/>
        <w:autoSpaceDE/>
        <w:autoSpaceDN/>
        <w:bidi w:val="0"/>
        <w:spacing w:line="576" w:lineRule="exact"/>
        <w:ind w:firstLine="640"/>
        <w:jc w:val="left"/>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sz w:val="32"/>
          <w:szCs w:val="32"/>
          <w:lang w:val="en-US" w:eastAsia="zh-CN"/>
        </w:rPr>
        <w:t>产业发展。</w:t>
      </w:r>
      <w:r>
        <w:rPr>
          <w:rFonts w:hint="eastAsia" w:ascii="仿宋_GB2312" w:hAnsi="仿宋_GB2312" w:eastAsia="仿宋_GB2312" w:cs="仿宋_GB2312"/>
          <w:sz w:val="32"/>
          <w:szCs w:val="32"/>
          <w:lang w:val="zh-CN" w:eastAsia="zh-CN"/>
        </w:rPr>
        <w:t>购置防雹弹，发放</w:t>
      </w:r>
      <w:r>
        <w:rPr>
          <w:rFonts w:hint="eastAsia" w:ascii="仿宋_GB2312" w:hAnsi="仿宋_GB2312" w:eastAsia="仿宋_GB2312" w:cs="仿宋_GB2312"/>
          <w:sz w:val="32"/>
          <w:szCs w:val="32"/>
          <w:lang w:val="en-US" w:eastAsia="zh-CN"/>
        </w:rPr>
        <w:t>防雹人员工资，维护人蓄饮水及灌溉沟渠等有利于我镇各村农业发展，为各村果蔬的种植提供了有力的保障。</w:t>
      </w:r>
    </w:p>
    <w:p>
      <w:pPr>
        <w:keepNext w:val="0"/>
        <w:keepLines w:val="0"/>
        <w:pageBreakBefore w:val="0"/>
        <w:kinsoku/>
        <w:wordWrap/>
        <w:overflowPunct/>
        <w:topLinePunct w:val="0"/>
        <w:autoSpaceDE/>
        <w:autoSpaceDN/>
        <w:bidi w:val="0"/>
        <w:spacing w:line="576" w:lineRule="exact"/>
        <w:ind w:firstLine="640"/>
        <w:jc w:val="left"/>
        <w:textAlignment w:val="auto"/>
        <w:rPr>
          <w:rFonts w:eastAsia="楷体_GB2312"/>
          <w:b/>
          <w:bCs/>
          <w:color w:val="000000"/>
          <w:kern w:val="0"/>
          <w:sz w:val="32"/>
          <w:szCs w:val="32"/>
          <w:shd w:val="clear" w:color="auto" w:fill="FFFFFF"/>
          <w:lang w:val="zh-CN"/>
        </w:rPr>
      </w:pPr>
      <w:r>
        <w:rPr>
          <w:rFonts w:eastAsia="楷体_GB2312"/>
          <w:b/>
          <w:sz w:val="32"/>
          <w:szCs w:val="32"/>
          <w:lang w:val="zh-CN"/>
        </w:rPr>
        <w:t>（三）</w:t>
      </w:r>
      <w:r>
        <w:rPr>
          <w:rFonts w:eastAsia="楷体_GB2312"/>
          <w:b/>
          <w:sz w:val="32"/>
          <w:szCs w:val="32"/>
        </w:rPr>
        <w:t>个性指标</w:t>
      </w:r>
      <w:r>
        <w:rPr>
          <w:rFonts w:eastAsia="楷体_GB2312"/>
          <w:b/>
          <w:bCs/>
          <w:color w:val="000000"/>
          <w:kern w:val="0"/>
          <w:sz w:val="32"/>
          <w:szCs w:val="32"/>
          <w:shd w:val="clear" w:color="auto" w:fill="FFFFFF"/>
          <w:lang w:val="zh-CN"/>
        </w:rPr>
        <w:t>绩效分析</w:t>
      </w:r>
    </w:p>
    <w:p>
      <w:pPr>
        <w:keepNext w:val="0"/>
        <w:keepLines w:val="0"/>
        <w:pageBreakBefore w:val="0"/>
        <w:kinsoku/>
        <w:wordWrap/>
        <w:overflowPunct/>
        <w:topLinePunct w:val="0"/>
        <w:autoSpaceDE/>
        <w:autoSpaceDN/>
        <w:bidi w:val="0"/>
        <w:spacing w:line="576" w:lineRule="exact"/>
        <w:ind w:firstLine="640"/>
        <w:jc w:val="left"/>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sz w:val="32"/>
          <w:szCs w:val="32"/>
          <w:lang w:val="zh-CN" w:eastAsia="zh-CN"/>
        </w:rPr>
        <w:t>基础设施。</w:t>
      </w:r>
      <w:r>
        <w:rPr>
          <w:rFonts w:hint="eastAsia" w:ascii="仿宋_GB2312" w:hAnsi="仿宋_GB2312" w:eastAsia="仿宋_GB2312" w:cs="仿宋_GB2312"/>
          <w:sz w:val="32"/>
          <w:szCs w:val="32"/>
          <w:lang w:val="zh-CN" w:eastAsia="zh-CN"/>
        </w:rPr>
        <w:t>购置防雹弹及环境卫生整治、地质灾害应急处置、</w:t>
      </w:r>
      <w:r>
        <w:rPr>
          <w:rFonts w:hint="eastAsia" w:ascii="仿宋_GB2312" w:hAnsi="仿宋_GB2312" w:eastAsia="仿宋_GB2312" w:cs="仿宋_GB2312"/>
          <w:sz w:val="32"/>
          <w:szCs w:val="32"/>
          <w:lang w:val="en-US" w:eastAsia="zh-CN"/>
        </w:rPr>
        <w:t>人畜饮水维护等项目的实施，保障了各村基础设施的完善，保障了人民群众的生产生活条件，满足了人民群众的需求。</w:t>
      </w:r>
    </w:p>
    <w:p>
      <w:pPr>
        <w:pStyle w:val="6"/>
        <w:keepNext w:val="0"/>
        <w:keepLines w:val="0"/>
        <w:pageBreakBefore w:val="0"/>
        <w:tabs>
          <w:tab w:val="left" w:pos="2160"/>
        </w:tabs>
        <w:kinsoku/>
        <w:wordWrap/>
        <w:overflowPunct/>
        <w:topLinePunct w:val="0"/>
        <w:autoSpaceDE/>
        <w:autoSpaceDN/>
        <w:bidi w:val="0"/>
        <w:spacing w:line="576" w:lineRule="exact"/>
        <w:ind w:firstLine="640" w:firstLineChars="200"/>
        <w:jc w:val="left"/>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四、评价结论</w:t>
      </w:r>
    </w:p>
    <w:p>
      <w:pPr>
        <w:keepNext w:val="0"/>
        <w:keepLines w:val="0"/>
        <w:pageBreakBefore w:val="0"/>
        <w:kinsoku/>
        <w:wordWrap/>
        <w:overflowPunct/>
        <w:topLinePunct w:val="0"/>
        <w:autoSpaceDE/>
        <w:autoSpaceDN/>
        <w:bidi w:val="0"/>
        <w:spacing w:line="576" w:lineRule="exact"/>
        <w:ind w:firstLine="640"/>
        <w:jc w:val="left"/>
        <w:textAlignment w:val="auto"/>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zh-CN" w:eastAsia="zh-CN"/>
        </w:rPr>
        <w:t>项目管理做到了管理规范，操作阳光透明，运行有序高效，态度优质，群众满意度高。在项目管理上，通过逐步规范申报审批支付程序，确保了资金高效运转。在资金管理上，严格按照财务制度，确保了资金及时到位和使用。</w:t>
      </w:r>
    </w:p>
    <w:p>
      <w:pPr>
        <w:pStyle w:val="6"/>
        <w:keepNext w:val="0"/>
        <w:keepLines w:val="0"/>
        <w:pageBreakBefore w:val="0"/>
        <w:tabs>
          <w:tab w:val="left" w:pos="2160"/>
        </w:tabs>
        <w:kinsoku/>
        <w:wordWrap/>
        <w:overflowPunct/>
        <w:topLinePunct w:val="0"/>
        <w:autoSpaceDE/>
        <w:autoSpaceDN/>
        <w:bidi w:val="0"/>
        <w:spacing w:line="576" w:lineRule="exact"/>
        <w:ind w:firstLine="640" w:firstLineChars="200"/>
        <w:jc w:val="left"/>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五、存在主要问题</w:t>
      </w:r>
    </w:p>
    <w:p>
      <w:pPr>
        <w:keepNext w:val="0"/>
        <w:keepLines w:val="0"/>
        <w:pageBreakBefore w:val="0"/>
        <w:widowControl w:val="0"/>
        <w:kinsoku/>
        <w:wordWrap/>
        <w:overflowPunct/>
        <w:topLinePunct w:val="0"/>
        <w:autoSpaceDE/>
        <w:autoSpaceDN/>
        <w:bidi w:val="0"/>
        <w:spacing w:line="576" w:lineRule="exact"/>
        <w:ind w:firstLine="64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专项预算项目绩效自评未发现问题。</w:t>
      </w:r>
    </w:p>
    <w:p>
      <w:pPr>
        <w:pStyle w:val="6"/>
        <w:keepNext w:val="0"/>
        <w:keepLines w:val="0"/>
        <w:pageBreakBefore w:val="0"/>
        <w:tabs>
          <w:tab w:val="left" w:pos="2160"/>
        </w:tabs>
        <w:kinsoku/>
        <w:wordWrap/>
        <w:overflowPunct/>
        <w:topLinePunct w:val="0"/>
        <w:autoSpaceDE/>
        <w:autoSpaceDN/>
        <w:bidi w:val="0"/>
        <w:spacing w:line="576" w:lineRule="exact"/>
        <w:ind w:firstLine="640" w:firstLineChars="200"/>
        <w:jc w:val="left"/>
        <w:textAlignment w:val="auto"/>
        <w:rPr>
          <w:rFonts w:hint="eastAsia" w:ascii="黑体" w:hAnsi="黑体" w:eastAsia="黑体" w:cs="黑体"/>
          <w:sz w:val="32"/>
          <w:szCs w:val="32"/>
          <w:lang w:val="zh-CN" w:eastAsia="zh-CN"/>
        </w:rPr>
      </w:pPr>
      <w:r>
        <w:rPr>
          <w:rFonts w:hint="eastAsia" w:ascii="黑体" w:hAnsi="黑体" w:eastAsia="黑体" w:cs="黑体"/>
          <w:sz w:val="32"/>
          <w:szCs w:val="32"/>
          <w:lang w:val="zh-CN" w:eastAsia="zh-CN"/>
        </w:rPr>
        <w:t>六、改进建议</w:t>
      </w:r>
    </w:p>
    <w:p>
      <w:pPr>
        <w:keepNext w:val="0"/>
        <w:keepLines w:val="0"/>
        <w:pageBreakBefore w:val="0"/>
        <w:widowControl w:val="0"/>
        <w:kinsoku/>
        <w:wordWrap/>
        <w:overflowPunct/>
        <w:topLinePunct w:val="0"/>
        <w:autoSpaceDE/>
        <w:autoSpaceDN/>
        <w:bidi w:val="0"/>
        <w:spacing w:line="576" w:lineRule="exact"/>
        <w:ind w:firstLine="64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无专项预算项目在预算安排、完善政策、改进管理等方面的措施建议。</w:t>
      </w:r>
    </w:p>
    <w:p>
      <w:pPr>
        <w:keepNext w:val="0"/>
        <w:keepLines w:val="0"/>
        <w:pageBreakBefore w:val="0"/>
        <w:tabs>
          <w:tab w:val="left" w:pos="1911"/>
        </w:tabs>
        <w:kinsoku/>
        <w:wordWrap/>
        <w:overflowPunct/>
        <w:topLinePunct w:val="0"/>
        <w:autoSpaceDE/>
        <w:autoSpaceDN/>
        <w:bidi w:val="0"/>
        <w:spacing w:line="576" w:lineRule="exact"/>
        <w:jc w:val="left"/>
        <w:textAlignment w:val="auto"/>
        <w:rPr>
          <w:rFonts w:hint="eastAsia" w:ascii="仿宋_GB2312" w:hAnsi="仿宋_GB2312" w:eastAsia="仿宋_GB2312" w:cs="仿宋_GB2312"/>
          <w:sz w:val="32"/>
          <w:szCs w:val="32"/>
          <w:lang w:val="en" w:eastAsia="zh-CN"/>
        </w:rPr>
      </w:pPr>
    </w:p>
    <w:p>
      <w:pPr>
        <w:pStyle w:val="36"/>
        <w:pageBreakBefore w:val="0"/>
        <w:kinsoku/>
        <w:wordWrap/>
        <w:overflowPunct/>
        <w:topLinePunct w:val="0"/>
        <w:bidi w:val="0"/>
        <w:spacing w:line="576" w:lineRule="exact"/>
        <w:jc w:val="center"/>
        <w:rPr>
          <w:rFonts w:hint="eastAsia" w:ascii="方正小标宋简体" w:hAnsi="宋体" w:eastAsia="方正小标宋简体"/>
          <w:sz w:val="44"/>
          <w:szCs w:val="44"/>
          <w:lang w:val="en-US" w:eastAsia="zh-CN"/>
        </w:rPr>
      </w:pPr>
    </w:p>
    <w:p>
      <w:pPr>
        <w:pStyle w:val="36"/>
        <w:pageBreakBefore w:val="0"/>
        <w:kinsoku/>
        <w:wordWrap/>
        <w:overflowPunct/>
        <w:topLinePunct w:val="0"/>
        <w:bidi w:val="0"/>
        <w:spacing w:line="576" w:lineRule="exact"/>
        <w:jc w:val="center"/>
        <w:rPr>
          <w:rFonts w:hint="eastAsia" w:ascii="方正小标宋简体" w:hAnsi="宋体" w:eastAsia="方正小标宋简体"/>
          <w:sz w:val="44"/>
          <w:szCs w:val="44"/>
          <w:lang w:val="en-US" w:eastAsia="zh-CN"/>
        </w:rPr>
      </w:pPr>
    </w:p>
    <w:p>
      <w:pPr>
        <w:pStyle w:val="36"/>
        <w:pageBreakBefore w:val="0"/>
        <w:kinsoku/>
        <w:wordWrap/>
        <w:overflowPunct/>
        <w:topLinePunct w:val="0"/>
        <w:bidi w:val="0"/>
        <w:spacing w:line="576" w:lineRule="exact"/>
        <w:jc w:val="both"/>
        <w:rPr>
          <w:rFonts w:hint="eastAsia" w:ascii="方正小标宋简体" w:hAnsi="宋体" w:eastAsia="方正小标宋简体"/>
          <w:sz w:val="44"/>
          <w:szCs w:val="44"/>
          <w:lang w:val="en-US" w:eastAsia="zh-CN"/>
        </w:rPr>
      </w:pPr>
    </w:p>
    <w:p>
      <w:pPr>
        <w:pStyle w:val="36"/>
        <w:pageBreakBefore w:val="0"/>
        <w:kinsoku/>
        <w:wordWrap/>
        <w:overflowPunct/>
        <w:topLinePunct w:val="0"/>
        <w:bidi w:val="0"/>
        <w:spacing w:line="576" w:lineRule="exact"/>
        <w:jc w:val="center"/>
        <w:rPr>
          <w:rFonts w:hint="eastAsia" w:ascii="方正小标宋简体" w:hAnsi="宋体" w:eastAsia="方正小标宋简体"/>
          <w:sz w:val="44"/>
          <w:szCs w:val="44"/>
          <w:lang w:val="en-US" w:eastAsia="zh-CN"/>
        </w:rPr>
      </w:pPr>
      <w:r>
        <w:rPr>
          <w:rFonts w:hint="eastAsia" w:ascii="方正小标宋简体" w:hAnsi="宋体" w:eastAsia="方正小标宋简体"/>
          <w:sz w:val="44"/>
          <w:szCs w:val="44"/>
          <w:lang w:val="en-US" w:eastAsia="zh-CN"/>
        </w:rPr>
        <w:t>叠溪镇蚕丛村美丽乡村建设项目</w:t>
      </w:r>
    </w:p>
    <w:p>
      <w:pPr>
        <w:pStyle w:val="36"/>
        <w:pageBreakBefore w:val="0"/>
        <w:kinsoku/>
        <w:wordWrap/>
        <w:overflowPunct/>
        <w:topLinePunct w:val="0"/>
        <w:bidi w:val="0"/>
        <w:spacing w:line="576" w:lineRule="exact"/>
        <w:jc w:val="center"/>
        <w:rPr>
          <w:rFonts w:ascii="Times New Roman" w:hAnsi="Times New Roman" w:eastAsia="方正小标宋简体"/>
          <w:color w:val="auto"/>
          <w:kern w:val="2"/>
          <w:sz w:val="44"/>
          <w:szCs w:val="44"/>
          <w:lang w:val="en-US"/>
        </w:rPr>
      </w:pPr>
      <w:r>
        <w:rPr>
          <w:rFonts w:ascii="Times New Roman" w:hAnsi="Times New Roman" w:eastAsia="方正小标宋简体"/>
          <w:color w:val="auto"/>
          <w:kern w:val="2"/>
          <w:sz w:val="44"/>
          <w:szCs w:val="44"/>
          <w:lang w:val="en-US"/>
        </w:rPr>
        <w:t>预算绩效自评报告</w:t>
      </w:r>
    </w:p>
    <w:p>
      <w:pPr>
        <w:pStyle w:val="36"/>
        <w:pageBreakBefore w:val="0"/>
        <w:kinsoku/>
        <w:wordWrap/>
        <w:overflowPunct/>
        <w:topLinePunct w:val="0"/>
        <w:bidi w:val="0"/>
        <w:spacing w:line="576" w:lineRule="exact"/>
        <w:ind w:firstLine="640"/>
        <w:jc w:val="center"/>
        <w:rPr>
          <w:rFonts w:ascii="Times New Roman" w:hAnsi="Times New Roman"/>
          <w:color w:val="auto"/>
          <w:kern w:val="2"/>
          <w:sz w:val="32"/>
          <w:szCs w:val="32"/>
        </w:rPr>
      </w:pPr>
    </w:p>
    <w:p>
      <w:pPr>
        <w:pageBreakBefore w:val="0"/>
        <w:kinsoku/>
        <w:wordWrap/>
        <w:overflowPunct/>
        <w:topLinePunct w:val="0"/>
        <w:bidi w:val="0"/>
        <w:adjustRightInd w:val="0"/>
        <w:snapToGrid w:val="0"/>
        <w:spacing w:line="576" w:lineRule="exact"/>
        <w:ind w:firstLine="640" w:firstLineChars="200"/>
        <w:rPr>
          <w:rFonts w:eastAsia="黑体"/>
          <w:sz w:val="32"/>
          <w:szCs w:val="32"/>
          <w:lang w:val="zh-CN"/>
        </w:rPr>
      </w:pPr>
      <w:r>
        <w:rPr>
          <w:rFonts w:eastAsia="黑体"/>
          <w:sz w:val="32"/>
          <w:szCs w:val="32"/>
        </w:rPr>
        <w:t>一、</w:t>
      </w:r>
      <w:r>
        <w:rPr>
          <w:rFonts w:eastAsia="黑体"/>
          <w:sz w:val="32"/>
          <w:szCs w:val="32"/>
          <w:lang w:val="zh-CN"/>
        </w:rPr>
        <w:t>项目概况</w:t>
      </w:r>
    </w:p>
    <w:p>
      <w:pPr>
        <w:keepNext w:val="0"/>
        <w:keepLines w:val="0"/>
        <w:pageBreakBefore w:val="0"/>
        <w:kinsoku/>
        <w:wordWrap/>
        <w:overflowPunct/>
        <w:topLinePunct w:val="0"/>
        <w:bidi w:val="0"/>
        <w:adjustRightInd w:val="0"/>
        <w:snapToGrid w:val="0"/>
        <w:spacing w:line="576" w:lineRule="exact"/>
        <w:ind w:firstLine="720"/>
        <w:jc w:val="left"/>
        <w:textAlignment w:val="auto"/>
        <w:rPr>
          <w:rFonts w:hint="eastAsia" w:ascii="楷体_GB2312" w:hAnsi="宋体" w:eastAsia="楷体_GB2312"/>
          <w:b/>
          <w:sz w:val="32"/>
          <w:szCs w:val="32"/>
          <w:lang w:val="zh-CN"/>
        </w:rPr>
      </w:pPr>
      <w:r>
        <w:rPr>
          <w:rFonts w:hint="eastAsia" w:ascii="楷体_GB2312" w:hAnsi="宋体" w:eastAsia="楷体_GB2312"/>
          <w:b/>
          <w:sz w:val="32"/>
          <w:szCs w:val="32"/>
          <w:lang w:val="zh-CN"/>
        </w:rPr>
        <w:t>（一）设立背景及基本情况</w:t>
      </w:r>
    </w:p>
    <w:p>
      <w:pPr>
        <w:pageBreakBefore w:val="0"/>
        <w:kinsoku/>
        <w:wordWrap/>
        <w:overflowPunct/>
        <w:topLinePunct w:val="0"/>
        <w:autoSpaceDN w:val="0"/>
        <w:bidi w:val="0"/>
        <w:spacing w:line="57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w:t>
      </w:r>
      <w:r>
        <w:rPr>
          <w:rFonts w:hint="eastAsia" w:ascii="仿宋_GB2312" w:hAnsi="仿宋_GB2312" w:eastAsia="仿宋_GB2312" w:cs="仿宋_GB2312"/>
          <w:sz w:val="32"/>
          <w:szCs w:val="32"/>
          <w:lang w:eastAsia="zh-CN"/>
        </w:rPr>
        <w:t>《财政部关于进一步做好美丽乡村建设工作的通知》（财农〔2016〕107号）、《四川省财政厅关于下达2023年农村综合改革转移支付预算的通知》（川财农〔2023〕91号）、</w:t>
      </w:r>
      <w:r>
        <w:rPr>
          <w:rFonts w:hint="eastAsia" w:ascii="仿宋_GB2312" w:hAnsi="仿宋_GB2312" w:eastAsia="仿宋_GB2312" w:cs="仿宋_GB2312"/>
          <w:sz w:val="32"/>
          <w:szCs w:val="32"/>
        </w:rPr>
        <w:t>《四川省农村综合改革转移支付管理办法》(川财农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2021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50号)有关规定和要求，切实加强资金管理和监督，加快预算执行进度，提高资金使用效益，加强全过程绩效管理，确保年度绩效目标如期实现。</w:t>
      </w:r>
    </w:p>
    <w:p>
      <w:pPr>
        <w:keepNext w:val="0"/>
        <w:keepLines w:val="0"/>
        <w:pageBreakBefore w:val="0"/>
        <w:numPr>
          <w:ilvl w:val="0"/>
          <w:numId w:val="0"/>
        </w:numPr>
        <w:kinsoku/>
        <w:wordWrap/>
        <w:overflowPunct/>
        <w:topLinePunct w:val="0"/>
        <w:bidi w:val="0"/>
        <w:adjustRightInd w:val="0"/>
        <w:snapToGrid w:val="0"/>
        <w:spacing w:line="576" w:lineRule="exact"/>
        <w:ind w:firstLine="642" w:firstLineChars="200"/>
        <w:jc w:val="left"/>
        <w:textAlignment w:val="auto"/>
        <w:rPr>
          <w:rFonts w:ascii="楷体_GB2312" w:hAnsi="宋体" w:eastAsia="楷体_GB2312"/>
          <w:b/>
          <w:sz w:val="32"/>
          <w:szCs w:val="32"/>
        </w:rPr>
      </w:pPr>
      <w:r>
        <w:rPr>
          <w:rFonts w:hint="eastAsia" w:ascii="楷体_GB2312" w:hAnsi="宋体" w:eastAsia="楷体_GB2312" w:cs="Times New Roman"/>
          <w:b/>
          <w:kern w:val="2"/>
          <w:sz w:val="32"/>
          <w:szCs w:val="32"/>
          <w:lang w:val="en-US" w:eastAsia="zh-CN" w:bidi="ar-SA"/>
        </w:rPr>
        <w:t>（二）</w:t>
      </w:r>
      <w:r>
        <w:rPr>
          <w:rFonts w:ascii="楷体_GB2312" w:hAnsi="宋体" w:eastAsia="楷体_GB2312"/>
          <w:b/>
          <w:sz w:val="32"/>
          <w:szCs w:val="32"/>
        </w:rPr>
        <w:t>实施目的及支持方向</w:t>
      </w:r>
    </w:p>
    <w:p>
      <w:pPr>
        <w:pageBreakBefore w:val="0"/>
        <w:kinsoku/>
        <w:wordWrap/>
        <w:overflowPunct/>
        <w:topLinePunct w:val="0"/>
        <w:autoSpaceDN w:val="0"/>
        <w:bidi w:val="0"/>
        <w:spacing w:line="57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突出</w:t>
      </w:r>
      <w:r>
        <w:rPr>
          <w:rFonts w:hint="eastAsia" w:ascii="仿宋_GB2312" w:hAnsi="仿宋_GB2312" w:eastAsia="仿宋_GB2312" w:cs="仿宋_GB2312"/>
          <w:sz w:val="32"/>
          <w:szCs w:val="32"/>
          <w:lang w:eastAsia="zh-CN"/>
        </w:rPr>
        <w:t>农村综合改革转移支付</w:t>
      </w:r>
      <w:r>
        <w:rPr>
          <w:rFonts w:hint="eastAsia" w:ascii="仿宋_GB2312" w:hAnsi="仿宋_GB2312" w:eastAsia="仿宋_GB2312" w:cs="仿宋_GB2312"/>
          <w:sz w:val="32"/>
          <w:szCs w:val="32"/>
        </w:rPr>
        <w:t>资金支持重点，优先支持联农带农富农产业发展，巩固拓展脱贫攻坚成果，增强脱贫地区和脱贫群众内生发展动力。</w:t>
      </w:r>
    </w:p>
    <w:p>
      <w:pPr>
        <w:keepNext w:val="0"/>
        <w:keepLines w:val="0"/>
        <w:pageBreakBefore w:val="0"/>
        <w:numPr>
          <w:ilvl w:val="0"/>
          <w:numId w:val="0"/>
        </w:numPr>
        <w:kinsoku/>
        <w:wordWrap/>
        <w:overflowPunct/>
        <w:topLinePunct w:val="0"/>
        <w:bidi w:val="0"/>
        <w:adjustRightInd w:val="0"/>
        <w:snapToGrid w:val="0"/>
        <w:spacing w:line="576" w:lineRule="exact"/>
        <w:ind w:left="0" w:leftChars="0" w:firstLine="642" w:firstLineChars="200"/>
        <w:jc w:val="left"/>
        <w:textAlignment w:val="auto"/>
        <w:rPr>
          <w:rFonts w:hint="eastAsia" w:ascii="楷体_GB2312" w:hAnsi="宋体" w:eastAsia="楷体_GB2312"/>
          <w:b/>
          <w:sz w:val="32"/>
          <w:szCs w:val="32"/>
          <w:lang w:val="zh-CN"/>
        </w:rPr>
      </w:pPr>
      <w:r>
        <w:rPr>
          <w:rFonts w:hint="eastAsia" w:ascii="楷体_GB2312" w:hAnsi="宋体" w:eastAsia="楷体_GB2312" w:cs="Times New Roman"/>
          <w:b/>
          <w:kern w:val="2"/>
          <w:sz w:val="32"/>
          <w:szCs w:val="32"/>
          <w:lang w:val="zh-CN" w:eastAsia="zh-CN" w:bidi="ar-SA"/>
        </w:rPr>
        <w:t>（三）</w:t>
      </w:r>
      <w:r>
        <w:rPr>
          <w:rFonts w:ascii="楷体_GB2312" w:hAnsi="宋体" w:eastAsia="楷体_GB2312"/>
          <w:b/>
          <w:sz w:val="32"/>
          <w:szCs w:val="32"/>
        </w:rPr>
        <w:t>预算安排及分配管理</w:t>
      </w:r>
    </w:p>
    <w:p>
      <w:pPr>
        <w:pageBreakBefore w:val="0"/>
        <w:kinsoku/>
        <w:wordWrap/>
        <w:overflowPunct/>
        <w:topLinePunct w:val="0"/>
        <w:autoSpaceDN w:val="0"/>
        <w:bidi w:val="0"/>
        <w:spacing w:line="57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zh-CN"/>
        </w:rPr>
        <w:t>叠溪镇蚕丛村美丽乡村建设项目</w:t>
      </w:r>
      <w:r>
        <w:rPr>
          <w:rFonts w:hint="eastAsia" w:ascii="仿宋_GB2312" w:hAnsi="仿宋_GB2312" w:eastAsia="仿宋_GB2312" w:cs="仿宋_GB2312"/>
          <w:sz w:val="32"/>
          <w:szCs w:val="32"/>
        </w:rPr>
        <w:t>资金申报</w:t>
      </w:r>
      <w:r>
        <w:rPr>
          <w:rFonts w:hint="eastAsia" w:ascii="仿宋_GB2312" w:hAnsi="仿宋_GB2312" w:eastAsia="仿宋_GB2312" w:cs="仿宋_GB2312"/>
          <w:sz w:val="32"/>
          <w:szCs w:val="32"/>
          <w:lang w:val="en-US" w:eastAsia="zh-CN"/>
        </w:rPr>
        <w:t>229.19</w:t>
      </w:r>
      <w:r>
        <w:rPr>
          <w:rFonts w:hint="eastAsia" w:ascii="仿宋_GB2312" w:hAnsi="仿宋_GB2312" w:eastAsia="仿宋_GB2312" w:cs="仿宋_GB2312"/>
          <w:sz w:val="32"/>
          <w:szCs w:val="32"/>
        </w:rPr>
        <w:t>万元，批复</w:t>
      </w:r>
      <w:r>
        <w:rPr>
          <w:rFonts w:hint="eastAsia" w:ascii="仿宋_GB2312" w:hAnsi="仿宋_GB2312" w:eastAsia="仿宋_GB2312" w:cs="仿宋_GB2312"/>
          <w:sz w:val="32"/>
          <w:szCs w:val="32"/>
          <w:lang w:val="en-US" w:eastAsia="zh-CN"/>
        </w:rPr>
        <w:t>229.19</w:t>
      </w:r>
      <w:r>
        <w:rPr>
          <w:rFonts w:hint="eastAsia" w:ascii="仿宋_GB2312" w:hAnsi="仿宋_GB2312" w:eastAsia="仿宋_GB2312" w:cs="仿宋_GB2312"/>
          <w:sz w:val="32"/>
          <w:szCs w:val="32"/>
        </w:rPr>
        <w:t>万元，申报与批复资金一致。</w:t>
      </w:r>
    </w:p>
    <w:p>
      <w:pPr>
        <w:keepNext w:val="0"/>
        <w:keepLines w:val="0"/>
        <w:pageBreakBefore w:val="0"/>
        <w:numPr>
          <w:ilvl w:val="0"/>
          <w:numId w:val="0"/>
        </w:numPr>
        <w:kinsoku/>
        <w:wordWrap/>
        <w:overflowPunct/>
        <w:topLinePunct w:val="0"/>
        <w:bidi w:val="0"/>
        <w:adjustRightInd w:val="0"/>
        <w:snapToGrid w:val="0"/>
        <w:spacing w:line="576" w:lineRule="exact"/>
        <w:ind w:left="0" w:leftChars="0" w:firstLine="642" w:firstLineChars="200"/>
        <w:jc w:val="left"/>
        <w:textAlignment w:val="auto"/>
        <w:rPr>
          <w:rFonts w:hint="eastAsia" w:ascii="楷体_GB2312" w:hAnsi="宋体" w:eastAsia="楷体_GB2312"/>
          <w:b/>
          <w:sz w:val="32"/>
          <w:szCs w:val="32"/>
          <w:lang w:val="zh-CN"/>
        </w:rPr>
      </w:pPr>
      <w:r>
        <w:rPr>
          <w:rFonts w:hint="eastAsia" w:ascii="楷体_GB2312" w:hAnsi="宋体" w:eastAsia="楷体_GB2312" w:cs="Times New Roman"/>
          <w:b/>
          <w:kern w:val="2"/>
          <w:sz w:val="32"/>
          <w:szCs w:val="32"/>
          <w:lang w:val="zh-CN" w:eastAsia="zh-CN" w:bidi="ar-SA"/>
        </w:rPr>
        <w:t>（四）</w:t>
      </w:r>
      <w:r>
        <w:rPr>
          <w:rFonts w:hint="eastAsia" w:ascii="楷体_GB2312" w:hAnsi="宋体" w:eastAsia="楷体_GB2312"/>
          <w:b/>
          <w:sz w:val="32"/>
          <w:szCs w:val="32"/>
          <w:lang w:val="zh-CN"/>
        </w:rPr>
        <w:t>项目绩效目标设置</w:t>
      </w:r>
    </w:p>
    <w:p>
      <w:pPr>
        <w:pageBreakBefore w:val="0"/>
        <w:kinsoku/>
        <w:wordWrap/>
        <w:overflowPunct/>
        <w:topLinePunct w:val="0"/>
        <w:autoSpaceDN w:val="0"/>
        <w:bidi w:val="0"/>
        <w:spacing w:line="576" w:lineRule="exact"/>
        <w:ind w:firstLine="640" w:firstLineChars="20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通过项目的实施，将改善当地基础设施条件，充分发挥资源、区位两大优势，变自然优势为经济优势，给村民带来更好的经济收益。保证项目绩效达到预期绩效目标。</w:t>
      </w:r>
    </w:p>
    <w:p>
      <w:pPr>
        <w:keepNext w:val="0"/>
        <w:keepLines w:val="0"/>
        <w:pageBreakBefore w:val="0"/>
        <w:kinsoku/>
        <w:wordWrap/>
        <w:overflowPunct/>
        <w:topLinePunct w:val="0"/>
        <w:bidi w:val="0"/>
        <w:adjustRightInd w:val="0"/>
        <w:snapToGrid w:val="0"/>
        <w:spacing w:line="576" w:lineRule="exact"/>
        <w:ind w:firstLine="640" w:firstLineChars="200"/>
        <w:jc w:val="left"/>
        <w:textAlignment w:val="auto"/>
        <w:rPr>
          <w:rFonts w:ascii="黑体" w:hAnsi="宋体" w:eastAsia="黑体"/>
          <w:sz w:val="32"/>
          <w:szCs w:val="32"/>
        </w:rPr>
      </w:pPr>
      <w:r>
        <w:rPr>
          <w:rFonts w:hint="eastAsia" w:ascii="黑体" w:hAnsi="宋体" w:eastAsia="黑体"/>
          <w:sz w:val="32"/>
          <w:szCs w:val="32"/>
        </w:rPr>
        <w:t>二、评价实施</w:t>
      </w:r>
    </w:p>
    <w:p>
      <w:pPr>
        <w:pageBreakBefore w:val="0"/>
        <w:kinsoku/>
        <w:wordWrap/>
        <w:overflowPunct/>
        <w:topLinePunct w:val="0"/>
        <w:autoSpaceDN w:val="0"/>
        <w:bidi w:val="0"/>
        <w:spacing w:line="576" w:lineRule="exact"/>
        <w:ind w:firstLine="642" w:firstLineChars="200"/>
        <w:rPr>
          <w:rFonts w:hint="eastAsia" w:ascii="仿宋_GB2312" w:hAnsi="仿宋_GB2312" w:eastAsia="仿宋_GB2312" w:cs="仿宋_GB2312"/>
          <w:sz w:val="32"/>
          <w:szCs w:val="32"/>
          <w:lang w:val="zh-CN"/>
        </w:rPr>
      </w:pPr>
      <w:r>
        <w:rPr>
          <w:rFonts w:hint="eastAsia" w:ascii="楷体_GB2312" w:hAnsi="宋体" w:eastAsia="楷体_GB2312"/>
          <w:b/>
          <w:sz w:val="32"/>
          <w:szCs w:val="32"/>
          <w:lang w:val="zh-CN"/>
        </w:rPr>
        <w:t>（一）评价目的。</w:t>
      </w:r>
      <w:r>
        <w:rPr>
          <w:rFonts w:hint="eastAsia" w:ascii="仿宋_GB2312" w:hAnsi="仿宋_GB2312" w:eastAsia="仿宋_GB2312" w:cs="仿宋_GB2312"/>
          <w:sz w:val="32"/>
          <w:szCs w:val="32"/>
          <w:lang w:val="zh-CN"/>
        </w:rPr>
        <w:t>通过这些项目的实施，补齐了农村产业道路</w:t>
      </w:r>
      <w:r>
        <w:rPr>
          <w:rFonts w:hint="eastAsia" w:ascii="仿宋_GB2312" w:hAnsi="仿宋_GB2312" w:eastAsia="仿宋_GB2312" w:cs="仿宋_GB2312"/>
          <w:sz w:val="32"/>
          <w:szCs w:val="32"/>
          <w:lang w:val="zh-CN" w:eastAsia="zh-CN"/>
        </w:rPr>
        <w:t>、人居环境</w:t>
      </w:r>
      <w:r>
        <w:rPr>
          <w:rFonts w:hint="eastAsia" w:ascii="仿宋_GB2312" w:hAnsi="仿宋_GB2312" w:eastAsia="仿宋_GB2312" w:cs="仿宋_GB2312"/>
          <w:sz w:val="32"/>
          <w:szCs w:val="32"/>
          <w:lang w:val="zh-CN"/>
        </w:rPr>
        <w:t>等基础设施短板，极大改善了高半山地区群众生产和出行条件，让高半山区农业产业结构调整、转型升级步伐加快，促进了</w:t>
      </w:r>
      <w:r>
        <w:rPr>
          <w:rFonts w:hint="eastAsia" w:ascii="仿宋_GB2312" w:hAnsi="仿宋_GB2312" w:eastAsia="仿宋_GB2312" w:cs="仿宋_GB2312"/>
          <w:sz w:val="32"/>
          <w:szCs w:val="32"/>
          <w:lang w:val="zh-CN" w:eastAsia="zh-CN"/>
        </w:rPr>
        <w:t>蚕丛村</w:t>
      </w:r>
      <w:r>
        <w:rPr>
          <w:rFonts w:hint="eastAsia" w:ascii="仿宋_GB2312" w:hAnsi="仿宋_GB2312" w:eastAsia="仿宋_GB2312" w:cs="仿宋_GB2312"/>
          <w:sz w:val="32"/>
          <w:szCs w:val="32"/>
          <w:lang w:val="zh-CN"/>
        </w:rPr>
        <w:t>产业发展和群众增收致富</w:t>
      </w:r>
      <w:r>
        <w:rPr>
          <w:rFonts w:hint="eastAsia" w:ascii="仿宋_GB2312" w:hAnsi="仿宋_GB2312" w:eastAsia="仿宋_GB2312" w:cs="仿宋_GB2312"/>
          <w:sz w:val="32"/>
          <w:szCs w:val="32"/>
          <w:lang w:val="zh-CN" w:eastAsia="zh-CN"/>
        </w:rPr>
        <w:t>，</w:t>
      </w:r>
      <w:r>
        <w:rPr>
          <w:rFonts w:hint="eastAsia" w:ascii="仿宋_GB2312" w:hAnsi="仿宋_GB2312" w:eastAsia="仿宋_GB2312" w:cs="仿宋_GB2312"/>
          <w:sz w:val="32"/>
          <w:szCs w:val="32"/>
          <w:lang w:val="zh-CN"/>
        </w:rPr>
        <w:t>解决了</w:t>
      </w:r>
      <w:r>
        <w:rPr>
          <w:rFonts w:hint="eastAsia" w:ascii="仿宋_GB2312" w:hAnsi="仿宋_GB2312" w:eastAsia="仿宋_GB2312" w:cs="仿宋_GB2312"/>
          <w:sz w:val="32"/>
          <w:szCs w:val="32"/>
          <w:lang w:val="zh-CN" w:eastAsia="zh-CN"/>
        </w:rPr>
        <w:t>蚕丛村</w:t>
      </w:r>
      <w:r>
        <w:rPr>
          <w:rFonts w:hint="eastAsia" w:ascii="仿宋_GB2312" w:hAnsi="仿宋_GB2312" w:eastAsia="仿宋_GB2312" w:cs="仿宋_GB2312"/>
          <w:sz w:val="32"/>
          <w:szCs w:val="32"/>
          <w:lang w:val="zh-CN"/>
        </w:rPr>
        <w:t>产业设施配套弱、基础设施差的短板。</w:t>
      </w:r>
    </w:p>
    <w:p>
      <w:pPr>
        <w:pageBreakBefore w:val="0"/>
        <w:pBdr>
          <w:bottom w:val="single" w:color="FFFFFF" w:sz="4" w:space="31"/>
        </w:pBdr>
        <w:tabs>
          <w:tab w:val="left" w:pos="0"/>
        </w:tabs>
        <w:kinsoku/>
        <w:wordWrap/>
        <w:overflowPunct/>
        <w:topLinePunct w:val="0"/>
        <w:bidi w:val="0"/>
        <w:spacing w:line="576" w:lineRule="exact"/>
        <w:ind w:firstLine="642" w:firstLineChars="200"/>
        <w:rPr>
          <w:bCs/>
          <w:color w:val="000000"/>
          <w:sz w:val="32"/>
          <w:szCs w:val="32"/>
        </w:rPr>
      </w:pPr>
      <w:r>
        <w:rPr>
          <w:rFonts w:hint="eastAsia" w:ascii="楷体_GB2312" w:hAnsi="宋体" w:eastAsia="楷体_GB2312"/>
          <w:b/>
          <w:sz w:val="32"/>
          <w:szCs w:val="32"/>
          <w:lang w:val="zh-CN"/>
        </w:rPr>
        <w:t>（二）预设问题及评价重点。</w:t>
      </w:r>
      <w:r>
        <w:rPr>
          <w:rFonts w:hint="eastAsia" w:ascii="仿宋_GB2312" w:hAnsi="仿宋_GB2312" w:eastAsia="仿宋_GB2312" w:cs="仿宋_GB2312"/>
          <w:sz w:val="32"/>
          <w:szCs w:val="32"/>
          <w:lang w:val="zh-CN"/>
        </w:rPr>
        <w:t>无。</w:t>
      </w:r>
    </w:p>
    <w:p>
      <w:pPr>
        <w:pageBreakBefore w:val="0"/>
        <w:pBdr>
          <w:bottom w:val="single" w:color="FFFFFF" w:sz="4" w:space="31"/>
        </w:pBdr>
        <w:tabs>
          <w:tab w:val="left" w:pos="0"/>
        </w:tabs>
        <w:kinsoku/>
        <w:wordWrap/>
        <w:overflowPunct/>
        <w:topLinePunct w:val="0"/>
        <w:bidi w:val="0"/>
        <w:spacing w:line="576" w:lineRule="exact"/>
        <w:ind w:firstLine="642" w:firstLineChars="200"/>
        <w:rPr>
          <w:rFonts w:hint="eastAsia" w:ascii="仿宋_GB2312" w:hAnsi="仿宋_GB2312" w:eastAsia="仿宋_GB2312" w:cs="仿宋_GB2312"/>
          <w:sz w:val="32"/>
          <w:szCs w:val="32"/>
          <w:lang w:val="zh-CN"/>
        </w:rPr>
      </w:pPr>
      <w:r>
        <w:rPr>
          <w:rFonts w:hint="eastAsia" w:ascii="楷体_GB2312" w:hAnsi="宋体" w:eastAsia="楷体_GB2312"/>
          <w:b/>
          <w:sz w:val="32"/>
          <w:szCs w:val="32"/>
          <w:lang w:val="zh-CN"/>
        </w:rPr>
        <w:t>（三）评价选点。</w:t>
      </w:r>
      <w:r>
        <w:rPr>
          <w:rFonts w:hint="eastAsia" w:ascii="仿宋_GB2312" w:hAnsi="仿宋_GB2312" w:eastAsia="仿宋_GB2312" w:cs="仿宋_GB2312"/>
          <w:sz w:val="32"/>
          <w:szCs w:val="32"/>
          <w:lang w:val="zh-CN"/>
        </w:rPr>
        <w:t>在202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val="zh-CN"/>
        </w:rPr>
        <w:t>年项目中抽取1个样点进行评价。</w:t>
      </w:r>
    </w:p>
    <w:p>
      <w:pPr>
        <w:pageBreakBefore w:val="0"/>
        <w:pBdr>
          <w:bottom w:val="single" w:color="FFFFFF" w:sz="4" w:space="31"/>
        </w:pBdr>
        <w:tabs>
          <w:tab w:val="left" w:pos="0"/>
        </w:tabs>
        <w:kinsoku/>
        <w:wordWrap/>
        <w:overflowPunct/>
        <w:topLinePunct w:val="0"/>
        <w:bidi w:val="0"/>
        <w:spacing w:line="576" w:lineRule="exact"/>
        <w:ind w:firstLine="642" w:firstLineChars="200"/>
        <w:rPr>
          <w:rFonts w:hint="eastAsia" w:ascii="仿宋_GB2312" w:hAnsi="仿宋_GB2312" w:eastAsia="仿宋_GB2312" w:cs="仿宋_GB2312"/>
          <w:sz w:val="32"/>
          <w:szCs w:val="32"/>
          <w:lang w:val="zh-CN"/>
        </w:rPr>
      </w:pPr>
      <w:r>
        <w:rPr>
          <w:rFonts w:hint="eastAsia" w:ascii="楷体_GB2312" w:hAnsi="宋体" w:eastAsia="楷体_GB2312"/>
          <w:b/>
          <w:sz w:val="32"/>
          <w:szCs w:val="32"/>
          <w:lang w:val="zh-CN"/>
        </w:rPr>
        <w:t>（四）评价方法。</w:t>
      </w:r>
      <w:r>
        <w:rPr>
          <w:rFonts w:hint="eastAsia" w:ascii="仿宋_GB2312" w:hAnsi="仿宋_GB2312" w:eastAsia="仿宋_GB2312" w:cs="仿宋_GB2312"/>
          <w:sz w:val="32"/>
          <w:szCs w:val="32"/>
          <w:lang w:val="zh-CN"/>
        </w:rPr>
        <w:t>采用单位自评法、实地勘察法等方法开展评价。</w:t>
      </w:r>
    </w:p>
    <w:p>
      <w:pPr>
        <w:pageBreakBefore w:val="0"/>
        <w:pBdr>
          <w:bottom w:val="single" w:color="FFFFFF" w:sz="4" w:space="31"/>
        </w:pBdr>
        <w:tabs>
          <w:tab w:val="left" w:pos="0"/>
        </w:tabs>
        <w:kinsoku/>
        <w:wordWrap/>
        <w:overflowPunct/>
        <w:topLinePunct w:val="0"/>
        <w:bidi w:val="0"/>
        <w:spacing w:line="576" w:lineRule="exact"/>
        <w:ind w:firstLine="642" w:firstLineChars="200"/>
        <w:rPr>
          <w:rFonts w:hint="eastAsia" w:ascii="仿宋_GB2312" w:hAnsi="仿宋_GB2312" w:eastAsia="仿宋_GB2312" w:cs="仿宋_GB2312"/>
          <w:sz w:val="32"/>
          <w:szCs w:val="32"/>
          <w:lang w:val="zh-CN"/>
        </w:rPr>
      </w:pPr>
      <w:r>
        <w:rPr>
          <w:rFonts w:hint="eastAsia" w:ascii="楷体_GB2312" w:hAnsi="宋体" w:eastAsia="楷体_GB2312"/>
          <w:b/>
          <w:sz w:val="32"/>
          <w:szCs w:val="32"/>
          <w:lang w:val="zh-CN"/>
        </w:rPr>
        <w:t>（五）评价组织。</w:t>
      </w:r>
      <w:r>
        <w:rPr>
          <w:rFonts w:hint="eastAsia" w:ascii="仿宋_GB2312" w:hAnsi="仿宋_GB2312" w:eastAsia="仿宋_GB2312" w:cs="仿宋_GB2312"/>
          <w:sz w:val="32"/>
          <w:szCs w:val="32"/>
          <w:lang w:val="zh-CN"/>
        </w:rPr>
        <w:t>采用自评与他评相结合的方式，结合评价内容，做到有计划，有安排，扎实开展本次自评工作。针对申报内容、实施情况、资金拨付、财务管理、社会效益等做出自我评价。</w:t>
      </w:r>
    </w:p>
    <w:p>
      <w:pPr>
        <w:pageBreakBefore w:val="0"/>
        <w:pBdr>
          <w:bottom w:val="single" w:color="FFFFFF" w:sz="4" w:space="31"/>
        </w:pBdr>
        <w:tabs>
          <w:tab w:val="left" w:pos="0"/>
        </w:tabs>
        <w:kinsoku/>
        <w:wordWrap/>
        <w:overflowPunct/>
        <w:topLinePunct w:val="0"/>
        <w:bidi w:val="0"/>
        <w:spacing w:line="576" w:lineRule="exact"/>
        <w:ind w:firstLine="640" w:firstLineChars="200"/>
        <w:rPr>
          <w:rFonts w:hint="eastAsia" w:ascii="楷体_GB2312" w:hAnsi="宋体" w:eastAsia="楷体_GB2312"/>
          <w:b/>
          <w:sz w:val="32"/>
          <w:szCs w:val="32"/>
          <w:lang w:val="zh-CN"/>
        </w:rPr>
      </w:pPr>
      <w:r>
        <w:rPr>
          <w:rFonts w:hint="eastAsia" w:ascii="黑体" w:hAnsi="黑体" w:eastAsia="黑体" w:cs="黑体"/>
          <w:b w:val="0"/>
          <w:bCs/>
          <w:sz w:val="32"/>
          <w:szCs w:val="32"/>
          <w:lang w:val="zh-CN"/>
        </w:rPr>
        <w:t>三、绩效分析</w:t>
      </w:r>
      <w:r>
        <w:rPr>
          <w:rFonts w:hint="eastAsia" w:ascii="楷体_GB2312" w:hAnsi="宋体" w:eastAsia="楷体_GB2312"/>
          <w:b/>
          <w:sz w:val="32"/>
          <w:szCs w:val="32"/>
          <w:lang w:val="zh-CN"/>
        </w:rPr>
        <w:tab/>
      </w:r>
    </w:p>
    <w:p>
      <w:pPr>
        <w:pageBreakBefore w:val="0"/>
        <w:pBdr>
          <w:bottom w:val="single" w:color="FFFFFF" w:sz="4" w:space="31"/>
        </w:pBdr>
        <w:tabs>
          <w:tab w:val="left" w:pos="0"/>
        </w:tabs>
        <w:kinsoku/>
        <w:wordWrap/>
        <w:overflowPunct/>
        <w:topLinePunct w:val="0"/>
        <w:bidi w:val="0"/>
        <w:spacing w:line="576" w:lineRule="exact"/>
        <w:ind w:firstLine="640" w:firstLineChars="200"/>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zh-CN" w:eastAsia="zh-CN"/>
        </w:rPr>
        <w:t>数量指标</w:t>
      </w:r>
      <w:r>
        <w:rPr>
          <w:rFonts w:hint="eastAsia" w:ascii="仿宋_GB2312" w:hAnsi="仿宋_GB2312" w:eastAsia="仿宋_GB2312" w:cs="仿宋_GB2312"/>
          <w:sz w:val="32"/>
          <w:szCs w:val="32"/>
          <w:lang w:val="en-US" w:eastAsia="zh-CN"/>
        </w:rPr>
        <w:t>是风貌改造120户，该指标权重为10；</w:t>
      </w:r>
      <w:r>
        <w:rPr>
          <w:rFonts w:hint="eastAsia" w:ascii="仿宋_GB2312" w:hAnsi="仿宋_GB2312" w:eastAsia="仿宋_GB2312" w:cs="仿宋_GB2312"/>
          <w:sz w:val="32"/>
          <w:szCs w:val="32"/>
          <w:lang w:val="zh-CN" w:eastAsia="zh-CN"/>
        </w:rPr>
        <w:t>数量指标</w:t>
      </w:r>
      <w:r>
        <w:rPr>
          <w:rFonts w:hint="eastAsia" w:ascii="仿宋_GB2312" w:hAnsi="仿宋_GB2312" w:eastAsia="仿宋_GB2312" w:cs="仿宋_GB2312"/>
          <w:sz w:val="32"/>
          <w:szCs w:val="32"/>
          <w:lang w:val="en-US" w:eastAsia="zh-CN"/>
        </w:rPr>
        <w:t>古蜀蚕丛文旅设施建设1项，该指标权重为10；</w:t>
      </w:r>
      <w:r>
        <w:rPr>
          <w:rFonts w:hint="eastAsia" w:ascii="仿宋_GB2312" w:hAnsi="仿宋_GB2312" w:eastAsia="仿宋_GB2312" w:cs="仿宋_GB2312"/>
          <w:sz w:val="32"/>
          <w:szCs w:val="32"/>
          <w:lang w:val="zh-CN" w:eastAsia="zh-CN"/>
        </w:rPr>
        <w:t>数量指标</w:t>
      </w:r>
      <w:r>
        <w:rPr>
          <w:rFonts w:hint="eastAsia" w:ascii="仿宋_GB2312" w:hAnsi="仿宋_GB2312" w:eastAsia="仿宋_GB2312" w:cs="仿宋_GB2312"/>
          <w:sz w:val="32"/>
          <w:szCs w:val="32"/>
          <w:lang w:val="en-US" w:eastAsia="zh-CN"/>
        </w:rPr>
        <w:t>是农旅发展配套设施建设1项，该指标权重为10；质量指标是验收合格率100%，该指标权重为10；时效指标完成及时率100%，该指标权重为10；经济效益指标为增加村民务工收入大于等于15.00万元，该指标权重为20；满意度指标为受益村民满意度95%，该指标权重为10；成本指标为投入资金229.19万</w:t>
      </w:r>
      <w:r>
        <w:rPr>
          <w:rFonts w:hint="eastAsia" w:ascii="仿宋_GB2312" w:hAnsi="仿宋_GB2312" w:eastAsia="仿宋_GB2312" w:cs="仿宋_GB2312"/>
          <w:sz w:val="32"/>
          <w:szCs w:val="32"/>
          <w:lang w:val="zh-CN" w:eastAsia="zh-CN"/>
        </w:rPr>
        <w:t>元</w:t>
      </w:r>
      <w:r>
        <w:rPr>
          <w:rFonts w:hint="eastAsia" w:ascii="仿宋_GB2312" w:hAnsi="仿宋_GB2312" w:eastAsia="仿宋_GB2312" w:cs="仿宋_GB2312"/>
          <w:sz w:val="32"/>
          <w:szCs w:val="32"/>
          <w:lang w:val="en-US" w:eastAsia="zh-CN"/>
        </w:rPr>
        <w:t>，该指标权重为10。</w:t>
      </w:r>
    </w:p>
    <w:p>
      <w:pPr>
        <w:pageBreakBefore w:val="0"/>
        <w:numPr>
          <w:ilvl w:val="0"/>
          <w:numId w:val="2"/>
        </w:numPr>
        <w:pBdr>
          <w:bottom w:val="single" w:color="FFFFFF" w:sz="4" w:space="31"/>
        </w:pBdr>
        <w:tabs>
          <w:tab w:val="left" w:pos="0"/>
        </w:tabs>
        <w:kinsoku/>
        <w:wordWrap/>
        <w:overflowPunct/>
        <w:topLinePunct w:val="0"/>
        <w:bidi w:val="0"/>
        <w:spacing w:line="576" w:lineRule="exact"/>
        <w:ind w:firstLine="642" w:firstLineChars="200"/>
        <w:rPr>
          <w:rFonts w:eastAsia="楷体_GB2312"/>
          <w:b/>
          <w:bCs/>
          <w:color w:val="000000"/>
          <w:kern w:val="0"/>
          <w:sz w:val="32"/>
          <w:szCs w:val="32"/>
          <w:shd w:val="clear" w:color="auto" w:fill="FFFFFF"/>
          <w:lang w:val="zh-CN"/>
        </w:rPr>
      </w:pPr>
      <w:r>
        <w:rPr>
          <w:rFonts w:hint="eastAsia" w:ascii="楷体_GB2312" w:hAnsi="宋体" w:eastAsia="楷体_GB2312"/>
          <w:b/>
          <w:sz w:val="32"/>
          <w:szCs w:val="32"/>
        </w:rPr>
        <w:t>通用指标</w:t>
      </w:r>
      <w:r>
        <w:rPr>
          <w:rFonts w:eastAsia="楷体_GB2312"/>
          <w:b/>
          <w:bCs/>
          <w:color w:val="000000"/>
          <w:kern w:val="0"/>
          <w:sz w:val="32"/>
          <w:szCs w:val="32"/>
          <w:shd w:val="clear" w:color="auto" w:fill="FFFFFF"/>
          <w:lang w:val="zh-CN"/>
        </w:rPr>
        <w:t>绩效分析</w:t>
      </w:r>
    </w:p>
    <w:p>
      <w:pPr>
        <w:pageBreakBefore w:val="0"/>
        <w:pBdr>
          <w:bottom w:val="single" w:color="FFFFFF" w:sz="4" w:space="31"/>
        </w:pBdr>
        <w:tabs>
          <w:tab w:val="left" w:pos="0"/>
        </w:tabs>
        <w:kinsoku/>
        <w:wordWrap/>
        <w:overflowPunct/>
        <w:topLinePunct w:val="0"/>
        <w:bidi w:val="0"/>
        <w:spacing w:line="576" w:lineRule="exact"/>
        <w:ind w:firstLine="640" w:firstLineChars="200"/>
        <w:rPr>
          <w:rFonts w:hint="eastAsia" w:ascii="仿宋_GB2312" w:hAnsi="仿宋_GB2312" w:eastAsia="仿宋_GB2312" w:cs="仿宋_GB2312"/>
          <w:sz w:val="32"/>
          <w:szCs w:val="32"/>
          <w:lang w:val="zh-CN" w:eastAsia="zh-CN"/>
        </w:rPr>
      </w:pPr>
      <w:r>
        <w:rPr>
          <w:rFonts w:hint="eastAsia" w:ascii="楷体_GB2312" w:hAnsi="楷体_GB2312" w:eastAsia="楷体_GB2312" w:cs="楷体_GB2312"/>
          <w:sz w:val="32"/>
          <w:szCs w:val="32"/>
          <w:lang w:val="zh-CN" w:eastAsia="zh-CN"/>
        </w:rPr>
        <w:t>1.项目决策。</w:t>
      </w:r>
      <w:r>
        <w:rPr>
          <w:rFonts w:hint="eastAsia" w:ascii="仿宋_GB2312" w:hAnsi="仿宋_GB2312" w:eastAsia="仿宋_GB2312" w:cs="仿宋_GB2312"/>
          <w:sz w:val="32"/>
          <w:szCs w:val="32"/>
          <w:lang w:val="zh-CN" w:eastAsia="zh-CN"/>
        </w:rPr>
        <w:t>组织各村对项目开展申报工作，通过全面摸底排查和实地考查项目可行性，并结合实际情况，及时上报镇党委会议研究决定，会议中对申报项目的真实性、必要性及建设项目内容、资金保障和受益情况进行审核，经公示公告无异议后并报相关部门审批。</w:t>
      </w:r>
    </w:p>
    <w:p>
      <w:pPr>
        <w:pageBreakBefore w:val="0"/>
        <w:pBdr>
          <w:bottom w:val="single" w:color="FFFFFF" w:sz="4" w:space="31"/>
        </w:pBdr>
        <w:tabs>
          <w:tab w:val="left" w:pos="0"/>
        </w:tabs>
        <w:kinsoku/>
        <w:wordWrap/>
        <w:overflowPunct/>
        <w:topLinePunct w:val="0"/>
        <w:bidi w:val="0"/>
        <w:spacing w:line="576" w:lineRule="exact"/>
        <w:ind w:firstLine="640" w:firstLineChars="200"/>
        <w:rPr>
          <w:rFonts w:hint="eastAsia" w:ascii="仿宋_GB2312" w:hAnsi="仿宋_GB2312" w:eastAsia="仿宋_GB2312" w:cs="仿宋_GB2312"/>
          <w:sz w:val="32"/>
          <w:szCs w:val="32"/>
          <w:lang w:val="zh-CN" w:eastAsia="zh-CN"/>
        </w:rPr>
      </w:pPr>
      <w:r>
        <w:rPr>
          <w:rFonts w:hint="eastAsia" w:ascii="楷体_GB2312" w:hAnsi="楷体_GB2312" w:eastAsia="楷体_GB2312" w:cs="楷体_GB2312"/>
          <w:sz w:val="32"/>
          <w:szCs w:val="32"/>
          <w:lang w:val="zh-CN" w:eastAsia="zh-CN"/>
        </w:rPr>
        <w:t>2.项目管理。</w:t>
      </w:r>
      <w:r>
        <w:rPr>
          <w:rFonts w:hint="eastAsia" w:ascii="仿宋_GB2312" w:hAnsi="仿宋_GB2312" w:eastAsia="仿宋_GB2312" w:cs="仿宋_GB2312"/>
          <w:sz w:val="32"/>
          <w:szCs w:val="32"/>
          <w:lang w:val="zh-CN" w:eastAsia="zh-CN"/>
        </w:rPr>
        <w:t>项目实施过程中，严格按照相关法律法规及项目管理制度进行管理。</w:t>
      </w:r>
    </w:p>
    <w:p>
      <w:pPr>
        <w:pageBreakBefore w:val="0"/>
        <w:pBdr>
          <w:bottom w:val="single" w:color="FFFFFF" w:sz="4" w:space="31"/>
        </w:pBdr>
        <w:tabs>
          <w:tab w:val="left" w:pos="0"/>
        </w:tabs>
        <w:kinsoku/>
        <w:wordWrap/>
        <w:overflowPunct/>
        <w:topLinePunct w:val="0"/>
        <w:bidi w:val="0"/>
        <w:spacing w:line="576" w:lineRule="exact"/>
        <w:ind w:firstLine="640" w:firstLineChars="200"/>
        <w:rPr>
          <w:rFonts w:hint="eastAsia" w:ascii="仿宋_GB2312" w:hAnsi="仿宋_GB2312" w:eastAsia="仿宋_GB2312" w:cs="仿宋_GB2312"/>
          <w:sz w:val="32"/>
          <w:szCs w:val="32"/>
          <w:lang w:val="zh-CN" w:eastAsia="zh-CN"/>
        </w:rPr>
      </w:pPr>
      <w:r>
        <w:rPr>
          <w:rFonts w:hint="eastAsia" w:ascii="楷体_GB2312" w:hAnsi="楷体_GB2312" w:eastAsia="楷体_GB2312" w:cs="楷体_GB2312"/>
          <w:sz w:val="32"/>
          <w:szCs w:val="32"/>
          <w:lang w:val="zh-CN" w:eastAsia="zh-CN"/>
        </w:rPr>
        <w:t>3.项目实施。</w:t>
      </w:r>
      <w:r>
        <w:rPr>
          <w:rFonts w:hint="eastAsia" w:ascii="仿宋_GB2312" w:hAnsi="仿宋_GB2312" w:eastAsia="仿宋_GB2312" w:cs="仿宋_GB2312"/>
          <w:sz w:val="32"/>
          <w:szCs w:val="32"/>
          <w:lang w:val="zh-CN" w:eastAsia="zh-CN"/>
        </w:rPr>
        <w:t>叠溪镇蚕丛村美丽乡村建设项目，现已按要求实施完成，村两委、镇政府已验收。</w:t>
      </w:r>
    </w:p>
    <w:p>
      <w:pPr>
        <w:keepNext w:val="0"/>
        <w:keepLines w:val="0"/>
        <w:pageBreakBefore w:val="0"/>
        <w:widowControl w:val="0"/>
        <w:pBdr>
          <w:bottom w:val="single" w:color="FFFFFF" w:sz="4" w:space="31"/>
        </w:pBdr>
        <w:tabs>
          <w:tab w:val="left" w:pos="0"/>
        </w:tabs>
        <w:kinsoku/>
        <w:wordWrap/>
        <w:overflowPunct/>
        <w:topLinePunct w:val="0"/>
        <w:autoSpaceDE/>
        <w:autoSpaceDN/>
        <w:bidi w:val="0"/>
        <w:adjustRightInd w:val="0"/>
        <w:snapToGrid w:val="0"/>
        <w:spacing w:line="576" w:lineRule="exact"/>
        <w:ind w:firstLine="640" w:firstLineChars="200"/>
        <w:textAlignment w:val="auto"/>
        <w:rPr>
          <w:rFonts w:hint="eastAsia" w:ascii="仿宋_GB2312" w:hAnsi="仿宋_GB2312" w:eastAsia="仿宋_GB2312" w:cs="仿宋_GB2312"/>
          <w:sz w:val="32"/>
          <w:szCs w:val="32"/>
          <w:lang w:val="zh-CN" w:eastAsia="zh-CN"/>
        </w:rPr>
      </w:pPr>
      <w:r>
        <w:rPr>
          <w:rFonts w:hint="eastAsia" w:ascii="楷体_GB2312" w:hAnsi="楷体_GB2312" w:eastAsia="楷体_GB2312" w:cs="楷体_GB2312"/>
          <w:sz w:val="32"/>
          <w:szCs w:val="32"/>
          <w:lang w:val="zh-CN" w:eastAsia="zh-CN"/>
        </w:rPr>
        <w:t>4.项目结果。</w:t>
      </w:r>
      <w:r>
        <w:rPr>
          <w:rFonts w:hint="eastAsia" w:ascii="仿宋_GB2312" w:hAnsi="仿宋_GB2312" w:eastAsia="仿宋_GB2312" w:cs="仿宋_GB2312"/>
          <w:sz w:val="32"/>
          <w:szCs w:val="32"/>
          <w:lang w:val="zh-CN" w:eastAsia="zh-CN"/>
        </w:rPr>
        <w:t>围绕目标完成、完成时效进行绩效分析。</w:t>
      </w:r>
    </w:p>
    <w:p>
      <w:pPr>
        <w:keepNext w:val="0"/>
        <w:keepLines w:val="0"/>
        <w:pageBreakBefore w:val="0"/>
        <w:widowControl w:val="0"/>
        <w:pBdr>
          <w:bottom w:val="single" w:color="FFFFFF" w:sz="4" w:space="31"/>
        </w:pBdr>
        <w:tabs>
          <w:tab w:val="left" w:pos="0"/>
        </w:tabs>
        <w:kinsoku/>
        <w:wordWrap/>
        <w:overflowPunct/>
        <w:topLinePunct w:val="0"/>
        <w:autoSpaceDE/>
        <w:autoSpaceDN/>
        <w:bidi w:val="0"/>
        <w:adjustRightInd w:val="0"/>
        <w:snapToGrid w:val="0"/>
        <w:spacing w:line="576" w:lineRule="exact"/>
        <w:ind w:firstLine="640" w:firstLineChars="200"/>
        <w:textAlignment w:val="auto"/>
        <w:rPr>
          <w:rFonts w:hint="eastAsia" w:ascii="黑体" w:hAnsi="黑体" w:eastAsia="黑体" w:cs="黑体"/>
          <w:b w:val="0"/>
          <w:bCs/>
          <w:sz w:val="32"/>
          <w:szCs w:val="32"/>
          <w:lang w:val="zh-CN" w:eastAsia="zh-CN"/>
        </w:rPr>
      </w:pPr>
      <w:r>
        <w:rPr>
          <w:rFonts w:hint="eastAsia" w:ascii="黑体" w:hAnsi="黑体" w:eastAsia="黑体" w:cs="黑体"/>
          <w:b w:val="0"/>
          <w:bCs/>
          <w:sz w:val="32"/>
          <w:szCs w:val="32"/>
          <w:lang w:val="zh-CN" w:eastAsia="zh-CN"/>
        </w:rPr>
        <w:t>四、评价结论</w:t>
      </w:r>
    </w:p>
    <w:p>
      <w:pPr>
        <w:keepNext w:val="0"/>
        <w:keepLines w:val="0"/>
        <w:pageBreakBefore w:val="0"/>
        <w:widowControl w:val="0"/>
        <w:pBdr>
          <w:bottom w:val="single" w:color="FFFFFF" w:sz="4" w:space="31"/>
        </w:pBdr>
        <w:tabs>
          <w:tab w:val="left" w:pos="0"/>
        </w:tabs>
        <w:kinsoku/>
        <w:wordWrap/>
        <w:overflowPunct/>
        <w:topLinePunct w:val="0"/>
        <w:autoSpaceDE/>
        <w:autoSpaceDN/>
        <w:bidi w:val="0"/>
        <w:adjustRightInd w:val="0"/>
        <w:snapToGrid w:val="0"/>
        <w:spacing w:line="576" w:lineRule="exact"/>
        <w:ind w:firstLine="640" w:firstLineChars="200"/>
        <w:textAlignment w:val="auto"/>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zh-CN" w:eastAsia="zh-CN"/>
        </w:rPr>
        <w:t>项目管理做到了管理规范，操作阳光透明，运行有序高效，态度优质，群众满意度高。在项目管理上，通过逐步规范申报审批支付程序，确保了资金高效运转。在资金管理上，严格按照财务制度，确保了资金及时到位和使用。</w:t>
      </w:r>
    </w:p>
    <w:p>
      <w:pPr>
        <w:keepNext w:val="0"/>
        <w:keepLines w:val="0"/>
        <w:pageBreakBefore w:val="0"/>
        <w:widowControl w:val="0"/>
        <w:pBdr>
          <w:bottom w:val="single" w:color="FFFFFF" w:sz="4" w:space="31"/>
        </w:pBdr>
        <w:tabs>
          <w:tab w:val="left" w:pos="0"/>
        </w:tabs>
        <w:kinsoku/>
        <w:wordWrap/>
        <w:overflowPunct/>
        <w:topLinePunct w:val="0"/>
        <w:autoSpaceDE/>
        <w:autoSpaceDN/>
        <w:bidi w:val="0"/>
        <w:adjustRightInd w:val="0"/>
        <w:snapToGrid w:val="0"/>
        <w:spacing w:line="576" w:lineRule="exact"/>
        <w:ind w:firstLine="640" w:firstLineChars="200"/>
        <w:textAlignment w:val="auto"/>
        <w:rPr>
          <w:rFonts w:hint="eastAsia" w:ascii="黑体" w:hAnsi="黑体" w:eastAsia="黑体" w:cs="黑体"/>
          <w:b w:val="0"/>
          <w:bCs/>
          <w:sz w:val="32"/>
          <w:szCs w:val="32"/>
          <w:lang w:val="zh-CN" w:eastAsia="zh-CN"/>
        </w:rPr>
      </w:pPr>
      <w:r>
        <w:rPr>
          <w:rFonts w:hint="eastAsia" w:ascii="黑体" w:hAnsi="黑体" w:eastAsia="黑体" w:cs="黑体"/>
          <w:b w:val="0"/>
          <w:bCs/>
          <w:sz w:val="32"/>
          <w:szCs w:val="32"/>
          <w:lang w:val="zh-CN" w:eastAsia="zh-CN"/>
        </w:rPr>
        <w:t>五、存在主要问题</w:t>
      </w:r>
    </w:p>
    <w:p>
      <w:pPr>
        <w:keepNext w:val="0"/>
        <w:keepLines w:val="0"/>
        <w:pageBreakBefore w:val="0"/>
        <w:widowControl w:val="0"/>
        <w:pBdr>
          <w:bottom w:val="single" w:color="FFFFFF" w:sz="4" w:space="31"/>
        </w:pBdr>
        <w:tabs>
          <w:tab w:val="left" w:pos="0"/>
        </w:tabs>
        <w:kinsoku/>
        <w:wordWrap/>
        <w:overflowPunct/>
        <w:topLinePunct w:val="0"/>
        <w:autoSpaceDE/>
        <w:autoSpaceDN/>
        <w:bidi w:val="0"/>
        <w:adjustRightInd w:val="0"/>
        <w:snapToGrid w:val="0"/>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专项预算项目绩效自评未发现问题。</w:t>
      </w:r>
    </w:p>
    <w:p>
      <w:pPr>
        <w:keepNext w:val="0"/>
        <w:keepLines w:val="0"/>
        <w:pageBreakBefore w:val="0"/>
        <w:widowControl w:val="0"/>
        <w:pBdr>
          <w:bottom w:val="single" w:color="FFFFFF" w:sz="4" w:space="31"/>
        </w:pBdr>
        <w:tabs>
          <w:tab w:val="left" w:pos="0"/>
        </w:tabs>
        <w:kinsoku/>
        <w:wordWrap/>
        <w:overflowPunct/>
        <w:topLinePunct w:val="0"/>
        <w:autoSpaceDE/>
        <w:autoSpaceDN/>
        <w:bidi w:val="0"/>
        <w:adjustRightInd w:val="0"/>
        <w:snapToGrid w:val="0"/>
        <w:spacing w:line="576" w:lineRule="exact"/>
        <w:ind w:firstLine="640" w:firstLineChars="200"/>
        <w:textAlignment w:val="auto"/>
        <w:rPr>
          <w:rFonts w:hint="eastAsia" w:ascii="黑体" w:hAnsi="黑体" w:eastAsia="黑体" w:cs="黑体"/>
          <w:b w:val="0"/>
          <w:bCs/>
          <w:sz w:val="32"/>
          <w:szCs w:val="32"/>
          <w:lang w:val="zh-CN" w:eastAsia="zh-CN"/>
        </w:rPr>
      </w:pPr>
      <w:r>
        <w:rPr>
          <w:rFonts w:hint="eastAsia" w:ascii="黑体" w:hAnsi="黑体" w:eastAsia="黑体" w:cs="黑体"/>
          <w:b w:val="0"/>
          <w:bCs/>
          <w:sz w:val="32"/>
          <w:szCs w:val="32"/>
          <w:lang w:val="zh-CN" w:eastAsia="zh-CN"/>
        </w:rPr>
        <w:t>六、改进建议</w:t>
      </w:r>
    </w:p>
    <w:p>
      <w:pPr>
        <w:keepNext w:val="0"/>
        <w:keepLines w:val="0"/>
        <w:pageBreakBefore w:val="0"/>
        <w:widowControl w:val="0"/>
        <w:pBdr>
          <w:bottom w:val="single" w:color="FFFFFF" w:sz="4" w:space="31"/>
        </w:pBdr>
        <w:tabs>
          <w:tab w:val="left" w:pos="0"/>
        </w:tabs>
        <w:kinsoku/>
        <w:wordWrap/>
        <w:overflowPunct/>
        <w:topLinePunct w:val="0"/>
        <w:autoSpaceDE/>
        <w:autoSpaceDN/>
        <w:bidi w:val="0"/>
        <w:adjustRightInd w:val="0"/>
        <w:snapToGrid w:val="0"/>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无专项预算项目在预算安排、完善政策、改进管理等方面的措施建议。</w:t>
      </w:r>
    </w:p>
    <w:p>
      <w:pPr>
        <w:keepNext w:val="0"/>
        <w:keepLines w:val="0"/>
        <w:pageBreakBefore w:val="0"/>
        <w:widowControl w:val="0"/>
        <w:pBdr>
          <w:bottom w:val="single" w:color="FFFFFF" w:sz="4" w:space="31"/>
        </w:pBdr>
        <w:tabs>
          <w:tab w:val="left" w:pos="0"/>
        </w:tabs>
        <w:kinsoku/>
        <w:wordWrap/>
        <w:overflowPunct/>
        <w:topLinePunct w:val="0"/>
        <w:autoSpaceDE/>
        <w:autoSpaceDN/>
        <w:bidi w:val="0"/>
        <w:adjustRightInd w:val="0"/>
        <w:snapToGrid w:val="0"/>
        <w:spacing w:line="576" w:lineRule="exact"/>
        <w:jc w:val="center"/>
        <w:textAlignment w:val="auto"/>
        <w:rPr>
          <w:rFonts w:hint="eastAsia" w:ascii="方正小标宋简体" w:hAnsi="方正小标宋简体" w:eastAsia="方正小标宋简体" w:cs="方正小标宋简体"/>
          <w:sz w:val="44"/>
          <w:szCs w:val="44"/>
          <w:lang w:val="en-US" w:eastAsia="zh-CN"/>
        </w:rPr>
      </w:pPr>
    </w:p>
    <w:p>
      <w:pPr>
        <w:keepNext w:val="0"/>
        <w:keepLines w:val="0"/>
        <w:pageBreakBefore w:val="0"/>
        <w:widowControl w:val="0"/>
        <w:pBdr>
          <w:bottom w:val="single" w:color="FFFFFF" w:sz="4" w:space="31"/>
        </w:pBdr>
        <w:tabs>
          <w:tab w:val="left" w:pos="0"/>
        </w:tabs>
        <w:kinsoku/>
        <w:wordWrap/>
        <w:overflowPunct/>
        <w:topLinePunct w:val="0"/>
        <w:autoSpaceDE/>
        <w:autoSpaceDN/>
        <w:bidi w:val="0"/>
        <w:adjustRightInd w:val="0"/>
        <w:snapToGrid w:val="0"/>
        <w:spacing w:line="576" w:lineRule="exact"/>
        <w:jc w:val="center"/>
        <w:textAlignment w:val="auto"/>
        <w:rPr>
          <w:rFonts w:hint="eastAsia" w:ascii="方正小标宋简体" w:hAnsi="方正小标宋简体" w:eastAsia="方正小标宋简体" w:cs="方正小标宋简体"/>
          <w:sz w:val="44"/>
          <w:szCs w:val="44"/>
          <w:lang w:val="en-US" w:eastAsia="zh-CN"/>
        </w:rPr>
      </w:pPr>
    </w:p>
    <w:p>
      <w:pPr>
        <w:pStyle w:val="2"/>
        <w:rPr>
          <w:rFonts w:hint="eastAsia"/>
          <w:lang w:val="en-US" w:eastAsia="zh-CN"/>
        </w:rPr>
      </w:pPr>
    </w:p>
    <w:p>
      <w:pPr>
        <w:keepNext w:val="0"/>
        <w:keepLines w:val="0"/>
        <w:pageBreakBefore w:val="0"/>
        <w:widowControl w:val="0"/>
        <w:pBdr>
          <w:bottom w:val="single" w:color="FFFFFF" w:sz="4" w:space="31"/>
        </w:pBdr>
        <w:tabs>
          <w:tab w:val="left" w:pos="0"/>
        </w:tabs>
        <w:kinsoku/>
        <w:wordWrap/>
        <w:overflowPunct/>
        <w:topLinePunct w:val="0"/>
        <w:autoSpaceDE/>
        <w:autoSpaceDN/>
        <w:bidi w:val="0"/>
        <w:adjustRightInd w:val="0"/>
        <w:snapToGrid w:val="0"/>
        <w:spacing w:line="576" w:lineRule="exact"/>
        <w:jc w:val="center"/>
        <w:textAlignment w:val="auto"/>
        <w:rPr>
          <w:rFonts w:hint="eastAsia" w:ascii="方正小标宋简体" w:hAnsi="方正小标宋简体" w:eastAsia="方正小标宋简体" w:cs="方正小标宋简体"/>
          <w:sz w:val="44"/>
          <w:szCs w:val="44"/>
          <w:lang w:val="en-US" w:eastAsia="zh-CN"/>
        </w:rPr>
      </w:pPr>
    </w:p>
    <w:p>
      <w:pPr>
        <w:keepNext w:val="0"/>
        <w:keepLines w:val="0"/>
        <w:pageBreakBefore w:val="0"/>
        <w:widowControl w:val="0"/>
        <w:pBdr>
          <w:bottom w:val="single" w:color="FFFFFF" w:sz="4" w:space="31"/>
        </w:pBdr>
        <w:tabs>
          <w:tab w:val="left" w:pos="0"/>
        </w:tabs>
        <w:kinsoku/>
        <w:wordWrap/>
        <w:overflowPunct/>
        <w:topLinePunct w:val="0"/>
        <w:autoSpaceDE/>
        <w:autoSpaceDN/>
        <w:bidi w:val="0"/>
        <w:adjustRightInd w:val="0"/>
        <w:snapToGrid w:val="0"/>
        <w:spacing w:line="576"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叠溪镇防汛救灾慰问经费项目预算绩效</w:t>
      </w:r>
    </w:p>
    <w:p>
      <w:pPr>
        <w:keepNext w:val="0"/>
        <w:keepLines w:val="0"/>
        <w:pageBreakBefore w:val="0"/>
        <w:widowControl w:val="0"/>
        <w:pBdr>
          <w:bottom w:val="single" w:color="FFFFFF" w:sz="4" w:space="31"/>
        </w:pBdr>
        <w:tabs>
          <w:tab w:val="left" w:pos="0"/>
        </w:tabs>
        <w:kinsoku/>
        <w:wordWrap/>
        <w:overflowPunct/>
        <w:topLinePunct w:val="0"/>
        <w:autoSpaceDE/>
        <w:autoSpaceDN/>
        <w:bidi w:val="0"/>
        <w:adjustRightInd w:val="0"/>
        <w:snapToGrid w:val="0"/>
        <w:spacing w:line="576" w:lineRule="exact"/>
        <w:jc w:val="center"/>
        <w:textAlignment w:val="auto"/>
        <w:rPr>
          <w:rFonts w:ascii="Times New Roman" w:hAnsi="Times New Roman"/>
          <w:color w:val="auto"/>
          <w:kern w:val="2"/>
          <w:sz w:val="32"/>
          <w:szCs w:val="32"/>
        </w:rPr>
      </w:pPr>
      <w:r>
        <w:rPr>
          <w:rFonts w:hint="eastAsia" w:ascii="方正小标宋简体" w:hAnsi="方正小标宋简体" w:eastAsia="方正小标宋简体" w:cs="方正小标宋简体"/>
          <w:sz w:val="44"/>
          <w:szCs w:val="44"/>
          <w:lang w:val="en-US" w:eastAsia="zh-CN"/>
        </w:rPr>
        <w:t>自评报告</w:t>
      </w:r>
    </w:p>
    <w:p>
      <w:pPr>
        <w:pageBreakBefore w:val="0"/>
        <w:kinsoku/>
        <w:wordWrap/>
        <w:overflowPunct/>
        <w:topLinePunct w:val="0"/>
        <w:bidi w:val="0"/>
        <w:adjustRightInd w:val="0"/>
        <w:snapToGrid w:val="0"/>
        <w:spacing w:line="576" w:lineRule="exact"/>
        <w:ind w:firstLine="640" w:firstLineChars="200"/>
        <w:rPr>
          <w:rFonts w:eastAsia="黑体"/>
          <w:sz w:val="32"/>
          <w:szCs w:val="32"/>
          <w:lang w:val="zh-CN"/>
        </w:rPr>
      </w:pPr>
      <w:r>
        <w:rPr>
          <w:rFonts w:eastAsia="黑体"/>
          <w:sz w:val="32"/>
          <w:szCs w:val="32"/>
        </w:rPr>
        <w:t>一、</w:t>
      </w:r>
      <w:r>
        <w:rPr>
          <w:rFonts w:eastAsia="黑体"/>
          <w:sz w:val="32"/>
          <w:szCs w:val="32"/>
          <w:lang w:val="zh-CN"/>
        </w:rPr>
        <w:t>项目概况</w:t>
      </w:r>
    </w:p>
    <w:p>
      <w:pPr>
        <w:keepNext w:val="0"/>
        <w:keepLines w:val="0"/>
        <w:pageBreakBefore w:val="0"/>
        <w:kinsoku/>
        <w:wordWrap/>
        <w:overflowPunct/>
        <w:topLinePunct w:val="0"/>
        <w:bidi w:val="0"/>
        <w:adjustRightInd w:val="0"/>
        <w:snapToGrid w:val="0"/>
        <w:spacing w:line="576" w:lineRule="exact"/>
        <w:ind w:firstLine="720"/>
        <w:jc w:val="left"/>
        <w:textAlignment w:val="auto"/>
        <w:rPr>
          <w:rFonts w:hint="eastAsia" w:ascii="楷体_GB2312" w:hAnsi="宋体" w:eastAsia="楷体_GB2312"/>
          <w:b/>
          <w:sz w:val="32"/>
          <w:szCs w:val="32"/>
          <w:lang w:val="zh-CN"/>
        </w:rPr>
      </w:pPr>
      <w:r>
        <w:rPr>
          <w:rFonts w:hint="eastAsia" w:ascii="楷体_GB2312" w:hAnsi="宋体" w:eastAsia="楷体_GB2312"/>
          <w:b/>
          <w:sz w:val="32"/>
          <w:szCs w:val="32"/>
          <w:lang w:val="zh-CN"/>
        </w:rPr>
        <w:t>（一）设立背景及基本情况</w:t>
      </w:r>
    </w:p>
    <w:p>
      <w:pPr>
        <w:pageBreakBefore w:val="0"/>
        <w:widowControl/>
        <w:kinsoku/>
        <w:wordWrap/>
        <w:overflowPunct/>
        <w:topLinePunct w:val="0"/>
        <w:bidi w:val="0"/>
        <w:adjustRightInd w:val="0"/>
        <w:snapToGrid w:val="0"/>
        <w:spacing w:line="576" w:lineRule="exact"/>
        <w:ind w:firstLine="640" w:firstLineChars="200"/>
        <w:contextualSpacing/>
        <w:jc w:val="both"/>
        <w:rPr>
          <w:rFonts w:hint="eastAsia" w:ascii="仿宋_GB2312" w:hAnsi="仿宋_GB2312" w:eastAsia="仿宋_GB2312" w:cs="仿宋_GB2312"/>
          <w:kern w:val="0"/>
          <w:sz w:val="32"/>
          <w:szCs w:val="32"/>
          <w:shd w:val="clear" w:color="auto" w:fill="FFFFFF"/>
          <w:lang w:val="en-US" w:eastAsia="zh-CN"/>
        </w:rPr>
      </w:pPr>
      <w:r>
        <w:rPr>
          <w:rFonts w:hint="eastAsia" w:ascii="仿宋_GB2312" w:hAnsi="仿宋_GB2312" w:eastAsia="仿宋_GB2312" w:cs="仿宋_GB2312"/>
          <w:kern w:val="0"/>
          <w:sz w:val="32"/>
          <w:szCs w:val="32"/>
          <w:shd w:val="clear" w:color="auto" w:fill="FFFFFF"/>
          <w:lang w:val="en-US" w:eastAsia="zh-CN"/>
        </w:rPr>
        <w:t>叠溪镇地处高山峡谷区，2024年汛期遭遇多轮强降雨，全镇发生不同程度洪涝、滑坡灾害，为充分体现党组织对受灾群众的关心关怀，发挥党建引领防汛减灾作用，由县委组织部专项拨付资金设立本项目。根据《中共茂县县委组织部关于划拨党费用于支持防汛救灾工作的通知》安排我镇慰问经费</w:t>
      </w:r>
      <w:r>
        <w:rPr>
          <w:rFonts w:hint="eastAsia" w:ascii="仿宋_GB2312" w:hAnsi="仿宋_GB2312" w:eastAsia="仿宋_GB2312" w:cs="仿宋_GB2312"/>
          <w:kern w:val="0"/>
          <w:sz w:val="32"/>
          <w:szCs w:val="32"/>
          <w:shd w:val="clear" w:color="auto" w:fill="FFFFFF"/>
          <w:lang w:val="zh-CN" w:eastAsia="zh-CN" w:bidi="ar-SA"/>
        </w:rPr>
        <w:t>0.6</w:t>
      </w:r>
      <w:r>
        <w:rPr>
          <w:rFonts w:hint="eastAsia" w:ascii="仿宋_GB2312" w:hAnsi="仿宋_GB2312" w:eastAsia="仿宋_GB2312" w:cs="仿宋_GB2312"/>
          <w:kern w:val="0"/>
          <w:sz w:val="32"/>
          <w:szCs w:val="32"/>
          <w:shd w:val="clear" w:color="auto" w:fill="FFFFFF"/>
          <w:lang w:val="en-US" w:eastAsia="zh-CN" w:bidi="ar-SA"/>
        </w:rPr>
        <w:t>0</w:t>
      </w:r>
      <w:r>
        <w:rPr>
          <w:rFonts w:hint="eastAsia" w:ascii="仿宋_GB2312" w:hAnsi="仿宋_GB2312" w:eastAsia="仿宋_GB2312" w:cs="仿宋_GB2312"/>
          <w:kern w:val="0"/>
          <w:sz w:val="32"/>
          <w:szCs w:val="32"/>
          <w:shd w:val="clear" w:color="auto" w:fill="FFFFFF"/>
          <w:lang w:val="zh-CN" w:eastAsia="zh-CN" w:bidi="ar-SA"/>
        </w:rPr>
        <w:t>万元</w:t>
      </w:r>
      <w:r>
        <w:rPr>
          <w:rFonts w:hint="eastAsia" w:ascii="仿宋_GB2312" w:hAnsi="仿宋_GB2312" w:eastAsia="仿宋_GB2312" w:cs="仿宋_GB2312"/>
          <w:kern w:val="0"/>
          <w:sz w:val="32"/>
          <w:szCs w:val="32"/>
          <w:shd w:val="clear" w:color="auto" w:fill="FFFFFF"/>
          <w:lang w:val="en-US" w:eastAsia="zh-CN"/>
        </w:rPr>
        <w:t>，慰问12人。慰问奋战在防汛救灾一线的基层党员、干部和群众，慰问因受灾严重而遇到生活困难的党员、群众，动员广大党员、干部冲锋在前、勇于担当，充分发挥先锋模范作用。</w:t>
      </w:r>
    </w:p>
    <w:p>
      <w:pPr>
        <w:keepNext w:val="0"/>
        <w:keepLines w:val="0"/>
        <w:pageBreakBefore w:val="0"/>
        <w:numPr>
          <w:ilvl w:val="0"/>
          <w:numId w:val="0"/>
        </w:numPr>
        <w:kinsoku/>
        <w:wordWrap/>
        <w:overflowPunct/>
        <w:topLinePunct w:val="0"/>
        <w:bidi w:val="0"/>
        <w:adjustRightInd w:val="0"/>
        <w:snapToGrid w:val="0"/>
        <w:spacing w:line="576" w:lineRule="exact"/>
        <w:ind w:firstLine="642" w:firstLineChars="200"/>
        <w:jc w:val="left"/>
        <w:textAlignment w:val="auto"/>
        <w:rPr>
          <w:rFonts w:ascii="楷体_GB2312" w:hAnsi="宋体" w:eastAsia="楷体_GB2312"/>
          <w:b/>
          <w:sz w:val="32"/>
          <w:szCs w:val="32"/>
        </w:rPr>
      </w:pPr>
      <w:r>
        <w:rPr>
          <w:rFonts w:hint="eastAsia" w:ascii="楷体_GB2312" w:hAnsi="宋体" w:eastAsia="楷体_GB2312" w:cs="Times New Roman"/>
          <w:b/>
          <w:kern w:val="2"/>
          <w:sz w:val="32"/>
          <w:szCs w:val="32"/>
          <w:lang w:val="en-US" w:eastAsia="zh-CN" w:bidi="ar-SA"/>
        </w:rPr>
        <w:t>（二）</w:t>
      </w:r>
      <w:r>
        <w:rPr>
          <w:rFonts w:ascii="楷体_GB2312" w:hAnsi="宋体" w:eastAsia="楷体_GB2312"/>
          <w:b/>
          <w:sz w:val="32"/>
          <w:szCs w:val="32"/>
        </w:rPr>
        <w:t>实施目的及支持方向</w:t>
      </w:r>
    </w:p>
    <w:p>
      <w:pPr>
        <w:pageBreakBefore w:val="0"/>
        <w:widowControl/>
        <w:kinsoku/>
        <w:wordWrap/>
        <w:overflowPunct/>
        <w:topLinePunct w:val="0"/>
        <w:bidi w:val="0"/>
        <w:adjustRightInd w:val="0"/>
        <w:snapToGrid w:val="0"/>
        <w:spacing w:line="576" w:lineRule="exact"/>
        <w:ind w:firstLine="640" w:firstLineChars="200"/>
        <w:contextualSpacing/>
        <w:jc w:val="both"/>
        <w:rPr>
          <w:rFonts w:hint="eastAsia" w:ascii="仿宋_GB2312" w:hAnsi="仿宋_GB2312" w:eastAsia="仿宋_GB2312" w:cs="仿宋_GB2312"/>
          <w:kern w:val="0"/>
          <w:sz w:val="32"/>
          <w:szCs w:val="32"/>
          <w:shd w:val="clear" w:color="auto" w:fill="FFFFFF"/>
          <w:lang w:val="en-US" w:eastAsia="zh-CN"/>
        </w:rPr>
      </w:pPr>
      <w:r>
        <w:rPr>
          <w:rFonts w:hint="eastAsia" w:ascii="仿宋_GB2312" w:hAnsi="仿宋_GB2312" w:eastAsia="仿宋_GB2312" w:cs="仿宋_GB2312"/>
          <w:kern w:val="0"/>
          <w:sz w:val="32"/>
          <w:szCs w:val="32"/>
          <w:shd w:val="clear" w:color="auto" w:fill="FFFFFF"/>
          <w:lang w:val="en-US" w:eastAsia="zh-CN"/>
        </w:rPr>
        <w:t>为规范资金使用，明确资金使用方向，用于受灾党员、群众救助等。实施目的在于通过党组织关怀慰问，强化基层党组织凝聚力战斗力，确保防汛救灾工作有序推进。慰问奋战在防汛救灾一线的基层党员、干部和群众，慰问因受灾严重而遇到生活困难的党员、群众，动员广大党员、干部冲锋在前、勇于担当，充分发挥先锋模范作用。</w:t>
      </w:r>
    </w:p>
    <w:p>
      <w:pPr>
        <w:keepNext w:val="0"/>
        <w:keepLines w:val="0"/>
        <w:pageBreakBefore w:val="0"/>
        <w:numPr>
          <w:ilvl w:val="0"/>
          <w:numId w:val="0"/>
        </w:numPr>
        <w:kinsoku/>
        <w:wordWrap/>
        <w:overflowPunct/>
        <w:topLinePunct w:val="0"/>
        <w:bidi w:val="0"/>
        <w:adjustRightInd w:val="0"/>
        <w:snapToGrid w:val="0"/>
        <w:spacing w:line="576" w:lineRule="exact"/>
        <w:ind w:left="0" w:leftChars="0" w:firstLine="642" w:firstLineChars="200"/>
        <w:jc w:val="left"/>
        <w:textAlignment w:val="auto"/>
        <w:rPr>
          <w:rFonts w:hint="eastAsia" w:ascii="楷体_GB2312" w:hAnsi="宋体" w:eastAsia="楷体_GB2312"/>
          <w:b/>
          <w:sz w:val="32"/>
          <w:szCs w:val="32"/>
          <w:lang w:val="zh-CN"/>
        </w:rPr>
      </w:pPr>
      <w:r>
        <w:rPr>
          <w:rFonts w:hint="eastAsia" w:ascii="楷体_GB2312" w:hAnsi="宋体" w:eastAsia="楷体_GB2312" w:cs="Times New Roman"/>
          <w:b/>
          <w:kern w:val="2"/>
          <w:sz w:val="32"/>
          <w:szCs w:val="32"/>
          <w:lang w:val="zh-CN" w:eastAsia="zh-CN" w:bidi="ar-SA"/>
        </w:rPr>
        <w:t>（三）</w:t>
      </w:r>
      <w:r>
        <w:rPr>
          <w:rFonts w:ascii="楷体_GB2312" w:hAnsi="宋体" w:eastAsia="楷体_GB2312"/>
          <w:b/>
          <w:sz w:val="32"/>
          <w:szCs w:val="32"/>
        </w:rPr>
        <w:t>预算安排及分配管理</w:t>
      </w:r>
    </w:p>
    <w:p>
      <w:pPr>
        <w:keepNext w:val="0"/>
        <w:keepLines w:val="0"/>
        <w:pageBreakBefore w:val="0"/>
        <w:kinsoku/>
        <w:wordWrap/>
        <w:overflowPunct/>
        <w:topLinePunct w:val="0"/>
        <w:autoSpaceDE/>
        <w:autoSpaceDN/>
        <w:bidi w:val="0"/>
        <w:adjustRightInd w:val="0"/>
        <w:snapToGrid w:val="0"/>
        <w:spacing w:line="576"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shd w:val="clear" w:color="auto" w:fill="FFFFFF"/>
          <w:lang w:val="zh-CN" w:eastAsia="zh-CN" w:bidi="ar-SA"/>
        </w:rPr>
        <w:t>2024年</w:t>
      </w:r>
      <w:r>
        <w:rPr>
          <w:rFonts w:hint="eastAsia" w:ascii="仿宋_GB2312" w:hAnsi="仿宋_GB2312" w:eastAsia="仿宋_GB2312" w:cs="仿宋_GB2312"/>
          <w:kern w:val="0"/>
          <w:sz w:val="32"/>
          <w:szCs w:val="32"/>
          <w:shd w:val="clear" w:color="auto" w:fill="FFFFFF"/>
          <w:lang w:val="en-US" w:eastAsia="zh-CN" w:bidi="ar-SA"/>
        </w:rPr>
        <w:t>度叠溪镇防汛救灾慰问资金</w:t>
      </w:r>
      <w:r>
        <w:rPr>
          <w:rFonts w:hint="eastAsia" w:ascii="仿宋_GB2312" w:hAnsi="仿宋_GB2312" w:eastAsia="仿宋_GB2312" w:cs="仿宋_GB2312"/>
          <w:kern w:val="0"/>
          <w:sz w:val="32"/>
          <w:szCs w:val="32"/>
          <w:shd w:val="clear" w:color="auto" w:fill="FFFFFF"/>
          <w:lang w:val="zh-CN" w:eastAsia="zh-CN" w:bidi="ar-SA"/>
        </w:rPr>
        <w:t>项目预算总额0.6</w:t>
      </w:r>
      <w:r>
        <w:rPr>
          <w:rFonts w:hint="eastAsia" w:ascii="仿宋_GB2312" w:hAnsi="仿宋_GB2312" w:eastAsia="仿宋_GB2312" w:cs="仿宋_GB2312"/>
          <w:kern w:val="0"/>
          <w:sz w:val="32"/>
          <w:szCs w:val="32"/>
          <w:shd w:val="clear" w:color="auto" w:fill="FFFFFF"/>
          <w:lang w:val="en-US" w:eastAsia="zh-CN" w:bidi="ar-SA"/>
        </w:rPr>
        <w:t>0</w:t>
      </w:r>
      <w:r>
        <w:rPr>
          <w:rFonts w:hint="eastAsia" w:ascii="仿宋_GB2312" w:hAnsi="仿宋_GB2312" w:eastAsia="仿宋_GB2312" w:cs="仿宋_GB2312"/>
          <w:kern w:val="0"/>
          <w:sz w:val="32"/>
          <w:szCs w:val="32"/>
          <w:shd w:val="clear" w:color="auto" w:fill="FFFFFF"/>
          <w:lang w:val="zh-CN" w:eastAsia="zh-CN" w:bidi="ar-SA"/>
        </w:rPr>
        <w:t>万元，实际执行金额同样为</w:t>
      </w:r>
      <w:r>
        <w:rPr>
          <w:rFonts w:hint="eastAsia" w:ascii="仿宋_GB2312" w:hAnsi="仿宋_GB2312" w:eastAsia="仿宋_GB2312" w:cs="仿宋_GB2312"/>
          <w:kern w:val="0"/>
          <w:sz w:val="32"/>
          <w:szCs w:val="32"/>
          <w:shd w:val="clear" w:color="auto" w:fill="FFFFFF"/>
          <w:lang w:val="en-US" w:eastAsia="zh-CN" w:bidi="ar-SA"/>
        </w:rPr>
        <w:t>0.60</w:t>
      </w:r>
      <w:r>
        <w:rPr>
          <w:rFonts w:hint="eastAsia" w:ascii="仿宋_GB2312" w:hAnsi="仿宋_GB2312" w:eastAsia="仿宋_GB2312" w:cs="仿宋_GB2312"/>
          <w:kern w:val="0"/>
          <w:sz w:val="32"/>
          <w:szCs w:val="32"/>
          <w:shd w:val="clear" w:color="auto" w:fill="FFFFFF"/>
          <w:lang w:val="zh-CN" w:eastAsia="zh-CN" w:bidi="ar-SA"/>
        </w:rPr>
        <w:t>万元。</w:t>
      </w:r>
      <w:r>
        <w:rPr>
          <w:rFonts w:hint="eastAsia" w:ascii="仿宋_GB2312" w:hAnsi="仿宋_GB2312" w:eastAsia="仿宋_GB2312" w:cs="仿宋_GB2312"/>
          <w:kern w:val="0"/>
          <w:sz w:val="32"/>
          <w:szCs w:val="32"/>
          <w:shd w:val="clear" w:color="auto" w:fill="FFFFFF"/>
          <w:lang w:val="en-US" w:eastAsia="zh-CN" w:bidi="ar-SA"/>
        </w:rPr>
        <w:t>慰问奋战在防汛救灾一线的基层党员、干部和群众12人，500元/人。</w:t>
      </w:r>
    </w:p>
    <w:p>
      <w:pPr>
        <w:keepNext w:val="0"/>
        <w:keepLines w:val="0"/>
        <w:pageBreakBefore w:val="0"/>
        <w:numPr>
          <w:ilvl w:val="0"/>
          <w:numId w:val="0"/>
        </w:numPr>
        <w:kinsoku/>
        <w:wordWrap/>
        <w:overflowPunct/>
        <w:topLinePunct w:val="0"/>
        <w:bidi w:val="0"/>
        <w:adjustRightInd w:val="0"/>
        <w:snapToGrid w:val="0"/>
        <w:spacing w:line="576" w:lineRule="exact"/>
        <w:ind w:left="0" w:leftChars="0" w:firstLine="642" w:firstLineChars="200"/>
        <w:jc w:val="left"/>
        <w:textAlignment w:val="auto"/>
        <w:rPr>
          <w:rFonts w:hint="eastAsia" w:ascii="楷体_GB2312" w:hAnsi="宋体" w:eastAsia="楷体_GB2312"/>
          <w:b/>
          <w:sz w:val="32"/>
          <w:szCs w:val="32"/>
          <w:lang w:val="zh-CN"/>
        </w:rPr>
      </w:pPr>
      <w:r>
        <w:rPr>
          <w:rFonts w:hint="eastAsia" w:ascii="楷体_GB2312" w:hAnsi="宋体" w:eastAsia="楷体_GB2312" w:cs="Times New Roman"/>
          <w:b/>
          <w:kern w:val="2"/>
          <w:sz w:val="32"/>
          <w:szCs w:val="32"/>
          <w:lang w:val="zh-CN" w:eastAsia="zh-CN" w:bidi="ar-SA"/>
        </w:rPr>
        <w:t>（四）</w:t>
      </w:r>
      <w:r>
        <w:rPr>
          <w:rFonts w:hint="eastAsia" w:ascii="楷体_GB2312" w:hAnsi="宋体" w:eastAsia="楷体_GB2312"/>
          <w:b/>
          <w:sz w:val="32"/>
          <w:szCs w:val="32"/>
          <w:lang w:val="zh-CN"/>
        </w:rPr>
        <w:t>项目绩效目标设置</w:t>
      </w:r>
    </w:p>
    <w:p>
      <w:pPr>
        <w:keepNext w:val="0"/>
        <w:keepLines w:val="0"/>
        <w:pageBreakBefore w:val="0"/>
        <w:kinsoku/>
        <w:wordWrap/>
        <w:overflowPunct/>
        <w:topLinePunct w:val="0"/>
        <w:autoSpaceDE/>
        <w:autoSpaceDN/>
        <w:bidi w:val="0"/>
        <w:adjustRightInd w:val="0"/>
        <w:snapToGrid w:val="0"/>
        <w:spacing w:line="576" w:lineRule="exact"/>
        <w:ind w:left="0" w:leftChars="0" w:firstLine="640" w:firstLineChars="200"/>
        <w:textAlignment w:val="auto"/>
        <w:rPr>
          <w:rFonts w:hint="eastAsia"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kern w:val="0"/>
          <w:sz w:val="32"/>
          <w:szCs w:val="32"/>
          <w:shd w:val="clear" w:color="auto" w:fill="FFFFFF"/>
          <w:lang w:val="zh-CN"/>
        </w:rPr>
        <w:t>慰问奋战在防汛救灾</w:t>
      </w:r>
      <w:r>
        <w:rPr>
          <w:rFonts w:hint="eastAsia" w:ascii="仿宋_GB2312" w:hAnsi="仿宋_GB2312" w:eastAsia="仿宋_GB2312" w:cs="仿宋_GB2312"/>
          <w:kern w:val="0"/>
          <w:sz w:val="32"/>
          <w:szCs w:val="32"/>
          <w:shd w:val="clear" w:color="auto" w:fill="FFFFFF"/>
          <w:lang w:val="zh-CN" w:eastAsia="zh-CN" w:bidi="ar-SA"/>
        </w:rPr>
        <w:t>一线的基层党员、干部和群众，慰问因受灾严重而遇到生活困难的党员、群众，动员广大党员、干部冲锋在前</w:t>
      </w:r>
      <w:r>
        <w:rPr>
          <w:rFonts w:hint="eastAsia" w:ascii="仿宋_GB2312" w:hAnsi="仿宋_GB2312" w:eastAsia="仿宋_GB2312" w:cs="仿宋_GB2312"/>
          <w:kern w:val="0"/>
          <w:sz w:val="32"/>
          <w:szCs w:val="32"/>
          <w:shd w:val="clear" w:color="auto" w:fill="FFFFFF"/>
          <w:lang w:val="zh-CN"/>
        </w:rPr>
        <w:t>、勇于担当，充分发挥先锋模范作用。</w:t>
      </w:r>
      <w:r>
        <w:rPr>
          <w:rFonts w:hint="eastAsia" w:ascii="仿宋_GB2312" w:hAnsi="仿宋_GB2312" w:eastAsia="仿宋_GB2312" w:cs="仿宋_GB2312"/>
          <w:color w:val="auto"/>
          <w:kern w:val="0"/>
          <w:sz w:val="32"/>
          <w:szCs w:val="32"/>
          <w:highlight w:val="none"/>
          <w:u w:val="none"/>
          <w:shd w:val="clear" w:color="auto" w:fill="FFFFFF"/>
          <w:lang w:val="zh-CN" w:eastAsia="zh-CN"/>
        </w:rPr>
        <w:t>具体绩效目标包括：慰问人数</w:t>
      </w:r>
      <w:r>
        <w:rPr>
          <w:rFonts w:hint="eastAsia" w:ascii="仿宋_GB2312" w:hAnsi="仿宋_GB2312" w:eastAsia="仿宋_GB2312" w:cs="仿宋_GB2312"/>
          <w:color w:val="auto"/>
          <w:kern w:val="0"/>
          <w:sz w:val="32"/>
          <w:szCs w:val="32"/>
          <w:highlight w:val="none"/>
          <w:u w:val="none"/>
          <w:shd w:val="clear" w:color="auto" w:fill="FFFFFF"/>
          <w:lang w:val="en-US" w:eastAsia="zh-CN"/>
        </w:rPr>
        <w:t>12人</w:t>
      </w:r>
      <w:r>
        <w:rPr>
          <w:rFonts w:hint="eastAsia" w:ascii="仿宋_GB2312" w:hAnsi="仿宋_GB2312" w:eastAsia="仿宋_GB2312" w:cs="仿宋_GB2312"/>
          <w:color w:val="auto"/>
          <w:kern w:val="0"/>
          <w:sz w:val="32"/>
          <w:szCs w:val="32"/>
          <w:highlight w:val="none"/>
          <w:u w:val="none"/>
          <w:shd w:val="clear" w:color="auto" w:fill="FFFFFF"/>
          <w:lang w:val="zh-CN" w:eastAsia="zh-CN"/>
        </w:rPr>
        <w:t>，确保在202</w:t>
      </w:r>
      <w:r>
        <w:rPr>
          <w:rFonts w:hint="eastAsia" w:ascii="仿宋_GB2312" w:hAnsi="仿宋_GB2312" w:eastAsia="仿宋_GB2312" w:cs="仿宋_GB2312"/>
          <w:color w:val="auto"/>
          <w:kern w:val="0"/>
          <w:sz w:val="32"/>
          <w:szCs w:val="32"/>
          <w:highlight w:val="none"/>
          <w:u w:val="none"/>
          <w:shd w:val="clear" w:color="auto" w:fill="FFFFFF"/>
          <w:lang w:val="en-US" w:eastAsia="zh-CN"/>
        </w:rPr>
        <w:t>4</w:t>
      </w:r>
      <w:r>
        <w:rPr>
          <w:rFonts w:hint="eastAsia" w:ascii="仿宋_GB2312" w:hAnsi="仿宋_GB2312" w:eastAsia="仿宋_GB2312" w:cs="仿宋_GB2312"/>
          <w:color w:val="auto"/>
          <w:kern w:val="0"/>
          <w:sz w:val="32"/>
          <w:szCs w:val="32"/>
          <w:highlight w:val="none"/>
          <w:u w:val="none"/>
          <w:shd w:val="clear" w:color="auto" w:fill="FFFFFF"/>
          <w:lang w:val="zh-CN" w:eastAsia="zh-CN"/>
        </w:rPr>
        <w:t>年内完成所有资金发放，受益党员、群众满意度达到95%以上。</w:t>
      </w:r>
    </w:p>
    <w:p>
      <w:pPr>
        <w:keepNext w:val="0"/>
        <w:keepLines w:val="0"/>
        <w:pageBreakBefore w:val="0"/>
        <w:kinsoku/>
        <w:wordWrap/>
        <w:overflowPunct/>
        <w:topLinePunct w:val="0"/>
        <w:bidi w:val="0"/>
        <w:adjustRightInd w:val="0"/>
        <w:snapToGrid w:val="0"/>
        <w:spacing w:line="576" w:lineRule="exact"/>
        <w:ind w:firstLine="640" w:firstLineChars="200"/>
        <w:jc w:val="left"/>
        <w:textAlignment w:val="auto"/>
        <w:rPr>
          <w:rFonts w:ascii="黑体" w:hAnsi="宋体" w:eastAsia="黑体"/>
          <w:sz w:val="32"/>
          <w:szCs w:val="32"/>
        </w:rPr>
      </w:pPr>
      <w:r>
        <w:rPr>
          <w:rFonts w:hint="eastAsia" w:ascii="黑体" w:hAnsi="宋体" w:eastAsia="黑体"/>
          <w:sz w:val="32"/>
          <w:szCs w:val="32"/>
        </w:rPr>
        <w:t>二、评价实施</w:t>
      </w:r>
    </w:p>
    <w:p>
      <w:pPr>
        <w:pageBreakBefore w:val="0"/>
        <w:kinsoku/>
        <w:wordWrap/>
        <w:overflowPunct/>
        <w:topLinePunct w:val="0"/>
        <w:bidi w:val="0"/>
        <w:spacing w:line="576" w:lineRule="exact"/>
        <w:ind w:firstLine="640"/>
        <w:jc w:val="both"/>
        <w:rPr>
          <w:rFonts w:eastAsia="楷体_GB2312"/>
          <w:b/>
          <w:sz w:val="32"/>
          <w:szCs w:val="32"/>
          <w:lang w:val="zh-CN"/>
        </w:rPr>
      </w:pPr>
      <w:r>
        <w:rPr>
          <w:rFonts w:eastAsia="楷体_GB2312"/>
          <w:b/>
          <w:sz w:val="32"/>
          <w:szCs w:val="32"/>
          <w:lang w:val="zh-CN"/>
        </w:rPr>
        <w:t>（一）评价目的</w:t>
      </w:r>
    </w:p>
    <w:p>
      <w:pPr>
        <w:pageBreakBefore w:val="0"/>
        <w:kinsoku/>
        <w:wordWrap/>
        <w:overflowPunct/>
        <w:topLinePunct w:val="0"/>
        <w:bidi w:val="0"/>
        <w:spacing w:line="576" w:lineRule="exact"/>
        <w:ind w:firstLine="640"/>
        <w:jc w:val="both"/>
        <w:rPr>
          <w:rFonts w:hint="eastAsia"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kern w:val="0"/>
          <w:sz w:val="32"/>
          <w:szCs w:val="32"/>
          <w:shd w:val="clear" w:color="auto" w:fill="FFFFFF"/>
          <w:lang w:val="zh-CN"/>
        </w:rPr>
        <w:t>通过绩效自评，检验防汛救灾专项慰问资金在强化党建引领、保障受灾党员群众、激励基层党组织等方面的成效，查找资金使用中是否存在党员关怀不精准、党组织作用发挥不充分等问题，为优化党内关怀机制、提升防汛救灾中党建工作质效提供参考。</w:t>
      </w:r>
    </w:p>
    <w:p>
      <w:pPr>
        <w:keepNext w:val="0"/>
        <w:keepLines w:val="0"/>
        <w:pageBreakBefore w:val="0"/>
        <w:widowControl w:val="0"/>
        <w:numPr>
          <w:ilvl w:val="0"/>
          <w:numId w:val="3"/>
        </w:numPr>
        <w:kinsoku/>
        <w:wordWrap/>
        <w:overflowPunct/>
        <w:topLinePunct w:val="0"/>
        <w:autoSpaceDE/>
        <w:autoSpaceDN/>
        <w:bidi w:val="0"/>
        <w:adjustRightInd w:val="0"/>
        <w:snapToGrid w:val="0"/>
        <w:spacing w:line="576" w:lineRule="exact"/>
        <w:ind w:firstLine="642" w:firstLineChars="200"/>
        <w:jc w:val="both"/>
        <w:textAlignment w:val="auto"/>
        <w:rPr>
          <w:rFonts w:eastAsia="楷体_GB2312"/>
          <w:b/>
          <w:sz w:val="32"/>
          <w:szCs w:val="32"/>
          <w:lang w:val="zh-CN"/>
        </w:rPr>
      </w:pPr>
      <w:r>
        <w:rPr>
          <w:rFonts w:eastAsia="楷体_GB2312"/>
          <w:b/>
          <w:sz w:val="32"/>
          <w:szCs w:val="32"/>
          <w:lang w:val="zh-CN"/>
        </w:rPr>
        <w:t>预设问题及评价重点</w:t>
      </w:r>
    </w:p>
    <w:p>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textAlignment w:val="auto"/>
        <w:outlineLvl w:val="9"/>
        <w:rPr>
          <w:rFonts w:hint="eastAsia" w:cs="Times New Roman"/>
          <w:sz w:val="32"/>
          <w:szCs w:val="32"/>
          <w:lang w:eastAsia="zh-CN"/>
        </w:rPr>
      </w:pPr>
      <w:r>
        <w:rPr>
          <w:rFonts w:hint="eastAsia" w:eastAsia="仿宋_GB2312" w:cs="Times New Roman"/>
          <w:sz w:val="32"/>
          <w:szCs w:val="32"/>
        </w:rPr>
        <w:t>按照绩效评价指标体系，重点评价资金支出使用的合理性和及时性，以及项目在提升关心关爱因受灾严重而遇到生活困难的党员、群众和提高社会满意度方面的实际效果</w:t>
      </w:r>
      <w:r>
        <w:rPr>
          <w:rFonts w:hint="eastAsia" w:eastAsia="仿宋_GB2312" w:cs="Times New Roman"/>
          <w:sz w:val="32"/>
          <w:szCs w:val="32"/>
          <w:lang w:eastAsia="zh-CN"/>
        </w:rPr>
        <w:t>。</w:t>
      </w:r>
    </w:p>
    <w:p>
      <w:pPr>
        <w:keepNext w:val="0"/>
        <w:keepLines w:val="0"/>
        <w:pageBreakBefore w:val="0"/>
        <w:widowControl w:val="0"/>
        <w:numPr>
          <w:ilvl w:val="0"/>
          <w:numId w:val="3"/>
        </w:numPr>
        <w:kinsoku/>
        <w:wordWrap/>
        <w:overflowPunct/>
        <w:topLinePunct w:val="0"/>
        <w:autoSpaceDE/>
        <w:autoSpaceDN/>
        <w:bidi w:val="0"/>
        <w:adjustRightInd w:val="0"/>
        <w:snapToGrid w:val="0"/>
        <w:spacing w:line="576" w:lineRule="exact"/>
        <w:ind w:left="0" w:leftChars="0" w:firstLine="642" w:firstLineChars="200"/>
        <w:jc w:val="both"/>
        <w:textAlignment w:val="auto"/>
        <w:rPr>
          <w:rFonts w:eastAsia="楷体_GB2312"/>
          <w:b/>
          <w:sz w:val="32"/>
          <w:szCs w:val="32"/>
          <w:lang w:val="zh-CN"/>
        </w:rPr>
      </w:pPr>
      <w:r>
        <w:rPr>
          <w:rFonts w:eastAsia="楷体_GB2312"/>
          <w:b/>
          <w:sz w:val="32"/>
          <w:szCs w:val="32"/>
          <w:lang w:val="zh-CN"/>
        </w:rPr>
        <w:t>评价选点</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0" w:firstLineChars="200"/>
        <w:jc w:val="both"/>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抽取受灾集中村作为评价点位。</w:t>
      </w:r>
    </w:p>
    <w:p>
      <w:pPr>
        <w:keepNext w:val="0"/>
        <w:keepLines w:val="0"/>
        <w:pageBreakBefore w:val="0"/>
        <w:widowControl w:val="0"/>
        <w:numPr>
          <w:ilvl w:val="0"/>
          <w:numId w:val="3"/>
        </w:numPr>
        <w:kinsoku/>
        <w:wordWrap/>
        <w:overflowPunct/>
        <w:topLinePunct w:val="0"/>
        <w:autoSpaceDE/>
        <w:autoSpaceDN/>
        <w:bidi w:val="0"/>
        <w:spacing w:line="576" w:lineRule="exact"/>
        <w:ind w:left="0" w:leftChars="0" w:firstLine="642" w:firstLineChars="200"/>
        <w:textAlignment w:val="auto"/>
        <w:outlineLvl w:val="9"/>
        <w:rPr>
          <w:rFonts w:eastAsia="楷体_GB2312"/>
          <w:b/>
          <w:sz w:val="32"/>
          <w:szCs w:val="32"/>
          <w:lang w:val="zh-CN"/>
        </w:rPr>
      </w:pPr>
      <w:r>
        <w:rPr>
          <w:rFonts w:eastAsia="楷体_GB2312"/>
          <w:b/>
          <w:sz w:val="32"/>
          <w:szCs w:val="32"/>
          <w:lang w:val="zh-CN"/>
        </w:rPr>
        <w:t>评价方法</w:t>
      </w:r>
    </w:p>
    <w:p>
      <w:pPr>
        <w:keepNext w:val="0"/>
        <w:keepLines w:val="0"/>
        <w:pageBreakBefore w:val="0"/>
        <w:widowControl w:val="0"/>
        <w:numPr>
          <w:ilvl w:val="0"/>
          <w:numId w:val="0"/>
        </w:numPr>
        <w:kinsoku/>
        <w:wordWrap/>
        <w:overflowPunct/>
        <w:topLinePunct w:val="0"/>
        <w:autoSpaceDE/>
        <w:autoSpaceDN/>
        <w:bidi w:val="0"/>
        <w:spacing w:line="576"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评价方法包括成本效益分析法和问卷调查法。通过对资金使用情况的审计和受益群众的满意度调查，全面评估项目的实施效果和绩效目标的实现情况</w:t>
      </w:r>
      <w:r>
        <w:rPr>
          <w:rFonts w:hint="eastAsia" w:ascii="仿宋_GB2312" w:hAnsi="仿宋_GB2312" w:eastAsia="仿宋_GB2312" w:cs="仿宋_GB2312"/>
          <w:sz w:val="32"/>
          <w:szCs w:val="32"/>
          <w:lang w:eastAsia="zh-CN"/>
        </w:rPr>
        <w:t>。</w:t>
      </w:r>
    </w:p>
    <w:p>
      <w:pPr>
        <w:keepNext w:val="0"/>
        <w:keepLines w:val="0"/>
        <w:pageBreakBefore w:val="0"/>
        <w:widowControl w:val="0"/>
        <w:numPr>
          <w:ilvl w:val="0"/>
          <w:numId w:val="3"/>
        </w:numPr>
        <w:kinsoku/>
        <w:wordWrap/>
        <w:overflowPunct/>
        <w:topLinePunct w:val="0"/>
        <w:autoSpaceDE/>
        <w:autoSpaceDN/>
        <w:bidi w:val="0"/>
        <w:spacing w:line="576" w:lineRule="exact"/>
        <w:ind w:left="0" w:leftChars="0" w:firstLine="642" w:firstLineChars="200"/>
        <w:textAlignment w:val="auto"/>
        <w:outlineLvl w:val="9"/>
        <w:rPr>
          <w:rFonts w:eastAsia="楷体_GB2312"/>
          <w:b/>
          <w:sz w:val="32"/>
          <w:szCs w:val="32"/>
          <w:lang w:val="zh-CN"/>
        </w:rPr>
      </w:pPr>
      <w:r>
        <w:rPr>
          <w:rFonts w:eastAsia="楷体_GB2312"/>
          <w:b/>
          <w:sz w:val="32"/>
          <w:szCs w:val="32"/>
          <w:lang w:val="zh-CN"/>
        </w:rPr>
        <w:t>评价组织</w:t>
      </w:r>
    </w:p>
    <w:p>
      <w:pPr>
        <w:keepNext w:val="0"/>
        <w:keepLines w:val="0"/>
        <w:pageBreakBefore w:val="0"/>
        <w:widowControl w:val="0"/>
        <w:numPr>
          <w:ilvl w:val="0"/>
          <w:numId w:val="0"/>
        </w:numPr>
        <w:kinsoku/>
        <w:wordWrap/>
        <w:overflowPunct/>
        <w:topLinePunct w:val="0"/>
        <w:autoSpaceDE/>
        <w:autoSpaceDN/>
        <w:bidi w:val="0"/>
        <w:spacing w:line="576" w:lineRule="exact"/>
        <w:ind w:firstLine="640" w:firstLineChars="200"/>
        <w:textAlignment w:val="auto"/>
        <w:outlineLvl w:val="9"/>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rPr>
        <w:t>评价组由</w:t>
      </w:r>
      <w:r>
        <w:rPr>
          <w:rFonts w:hint="eastAsia" w:ascii="仿宋_GB2312" w:hAnsi="仿宋_GB2312" w:eastAsia="仿宋_GB2312" w:cs="仿宋_GB2312"/>
          <w:sz w:val="32"/>
          <w:szCs w:val="32"/>
          <w:lang w:val="en-US" w:eastAsia="zh-CN"/>
        </w:rPr>
        <w:t>茂县叠溪镇人民</w:t>
      </w:r>
      <w:r>
        <w:rPr>
          <w:rFonts w:hint="eastAsia" w:ascii="仿宋_GB2312" w:hAnsi="仿宋_GB2312" w:eastAsia="仿宋_GB2312" w:cs="仿宋_GB2312"/>
          <w:sz w:val="32"/>
          <w:szCs w:val="32"/>
        </w:rPr>
        <w:t>政府的4名工作人员组成，分别负责资料收集、数据分析、问卷设计与实施、以及报告撰写工作</w:t>
      </w:r>
      <w:r>
        <w:rPr>
          <w:rFonts w:hint="eastAsia" w:ascii="仿宋_GB2312" w:hAnsi="仿宋_GB2312" w:eastAsia="仿宋_GB2312" w:cs="仿宋_GB2312"/>
          <w:sz w:val="32"/>
          <w:szCs w:val="32"/>
          <w:lang w:eastAsia="zh-CN"/>
        </w:rPr>
        <w:t>。</w:t>
      </w:r>
    </w:p>
    <w:p>
      <w:pPr>
        <w:keepNext w:val="0"/>
        <w:keepLines w:val="0"/>
        <w:pageBreakBefore w:val="0"/>
        <w:kinsoku/>
        <w:wordWrap/>
        <w:overflowPunct/>
        <w:topLinePunct w:val="0"/>
        <w:bidi w:val="0"/>
        <w:adjustRightInd w:val="0"/>
        <w:snapToGrid w:val="0"/>
        <w:spacing w:line="576" w:lineRule="exact"/>
        <w:ind w:firstLine="640" w:firstLineChars="200"/>
        <w:jc w:val="left"/>
        <w:textAlignment w:val="auto"/>
        <w:rPr>
          <w:rFonts w:hint="eastAsia" w:ascii="仿宋_GB2312" w:hAnsi="宋体"/>
          <w:sz w:val="32"/>
          <w:szCs w:val="32"/>
          <w:lang w:val="zh-CN"/>
        </w:rPr>
      </w:pPr>
      <w:r>
        <w:rPr>
          <w:rFonts w:hint="eastAsia" w:ascii="黑体" w:hAnsi="宋体" w:eastAsia="黑体"/>
          <w:sz w:val="32"/>
          <w:szCs w:val="32"/>
        </w:rPr>
        <w:t>三、绩效分析</w:t>
      </w:r>
      <w:r>
        <w:rPr>
          <w:rFonts w:hint="eastAsia" w:ascii="仿宋_GB2312" w:hAnsi="宋体"/>
          <w:sz w:val="32"/>
          <w:szCs w:val="32"/>
          <w:lang w:val="zh-CN"/>
        </w:rPr>
        <w:tab/>
      </w:r>
    </w:p>
    <w:p>
      <w:pPr>
        <w:keepNext w:val="0"/>
        <w:keepLines w:val="0"/>
        <w:pageBreakBefore w:val="0"/>
        <w:kinsoku/>
        <w:wordWrap/>
        <w:overflowPunct/>
        <w:topLinePunct w:val="0"/>
        <w:autoSpaceDE/>
        <w:autoSpaceDN/>
        <w:bidi w:val="0"/>
        <w:adjustRightInd w:val="0"/>
        <w:snapToGrid w:val="0"/>
        <w:spacing w:line="576" w:lineRule="exact"/>
        <w:ind w:firstLine="720"/>
        <w:jc w:val="left"/>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eastAsia="zh-CN"/>
        </w:rPr>
        <w:t>数量指标</w:t>
      </w:r>
      <w:r>
        <w:rPr>
          <w:rFonts w:hint="eastAsia" w:ascii="仿宋_GB2312" w:hAnsi="仿宋_GB2312" w:eastAsia="仿宋_GB2312" w:cs="仿宋_GB2312"/>
          <w:sz w:val="32"/>
          <w:szCs w:val="32"/>
          <w:lang w:val="en-US" w:eastAsia="zh-CN"/>
        </w:rPr>
        <w:t>是涉及行政村个数13个，该指标权重为20；时效指标完成年度2024年，该指标权重为20；经济效益指标为受慰问群众获得慰问金0.60万元，该指标权重为10；社会效益指标为受益人口数12人，该指标权重为10；可持续影响指标为充分发挥先锋模范作用，全力做好防汛救灾相关工作，该指标权重为10；满意度指标为受益人口满意度95%，该指标权重为10；成本指标为投入资金35.00万</w:t>
      </w:r>
      <w:r>
        <w:rPr>
          <w:rFonts w:hint="eastAsia" w:ascii="仿宋_GB2312" w:hAnsi="仿宋_GB2312" w:eastAsia="仿宋_GB2312" w:cs="仿宋_GB2312"/>
          <w:sz w:val="32"/>
          <w:szCs w:val="32"/>
          <w:lang w:val="zh-CN"/>
        </w:rPr>
        <w:t>元</w:t>
      </w:r>
      <w:r>
        <w:rPr>
          <w:rFonts w:hint="eastAsia" w:ascii="仿宋_GB2312" w:hAnsi="仿宋_GB2312" w:eastAsia="仿宋_GB2312" w:cs="仿宋_GB2312"/>
          <w:sz w:val="32"/>
          <w:szCs w:val="32"/>
          <w:lang w:val="en-US" w:eastAsia="zh-CN"/>
        </w:rPr>
        <w:t>，该指标权重为10。</w:t>
      </w:r>
    </w:p>
    <w:p>
      <w:pPr>
        <w:pageBreakBefore w:val="0"/>
        <w:kinsoku/>
        <w:wordWrap/>
        <w:overflowPunct/>
        <w:topLinePunct w:val="0"/>
        <w:bidi w:val="0"/>
        <w:spacing w:line="576" w:lineRule="exact"/>
        <w:ind w:firstLine="640"/>
        <w:jc w:val="both"/>
        <w:rPr>
          <w:rFonts w:eastAsia="楷体_GB2312"/>
          <w:b/>
          <w:sz w:val="32"/>
          <w:szCs w:val="32"/>
        </w:rPr>
      </w:pPr>
      <w:r>
        <w:rPr>
          <w:rFonts w:eastAsia="楷体_GB2312"/>
          <w:b/>
          <w:sz w:val="32"/>
          <w:szCs w:val="32"/>
          <w:lang w:val="zh-CN"/>
        </w:rPr>
        <w:t>（一）</w:t>
      </w:r>
      <w:r>
        <w:rPr>
          <w:rFonts w:eastAsia="楷体_GB2312"/>
          <w:b/>
          <w:sz w:val="32"/>
          <w:szCs w:val="32"/>
        </w:rPr>
        <w:t>通用指标</w:t>
      </w:r>
      <w:r>
        <w:rPr>
          <w:rFonts w:eastAsia="楷体_GB2312"/>
          <w:b/>
          <w:bCs/>
          <w:color w:val="000000"/>
          <w:kern w:val="0"/>
          <w:sz w:val="32"/>
          <w:szCs w:val="32"/>
          <w:shd w:val="clear" w:color="auto" w:fill="FFFFFF"/>
          <w:lang w:val="zh-CN"/>
        </w:rPr>
        <w:t>绩效分析</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eastAsia" w:ascii="仿宋_GB2312" w:hAnsi="仿宋_GB2312" w:eastAsia="仿宋_GB2312" w:cs="仿宋_GB2312"/>
          <w:color w:val="auto"/>
          <w:sz w:val="32"/>
          <w:szCs w:val="32"/>
          <w:lang w:eastAsia="zh-CN"/>
        </w:rPr>
      </w:pPr>
      <w:r>
        <w:rPr>
          <w:rFonts w:hint="eastAsia" w:eastAsia="楷体_GB2312"/>
          <w:sz w:val="32"/>
          <w:szCs w:val="32"/>
          <w:lang w:val="en-US" w:eastAsia="zh-CN"/>
        </w:rPr>
        <w:t>1、项目决策：</w:t>
      </w:r>
      <w:r>
        <w:rPr>
          <w:rFonts w:hint="eastAsia" w:ascii="仿宋_GB2312" w:hAnsi="仿宋_GB2312" w:eastAsia="仿宋_GB2312" w:cs="仿宋_GB2312"/>
          <w:color w:val="auto"/>
          <w:sz w:val="32"/>
          <w:szCs w:val="32"/>
          <w:lang w:eastAsia="zh-CN"/>
        </w:rPr>
        <w:t>项目决策程序合规，符合改善困难群众生活条件的政策要求，决策科学合理。</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eastAsia" w:ascii="仿宋_GB2312" w:hAnsi="仿宋_GB2312" w:eastAsia="仿宋_GB2312" w:cs="仿宋_GB2312"/>
          <w:color w:val="auto"/>
          <w:sz w:val="32"/>
          <w:szCs w:val="32"/>
          <w:lang w:eastAsia="zh-CN"/>
        </w:rPr>
      </w:pPr>
      <w:r>
        <w:rPr>
          <w:rFonts w:hint="eastAsia" w:eastAsia="楷体_GB2312"/>
          <w:sz w:val="32"/>
          <w:szCs w:val="32"/>
          <w:lang w:val="en-US" w:eastAsia="zh-CN"/>
        </w:rPr>
        <w:t>2、项目管理：</w:t>
      </w:r>
      <w:r>
        <w:rPr>
          <w:rFonts w:hint="eastAsia" w:ascii="仿宋_GB2312" w:hAnsi="仿宋_GB2312" w:eastAsia="仿宋_GB2312" w:cs="仿宋_GB2312"/>
          <w:color w:val="auto"/>
          <w:sz w:val="32"/>
          <w:szCs w:val="32"/>
          <w:lang w:eastAsia="zh-CN"/>
        </w:rPr>
        <w:t>项目管理制度健全，资金发放率达到100%，资金拨付及时到位，工作效率高。</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eastAsia" w:ascii="仿宋_GB2312" w:hAnsi="仿宋_GB2312" w:eastAsia="仿宋_GB2312" w:cs="仿宋_GB2312"/>
          <w:color w:val="auto"/>
          <w:sz w:val="32"/>
          <w:szCs w:val="32"/>
          <w:lang w:eastAsia="zh-CN"/>
        </w:rPr>
      </w:pPr>
      <w:r>
        <w:rPr>
          <w:rFonts w:hint="eastAsia" w:eastAsia="楷体_GB2312"/>
          <w:sz w:val="32"/>
          <w:szCs w:val="32"/>
          <w:lang w:val="en-US" w:eastAsia="zh-CN"/>
        </w:rPr>
        <w:t>3、项目实施：</w:t>
      </w:r>
      <w:r>
        <w:rPr>
          <w:rFonts w:hint="eastAsia" w:ascii="仿宋_GB2312" w:hAnsi="仿宋_GB2312" w:eastAsia="仿宋_GB2312" w:cs="仿宋_GB2312"/>
          <w:color w:val="auto"/>
          <w:sz w:val="32"/>
          <w:szCs w:val="32"/>
          <w:lang w:eastAsia="zh-CN"/>
        </w:rPr>
        <w:t>预算执行情况良好，实际执行金额与预算安排一致，所有慰问金在202</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lang w:eastAsia="zh-CN"/>
        </w:rPr>
        <w:t>年内按时发放。</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eastAsia="楷体_GB2312"/>
          <w:sz w:val="32"/>
          <w:szCs w:val="32"/>
          <w:lang w:val="en-US" w:eastAsia="zh-CN"/>
        </w:rPr>
        <w:t>4、项目结果：</w:t>
      </w:r>
      <w:r>
        <w:rPr>
          <w:rFonts w:hint="eastAsia" w:ascii="仿宋_GB2312" w:hAnsi="仿宋_GB2312" w:eastAsia="仿宋_GB2312" w:cs="仿宋_GB2312"/>
          <w:color w:val="auto"/>
          <w:sz w:val="32"/>
          <w:szCs w:val="32"/>
          <w:lang w:eastAsia="zh-CN"/>
        </w:rPr>
        <w:t>项目绩效目标全面实现，</w:t>
      </w:r>
      <w:r>
        <w:rPr>
          <w:rFonts w:hint="eastAsia" w:ascii="仿宋_GB2312" w:hAnsi="仿宋_GB2312" w:eastAsia="仿宋_GB2312" w:cs="仿宋_GB2312"/>
          <w:kern w:val="0"/>
          <w:sz w:val="32"/>
          <w:szCs w:val="32"/>
          <w:shd w:val="clear" w:color="auto" w:fill="FFFFFF"/>
          <w:lang w:val="en-US" w:eastAsia="zh-CN"/>
        </w:rPr>
        <w:t>基层党员、干部</w:t>
      </w:r>
      <w:r>
        <w:rPr>
          <w:rFonts w:hint="eastAsia" w:ascii="仿宋_GB2312" w:hAnsi="仿宋_GB2312" w:eastAsia="仿宋_GB2312" w:cs="仿宋_GB2312"/>
          <w:color w:val="auto"/>
          <w:sz w:val="32"/>
          <w:szCs w:val="32"/>
          <w:lang w:eastAsia="zh-CN"/>
        </w:rPr>
        <w:t>幸福感提升显著，</w:t>
      </w:r>
      <w:r>
        <w:rPr>
          <w:rFonts w:hint="eastAsia" w:ascii="仿宋_GB2312" w:hAnsi="仿宋_GB2312" w:eastAsia="仿宋_GB2312" w:cs="仿宋_GB2312"/>
          <w:kern w:val="0"/>
          <w:sz w:val="32"/>
          <w:szCs w:val="32"/>
          <w:shd w:val="clear" w:color="auto" w:fill="FFFFFF"/>
          <w:lang w:val="en-US" w:eastAsia="zh-CN"/>
        </w:rPr>
        <w:t>基层党员、干部</w:t>
      </w:r>
      <w:r>
        <w:rPr>
          <w:rFonts w:hint="eastAsia" w:ascii="仿宋_GB2312" w:hAnsi="仿宋_GB2312" w:eastAsia="仿宋_GB2312" w:cs="仿宋_GB2312"/>
          <w:color w:val="auto"/>
          <w:sz w:val="32"/>
          <w:szCs w:val="32"/>
          <w:lang w:eastAsia="zh-CN"/>
        </w:rPr>
        <w:t>满意度达到95%以上。</w:t>
      </w:r>
    </w:p>
    <w:p>
      <w:pPr>
        <w:pageBreakBefore w:val="0"/>
        <w:widowControl w:val="0"/>
        <w:kinsoku/>
        <w:wordWrap/>
        <w:overflowPunct/>
        <w:topLinePunct w:val="0"/>
        <w:autoSpaceDE/>
        <w:autoSpaceDN/>
        <w:bidi w:val="0"/>
        <w:adjustRightInd/>
        <w:snapToGrid/>
        <w:spacing w:line="576" w:lineRule="exact"/>
        <w:ind w:firstLine="642" w:firstLineChars="200"/>
        <w:jc w:val="both"/>
        <w:textAlignment w:val="auto"/>
        <w:rPr>
          <w:rFonts w:eastAsia="楷体_GB2312"/>
          <w:b/>
          <w:bCs/>
          <w:color w:val="000000"/>
          <w:kern w:val="0"/>
          <w:sz w:val="32"/>
          <w:szCs w:val="32"/>
          <w:shd w:val="clear" w:color="auto" w:fill="FFFFFF"/>
          <w:lang w:val="zh-CN"/>
        </w:rPr>
      </w:pPr>
      <w:r>
        <w:rPr>
          <w:rFonts w:eastAsia="楷体_GB2312"/>
          <w:b/>
          <w:sz w:val="32"/>
          <w:szCs w:val="32"/>
          <w:lang w:val="zh-CN"/>
        </w:rPr>
        <w:t>（二）</w:t>
      </w:r>
      <w:r>
        <w:rPr>
          <w:rFonts w:eastAsia="楷体_GB2312"/>
          <w:b/>
          <w:sz w:val="32"/>
          <w:szCs w:val="32"/>
        </w:rPr>
        <w:t>专用指标</w:t>
      </w:r>
      <w:r>
        <w:rPr>
          <w:rFonts w:eastAsia="楷体_GB2312"/>
          <w:b/>
          <w:bCs/>
          <w:color w:val="000000"/>
          <w:kern w:val="0"/>
          <w:sz w:val="32"/>
          <w:szCs w:val="32"/>
          <w:shd w:val="clear" w:color="auto" w:fill="FFFFFF"/>
          <w:lang w:val="zh-CN"/>
        </w:rPr>
        <w:t>绩效分析</w:t>
      </w:r>
    </w:p>
    <w:p>
      <w:pPr>
        <w:pStyle w:val="21"/>
        <w:pageBreakBefore w:val="0"/>
        <w:widowControl w:val="0"/>
        <w:kinsoku/>
        <w:wordWrap/>
        <w:overflowPunct/>
        <w:topLinePunct w:val="0"/>
        <w:autoSpaceDE/>
        <w:autoSpaceDN/>
        <w:bidi w:val="0"/>
        <w:adjustRightInd/>
        <w:snapToGrid/>
        <w:spacing w:before="0" w:after="0" w:line="576" w:lineRule="exact"/>
        <w:ind w:firstLine="640" w:firstLineChars="200"/>
        <w:textAlignment w:val="auto"/>
        <w:rPr>
          <w:rFonts w:hint="eastAsia" w:ascii="Times New Roman" w:hAnsi="Times New Roman" w:eastAsia="仿宋_GB2312" w:cs="Times New Roman"/>
          <w:b w:val="0"/>
          <w:color w:val="auto"/>
          <w:kern w:val="2"/>
          <w:sz w:val="32"/>
          <w:szCs w:val="32"/>
          <w:lang w:val="zh-CN" w:eastAsia="zh-CN" w:bidi="ar-SA"/>
        </w:rPr>
      </w:pPr>
      <w:r>
        <w:rPr>
          <w:rFonts w:hint="eastAsia" w:ascii="Times New Roman" w:hAnsi="Times New Roman" w:eastAsia="仿宋_GB2312" w:cs="Times New Roman"/>
          <w:b w:val="0"/>
          <w:color w:val="auto"/>
          <w:kern w:val="2"/>
          <w:sz w:val="32"/>
          <w:szCs w:val="32"/>
          <w:lang w:val="zh-CN" w:eastAsia="zh-CN" w:bidi="ar-SA"/>
        </w:rPr>
        <w:t>社会效益：通过发放慰问金，</w:t>
      </w:r>
      <w:r>
        <w:rPr>
          <w:rFonts w:hint="eastAsia" w:ascii="Times New Roman" w:hAnsi="Times New Roman" w:eastAsia="仿宋_GB2312" w:cs="Times New Roman"/>
          <w:b w:val="0"/>
          <w:color w:val="auto"/>
          <w:kern w:val="2"/>
          <w:sz w:val="32"/>
          <w:szCs w:val="32"/>
          <w:lang w:val="en-US" w:eastAsia="zh-CN" w:bidi="ar-SA"/>
        </w:rPr>
        <w:t>体现了叠溪镇</w:t>
      </w:r>
      <w:r>
        <w:rPr>
          <w:rFonts w:hint="eastAsia" w:ascii="Times New Roman" w:hAnsi="Times New Roman" w:eastAsia="仿宋_GB2312" w:cs="Times New Roman"/>
          <w:b w:val="0"/>
          <w:color w:val="auto"/>
          <w:kern w:val="2"/>
          <w:sz w:val="32"/>
          <w:szCs w:val="32"/>
          <w:lang w:val="zh-CN" w:eastAsia="zh-CN" w:bidi="ar-SA"/>
        </w:rPr>
        <w:t>关心关爱因受灾严重而遇到生活困难的党员、群众。</w:t>
      </w:r>
    </w:p>
    <w:p>
      <w:pPr>
        <w:keepNext w:val="0"/>
        <w:keepLines w:val="0"/>
        <w:pageBreakBefore w:val="0"/>
        <w:widowControl w:val="0"/>
        <w:kinsoku/>
        <w:wordWrap/>
        <w:overflowPunct/>
        <w:topLinePunct w:val="0"/>
        <w:autoSpaceDE/>
        <w:autoSpaceDN/>
        <w:bidi w:val="0"/>
        <w:adjustRightInd/>
        <w:snapToGrid/>
        <w:spacing w:line="576" w:lineRule="exact"/>
        <w:ind w:firstLine="640"/>
        <w:textAlignment w:val="auto"/>
        <w:outlineLvl w:val="9"/>
        <w:rPr>
          <w:rFonts w:hint="default" w:ascii="Times New Roman" w:hAnsi="Times New Roman" w:eastAsia="楷体_GB2312" w:cs="Times New Roman"/>
          <w:b/>
          <w:bCs/>
          <w:color w:val="000000"/>
          <w:kern w:val="0"/>
          <w:sz w:val="32"/>
          <w:szCs w:val="32"/>
          <w:highlight w:val="none"/>
          <w:shd w:val="clear" w:color="auto" w:fill="FFFFFF"/>
          <w:lang w:val="zh-CN"/>
        </w:rPr>
      </w:pPr>
      <w:r>
        <w:rPr>
          <w:rFonts w:hint="eastAsia" w:ascii="楷体_GB2312" w:hAnsi="宋体" w:eastAsia="楷体_GB2312" w:cs="Times New Roman"/>
          <w:b/>
          <w:color w:val="auto"/>
          <w:sz w:val="32"/>
          <w:szCs w:val="32"/>
          <w:highlight w:val="none"/>
          <w:u w:val="none"/>
          <w:lang w:val="zh-CN"/>
        </w:rPr>
        <w:t>（三）</w:t>
      </w:r>
      <w:r>
        <w:rPr>
          <w:rFonts w:hint="eastAsia" w:ascii="楷体_GB2312" w:hAnsi="宋体" w:eastAsia="楷体_GB2312" w:cs="Times New Roman"/>
          <w:b/>
          <w:color w:val="auto"/>
          <w:sz w:val="32"/>
          <w:szCs w:val="32"/>
          <w:highlight w:val="none"/>
          <w:u w:val="none"/>
          <w:lang w:val="en-US" w:eastAsia="zh-CN"/>
        </w:rPr>
        <w:t>个性指标</w:t>
      </w:r>
      <w:r>
        <w:rPr>
          <w:rFonts w:hint="default" w:ascii="Times New Roman" w:hAnsi="Times New Roman" w:eastAsia="楷体_GB2312" w:cs="Times New Roman"/>
          <w:b/>
          <w:bCs/>
          <w:color w:val="000000"/>
          <w:kern w:val="0"/>
          <w:sz w:val="32"/>
          <w:szCs w:val="32"/>
          <w:highlight w:val="none"/>
          <w:shd w:val="clear" w:color="auto" w:fill="FFFFFF"/>
          <w:lang w:val="zh-CN"/>
        </w:rPr>
        <w:t>绩效分析</w:t>
      </w:r>
    </w:p>
    <w:p>
      <w:pPr>
        <w:keepNext w:val="0"/>
        <w:keepLines w:val="0"/>
        <w:pageBreakBefore w:val="0"/>
        <w:widowControl w:val="0"/>
        <w:kinsoku/>
        <w:wordWrap/>
        <w:overflowPunct/>
        <w:topLinePunct w:val="0"/>
        <w:autoSpaceDE/>
        <w:autoSpaceDN/>
        <w:bidi w:val="0"/>
        <w:adjustRightInd/>
        <w:snapToGrid/>
        <w:spacing w:line="576" w:lineRule="exact"/>
        <w:ind w:firstLine="640"/>
        <w:textAlignment w:val="auto"/>
        <w:outlineLvl w:val="9"/>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color w:val="auto"/>
          <w:sz w:val="32"/>
          <w:szCs w:val="32"/>
          <w:lang w:val="zh-CN" w:eastAsia="zh-CN"/>
        </w:rPr>
        <w:t>满意度指标：根据问卷调查结果，受益党员、群众满意度达到了95%以上，表明项目实施效果显著，得到了广泛认可。</w:t>
      </w:r>
    </w:p>
    <w:p>
      <w:pPr>
        <w:pStyle w:val="6"/>
        <w:keepNext w:val="0"/>
        <w:keepLines w:val="0"/>
        <w:pageBreakBefore w:val="0"/>
        <w:tabs>
          <w:tab w:val="left" w:pos="2160"/>
        </w:tabs>
        <w:kinsoku/>
        <w:wordWrap/>
        <w:overflowPunct/>
        <w:topLinePunct w:val="0"/>
        <w:bidi w:val="0"/>
        <w:spacing w:line="576" w:lineRule="exact"/>
        <w:ind w:firstLine="640" w:firstLineChars="200"/>
        <w:jc w:val="left"/>
        <w:textAlignment w:val="auto"/>
        <w:rPr>
          <w:rFonts w:hint="eastAsia" w:ascii="黑体" w:hAnsi="黑体" w:eastAsia="黑体" w:cs="黑体"/>
          <w:sz w:val="32"/>
          <w:szCs w:val="32"/>
          <w:lang w:val="zh-CN" w:eastAsia="zh-CN"/>
        </w:rPr>
      </w:pPr>
      <w:r>
        <w:rPr>
          <w:rFonts w:hint="eastAsia" w:ascii="黑体" w:hAnsi="黑体" w:eastAsia="黑体" w:cs="黑体"/>
          <w:sz w:val="32"/>
          <w:szCs w:val="32"/>
          <w:lang w:val="zh-CN" w:eastAsia="zh-CN"/>
        </w:rPr>
        <w:t>四、评价结论</w:t>
      </w:r>
    </w:p>
    <w:p>
      <w:pPr>
        <w:keepNext w:val="0"/>
        <w:keepLines w:val="0"/>
        <w:pageBreakBefore w:val="0"/>
        <w:tabs>
          <w:tab w:val="left" w:pos="1911"/>
        </w:tabs>
        <w:kinsoku/>
        <w:wordWrap/>
        <w:overflowPunct/>
        <w:topLinePunct w:val="0"/>
        <w:bidi w:val="0"/>
        <w:spacing w:line="576" w:lineRule="exact"/>
        <w:ind w:firstLine="640" w:firstLineChars="200"/>
        <w:jc w:val="left"/>
        <w:textAlignment w:val="auto"/>
        <w:rPr>
          <w:rFonts w:hint="eastAsia" w:ascii="仿宋_GB2312" w:hAnsi="仿宋_GB2312" w:eastAsia="仿宋_GB2312" w:cs="仿宋_GB2312"/>
          <w:kern w:val="0"/>
          <w:sz w:val="32"/>
          <w:szCs w:val="32"/>
          <w:lang w:val="zh-CN" w:eastAsia="zh-CN"/>
        </w:rPr>
      </w:pPr>
      <w:r>
        <w:rPr>
          <w:rFonts w:hint="eastAsia" w:ascii="仿宋_GB2312" w:hAnsi="仿宋_GB2312" w:eastAsia="仿宋_GB2312" w:cs="仿宋_GB2312"/>
          <w:kern w:val="0"/>
          <w:sz w:val="32"/>
          <w:szCs w:val="32"/>
          <w:lang w:val="zh-CN" w:eastAsia="zh-CN"/>
        </w:rPr>
        <w:t>项目管理做到了管理规范，操作阳光透明，运行有序高效，态度优质，群众满意度高。在项目管理上，通过逐步规范申报审批支付程序，确保了资金高效运转。在资金管理上，严格按照财务制度，确保了资金及时到位和使用。</w:t>
      </w:r>
    </w:p>
    <w:p>
      <w:pPr>
        <w:pStyle w:val="6"/>
        <w:keepNext w:val="0"/>
        <w:keepLines w:val="0"/>
        <w:pageBreakBefore w:val="0"/>
        <w:tabs>
          <w:tab w:val="left" w:pos="2160"/>
        </w:tabs>
        <w:kinsoku/>
        <w:wordWrap/>
        <w:overflowPunct/>
        <w:topLinePunct w:val="0"/>
        <w:bidi w:val="0"/>
        <w:spacing w:line="576" w:lineRule="exact"/>
        <w:ind w:firstLine="640" w:firstLineChars="200"/>
        <w:jc w:val="left"/>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五、存在主要问题</w:t>
      </w:r>
    </w:p>
    <w:p>
      <w:pPr>
        <w:keepNext w:val="0"/>
        <w:keepLines w:val="0"/>
        <w:pageBreakBefore w:val="0"/>
        <w:widowControl w:val="0"/>
        <w:kinsoku/>
        <w:wordWrap/>
        <w:overflowPunct/>
        <w:topLinePunct w:val="0"/>
        <w:autoSpaceDE/>
        <w:autoSpaceDN/>
        <w:bidi w:val="0"/>
        <w:spacing w:line="576" w:lineRule="exact"/>
        <w:ind w:firstLine="64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专项预算项目绩效自评未发现问题。</w:t>
      </w:r>
    </w:p>
    <w:p>
      <w:pPr>
        <w:pStyle w:val="6"/>
        <w:keepNext w:val="0"/>
        <w:keepLines w:val="0"/>
        <w:pageBreakBefore w:val="0"/>
        <w:tabs>
          <w:tab w:val="left" w:pos="2160"/>
        </w:tabs>
        <w:kinsoku/>
        <w:wordWrap/>
        <w:overflowPunct/>
        <w:topLinePunct w:val="0"/>
        <w:bidi w:val="0"/>
        <w:spacing w:line="576" w:lineRule="exact"/>
        <w:ind w:firstLine="640" w:firstLineChars="200"/>
        <w:jc w:val="left"/>
        <w:textAlignment w:val="auto"/>
        <w:rPr>
          <w:rFonts w:hint="eastAsia" w:ascii="黑体" w:hAnsi="黑体" w:eastAsia="黑体" w:cs="黑体"/>
          <w:sz w:val="32"/>
          <w:szCs w:val="32"/>
          <w:lang w:val="zh-CN" w:eastAsia="zh-CN"/>
        </w:rPr>
      </w:pPr>
      <w:r>
        <w:rPr>
          <w:rFonts w:hint="eastAsia" w:ascii="黑体" w:hAnsi="黑体" w:eastAsia="黑体" w:cs="黑体"/>
          <w:sz w:val="32"/>
          <w:szCs w:val="32"/>
          <w:lang w:val="zh-CN" w:eastAsia="zh-CN"/>
        </w:rPr>
        <w:t>六、改进建议</w:t>
      </w:r>
    </w:p>
    <w:p>
      <w:pPr>
        <w:keepNext w:val="0"/>
        <w:keepLines w:val="0"/>
        <w:pageBreakBefore w:val="0"/>
        <w:widowControl w:val="0"/>
        <w:kinsoku/>
        <w:wordWrap/>
        <w:overflowPunct/>
        <w:topLinePunct w:val="0"/>
        <w:autoSpaceDE/>
        <w:autoSpaceDN/>
        <w:bidi w:val="0"/>
        <w:spacing w:line="576" w:lineRule="exact"/>
        <w:ind w:firstLine="64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无专项预算项目在预算安排、完善政策、改进管理等方面的措施建议。</w:t>
      </w:r>
    </w:p>
    <w:p>
      <w:pPr>
        <w:keepNext w:val="0"/>
        <w:keepLines w:val="0"/>
        <w:pageBreakBefore w:val="0"/>
        <w:kinsoku/>
        <w:wordWrap/>
        <w:overflowPunct/>
        <w:topLinePunct w:val="0"/>
        <w:bidi w:val="0"/>
        <w:snapToGrid w:val="0"/>
        <w:spacing w:line="576" w:lineRule="exact"/>
        <w:ind w:firstLine="640" w:firstLineChars="200"/>
        <w:jc w:val="left"/>
        <w:textAlignment w:val="auto"/>
        <w:rPr>
          <w:rFonts w:hint="eastAsia" w:ascii="仿宋_GB2312" w:hAnsi="仿宋_GB2312" w:eastAsia="仿宋_GB2312" w:cs="仿宋_GB2312"/>
          <w:color w:val="000000"/>
          <w:kern w:val="0"/>
          <w:sz w:val="32"/>
          <w:szCs w:val="32"/>
          <w:lang w:val="en-US" w:eastAsia="zh-CN"/>
        </w:rPr>
      </w:pPr>
    </w:p>
    <w:p>
      <w:pPr>
        <w:keepNext w:val="0"/>
        <w:keepLines w:val="0"/>
        <w:pageBreakBefore w:val="0"/>
        <w:kinsoku/>
        <w:wordWrap/>
        <w:overflowPunct/>
        <w:topLinePunct w:val="0"/>
        <w:bidi w:val="0"/>
        <w:snapToGrid w:val="0"/>
        <w:spacing w:line="576" w:lineRule="exact"/>
        <w:ind w:firstLine="640" w:firstLineChars="200"/>
        <w:jc w:val="left"/>
        <w:textAlignment w:val="auto"/>
        <w:rPr>
          <w:rFonts w:hint="eastAsia" w:ascii="仿宋_GB2312" w:hAnsi="仿宋_GB2312" w:eastAsia="仿宋_GB2312" w:cs="仿宋_GB2312"/>
          <w:color w:val="000000"/>
          <w:kern w:val="0"/>
          <w:sz w:val="32"/>
          <w:szCs w:val="32"/>
          <w:lang w:val="en-US" w:eastAsia="zh-CN"/>
        </w:rPr>
      </w:pPr>
    </w:p>
    <w:p>
      <w:pPr>
        <w:keepNext w:val="0"/>
        <w:keepLines w:val="0"/>
        <w:pageBreakBefore w:val="0"/>
        <w:kinsoku/>
        <w:wordWrap/>
        <w:overflowPunct/>
        <w:topLinePunct w:val="0"/>
        <w:bidi w:val="0"/>
        <w:snapToGrid w:val="0"/>
        <w:spacing w:line="576" w:lineRule="exact"/>
        <w:ind w:firstLine="640" w:firstLineChars="200"/>
        <w:jc w:val="left"/>
        <w:textAlignment w:val="auto"/>
        <w:rPr>
          <w:rFonts w:hint="eastAsia" w:ascii="仿宋_GB2312" w:hAnsi="仿宋_GB2312" w:eastAsia="仿宋_GB2312" w:cs="仿宋_GB2312"/>
          <w:color w:val="000000"/>
          <w:kern w:val="0"/>
          <w:sz w:val="32"/>
          <w:szCs w:val="32"/>
          <w:lang w:val="en-US" w:eastAsia="zh-CN"/>
        </w:rPr>
      </w:pPr>
    </w:p>
    <w:p>
      <w:pPr>
        <w:keepNext w:val="0"/>
        <w:keepLines w:val="0"/>
        <w:pageBreakBefore w:val="0"/>
        <w:kinsoku/>
        <w:wordWrap/>
        <w:overflowPunct/>
        <w:topLinePunct w:val="0"/>
        <w:bidi w:val="0"/>
        <w:snapToGrid w:val="0"/>
        <w:spacing w:line="576" w:lineRule="exact"/>
        <w:ind w:firstLine="640" w:firstLineChars="200"/>
        <w:jc w:val="left"/>
        <w:textAlignment w:val="auto"/>
        <w:rPr>
          <w:rFonts w:hint="eastAsia" w:ascii="仿宋_GB2312" w:hAnsi="仿宋_GB2312" w:eastAsia="仿宋_GB2312" w:cs="仿宋_GB2312"/>
          <w:color w:val="000000"/>
          <w:kern w:val="0"/>
          <w:sz w:val="32"/>
          <w:szCs w:val="32"/>
          <w:lang w:val="en-US" w:eastAsia="zh-CN"/>
        </w:rPr>
      </w:pPr>
    </w:p>
    <w:p>
      <w:pPr>
        <w:keepNext w:val="0"/>
        <w:keepLines w:val="0"/>
        <w:pageBreakBefore w:val="0"/>
        <w:kinsoku/>
        <w:wordWrap/>
        <w:overflowPunct/>
        <w:topLinePunct w:val="0"/>
        <w:bidi w:val="0"/>
        <w:snapToGrid w:val="0"/>
        <w:spacing w:line="576" w:lineRule="exact"/>
        <w:ind w:firstLine="640" w:firstLineChars="200"/>
        <w:jc w:val="left"/>
        <w:textAlignment w:val="auto"/>
        <w:rPr>
          <w:rFonts w:hint="eastAsia" w:ascii="仿宋_GB2312" w:hAnsi="仿宋_GB2312" w:eastAsia="仿宋_GB2312" w:cs="仿宋_GB2312"/>
          <w:color w:val="000000"/>
          <w:kern w:val="0"/>
          <w:sz w:val="32"/>
          <w:szCs w:val="32"/>
          <w:lang w:val="en-US" w:eastAsia="zh-CN"/>
        </w:rPr>
      </w:pPr>
    </w:p>
    <w:p>
      <w:pPr>
        <w:keepNext w:val="0"/>
        <w:keepLines w:val="0"/>
        <w:pageBreakBefore w:val="0"/>
        <w:kinsoku/>
        <w:wordWrap/>
        <w:overflowPunct/>
        <w:topLinePunct w:val="0"/>
        <w:bidi w:val="0"/>
        <w:snapToGrid w:val="0"/>
        <w:spacing w:line="576" w:lineRule="exact"/>
        <w:ind w:firstLine="640" w:firstLineChars="200"/>
        <w:jc w:val="left"/>
        <w:textAlignment w:val="auto"/>
        <w:rPr>
          <w:rFonts w:hint="eastAsia" w:ascii="仿宋_GB2312" w:hAnsi="仿宋_GB2312" w:eastAsia="仿宋_GB2312" w:cs="仿宋_GB2312"/>
          <w:color w:val="000000"/>
          <w:kern w:val="0"/>
          <w:sz w:val="32"/>
          <w:szCs w:val="32"/>
          <w:lang w:val="en-US" w:eastAsia="zh-CN"/>
        </w:rPr>
      </w:pPr>
    </w:p>
    <w:p>
      <w:pPr>
        <w:keepNext w:val="0"/>
        <w:keepLines w:val="0"/>
        <w:pageBreakBefore w:val="0"/>
        <w:kinsoku/>
        <w:wordWrap/>
        <w:overflowPunct/>
        <w:topLinePunct w:val="0"/>
        <w:bidi w:val="0"/>
        <w:snapToGrid w:val="0"/>
        <w:spacing w:line="576" w:lineRule="exact"/>
        <w:jc w:val="left"/>
        <w:textAlignment w:val="auto"/>
        <w:rPr>
          <w:rFonts w:hint="eastAsia" w:ascii="仿宋_GB2312" w:hAnsi="仿宋_GB2312" w:eastAsia="仿宋_GB2312" w:cs="仿宋_GB2312"/>
          <w:color w:val="000000"/>
          <w:kern w:val="0"/>
          <w:sz w:val="32"/>
          <w:szCs w:val="32"/>
          <w:lang w:val="en-US" w:eastAsia="zh-CN"/>
        </w:rPr>
      </w:pPr>
    </w:p>
    <w:p>
      <w:pPr>
        <w:pStyle w:val="36"/>
        <w:pageBreakBefore w:val="0"/>
        <w:kinsoku/>
        <w:wordWrap/>
        <w:overflowPunct/>
        <w:topLinePunct w:val="0"/>
        <w:bidi w:val="0"/>
        <w:spacing w:line="576" w:lineRule="exact"/>
        <w:jc w:val="center"/>
        <w:rPr>
          <w:rFonts w:hint="eastAsia" w:ascii="方正小标宋简体" w:hAnsi="宋体" w:eastAsia="方正小标宋简体"/>
          <w:sz w:val="44"/>
          <w:szCs w:val="44"/>
          <w:lang w:val="en-US" w:eastAsia="zh-CN"/>
        </w:rPr>
      </w:pPr>
      <w:r>
        <w:rPr>
          <w:rFonts w:hint="eastAsia" w:ascii="方正小标宋简体" w:hAnsi="宋体" w:eastAsia="方正小标宋简体"/>
          <w:sz w:val="44"/>
          <w:szCs w:val="44"/>
          <w:lang w:val="en-US" w:eastAsia="zh-CN"/>
        </w:rPr>
        <w:t>叠溪镇环境卫生专项整治经费</w:t>
      </w:r>
    </w:p>
    <w:p>
      <w:pPr>
        <w:pStyle w:val="36"/>
        <w:pageBreakBefore w:val="0"/>
        <w:kinsoku/>
        <w:wordWrap/>
        <w:overflowPunct/>
        <w:topLinePunct w:val="0"/>
        <w:bidi w:val="0"/>
        <w:spacing w:line="576" w:lineRule="exact"/>
        <w:jc w:val="center"/>
        <w:rPr>
          <w:rFonts w:ascii="Times New Roman" w:hAnsi="Times New Roman" w:eastAsia="方正小标宋简体"/>
          <w:color w:val="auto"/>
          <w:kern w:val="2"/>
          <w:sz w:val="44"/>
          <w:szCs w:val="44"/>
          <w:lang w:val="en-US"/>
        </w:rPr>
      </w:pPr>
      <w:r>
        <w:rPr>
          <w:rFonts w:ascii="Times New Roman" w:hAnsi="Times New Roman" w:eastAsia="方正小标宋简体"/>
          <w:color w:val="auto"/>
          <w:kern w:val="2"/>
          <w:sz w:val="44"/>
          <w:szCs w:val="44"/>
          <w:lang w:val="en-US"/>
        </w:rPr>
        <w:t>预算绩效自评报告</w:t>
      </w:r>
    </w:p>
    <w:p>
      <w:pPr>
        <w:pStyle w:val="36"/>
        <w:pageBreakBefore w:val="0"/>
        <w:kinsoku/>
        <w:wordWrap/>
        <w:overflowPunct/>
        <w:topLinePunct w:val="0"/>
        <w:bidi w:val="0"/>
        <w:spacing w:line="576" w:lineRule="exact"/>
        <w:ind w:firstLine="640"/>
        <w:jc w:val="center"/>
        <w:rPr>
          <w:rFonts w:ascii="Times New Roman" w:hAnsi="Times New Roman"/>
          <w:color w:val="auto"/>
          <w:kern w:val="2"/>
          <w:sz w:val="32"/>
          <w:szCs w:val="32"/>
        </w:rPr>
      </w:pPr>
    </w:p>
    <w:p>
      <w:pPr>
        <w:keepNext w:val="0"/>
        <w:keepLines w:val="0"/>
        <w:pageBreakBefore w:val="0"/>
        <w:kinsoku/>
        <w:wordWrap/>
        <w:overflowPunct/>
        <w:topLinePunct w:val="0"/>
        <w:autoSpaceDE/>
        <w:autoSpaceDN/>
        <w:bidi w:val="0"/>
        <w:adjustRightInd w:val="0"/>
        <w:snapToGrid w:val="0"/>
        <w:spacing w:line="576" w:lineRule="exact"/>
        <w:ind w:firstLine="640" w:firstLineChars="200"/>
        <w:jc w:val="left"/>
        <w:textAlignment w:val="auto"/>
        <w:rPr>
          <w:rFonts w:eastAsia="黑体"/>
          <w:sz w:val="32"/>
          <w:szCs w:val="32"/>
          <w:lang w:val="zh-CN"/>
        </w:rPr>
      </w:pPr>
      <w:r>
        <w:rPr>
          <w:rFonts w:eastAsia="黑体"/>
          <w:sz w:val="32"/>
          <w:szCs w:val="32"/>
        </w:rPr>
        <w:t>一、</w:t>
      </w:r>
      <w:r>
        <w:rPr>
          <w:rFonts w:eastAsia="黑体"/>
          <w:sz w:val="32"/>
          <w:szCs w:val="32"/>
          <w:lang w:val="zh-CN"/>
        </w:rPr>
        <w:t>项目概况</w:t>
      </w:r>
    </w:p>
    <w:p>
      <w:pPr>
        <w:keepNext w:val="0"/>
        <w:keepLines w:val="0"/>
        <w:pageBreakBefore w:val="0"/>
        <w:kinsoku/>
        <w:wordWrap/>
        <w:overflowPunct/>
        <w:topLinePunct w:val="0"/>
        <w:autoSpaceDE/>
        <w:autoSpaceDN/>
        <w:bidi w:val="0"/>
        <w:adjustRightInd w:val="0"/>
        <w:snapToGrid w:val="0"/>
        <w:spacing w:line="576" w:lineRule="exact"/>
        <w:ind w:firstLine="720"/>
        <w:jc w:val="left"/>
        <w:textAlignment w:val="auto"/>
        <w:rPr>
          <w:rFonts w:hint="eastAsia" w:ascii="楷体_GB2312" w:hAnsi="宋体" w:eastAsia="楷体_GB2312"/>
          <w:b/>
          <w:sz w:val="32"/>
          <w:szCs w:val="32"/>
          <w:lang w:val="zh-CN"/>
        </w:rPr>
      </w:pPr>
      <w:r>
        <w:rPr>
          <w:rFonts w:hint="eastAsia" w:ascii="楷体_GB2312" w:hAnsi="宋体" w:eastAsia="楷体_GB2312"/>
          <w:b/>
          <w:sz w:val="32"/>
          <w:szCs w:val="32"/>
          <w:lang w:val="zh-CN"/>
        </w:rPr>
        <w:t>（一）设立背景及基本情况</w:t>
      </w:r>
    </w:p>
    <w:p>
      <w:pPr>
        <w:keepNext w:val="0"/>
        <w:keepLines w:val="0"/>
        <w:pageBreakBefore w:val="0"/>
        <w:widowControl w:val="0"/>
        <w:kinsoku/>
        <w:wordWrap/>
        <w:overflowPunct/>
        <w:topLinePunct w:val="0"/>
        <w:autoSpaceDE/>
        <w:autoSpaceDN/>
        <w:bidi w:val="0"/>
        <w:adjustRightInd/>
        <w:snapToGrid/>
        <w:spacing w:line="576" w:lineRule="exact"/>
        <w:ind w:firstLine="648" w:firstLineChars="200"/>
        <w:jc w:val="left"/>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pacing w:val="2"/>
          <w:sz w:val="32"/>
          <w:szCs w:val="32"/>
        </w:rPr>
        <w:t>叠溪镇位于阿坝藏族羌族自治州茂县西北部，岷江上游。距离县城56公里，国道纵贯全镇</w:t>
      </w:r>
      <w:r>
        <w:rPr>
          <w:rFonts w:hint="eastAsia" w:ascii="仿宋_GB2312" w:hAnsi="仿宋_GB2312" w:eastAsia="仿宋_GB2312" w:cs="仿宋_GB2312"/>
          <w:spacing w:val="2"/>
          <w:sz w:val="32"/>
          <w:szCs w:val="32"/>
          <w:lang w:eastAsia="zh-CN"/>
        </w:rPr>
        <w:t>，</w:t>
      </w:r>
      <w:r>
        <w:rPr>
          <w:rFonts w:hint="eastAsia" w:ascii="仿宋_GB2312" w:hAnsi="仿宋_GB2312" w:eastAsia="仿宋_GB2312" w:cs="仿宋_GB2312"/>
          <w:spacing w:val="2"/>
          <w:sz w:val="32"/>
          <w:szCs w:val="32"/>
        </w:rPr>
        <w:t>交通便利。镇政府驻地较场村，海拔2325米。</w:t>
      </w:r>
      <w:r>
        <w:rPr>
          <w:rFonts w:hint="eastAsia" w:ascii="仿宋_GB2312" w:hAnsi="仿宋_GB2312" w:eastAsia="仿宋_GB2312" w:cs="仿宋_GB2312"/>
          <w:color w:val="auto"/>
          <w:spacing w:val="2"/>
          <w:sz w:val="32"/>
          <w:szCs w:val="32"/>
          <w:highlight w:val="none"/>
          <w:lang w:eastAsia="zh-CN"/>
        </w:rPr>
        <w:t>东</w:t>
      </w:r>
      <w:r>
        <w:rPr>
          <w:rFonts w:hint="eastAsia" w:ascii="仿宋_GB2312" w:hAnsi="仿宋_GB2312" w:eastAsia="仿宋_GB2312" w:cs="仿宋_GB2312"/>
          <w:color w:val="auto"/>
          <w:spacing w:val="2"/>
          <w:sz w:val="32"/>
          <w:szCs w:val="32"/>
          <w:highlight w:val="none"/>
        </w:rPr>
        <w:t>与</w:t>
      </w:r>
      <w:r>
        <w:rPr>
          <w:rFonts w:hint="eastAsia" w:ascii="仿宋_GB2312" w:hAnsi="仿宋_GB2312" w:eastAsia="仿宋_GB2312" w:cs="仿宋_GB2312"/>
          <w:color w:val="auto"/>
          <w:spacing w:val="2"/>
          <w:sz w:val="32"/>
          <w:szCs w:val="32"/>
          <w:highlight w:val="none"/>
          <w:lang w:eastAsia="zh-CN"/>
        </w:rPr>
        <w:t>北川</w:t>
      </w:r>
      <w:r>
        <w:rPr>
          <w:rFonts w:hint="eastAsia" w:ascii="仿宋_GB2312" w:hAnsi="仿宋_GB2312" w:eastAsia="仿宋_GB2312" w:cs="仿宋_GB2312"/>
          <w:color w:val="auto"/>
          <w:spacing w:val="2"/>
          <w:sz w:val="32"/>
          <w:szCs w:val="32"/>
          <w:highlight w:val="none"/>
        </w:rPr>
        <w:t>县</w:t>
      </w:r>
      <w:r>
        <w:rPr>
          <w:rFonts w:hint="eastAsia" w:ascii="仿宋_GB2312" w:hAnsi="仿宋_GB2312" w:eastAsia="仿宋_GB2312" w:cs="仿宋_GB2312"/>
          <w:color w:val="auto"/>
          <w:spacing w:val="2"/>
          <w:sz w:val="32"/>
          <w:szCs w:val="32"/>
          <w:highlight w:val="none"/>
          <w:lang w:eastAsia="zh-CN"/>
        </w:rPr>
        <w:t>相</w:t>
      </w:r>
      <w:r>
        <w:rPr>
          <w:rFonts w:hint="eastAsia" w:ascii="仿宋_GB2312" w:hAnsi="仿宋_GB2312" w:eastAsia="仿宋_GB2312" w:cs="仿宋_GB2312"/>
          <w:color w:val="auto"/>
          <w:spacing w:val="2"/>
          <w:sz w:val="32"/>
          <w:szCs w:val="32"/>
          <w:highlight w:val="none"/>
        </w:rPr>
        <w:t>邻</w:t>
      </w:r>
      <w:r>
        <w:rPr>
          <w:rFonts w:hint="eastAsia" w:ascii="仿宋_GB2312" w:hAnsi="仿宋_GB2312" w:eastAsia="仿宋_GB2312" w:cs="仿宋_GB2312"/>
          <w:color w:val="auto"/>
          <w:spacing w:val="2"/>
          <w:sz w:val="32"/>
          <w:szCs w:val="32"/>
          <w:highlight w:val="none"/>
          <w:lang w:eastAsia="zh-CN"/>
        </w:rPr>
        <w:t>，</w:t>
      </w:r>
      <w:r>
        <w:rPr>
          <w:rFonts w:hint="eastAsia" w:ascii="仿宋_GB2312" w:hAnsi="仿宋_GB2312" w:eastAsia="仿宋_GB2312" w:cs="仿宋_GB2312"/>
          <w:color w:val="auto"/>
          <w:spacing w:val="2"/>
          <w:sz w:val="32"/>
          <w:szCs w:val="32"/>
          <w:highlight w:val="none"/>
        </w:rPr>
        <w:t>南与</w:t>
      </w:r>
      <w:r>
        <w:rPr>
          <w:rFonts w:hint="eastAsia" w:ascii="仿宋_GB2312" w:hAnsi="仿宋_GB2312" w:eastAsia="仿宋_GB2312" w:cs="仿宋_GB2312"/>
          <w:color w:val="auto"/>
          <w:spacing w:val="2"/>
          <w:sz w:val="32"/>
          <w:szCs w:val="32"/>
          <w:highlight w:val="none"/>
          <w:lang w:eastAsia="zh-CN"/>
        </w:rPr>
        <w:t>渭门镇、沙坝</w:t>
      </w:r>
      <w:r>
        <w:rPr>
          <w:rFonts w:hint="eastAsia" w:ascii="仿宋_GB2312" w:hAnsi="仿宋_GB2312" w:eastAsia="仿宋_GB2312" w:cs="仿宋_GB2312"/>
          <w:color w:val="auto"/>
          <w:spacing w:val="2"/>
          <w:sz w:val="32"/>
          <w:szCs w:val="32"/>
          <w:highlight w:val="none"/>
        </w:rPr>
        <w:t>镇</w:t>
      </w:r>
      <w:r>
        <w:rPr>
          <w:rFonts w:hint="eastAsia" w:ascii="仿宋_GB2312" w:hAnsi="仿宋_GB2312" w:eastAsia="仿宋_GB2312" w:cs="仿宋_GB2312"/>
          <w:color w:val="auto"/>
          <w:spacing w:val="2"/>
          <w:sz w:val="32"/>
          <w:szCs w:val="32"/>
          <w:highlight w:val="none"/>
          <w:lang w:eastAsia="zh-CN"/>
        </w:rPr>
        <w:t>、沟口镇</w:t>
      </w:r>
      <w:r>
        <w:rPr>
          <w:rFonts w:hint="eastAsia" w:ascii="仿宋_GB2312" w:hAnsi="仿宋_GB2312" w:eastAsia="仿宋_GB2312" w:cs="仿宋_GB2312"/>
          <w:color w:val="auto"/>
          <w:spacing w:val="2"/>
          <w:sz w:val="32"/>
          <w:szCs w:val="32"/>
          <w:highlight w:val="none"/>
        </w:rPr>
        <w:t>相交，</w:t>
      </w:r>
      <w:r>
        <w:rPr>
          <w:rFonts w:hint="eastAsia" w:ascii="仿宋_GB2312" w:hAnsi="仿宋_GB2312" w:eastAsia="仿宋_GB2312" w:cs="仿宋_GB2312"/>
          <w:color w:val="auto"/>
          <w:spacing w:val="2"/>
          <w:sz w:val="32"/>
          <w:szCs w:val="32"/>
          <w:highlight w:val="none"/>
          <w:lang w:eastAsia="zh-CN"/>
        </w:rPr>
        <w:t>西</w:t>
      </w:r>
      <w:r>
        <w:rPr>
          <w:rFonts w:hint="eastAsia" w:ascii="仿宋_GB2312" w:hAnsi="仿宋_GB2312" w:eastAsia="仿宋_GB2312" w:cs="仿宋_GB2312"/>
          <w:color w:val="auto"/>
          <w:spacing w:val="2"/>
          <w:sz w:val="32"/>
          <w:szCs w:val="32"/>
          <w:highlight w:val="none"/>
        </w:rPr>
        <w:t>与</w:t>
      </w:r>
      <w:r>
        <w:rPr>
          <w:rFonts w:hint="eastAsia" w:ascii="仿宋_GB2312" w:hAnsi="仿宋_GB2312" w:eastAsia="仿宋_GB2312" w:cs="仿宋_GB2312"/>
          <w:color w:val="auto"/>
          <w:spacing w:val="2"/>
          <w:sz w:val="32"/>
          <w:szCs w:val="32"/>
          <w:highlight w:val="none"/>
          <w:lang w:eastAsia="zh-CN"/>
        </w:rPr>
        <w:t>洼底镇、</w:t>
      </w:r>
      <w:r>
        <w:rPr>
          <w:rFonts w:hint="eastAsia" w:ascii="仿宋_GB2312" w:hAnsi="仿宋_GB2312" w:eastAsia="仿宋_GB2312" w:cs="仿宋_GB2312"/>
          <w:color w:val="auto"/>
          <w:spacing w:val="2"/>
          <w:sz w:val="32"/>
          <w:szCs w:val="32"/>
          <w:highlight w:val="none"/>
        </w:rPr>
        <w:t>黑水</w:t>
      </w:r>
      <w:r>
        <w:rPr>
          <w:rFonts w:hint="eastAsia" w:ascii="仿宋_GB2312" w:hAnsi="仿宋_GB2312" w:eastAsia="仿宋_GB2312" w:cs="仿宋_GB2312"/>
          <w:color w:val="auto"/>
          <w:spacing w:val="2"/>
          <w:sz w:val="32"/>
          <w:szCs w:val="32"/>
          <w:highlight w:val="none"/>
          <w:lang w:eastAsia="zh-CN"/>
        </w:rPr>
        <w:t>县</w:t>
      </w:r>
      <w:r>
        <w:rPr>
          <w:rFonts w:hint="eastAsia" w:ascii="仿宋_GB2312" w:hAnsi="仿宋_GB2312" w:eastAsia="仿宋_GB2312" w:cs="仿宋_GB2312"/>
          <w:color w:val="auto"/>
          <w:spacing w:val="2"/>
          <w:sz w:val="32"/>
          <w:szCs w:val="32"/>
          <w:highlight w:val="none"/>
        </w:rPr>
        <w:t>相连</w:t>
      </w:r>
      <w:r>
        <w:rPr>
          <w:rFonts w:hint="eastAsia" w:ascii="仿宋_GB2312" w:hAnsi="仿宋_GB2312" w:eastAsia="仿宋_GB2312" w:cs="仿宋_GB2312"/>
          <w:color w:val="auto"/>
          <w:spacing w:val="2"/>
          <w:sz w:val="32"/>
          <w:szCs w:val="32"/>
          <w:highlight w:val="none"/>
          <w:lang w:eastAsia="zh-CN"/>
        </w:rPr>
        <w:t>，北与</w:t>
      </w:r>
      <w:r>
        <w:rPr>
          <w:rFonts w:hint="eastAsia" w:ascii="仿宋_GB2312" w:hAnsi="仿宋_GB2312" w:eastAsia="仿宋_GB2312" w:cs="仿宋_GB2312"/>
          <w:color w:val="auto"/>
          <w:spacing w:val="2"/>
          <w:sz w:val="32"/>
          <w:szCs w:val="32"/>
          <w:highlight w:val="none"/>
        </w:rPr>
        <w:t>松潘</w:t>
      </w:r>
      <w:r>
        <w:rPr>
          <w:rFonts w:hint="eastAsia" w:ascii="仿宋_GB2312" w:hAnsi="仿宋_GB2312" w:eastAsia="仿宋_GB2312" w:cs="仿宋_GB2312"/>
          <w:color w:val="auto"/>
          <w:spacing w:val="2"/>
          <w:sz w:val="32"/>
          <w:szCs w:val="32"/>
          <w:highlight w:val="none"/>
          <w:lang w:eastAsia="zh-CN"/>
        </w:rPr>
        <w:t>县</w:t>
      </w:r>
      <w:r>
        <w:rPr>
          <w:rFonts w:hint="eastAsia" w:ascii="仿宋_GB2312" w:hAnsi="仿宋_GB2312" w:eastAsia="仿宋_GB2312" w:cs="仿宋_GB2312"/>
          <w:color w:val="auto"/>
          <w:spacing w:val="2"/>
          <w:sz w:val="32"/>
          <w:szCs w:val="32"/>
          <w:highlight w:val="none"/>
        </w:rPr>
        <w:t>相邻</w:t>
      </w:r>
      <w:r>
        <w:rPr>
          <w:rFonts w:hint="eastAsia" w:ascii="仿宋_GB2312" w:hAnsi="仿宋_GB2312" w:eastAsia="仿宋_GB2312" w:cs="仿宋_GB2312"/>
          <w:color w:val="auto"/>
          <w:spacing w:val="2"/>
          <w:sz w:val="32"/>
          <w:szCs w:val="32"/>
          <w:highlight w:val="none"/>
          <w:lang w:eastAsia="zh-CN"/>
        </w:rPr>
        <w:t>，</w:t>
      </w:r>
      <w:r>
        <w:rPr>
          <w:rFonts w:hint="eastAsia" w:ascii="仿宋_GB2312" w:hAnsi="仿宋_GB2312" w:eastAsia="仿宋_GB2312" w:cs="仿宋_GB2312"/>
          <w:spacing w:val="2"/>
          <w:sz w:val="32"/>
          <w:szCs w:val="32"/>
          <w:lang w:eastAsia="zh-CN"/>
        </w:rPr>
        <w:t>幅员</w:t>
      </w:r>
      <w:r>
        <w:rPr>
          <w:rFonts w:hint="eastAsia" w:ascii="仿宋_GB2312" w:hAnsi="仿宋_GB2312" w:eastAsia="仿宋_GB2312" w:cs="仿宋_GB2312"/>
          <w:spacing w:val="2"/>
          <w:sz w:val="32"/>
          <w:szCs w:val="32"/>
        </w:rPr>
        <w:t>面积</w:t>
      </w:r>
      <w:r>
        <w:rPr>
          <w:rFonts w:hint="eastAsia" w:ascii="仿宋_GB2312" w:hAnsi="仿宋_GB2312" w:eastAsia="仿宋_GB2312" w:cs="仿宋_GB2312"/>
          <w:spacing w:val="2"/>
          <w:sz w:val="32"/>
          <w:szCs w:val="32"/>
          <w:lang w:val="en-US" w:eastAsia="zh-CN"/>
        </w:rPr>
        <w:t>988.49</w:t>
      </w:r>
      <w:r>
        <w:rPr>
          <w:rFonts w:hint="eastAsia" w:ascii="仿宋_GB2312" w:hAnsi="仿宋_GB2312" w:eastAsia="仿宋_GB2312" w:cs="仿宋_GB2312"/>
          <w:spacing w:val="2"/>
          <w:sz w:val="32"/>
          <w:szCs w:val="32"/>
        </w:rPr>
        <w:t>平方千米</w:t>
      </w:r>
      <w:r>
        <w:rPr>
          <w:rFonts w:hint="eastAsia" w:ascii="仿宋_GB2312" w:hAnsi="仿宋_GB2312" w:eastAsia="仿宋_GB2312" w:cs="仿宋_GB2312"/>
          <w:spacing w:val="2"/>
          <w:sz w:val="32"/>
          <w:szCs w:val="32"/>
          <w:lang w:eastAsia="zh-CN"/>
        </w:rPr>
        <w:t>，是茂县幅员面积最广、生态资源最丰富、旅游景点最多的镇</w:t>
      </w:r>
      <w:r>
        <w:rPr>
          <w:rFonts w:hint="eastAsia" w:ascii="仿宋_GB2312" w:hAnsi="仿宋_GB2312" w:eastAsia="仿宋_GB2312" w:cs="仿宋_GB2312"/>
          <w:spacing w:val="2"/>
          <w:sz w:val="32"/>
          <w:szCs w:val="32"/>
        </w:rPr>
        <w:t>。</w:t>
      </w:r>
      <w:r>
        <w:rPr>
          <w:rFonts w:hint="eastAsia" w:ascii="仿宋_GB2312" w:hAnsi="仿宋_GB2312" w:eastAsia="仿宋_GB2312" w:cs="仿宋_GB2312"/>
          <w:spacing w:val="2"/>
          <w:sz w:val="32"/>
          <w:szCs w:val="32"/>
          <w:lang w:eastAsia="zh-CN"/>
        </w:rPr>
        <w:t>全镇</w:t>
      </w:r>
      <w:r>
        <w:rPr>
          <w:rFonts w:hint="eastAsia" w:ascii="仿宋_GB2312" w:hAnsi="仿宋_GB2312" w:eastAsia="仿宋_GB2312" w:cs="仿宋_GB2312"/>
          <w:spacing w:val="2"/>
          <w:sz w:val="32"/>
          <w:szCs w:val="32"/>
          <w:lang w:val="en-US" w:eastAsia="zh-CN"/>
        </w:rPr>
        <w:t>95%以上为羌族，2%为回族，2%为藏族,1%为汉族；</w:t>
      </w:r>
      <w:r>
        <w:rPr>
          <w:rFonts w:hint="eastAsia" w:ascii="仿宋_GB2312" w:hAnsi="仿宋_GB2312" w:eastAsia="仿宋_GB2312" w:cs="仿宋_GB2312"/>
          <w:spacing w:val="2"/>
          <w:sz w:val="32"/>
          <w:szCs w:val="32"/>
        </w:rPr>
        <w:t>是四川重要旅游环线九黄线西线的必经之路。</w:t>
      </w:r>
      <w:r>
        <w:rPr>
          <w:rFonts w:hint="eastAsia" w:ascii="仿宋_GB2312" w:hAnsi="仿宋_GB2312" w:eastAsia="仿宋_GB2312" w:cs="仿宋_GB2312"/>
          <w:sz w:val="32"/>
          <w:szCs w:val="32"/>
          <w:lang w:eastAsia="zh-CN"/>
        </w:rPr>
        <w:t>叠溪</w:t>
      </w:r>
      <w:r>
        <w:rPr>
          <w:rFonts w:hint="eastAsia" w:ascii="仿宋_GB2312" w:hAnsi="仿宋_GB2312" w:eastAsia="仿宋_GB2312" w:cs="仿宋_GB2312"/>
          <w:sz w:val="32"/>
          <w:szCs w:val="32"/>
        </w:rPr>
        <w:t>镇人居环境整治提升</w:t>
      </w:r>
      <w:r>
        <w:rPr>
          <w:rFonts w:hint="eastAsia" w:ascii="仿宋_GB2312" w:hAnsi="仿宋_GB2312" w:eastAsia="仿宋_GB2312" w:cs="仿宋_GB2312"/>
          <w:sz w:val="32"/>
          <w:szCs w:val="32"/>
          <w:lang w:val="en-US" w:eastAsia="zh-CN"/>
        </w:rPr>
        <w:t>项目</w:t>
      </w:r>
      <w:r>
        <w:rPr>
          <w:rFonts w:hint="eastAsia" w:ascii="仿宋_GB2312" w:hAnsi="仿宋_GB2312" w:eastAsia="仿宋_GB2312" w:cs="仿宋_GB2312"/>
          <w:sz w:val="32"/>
          <w:szCs w:val="32"/>
        </w:rPr>
        <w:t>用于</w:t>
      </w:r>
      <w:r>
        <w:rPr>
          <w:rFonts w:hint="eastAsia" w:ascii="仿宋_GB2312" w:hAnsi="仿宋_GB2312" w:eastAsia="仿宋_GB2312" w:cs="仿宋_GB2312"/>
          <w:sz w:val="32"/>
          <w:szCs w:val="32"/>
          <w:lang w:eastAsia="zh-CN"/>
        </w:rPr>
        <w:t>叠溪</w:t>
      </w:r>
      <w:r>
        <w:rPr>
          <w:rFonts w:hint="eastAsia" w:ascii="仿宋_GB2312" w:hAnsi="仿宋_GB2312" w:eastAsia="仿宋_GB2312" w:cs="仿宋_GB2312"/>
          <w:sz w:val="32"/>
          <w:szCs w:val="32"/>
        </w:rPr>
        <w:t>镇辖区环境卫生管护维护、垃圾清理及转运、河道卫生清扫管护、日常维护。通过开展乡村环境卫生整合整治</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全面改变脏乱差现象，落实长效管理机制，达到环境整洁、村容美观、生态良好、乡风文明的总体目标。</w:t>
      </w:r>
    </w:p>
    <w:p>
      <w:pPr>
        <w:keepNext w:val="0"/>
        <w:keepLines w:val="0"/>
        <w:pageBreakBefore w:val="0"/>
        <w:numPr>
          <w:ilvl w:val="0"/>
          <w:numId w:val="0"/>
        </w:numPr>
        <w:kinsoku/>
        <w:wordWrap/>
        <w:overflowPunct/>
        <w:topLinePunct w:val="0"/>
        <w:autoSpaceDE/>
        <w:autoSpaceDN/>
        <w:bidi w:val="0"/>
        <w:adjustRightInd w:val="0"/>
        <w:snapToGrid w:val="0"/>
        <w:spacing w:line="576" w:lineRule="exact"/>
        <w:ind w:firstLine="642" w:firstLineChars="200"/>
        <w:jc w:val="left"/>
        <w:textAlignment w:val="auto"/>
        <w:rPr>
          <w:rFonts w:ascii="楷体_GB2312" w:hAnsi="宋体" w:eastAsia="楷体_GB2312"/>
          <w:b/>
          <w:sz w:val="32"/>
          <w:szCs w:val="32"/>
        </w:rPr>
      </w:pPr>
      <w:r>
        <w:rPr>
          <w:rFonts w:hint="eastAsia" w:ascii="楷体_GB2312" w:hAnsi="宋体" w:eastAsia="楷体_GB2312" w:cs="Times New Roman"/>
          <w:b/>
          <w:kern w:val="2"/>
          <w:sz w:val="32"/>
          <w:szCs w:val="32"/>
          <w:lang w:val="en-US" w:eastAsia="zh-CN" w:bidi="ar-SA"/>
        </w:rPr>
        <w:t>（二）</w:t>
      </w:r>
      <w:r>
        <w:rPr>
          <w:rFonts w:ascii="楷体_GB2312" w:hAnsi="宋体" w:eastAsia="楷体_GB2312"/>
          <w:b/>
          <w:sz w:val="32"/>
          <w:szCs w:val="32"/>
        </w:rPr>
        <w:t>实施目的及支持方向</w:t>
      </w:r>
    </w:p>
    <w:p>
      <w:pPr>
        <w:keepNext w:val="0"/>
        <w:keepLines w:val="0"/>
        <w:pageBreakBefore w:val="0"/>
        <w:kinsoku/>
        <w:wordWrap/>
        <w:overflowPunct/>
        <w:topLinePunct w:val="0"/>
        <w:autoSpaceDE/>
        <w:autoSpaceDN/>
        <w:bidi w:val="0"/>
        <w:adjustRightInd/>
        <w:snapToGrid/>
        <w:spacing w:line="576" w:lineRule="exact"/>
        <w:ind w:left="0" w:leftChars="0" w:firstLine="640" w:firstLineChars="200"/>
        <w:jc w:val="left"/>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highlight w:val="none"/>
          <w:lang w:val="en-US" w:eastAsia="zh-CN"/>
        </w:rPr>
        <w:t>生产生活环境</w:t>
      </w:r>
      <w:r>
        <w:rPr>
          <w:rFonts w:hint="eastAsia" w:ascii="仿宋_GB2312" w:hAnsi="仿宋_GB2312" w:eastAsia="仿宋_GB2312" w:cs="仿宋_GB2312"/>
          <w:sz w:val="32"/>
          <w:szCs w:val="32"/>
          <w:highlight w:val="none"/>
        </w:rPr>
        <w:t>是</w:t>
      </w:r>
      <w:r>
        <w:rPr>
          <w:rFonts w:hint="eastAsia" w:ascii="仿宋_GB2312" w:hAnsi="仿宋_GB2312" w:eastAsia="仿宋_GB2312" w:cs="仿宋_GB2312"/>
          <w:sz w:val="32"/>
          <w:szCs w:val="32"/>
          <w:highlight w:val="none"/>
          <w:lang w:val="en-US" w:eastAsia="zh-CN"/>
        </w:rPr>
        <w:t>村民生活质量重要指标之一，叠溪镇以农旅为主要经济来源，辖区内环境卫生直接影响到叠溪镇甚至茂县整体形象及群众经济收入。</w:t>
      </w:r>
      <w:r>
        <w:rPr>
          <w:rFonts w:hint="eastAsia" w:ascii="仿宋_GB2312" w:hAnsi="仿宋_GB2312" w:eastAsia="仿宋_GB2312" w:cs="仿宋_GB2312"/>
          <w:sz w:val="32"/>
          <w:szCs w:val="32"/>
          <w:highlight w:val="none"/>
          <w:lang w:eastAsia="zh-CN"/>
        </w:rPr>
        <w:t>为</w:t>
      </w:r>
      <w:r>
        <w:rPr>
          <w:rFonts w:hint="eastAsia" w:ascii="仿宋_GB2312" w:hAnsi="仿宋_GB2312" w:eastAsia="仿宋_GB2312" w:cs="仿宋_GB2312"/>
          <w:sz w:val="32"/>
          <w:szCs w:val="32"/>
          <w:highlight w:val="none"/>
          <w:lang w:val="en-US" w:eastAsia="zh-CN"/>
        </w:rPr>
        <w:t>了改善村民的生活环境，提高生产生活质量</w:t>
      </w:r>
      <w:r>
        <w:rPr>
          <w:rFonts w:hint="eastAsia" w:ascii="仿宋_GB2312" w:hAnsi="仿宋_GB2312" w:eastAsia="仿宋_GB2312" w:cs="仿宋_GB2312"/>
          <w:sz w:val="32"/>
          <w:szCs w:val="32"/>
          <w:highlight w:val="none"/>
        </w:rPr>
        <w:t>。随着新农村建设步伐的加快，国家支农惠农政策的执行力度加大，</w:t>
      </w:r>
      <w:r>
        <w:rPr>
          <w:rFonts w:hint="eastAsia" w:ascii="仿宋_GB2312" w:hAnsi="仿宋_GB2312" w:eastAsia="仿宋_GB2312" w:cs="仿宋_GB2312"/>
          <w:sz w:val="32"/>
          <w:szCs w:val="32"/>
          <w:highlight w:val="none"/>
          <w:lang w:eastAsia="zh-CN"/>
        </w:rPr>
        <w:t>逐步提高</w:t>
      </w:r>
      <w:r>
        <w:rPr>
          <w:rFonts w:hint="eastAsia" w:ascii="仿宋_GB2312" w:hAnsi="仿宋_GB2312" w:eastAsia="仿宋_GB2312" w:cs="仿宋_GB2312"/>
          <w:sz w:val="32"/>
          <w:szCs w:val="32"/>
          <w:highlight w:val="none"/>
        </w:rPr>
        <w:t>农民的</w:t>
      </w:r>
      <w:r>
        <w:rPr>
          <w:rFonts w:hint="eastAsia" w:ascii="仿宋_GB2312" w:hAnsi="仿宋_GB2312" w:eastAsia="仿宋_GB2312" w:cs="仿宋_GB2312"/>
          <w:sz w:val="32"/>
          <w:szCs w:val="32"/>
          <w:highlight w:val="none"/>
          <w:lang w:eastAsia="zh-CN"/>
        </w:rPr>
        <w:t>生产</w:t>
      </w:r>
      <w:r>
        <w:rPr>
          <w:rFonts w:hint="eastAsia" w:ascii="仿宋_GB2312" w:hAnsi="仿宋_GB2312" w:eastAsia="仿宋_GB2312" w:cs="仿宋_GB2312"/>
          <w:sz w:val="32"/>
          <w:szCs w:val="32"/>
          <w:highlight w:val="none"/>
        </w:rPr>
        <w:t>生活水平，</w:t>
      </w:r>
      <w:r>
        <w:rPr>
          <w:rFonts w:hint="eastAsia" w:ascii="仿宋_GB2312" w:hAnsi="仿宋_GB2312" w:eastAsia="仿宋_GB2312" w:cs="仿宋_GB2312"/>
          <w:sz w:val="32"/>
          <w:szCs w:val="32"/>
          <w:highlight w:val="none"/>
          <w:lang w:eastAsia="zh-CN"/>
        </w:rPr>
        <w:t>改善</w:t>
      </w:r>
      <w:r>
        <w:rPr>
          <w:rFonts w:hint="eastAsia" w:ascii="仿宋_GB2312" w:hAnsi="仿宋_GB2312" w:eastAsia="仿宋_GB2312" w:cs="仿宋_GB2312"/>
          <w:sz w:val="32"/>
          <w:szCs w:val="32"/>
          <w:highlight w:val="none"/>
        </w:rPr>
        <w:t>生活环境。实施</w:t>
      </w:r>
      <w:r>
        <w:rPr>
          <w:rFonts w:hint="eastAsia" w:ascii="仿宋_GB2312" w:hAnsi="仿宋_GB2312" w:eastAsia="仿宋_GB2312" w:cs="仿宋_GB2312"/>
          <w:bCs/>
          <w:color w:val="000000"/>
          <w:kern w:val="2"/>
          <w:sz w:val="32"/>
          <w:szCs w:val="32"/>
          <w:highlight w:val="none"/>
          <w:lang w:val="zh-CN" w:eastAsia="zh-CN"/>
        </w:rPr>
        <w:t>叠溪镇人居环境整治项目</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lang w:eastAsia="zh-CN"/>
        </w:rPr>
        <w:t>美化城镇环境及</w:t>
      </w:r>
      <w:r>
        <w:rPr>
          <w:rFonts w:hint="eastAsia" w:ascii="仿宋_GB2312" w:hAnsi="仿宋_GB2312" w:eastAsia="仿宋_GB2312" w:cs="仿宋_GB2312"/>
          <w:sz w:val="32"/>
          <w:szCs w:val="32"/>
        </w:rPr>
        <w:t>村容村貌，为新农村建设打下基础。</w:t>
      </w:r>
    </w:p>
    <w:p>
      <w:pPr>
        <w:keepNext w:val="0"/>
        <w:keepLines w:val="0"/>
        <w:pageBreakBefore w:val="0"/>
        <w:numPr>
          <w:ilvl w:val="0"/>
          <w:numId w:val="0"/>
        </w:numPr>
        <w:kinsoku/>
        <w:wordWrap/>
        <w:overflowPunct/>
        <w:topLinePunct w:val="0"/>
        <w:autoSpaceDE/>
        <w:autoSpaceDN/>
        <w:bidi w:val="0"/>
        <w:adjustRightInd w:val="0"/>
        <w:snapToGrid w:val="0"/>
        <w:spacing w:line="576" w:lineRule="exact"/>
        <w:ind w:left="0" w:leftChars="0" w:firstLine="642" w:firstLineChars="200"/>
        <w:jc w:val="left"/>
        <w:textAlignment w:val="auto"/>
        <w:rPr>
          <w:rFonts w:hint="eastAsia" w:ascii="楷体_GB2312" w:hAnsi="宋体" w:eastAsia="楷体_GB2312"/>
          <w:b/>
          <w:sz w:val="32"/>
          <w:szCs w:val="32"/>
          <w:lang w:val="zh-CN"/>
        </w:rPr>
      </w:pPr>
      <w:r>
        <w:rPr>
          <w:rFonts w:hint="eastAsia" w:ascii="楷体_GB2312" w:hAnsi="宋体" w:eastAsia="楷体_GB2312" w:cs="Times New Roman"/>
          <w:b/>
          <w:kern w:val="2"/>
          <w:sz w:val="32"/>
          <w:szCs w:val="32"/>
          <w:lang w:val="zh-CN" w:eastAsia="zh-CN" w:bidi="ar-SA"/>
        </w:rPr>
        <w:t>（三）</w:t>
      </w:r>
      <w:r>
        <w:rPr>
          <w:rFonts w:ascii="楷体_GB2312" w:hAnsi="宋体" w:eastAsia="楷体_GB2312"/>
          <w:b/>
          <w:sz w:val="32"/>
          <w:szCs w:val="32"/>
        </w:rPr>
        <w:t>预算安排及分配管理</w:t>
      </w:r>
    </w:p>
    <w:p>
      <w:pPr>
        <w:keepNext w:val="0"/>
        <w:keepLines w:val="0"/>
        <w:pageBreakBefore w:val="0"/>
        <w:kinsoku/>
        <w:wordWrap/>
        <w:overflowPunct/>
        <w:topLinePunct w:val="0"/>
        <w:autoSpaceDE/>
        <w:autoSpaceDN/>
        <w:bidi w:val="0"/>
        <w:adjustRightInd/>
        <w:snapToGrid/>
        <w:spacing w:line="576" w:lineRule="exact"/>
        <w:ind w:left="0" w:leftChars="0" w:firstLine="640" w:firstLineChars="200"/>
        <w:jc w:val="left"/>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叠溪镇人居环境整治项目，辖区内实施环境卫生整治、垃圾清理转运、沟渠卫生维护等，以确保区域内卫生整洁，美化区域内环境。项目资金36.04万元。于2024年8月申请并批复资金共计36.04万元。2024年11月根据（</w:t>
      </w:r>
      <w:r>
        <w:rPr>
          <w:rFonts w:hint="eastAsia" w:ascii="仿宋_GB2312" w:hAnsi="仿宋_GB2312" w:eastAsia="仿宋_GB2312" w:cs="仿宋_GB2312"/>
          <w:sz w:val="32"/>
          <w:szCs w:val="32"/>
          <w:highlight w:val="none"/>
          <w:lang w:val="zh-CN" w:eastAsia="zh-CN"/>
        </w:rPr>
        <w:t>茂财预金</w:t>
      </w:r>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highlight w:val="none"/>
          <w:lang w:val="zh-CN" w:eastAsia="zh-CN"/>
        </w:rPr>
        <w:t>08051号</w:t>
      </w:r>
      <w:r>
        <w:rPr>
          <w:rFonts w:hint="eastAsia" w:ascii="仿宋_GB2312" w:hAnsi="仿宋_GB2312" w:eastAsia="仿宋_GB2312" w:cs="仿宋_GB2312"/>
          <w:sz w:val="32"/>
          <w:szCs w:val="32"/>
          <w:highlight w:val="none"/>
          <w:lang w:val="en-US" w:eastAsia="zh-CN"/>
        </w:rPr>
        <w:t>）文件，县财政局下达我镇人居环境整治项目资金36.04万元。</w:t>
      </w:r>
    </w:p>
    <w:p>
      <w:pPr>
        <w:keepNext w:val="0"/>
        <w:keepLines w:val="0"/>
        <w:pageBreakBefore w:val="0"/>
        <w:numPr>
          <w:ilvl w:val="0"/>
          <w:numId w:val="0"/>
        </w:numPr>
        <w:kinsoku/>
        <w:wordWrap/>
        <w:overflowPunct/>
        <w:topLinePunct w:val="0"/>
        <w:autoSpaceDE/>
        <w:autoSpaceDN/>
        <w:bidi w:val="0"/>
        <w:adjustRightInd w:val="0"/>
        <w:snapToGrid w:val="0"/>
        <w:spacing w:line="576" w:lineRule="exact"/>
        <w:ind w:left="0" w:leftChars="0" w:firstLine="642" w:firstLineChars="200"/>
        <w:jc w:val="left"/>
        <w:textAlignment w:val="auto"/>
        <w:rPr>
          <w:rFonts w:hint="eastAsia" w:ascii="楷体_GB2312" w:hAnsi="宋体" w:eastAsia="楷体_GB2312"/>
          <w:b/>
          <w:sz w:val="32"/>
          <w:szCs w:val="32"/>
          <w:lang w:val="zh-CN"/>
        </w:rPr>
      </w:pPr>
      <w:r>
        <w:rPr>
          <w:rFonts w:hint="eastAsia" w:ascii="楷体_GB2312" w:hAnsi="宋体" w:eastAsia="楷体_GB2312" w:cs="Times New Roman"/>
          <w:b/>
          <w:kern w:val="2"/>
          <w:sz w:val="32"/>
          <w:szCs w:val="32"/>
          <w:lang w:val="zh-CN" w:eastAsia="zh-CN" w:bidi="ar-SA"/>
        </w:rPr>
        <w:t>（四）</w:t>
      </w:r>
      <w:r>
        <w:rPr>
          <w:rFonts w:hint="eastAsia" w:ascii="楷体_GB2312" w:hAnsi="宋体" w:eastAsia="楷体_GB2312"/>
          <w:b/>
          <w:sz w:val="32"/>
          <w:szCs w:val="32"/>
          <w:lang w:val="zh-CN"/>
        </w:rPr>
        <w:t>项目绩效目标设置</w:t>
      </w:r>
    </w:p>
    <w:p>
      <w:pPr>
        <w:keepNext w:val="0"/>
        <w:keepLines w:val="0"/>
        <w:pageBreakBefore w:val="0"/>
        <w:kinsoku/>
        <w:wordWrap/>
        <w:overflowPunct/>
        <w:topLinePunct w:val="0"/>
        <w:autoSpaceDE/>
        <w:autoSpaceDN/>
        <w:bidi w:val="0"/>
        <w:adjustRightInd w:val="0"/>
        <w:snapToGrid w:val="0"/>
        <w:spacing w:line="576" w:lineRule="exact"/>
        <w:ind w:firstLine="640" w:firstLineChars="200"/>
        <w:jc w:val="left"/>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叠溪镇人居环境整治项目的整体绩效目标是通过开展乡村环境卫生整合整治全面改变脏乱差现象，落实长效管理机制，达到环境整洁、村容美观、生态良好、乡风文明的总体目标。</w:t>
      </w:r>
    </w:p>
    <w:p>
      <w:pPr>
        <w:keepNext w:val="0"/>
        <w:keepLines w:val="0"/>
        <w:pageBreakBefore w:val="0"/>
        <w:kinsoku/>
        <w:wordWrap/>
        <w:overflowPunct/>
        <w:topLinePunct w:val="0"/>
        <w:autoSpaceDE/>
        <w:autoSpaceDN/>
        <w:bidi w:val="0"/>
        <w:adjustRightInd w:val="0"/>
        <w:snapToGrid w:val="0"/>
        <w:spacing w:line="576" w:lineRule="exact"/>
        <w:ind w:firstLine="640" w:firstLineChars="200"/>
        <w:jc w:val="left"/>
        <w:textAlignment w:val="auto"/>
        <w:rPr>
          <w:rFonts w:ascii="黑体" w:hAnsi="宋体" w:eastAsia="黑体"/>
          <w:sz w:val="32"/>
          <w:szCs w:val="32"/>
        </w:rPr>
      </w:pPr>
      <w:r>
        <w:rPr>
          <w:rFonts w:hint="eastAsia" w:ascii="黑体" w:hAnsi="宋体" w:eastAsia="黑体"/>
          <w:sz w:val="32"/>
          <w:szCs w:val="32"/>
        </w:rPr>
        <w:t>二、评价实施</w:t>
      </w:r>
    </w:p>
    <w:p>
      <w:pPr>
        <w:keepNext w:val="0"/>
        <w:keepLines w:val="0"/>
        <w:pageBreakBefore w:val="0"/>
        <w:kinsoku/>
        <w:wordWrap/>
        <w:overflowPunct/>
        <w:topLinePunct w:val="0"/>
        <w:autoSpaceDE/>
        <w:autoSpaceDN/>
        <w:bidi w:val="0"/>
        <w:adjustRightInd/>
        <w:snapToGrid/>
        <w:spacing w:line="576" w:lineRule="exact"/>
        <w:ind w:left="0" w:leftChars="0" w:firstLine="642" w:firstLineChars="200"/>
        <w:jc w:val="left"/>
        <w:textAlignment w:val="auto"/>
        <w:rPr>
          <w:rFonts w:hint="eastAsia" w:ascii="仿宋_GB2312" w:hAnsi="仿宋_GB2312" w:eastAsia="仿宋_GB2312" w:cs="仿宋_GB2312"/>
          <w:sz w:val="32"/>
          <w:szCs w:val="32"/>
          <w:highlight w:val="none"/>
          <w:lang w:val="en-US" w:eastAsia="zh-CN"/>
        </w:rPr>
      </w:pPr>
      <w:r>
        <w:rPr>
          <w:rFonts w:hint="eastAsia" w:ascii="楷体_GB2312" w:hAnsi="宋体" w:eastAsia="楷体_GB2312"/>
          <w:b/>
          <w:sz w:val="32"/>
          <w:szCs w:val="32"/>
          <w:lang w:val="zh-CN"/>
        </w:rPr>
        <w:t>（一）评价目的。</w:t>
      </w:r>
      <w:r>
        <w:rPr>
          <w:rFonts w:hint="eastAsia" w:ascii="仿宋_GB2312" w:hAnsi="仿宋_GB2312" w:eastAsia="仿宋_GB2312" w:cs="仿宋_GB2312"/>
          <w:sz w:val="32"/>
          <w:szCs w:val="32"/>
          <w:highlight w:val="none"/>
          <w:lang w:val="en-US" w:eastAsia="zh-CN"/>
        </w:rPr>
        <w:t>叠溪镇人居环境整治项目的整体绩效目标是通过开展乡村环境卫生整合整治全面改变脏乱差现象，落实长效管理机制，达到环境整洁、村容美观、生态良好、乡风文明的总体目标。</w:t>
      </w:r>
    </w:p>
    <w:p>
      <w:pPr>
        <w:keepNext w:val="0"/>
        <w:keepLines w:val="0"/>
        <w:pageBreakBefore w:val="0"/>
        <w:kinsoku/>
        <w:wordWrap/>
        <w:overflowPunct/>
        <w:topLinePunct w:val="0"/>
        <w:autoSpaceDE/>
        <w:autoSpaceDN/>
        <w:bidi w:val="0"/>
        <w:adjustRightInd w:val="0"/>
        <w:snapToGrid w:val="0"/>
        <w:spacing w:line="576" w:lineRule="exact"/>
        <w:ind w:firstLine="642" w:firstLineChars="200"/>
        <w:jc w:val="left"/>
        <w:textAlignment w:val="auto"/>
        <w:rPr>
          <w:rFonts w:hint="eastAsia" w:eastAsia="楷体_GB2312"/>
          <w:sz w:val="32"/>
          <w:szCs w:val="32"/>
          <w:lang w:val="en-US" w:eastAsia="zh-CN"/>
        </w:rPr>
      </w:pPr>
      <w:r>
        <w:rPr>
          <w:rFonts w:hint="eastAsia" w:ascii="楷体_GB2312" w:hAnsi="宋体" w:eastAsia="楷体_GB2312"/>
          <w:b/>
          <w:sz w:val="32"/>
          <w:szCs w:val="32"/>
          <w:lang w:val="zh-CN"/>
        </w:rPr>
        <w:t>（二）预设问题及评价重点。</w:t>
      </w:r>
      <w:r>
        <w:rPr>
          <w:rFonts w:hint="eastAsia" w:eastAsia="楷体_GB2312"/>
          <w:sz w:val="32"/>
          <w:szCs w:val="32"/>
          <w:lang w:val="en-US" w:eastAsia="zh-CN"/>
        </w:rPr>
        <w:t>无</w:t>
      </w:r>
    </w:p>
    <w:p>
      <w:pPr>
        <w:keepNext w:val="0"/>
        <w:keepLines w:val="0"/>
        <w:pageBreakBefore w:val="0"/>
        <w:kinsoku/>
        <w:wordWrap/>
        <w:overflowPunct/>
        <w:topLinePunct w:val="0"/>
        <w:autoSpaceDE/>
        <w:autoSpaceDN/>
        <w:bidi w:val="0"/>
        <w:adjustRightInd w:val="0"/>
        <w:snapToGrid w:val="0"/>
        <w:spacing w:line="576" w:lineRule="exact"/>
        <w:ind w:firstLine="642" w:firstLineChars="200"/>
        <w:jc w:val="left"/>
        <w:textAlignment w:val="auto"/>
        <w:rPr>
          <w:rFonts w:hint="eastAsia" w:eastAsia="楷体_GB2312"/>
          <w:sz w:val="32"/>
          <w:szCs w:val="32"/>
          <w:lang w:val="en-US" w:eastAsia="zh-CN"/>
        </w:rPr>
      </w:pPr>
      <w:r>
        <w:rPr>
          <w:rFonts w:hint="eastAsia" w:ascii="楷体_GB2312" w:hAnsi="宋体" w:eastAsia="楷体_GB2312"/>
          <w:b/>
          <w:sz w:val="32"/>
          <w:szCs w:val="32"/>
          <w:lang w:val="zh-CN"/>
        </w:rPr>
        <w:t>（三）评价选点。</w:t>
      </w:r>
      <w:r>
        <w:rPr>
          <w:rFonts w:hint="eastAsia" w:ascii="仿宋_GB2312" w:hAnsi="仿宋_GB2312" w:eastAsia="仿宋_GB2312" w:cs="仿宋_GB2312"/>
          <w:sz w:val="32"/>
          <w:szCs w:val="32"/>
          <w:lang w:val="en-US" w:eastAsia="zh-CN"/>
        </w:rPr>
        <w:t>抽取</w:t>
      </w:r>
      <w:r>
        <w:rPr>
          <w:rFonts w:hint="eastAsia" w:ascii="仿宋_GB2312" w:hAnsi="仿宋_GB2312" w:eastAsia="仿宋_GB2312" w:cs="仿宋_GB2312"/>
          <w:sz w:val="32"/>
          <w:szCs w:val="32"/>
          <w:highlight w:val="none"/>
          <w:lang w:val="en-US" w:eastAsia="zh-CN"/>
        </w:rPr>
        <w:t>叠溪镇人居环境整治项目验收合格率1个</w:t>
      </w:r>
      <w:r>
        <w:rPr>
          <w:rFonts w:hint="eastAsia" w:ascii="仿宋_GB2312" w:hAnsi="仿宋_GB2312" w:eastAsia="仿宋_GB2312" w:cs="仿宋_GB2312"/>
          <w:sz w:val="32"/>
          <w:szCs w:val="32"/>
          <w:highlight w:val="none"/>
          <w:lang w:val="zh-CN" w:eastAsia="zh-CN"/>
        </w:rPr>
        <w:t>样点</w:t>
      </w:r>
      <w:r>
        <w:rPr>
          <w:rFonts w:hint="eastAsia" w:ascii="仿宋_GB2312" w:hAnsi="仿宋_GB2312" w:eastAsia="仿宋_GB2312" w:cs="仿宋_GB2312"/>
          <w:sz w:val="32"/>
          <w:szCs w:val="32"/>
          <w:highlight w:val="none"/>
          <w:lang w:val="en-US" w:eastAsia="zh-CN"/>
        </w:rPr>
        <w:t>进行评价</w:t>
      </w:r>
      <w:r>
        <w:rPr>
          <w:rFonts w:hint="eastAsia" w:ascii="仿宋_GB2312" w:hAnsi="仿宋_GB2312" w:eastAsia="仿宋_GB2312" w:cs="仿宋_GB2312"/>
          <w:sz w:val="32"/>
          <w:szCs w:val="32"/>
          <w:highlight w:val="none"/>
          <w:lang w:val="zh-CN" w:eastAsia="zh-CN"/>
        </w:rPr>
        <w:t>。</w:t>
      </w:r>
    </w:p>
    <w:p>
      <w:pPr>
        <w:keepNext w:val="0"/>
        <w:keepLines w:val="0"/>
        <w:pageBreakBefore w:val="0"/>
        <w:kinsoku/>
        <w:wordWrap/>
        <w:overflowPunct/>
        <w:topLinePunct w:val="0"/>
        <w:autoSpaceDE/>
        <w:autoSpaceDN/>
        <w:bidi w:val="0"/>
        <w:spacing w:line="576" w:lineRule="exact"/>
        <w:ind w:firstLine="640"/>
        <w:jc w:val="left"/>
        <w:textAlignment w:val="auto"/>
        <w:rPr>
          <w:rFonts w:hint="eastAsia" w:ascii="仿宋_GB2312" w:hAnsi="仿宋_GB2312" w:eastAsia="仿宋_GB2312" w:cs="仿宋_GB2312"/>
          <w:sz w:val="32"/>
          <w:szCs w:val="32"/>
        </w:rPr>
      </w:pPr>
      <w:r>
        <w:rPr>
          <w:rFonts w:hint="eastAsia" w:ascii="楷体_GB2312" w:hAnsi="宋体" w:eastAsia="楷体_GB2312"/>
          <w:b/>
          <w:sz w:val="32"/>
          <w:szCs w:val="32"/>
          <w:lang w:val="zh-CN"/>
        </w:rPr>
        <w:t>（四）评价方法。</w:t>
      </w:r>
      <w:r>
        <w:rPr>
          <w:rFonts w:hint="eastAsia" w:ascii="仿宋_GB2312" w:hAnsi="仿宋_GB2312" w:eastAsia="仿宋_GB2312" w:cs="仿宋_GB2312"/>
          <w:sz w:val="32"/>
          <w:szCs w:val="32"/>
          <w:highlight w:val="none"/>
          <w:lang w:val="en-US" w:eastAsia="zh-CN"/>
        </w:rPr>
        <w:t>叠溪镇人居环境整治项目</w:t>
      </w:r>
      <w:r>
        <w:rPr>
          <w:rFonts w:hint="eastAsia" w:ascii="仿宋_GB2312" w:hAnsi="仿宋_GB2312" w:eastAsia="仿宋_GB2312" w:cs="仿宋_GB2312"/>
          <w:sz w:val="32"/>
          <w:szCs w:val="32"/>
          <w:lang w:val="en-US" w:eastAsia="zh-CN"/>
        </w:rPr>
        <w:t>采用</w:t>
      </w:r>
      <w:r>
        <w:rPr>
          <w:rFonts w:hint="eastAsia" w:ascii="仿宋_GB2312" w:hAnsi="仿宋_GB2312" w:eastAsia="仿宋_GB2312" w:cs="仿宋_GB2312"/>
          <w:sz w:val="32"/>
          <w:szCs w:val="32"/>
        </w:rPr>
        <w:t>单位自评法</w:t>
      </w:r>
      <w:r>
        <w:rPr>
          <w:rFonts w:hint="eastAsia" w:ascii="仿宋_GB2312" w:hAnsi="仿宋_GB2312" w:eastAsia="仿宋_GB2312" w:cs="仿宋_GB2312"/>
          <w:sz w:val="32"/>
          <w:szCs w:val="32"/>
          <w:lang w:val="en-US" w:eastAsia="zh-CN"/>
        </w:rPr>
        <w:t>进行评价分析</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E/>
        <w:autoSpaceDN/>
        <w:bidi w:val="0"/>
        <w:spacing w:line="576" w:lineRule="exact"/>
        <w:ind w:firstLine="640"/>
        <w:jc w:val="left"/>
        <w:textAlignment w:val="auto"/>
        <w:rPr>
          <w:rFonts w:hint="eastAsia" w:ascii="仿宋_GB2312" w:hAnsi="仿宋_GB2312" w:eastAsia="仿宋_GB2312" w:cs="仿宋_GB2312"/>
          <w:sz w:val="32"/>
          <w:szCs w:val="32"/>
          <w:highlight w:val="none"/>
          <w:lang w:val="zh-CN" w:eastAsia="zh-CN"/>
        </w:rPr>
      </w:pPr>
      <w:r>
        <w:rPr>
          <w:rFonts w:hint="eastAsia" w:ascii="楷体_GB2312" w:hAnsi="宋体" w:eastAsia="楷体_GB2312"/>
          <w:b/>
          <w:sz w:val="32"/>
          <w:szCs w:val="32"/>
          <w:lang w:val="zh-CN"/>
        </w:rPr>
        <w:t>（五）评价组织。</w:t>
      </w:r>
      <w:r>
        <w:rPr>
          <w:rFonts w:hint="eastAsia" w:ascii="仿宋_GB2312" w:hAnsi="仿宋_GB2312" w:eastAsia="仿宋_GB2312" w:cs="仿宋_GB2312"/>
          <w:sz w:val="32"/>
          <w:szCs w:val="32"/>
          <w:lang w:val="en-US" w:eastAsia="zh-CN"/>
        </w:rPr>
        <w:t>由项目经办人员及财务人员分工协作，项目经办人员负责项目具体实施，财务人员负责评价方法</w:t>
      </w:r>
      <w:r>
        <w:rPr>
          <w:rFonts w:hint="eastAsia" w:ascii="仿宋_GB2312" w:hAnsi="仿宋_GB2312" w:eastAsia="仿宋_GB2312" w:cs="仿宋_GB2312"/>
          <w:sz w:val="32"/>
          <w:szCs w:val="32"/>
          <w:lang w:val="zh-CN" w:eastAsia="zh-CN"/>
        </w:rPr>
        <w:t>。</w:t>
      </w:r>
    </w:p>
    <w:p>
      <w:pPr>
        <w:keepNext w:val="0"/>
        <w:keepLines w:val="0"/>
        <w:pageBreakBefore w:val="0"/>
        <w:kinsoku/>
        <w:wordWrap/>
        <w:overflowPunct/>
        <w:topLinePunct w:val="0"/>
        <w:autoSpaceDE/>
        <w:autoSpaceDN/>
        <w:bidi w:val="0"/>
        <w:adjustRightInd w:val="0"/>
        <w:snapToGrid w:val="0"/>
        <w:spacing w:line="576" w:lineRule="exact"/>
        <w:ind w:firstLine="640" w:firstLineChars="200"/>
        <w:jc w:val="left"/>
        <w:textAlignment w:val="auto"/>
        <w:rPr>
          <w:rFonts w:hint="eastAsia" w:ascii="仿宋_GB2312" w:hAnsi="宋体"/>
          <w:sz w:val="32"/>
          <w:szCs w:val="32"/>
          <w:lang w:val="zh-CN"/>
        </w:rPr>
      </w:pPr>
      <w:r>
        <w:rPr>
          <w:rFonts w:hint="eastAsia" w:ascii="黑体" w:hAnsi="宋体" w:eastAsia="黑体"/>
          <w:sz w:val="32"/>
          <w:szCs w:val="32"/>
        </w:rPr>
        <w:t>三、绩效分析</w:t>
      </w:r>
      <w:r>
        <w:rPr>
          <w:rFonts w:hint="eastAsia" w:ascii="仿宋_GB2312" w:hAnsi="宋体"/>
          <w:sz w:val="32"/>
          <w:szCs w:val="32"/>
          <w:lang w:val="zh-CN"/>
        </w:rPr>
        <w:tab/>
      </w:r>
    </w:p>
    <w:p>
      <w:pPr>
        <w:keepNext w:val="0"/>
        <w:keepLines w:val="0"/>
        <w:pageBreakBefore w:val="0"/>
        <w:kinsoku/>
        <w:wordWrap/>
        <w:overflowPunct/>
        <w:topLinePunct w:val="0"/>
        <w:autoSpaceDE/>
        <w:autoSpaceDN/>
        <w:bidi w:val="0"/>
        <w:adjustRightInd w:val="0"/>
        <w:snapToGrid w:val="0"/>
        <w:spacing w:line="576" w:lineRule="exact"/>
        <w:ind w:firstLine="720"/>
        <w:jc w:val="left"/>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eastAsia="zh-CN"/>
        </w:rPr>
        <w:t>数量指标</w:t>
      </w:r>
      <w:r>
        <w:rPr>
          <w:rFonts w:hint="eastAsia" w:ascii="仿宋_GB2312" w:hAnsi="仿宋_GB2312" w:eastAsia="仿宋_GB2312" w:cs="仿宋_GB2312"/>
          <w:sz w:val="32"/>
          <w:szCs w:val="32"/>
          <w:lang w:val="en-US" w:eastAsia="zh-CN"/>
        </w:rPr>
        <w:t>是涉及整治的村3个，该指标权重为20；质量指标是验收合格率100%，该指标权重为10；时效指标完成年度2024年，该指标权重为10；经济效益指标为增加村民务工收入大于等于24.09万元，该指标权重为20；社会效益指标环境整洁，生态宜居度高，该指标权重为10；满意度指标为受益人口满意度100%，该指标权重为10；成本指标为投入资金36.04万</w:t>
      </w:r>
      <w:r>
        <w:rPr>
          <w:rFonts w:hint="eastAsia" w:ascii="仿宋_GB2312" w:hAnsi="仿宋_GB2312" w:eastAsia="仿宋_GB2312" w:cs="仿宋_GB2312"/>
          <w:sz w:val="32"/>
          <w:szCs w:val="32"/>
          <w:lang w:val="zh-CN"/>
        </w:rPr>
        <w:t>元</w:t>
      </w:r>
      <w:r>
        <w:rPr>
          <w:rFonts w:hint="eastAsia" w:ascii="仿宋_GB2312" w:hAnsi="仿宋_GB2312" w:eastAsia="仿宋_GB2312" w:cs="仿宋_GB2312"/>
          <w:sz w:val="32"/>
          <w:szCs w:val="32"/>
          <w:lang w:val="en-US" w:eastAsia="zh-CN"/>
        </w:rPr>
        <w:t>，该指标权重为10。</w:t>
      </w:r>
    </w:p>
    <w:p>
      <w:pPr>
        <w:keepNext w:val="0"/>
        <w:keepLines w:val="0"/>
        <w:pageBreakBefore w:val="0"/>
        <w:kinsoku/>
        <w:wordWrap/>
        <w:overflowPunct/>
        <w:topLinePunct w:val="0"/>
        <w:autoSpaceDE/>
        <w:autoSpaceDN/>
        <w:bidi w:val="0"/>
        <w:spacing w:line="576" w:lineRule="exact"/>
        <w:ind w:firstLine="640"/>
        <w:jc w:val="left"/>
        <w:textAlignment w:val="auto"/>
        <w:rPr>
          <w:rFonts w:ascii="楷体_GB2312" w:hAnsi="宋体" w:eastAsia="楷体_GB2312"/>
          <w:b/>
          <w:sz w:val="32"/>
          <w:szCs w:val="32"/>
        </w:rPr>
      </w:pPr>
      <w:r>
        <w:rPr>
          <w:rFonts w:hint="eastAsia" w:ascii="楷体_GB2312" w:hAnsi="宋体" w:eastAsia="楷体_GB2312"/>
          <w:b/>
          <w:sz w:val="32"/>
          <w:szCs w:val="32"/>
          <w:lang w:val="zh-CN"/>
        </w:rPr>
        <w:t>（一）</w:t>
      </w:r>
      <w:r>
        <w:rPr>
          <w:rFonts w:hint="eastAsia" w:ascii="楷体_GB2312" w:hAnsi="宋体" w:eastAsia="楷体_GB2312"/>
          <w:b/>
          <w:sz w:val="32"/>
          <w:szCs w:val="32"/>
        </w:rPr>
        <w:t>通用指标</w:t>
      </w:r>
      <w:r>
        <w:rPr>
          <w:rFonts w:eastAsia="楷体_GB2312"/>
          <w:b/>
          <w:bCs/>
          <w:color w:val="000000"/>
          <w:kern w:val="0"/>
          <w:sz w:val="32"/>
          <w:szCs w:val="32"/>
          <w:shd w:val="clear" w:color="auto" w:fill="FFFFFF"/>
          <w:lang w:val="zh-CN"/>
        </w:rPr>
        <w:t>绩效分析</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left"/>
        <w:textAlignment w:val="auto"/>
        <w:rPr>
          <w:rFonts w:hint="eastAsia" w:ascii="仿宋_GB2312" w:hAnsi="仿宋_GB2312" w:eastAsia="仿宋_GB2312" w:cs="仿宋_GB2312"/>
          <w:sz w:val="32"/>
          <w:szCs w:val="32"/>
          <w:u w:val="none"/>
        </w:rPr>
      </w:pPr>
      <w:r>
        <w:rPr>
          <w:rFonts w:hint="eastAsia" w:ascii="楷体_GB2312" w:hAnsi="楷体_GB2312" w:eastAsia="楷体_GB2312" w:cs="楷体_GB2312"/>
          <w:sz w:val="32"/>
          <w:szCs w:val="32"/>
        </w:rPr>
        <w:t>1.项目决策。</w:t>
      </w:r>
      <w:r>
        <w:rPr>
          <w:rFonts w:hint="eastAsia" w:ascii="仿宋_GB2312" w:hAnsi="仿宋_GB2312" w:eastAsia="仿宋_GB2312" w:cs="仿宋_GB2312"/>
          <w:sz w:val="32"/>
          <w:szCs w:val="32"/>
          <w:u w:val="none"/>
          <w:lang w:eastAsia="zh-CN"/>
        </w:rPr>
        <w:t>为</w:t>
      </w:r>
      <w:r>
        <w:rPr>
          <w:rFonts w:hint="eastAsia" w:ascii="仿宋_GB2312" w:hAnsi="仿宋_GB2312" w:eastAsia="仿宋_GB2312" w:cs="仿宋_GB2312"/>
          <w:sz w:val="32"/>
          <w:szCs w:val="32"/>
          <w:u w:val="none"/>
        </w:rPr>
        <w:t>确保项目的顺利实施</w:t>
      </w:r>
      <w:r>
        <w:rPr>
          <w:rFonts w:hint="eastAsia" w:ascii="仿宋_GB2312" w:hAnsi="仿宋_GB2312" w:eastAsia="仿宋_GB2312" w:cs="仿宋_GB2312"/>
          <w:sz w:val="32"/>
          <w:szCs w:val="32"/>
          <w:u w:val="none"/>
          <w:lang w:eastAsia="zh-CN"/>
        </w:rPr>
        <w:t>，</w:t>
      </w:r>
      <w:r>
        <w:rPr>
          <w:rFonts w:hint="eastAsia" w:ascii="仿宋_GB2312" w:hAnsi="仿宋_GB2312" w:eastAsia="仿宋_GB2312" w:cs="仿宋_GB2312"/>
          <w:sz w:val="32"/>
          <w:szCs w:val="32"/>
          <w:u w:val="none"/>
          <w:lang w:val="en-US" w:eastAsia="zh-CN"/>
        </w:rPr>
        <w:t>经镇党委会议研究决定，项目以各项目村为业主单位，通过召开“一事一议”会议，议定项目具体实施方式（村民自建/委托建设），确定施工单位，组织实施，并成立工作领导小组</w:t>
      </w:r>
      <w:r>
        <w:rPr>
          <w:rFonts w:hint="eastAsia" w:ascii="仿宋_GB2312" w:hAnsi="仿宋_GB2312" w:eastAsia="仿宋_GB2312" w:cs="仿宋_GB2312"/>
          <w:sz w:val="32"/>
          <w:szCs w:val="32"/>
          <w:u w:val="none"/>
          <w:lang w:eastAsia="zh-CN"/>
        </w:rPr>
        <w:t>负责</w:t>
      </w:r>
      <w:r>
        <w:rPr>
          <w:rFonts w:hint="eastAsia" w:ascii="仿宋_GB2312" w:hAnsi="仿宋_GB2312" w:eastAsia="仿宋_GB2312" w:cs="仿宋_GB2312"/>
          <w:sz w:val="32"/>
          <w:szCs w:val="32"/>
          <w:lang w:eastAsia="zh-CN"/>
        </w:rPr>
        <w:t>项目</w:t>
      </w:r>
      <w:r>
        <w:rPr>
          <w:rFonts w:hint="eastAsia" w:ascii="仿宋_GB2312" w:hAnsi="仿宋_GB2312" w:eastAsia="仿宋_GB2312" w:cs="仿宋_GB2312"/>
          <w:sz w:val="32"/>
          <w:szCs w:val="32"/>
          <w:u w:val="none"/>
        </w:rPr>
        <w:t>相关事宜</w:t>
      </w:r>
      <w:r>
        <w:rPr>
          <w:rFonts w:hint="eastAsia" w:ascii="仿宋_GB2312" w:hAnsi="仿宋_GB2312" w:eastAsia="仿宋_GB2312" w:cs="仿宋_GB2312"/>
          <w:sz w:val="32"/>
          <w:szCs w:val="32"/>
          <w:u w:val="none"/>
          <w:lang w:eastAsia="zh-CN"/>
        </w:rPr>
        <w:t>，</w:t>
      </w:r>
      <w:r>
        <w:rPr>
          <w:rFonts w:hint="eastAsia" w:ascii="仿宋_GB2312" w:hAnsi="仿宋_GB2312" w:eastAsia="仿宋_GB2312" w:cs="仿宋_GB2312"/>
          <w:sz w:val="32"/>
          <w:szCs w:val="32"/>
          <w:u w:val="none"/>
        </w:rPr>
        <w:t>确保项目保质保量按时完工。</w:t>
      </w:r>
    </w:p>
    <w:p>
      <w:pPr>
        <w:keepNext w:val="0"/>
        <w:keepLines w:val="0"/>
        <w:pageBreakBefore w:val="0"/>
        <w:kinsoku/>
        <w:wordWrap/>
        <w:overflowPunct/>
        <w:topLinePunct w:val="0"/>
        <w:autoSpaceDE/>
        <w:autoSpaceDN/>
        <w:bidi w:val="0"/>
        <w:spacing w:line="576" w:lineRule="exact"/>
        <w:ind w:firstLine="640"/>
        <w:jc w:val="left"/>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2.项目管理。</w:t>
      </w:r>
      <w:r>
        <w:rPr>
          <w:rFonts w:hint="eastAsia" w:ascii="仿宋_GB2312" w:hAnsi="仿宋_GB2312" w:eastAsia="仿宋_GB2312" w:cs="仿宋_GB2312"/>
          <w:i w:val="0"/>
          <w:caps w:val="0"/>
          <w:color w:val="000000"/>
          <w:spacing w:val="0"/>
          <w:kern w:val="0"/>
          <w:sz w:val="32"/>
          <w:szCs w:val="32"/>
          <w:shd w:val="clear" w:color="auto" w:fill="FFFFFF"/>
          <w:lang w:val="en-US" w:eastAsia="zh-CN" w:bidi="ar"/>
        </w:rPr>
        <w:t>本项目采取项目工作领导小组负责制，全体成员积极配合、通力合作。项目工作领导小组负责协调相关工作，项目实施及资金管理。</w:t>
      </w:r>
    </w:p>
    <w:p>
      <w:pPr>
        <w:keepNext w:val="0"/>
        <w:keepLines w:val="0"/>
        <w:pageBreakBefore w:val="0"/>
        <w:kinsoku/>
        <w:wordWrap/>
        <w:overflowPunct/>
        <w:topLinePunct w:val="0"/>
        <w:autoSpaceDE/>
        <w:autoSpaceDN/>
        <w:bidi w:val="0"/>
        <w:spacing w:line="576" w:lineRule="exact"/>
        <w:ind w:firstLine="640"/>
        <w:jc w:val="left"/>
        <w:textAlignment w:val="auto"/>
        <w:rPr>
          <w:rFonts w:hint="eastAsia" w:ascii="仿宋_GB2312" w:hAnsi="仿宋_GB2312" w:eastAsia="仿宋_GB2312" w:cs="仿宋_GB2312"/>
          <w:i w:val="0"/>
          <w:caps w:val="0"/>
          <w:color w:val="000000"/>
          <w:spacing w:val="0"/>
          <w:kern w:val="0"/>
          <w:sz w:val="32"/>
          <w:szCs w:val="32"/>
          <w:shd w:val="clear" w:color="auto" w:fill="FFFFFF"/>
          <w:lang w:val="en-US" w:eastAsia="zh-CN" w:bidi="ar"/>
        </w:rPr>
      </w:pPr>
      <w:r>
        <w:rPr>
          <w:rFonts w:hint="eastAsia" w:ascii="楷体_GB2312" w:hAnsi="楷体_GB2312" w:eastAsia="楷体_GB2312" w:cs="楷体_GB2312"/>
          <w:sz w:val="32"/>
          <w:szCs w:val="32"/>
        </w:rPr>
        <w:t>3.项目实施。</w:t>
      </w:r>
      <w:r>
        <w:rPr>
          <w:rFonts w:hint="eastAsia" w:ascii="仿宋_GB2312" w:hAnsi="仿宋_GB2312" w:eastAsia="仿宋_GB2312" w:cs="仿宋_GB2312"/>
          <w:i w:val="0"/>
          <w:caps w:val="0"/>
          <w:color w:val="000000"/>
          <w:spacing w:val="0"/>
          <w:kern w:val="0"/>
          <w:sz w:val="32"/>
          <w:szCs w:val="32"/>
          <w:shd w:val="clear" w:color="auto" w:fill="FFFFFF"/>
          <w:lang w:val="en-US" w:eastAsia="zh-CN" w:bidi="ar"/>
        </w:rPr>
        <w:t>截至2024年12月，叠溪镇人居环境整治项目完成施工，该项目共计投入资金36.04万元，于2024年12月完成报账。</w:t>
      </w:r>
    </w:p>
    <w:p>
      <w:pPr>
        <w:keepNext w:val="0"/>
        <w:keepLines w:val="0"/>
        <w:pageBreakBefore w:val="0"/>
        <w:kinsoku/>
        <w:wordWrap/>
        <w:overflowPunct/>
        <w:topLinePunct w:val="0"/>
        <w:autoSpaceDE/>
        <w:autoSpaceDN/>
        <w:bidi w:val="0"/>
        <w:spacing w:line="576" w:lineRule="exact"/>
        <w:ind w:firstLine="640"/>
        <w:jc w:val="left"/>
        <w:textAlignment w:val="auto"/>
        <w:rPr>
          <w:rFonts w:hint="eastAsia" w:ascii="仿宋_GB2312" w:hAnsi="仿宋_GB2312" w:eastAsia="仿宋_GB2312" w:cs="仿宋_GB2312"/>
          <w:i w:val="0"/>
          <w:caps w:val="0"/>
          <w:color w:val="000000"/>
          <w:spacing w:val="0"/>
          <w:kern w:val="0"/>
          <w:sz w:val="32"/>
          <w:szCs w:val="32"/>
          <w:shd w:val="clear" w:color="auto" w:fill="FFFFFF"/>
          <w:lang w:val="en-US" w:eastAsia="zh-CN" w:bidi="ar"/>
        </w:rPr>
      </w:pPr>
      <w:r>
        <w:rPr>
          <w:rFonts w:hint="eastAsia" w:ascii="楷体_GB2312" w:hAnsi="楷体_GB2312" w:eastAsia="楷体_GB2312" w:cs="楷体_GB2312"/>
          <w:sz w:val="32"/>
          <w:szCs w:val="32"/>
        </w:rPr>
        <w:t>4.项目结果。</w:t>
      </w:r>
      <w:r>
        <w:rPr>
          <w:rFonts w:hint="eastAsia" w:ascii="仿宋_GB2312" w:hAnsi="仿宋_GB2312" w:eastAsia="仿宋_GB2312" w:cs="仿宋_GB2312"/>
          <w:i w:val="0"/>
          <w:caps w:val="0"/>
          <w:color w:val="000000"/>
          <w:spacing w:val="0"/>
          <w:kern w:val="0"/>
          <w:sz w:val="32"/>
          <w:szCs w:val="32"/>
          <w:shd w:val="clear" w:color="auto" w:fill="FFFFFF"/>
          <w:lang w:val="en-US" w:eastAsia="zh-CN" w:bidi="ar"/>
        </w:rPr>
        <w:t>叠溪镇人居环境整治项目在上级有关部门的关心、帮助下，顺利推进，圆满完成任务，以确保辖区内环境清洁，经村民评价，满意度为100%。</w:t>
      </w:r>
    </w:p>
    <w:p>
      <w:pPr>
        <w:keepNext w:val="0"/>
        <w:keepLines w:val="0"/>
        <w:pageBreakBefore w:val="0"/>
        <w:kinsoku/>
        <w:wordWrap/>
        <w:overflowPunct/>
        <w:topLinePunct w:val="0"/>
        <w:autoSpaceDE/>
        <w:autoSpaceDN/>
        <w:bidi w:val="0"/>
        <w:spacing w:line="576" w:lineRule="exact"/>
        <w:ind w:firstLine="642" w:firstLineChars="200"/>
        <w:jc w:val="left"/>
        <w:textAlignment w:val="auto"/>
        <w:rPr>
          <w:rFonts w:ascii="楷体_GB2312" w:hAnsi="楷体_GB2312" w:eastAsia="楷体_GB2312" w:cs="楷体_GB2312"/>
          <w:sz w:val="32"/>
          <w:szCs w:val="32"/>
          <w:lang w:val="zh-CN"/>
        </w:rPr>
      </w:pPr>
      <w:r>
        <w:rPr>
          <w:rFonts w:hint="eastAsia" w:ascii="楷体_GB2312" w:hAnsi="宋体" w:eastAsia="楷体_GB2312"/>
          <w:b/>
          <w:sz w:val="32"/>
          <w:szCs w:val="32"/>
          <w:lang w:val="zh-CN"/>
        </w:rPr>
        <w:t>（二）</w:t>
      </w:r>
      <w:r>
        <w:rPr>
          <w:rFonts w:hint="eastAsia" w:ascii="楷体_GB2312" w:hAnsi="宋体" w:eastAsia="楷体_GB2312"/>
          <w:b/>
          <w:sz w:val="32"/>
          <w:szCs w:val="32"/>
        </w:rPr>
        <w:t>专用指标</w:t>
      </w:r>
      <w:r>
        <w:rPr>
          <w:rFonts w:eastAsia="楷体_GB2312"/>
          <w:b/>
          <w:bCs/>
          <w:color w:val="000000"/>
          <w:kern w:val="0"/>
          <w:sz w:val="32"/>
          <w:szCs w:val="32"/>
          <w:shd w:val="clear" w:color="auto" w:fill="FFFFFF"/>
          <w:lang w:val="zh-CN"/>
        </w:rPr>
        <w:t>绩效分析</w:t>
      </w:r>
    </w:p>
    <w:p>
      <w:pPr>
        <w:keepNext w:val="0"/>
        <w:keepLines w:val="0"/>
        <w:pageBreakBefore w:val="0"/>
        <w:kinsoku/>
        <w:wordWrap/>
        <w:overflowPunct/>
        <w:topLinePunct w:val="0"/>
        <w:autoSpaceDE/>
        <w:autoSpaceDN/>
        <w:bidi w:val="0"/>
        <w:spacing w:line="576" w:lineRule="exact"/>
        <w:ind w:firstLine="640" w:firstLineChars="200"/>
        <w:jc w:val="left"/>
        <w:textAlignment w:val="auto"/>
        <w:rPr>
          <w:rFonts w:hint="eastAsia"/>
          <w:sz w:val="32"/>
          <w:szCs w:val="32"/>
        </w:rPr>
      </w:pPr>
      <w:r>
        <w:rPr>
          <w:rFonts w:hint="eastAsia" w:ascii="楷体_GB2312" w:hAnsi="楷体_GB2312" w:eastAsia="楷体_GB2312" w:cs="楷体_GB2312"/>
          <w:sz w:val="32"/>
          <w:szCs w:val="32"/>
          <w:lang w:val="en-US" w:eastAsia="zh-CN"/>
        </w:rPr>
        <w:t>1</w:t>
      </w:r>
      <w:r>
        <w:rPr>
          <w:rFonts w:hint="eastAsia" w:ascii="楷体_GB2312" w:hAnsi="楷体_GB2312" w:eastAsia="楷体_GB2312" w:cs="楷体_GB2312"/>
          <w:sz w:val="32"/>
          <w:szCs w:val="32"/>
        </w:rPr>
        <w:t>.</w:t>
      </w:r>
      <w:r>
        <w:rPr>
          <w:rFonts w:hint="eastAsia" w:ascii="楷体_GB2312" w:hAnsi="楷体_GB2312" w:eastAsia="楷体_GB2312" w:cs="楷体_GB2312"/>
          <w:sz w:val="32"/>
          <w:szCs w:val="32"/>
          <w:lang w:val="zh-CN"/>
        </w:rPr>
        <w:t>民生保障。</w:t>
      </w:r>
      <w:r>
        <w:rPr>
          <w:rFonts w:hint="eastAsia" w:ascii="仿宋_GB2312" w:hAnsi="仿宋_GB2312" w:eastAsia="仿宋_GB2312" w:cs="仿宋_GB2312"/>
          <w:sz w:val="32"/>
          <w:szCs w:val="32"/>
        </w:rPr>
        <w:t>保护生态环境，减少环境污染、落实镇村生态管护职能职责。</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6" w:lineRule="exact"/>
        <w:ind w:left="0" w:leftChars="0" w:right="0" w:firstLine="640" w:firstLineChars="200"/>
        <w:jc w:val="left"/>
        <w:textAlignment w:val="auto"/>
        <w:rPr>
          <w:rFonts w:hint="eastAsia" w:ascii="仿宋_GB2312" w:hAnsi="仿宋_GB2312" w:eastAsia="仿宋_GB2312" w:cs="仿宋_GB2312"/>
          <w:i w:val="0"/>
          <w:caps w:val="0"/>
          <w:color w:val="000000"/>
          <w:spacing w:val="0"/>
          <w:sz w:val="32"/>
          <w:szCs w:val="32"/>
        </w:rPr>
      </w:pPr>
      <w:r>
        <w:rPr>
          <w:rFonts w:hint="eastAsia" w:ascii="楷体_GB2312" w:hAnsi="楷体_GB2312" w:eastAsia="楷体_GB2312" w:cs="楷体_GB2312"/>
          <w:sz w:val="32"/>
          <w:szCs w:val="32"/>
          <w:lang w:val="en-US" w:eastAsia="zh-CN"/>
        </w:rPr>
        <w:t>2</w:t>
      </w:r>
      <w:r>
        <w:rPr>
          <w:rFonts w:hint="eastAsia" w:ascii="楷体_GB2312" w:hAnsi="楷体_GB2312" w:eastAsia="楷体_GB2312" w:cs="楷体_GB2312"/>
          <w:sz w:val="32"/>
          <w:szCs w:val="32"/>
        </w:rPr>
        <w:t>.基础设施。</w:t>
      </w:r>
      <w:r>
        <w:rPr>
          <w:rFonts w:hint="eastAsia" w:ascii="仿宋_GB2312" w:hAnsi="仿宋_GB2312" w:eastAsia="仿宋_GB2312" w:cs="仿宋_GB2312"/>
          <w:sz w:val="32"/>
          <w:szCs w:val="32"/>
          <w:lang w:eastAsia="zh-CN"/>
        </w:rPr>
        <w:t>叠溪镇人居环境整治项目</w:t>
      </w:r>
      <w:r>
        <w:rPr>
          <w:rFonts w:hint="eastAsia" w:ascii="仿宋_GB2312" w:hAnsi="仿宋_GB2312" w:eastAsia="仿宋_GB2312" w:cs="仿宋_GB2312"/>
          <w:i w:val="0"/>
          <w:caps w:val="0"/>
          <w:color w:val="000000"/>
          <w:spacing w:val="0"/>
          <w:kern w:val="0"/>
          <w:sz w:val="32"/>
          <w:szCs w:val="32"/>
          <w:shd w:val="clear" w:color="auto" w:fill="FFFFFF"/>
          <w:lang w:val="en-US" w:eastAsia="zh-CN" w:bidi="ar"/>
        </w:rPr>
        <w:t>经费于2024年12月全部支出，共计36.04万元，主要用于</w:t>
      </w:r>
      <w:r>
        <w:rPr>
          <w:rFonts w:hint="eastAsia" w:ascii="仿宋_GB2312" w:hAnsi="仿宋_GB2312" w:eastAsia="仿宋_GB2312" w:cs="仿宋_GB2312"/>
          <w:color w:val="000000"/>
          <w:kern w:val="2"/>
          <w:sz w:val="32"/>
          <w:szCs w:val="32"/>
          <w:lang w:val="en-US" w:eastAsia="zh-CN"/>
        </w:rPr>
        <w:t>叠溪镇人居环境整治</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i w:val="0"/>
          <w:caps w:val="0"/>
          <w:color w:val="000000"/>
          <w:spacing w:val="0"/>
          <w:kern w:val="0"/>
          <w:sz w:val="32"/>
          <w:szCs w:val="32"/>
          <w:shd w:val="clear" w:color="auto" w:fill="FFFFFF"/>
          <w:lang w:val="en-US" w:eastAsia="zh-CN" w:bidi="ar"/>
        </w:rPr>
        <w:t>经费到位并及时支付，支付依据合规合法，资金支付与预算相符。达到村容美观、生态良好、乡风文明的总体目标。</w:t>
      </w:r>
    </w:p>
    <w:p>
      <w:pPr>
        <w:pStyle w:val="6"/>
        <w:keepNext w:val="0"/>
        <w:keepLines w:val="0"/>
        <w:pageBreakBefore w:val="0"/>
        <w:tabs>
          <w:tab w:val="left" w:pos="2160"/>
        </w:tabs>
        <w:kinsoku/>
        <w:wordWrap/>
        <w:overflowPunct/>
        <w:topLinePunct w:val="0"/>
        <w:autoSpaceDE/>
        <w:autoSpaceDN/>
        <w:bidi w:val="0"/>
        <w:spacing w:line="576" w:lineRule="exact"/>
        <w:ind w:firstLine="640" w:firstLineChars="200"/>
        <w:jc w:val="left"/>
        <w:textAlignment w:val="auto"/>
        <w:rPr>
          <w:rFonts w:hint="eastAsia" w:ascii="黑体" w:hAnsi="黑体" w:eastAsia="黑体" w:cs="黑体"/>
          <w:sz w:val="32"/>
          <w:szCs w:val="32"/>
          <w:lang w:val="zh-CN" w:eastAsia="zh-CN"/>
        </w:rPr>
      </w:pPr>
      <w:r>
        <w:rPr>
          <w:rFonts w:hint="eastAsia" w:ascii="黑体" w:hAnsi="黑体" w:eastAsia="黑体" w:cs="黑体"/>
          <w:sz w:val="32"/>
          <w:szCs w:val="32"/>
          <w:lang w:val="zh-CN" w:eastAsia="zh-CN"/>
        </w:rPr>
        <w:t>四、评价结论</w:t>
      </w:r>
    </w:p>
    <w:p>
      <w:pPr>
        <w:keepNext w:val="0"/>
        <w:keepLines w:val="0"/>
        <w:pageBreakBefore w:val="0"/>
        <w:tabs>
          <w:tab w:val="left" w:pos="1911"/>
        </w:tabs>
        <w:kinsoku/>
        <w:wordWrap/>
        <w:overflowPunct/>
        <w:topLinePunct w:val="0"/>
        <w:autoSpaceDE/>
        <w:autoSpaceDN/>
        <w:bidi w:val="0"/>
        <w:spacing w:line="576" w:lineRule="exact"/>
        <w:ind w:firstLine="640" w:firstLineChars="200"/>
        <w:jc w:val="left"/>
        <w:textAlignment w:val="auto"/>
        <w:rPr>
          <w:rFonts w:hint="eastAsia" w:ascii="仿宋_GB2312" w:hAnsi="仿宋_GB2312" w:eastAsia="仿宋_GB2312" w:cs="仿宋_GB2312"/>
          <w:kern w:val="0"/>
          <w:sz w:val="32"/>
          <w:szCs w:val="32"/>
          <w:lang w:val="zh-CN" w:eastAsia="zh-CN"/>
        </w:rPr>
      </w:pPr>
      <w:r>
        <w:rPr>
          <w:rFonts w:hint="eastAsia" w:ascii="仿宋_GB2312" w:hAnsi="仿宋_GB2312" w:eastAsia="仿宋_GB2312" w:cs="仿宋_GB2312"/>
          <w:kern w:val="0"/>
          <w:sz w:val="32"/>
          <w:szCs w:val="32"/>
          <w:lang w:val="zh-CN" w:eastAsia="zh-CN"/>
        </w:rPr>
        <w:t>项目管理做到了管理规范，操作阳光透明，运行有序高效，态度优质，群众满意度高。在项目管理上，通过逐步规范申报审批支付程序，确保了资金高效运转。在资金管理上，严格按照财务制度，确保了资金及时到位和使用。</w:t>
      </w:r>
    </w:p>
    <w:p>
      <w:pPr>
        <w:pStyle w:val="6"/>
        <w:keepNext w:val="0"/>
        <w:keepLines w:val="0"/>
        <w:pageBreakBefore w:val="0"/>
        <w:widowControl w:val="0"/>
        <w:tabs>
          <w:tab w:val="left" w:pos="2160"/>
        </w:tabs>
        <w:kinsoku/>
        <w:wordWrap/>
        <w:overflowPunct/>
        <w:topLinePunct w:val="0"/>
        <w:autoSpaceDE/>
        <w:autoSpaceDN/>
        <w:bidi w:val="0"/>
        <w:adjustRightInd/>
        <w:snapToGrid/>
        <w:spacing w:line="520" w:lineRule="exact"/>
        <w:ind w:firstLine="640" w:firstLineChars="200"/>
        <w:jc w:val="left"/>
        <w:textAlignment w:val="auto"/>
        <w:rPr>
          <w:rFonts w:hint="eastAsia" w:ascii="黑体" w:hAnsi="黑体" w:eastAsia="黑体" w:cs="黑体"/>
          <w:sz w:val="32"/>
          <w:szCs w:val="32"/>
          <w:lang w:val="zh-CN" w:eastAsia="zh-CN"/>
        </w:rPr>
      </w:pPr>
      <w:r>
        <w:rPr>
          <w:rFonts w:hint="eastAsia" w:ascii="黑体" w:hAnsi="黑体" w:eastAsia="黑体" w:cs="黑体"/>
          <w:sz w:val="32"/>
          <w:szCs w:val="32"/>
          <w:lang w:val="zh-CN" w:eastAsia="zh-CN"/>
        </w:rPr>
        <w:t>五、存在主要问题</w:t>
      </w:r>
    </w:p>
    <w:p>
      <w:pPr>
        <w:keepNext w:val="0"/>
        <w:keepLines w:val="0"/>
        <w:pageBreakBefore w:val="0"/>
        <w:widowControl w:val="0"/>
        <w:kinsoku/>
        <w:wordWrap/>
        <w:overflowPunct/>
        <w:topLinePunct w:val="0"/>
        <w:autoSpaceDE/>
        <w:autoSpaceDN/>
        <w:bidi w:val="0"/>
        <w:spacing w:line="576" w:lineRule="exact"/>
        <w:ind w:firstLine="64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专项预算项目绩效自评未发现问题。</w:t>
      </w:r>
    </w:p>
    <w:p>
      <w:pPr>
        <w:pStyle w:val="6"/>
        <w:keepNext w:val="0"/>
        <w:keepLines w:val="0"/>
        <w:pageBreakBefore w:val="0"/>
        <w:widowControl w:val="0"/>
        <w:tabs>
          <w:tab w:val="left" w:pos="2160"/>
        </w:tabs>
        <w:kinsoku/>
        <w:wordWrap/>
        <w:overflowPunct/>
        <w:topLinePunct w:val="0"/>
        <w:autoSpaceDE/>
        <w:autoSpaceDN/>
        <w:bidi w:val="0"/>
        <w:adjustRightInd/>
        <w:snapToGrid/>
        <w:spacing w:line="520" w:lineRule="exact"/>
        <w:ind w:firstLine="640" w:firstLineChars="200"/>
        <w:jc w:val="left"/>
        <w:textAlignment w:val="auto"/>
        <w:rPr>
          <w:rFonts w:hint="eastAsia" w:ascii="黑体" w:hAnsi="黑体" w:eastAsia="黑体" w:cs="黑体"/>
          <w:sz w:val="32"/>
          <w:szCs w:val="32"/>
          <w:lang w:val="zh-CN" w:eastAsia="zh-CN"/>
        </w:rPr>
      </w:pPr>
      <w:r>
        <w:rPr>
          <w:rFonts w:hint="eastAsia" w:ascii="黑体" w:hAnsi="黑体" w:eastAsia="黑体" w:cs="黑体"/>
          <w:sz w:val="32"/>
          <w:szCs w:val="32"/>
          <w:lang w:val="zh-CN" w:eastAsia="zh-CN"/>
        </w:rPr>
        <w:t>六、改进建议</w:t>
      </w:r>
    </w:p>
    <w:p>
      <w:pPr>
        <w:keepNext w:val="0"/>
        <w:keepLines w:val="0"/>
        <w:pageBreakBefore w:val="0"/>
        <w:widowControl w:val="0"/>
        <w:kinsoku/>
        <w:wordWrap/>
        <w:overflowPunct/>
        <w:topLinePunct w:val="0"/>
        <w:autoSpaceDE/>
        <w:autoSpaceDN/>
        <w:bidi w:val="0"/>
        <w:spacing w:line="576" w:lineRule="exact"/>
        <w:ind w:firstLine="640"/>
        <w:textAlignment w:val="auto"/>
        <w:outlineLvl w:val="9"/>
        <w:rPr>
          <w:rFonts w:hint="eastAsia" w:ascii="仿宋_GB2312" w:hAnsi="仿宋_GB2312" w:eastAsia="仿宋_GB2312" w:cs="仿宋_GB2312"/>
          <w:sz w:val="32"/>
          <w:szCs w:val="32"/>
          <w:lang w:val="en-US" w:eastAsia="zh-CN"/>
        </w:rPr>
      </w:pPr>
      <w:bookmarkStart w:id="112" w:name="_Toc293936433"/>
      <w:bookmarkStart w:id="113" w:name="_Toc15396618"/>
      <w:r>
        <w:rPr>
          <w:rFonts w:hint="eastAsia" w:ascii="仿宋_GB2312" w:hAnsi="仿宋_GB2312" w:eastAsia="仿宋_GB2312" w:cs="仿宋_GB2312"/>
          <w:sz w:val="32"/>
          <w:szCs w:val="32"/>
          <w:lang w:val="en-US" w:eastAsia="zh-CN"/>
        </w:rPr>
        <w:t>无专项预算项目在预算安排、完善政策、改进管理等方面的措施建议。</w:t>
      </w:r>
    </w:p>
    <w:p>
      <w:pPr>
        <w:pageBreakBefore w:val="0"/>
        <w:numPr>
          <w:ilvl w:val="0"/>
          <w:numId w:val="0"/>
        </w:numPr>
        <w:kinsoku/>
        <w:wordWrap/>
        <w:overflowPunct/>
        <w:topLinePunct w:val="0"/>
        <w:bidi w:val="0"/>
        <w:spacing w:line="576" w:lineRule="exact"/>
        <w:jc w:val="center"/>
        <w:outlineLvl w:val="0"/>
        <w:rPr>
          <w:rFonts w:hint="eastAsia" w:ascii="Times New Roman" w:hAnsi="Times New Roman" w:eastAsia="黑体"/>
          <w:color w:val="auto"/>
          <w:sz w:val="44"/>
          <w:szCs w:val="44"/>
          <w:highlight w:val="none"/>
        </w:rPr>
      </w:pPr>
    </w:p>
    <w:p>
      <w:pPr>
        <w:pageBreakBefore w:val="0"/>
        <w:numPr>
          <w:ilvl w:val="0"/>
          <w:numId w:val="0"/>
        </w:numPr>
        <w:kinsoku/>
        <w:wordWrap/>
        <w:overflowPunct/>
        <w:topLinePunct w:val="0"/>
        <w:bidi w:val="0"/>
        <w:spacing w:line="576" w:lineRule="exact"/>
        <w:jc w:val="center"/>
        <w:outlineLvl w:val="0"/>
        <w:rPr>
          <w:rFonts w:hint="eastAsia" w:ascii="Times New Roman" w:hAnsi="Times New Roman" w:eastAsia="黑体"/>
          <w:color w:val="auto"/>
          <w:sz w:val="44"/>
          <w:szCs w:val="44"/>
          <w:highlight w:val="none"/>
        </w:rPr>
      </w:pPr>
    </w:p>
    <w:p>
      <w:pPr>
        <w:pStyle w:val="2"/>
        <w:rPr>
          <w:rFonts w:hint="eastAsia" w:ascii="Times New Roman" w:hAnsi="Times New Roman" w:eastAsia="黑体"/>
          <w:color w:val="auto"/>
          <w:sz w:val="44"/>
          <w:szCs w:val="44"/>
          <w:highlight w:val="none"/>
        </w:rPr>
      </w:pPr>
    </w:p>
    <w:p>
      <w:pPr>
        <w:rPr>
          <w:rFonts w:hint="eastAsia"/>
        </w:rPr>
      </w:pPr>
    </w:p>
    <w:p>
      <w:pPr>
        <w:pageBreakBefore w:val="0"/>
        <w:numPr>
          <w:ilvl w:val="0"/>
          <w:numId w:val="0"/>
        </w:numPr>
        <w:kinsoku/>
        <w:wordWrap/>
        <w:overflowPunct/>
        <w:topLinePunct w:val="0"/>
        <w:bidi w:val="0"/>
        <w:spacing w:line="576" w:lineRule="exact"/>
        <w:jc w:val="center"/>
        <w:outlineLvl w:val="0"/>
        <w:rPr>
          <w:rFonts w:hint="eastAsia" w:ascii="Times New Roman" w:hAnsi="Times New Roman" w:eastAsia="黑体"/>
          <w:color w:val="auto"/>
          <w:sz w:val="44"/>
          <w:szCs w:val="44"/>
          <w:highlight w:val="none"/>
        </w:rPr>
      </w:pPr>
    </w:p>
    <w:p>
      <w:pPr>
        <w:pStyle w:val="2"/>
        <w:rPr>
          <w:rFonts w:hint="eastAsia"/>
        </w:rPr>
      </w:pPr>
    </w:p>
    <w:tbl>
      <w:tblPr>
        <w:tblStyle w:val="17"/>
        <w:tblW w:w="9638"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29"/>
        <w:gridCol w:w="1305"/>
        <w:gridCol w:w="1145"/>
        <w:gridCol w:w="1478"/>
        <w:gridCol w:w="437"/>
        <w:gridCol w:w="846"/>
        <w:gridCol w:w="437"/>
        <w:gridCol w:w="975"/>
        <w:gridCol w:w="495"/>
        <w:gridCol w:w="427"/>
        <w:gridCol w:w="146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2824"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008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51322323T000009210838-基层组织活动和公共服务运行经费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547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茂县叠溪镇人民政府</w:t>
            </w:r>
          </w:p>
        </w:tc>
        <w:tc>
          <w:tcPr>
            <w:tcW w:w="1091"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茂县叠溪镇人民政府（行政）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547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547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       本项目的主要内容是根据四川省人民政府办公厅《关于印发四川省农村公共服务运行维护机制建设示范点实施方案的通知》（川办函﹝2012﹞291号）、四川省农村综合改革领导小组办公室《关于印发&lt;四川省农村公共服务运行维护机制建设工作手册（试行）&gt;的通知》，进一步解放和发展生产力，大力推进农村公共服务保障能力建设，提升农村公共服务和社会管理水平，促进农村繁荣稳定和长治久安。2020年预算安排216万元，实际执行216万元；2021年预算安排216万元，实际执行216万元；2022年预算安排216万元，实际执行216万元;202</w:t>
            </w:r>
            <w:r>
              <w:rPr>
                <w:rFonts w:hint="eastAsia" w:ascii="宋体" w:hAnsi="宋体" w:cs="宋体"/>
                <w:i w:val="0"/>
                <w:iCs w:val="0"/>
                <w:color w:val="000000"/>
                <w:kern w:val="0"/>
                <w:sz w:val="18"/>
                <w:szCs w:val="18"/>
                <w:u w:val="none"/>
                <w:lang w:val="en-US" w:eastAsia="zh-CN" w:bidi="ar"/>
              </w:rPr>
              <w:t>4</w:t>
            </w:r>
            <w:r>
              <w:rPr>
                <w:rFonts w:ascii="宋体" w:hAnsi="宋体" w:eastAsia="宋体" w:cs="宋体"/>
                <w:i w:val="0"/>
                <w:iCs w:val="0"/>
                <w:color w:val="000000"/>
                <w:kern w:val="0"/>
                <w:sz w:val="18"/>
                <w:szCs w:val="18"/>
                <w:u w:val="none"/>
                <w:lang w:val="en-US" w:eastAsia="zh-CN" w:bidi="ar"/>
              </w:rPr>
              <w:t>年拟申请资金预算216万元，与上一年度持平。</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本项目的主要内容是根据四川省人民政府办公厅《关于印发四川省农村公共服务运行维护机制建设示范点实施方案的通知》（川办函﹝2012﹞291号）、四川省农村综合改革领导小组办公室《关于印发&lt;四川省农村公共服务运行维护机制建设工作手册（试行）&gt;的通知》，进一步解放和发展生产力，大力推进农村公共服务保障能力建设，提升农村公共服务和社会管理水平，促进农村繁荣稳定和长治久安。2020年预算安排216万元，实际执行216万元；2021年预算安排216万元，实际执行216万元；2022年预算安排216万元，实际执行216万元;2024年拟申请资金预算216万元，与上一年度持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008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基层组织活动和公共服务运行经费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123.50</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123.50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123.50</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123.50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行政村个数</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保障村内基础设施建设</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高</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农作物运输及村民出行得到保障</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高</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上级单位安排资金</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2160000</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元</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306"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214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项目管理做到了管理规范，操作阳光透明，运行有序高效，态度优质，群众满意度高。在项目管理上，通过逐步规范申报审批支付程序，确保了资金高效运转。在资金管理上，严格按照财务制度，确保了资金及时到位和使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214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214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725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无项目负责人：郑强</w:t>
            </w:r>
          </w:p>
        </w:tc>
        <w:tc>
          <w:tcPr>
            <w:tcW w:w="556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财务负责人：袁旭栋</w:t>
            </w:r>
          </w:p>
        </w:tc>
      </w:tr>
    </w:tbl>
    <w:p>
      <w:pPr>
        <w:keepNext w:val="0"/>
        <w:keepLines w:val="0"/>
        <w:pageBreakBefore w:val="0"/>
        <w:kinsoku/>
        <w:wordWrap/>
        <w:overflowPunct/>
        <w:topLinePunct w:val="0"/>
        <w:autoSpaceDE/>
        <w:autoSpaceDN/>
        <w:bidi w:val="0"/>
        <w:spacing w:line="572" w:lineRule="exact"/>
        <w:jc w:val="left"/>
        <w:textAlignment w:val="auto"/>
        <w:outlineLvl w:val="0"/>
        <w:rPr>
          <w:rFonts w:hint="eastAsia" w:ascii="Times New Roman" w:hAnsi="Times New Roman" w:eastAsia="黑体" w:cs="黑体"/>
          <w:color w:val="FF0000"/>
          <w:sz w:val="32"/>
          <w:szCs w:val="32"/>
          <w:highlight w:val="none"/>
        </w:rPr>
      </w:pPr>
    </w:p>
    <w:tbl>
      <w:tblPr>
        <w:tblStyle w:val="17"/>
        <w:tblW w:w="9638"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35"/>
        <w:gridCol w:w="1393"/>
        <w:gridCol w:w="1220"/>
        <w:gridCol w:w="1511"/>
        <w:gridCol w:w="443"/>
        <w:gridCol w:w="486"/>
        <w:gridCol w:w="443"/>
        <w:gridCol w:w="988"/>
        <w:gridCol w:w="497"/>
        <w:gridCol w:w="429"/>
        <w:gridCol w:w="159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2824"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008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51322323T000009294689-叠溪镇蚕丛村2022年以工代赈配套工程（对口援建）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547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茂县叠溪镇人民政府</w:t>
            </w:r>
          </w:p>
        </w:tc>
        <w:tc>
          <w:tcPr>
            <w:tcW w:w="1091"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茂县叠溪镇人民政府（行政）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547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547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新建堡坎635立方米，硬化路100米，文化景观打造</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新建堡坎635立方米，硬化路100米，文化景观打造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008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新建堡坎635立方米，硬化路100米，文化景观打造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1.04</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1.04</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1.04</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1.04</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新建堡坎，硬化路，打造文化景观</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635</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立方米</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验收合格率</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完成及时率</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增加村民务工收入</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受益人口数</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89</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可持续影响指标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工程设计使用年限</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受益人口满意度</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投入资金</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35</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306"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214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项目管理做到了管理规范，操作阳光透明，运行有序高效，态度优质，群众满意度高。在项目管理上，通过逐步规范申报审批支付程序，确保了资金高效运转。在资金管理上，严格按照财务制度，确保了资金及时到位和使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214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214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725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无项目负责人：郑强</w:t>
            </w:r>
          </w:p>
        </w:tc>
        <w:tc>
          <w:tcPr>
            <w:tcW w:w="556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财务负责人：袁旭栋</w:t>
            </w:r>
          </w:p>
        </w:tc>
      </w:tr>
    </w:tbl>
    <w:p>
      <w:pPr>
        <w:pStyle w:val="2"/>
        <w:rPr>
          <w:rFonts w:hint="eastAsia"/>
        </w:rPr>
      </w:pPr>
    </w:p>
    <w:tbl>
      <w:tblPr>
        <w:tblStyle w:val="17"/>
        <w:tblW w:w="9638"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34"/>
        <w:gridCol w:w="1379"/>
        <w:gridCol w:w="1208"/>
        <w:gridCol w:w="1515"/>
        <w:gridCol w:w="442"/>
        <w:gridCol w:w="576"/>
        <w:gridCol w:w="442"/>
        <w:gridCol w:w="945"/>
        <w:gridCol w:w="496"/>
        <w:gridCol w:w="429"/>
        <w:gridCol w:w="157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2824"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6"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008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51322323T000009308688-叠溪镇塔基协调青苗补偿款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547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茂县叠溪镇人民政府</w:t>
            </w:r>
          </w:p>
        </w:tc>
        <w:tc>
          <w:tcPr>
            <w:tcW w:w="1091"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茂县叠溪镇人民政府（行政）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547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547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叠溪镇塔基协调青苗补偿款</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叠溪镇塔基协调青苗补偿款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93"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008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叠溪镇塔基协调青苗补偿款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78.97</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76.99</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97.49%</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78.97</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76.99</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97.49%</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涉及行政村个数</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验收合格率</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完成及时率</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增加村民收入</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5000</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受益人口数</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523</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可持续影响指标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工程设计使用年限</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受益人口满意度</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投入资金</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1.98</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6" w:hRule="atLeast"/>
        </w:trPr>
        <w:tc>
          <w:tcPr>
            <w:tcW w:w="9306"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214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项目管理做到了管理规范，操作阳光透明，运行有序高效，态度优质，群众满意度高。在项目管理上，通过逐步规范申报审批支付程序，确保了资金高效运转。在资金管理上，严格按照财务制度，确保了资金及时到位和使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214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214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6" w:hRule="atLeast"/>
        </w:trPr>
        <w:tc>
          <w:tcPr>
            <w:tcW w:w="725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无项目负责人：郑强</w:t>
            </w:r>
          </w:p>
        </w:tc>
        <w:tc>
          <w:tcPr>
            <w:tcW w:w="556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财务负责人：袁旭栋</w:t>
            </w:r>
          </w:p>
        </w:tc>
      </w:tr>
    </w:tbl>
    <w:p>
      <w:pPr>
        <w:widowControl/>
        <w:jc w:val="center"/>
        <w:rPr>
          <w:rFonts w:hint="eastAsia" w:ascii="Times New Roman" w:hAnsi="Times New Roman" w:eastAsia="黑体"/>
          <w:color w:val="auto"/>
          <w:sz w:val="44"/>
          <w:szCs w:val="44"/>
          <w:highlight w:val="none"/>
        </w:rPr>
      </w:pPr>
    </w:p>
    <w:tbl>
      <w:tblPr>
        <w:tblStyle w:val="17"/>
        <w:tblW w:w="9638"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35"/>
        <w:gridCol w:w="1381"/>
        <w:gridCol w:w="1250"/>
        <w:gridCol w:w="1517"/>
        <w:gridCol w:w="442"/>
        <w:gridCol w:w="486"/>
        <w:gridCol w:w="442"/>
        <w:gridCol w:w="986"/>
        <w:gridCol w:w="496"/>
        <w:gridCol w:w="429"/>
        <w:gridCol w:w="157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2824"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008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51322324T000010429767-基层组织活动和公共服务运行补助经费（办公费）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547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茂县叠溪镇人民政府</w:t>
            </w:r>
          </w:p>
        </w:tc>
        <w:tc>
          <w:tcPr>
            <w:tcW w:w="1091"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茂县叠溪镇人民政府（行政）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547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547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我镇共有13个行政村,按照行政区划调整前24个行政村进行预算，每村1万元办公费，共需资金24万元，用于保障村级组织办公正常运行。</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我镇共有13个行政村,按照行政区划调整前24个行政村进行预算，每村1万元办公费，共需资金24万元，用于保障村级组织办公正常运行。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008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我镇共有13个行政村,按照行政区划调整前24个行政村进行预算，每村1万元办公费，共需资金24万元，用于保障村级组织办公正常运行。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24.00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24.00</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24.00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24.00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24.00</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24.00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涉及行政村个数</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办事效率</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支付及时率</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可持续发展指标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保障村两委正常运行</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可持续影响指标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村两委能更好的为村民服务</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受益人员满意度</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投入资金</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24</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306"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214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项目管理做到了管理规范，操作阳光透明，运行有序高效，态度优质，群众满意度高。在项目管理上，通过逐步规范申报审批支付程序，确保了资金高效运转。在资金管理上，严格按照财务制度，确保了资金及时到位和使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214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214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725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无项目负责人：郑强</w:t>
            </w:r>
          </w:p>
        </w:tc>
        <w:tc>
          <w:tcPr>
            <w:tcW w:w="556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财务负责人：袁旭栋</w:t>
            </w:r>
          </w:p>
        </w:tc>
      </w:tr>
    </w:tbl>
    <w:p>
      <w:pPr>
        <w:pStyle w:val="2"/>
        <w:rPr>
          <w:rFonts w:hint="eastAsia" w:ascii="Times New Roman" w:hAnsi="Times New Roman" w:eastAsia="黑体"/>
          <w:color w:val="auto"/>
          <w:sz w:val="44"/>
          <w:szCs w:val="44"/>
          <w:highlight w:val="none"/>
        </w:rPr>
      </w:pPr>
    </w:p>
    <w:tbl>
      <w:tblPr>
        <w:tblStyle w:val="17"/>
        <w:tblW w:w="9638"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34"/>
        <w:gridCol w:w="1366"/>
        <w:gridCol w:w="1239"/>
        <w:gridCol w:w="1480"/>
        <w:gridCol w:w="441"/>
        <w:gridCol w:w="576"/>
        <w:gridCol w:w="441"/>
        <w:gridCol w:w="984"/>
        <w:gridCol w:w="496"/>
        <w:gridCol w:w="428"/>
        <w:gridCol w:w="155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2824"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008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51322324T000010429789-基层组织活动和公共服务运行补助经费（维护费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547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茂县叠溪镇人民政府</w:t>
            </w:r>
          </w:p>
        </w:tc>
        <w:tc>
          <w:tcPr>
            <w:tcW w:w="1091"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茂县叠溪镇人民政府（行政）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547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547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我镇共有13个行政村，按照行政区划调整前24个行政村进行预算，每村1万元运行维护费，共需资金24万元，用于保障村级公共设施的正常运行。</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我镇共有13个行政村，按照行政区划调整前24个行政村进行预算，每村1万元运行维护费，共需资金24万元，用于保障村级公共设施的正常运行。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008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我镇共有13个行政村，按照行政区划调整前24个行政村进行预算，每村1万元运行维护费，共需资金24万元，用于保障村级公共设施的正常运行。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24.00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8.50</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8.50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24.00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8.50</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8.50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涉及行政村个数</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办事效率</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支付及时率</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村民参与本村基础设施维护，从中获得报酬，增加收入</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受益人口数</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9310</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可持续发展指标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保障各村的基础设施正常运行，老百姓正常生活得到保障</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受益人口满意度</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投入资金</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24</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306"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214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项目管理做到了管理规范，操作阳光透明，运行有序高效，态度优质，群众满意度高。在项目管理上，通过逐步规范申报审批支付程序，确保了资金高效运转。在资金管理上，严格按照财务制度，确保了资金及时到位和使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214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214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725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无项目负责人：郑强</w:t>
            </w:r>
          </w:p>
        </w:tc>
        <w:tc>
          <w:tcPr>
            <w:tcW w:w="556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财务负责人：袁旭栋</w:t>
            </w:r>
          </w:p>
        </w:tc>
      </w:tr>
    </w:tbl>
    <w:p>
      <w:pPr>
        <w:rPr>
          <w:rFonts w:hint="eastAsia" w:ascii="Times New Roman" w:hAnsi="Times New Roman" w:eastAsia="黑体"/>
          <w:color w:val="auto"/>
          <w:sz w:val="44"/>
          <w:szCs w:val="44"/>
          <w:highlight w:val="none"/>
        </w:rPr>
      </w:pPr>
    </w:p>
    <w:tbl>
      <w:tblPr>
        <w:tblStyle w:val="17"/>
        <w:tblW w:w="9638"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35"/>
        <w:gridCol w:w="1384"/>
        <w:gridCol w:w="1212"/>
        <w:gridCol w:w="1500"/>
        <w:gridCol w:w="442"/>
        <w:gridCol w:w="531"/>
        <w:gridCol w:w="442"/>
        <w:gridCol w:w="987"/>
        <w:gridCol w:w="496"/>
        <w:gridCol w:w="429"/>
        <w:gridCol w:w="158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2824"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008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51322324T000010430028-村干部体检费（医疗费）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547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茂县叠溪镇人民政府</w:t>
            </w:r>
          </w:p>
        </w:tc>
        <w:tc>
          <w:tcPr>
            <w:tcW w:w="1091"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茂县叠溪镇人民政府（行政）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547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547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共有13个行政村村党组织书记、村党组织副书记、村委会副主任、村务监督委员会主任、会计共计54人，女2人*500元=0.1万元；男52人*400元=2.08万元，合计2.18万元。用于保障村干部身体健康。</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共有13个行政村村党组织书记、村党组织副书记、村委会副主任、村务监督委员会主任、会计共计54人，女2人*500元=0.1万元；男52人*400元=2.08万元，合计2.18万元。用于保障村干部身体健康。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008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共有13个行政村村党组织书记、村党组织副书记、村委会副主任、村务监督委员会主任、会计共计54人，女2人*500元=0.1万元；男52人*400元=2.08万元，合计2.18万元。用于保障村干部身体健康。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2.18</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2.14</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2.14</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2.18</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2.14</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2.14</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涉及行政村个数</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办事效率</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支付及时率</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受益人口数</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54</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可持续发展指标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定期体检，有助于村干部随时监测身体健康状况</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可持续影响指标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给家庭带来的影响力</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受益人口满意度</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投入资金</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2.18</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306"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214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项目管理做到了管理规范，操作阳光透明，运行有序高效，态度优质，群众满意度高。在项目管理上，通过逐步规范申报审批支付程序，确保了资金高效运转。在资金管理上，严格按照财务制度，确保了资金及时到位和使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214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214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725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无项目负责人：郑强</w:t>
            </w:r>
          </w:p>
        </w:tc>
        <w:tc>
          <w:tcPr>
            <w:tcW w:w="556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财务负责人：袁旭栋</w:t>
            </w:r>
          </w:p>
        </w:tc>
      </w:tr>
    </w:tbl>
    <w:p>
      <w:pPr>
        <w:pStyle w:val="2"/>
        <w:ind w:left="0" w:leftChars="0" w:firstLine="0" w:firstLineChars="0"/>
        <w:rPr>
          <w:rFonts w:hint="eastAsia" w:ascii="Times New Roman" w:hAnsi="Times New Roman" w:eastAsia="黑体"/>
          <w:color w:val="auto"/>
          <w:sz w:val="44"/>
          <w:szCs w:val="44"/>
          <w:highlight w:val="none"/>
        </w:rPr>
      </w:pPr>
    </w:p>
    <w:tbl>
      <w:tblPr>
        <w:tblStyle w:val="17"/>
        <w:tblW w:w="9638"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30"/>
        <w:gridCol w:w="1315"/>
        <w:gridCol w:w="1243"/>
        <w:gridCol w:w="1488"/>
        <w:gridCol w:w="438"/>
        <w:gridCol w:w="711"/>
        <w:gridCol w:w="438"/>
        <w:gridCol w:w="976"/>
        <w:gridCol w:w="496"/>
        <w:gridCol w:w="426"/>
        <w:gridCol w:w="147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2824"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008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51322324T000010430076-村干部体检费（生活补助）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547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茂县叠溪镇人民政府</w:t>
            </w:r>
          </w:p>
        </w:tc>
        <w:tc>
          <w:tcPr>
            <w:tcW w:w="1091"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茂县叠溪镇人民政府（行政）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547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547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根据《中共阿坝州委办公室 阿坝州人民政府办公室关于调整村干部基本报酬补助标准的通知》阿委办发（2021）28号文件：“一肩挑”的村党组织书记（村委会主任），基本报酬补助标准按3500元/月的基数核定；村党组织副书记、村委会副主任的基本报酬补助标准按村党组织书记的0.8倍核定；村纪检委员（村纪委书记、村务监督委员会主任）、村文书（会计）的基本报酬补助标准按村党组织书记的0.7倍核定。</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村党组织书记：13个村*3500元*12个月=54.6万元</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村党组织副书记：9个村*2800元*12个月=30.24万元</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村委会副主任：6个村*2800元*12个月=20.16万元</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村务监督委员会主任：13个村*2450元*12个月=38.22万元</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会计：13个村*2450元*12个月=38.22万元</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组长：42个组*800元*12个月=40.32万元</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妇女主任：13个村*800元*12个月=12.48万元</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我镇2024年预算合计234.24万元，用于保障2024年度村干部基本报酬。</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根据《中共阿坝州委办公室 阿坝州人民政府办公室关于调整村干部基本报酬补助标准的通知》阿委办发（2021）28号文件：“一肩挑”的村党组织书记（村委会主任），基本报酬补助标准按3500元/月的基数核定；村党组织副书记、村委会副主任的基本报酬补助标准按村党组织书记的0.8倍核定；村纪检委员（村纪委书记、村务监督委员会主任）、村文书（会计）的基本报酬补助标准按村党组织书记的0.7倍核定。</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村党组织书记：13个村*3500元*12个月=54.6万元</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村党组织副书记：9个村*2800元*12个月=30.24万元</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村委会副主任：6个村*2800元*12个月=20.16万元</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村务监督委员会主任：13个村*2450元*12个月=38.22万元</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会计：13个村*2450元*12个月=38.22万元</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组长：42个组*800元*12个月=40.32万元</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妇女主任：13个村*800元*12个月=12.48万元</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我镇2024年预算合计234.24万元，用于保障2024年度村干部基本报酬。</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008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宋体" w:hAnsi="宋体" w:eastAsia="宋体" w:cs="宋体"/>
                <w:i w:val="0"/>
                <w:iCs w:val="0"/>
                <w:color w:val="000000"/>
                <w:sz w:val="18"/>
                <w:szCs w:val="18"/>
                <w:u w:val="none"/>
                <w:lang w:val="en-US"/>
              </w:rPr>
            </w:pPr>
            <w:r>
              <w:rPr>
                <w:rFonts w:ascii="宋体" w:hAnsi="宋体" w:eastAsia="宋体" w:cs="宋体"/>
                <w:i w:val="0"/>
                <w:iCs w:val="0"/>
                <w:color w:val="000000"/>
                <w:kern w:val="0"/>
                <w:sz w:val="18"/>
                <w:szCs w:val="18"/>
                <w:u w:val="none"/>
                <w:lang w:val="en-US" w:eastAsia="zh-CN" w:bidi="ar"/>
              </w:rPr>
              <w:t>村干部</w:t>
            </w:r>
            <w:r>
              <w:rPr>
                <w:rFonts w:hint="eastAsia" w:ascii="宋体" w:hAnsi="宋体" w:cs="宋体"/>
                <w:i w:val="0"/>
                <w:iCs w:val="0"/>
                <w:color w:val="000000"/>
                <w:kern w:val="0"/>
                <w:sz w:val="18"/>
                <w:szCs w:val="18"/>
                <w:u w:val="none"/>
                <w:lang w:val="en-US" w:eastAsia="zh-CN" w:bidi="ar"/>
              </w:rPr>
              <w:t>工资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234.24</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234.10</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234.10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234.24</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234.10</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234.10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涉及行政村个数</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办事效率</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支付及时率</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村干部工资让其家庭增加了收入</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234.24</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受益人口数</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109</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可持续影响指标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增加村干部收入，生活得到保障</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受益人口满意度</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投入资金</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234.24</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306"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214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项目管理做到了管理规范，操作阳光透明，运行有序高效，态度优质，群众满意度高。在项目管理上，通过逐步规范申报审批支付程序，确保了资金高效运转。在资金管理上，严格按照财务制度，确保了资金及时到位和使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214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214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725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无项目负责人：郑强</w:t>
            </w:r>
          </w:p>
        </w:tc>
        <w:tc>
          <w:tcPr>
            <w:tcW w:w="556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财务负责人：袁旭栋</w:t>
            </w:r>
          </w:p>
        </w:tc>
      </w:tr>
    </w:tbl>
    <w:p>
      <w:pPr>
        <w:rPr>
          <w:rFonts w:hint="eastAsia" w:ascii="Times New Roman" w:hAnsi="Times New Roman" w:eastAsia="黑体"/>
          <w:color w:val="auto"/>
          <w:sz w:val="44"/>
          <w:szCs w:val="44"/>
          <w:highlight w:val="none"/>
        </w:rPr>
      </w:pPr>
    </w:p>
    <w:tbl>
      <w:tblPr>
        <w:tblStyle w:val="17"/>
        <w:tblW w:w="9638"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35"/>
        <w:gridCol w:w="1381"/>
        <w:gridCol w:w="1209"/>
        <w:gridCol w:w="1558"/>
        <w:gridCol w:w="442"/>
        <w:gridCol w:w="486"/>
        <w:gridCol w:w="442"/>
        <w:gridCol w:w="986"/>
        <w:gridCol w:w="496"/>
        <w:gridCol w:w="429"/>
        <w:gridCol w:w="157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2824"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008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51322324T000010624218-叠溪镇蚕丛村美丽乡村建设项目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547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茂县叠溪镇人民政府</w:t>
            </w:r>
          </w:p>
        </w:tc>
        <w:tc>
          <w:tcPr>
            <w:tcW w:w="1091"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茂县叠溪镇人民政府（行政）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547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547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改善人居环境，完善农旅发展配套设施建设和古蜀蚕丛文旅设施建设。</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改善人居环境，完善农旅发展配套设施建设和古蜀蚕丛文旅设施建设。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008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改善人居环境，完善农旅发展配套设施建设和古蜀蚕丛文旅设施建设。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229.19</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229.19</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229.19</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229.19</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风貌改造</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120</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户</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古蜀蚕丛文旅设施建设</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农旅发展配套设施建设</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验收合格率</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完成及时率</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增加农户务工经济收入</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受益村民满意度</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投入资金</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300</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306"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214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项目管理做到了管理规范，操作阳光透明，运行有序高效，态度优质，群众满意度高。在项目管理上，通过逐步规范申报审批支付程序，确保了资金高效运转。在资金管理上，严格按照财务制度，确保了资金及时到位和使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214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214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725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无项目负责人：郑强</w:t>
            </w:r>
          </w:p>
        </w:tc>
        <w:tc>
          <w:tcPr>
            <w:tcW w:w="556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财务负责人：袁旭栋</w:t>
            </w:r>
          </w:p>
        </w:tc>
      </w:tr>
    </w:tbl>
    <w:p>
      <w:pPr>
        <w:pStyle w:val="2"/>
        <w:ind w:left="0" w:leftChars="0" w:firstLine="0" w:firstLineChars="0"/>
        <w:rPr>
          <w:rFonts w:hint="eastAsia" w:ascii="Times New Roman" w:hAnsi="Times New Roman" w:eastAsia="黑体"/>
          <w:color w:val="auto"/>
          <w:sz w:val="44"/>
          <w:szCs w:val="44"/>
          <w:highlight w:val="none"/>
        </w:rPr>
      </w:pPr>
    </w:p>
    <w:tbl>
      <w:tblPr>
        <w:tblStyle w:val="17"/>
        <w:tblW w:w="9638"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36"/>
        <w:gridCol w:w="1389"/>
        <w:gridCol w:w="1216"/>
        <w:gridCol w:w="1526"/>
        <w:gridCol w:w="442"/>
        <w:gridCol w:w="486"/>
        <w:gridCol w:w="442"/>
        <w:gridCol w:w="988"/>
        <w:gridCol w:w="496"/>
        <w:gridCol w:w="429"/>
        <w:gridCol w:w="158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904" w:hRule="atLeast"/>
        </w:trPr>
        <w:tc>
          <w:tcPr>
            <w:tcW w:w="12824"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008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51322324T000011153218-叠溪镇驻村工作队工作经费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547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茂县叠溪镇人民政府</w:t>
            </w:r>
          </w:p>
        </w:tc>
        <w:tc>
          <w:tcPr>
            <w:tcW w:w="1091"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茂县叠溪镇人民政府（行政）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547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35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547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本项目的主要内容是根据《四川省驻村第一书记和工作队管理办法（川组通﹝2021﹞75号）》“第一书记和工作队工作经费，按每人每年不低于5000元标准安排”规定，为促进驻村工作队认真履行中央和省委省政府明确的“建强村党组织、推进强村富民、提升治理水平、为民办事服务”4项职责任务，为18名第一书记和驻村工作队解决考察调研、日常工作运转以及报销驻村期间因公产生的差旅费等。202</w:t>
            </w:r>
            <w:r>
              <w:rPr>
                <w:rFonts w:hint="eastAsia" w:ascii="宋体" w:hAnsi="宋体" w:cs="宋体"/>
                <w:i w:val="0"/>
                <w:iCs w:val="0"/>
                <w:color w:val="000000"/>
                <w:kern w:val="0"/>
                <w:sz w:val="18"/>
                <w:szCs w:val="18"/>
                <w:u w:val="none"/>
                <w:lang w:val="en-US" w:eastAsia="zh-CN" w:bidi="ar"/>
              </w:rPr>
              <w:t>4</w:t>
            </w:r>
            <w:r>
              <w:rPr>
                <w:rFonts w:ascii="宋体" w:hAnsi="宋体" w:eastAsia="宋体" w:cs="宋体"/>
                <w:i w:val="0"/>
                <w:iCs w:val="0"/>
                <w:color w:val="000000"/>
                <w:kern w:val="0"/>
                <w:sz w:val="18"/>
                <w:szCs w:val="18"/>
                <w:u w:val="none"/>
                <w:lang w:val="en-US" w:eastAsia="zh-CN" w:bidi="ar"/>
              </w:rPr>
              <w:t>年拟申请资金预算90000元。</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本项目的主要内容是根据《四川省驻村第一书记和工作队管理办法（川组通﹝2021﹞75号）》“第一书记和工作队工作经费，按每人每年不低于5000元标准安排”规定，为促进驻村工作队认真履行中央和省委省政府明确的“建强村党组织、推进强村富民、提升治理水平、为民办事服务”4项职责任务，为18名第一书记和驻村工作队解决考察调研、日常工作运转以及报销驻村期间因公产生的差旅费等。202</w:t>
            </w:r>
            <w:r>
              <w:rPr>
                <w:rFonts w:hint="eastAsia" w:ascii="宋体" w:hAnsi="宋体" w:cs="宋体"/>
                <w:i w:val="0"/>
                <w:iCs w:val="0"/>
                <w:color w:val="000000"/>
                <w:kern w:val="0"/>
                <w:sz w:val="18"/>
                <w:szCs w:val="18"/>
                <w:u w:val="none"/>
                <w:lang w:val="en-US" w:eastAsia="zh-CN" w:bidi="ar"/>
              </w:rPr>
              <w:t>4</w:t>
            </w:r>
            <w:r>
              <w:rPr>
                <w:rFonts w:ascii="宋体" w:hAnsi="宋体" w:eastAsia="宋体" w:cs="宋体"/>
                <w:i w:val="0"/>
                <w:iCs w:val="0"/>
                <w:color w:val="000000"/>
                <w:kern w:val="0"/>
                <w:sz w:val="18"/>
                <w:szCs w:val="18"/>
                <w:u w:val="none"/>
                <w:lang w:val="en-US" w:eastAsia="zh-CN" w:bidi="ar"/>
              </w:rPr>
              <w:t>年拟申请资金预算90000元。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008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本项目的主要内容是根据《四川省驻村第一书记和工作队管理办法（川组通﹝2021﹞75号）》“第一书记和工作队工作经费，按每人每年不低于5000元标准安排”规定，为促进驻村工作队认真履行中央和省委省政府明确的“建强村党组织、推进强村富民、提升治理水平、为民办事服务”4项职责任务，为18名第一书记和驻村工作队解决考察调研、日常工作运转以及报销驻村期间因公产生的差旅费等。202</w:t>
            </w:r>
            <w:r>
              <w:rPr>
                <w:rFonts w:hint="eastAsia" w:ascii="宋体" w:hAnsi="宋体" w:cs="宋体"/>
                <w:i w:val="0"/>
                <w:iCs w:val="0"/>
                <w:color w:val="000000"/>
                <w:kern w:val="0"/>
                <w:sz w:val="18"/>
                <w:szCs w:val="18"/>
                <w:u w:val="none"/>
                <w:lang w:val="en-US" w:eastAsia="zh-CN" w:bidi="ar"/>
              </w:rPr>
              <w:t>4</w:t>
            </w:r>
            <w:r>
              <w:rPr>
                <w:rFonts w:ascii="宋体" w:hAnsi="宋体" w:eastAsia="宋体" w:cs="宋体"/>
                <w:i w:val="0"/>
                <w:iCs w:val="0"/>
                <w:color w:val="000000"/>
                <w:kern w:val="0"/>
                <w:sz w:val="18"/>
                <w:szCs w:val="18"/>
                <w:u w:val="none"/>
                <w:lang w:val="en-US" w:eastAsia="zh-CN" w:bidi="ar"/>
              </w:rPr>
              <w:t>年拟申请资金预算90000元。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15.92</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15.92</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15.92</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15.92</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驻村工作队人员</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18</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保质保量完成驻村工作队工作任务</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工作完成率</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保障驻村工作队正常运转</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资金使用无重大违规违纪问题</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可持续影响指标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工作开展年限</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受益对象满意度</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投入资金</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306"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214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项目管理做到了管理规范，操作阳光透明，运行有序高效，态度优质，群众满意度高。在项目管理上，通过逐步规范申报审批支付程序，确保了资金高效运转。在资金管理上，严格按照财务制度，确保了资金及时到位和使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214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214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725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无项目负责人：郑强</w:t>
            </w:r>
          </w:p>
        </w:tc>
        <w:tc>
          <w:tcPr>
            <w:tcW w:w="556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财务负责人：袁旭栋</w:t>
            </w:r>
          </w:p>
        </w:tc>
      </w:tr>
    </w:tbl>
    <w:p>
      <w:pPr>
        <w:rPr>
          <w:rFonts w:hint="eastAsia" w:ascii="Times New Roman" w:hAnsi="Times New Roman" w:eastAsia="黑体"/>
          <w:color w:val="auto"/>
          <w:sz w:val="44"/>
          <w:szCs w:val="44"/>
          <w:highlight w:val="none"/>
        </w:rPr>
      </w:pPr>
    </w:p>
    <w:tbl>
      <w:tblPr>
        <w:tblStyle w:val="17"/>
        <w:tblW w:w="9638"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33"/>
        <w:gridCol w:w="1362"/>
        <w:gridCol w:w="1193"/>
        <w:gridCol w:w="1538"/>
        <w:gridCol w:w="441"/>
        <w:gridCol w:w="576"/>
        <w:gridCol w:w="441"/>
        <w:gridCol w:w="983"/>
        <w:gridCol w:w="496"/>
        <w:gridCol w:w="428"/>
        <w:gridCol w:w="154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2824"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008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51322324T000011528314-松坪沟村马帮费用（2024年启）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547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茂县叠溪镇人民政府</w:t>
            </w:r>
          </w:p>
        </w:tc>
        <w:tc>
          <w:tcPr>
            <w:tcW w:w="1091"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茂县叠溪镇人民政府（行政）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547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547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松坪沟村马帮费用</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松坪沟村马帮费用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008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松坪沟村马帮费用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120.00</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120.00</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涉及行政村个数</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验收合格率</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完成及时率</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增加全村老百姓收入</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120</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受益人口数</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1399</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可持续影响指标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该项费用持续年限</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受益人口满意度</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投入资金</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120</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306"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214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项目管理做到了管理规范，操作阳光透明，运行有序高效，态度优质，群众满意度高。在项目管理上，通过逐步规范申报审批支付程序，确保了资金高效运转。在资金管理上，严格按照财务制度，确保了资金及时到位和使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214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214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725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无项目负责人：郑强</w:t>
            </w:r>
          </w:p>
        </w:tc>
        <w:tc>
          <w:tcPr>
            <w:tcW w:w="556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财务负责人：袁旭栋</w:t>
            </w:r>
          </w:p>
        </w:tc>
      </w:tr>
    </w:tbl>
    <w:p>
      <w:pPr>
        <w:pStyle w:val="2"/>
        <w:ind w:left="0" w:leftChars="0" w:firstLine="0" w:firstLineChars="0"/>
        <w:rPr>
          <w:rFonts w:hint="eastAsia"/>
        </w:rPr>
      </w:pPr>
    </w:p>
    <w:tbl>
      <w:tblPr>
        <w:tblStyle w:val="17"/>
        <w:tblW w:w="9638"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28"/>
        <w:gridCol w:w="1286"/>
        <w:gridCol w:w="1130"/>
        <w:gridCol w:w="1412"/>
        <w:gridCol w:w="436"/>
        <w:gridCol w:w="981"/>
        <w:gridCol w:w="436"/>
        <w:gridCol w:w="972"/>
        <w:gridCol w:w="495"/>
        <w:gridCol w:w="425"/>
        <w:gridCol w:w="143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2824"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008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51322324T000011528360-叠溪镇项目质保金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547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茂县叠溪镇人民政府</w:t>
            </w:r>
          </w:p>
        </w:tc>
        <w:tc>
          <w:tcPr>
            <w:tcW w:w="1091"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茂县叠溪镇人民政府（行政）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547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547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叠溪镇项目质保金</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叠溪镇项目质保金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008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叠溪镇项目质保金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4.67</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1.47</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31.53%</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4.67</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1.47</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31.53%</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涉及退质保金项目</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按照项目实施方案质量要求完成项目建设</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:按照项目实施方案质量要求完成项目建设</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劳动方获得效益</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25000</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元</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资金使用无重大违规违纪问题</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受益建档立卡贫困人口数</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33</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户</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可持续影响指标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工程设计使用年限</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受益对象满意度</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投入资金</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46733.19</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元</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306"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214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项目管理做到了管理规范，操作阳光透明，运行有序高效，态度优质，群众满意度高。在项目管理上，通过逐步规范申报审批支付程序，确保了资金高效运转。在资金管理上，严格按照财务制度，确保了资金及时到位和使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214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214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725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无项目负责人：郑强</w:t>
            </w:r>
          </w:p>
        </w:tc>
        <w:tc>
          <w:tcPr>
            <w:tcW w:w="556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财务负责人：袁旭栋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904" w:hRule="atLeast"/>
        </w:trPr>
        <w:tc>
          <w:tcPr>
            <w:tcW w:w="12824"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0088" w:type="dxa"/>
            <w:gridSpan w:val="9"/>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51322324T000011528396-叠溪镇牛尾村非遗文化走廊项目（2024年）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547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茂县叠溪镇人民政府</w:t>
            </w:r>
          </w:p>
        </w:tc>
        <w:tc>
          <w:tcPr>
            <w:tcW w:w="1091"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茂县叠溪镇人民政府（行政）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547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70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547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叠溪镇牛尾村非遗文化走廊项目（2024年）</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叠溪镇牛尾村非遗文化走廊项目（2024年）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008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叠溪镇牛尾村非遗文化走廊项目（2024年）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1.47</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1.38</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93.36%</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1.47</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1.38</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93.36%</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涉及行政村个数</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按照项目实施方案质量要求完成项目建设</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完成年度2024</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劳动方获得效益</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受益建档立卡贫困人口数</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37</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可持续影响指标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工程设计使用年限</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受益对象满意度</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投入资金</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14749.32</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元</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306"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214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项目管理做到了管理规范，操作阳光透明，运行有序高效，态度优质，群众满意度高。在项目管理上，通过逐步规范申报审批支付程序，确保了资金高效运转。在资金管理上，严格按照财务制度，确保了资金及时到位和使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214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214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725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无项目负责人：郑强</w:t>
            </w:r>
          </w:p>
        </w:tc>
        <w:tc>
          <w:tcPr>
            <w:tcW w:w="556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财务负责人：袁旭栋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2824"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008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51322324T000011528444-眉山东坡区对口帮扶资金（工作经费2024年）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12"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547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茂县叠溪镇人民政府</w:t>
            </w:r>
          </w:p>
        </w:tc>
        <w:tc>
          <w:tcPr>
            <w:tcW w:w="1091"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茂县叠溪镇人民政府（行政）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547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547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眉山东坡区对口帮扶资金（工作经费2024年）</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眉山东坡区对口帮扶资金（工作经费2024年）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008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眉山东坡区对口帮扶资金（工作经费2024年）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1.41</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1.41</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1.41</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1.41</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涉及单位</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完成年度</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劳动方获得效益</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5000</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元</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可持续影响指标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给本镇带来的持续影响力</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受益对象满意度</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投入资金</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14062.24</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元</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306"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214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项目管理做到了管理规范，操作阳光透明，运行有序高效，态度优质，群众满意度高。在项目管理上，通过逐步规范申报审批支付程序，确保了资金高效运转。在资金管理上，严格按照财务制度，确保了资金及时到位和使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214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214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725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无项目负责人：郑强</w:t>
            </w:r>
          </w:p>
        </w:tc>
        <w:tc>
          <w:tcPr>
            <w:tcW w:w="556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财务负责人：袁旭栋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2824"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0088" w:type="dxa"/>
            <w:gridSpan w:val="9"/>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51322324T000011528470-叠溪镇蚕丛村人道救助资金（2024年启）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12"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547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茂县叠溪镇人民政府</w:t>
            </w:r>
          </w:p>
        </w:tc>
        <w:tc>
          <w:tcPr>
            <w:tcW w:w="1091"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茂县叠溪镇人民政府（行政）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547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547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叠溪镇蚕丛村人道救助资金</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叠溪镇蚕丛村人道救助资金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008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叠溪镇蚕丛村人道救助资金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20.31</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7.32</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36.05%</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20.31</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7.32</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36.05%</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涉及行政村个数</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完成年度</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受益建档立卡贫困人口数</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173</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受益对象满意度</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投入资金</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203062.77</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6" w:hRule="atLeast"/>
        </w:trPr>
        <w:tc>
          <w:tcPr>
            <w:tcW w:w="9306"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214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项目管理做到了管理规范，操作阳光透明，运行有序高效，态度优质，群众满意度高。在项目管理上，通过逐步规范申报审批支付程序，确保了资金高效运转。在资金管理上，严格按照财务制度，确保了资金及时到位和使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214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214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6" w:hRule="atLeast"/>
        </w:trPr>
        <w:tc>
          <w:tcPr>
            <w:tcW w:w="725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无项目负责人：郑强</w:t>
            </w:r>
          </w:p>
        </w:tc>
        <w:tc>
          <w:tcPr>
            <w:tcW w:w="556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财务负责人：袁旭栋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2824"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008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51322324T000011905154-叠溪镇2024年人大工作经费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547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茂县叠溪镇人民政府</w:t>
            </w:r>
          </w:p>
        </w:tc>
        <w:tc>
          <w:tcPr>
            <w:tcW w:w="1091"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茂县叠溪镇人民政府（行政）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547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547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涉及叠溪镇人大代表48人，主要用于人大工作开展。</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涉及叠溪镇人大代表48人，主要用于人大工作开展。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008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涉及叠溪镇人大代表48人，主要用于人大工作开展。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涉及代表人数</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48</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验收合格率</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完成及时率</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受益人口数</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48</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可持续影响指标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为当地发展建言献策</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受益人口满意度</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投入资金</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306"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214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项目管理做到了管理规范，操作阳光透明，运行有序高效，态度优质，群众满意度高。在项目管理上，通过逐步规范申报审批支付程序，确保了资金高效运转。在资金管理上，严格按照财务制度，确保了资金及时到位和使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214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214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725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无项目负责人：郑强</w:t>
            </w:r>
          </w:p>
        </w:tc>
        <w:tc>
          <w:tcPr>
            <w:tcW w:w="556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财务负责人：袁旭栋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2824"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0088" w:type="dxa"/>
            <w:gridSpan w:val="9"/>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51322324T000011959538-干部职工周转宿舍生活设施设备购置及办公楼、宿舍楼安全维修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12"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547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茂县叠溪镇人民政府</w:t>
            </w:r>
          </w:p>
        </w:tc>
        <w:tc>
          <w:tcPr>
            <w:tcW w:w="1091"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茂县叠溪镇人民政府（行政）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547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547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1.住宿楼32间配套设施设备。2.办公楼、宿舍楼安全维修。</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1.住宿楼32间配套设施设备。2.办公楼、宿舍楼安全维修。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008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1.住宿楼32间配套设施设备。2.办公楼、宿舍楼安全维修。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38.31</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38.31</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38.31</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38.31</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周转房提升</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32</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套</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办公楼、住宿楼安全维修</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处</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验收合格率</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完成及时率</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资金使用有无重大违规违纪问题</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可持续影响指标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使用年限</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受益人群对该项目满意度</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投入资金</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306"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214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项目管理做到了管理规范，操作阳光透明，运行有序高效，态度优质，群众满意度高。在项目管理上，通过逐步规范申报审批支付程序，确保了资金高效运转。在资金管理上，严格按照财务制度，确保了资金及时到位和使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214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214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725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无项目负责人：郑强</w:t>
            </w:r>
          </w:p>
        </w:tc>
        <w:tc>
          <w:tcPr>
            <w:tcW w:w="556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财务负责人：袁旭栋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904" w:hRule="atLeast"/>
        </w:trPr>
        <w:tc>
          <w:tcPr>
            <w:tcW w:w="12824"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008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51322324T000011971700-叠溪镇环境卫生综合整治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547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茂县叠溪镇人民政府</w:t>
            </w:r>
          </w:p>
        </w:tc>
        <w:tc>
          <w:tcPr>
            <w:tcW w:w="1091"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茂县叠溪镇人民政府（行政）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547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70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547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环境卫生综合整治</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环境卫生综合整治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008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环境卫生综合整治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环境卫生整治</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验收合格率</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完成及时率</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促进旅游业发展</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有所提升</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生态效益指标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重现绿水青山</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有明显改善</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受益人群对该项目的满意度</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投入资金</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6" w:hRule="atLeast"/>
        </w:trPr>
        <w:tc>
          <w:tcPr>
            <w:tcW w:w="9306"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214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项目管理做到了管理规范，操作阳光透明，运行有序高效，态度优质，群众满意度高。在项目管理上，通过逐步规范申报审批支付程序，确保了资金高效运转。在资金管理上，严格按照财务制度，确保了资金及时到位和使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214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214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6" w:hRule="atLeast"/>
        </w:trPr>
        <w:tc>
          <w:tcPr>
            <w:tcW w:w="725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无项目负责人：郑强</w:t>
            </w:r>
          </w:p>
        </w:tc>
        <w:tc>
          <w:tcPr>
            <w:tcW w:w="556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财务负责人：袁旭栋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2824"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008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51322324T000012019447-叠溪镇2024年村残协工作经费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547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茂县叠溪镇人民政府</w:t>
            </w:r>
          </w:p>
        </w:tc>
        <w:tc>
          <w:tcPr>
            <w:tcW w:w="1091"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茂县叠溪镇人民政府（行政）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547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547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叠溪镇村残协工作经费主要保障13个行政村残协工作顺利开展。</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叠溪镇村残协工作经费主要保障13个行政村残协工作顺利开展。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008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叠溪镇村残协工作经费主要保障13个行政村残协工作顺利开展。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0.52</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0.52</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0.52</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0.52</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涉及行政村个数</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验收合格率</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完成及时率</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增加村民收入</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受益人口数</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17</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受益人口满意度</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投入资金</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306"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214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项目管理做到了管理规范，操作阳光透明，运行有序高效，态度优质，群众满意度高。在项目管理上，通过逐步规范申报审批支付程序，确保了资金高效运转。在资金管理上，严格按照财务制度，确保了资金及时到位和使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214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214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725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无项目负责人：郑强</w:t>
            </w:r>
          </w:p>
        </w:tc>
        <w:tc>
          <w:tcPr>
            <w:tcW w:w="556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财务负责人：袁旭栋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2824"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008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51322325T000012120477-2024年强降雨应急抢险资金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12"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547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茂县叠溪镇人民政府</w:t>
            </w:r>
          </w:p>
        </w:tc>
        <w:tc>
          <w:tcPr>
            <w:tcW w:w="1091"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茂县叠溪镇人民政府（行政）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547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547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租赁机具抢通保安全、山洪沟清淤疏堵、地灾隐患点应急排危和受灾村组环境清理。</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租赁机具抢通保安全、山洪沟清淤疏堵、地灾隐患点应急排危和受灾村组环境清理。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008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租赁机具抢通保安全、山洪沟清淤疏堵、地灾隐患点应急排危和受灾村组环境清理。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15.00</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15.00</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涉及行政村个数</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完成年度</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劳动方获得效益</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受益人口数</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622</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可持续影响指标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工程设计使用年限</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受益对象满意度</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投入资金</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306"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214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项目管理做到了管理规范，操作阳光透明，运行有序高效，态度优质，群众满意度高。在项目管理上，通过逐步规范申报审批支付程序，确保了资金高效运转。在资金管理上，严格按照财务制度，确保了资金及时到位和使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214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214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725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无项目负责人：郑强</w:t>
            </w:r>
          </w:p>
        </w:tc>
        <w:tc>
          <w:tcPr>
            <w:tcW w:w="556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财务负责人：袁旭栋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2824"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6"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008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51322325T000012212111-叠溪镇慈善捐赠资金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547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茂县叠溪镇人民政府</w:t>
            </w:r>
          </w:p>
        </w:tc>
        <w:tc>
          <w:tcPr>
            <w:tcW w:w="1091"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茂县叠溪镇人民政府（行政）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547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547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大店村、桃花村村内户外基础设施维修维护。</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大店村、桃花村村内户外基础设施维修维护。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93"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008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大店村、桃花村村内户外基础设施维修维护。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6.00</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6.00</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涉及行政村个数</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完成年度</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劳动方获得总效益</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20000</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受益人口数</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可持续影响指标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工程维修维护后使用年限</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受益对象满意度</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92</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投入资金</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306"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214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项目管理做到了管理规范，操作阳光透明，运行有序高效，态度优质，群众满意度高。在项目管理上，通过逐步规范申报审批支付程序，确保了资金高效运转。在资金管理上，严格按照财务制度，确保了资金及时到位和使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214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214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725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无项目负责人：郑强</w:t>
            </w:r>
          </w:p>
        </w:tc>
        <w:tc>
          <w:tcPr>
            <w:tcW w:w="556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财务负责人：袁旭栋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904" w:hRule="atLeast"/>
        </w:trPr>
        <w:tc>
          <w:tcPr>
            <w:tcW w:w="12824"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0088" w:type="dxa"/>
            <w:gridSpan w:val="9"/>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51322325T000012212270-成兰铁路协调工作经费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547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茂县叠溪镇人民政府</w:t>
            </w:r>
          </w:p>
        </w:tc>
        <w:tc>
          <w:tcPr>
            <w:tcW w:w="1091"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茂县叠溪镇人民政府（行政）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547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70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547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为保障茂县叠溪镇人民政府成兰铁路协调工作日常正常运转及下村下县公务活动的正常开展，2024年我镇拟申请成兰铁路协调工作经费资金预算12</w:t>
            </w:r>
            <w:r>
              <w:rPr>
                <w:rFonts w:hint="eastAsia" w:ascii="宋体" w:hAnsi="宋体" w:eastAsia="宋体" w:cs="宋体"/>
                <w:i w:val="0"/>
                <w:iCs w:val="0"/>
                <w:color w:val="000000"/>
                <w:kern w:val="0"/>
                <w:sz w:val="18"/>
                <w:szCs w:val="18"/>
                <w:u w:val="none"/>
                <w:lang w:val="en-US" w:eastAsia="zh-CN" w:bidi="ar"/>
              </w:rPr>
              <w:t>.00</w:t>
            </w:r>
            <w:r>
              <w:rPr>
                <w:rFonts w:ascii="宋体" w:hAnsi="宋体" w:eastAsia="宋体" w:cs="宋体"/>
                <w:i w:val="0"/>
                <w:iCs w:val="0"/>
                <w:color w:val="000000"/>
                <w:kern w:val="0"/>
                <w:sz w:val="18"/>
                <w:szCs w:val="18"/>
                <w:u w:val="none"/>
                <w:lang w:val="en-US" w:eastAsia="zh-CN" w:bidi="ar"/>
              </w:rPr>
              <w:t>万元。</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为保障茂县叠溪镇人民政府成兰铁路协调工作日常正常运转及下村下县公务活动的正常开展，2024年我镇拟申请成兰铁路协调工作经费资金预算12</w:t>
            </w:r>
            <w:r>
              <w:rPr>
                <w:rFonts w:hint="eastAsia" w:ascii="宋体" w:hAnsi="宋体" w:eastAsia="宋体" w:cs="宋体"/>
                <w:i w:val="0"/>
                <w:iCs w:val="0"/>
                <w:color w:val="000000"/>
                <w:kern w:val="0"/>
                <w:sz w:val="18"/>
                <w:szCs w:val="18"/>
                <w:u w:val="none"/>
                <w:lang w:val="en-US" w:eastAsia="zh-CN" w:bidi="ar"/>
              </w:rPr>
              <w:t>.00</w:t>
            </w:r>
            <w:r>
              <w:rPr>
                <w:rFonts w:ascii="宋体" w:hAnsi="宋体" w:eastAsia="宋体" w:cs="宋体"/>
                <w:i w:val="0"/>
                <w:iCs w:val="0"/>
                <w:color w:val="000000"/>
                <w:kern w:val="0"/>
                <w:sz w:val="18"/>
                <w:szCs w:val="18"/>
                <w:u w:val="none"/>
                <w:lang w:val="en-US" w:eastAsia="zh-CN" w:bidi="ar"/>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008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为保障茂县叠溪镇人民政府成兰铁路协调工作日常正常运转及下村下县公务活动的正常开展，2024年我镇拟申请成兰铁路协调工作经费资金预算12</w:t>
            </w:r>
            <w:r>
              <w:rPr>
                <w:rFonts w:hint="eastAsia" w:ascii="宋体" w:hAnsi="宋体" w:eastAsia="宋体" w:cs="宋体"/>
                <w:i w:val="0"/>
                <w:iCs w:val="0"/>
                <w:color w:val="000000"/>
                <w:kern w:val="0"/>
                <w:sz w:val="18"/>
                <w:szCs w:val="18"/>
                <w:u w:val="none"/>
                <w:lang w:val="en-US" w:eastAsia="zh-CN" w:bidi="ar"/>
              </w:rPr>
              <w:t>.00</w:t>
            </w:r>
            <w:r>
              <w:rPr>
                <w:rFonts w:ascii="宋体" w:hAnsi="宋体" w:eastAsia="宋体" w:cs="宋体"/>
                <w:i w:val="0"/>
                <w:iCs w:val="0"/>
                <w:color w:val="000000"/>
                <w:kern w:val="0"/>
                <w:sz w:val="18"/>
                <w:szCs w:val="18"/>
                <w:u w:val="none"/>
                <w:lang w:val="en-US" w:eastAsia="zh-CN" w:bidi="ar"/>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12.00</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10.82</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90.13%</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12.00</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10.82</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90.13%</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成兰铁路协调工作涉及村个数</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项目完成率</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项目完成时间</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为群众办事服务</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可持续影响指标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开展协调工作，成功协调对工程建设带来的影响</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高</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受益对象满意度</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投入资金</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6" w:hRule="atLeast"/>
        </w:trPr>
        <w:tc>
          <w:tcPr>
            <w:tcW w:w="9306"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214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项目管理做到了管理规范，操作阳光透明，运行有序高效，态度优质，群众满意度高。在项目管理上，通过逐步规范申报审批支付程序，确保了资金高效运转。在资金管理上，严格按照财务制度，确保了资金及时到位和使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214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214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6" w:hRule="atLeast"/>
        </w:trPr>
        <w:tc>
          <w:tcPr>
            <w:tcW w:w="725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无项目负责人：郑强</w:t>
            </w:r>
          </w:p>
        </w:tc>
        <w:tc>
          <w:tcPr>
            <w:tcW w:w="556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财务负责人：袁旭栋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2824"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008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51322325T000012212283-叠溪镇开展第二批主题教育费用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547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茂县叠溪镇人民政府</w:t>
            </w:r>
          </w:p>
        </w:tc>
        <w:tc>
          <w:tcPr>
            <w:tcW w:w="1091"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茂县叠溪镇人民政府（行政）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547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547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茂县叠溪镇党委开展第二批主题教育，订阅党刊党报，慰问困难党员，2024年我镇拟申请开展第二批主题教育费用3000元。</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茂县叠溪镇党委开展第二批主题教育，订阅党刊党报，慰问困难党员，2024年我镇拟申请开展第二批主题教育费用3000元。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008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茂县叠溪镇党委开展第二批主题教育，订阅党刊党报，慰问困难党员，2024年我镇拟申请开展第二批主题教育费用3000元。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0.30</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0.30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0.30</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0.30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涉及事项：订阅党刊党报，慰问困难党员</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项目完成率</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项目完工时间</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更好为党员服务</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可持续影响指标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加强主题教育</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高</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元</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受益对象满意度</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投入资金</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3000</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元</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306"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214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项目管理做到了管理规范，操作阳光透明，运行有序高效，态度优质，群众满意度高。在项目管理上，通过逐步规范申报审批支付程序，确保了资金高效运转。在资金管理上，严格按照财务制度，确保了资金及时到位和使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214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214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725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无项目负责人：郑强</w:t>
            </w:r>
          </w:p>
        </w:tc>
        <w:tc>
          <w:tcPr>
            <w:tcW w:w="556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财务负责人：袁旭栋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2824"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008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51322325T000012212457-茂县叠溪镇项目质保金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12"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547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茂县叠溪镇人民政府</w:t>
            </w:r>
          </w:p>
        </w:tc>
        <w:tc>
          <w:tcPr>
            <w:tcW w:w="1091"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茂县叠溪镇人民政府（行政）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547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547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为保障茂县叠溪镇人民政府项目后期运转的正常开展，2024年我镇拟申请项目质保金资金预算61976.7元。</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为保障茂县叠溪镇人民政府项目后期运转的正常开展，2024年我镇拟申请项目质保金资金预算61976.7元。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008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为保障茂县叠溪镇人民政府项目后期运转的正常开展，2024年我镇拟申请项目质保金资金预算61976.7元。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6.20</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6.20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6.20</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6.20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涉及项目数</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项目完成率</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项目完成时间</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为群众办事服务</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可持续发展指标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为项目在质保期内的管护的到保障</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高</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受益对象满意度</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投入资金</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61976.7</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元</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306"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214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项目管理做到了管理规范，操作阳光透明，运行有序高效，态度优质，群众满意度高。在项目管理上，通过逐步规范申报审批支付程序，确保了资金高效运转。在资金管理上，严格按照财务制度，确保了资金及时到位和使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214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214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725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无项目负责人：郑强</w:t>
            </w:r>
          </w:p>
        </w:tc>
        <w:tc>
          <w:tcPr>
            <w:tcW w:w="556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财务负责人：袁旭栋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2824"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6"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008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51322325T000012229630-叠溪镇环境卫生专项整治经费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547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茂县叠溪镇人民政府</w:t>
            </w:r>
          </w:p>
        </w:tc>
        <w:tc>
          <w:tcPr>
            <w:tcW w:w="1091"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茂县叠溪镇人民政府（行政）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547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4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547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汛期已至，雨水较多，河水暴涨，导致叠溪镇叠溪海子大量垃圾顺岷江河漂流而下，大量垃圾堆积并飘浮在叠溪海子湖面上。加之六七月为松坪沟避署旺季，松坪沟景区产生大量生活垃圾。为确保此期间为游客营造良好的旅游环境，急需对叠溪海子漂浮物进行常态化清理，对松坪沟村环境卫生进行专项整治</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汛期已至，雨水较多，河水暴涨，导致叠溪镇叠溪海子大量垃圾顺岷江河漂流而下，大量垃圾堆积并飘浮在叠溪海子湖面上。加之六七月为松坪沟避署旺季，松坪沟景区产生大量生活垃圾。为确保此期间为游客营造良好的旅游环境，急需对叠溪海子漂浮物进行常态化清理，对松坪沟村环境卫生进行专项整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93"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008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汛期已至，雨水较多，河水暴涨，导致叠溪镇叠溪海子大量垃圾顺岷江河漂流而下，大量垃圾堆积并飘浮在叠溪海子湖面上。加之六七月为松坪沟避署旺季，松坪沟景区产生大量生活垃圾。为确保此期间为游客营造良好的旅游环境，急需对叠溪海子漂浮物进行常态化清理，对松坪沟村环境卫生进行专项整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36.04</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36.04</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36.04</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36.04</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涉及整治的村</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验收合格率</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完成年度</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村民增加务工收入总计</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240900</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元</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环境整洁，生态宜居</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高</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受益对象满意度</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投入资金</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360560</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元</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306"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214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项目管理做到了管理规范，操作阳光透明，运行有序高效，态度优质，群众满意度高。在项目管理上，通过逐步规范申报审批支付程序，确保了资金高效运转。在资金管理上，严格按照财务制度，确保了资金及时到位和使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214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214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725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无项目负责人：郑强</w:t>
            </w:r>
          </w:p>
        </w:tc>
        <w:tc>
          <w:tcPr>
            <w:tcW w:w="556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财务负责人：袁旭栋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904" w:hRule="atLeast"/>
        </w:trPr>
        <w:tc>
          <w:tcPr>
            <w:tcW w:w="12824"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008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51322325T000012290533-茂县太平镇杨柳村村民活动中心及寨门建设项目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547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茂县叠溪镇人民政府</w:t>
            </w:r>
          </w:p>
        </w:tc>
        <w:tc>
          <w:tcPr>
            <w:tcW w:w="1091"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茂县叠溪镇人民政府（行政）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547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70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547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本项目的主要内容：新建村民活动中心580㎡；厕所1座35㎡；新建混凝土结构羌族风格村寨大门一座。项目估算总投资668874元。</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本项目的主要内容：新建村民活动中心580㎡；厕所1座35㎡；新建混凝土结构羌族风格村寨大门一座。项目估算总投资668874元。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008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本项目的主要内容：新建村民活动中心580㎡；厕所1座35㎡；新建混凝土结构羌族风格村寨大门一座。项目估算总投资668874元。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66.89</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66.89</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66.89</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66.89</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指标1：活动中心</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580</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平方米</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指标2：厕所</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座</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指标3：寨门</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座</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指标1:验收合格率</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指标1：完成及时率</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指标1:受益脱贫户</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户</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可持续影响指标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指标1：使用年限</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指标1:受益群众满意度</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指标1：投入资金</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668874</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元</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306"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214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项目管理做到了管理规范，操作阳光透明，运行有序高效，态度优质，群众满意度高。在项目管理上，通过逐步规范申报审批支付程序，确保了资金高效运转。在资金管理上，严格按照财务制度，确保了资金及时到位和使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214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214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725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无项目负责人：郑强</w:t>
            </w:r>
          </w:p>
        </w:tc>
        <w:tc>
          <w:tcPr>
            <w:tcW w:w="556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财务负责人：袁旭栋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2824"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6"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008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51322325T000012399961-茂县叠溪镇人民政府兼职网格员绩效考核资金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547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茂县叠溪镇人民政府</w:t>
            </w:r>
          </w:p>
        </w:tc>
        <w:tc>
          <w:tcPr>
            <w:tcW w:w="1091"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茂县叠溪镇人民政府（行政）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547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547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茂县叠溪镇人民政府兼职网格员的绩效考核资金</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茂县叠溪镇人民政府兼职网格员的绩效考核资金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93"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008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茂县叠溪镇人民政府兼职网格员的绩效考核资金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10.40</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10.40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10.40</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10.40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网格员人数</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服务质量</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完成年度</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促进经济发展</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10.4</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服务人数</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9000</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可持续影响指标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协助完成社会治理</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受益村民满意度</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投入资金</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10.4</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6" w:hRule="atLeast"/>
        </w:trPr>
        <w:tc>
          <w:tcPr>
            <w:tcW w:w="9306"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214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项目管理做到了管理规范，操作阳光透明，运行有序高效，态度优质，群众满意度高。在项目管理上，通过逐步规范申报审批支付程序，确保了资金高效运转。在资金管理上，严格按照财务制度，确保了资金及时到位和使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214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214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6" w:hRule="atLeast"/>
        </w:trPr>
        <w:tc>
          <w:tcPr>
            <w:tcW w:w="725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无项目负责人：郑强</w:t>
            </w:r>
          </w:p>
        </w:tc>
        <w:tc>
          <w:tcPr>
            <w:tcW w:w="556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财务负责人：袁旭栋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2824"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008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51322325T000012399995-叠溪镇农村产业路建设治理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547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茂县叠溪镇人民政府</w:t>
            </w:r>
          </w:p>
        </w:tc>
        <w:tc>
          <w:tcPr>
            <w:tcW w:w="1091"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茂县叠溪镇人民政府（行政）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547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547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保证村道畅通，让农场品顺利销售</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保证村道畅通，让农场品顺利销售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008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保证村道畅通，让农场品顺利销售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16.00</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16.00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16.00</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16.00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涉及行政村个数</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完成年度</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劳动方获得收益</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受益人口数</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120</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可持续影响指标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保证村道畅通</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高</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收益对象满意度</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投入资金</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16</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306"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214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项目管理做到了管理规范，操作阳光透明，运行有序高效，态度优质，群众满意度高。在项目管理上，通过逐步规范申报审批支付程序，确保了资金高效运转。在资金管理上，严格按照财务制度，确保了资金及时到位和使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214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214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725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无项目负责人：郑强</w:t>
            </w:r>
          </w:p>
        </w:tc>
        <w:tc>
          <w:tcPr>
            <w:tcW w:w="556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财务负责人：袁旭栋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2824"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008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51322325T000012492783-叠溪镇防汛救灾慰问经费项目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12"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547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茂县叠溪镇人民政府</w:t>
            </w:r>
          </w:p>
        </w:tc>
        <w:tc>
          <w:tcPr>
            <w:tcW w:w="1091"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茂县叠溪镇人民政府（行政）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547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547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本项目的主要内容是根据县委组织部《关于划拨党费用于支持防汛救灾工作的通知》，主要用于慰问奋战在防汛救灾一线的基层党员、干部和群众，慰问因受灾严重而遇到生活困难的党员、群众，动员广大党员、干部冲锋在前、勇于担当，充分发挥先锋模范作用。2024年拟申请资金预算6000元，预计慰问12人，每人500元，总计6000元。</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本项目的主要内容是根据县委组织部《关于划拨党费用于支持防汛救灾工作的通知》，主要用于慰问奋战在防汛救灾一线的基层党员、干部和群众，慰问因受灾严重而遇到生活困难的党员、群众，动员广大党员、干部冲锋在前、勇于担当，充分发挥先锋模范作用。2024年拟申请资金预算6000元，预计慰问12人，每人500元，总计6000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008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本项目的主要内容是根据县委组织部《关于划拨党费用于支持防汛救灾工作的通知》，主要用于慰问奋战在防汛救灾一线的基层党员、干部和群众，慰问因受灾严重而遇到生活困难的党员、群众，动员广大党员、干部冲锋在前、勇于担当，充分发挥先锋模范作用。2024年拟申请资金预算6000元，预计慰问12人，每人500元，总计6000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0.60</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0.60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0.60</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0.60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涉及行政村个数</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完成年度</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受慰问群众获得慰问金</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6000</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元</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受益人口数</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可持续影响指标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充分发挥先锋模范作用，全力做好防汛救灾相关工作。</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受益对象满意度</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投入资金</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6000</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元</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306"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214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项目管理做到了管理规范，操作阳光透明，运行有序高效，态度优质，群众满意度高。在项目管理上，通过逐步规范申报审批支付程序，确保了资金高效运转。在资金管理上，严格按照财务制度，确保了资金及时到位和使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214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214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725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无项目负责人：郑强</w:t>
            </w:r>
          </w:p>
        </w:tc>
        <w:tc>
          <w:tcPr>
            <w:tcW w:w="556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财务负责人：袁旭栋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2824"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6"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008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51322325T000012822253-2024年乡镇机关食堂经费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547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茂县叠溪镇人民政府</w:t>
            </w:r>
          </w:p>
        </w:tc>
        <w:tc>
          <w:tcPr>
            <w:tcW w:w="1091"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茂县叠溪镇人民政府（行政）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547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547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用于支付叠溪镇机关食堂购买大米、蔬菜、油，肉类等支出，及食堂厨师工资。保障我镇食堂正常运转、保障我镇职工正常用餐。</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用于支付叠溪镇机关食堂购买大米、蔬菜、油，肉类等支出，及食堂厨师工资。保障我镇食堂正常运转、保障我镇职工正常用餐。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93"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008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用于支付叠溪镇机关食堂购买大米、蔬菜、油，肉类等支出，及食堂厨师工资。保障我镇食堂正常运转、保障我镇职工正常用餐。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12.00</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12.00</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306"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214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项目管理做到了管理规范，操作阳光透明，运行有序高效，态度优质，群众满意度高。在项目管理上，通过逐步规范申报审批支付程序，确保了资金高效运转。在资金管理上，严格按照财务制度，确保了资金及时到位和使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214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214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725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无项目负责人：郑强</w:t>
            </w:r>
          </w:p>
        </w:tc>
        <w:tc>
          <w:tcPr>
            <w:tcW w:w="556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财务负责人：袁旭栋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2824"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008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51322325T000013166473-叠溪镇2024年村级公共服务经费补助资金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12"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547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茂县叠溪镇人民政府</w:t>
            </w:r>
          </w:p>
        </w:tc>
        <w:tc>
          <w:tcPr>
            <w:tcW w:w="1091"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茂县叠溪镇人民政府（行政）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547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547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叠溪镇2024年村级公共服务经费补助资金</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叠溪镇2024年村级公共服务经费补助资金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008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叠溪镇2024年村级公共服务经费补助资金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39.00</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39.00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39.00</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39.00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6" w:hRule="atLeast"/>
        </w:trPr>
        <w:tc>
          <w:tcPr>
            <w:tcW w:w="9306"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214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项目管理做到了管理规范，操作阳光透明，运行有序高效，态度优质，群众满意度高。在项目管理上，通过逐步规范申报审批支付程序，确保了资金高效运转。在资金管理上，严格按照财务制度，确保了资金及时到位和使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214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214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6" w:hRule="atLeast"/>
        </w:trPr>
        <w:tc>
          <w:tcPr>
            <w:tcW w:w="725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无项目负责人：郑强</w:t>
            </w:r>
          </w:p>
        </w:tc>
        <w:tc>
          <w:tcPr>
            <w:tcW w:w="556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财务负责人：袁旭栋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2824"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008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51322325T000013239164-茂县叠溪镇2024年度驻村第一书记和工作队员通讯补贴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547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茂县叠溪镇人民政府</w:t>
            </w:r>
          </w:p>
        </w:tc>
        <w:tc>
          <w:tcPr>
            <w:tcW w:w="1091"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茂县叠溪镇人民政府（行政）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547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547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茂县叠溪镇2024年度驻村第一书记和工作队员通讯补贴</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茂县叠溪镇2024年度驻村第一书记和工作队员通讯补贴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008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茂县叠溪镇2024年度驻村第一书记和工作队员通讯补贴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1.05</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1.05</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1.05</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1.05</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306"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214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项目管理做到了管理规范，操作阳光透明，运行有序高效，态度优质，群众满意度高。在项目管理上，通过逐步规范申报审批支付程序，确保了资金高效运转。在资金管理上，严格按照财务制度，确保了资金及时到位和使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214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214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725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无项目负责人：郑强</w:t>
            </w:r>
          </w:p>
        </w:tc>
        <w:tc>
          <w:tcPr>
            <w:tcW w:w="556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财务负责人：袁旭栋</w:t>
            </w:r>
          </w:p>
        </w:tc>
      </w:tr>
    </w:tbl>
    <w:p>
      <w:pPr>
        <w:pageBreakBefore w:val="0"/>
        <w:numPr>
          <w:ilvl w:val="0"/>
          <w:numId w:val="0"/>
        </w:numPr>
        <w:kinsoku/>
        <w:wordWrap/>
        <w:overflowPunct/>
        <w:topLinePunct w:val="0"/>
        <w:bidi w:val="0"/>
        <w:spacing w:line="576" w:lineRule="exact"/>
        <w:jc w:val="both"/>
        <w:outlineLvl w:val="0"/>
        <w:rPr>
          <w:rFonts w:hint="eastAsia" w:ascii="Times New Roman" w:hAnsi="Times New Roman" w:eastAsia="黑体"/>
          <w:color w:val="auto"/>
          <w:sz w:val="44"/>
          <w:szCs w:val="44"/>
          <w:highlight w:val="none"/>
        </w:rPr>
      </w:pPr>
    </w:p>
    <w:p>
      <w:pPr>
        <w:pageBreakBefore w:val="0"/>
        <w:numPr>
          <w:ilvl w:val="0"/>
          <w:numId w:val="0"/>
        </w:numPr>
        <w:kinsoku/>
        <w:wordWrap/>
        <w:overflowPunct/>
        <w:topLinePunct w:val="0"/>
        <w:bidi w:val="0"/>
        <w:spacing w:line="576" w:lineRule="exact"/>
        <w:jc w:val="center"/>
        <w:outlineLvl w:val="0"/>
        <w:rPr>
          <w:rFonts w:hint="eastAsia" w:ascii="Times New Roman" w:hAnsi="Times New Roman" w:eastAsia="黑体"/>
          <w:color w:val="auto"/>
          <w:sz w:val="44"/>
          <w:szCs w:val="44"/>
          <w:highlight w:val="none"/>
        </w:rPr>
      </w:pPr>
      <w:bookmarkStart w:id="114" w:name="_Toc23157"/>
      <w:r>
        <w:rPr>
          <w:rFonts w:hint="eastAsia" w:ascii="Times New Roman" w:hAnsi="Times New Roman" w:eastAsia="黑体"/>
          <w:color w:val="auto"/>
          <w:sz w:val="44"/>
          <w:szCs w:val="44"/>
          <w:highlight w:val="none"/>
        </w:rPr>
        <w:t>第五部分 附表</w:t>
      </w:r>
      <w:bookmarkEnd w:id="103"/>
      <w:bookmarkEnd w:id="112"/>
      <w:bookmarkEnd w:id="113"/>
      <w:bookmarkEnd w:id="114"/>
      <w:bookmarkStart w:id="115" w:name="_Toc15396619"/>
    </w:p>
    <w:p>
      <w:pPr>
        <w:pStyle w:val="15"/>
        <w:keepNext w:val="0"/>
        <w:keepLines w:val="0"/>
        <w:pageBreakBefore w:val="0"/>
        <w:kinsoku/>
        <w:wordWrap/>
        <w:overflowPunct/>
        <w:topLinePunct w:val="0"/>
        <w:autoSpaceDE/>
        <w:autoSpaceDN/>
        <w:bidi w:val="0"/>
        <w:adjustRightInd w:val="0"/>
        <w:snapToGrid w:val="0"/>
        <w:spacing w:line="576" w:lineRule="exact"/>
        <w:jc w:val="left"/>
        <w:textAlignment w:val="auto"/>
        <w:rPr>
          <w:rFonts w:hint="eastAsia" w:ascii="仿宋_GB2312" w:hAnsi="仿宋_GB2312" w:eastAsia="仿宋_GB2312" w:cs="仿宋_GB2312"/>
          <w:color w:val="auto"/>
          <w:sz w:val="32"/>
          <w:szCs w:val="32"/>
          <w:highlight w:val="none"/>
        </w:rPr>
      </w:pPr>
    </w:p>
    <w:p>
      <w:pPr>
        <w:keepNext w:val="0"/>
        <w:keepLines w:val="0"/>
        <w:pageBreakBefore w:val="0"/>
        <w:kinsoku/>
        <w:wordWrap/>
        <w:overflowPunct/>
        <w:topLinePunct w:val="0"/>
        <w:autoSpaceDE/>
        <w:autoSpaceDN/>
        <w:bidi w:val="0"/>
        <w:spacing w:line="576" w:lineRule="exact"/>
        <w:jc w:val="left"/>
        <w:textAlignment w:val="auto"/>
        <w:outlineLvl w:val="0"/>
        <w:rPr>
          <w:rFonts w:hint="eastAsia" w:ascii="仿宋_GB2312" w:hAnsi="仿宋_GB2312" w:eastAsia="仿宋_GB2312" w:cs="仿宋_GB2312"/>
          <w:color w:val="auto"/>
          <w:sz w:val="32"/>
          <w:szCs w:val="32"/>
          <w:highlight w:val="none"/>
          <w:lang w:val="zh-CN"/>
        </w:rPr>
      </w:pPr>
      <w:bookmarkStart w:id="116" w:name="_Toc30779"/>
      <w:bookmarkStart w:id="117" w:name="_Toc133106754"/>
      <w:r>
        <w:rPr>
          <w:rFonts w:hint="eastAsia" w:ascii="仿宋_GB2312" w:hAnsi="仿宋_GB2312" w:eastAsia="仿宋_GB2312" w:cs="仿宋_GB2312"/>
          <w:color w:val="auto"/>
          <w:sz w:val="32"/>
          <w:szCs w:val="32"/>
          <w:highlight w:val="none"/>
          <w:lang w:val="zh-CN"/>
        </w:rPr>
        <w:t>一、收入支出决算总表</w:t>
      </w:r>
      <w:bookmarkEnd w:id="115"/>
      <w:bookmarkEnd w:id="116"/>
      <w:bookmarkEnd w:id="117"/>
    </w:p>
    <w:p>
      <w:pPr>
        <w:keepNext w:val="0"/>
        <w:keepLines w:val="0"/>
        <w:pageBreakBefore w:val="0"/>
        <w:kinsoku/>
        <w:wordWrap/>
        <w:overflowPunct/>
        <w:topLinePunct w:val="0"/>
        <w:autoSpaceDE/>
        <w:autoSpaceDN/>
        <w:bidi w:val="0"/>
        <w:spacing w:line="576" w:lineRule="exact"/>
        <w:jc w:val="left"/>
        <w:textAlignment w:val="auto"/>
        <w:outlineLvl w:val="0"/>
        <w:rPr>
          <w:rFonts w:hint="eastAsia" w:ascii="仿宋_GB2312" w:hAnsi="仿宋_GB2312" w:eastAsia="仿宋_GB2312" w:cs="仿宋_GB2312"/>
          <w:color w:val="auto"/>
          <w:sz w:val="32"/>
          <w:szCs w:val="32"/>
          <w:highlight w:val="none"/>
          <w:lang w:val="zh-CN"/>
        </w:rPr>
      </w:pPr>
      <w:bookmarkStart w:id="118" w:name="_Toc1133561425"/>
      <w:bookmarkStart w:id="119" w:name="_Toc27228"/>
      <w:bookmarkStart w:id="120" w:name="_Toc15396620"/>
      <w:r>
        <w:rPr>
          <w:rFonts w:hint="eastAsia" w:ascii="仿宋_GB2312" w:hAnsi="仿宋_GB2312" w:eastAsia="仿宋_GB2312" w:cs="仿宋_GB2312"/>
          <w:color w:val="auto"/>
          <w:sz w:val="32"/>
          <w:szCs w:val="32"/>
          <w:highlight w:val="none"/>
          <w:lang w:val="zh-CN"/>
        </w:rPr>
        <w:t>二、收入决算表</w:t>
      </w:r>
      <w:bookmarkEnd w:id="118"/>
      <w:bookmarkEnd w:id="119"/>
      <w:bookmarkEnd w:id="120"/>
    </w:p>
    <w:p>
      <w:pPr>
        <w:keepNext w:val="0"/>
        <w:keepLines w:val="0"/>
        <w:pageBreakBefore w:val="0"/>
        <w:kinsoku/>
        <w:wordWrap/>
        <w:overflowPunct/>
        <w:topLinePunct w:val="0"/>
        <w:autoSpaceDE/>
        <w:autoSpaceDN/>
        <w:bidi w:val="0"/>
        <w:spacing w:line="576" w:lineRule="exact"/>
        <w:jc w:val="left"/>
        <w:textAlignment w:val="auto"/>
        <w:outlineLvl w:val="0"/>
        <w:rPr>
          <w:rFonts w:hint="eastAsia" w:ascii="仿宋_GB2312" w:hAnsi="仿宋_GB2312" w:eastAsia="仿宋_GB2312" w:cs="仿宋_GB2312"/>
          <w:color w:val="auto"/>
          <w:sz w:val="32"/>
          <w:szCs w:val="32"/>
          <w:highlight w:val="none"/>
          <w:lang w:val="zh-CN"/>
        </w:rPr>
      </w:pPr>
      <w:bookmarkStart w:id="121" w:name="_Toc1055163367"/>
      <w:bookmarkStart w:id="122" w:name="_Toc15396621"/>
      <w:bookmarkStart w:id="123" w:name="_Toc12431"/>
      <w:r>
        <w:rPr>
          <w:rFonts w:hint="eastAsia" w:ascii="仿宋_GB2312" w:hAnsi="仿宋_GB2312" w:eastAsia="仿宋_GB2312" w:cs="仿宋_GB2312"/>
          <w:color w:val="auto"/>
          <w:sz w:val="32"/>
          <w:szCs w:val="32"/>
          <w:highlight w:val="none"/>
          <w:lang w:val="zh-CN"/>
        </w:rPr>
        <w:t>三、支出决算表</w:t>
      </w:r>
      <w:bookmarkEnd w:id="121"/>
      <w:bookmarkEnd w:id="122"/>
      <w:bookmarkEnd w:id="123"/>
    </w:p>
    <w:p>
      <w:pPr>
        <w:keepNext w:val="0"/>
        <w:keepLines w:val="0"/>
        <w:pageBreakBefore w:val="0"/>
        <w:kinsoku/>
        <w:wordWrap/>
        <w:overflowPunct/>
        <w:topLinePunct w:val="0"/>
        <w:autoSpaceDE/>
        <w:autoSpaceDN/>
        <w:bidi w:val="0"/>
        <w:spacing w:line="576" w:lineRule="exact"/>
        <w:jc w:val="left"/>
        <w:textAlignment w:val="auto"/>
        <w:outlineLvl w:val="0"/>
        <w:rPr>
          <w:rFonts w:hint="eastAsia" w:ascii="仿宋_GB2312" w:hAnsi="仿宋_GB2312" w:eastAsia="仿宋_GB2312" w:cs="仿宋_GB2312"/>
          <w:color w:val="auto"/>
          <w:sz w:val="32"/>
          <w:szCs w:val="32"/>
          <w:highlight w:val="none"/>
          <w:lang w:val="zh-CN"/>
        </w:rPr>
      </w:pPr>
      <w:bookmarkStart w:id="124" w:name="_Toc572929799"/>
      <w:bookmarkStart w:id="125" w:name="_Toc19296"/>
      <w:bookmarkStart w:id="126" w:name="_Toc15396622"/>
      <w:r>
        <w:rPr>
          <w:rFonts w:hint="eastAsia" w:ascii="仿宋_GB2312" w:hAnsi="仿宋_GB2312" w:eastAsia="仿宋_GB2312" w:cs="仿宋_GB2312"/>
          <w:color w:val="auto"/>
          <w:sz w:val="32"/>
          <w:szCs w:val="32"/>
          <w:highlight w:val="none"/>
          <w:lang w:val="zh-CN"/>
        </w:rPr>
        <w:t>四、财政拨款收入支出决算总表</w:t>
      </w:r>
      <w:bookmarkEnd w:id="124"/>
      <w:bookmarkEnd w:id="125"/>
      <w:bookmarkEnd w:id="126"/>
    </w:p>
    <w:p>
      <w:pPr>
        <w:keepNext w:val="0"/>
        <w:keepLines w:val="0"/>
        <w:pageBreakBefore w:val="0"/>
        <w:kinsoku/>
        <w:wordWrap/>
        <w:overflowPunct/>
        <w:topLinePunct w:val="0"/>
        <w:autoSpaceDE/>
        <w:autoSpaceDN/>
        <w:bidi w:val="0"/>
        <w:spacing w:line="576" w:lineRule="exact"/>
        <w:jc w:val="left"/>
        <w:textAlignment w:val="auto"/>
        <w:outlineLvl w:val="0"/>
        <w:rPr>
          <w:rFonts w:hint="eastAsia" w:ascii="仿宋_GB2312" w:hAnsi="仿宋_GB2312" w:eastAsia="仿宋_GB2312" w:cs="仿宋_GB2312"/>
          <w:color w:val="auto"/>
          <w:sz w:val="32"/>
          <w:szCs w:val="32"/>
          <w:highlight w:val="none"/>
          <w:lang w:val="zh-CN"/>
        </w:rPr>
      </w:pPr>
      <w:bookmarkStart w:id="127" w:name="_Toc1813527447"/>
      <w:bookmarkStart w:id="128" w:name="_Toc10525"/>
      <w:bookmarkStart w:id="129" w:name="_Toc15396623"/>
      <w:r>
        <w:rPr>
          <w:rFonts w:hint="eastAsia" w:ascii="仿宋_GB2312" w:hAnsi="仿宋_GB2312" w:eastAsia="仿宋_GB2312" w:cs="仿宋_GB2312"/>
          <w:color w:val="auto"/>
          <w:sz w:val="32"/>
          <w:szCs w:val="32"/>
          <w:highlight w:val="none"/>
          <w:lang w:val="zh-CN"/>
        </w:rPr>
        <w:t>五、财政拨款支出决算明细表</w:t>
      </w:r>
      <w:bookmarkEnd w:id="127"/>
      <w:bookmarkEnd w:id="128"/>
      <w:bookmarkEnd w:id="129"/>
      <w:bookmarkStart w:id="130" w:name="_Toc15396624"/>
    </w:p>
    <w:p>
      <w:pPr>
        <w:keepNext w:val="0"/>
        <w:keepLines w:val="0"/>
        <w:pageBreakBefore w:val="0"/>
        <w:kinsoku/>
        <w:wordWrap/>
        <w:overflowPunct/>
        <w:topLinePunct w:val="0"/>
        <w:autoSpaceDE/>
        <w:autoSpaceDN/>
        <w:bidi w:val="0"/>
        <w:spacing w:line="576" w:lineRule="exact"/>
        <w:jc w:val="left"/>
        <w:textAlignment w:val="auto"/>
        <w:outlineLvl w:val="0"/>
        <w:rPr>
          <w:rFonts w:hint="eastAsia" w:ascii="仿宋_GB2312" w:hAnsi="仿宋_GB2312" w:eastAsia="仿宋_GB2312" w:cs="仿宋_GB2312"/>
          <w:color w:val="auto"/>
          <w:sz w:val="32"/>
          <w:szCs w:val="32"/>
          <w:highlight w:val="none"/>
          <w:lang w:val="zh-CN"/>
        </w:rPr>
      </w:pPr>
      <w:bookmarkStart w:id="131" w:name="_Toc25097"/>
      <w:bookmarkStart w:id="132" w:name="_Toc282943429"/>
      <w:r>
        <w:rPr>
          <w:rFonts w:hint="eastAsia" w:ascii="仿宋_GB2312" w:hAnsi="仿宋_GB2312" w:eastAsia="仿宋_GB2312" w:cs="仿宋_GB2312"/>
          <w:color w:val="auto"/>
          <w:sz w:val="32"/>
          <w:szCs w:val="32"/>
          <w:highlight w:val="none"/>
          <w:lang w:val="zh-CN"/>
        </w:rPr>
        <w:t>六、一般公共预算财政拨款支出决算表</w:t>
      </w:r>
      <w:bookmarkEnd w:id="130"/>
      <w:bookmarkEnd w:id="131"/>
      <w:bookmarkEnd w:id="132"/>
    </w:p>
    <w:p>
      <w:pPr>
        <w:keepNext w:val="0"/>
        <w:keepLines w:val="0"/>
        <w:pageBreakBefore w:val="0"/>
        <w:kinsoku/>
        <w:wordWrap/>
        <w:overflowPunct/>
        <w:topLinePunct w:val="0"/>
        <w:autoSpaceDE/>
        <w:autoSpaceDN/>
        <w:bidi w:val="0"/>
        <w:spacing w:line="576" w:lineRule="exact"/>
        <w:jc w:val="left"/>
        <w:textAlignment w:val="auto"/>
        <w:outlineLvl w:val="0"/>
        <w:rPr>
          <w:rFonts w:hint="eastAsia" w:ascii="仿宋_GB2312" w:hAnsi="仿宋_GB2312" w:eastAsia="仿宋_GB2312" w:cs="仿宋_GB2312"/>
          <w:color w:val="auto"/>
          <w:sz w:val="32"/>
          <w:szCs w:val="32"/>
          <w:highlight w:val="none"/>
          <w:lang w:val="zh-CN"/>
        </w:rPr>
      </w:pPr>
      <w:bookmarkStart w:id="133" w:name="_Toc15396625"/>
      <w:bookmarkStart w:id="134" w:name="_Toc27342"/>
      <w:bookmarkStart w:id="135" w:name="_Toc332699222"/>
      <w:r>
        <w:rPr>
          <w:rFonts w:hint="eastAsia" w:ascii="仿宋_GB2312" w:hAnsi="仿宋_GB2312" w:eastAsia="仿宋_GB2312" w:cs="仿宋_GB2312"/>
          <w:color w:val="auto"/>
          <w:sz w:val="32"/>
          <w:szCs w:val="32"/>
          <w:highlight w:val="none"/>
          <w:lang w:val="zh-CN"/>
        </w:rPr>
        <w:t>七、一般公共预算财政拨款支出决算明细表</w:t>
      </w:r>
      <w:bookmarkEnd w:id="133"/>
      <w:bookmarkEnd w:id="134"/>
      <w:bookmarkEnd w:id="135"/>
    </w:p>
    <w:p>
      <w:pPr>
        <w:keepNext w:val="0"/>
        <w:keepLines w:val="0"/>
        <w:pageBreakBefore w:val="0"/>
        <w:kinsoku/>
        <w:wordWrap/>
        <w:overflowPunct/>
        <w:topLinePunct w:val="0"/>
        <w:autoSpaceDE/>
        <w:autoSpaceDN/>
        <w:bidi w:val="0"/>
        <w:spacing w:line="576" w:lineRule="exact"/>
        <w:jc w:val="left"/>
        <w:textAlignment w:val="auto"/>
        <w:outlineLvl w:val="0"/>
        <w:rPr>
          <w:rFonts w:hint="eastAsia" w:ascii="仿宋_GB2312" w:hAnsi="仿宋_GB2312" w:eastAsia="仿宋_GB2312" w:cs="仿宋_GB2312"/>
          <w:color w:val="auto"/>
          <w:sz w:val="32"/>
          <w:szCs w:val="32"/>
          <w:highlight w:val="none"/>
          <w:lang w:val="zh-CN"/>
        </w:rPr>
      </w:pPr>
      <w:bookmarkStart w:id="136" w:name="_Toc1122131829"/>
      <w:bookmarkStart w:id="137" w:name="_Toc15396626"/>
      <w:bookmarkStart w:id="138" w:name="_Toc30737"/>
      <w:r>
        <w:rPr>
          <w:rFonts w:hint="eastAsia" w:ascii="仿宋_GB2312" w:hAnsi="仿宋_GB2312" w:eastAsia="仿宋_GB2312" w:cs="仿宋_GB2312"/>
          <w:color w:val="auto"/>
          <w:sz w:val="32"/>
          <w:szCs w:val="32"/>
          <w:highlight w:val="none"/>
          <w:lang w:val="zh-CN"/>
        </w:rPr>
        <w:t>八、一般公共预算财政拨款基本支出决算表</w:t>
      </w:r>
      <w:bookmarkEnd w:id="136"/>
      <w:bookmarkEnd w:id="137"/>
      <w:bookmarkEnd w:id="138"/>
    </w:p>
    <w:p>
      <w:pPr>
        <w:keepNext w:val="0"/>
        <w:keepLines w:val="0"/>
        <w:pageBreakBefore w:val="0"/>
        <w:kinsoku/>
        <w:wordWrap/>
        <w:overflowPunct/>
        <w:topLinePunct w:val="0"/>
        <w:autoSpaceDE/>
        <w:autoSpaceDN/>
        <w:bidi w:val="0"/>
        <w:spacing w:line="576" w:lineRule="exact"/>
        <w:jc w:val="left"/>
        <w:textAlignment w:val="auto"/>
        <w:outlineLvl w:val="0"/>
        <w:rPr>
          <w:rFonts w:hint="eastAsia" w:ascii="仿宋_GB2312" w:hAnsi="仿宋_GB2312" w:eastAsia="仿宋_GB2312" w:cs="仿宋_GB2312"/>
          <w:color w:val="auto"/>
          <w:sz w:val="32"/>
          <w:szCs w:val="32"/>
          <w:highlight w:val="none"/>
          <w:lang w:val="zh-CN"/>
        </w:rPr>
      </w:pPr>
      <w:bookmarkStart w:id="139" w:name="_Toc1896273068"/>
      <w:bookmarkStart w:id="140" w:name="_Toc15396627"/>
      <w:bookmarkStart w:id="141" w:name="_Toc21256"/>
      <w:r>
        <w:rPr>
          <w:rFonts w:hint="eastAsia" w:ascii="仿宋_GB2312" w:hAnsi="仿宋_GB2312" w:eastAsia="仿宋_GB2312" w:cs="仿宋_GB2312"/>
          <w:color w:val="auto"/>
          <w:sz w:val="32"/>
          <w:szCs w:val="32"/>
          <w:highlight w:val="none"/>
          <w:lang w:val="zh-CN"/>
        </w:rPr>
        <w:t>九、一般公共预算财政拨款项目支出决算表</w:t>
      </w:r>
      <w:bookmarkEnd w:id="139"/>
      <w:bookmarkEnd w:id="140"/>
      <w:bookmarkEnd w:id="141"/>
    </w:p>
    <w:p>
      <w:pPr>
        <w:keepNext w:val="0"/>
        <w:keepLines w:val="0"/>
        <w:pageBreakBefore w:val="0"/>
        <w:kinsoku/>
        <w:wordWrap/>
        <w:overflowPunct/>
        <w:topLinePunct w:val="0"/>
        <w:autoSpaceDE/>
        <w:autoSpaceDN/>
        <w:bidi w:val="0"/>
        <w:spacing w:line="576" w:lineRule="exact"/>
        <w:jc w:val="left"/>
        <w:textAlignment w:val="auto"/>
        <w:outlineLvl w:val="0"/>
        <w:rPr>
          <w:rFonts w:hint="eastAsia" w:ascii="仿宋_GB2312" w:hAnsi="仿宋_GB2312" w:eastAsia="仿宋_GB2312" w:cs="仿宋_GB2312"/>
          <w:color w:val="auto"/>
          <w:sz w:val="32"/>
          <w:szCs w:val="32"/>
          <w:highlight w:val="none"/>
          <w:lang w:val="zh-CN"/>
        </w:rPr>
      </w:pPr>
      <w:bookmarkStart w:id="142" w:name="_Toc15396628"/>
      <w:bookmarkStart w:id="143" w:name="_Toc509239764"/>
      <w:bookmarkStart w:id="144" w:name="_Toc3472"/>
      <w:r>
        <w:rPr>
          <w:rFonts w:hint="eastAsia" w:ascii="仿宋_GB2312" w:hAnsi="仿宋_GB2312" w:eastAsia="仿宋_GB2312" w:cs="仿宋_GB2312"/>
          <w:color w:val="auto"/>
          <w:sz w:val="32"/>
          <w:szCs w:val="32"/>
          <w:highlight w:val="none"/>
          <w:lang w:val="zh-CN"/>
        </w:rPr>
        <w:t>十、</w:t>
      </w:r>
      <w:bookmarkEnd w:id="142"/>
      <w:r>
        <w:rPr>
          <w:rFonts w:hint="eastAsia" w:ascii="仿宋_GB2312" w:hAnsi="仿宋_GB2312" w:eastAsia="仿宋_GB2312" w:cs="仿宋_GB2312"/>
          <w:color w:val="auto"/>
          <w:sz w:val="32"/>
          <w:szCs w:val="32"/>
          <w:highlight w:val="none"/>
          <w:lang w:val="zh-CN"/>
        </w:rPr>
        <w:t>政府性基金预算财政拨款收入支出决算表</w:t>
      </w:r>
      <w:bookmarkEnd w:id="143"/>
      <w:bookmarkEnd w:id="144"/>
    </w:p>
    <w:p>
      <w:pPr>
        <w:keepNext w:val="0"/>
        <w:keepLines w:val="0"/>
        <w:pageBreakBefore w:val="0"/>
        <w:kinsoku/>
        <w:wordWrap/>
        <w:overflowPunct/>
        <w:topLinePunct w:val="0"/>
        <w:autoSpaceDE/>
        <w:autoSpaceDN/>
        <w:bidi w:val="0"/>
        <w:spacing w:line="576" w:lineRule="exact"/>
        <w:jc w:val="left"/>
        <w:textAlignment w:val="auto"/>
        <w:outlineLvl w:val="0"/>
        <w:rPr>
          <w:rFonts w:hint="eastAsia" w:ascii="仿宋_GB2312" w:hAnsi="仿宋_GB2312" w:eastAsia="仿宋_GB2312" w:cs="仿宋_GB2312"/>
          <w:color w:val="auto"/>
          <w:sz w:val="32"/>
          <w:szCs w:val="32"/>
          <w:highlight w:val="none"/>
          <w:lang w:val="zh-CN"/>
        </w:rPr>
      </w:pPr>
      <w:bookmarkStart w:id="145" w:name="_Toc15396629"/>
      <w:bookmarkStart w:id="146" w:name="_Toc1908950595"/>
      <w:bookmarkStart w:id="147" w:name="_Toc16545"/>
      <w:r>
        <w:rPr>
          <w:rFonts w:hint="eastAsia" w:ascii="仿宋_GB2312" w:hAnsi="仿宋_GB2312" w:eastAsia="仿宋_GB2312" w:cs="仿宋_GB2312"/>
          <w:color w:val="auto"/>
          <w:sz w:val="32"/>
          <w:szCs w:val="32"/>
          <w:highlight w:val="none"/>
          <w:lang w:val="zh-CN"/>
        </w:rPr>
        <w:t>十一、</w:t>
      </w:r>
      <w:bookmarkEnd w:id="145"/>
      <w:r>
        <w:rPr>
          <w:rFonts w:hint="eastAsia" w:ascii="仿宋_GB2312" w:hAnsi="仿宋_GB2312" w:eastAsia="仿宋_GB2312" w:cs="仿宋_GB2312"/>
          <w:color w:val="auto"/>
          <w:sz w:val="32"/>
          <w:szCs w:val="32"/>
          <w:highlight w:val="none"/>
          <w:lang w:val="zh-CN"/>
        </w:rPr>
        <w:t>国有资本经营预算</w:t>
      </w:r>
      <w:r>
        <w:rPr>
          <w:rFonts w:hint="eastAsia" w:ascii="仿宋_GB2312" w:hAnsi="仿宋_GB2312" w:eastAsia="仿宋_GB2312" w:cs="仿宋_GB2312"/>
          <w:color w:val="auto"/>
          <w:sz w:val="32"/>
          <w:szCs w:val="32"/>
          <w:highlight w:val="none"/>
          <w:lang w:val="zh-CN" w:eastAsia="zh-CN"/>
        </w:rPr>
        <w:t>财政拨款收入</w:t>
      </w:r>
      <w:r>
        <w:rPr>
          <w:rFonts w:hint="eastAsia" w:ascii="仿宋_GB2312" w:hAnsi="仿宋_GB2312" w:eastAsia="仿宋_GB2312" w:cs="仿宋_GB2312"/>
          <w:color w:val="auto"/>
          <w:sz w:val="32"/>
          <w:szCs w:val="32"/>
          <w:highlight w:val="none"/>
          <w:lang w:val="zh-CN"/>
        </w:rPr>
        <w:t>支出决算表</w:t>
      </w:r>
      <w:bookmarkEnd w:id="146"/>
      <w:bookmarkEnd w:id="147"/>
    </w:p>
    <w:p>
      <w:pPr>
        <w:keepNext w:val="0"/>
        <w:keepLines w:val="0"/>
        <w:pageBreakBefore w:val="0"/>
        <w:kinsoku/>
        <w:wordWrap/>
        <w:overflowPunct/>
        <w:topLinePunct w:val="0"/>
        <w:autoSpaceDE/>
        <w:autoSpaceDN/>
        <w:bidi w:val="0"/>
        <w:spacing w:line="576" w:lineRule="exact"/>
        <w:jc w:val="left"/>
        <w:textAlignment w:val="auto"/>
        <w:outlineLvl w:val="0"/>
        <w:rPr>
          <w:rFonts w:hint="eastAsia" w:ascii="仿宋_GB2312" w:hAnsi="仿宋_GB2312" w:eastAsia="仿宋_GB2312" w:cs="仿宋_GB2312"/>
          <w:color w:val="auto"/>
          <w:sz w:val="32"/>
          <w:szCs w:val="32"/>
          <w:highlight w:val="none"/>
          <w:lang w:val="zh-CN"/>
        </w:rPr>
      </w:pPr>
      <w:bookmarkStart w:id="148" w:name="_Toc15396630"/>
      <w:bookmarkStart w:id="149" w:name="_Toc1646657075"/>
      <w:bookmarkStart w:id="150" w:name="_Toc28832"/>
      <w:r>
        <w:rPr>
          <w:rFonts w:hint="eastAsia" w:ascii="仿宋_GB2312" w:hAnsi="仿宋_GB2312" w:eastAsia="仿宋_GB2312" w:cs="仿宋_GB2312"/>
          <w:color w:val="auto"/>
          <w:sz w:val="32"/>
          <w:szCs w:val="32"/>
          <w:highlight w:val="none"/>
          <w:lang w:val="zh-CN"/>
        </w:rPr>
        <w:t>十二、</w:t>
      </w:r>
      <w:bookmarkEnd w:id="148"/>
      <w:r>
        <w:rPr>
          <w:rFonts w:hint="eastAsia" w:ascii="仿宋_GB2312" w:hAnsi="仿宋_GB2312" w:eastAsia="仿宋_GB2312" w:cs="仿宋_GB2312"/>
          <w:color w:val="auto"/>
          <w:sz w:val="32"/>
          <w:szCs w:val="32"/>
          <w:highlight w:val="none"/>
          <w:lang w:val="zh-CN" w:eastAsia="zh-CN"/>
        </w:rPr>
        <w:t>国有资本经营预算财政拨款支出决算表</w:t>
      </w:r>
      <w:bookmarkEnd w:id="149"/>
      <w:bookmarkEnd w:id="150"/>
    </w:p>
    <w:p>
      <w:pPr>
        <w:keepNext w:val="0"/>
        <w:keepLines w:val="0"/>
        <w:pageBreakBefore w:val="0"/>
        <w:kinsoku/>
        <w:wordWrap/>
        <w:overflowPunct/>
        <w:topLinePunct w:val="0"/>
        <w:autoSpaceDE/>
        <w:autoSpaceDN/>
        <w:bidi w:val="0"/>
        <w:spacing w:line="576" w:lineRule="exact"/>
        <w:jc w:val="left"/>
        <w:textAlignment w:val="auto"/>
        <w:outlineLvl w:val="0"/>
        <w:rPr>
          <w:rFonts w:hint="eastAsia" w:ascii="仿宋_GB2312" w:hAnsi="仿宋_GB2312" w:eastAsia="仿宋_GB2312" w:cs="仿宋_GB2312"/>
          <w:color w:val="auto"/>
          <w:sz w:val="32"/>
          <w:szCs w:val="32"/>
          <w:highlight w:val="none"/>
          <w:lang w:val="zh-CN" w:eastAsia="zh-CN"/>
        </w:rPr>
      </w:pPr>
      <w:bookmarkStart w:id="151" w:name="_Toc15396631"/>
      <w:bookmarkStart w:id="152" w:name="_Toc29058"/>
      <w:bookmarkStart w:id="153" w:name="_Toc787118908"/>
      <w:r>
        <w:rPr>
          <w:rFonts w:hint="eastAsia" w:ascii="仿宋_GB2312" w:hAnsi="仿宋_GB2312" w:eastAsia="仿宋_GB2312" w:cs="仿宋_GB2312"/>
          <w:color w:val="auto"/>
          <w:sz w:val="32"/>
          <w:szCs w:val="32"/>
          <w:highlight w:val="none"/>
          <w:lang w:val="zh-CN"/>
        </w:rPr>
        <w:t>十三、</w:t>
      </w:r>
      <w:bookmarkEnd w:id="151"/>
      <w:r>
        <w:rPr>
          <w:rFonts w:hint="eastAsia" w:ascii="仿宋_GB2312" w:hAnsi="仿宋_GB2312" w:eastAsia="仿宋_GB2312" w:cs="仿宋_GB2312"/>
          <w:color w:val="auto"/>
          <w:sz w:val="32"/>
          <w:szCs w:val="32"/>
          <w:highlight w:val="none"/>
          <w:lang w:val="zh-CN" w:eastAsia="zh-CN"/>
        </w:rPr>
        <w:t>财政拨款“三公”经费支出决算表</w:t>
      </w:r>
      <w:bookmarkEnd w:id="152"/>
      <w:bookmarkEnd w:id="153"/>
    </w:p>
    <w:p>
      <w:pPr>
        <w:keepNext w:val="0"/>
        <w:keepLines w:val="0"/>
        <w:pageBreakBefore w:val="0"/>
        <w:kinsoku/>
        <w:wordWrap/>
        <w:overflowPunct/>
        <w:topLinePunct w:val="0"/>
        <w:autoSpaceDE/>
        <w:autoSpaceDN/>
        <w:bidi w:val="0"/>
        <w:spacing w:line="576" w:lineRule="exact"/>
        <w:jc w:val="left"/>
        <w:textAlignment w:val="auto"/>
        <w:outlineLvl w:val="0"/>
        <w:rPr>
          <w:rFonts w:hint="eastAsia" w:ascii="宋体" w:hAnsi="宋体" w:eastAsia="宋体" w:cs="宋体"/>
          <w:color w:val="auto"/>
          <w:sz w:val="32"/>
          <w:szCs w:val="32"/>
          <w:highlight w:val="none"/>
          <w:lang w:val="zh-CN" w:eastAsia="zh-CN"/>
        </w:rPr>
      </w:pPr>
    </w:p>
    <w:sectPr>
      <w:footerReference r:id="rId5" w:type="first"/>
      <w:headerReference r:id="rId3" w:type="default"/>
      <w:footerReference r:id="rId4" w:type="default"/>
      <w:pgSz w:w="11906" w:h="16838"/>
      <w:pgMar w:top="1440" w:right="1800" w:bottom="1440" w:left="1800" w:header="851" w:footer="992" w:gutter="0"/>
      <w:pgNumType w:fmt="decimal"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
    <w:altName w:val="仿宋_GB2312"/>
    <w:panose1 w:val="00000000000000000000"/>
    <w:charset w:val="00"/>
    <w:family w:val="roman"/>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altName w:val="黑体"/>
    <w:panose1 w:val="020B0503020204020204"/>
    <w:charset w:val="86"/>
    <w:family w:val="auto"/>
    <w:pitch w:val="default"/>
    <w:sig w:usb0="00000000" w:usb1="00000000" w:usb2="00000000" w:usb3="00000000" w:csb0="00000000"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 w:name="文泉驿正黑">
    <w:panose1 w:val="02000603000000000000"/>
    <w:charset w:val="86"/>
    <w:family w:val="auto"/>
    <w:pitch w:val="default"/>
    <w:sig w:usb0="900002BF" w:usb1="2BDF7DFB" w:usb2="00000036" w:usb3="00000000" w:csb0="603E000D" w:csb1="D2D70000"/>
  </w:font>
  <w:font w:name="方正仿宋_GBK">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pPr>
                          <w:r>
                            <w:fldChar w:fldCharType="begin"/>
                          </w:r>
                          <w:r>
                            <w:instrText xml:space="preserve"> PAGE  \* MERGEFORMAT </w:instrText>
                          </w:r>
                          <w:r>
                            <w:fldChar w:fldCharType="separate"/>
                          </w:r>
                          <w:r>
                            <w:t>- 2 -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&#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PWLh2QyAgAAYQQAAA4AAAAAAAAAAQAgAAAA&#10;NQEAAGRycy9lMm9Eb2MueG1sUEsFBgAAAAAGAAYAWQEAANkFAAAAAA==&#10;">
              <v:fill on="f" focussize="0,0"/>
              <v:stroke on="f" weight="0.5pt"/>
              <v:imagedata o:title=""/>
              <o:lock v:ext="edit" aspectratio="f"/>
              <v:textbox inset="0mm,0mm,0mm,0mm" style="mso-fit-shape-to-text:t;">
                <w:txbxContent>
                  <w:p>
                    <w:pPr>
                      <w:pStyle w:val="10"/>
                    </w:pPr>
                    <w:r>
                      <w:fldChar w:fldCharType="begin"/>
                    </w:r>
                    <w:r>
                      <w:instrText xml:space="preserve"> PAGE  \* MERGEFORMAT </w:instrText>
                    </w:r>
                    <w:r>
                      <w:fldChar w:fldCharType="separate"/>
                    </w:r>
                    <w:r>
                      <w:t>- 2 -</w:t>
                    </w:r>
                    <w:r>
                      <w:fldChar w:fldCharType="end"/>
                    </w:r>
                  </w:p>
                </w:txbxContent>
              </v:textbox>
            </v:shape>
          </w:pict>
        </mc:Fallback>
      </mc:AlternateContent>
    </w:r>
  </w:p>
  <w:p>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&#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AKVIPQyAgAAYQQAAA4AAAAAAAAAAQAgAAAA&#10;NQEAAGRycy9lMm9Eb2MueG1sUEsFBgAAAAAGAAYAWQEAANkFAAAAAA==&#10;">
              <v:fill on="f" focussize="0,0"/>
              <v:stroke on="f" weight="0.5pt"/>
              <v:imagedata o:title=""/>
              <o:lock v:ext="edit" aspectratio="f"/>
              <v:textbox inset="0mm,0mm,0mm,0mm" style="mso-fit-shape-to-text:t;">
                <w:txbxContent>
                  <w:p>
                    <w:pPr>
                      <w:pStyle w:val="10"/>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7F937DF"/>
    <w:multiLevelType w:val="singleLevel"/>
    <w:tmpl w:val="B7F937DF"/>
    <w:lvl w:ilvl="0" w:tentative="0">
      <w:start w:val="1"/>
      <w:numFmt w:val="chineseCounting"/>
      <w:suff w:val="nothing"/>
      <w:lvlText w:val="（%1）"/>
      <w:lvlJc w:val="left"/>
      <w:rPr>
        <w:rFonts w:hint="eastAsia"/>
      </w:rPr>
    </w:lvl>
  </w:abstractNum>
  <w:abstractNum w:abstractNumId="1">
    <w:nsid w:val="69DD359E"/>
    <w:multiLevelType w:val="singleLevel"/>
    <w:tmpl w:val="69DD359E"/>
    <w:lvl w:ilvl="0" w:tentative="0">
      <w:start w:val="2"/>
      <w:numFmt w:val="chineseCounting"/>
      <w:suff w:val="nothing"/>
      <w:lvlText w:val="（%1）"/>
      <w:lvlJc w:val="left"/>
      <w:rPr>
        <w:rFonts w:hint="eastAsia"/>
      </w:rPr>
    </w:lvl>
  </w:abstractNum>
  <w:abstractNum w:abstractNumId="2">
    <w:nsid w:val="7CBFC58A"/>
    <w:multiLevelType w:val="singleLevel"/>
    <w:tmpl w:val="7CBFC58A"/>
    <w:lvl w:ilvl="0" w:tentative="0">
      <w:start w:val="2"/>
      <w:numFmt w:val="chineseCounting"/>
      <w:suff w:val="nothing"/>
      <w:lvlText w:val="（%1）"/>
      <w:lvlJc w:val="left"/>
      <w:rPr>
        <w:rFonts w:hint="eastAsi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22BF"/>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47343"/>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BF706B"/>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0B405F"/>
    <w:rsid w:val="012A5EC2"/>
    <w:rsid w:val="015975B8"/>
    <w:rsid w:val="01946FB2"/>
    <w:rsid w:val="01A3353E"/>
    <w:rsid w:val="01CA2E70"/>
    <w:rsid w:val="02FEBE30"/>
    <w:rsid w:val="03844195"/>
    <w:rsid w:val="03F33D27"/>
    <w:rsid w:val="03F37758"/>
    <w:rsid w:val="0440522B"/>
    <w:rsid w:val="048648F6"/>
    <w:rsid w:val="04916F1E"/>
    <w:rsid w:val="05025778"/>
    <w:rsid w:val="05396B50"/>
    <w:rsid w:val="061E35DE"/>
    <w:rsid w:val="066E0107"/>
    <w:rsid w:val="07893F2F"/>
    <w:rsid w:val="07996F6E"/>
    <w:rsid w:val="07AA23C8"/>
    <w:rsid w:val="07DFD8BA"/>
    <w:rsid w:val="08A41020"/>
    <w:rsid w:val="09867E8F"/>
    <w:rsid w:val="0998157E"/>
    <w:rsid w:val="09CD18FD"/>
    <w:rsid w:val="09D771D4"/>
    <w:rsid w:val="09FE6E56"/>
    <w:rsid w:val="0A2032A3"/>
    <w:rsid w:val="0AAA3A26"/>
    <w:rsid w:val="0AD307F7"/>
    <w:rsid w:val="0AFC119D"/>
    <w:rsid w:val="0B3E14F8"/>
    <w:rsid w:val="0B420FC5"/>
    <w:rsid w:val="0C85314A"/>
    <w:rsid w:val="0CA8290A"/>
    <w:rsid w:val="0CDD11A6"/>
    <w:rsid w:val="0D35B1ED"/>
    <w:rsid w:val="0D760B89"/>
    <w:rsid w:val="0DCB704F"/>
    <w:rsid w:val="0DDF7092"/>
    <w:rsid w:val="0E254B6B"/>
    <w:rsid w:val="0E98231D"/>
    <w:rsid w:val="0ECE2228"/>
    <w:rsid w:val="0F98263C"/>
    <w:rsid w:val="0FC1070A"/>
    <w:rsid w:val="101860EC"/>
    <w:rsid w:val="101F47CC"/>
    <w:rsid w:val="103C5FAD"/>
    <w:rsid w:val="106D0B73"/>
    <w:rsid w:val="10C055FF"/>
    <w:rsid w:val="110A60E1"/>
    <w:rsid w:val="11694EBD"/>
    <w:rsid w:val="11772AA4"/>
    <w:rsid w:val="118107EC"/>
    <w:rsid w:val="118A0FD0"/>
    <w:rsid w:val="11F8418B"/>
    <w:rsid w:val="121D3BF2"/>
    <w:rsid w:val="124909E8"/>
    <w:rsid w:val="12E24EE2"/>
    <w:rsid w:val="13533D6F"/>
    <w:rsid w:val="13D50BC4"/>
    <w:rsid w:val="14B17F78"/>
    <w:rsid w:val="15632263"/>
    <w:rsid w:val="15C9656A"/>
    <w:rsid w:val="15DC65CF"/>
    <w:rsid w:val="165E0673"/>
    <w:rsid w:val="16B831D5"/>
    <w:rsid w:val="16BB723D"/>
    <w:rsid w:val="17214184"/>
    <w:rsid w:val="174C4839"/>
    <w:rsid w:val="17991F6C"/>
    <w:rsid w:val="17E50567"/>
    <w:rsid w:val="181B0BD3"/>
    <w:rsid w:val="186504BB"/>
    <w:rsid w:val="186C25A2"/>
    <w:rsid w:val="19A445FC"/>
    <w:rsid w:val="1A9F0691"/>
    <w:rsid w:val="1AB5530F"/>
    <w:rsid w:val="1B3D4DCF"/>
    <w:rsid w:val="1B485BA7"/>
    <w:rsid w:val="1B8B6070"/>
    <w:rsid w:val="1BE8440E"/>
    <w:rsid w:val="1C204A0A"/>
    <w:rsid w:val="1C915908"/>
    <w:rsid w:val="1D155CEE"/>
    <w:rsid w:val="1D1638FE"/>
    <w:rsid w:val="1D4D7A81"/>
    <w:rsid w:val="1D526E45"/>
    <w:rsid w:val="1D8422D1"/>
    <w:rsid w:val="1DEEA129"/>
    <w:rsid w:val="1DF70204"/>
    <w:rsid w:val="1E312DEB"/>
    <w:rsid w:val="1E3B1FCF"/>
    <w:rsid w:val="1E55697B"/>
    <w:rsid w:val="1E740ACF"/>
    <w:rsid w:val="1E9171AE"/>
    <w:rsid w:val="1F3D3B25"/>
    <w:rsid w:val="1F726F0B"/>
    <w:rsid w:val="1F8C62C1"/>
    <w:rsid w:val="1FDA76FF"/>
    <w:rsid w:val="1FF35744"/>
    <w:rsid w:val="1FF6BC77"/>
    <w:rsid w:val="20F75D04"/>
    <w:rsid w:val="2186353C"/>
    <w:rsid w:val="21A67760"/>
    <w:rsid w:val="235651B5"/>
    <w:rsid w:val="23641680"/>
    <w:rsid w:val="23860B96"/>
    <w:rsid w:val="240371BF"/>
    <w:rsid w:val="244F3473"/>
    <w:rsid w:val="246D6C5B"/>
    <w:rsid w:val="24C97D99"/>
    <w:rsid w:val="25145328"/>
    <w:rsid w:val="25253091"/>
    <w:rsid w:val="25A718F0"/>
    <w:rsid w:val="25BB59F6"/>
    <w:rsid w:val="260F557C"/>
    <w:rsid w:val="264659B5"/>
    <w:rsid w:val="26970054"/>
    <w:rsid w:val="26B00DE2"/>
    <w:rsid w:val="26BC7A25"/>
    <w:rsid w:val="2738598A"/>
    <w:rsid w:val="281408E2"/>
    <w:rsid w:val="28255771"/>
    <w:rsid w:val="28334431"/>
    <w:rsid w:val="28C927EF"/>
    <w:rsid w:val="29345F99"/>
    <w:rsid w:val="29A053DC"/>
    <w:rsid w:val="29E27279"/>
    <w:rsid w:val="29FD04D3"/>
    <w:rsid w:val="2B4356E6"/>
    <w:rsid w:val="2BC74EA2"/>
    <w:rsid w:val="2BFF7BC6"/>
    <w:rsid w:val="2C307B6D"/>
    <w:rsid w:val="2C5D5807"/>
    <w:rsid w:val="2C8A61B5"/>
    <w:rsid w:val="2C8E776E"/>
    <w:rsid w:val="2D376058"/>
    <w:rsid w:val="2D63757D"/>
    <w:rsid w:val="2D7C1CBC"/>
    <w:rsid w:val="2DF04E50"/>
    <w:rsid w:val="2E586DFA"/>
    <w:rsid w:val="2F040D46"/>
    <w:rsid w:val="2F656EAC"/>
    <w:rsid w:val="2F6B035B"/>
    <w:rsid w:val="2FAE5751"/>
    <w:rsid w:val="2FB1A395"/>
    <w:rsid w:val="2FD9A7D8"/>
    <w:rsid w:val="2FDBF714"/>
    <w:rsid w:val="30AB6865"/>
    <w:rsid w:val="30D03C8C"/>
    <w:rsid w:val="317B29B7"/>
    <w:rsid w:val="3192385D"/>
    <w:rsid w:val="319F7F4E"/>
    <w:rsid w:val="31AA68B4"/>
    <w:rsid w:val="31C003CA"/>
    <w:rsid w:val="32180206"/>
    <w:rsid w:val="32A4229E"/>
    <w:rsid w:val="32BD1EF1"/>
    <w:rsid w:val="3304709D"/>
    <w:rsid w:val="33484B1B"/>
    <w:rsid w:val="33A773CB"/>
    <w:rsid w:val="342866FA"/>
    <w:rsid w:val="34480B4A"/>
    <w:rsid w:val="34843F47"/>
    <w:rsid w:val="349D6851"/>
    <w:rsid w:val="35B71AE4"/>
    <w:rsid w:val="35BD066E"/>
    <w:rsid w:val="36080FFD"/>
    <w:rsid w:val="3688599E"/>
    <w:rsid w:val="36A54032"/>
    <w:rsid w:val="36AA5135"/>
    <w:rsid w:val="36BE0DA7"/>
    <w:rsid w:val="36F6663C"/>
    <w:rsid w:val="375FB8F0"/>
    <w:rsid w:val="376B6AA6"/>
    <w:rsid w:val="376D39B2"/>
    <w:rsid w:val="37E16F03"/>
    <w:rsid w:val="37F53A3B"/>
    <w:rsid w:val="38392C84"/>
    <w:rsid w:val="38426BDF"/>
    <w:rsid w:val="38707AF8"/>
    <w:rsid w:val="389B6C89"/>
    <w:rsid w:val="38D469F0"/>
    <w:rsid w:val="39167469"/>
    <w:rsid w:val="39627CCD"/>
    <w:rsid w:val="397BAF1F"/>
    <w:rsid w:val="39C746B7"/>
    <w:rsid w:val="3A033549"/>
    <w:rsid w:val="3A1D7CF6"/>
    <w:rsid w:val="3A990ED5"/>
    <w:rsid w:val="3AB79AF3"/>
    <w:rsid w:val="3AE834C0"/>
    <w:rsid w:val="3B2D1E09"/>
    <w:rsid w:val="3B4E2EEA"/>
    <w:rsid w:val="3B610E2E"/>
    <w:rsid w:val="3B7EF35A"/>
    <w:rsid w:val="3B9FDB6C"/>
    <w:rsid w:val="3BF5BC2F"/>
    <w:rsid w:val="3BFC46F4"/>
    <w:rsid w:val="3C371BD0"/>
    <w:rsid w:val="3CEBA265"/>
    <w:rsid w:val="3D07058D"/>
    <w:rsid w:val="3D2739F3"/>
    <w:rsid w:val="3D98207C"/>
    <w:rsid w:val="3DBF3C2B"/>
    <w:rsid w:val="3DEE7CF3"/>
    <w:rsid w:val="3E151A9D"/>
    <w:rsid w:val="3E264D06"/>
    <w:rsid w:val="3E3570AA"/>
    <w:rsid w:val="3E740A63"/>
    <w:rsid w:val="3E78745D"/>
    <w:rsid w:val="3EE17838"/>
    <w:rsid w:val="3EEF6792"/>
    <w:rsid w:val="3EFE42AA"/>
    <w:rsid w:val="3EFFD189"/>
    <w:rsid w:val="3F55381A"/>
    <w:rsid w:val="3F79605C"/>
    <w:rsid w:val="3F7F7599"/>
    <w:rsid w:val="3F8C7903"/>
    <w:rsid w:val="3FF4CAE0"/>
    <w:rsid w:val="3FF7B227"/>
    <w:rsid w:val="3FFF4F21"/>
    <w:rsid w:val="40776974"/>
    <w:rsid w:val="416A0352"/>
    <w:rsid w:val="42756FAE"/>
    <w:rsid w:val="42ED123B"/>
    <w:rsid w:val="43707C19"/>
    <w:rsid w:val="440209A9"/>
    <w:rsid w:val="44494CEC"/>
    <w:rsid w:val="448B0D0B"/>
    <w:rsid w:val="44E268DA"/>
    <w:rsid w:val="450D13D7"/>
    <w:rsid w:val="45506656"/>
    <w:rsid w:val="45F12DF0"/>
    <w:rsid w:val="45F4643C"/>
    <w:rsid w:val="46CC1167"/>
    <w:rsid w:val="46F75CCC"/>
    <w:rsid w:val="486A6C7A"/>
    <w:rsid w:val="49464295"/>
    <w:rsid w:val="495733F2"/>
    <w:rsid w:val="49A563CB"/>
    <w:rsid w:val="49D62A28"/>
    <w:rsid w:val="4A627F82"/>
    <w:rsid w:val="4B0E749A"/>
    <w:rsid w:val="4B2477C4"/>
    <w:rsid w:val="4B4F25DA"/>
    <w:rsid w:val="4B7324F9"/>
    <w:rsid w:val="4B8FDD8E"/>
    <w:rsid w:val="4BC33EC4"/>
    <w:rsid w:val="4BE068DB"/>
    <w:rsid w:val="4C5D4E5A"/>
    <w:rsid w:val="4C772EC2"/>
    <w:rsid w:val="4CF3744D"/>
    <w:rsid w:val="4D0B41D8"/>
    <w:rsid w:val="4D1F46E6"/>
    <w:rsid w:val="4D577224"/>
    <w:rsid w:val="4DA60964"/>
    <w:rsid w:val="4DBF1CEB"/>
    <w:rsid w:val="4DF0007C"/>
    <w:rsid w:val="4DF05EF8"/>
    <w:rsid w:val="4E041148"/>
    <w:rsid w:val="4E3A4FCB"/>
    <w:rsid w:val="4E5008D0"/>
    <w:rsid w:val="4EA577DD"/>
    <w:rsid w:val="4EAB630A"/>
    <w:rsid w:val="4ECE2238"/>
    <w:rsid w:val="4F073684"/>
    <w:rsid w:val="4F786330"/>
    <w:rsid w:val="4F833267"/>
    <w:rsid w:val="4FE9BD67"/>
    <w:rsid w:val="4FFB052F"/>
    <w:rsid w:val="5075461D"/>
    <w:rsid w:val="50AB599E"/>
    <w:rsid w:val="50DB0924"/>
    <w:rsid w:val="5153670D"/>
    <w:rsid w:val="52F61A46"/>
    <w:rsid w:val="537E6D0A"/>
    <w:rsid w:val="53C5766A"/>
    <w:rsid w:val="53F74C96"/>
    <w:rsid w:val="54A86D6F"/>
    <w:rsid w:val="55085A60"/>
    <w:rsid w:val="55170BA8"/>
    <w:rsid w:val="553218C9"/>
    <w:rsid w:val="55C12D14"/>
    <w:rsid w:val="56594E10"/>
    <w:rsid w:val="567E1AA5"/>
    <w:rsid w:val="56E47B74"/>
    <w:rsid w:val="56F24C1A"/>
    <w:rsid w:val="57175D52"/>
    <w:rsid w:val="57BD3DD4"/>
    <w:rsid w:val="57BF9EFD"/>
    <w:rsid w:val="58D45994"/>
    <w:rsid w:val="59B60181"/>
    <w:rsid w:val="59F0510E"/>
    <w:rsid w:val="5AAB5509"/>
    <w:rsid w:val="5AF92295"/>
    <w:rsid w:val="5B1C7ADA"/>
    <w:rsid w:val="5B250254"/>
    <w:rsid w:val="5BDD79E6"/>
    <w:rsid w:val="5BF561CA"/>
    <w:rsid w:val="5BFF5DFC"/>
    <w:rsid w:val="5CD71FC4"/>
    <w:rsid w:val="5CDA6C03"/>
    <w:rsid w:val="5D0128C7"/>
    <w:rsid w:val="5D1F11B5"/>
    <w:rsid w:val="5D695134"/>
    <w:rsid w:val="5DAE1B18"/>
    <w:rsid w:val="5DE7D9E5"/>
    <w:rsid w:val="5ECEC941"/>
    <w:rsid w:val="5F6E6E08"/>
    <w:rsid w:val="5FA455BD"/>
    <w:rsid w:val="5FBF9FF3"/>
    <w:rsid w:val="5FCA136C"/>
    <w:rsid w:val="5FCD4E2C"/>
    <w:rsid w:val="5FDC5BB0"/>
    <w:rsid w:val="5FEF394A"/>
    <w:rsid w:val="5FF488E2"/>
    <w:rsid w:val="5FF67715"/>
    <w:rsid w:val="609E371C"/>
    <w:rsid w:val="61FB0D70"/>
    <w:rsid w:val="62BF3928"/>
    <w:rsid w:val="63B3701E"/>
    <w:rsid w:val="647F5392"/>
    <w:rsid w:val="654C1999"/>
    <w:rsid w:val="65E66580"/>
    <w:rsid w:val="664B1D71"/>
    <w:rsid w:val="664B4E8E"/>
    <w:rsid w:val="6679056C"/>
    <w:rsid w:val="67277B67"/>
    <w:rsid w:val="67AA3209"/>
    <w:rsid w:val="68F7DEA0"/>
    <w:rsid w:val="698D0931"/>
    <w:rsid w:val="69E228CC"/>
    <w:rsid w:val="6A3639CF"/>
    <w:rsid w:val="6A6B0B13"/>
    <w:rsid w:val="6A7FE5F3"/>
    <w:rsid w:val="6B053271"/>
    <w:rsid w:val="6BDD78B3"/>
    <w:rsid w:val="6C225202"/>
    <w:rsid w:val="6C4A05C8"/>
    <w:rsid w:val="6C82783C"/>
    <w:rsid w:val="6C8742B8"/>
    <w:rsid w:val="6C9500C9"/>
    <w:rsid w:val="6DBD81C7"/>
    <w:rsid w:val="6DBF5E93"/>
    <w:rsid w:val="6DFF077E"/>
    <w:rsid w:val="6E052ACB"/>
    <w:rsid w:val="6E6BC57D"/>
    <w:rsid w:val="6E714EF0"/>
    <w:rsid w:val="6E7E3605"/>
    <w:rsid w:val="6E7FDCC7"/>
    <w:rsid w:val="6ED6A62E"/>
    <w:rsid w:val="6EE00B15"/>
    <w:rsid w:val="6F1703F3"/>
    <w:rsid w:val="6F6FB3EB"/>
    <w:rsid w:val="6F7B92EA"/>
    <w:rsid w:val="6F8731EA"/>
    <w:rsid w:val="6FCE6052"/>
    <w:rsid w:val="6FD57C00"/>
    <w:rsid w:val="6FEFFFD8"/>
    <w:rsid w:val="6FF5CC65"/>
    <w:rsid w:val="6FFB47EC"/>
    <w:rsid w:val="6FFF034A"/>
    <w:rsid w:val="70115367"/>
    <w:rsid w:val="70484440"/>
    <w:rsid w:val="704C651B"/>
    <w:rsid w:val="70514D81"/>
    <w:rsid w:val="70741002"/>
    <w:rsid w:val="708605F6"/>
    <w:rsid w:val="70ED2DBD"/>
    <w:rsid w:val="71123A97"/>
    <w:rsid w:val="712A28F1"/>
    <w:rsid w:val="715C0E4B"/>
    <w:rsid w:val="71992E7C"/>
    <w:rsid w:val="72233669"/>
    <w:rsid w:val="72734D90"/>
    <w:rsid w:val="7275252F"/>
    <w:rsid w:val="730C35B8"/>
    <w:rsid w:val="7315161C"/>
    <w:rsid w:val="73160E6D"/>
    <w:rsid w:val="7332FE48"/>
    <w:rsid w:val="734B20F4"/>
    <w:rsid w:val="737E2057"/>
    <w:rsid w:val="73AB61DA"/>
    <w:rsid w:val="73AD73D5"/>
    <w:rsid w:val="73B6EB34"/>
    <w:rsid w:val="73E6120B"/>
    <w:rsid w:val="73FA497D"/>
    <w:rsid w:val="73FE73A3"/>
    <w:rsid w:val="744731E5"/>
    <w:rsid w:val="74BBD01D"/>
    <w:rsid w:val="74C50E20"/>
    <w:rsid w:val="74ED5379"/>
    <w:rsid w:val="74FE050C"/>
    <w:rsid w:val="74FF74AE"/>
    <w:rsid w:val="75B54161"/>
    <w:rsid w:val="75D5F8FA"/>
    <w:rsid w:val="75DEEEC2"/>
    <w:rsid w:val="75E32345"/>
    <w:rsid w:val="760A5684"/>
    <w:rsid w:val="76734E09"/>
    <w:rsid w:val="76BE1EA2"/>
    <w:rsid w:val="76E3355F"/>
    <w:rsid w:val="76FF5125"/>
    <w:rsid w:val="77293424"/>
    <w:rsid w:val="77383B2B"/>
    <w:rsid w:val="776F6FFA"/>
    <w:rsid w:val="7776B20B"/>
    <w:rsid w:val="77866F8C"/>
    <w:rsid w:val="778769C8"/>
    <w:rsid w:val="77A75DCA"/>
    <w:rsid w:val="77DC22F5"/>
    <w:rsid w:val="77F20211"/>
    <w:rsid w:val="783E271A"/>
    <w:rsid w:val="78616DE9"/>
    <w:rsid w:val="787C0C6C"/>
    <w:rsid w:val="78962160"/>
    <w:rsid w:val="78C56359"/>
    <w:rsid w:val="78D41F79"/>
    <w:rsid w:val="78E875D7"/>
    <w:rsid w:val="79086DAD"/>
    <w:rsid w:val="799821D6"/>
    <w:rsid w:val="79D7FD79"/>
    <w:rsid w:val="79EE5BA4"/>
    <w:rsid w:val="7A0A5C53"/>
    <w:rsid w:val="7A7B3E0B"/>
    <w:rsid w:val="7A894339"/>
    <w:rsid w:val="7AD284E8"/>
    <w:rsid w:val="7ADB314B"/>
    <w:rsid w:val="7AFF7572"/>
    <w:rsid w:val="7B0B3DD5"/>
    <w:rsid w:val="7B101FA2"/>
    <w:rsid w:val="7B15210C"/>
    <w:rsid w:val="7B6C7DFB"/>
    <w:rsid w:val="7B9E0939"/>
    <w:rsid w:val="7BA9149B"/>
    <w:rsid w:val="7BBFBED0"/>
    <w:rsid w:val="7BC3E394"/>
    <w:rsid w:val="7BDED00B"/>
    <w:rsid w:val="7C1B34FA"/>
    <w:rsid w:val="7C1F3737"/>
    <w:rsid w:val="7C662EE9"/>
    <w:rsid w:val="7C6902A2"/>
    <w:rsid w:val="7C7BA099"/>
    <w:rsid w:val="7CBFC87B"/>
    <w:rsid w:val="7CE7FE9F"/>
    <w:rsid w:val="7CFE0F48"/>
    <w:rsid w:val="7D0934CD"/>
    <w:rsid w:val="7D272ABC"/>
    <w:rsid w:val="7D2C5EE0"/>
    <w:rsid w:val="7D7EC23E"/>
    <w:rsid w:val="7DAC0DCF"/>
    <w:rsid w:val="7DB514D9"/>
    <w:rsid w:val="7E8ADEBF"/>
    <w:rsid w:val="7EA46515"/>
    <w:rsid w:val="7EBE69CE"/>
    <w:rsid w:val="7EBF3A66"/>
    <w:rsid w:val="7ECFB93B"/>
    <w:rsid w:val="7EEF11D3"/>
    <w:rsid w:val="7EFE4840"/>
    <w:rsid w:val="7F0971A6"/>
    <w:rsid w:val="7F1D62E7"/>
    <w:rsid w:val="7F3F679B"/>
    <w:rsid w:val="7F4FC4EF"/>
    <w:rsid w:val="7F5E4D54"/>
    <w:rsid w:val="7F6E0135"/>
    <w:rsid w:val="7F79F205"/>
    <w:rsid w:val="7F7FB72F"/>
    <w:rsid w:val="7F9616C7"/>
    <w:rsid w:val="7FA30C79"/>
    <w:rsid w:val="7FA79C44"/>
    <w:rsid w:val="7FAE024F"/>
    <w:rsid w:val="7FAF8ABF"/>
    <w:rsid w:val="7FB7269E"/>
    <w:rsid w:val="7FBF26EE"/>
    <w:rsid w:val="7FBF644D"/>
    <w:rsid w:val="7FC96657"/>
    <w:rsid w:val="7FDA9588"/>
    <w:rsid w:val="7FDF220F"/>
    <w:rsid w:val="7FEDC5F7"/>
    <w:rsid w:val="7FEDD9DE"/>
    <w:rsid w:val="7FEF4348"/>
    <w:rsid w:val="7FF5890D"/>
    <w:rsid w:val="7FF747EE"/>
    <w:rsid w:val="7FF93490"/>
    <w:rsid w:val="7FF9AD45"/>
    <w:rsid w:val="7FFBD04C"/>
    <w:rsid w:val="99FF2014"/>
    <w:rsid w:val="9F5F4209"/>
    <w:rsid w:val="A6DD0D7F"/>
    <w:rsid w:val="ACFF4FBB"/>
    <w:rsid w:val="ADC6F725"/>
    <w:rsid w:val="AFDFE687"/>
    <w:rsid w:val="B2A51C5C"/>
    <w:rsid w:val="B31F7DCB"/>
    <w:rsid w:val="B33F5CB6"/>
    <w:rsid w:val="B7CF06AB"/>
    <w:rsid w:val="B7CFA926"/>
    <w:rsid w:val="B7E651A1"/>
    <w:rsid w:val="B7F8786B"/>
    <w:rsid w:val="BABB6AA1"/>
    <w:rsid w:val="BB2F4199"/>
    <w:rsid w:val="BB7957CD"/>
    <w:rsid w:val="BCFFB442"/>
    <w:rsid w:val="BD079C78"/>
    <w:rsid w:val="BD733540"/>
    <w:rsid w:val="BF3735D5"/>
    <w:rsid w:val="BF4F9ADD"/>
    <w:rsid w:val="BF7F09AC"/>
    <w:rsid w:val="BFD475C3"/>
    <w:rsid w:val="BFDE5EA6"/>
    <w:rsid w:val="CEAF6EE4"/>
    <w:rsid w:val="CF6FC6F3"/>
    <w:rsid w:val="CFD3D3D7"/>
    <w:rsid w:val="CFDF1009"/>
    <w:rsid w:val="D7CF0401"/>
    <w:rsid w:val="D7D7B16A"/>
    <w:rsid w:val="D8D6DB89"/>
    <w:rsid w:val="D9B3BDA0"/>
    <w:rsid w:val="DA635753"/>
    <w:rsid w:val="DB6F4CAB"/>
    <w:rsid w:val="DB777682"/>
    <w:rsid w:val="DBB50F39"/>
    <w:rsid w:val="DD1FB521"/>
    <w:rsid w:val="DEEB02C3"/>
    <w:rsid w:val="DEFBFEAE"/>
    <w:rsid w:val="DF1F3B80"/>
    <w:rsid w:val="DF6F9789"/>
    <w:rsid w:val="DFBDE6F0"/>
    <w:rsid w:val="DFE9BE81"/>
    <w:rsid w:val="DFFD086F"/>
    <w:rsid w:val="DFFFA9E8"/>
    <w:rsid w:val="E27D5005"/>
    <w:rsid w:val="E5F4E9DC"/>
    <w:rsid w:val="E70FE695"/>
    <w:rsid w:val="E7DD37C8"/>
    <w:rsid w:val="EB2E368B"/>
    <w:rsid w:val="EBF7CED6"/>
    <w:rsid w:val="EBFB4EAA"/>
    <w:rsid w:val="ECE5E8C3"/>
    <w:rsid w:val="ECFED1BC"/>
    <w:rsid w:val="ED1D69BB"/>
    <w:rsid w:val="ED7FD312"/>
    <w:rsid w:val="EDFCDE35"/>
    <w:rsid w:val="EF2E1AC6"/>
    <w:rsid w:val="EF53993F"/>
    <w:rsid w:val="EF6FD633"/>
    <w:rsid w:val="EFBFB2F4"/>
    <w:rsid w:val="EFBFFA21"/>
    <w:rsid w:val="F2BEBCB8"/>
    <w:rsid w:val="F36FB518"/>
    <w:rsid w:val="F3DE1A04"/>
    <w:rsid w:val="F3F722E5"/>
    <w:rsid w:val="F4FBCD07"/>
    <w:rsid w:val="F5EFE714"/>
    <w:rsid w:val="F6FBD9DC"/>
    <w:rsid w:val="F6FFF9DD"/>
    <w:rsid w:val="F7E7174F"/>
    <w:rsid w:val="F7F785B5"/>
    <w:rsid w:val="F7FF4D94"/>
    <w:rsid w:val="FA5F1E70"/>
    <w:rsid w:val="FA5FDB97"/>
    <w:rsid w:val="FB7F486A"/>
    <w:rsid w:val="FBFE895C"/>
    <w:rsid w:val="FBFED6DD"/>
    <w:rsid w:val="FBFF065B"/>
    <w:rsid w:val="FBFF5B2E"/>
    <w:rsid w:val="FD3BA0EC"/>
    <w:rsid w:val="FD3FBE23"/>
    <w:rsid w:val="FD7FFE2B"/>
    <w:rsid w:val="FDEE196B"/>
    <w:rsid w:val="FDFE6575"/>
    <w:rsid w:val="FEB95109"/>
    <w:rsid w:val="FEDFDDC2"/>
    <w:rsid w:val="FEED32F6"/>
    <w:rsid w:val="FEF781DD"/>
    <w:rsid w:val="FEF8E815"/>
    <w:rsid w:val="FEFA9BC1"/>
    <w:rsid w:val="FF1E4C59"/>
    <w:rsid w:val="FF3BE180"/>
    <w:rsid w:val="FF3F7E3F"/>
    <w:rsid w:val="FFBA12D7"/>
    <w:rsid w:val="FFBBBB85"/>
    <w:rsid w:val="FFCBD314"/>
    <w:rsid w:val="FFDFF91C"/>
    <w:rsid w:val="FFDFFAEE"/>
    <w:rsid w:val="FFEF6777"/>
    <w:rsid w:val="FFEF6D5D"/>
    <w:rsid w:val="FFF9B57B"/>
    <w:rsid w:val="FFFB6F47"/>
    <w:rsid w:val="FFFD61D9"/>
    <w:rsid w:val="FFFD8F59"/>
    <w:rsid w:val="FFFE44DC"/>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30"/>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4"/>
    <w:unhideWhenUsed/>
    <w:qFormat/>
    <w:uiPriority w:val="9"/>
    <w:pPr>
      <w:keepNext/>
      <w:keepLines/>
      <w:spacing w:before="260" w:after="260" w:line="416" w:lineRule="auto"/>
      <w:outlineLvl w:val="2"/>
    </w:pPr>
    <w:rPr>
      <w:b/>
      <w:bCs/>
      <w:sz w:val="32"/>
      <w:szCs w:val="32"/>
    </w:rPr>
  </w:style>
  <w:style w:type="character" w:default="1" w:styleId="18">
    <w:name w:val="Default Paragraph Font"/>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2">
    <w:name w:val="table of figures"/>
    <w:basedOn w:val="1"/>
    <w:next w:val="1"/>
    <w:qFormat/>
    <w:uiPriority w:val="0"/>
    <w:pPr>
      <w:widowControl w:val="0"/>
      <w:ind w:left="400" w:leftChars="200" w:hanging="200" w:hangingChars="200"/>
      <w:jc w:val="both"/>
    </w:pPr>
    <w:rPr>
      <w:rFonts w:ascii="Calibri" w:hAnsi="Calibri"/>
      <w:kern w:val="2"/>
      <w:sz w:val="21"/>
      <w:szCs w:val="24"/>
      <w:lang w:val="en-US" w:eastAsia="zh-CN" w:bidi="ar-SA"/>
    </w:rPr>
  </w:style>
  <w:style w:type="paragraph" w:styleId="6">
    <w:name w:val="Body Text"/>
    <w:basedOn w:val="1"/>
    <w:link w:val="27"/>
    <w:qFormat/>
    <w:uiPriority w:val="99"/>
    <w:pPr>
      <w:spacing w:beforeLines="30"/>
    </w:pPr>
    <w:rPr>
      <w:rFonts w:ascii="仿宋_GB2312" w:eastAsia="仿宋_GB2312"/>
      <w:kern w:val="0"/>
      <w:sz w:val="30"/>
    </w:rPr>
  </w:style>
  <w:style w:type="paragraph" w:styleId="7">
    <w:name w:val="Body Text Indent"/>
    <w:basedOn w:val="1"/>
    <w:qFormat/>
    <w:uiPriority w:val="0"/>
    <w:pPr>
      <w:spacing w:after="120"/>
      <w:ind w:leftChars="200"/>
    </w:pPr>
    <w:rPr>
      <w:rFonts w:ascii="仿宋_GB2312"/>
      <w:szCs w:val="32"/>
    </w:r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33"/>
    <w:semiHidden/>
    <w:unhideWhenUsed/>
    <w:qFormat/>
    <w:uiPriority w:val="99"/>
    <w:rPr>
      <w:sz w:val="18"/>
      <w:szCs w:val="18"/>
    </w:rPr>
  </w:style>
  <w:style w:type="paragraph" w:styleId="10">
    <w:name w:val="footer"/>
    <w:basedOn w:val="1"/>
    <w:link w:val="25"/>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23"/>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footnote text"/>
    <w:basedOn w:val="1"/>
    <w:next w:val="14"/>
    <w:semiHidden/>
    <w:qFormat/>
    <w:uiPriority w:val="0"/>
    <w:pPr>
      <w:snapToGrid w:val="0"/>
      <w:jc w:val="left"/>
    </w:pPr>
    <w:rPr>
      <w:sz w:val="18"/>
      <w:szCs w:val="18"/>
    </w:rPr>
  </w:style>
  <w:style w:type="paragraph" w:styleId="14">
    <w:name w:val="Body Text First Indent 2"/>
    <w:basedOn w:val="7"/>
    <w:unhideWhenUsed/>
    <w:qFormat/>
    <w:uiPriority w:val="99"/>
    <w:pPr>
      <w:ind w:firstLine="420" w:firstLineChars="200"/>
    </w:pPr>
  </w:style>
  <w:style w:type="paragraph" w:styleId="15">
    <w:name w:val="toc 2"/>
    <w:basedOn w:val="1"/>
    <w:next w:val="1"/>
    <w:unhideWhenUsed/>
    <w:qFormat/>
    <w:uiPriority w:val="39"/>
    <w:pPr>
      <w:tabs>
        <w:tab w:val="right" w:leader="dot" w:pos="8296"/>
      </w:tabs>
      <w:ind w:left="420" w:leftChars="200"/>
    </w:pPr>
  </w:style>
  <w:style w:type="paragraph" w:styleId="16">
    <w:name w:val="Normal (Web)"/>
    <w:basedOn w:val="1"/>
    <w:qFormat/>
    <w:uiPriority w:val="0"/>
    <w:pPr>
      <w:spacing w:before="100" w:beforeAutospacing="1" w:after="100" w:afterAutospacing="1"/>
      <w:jc w:val="left"/>
    </w:pPr>
    <w:rPr>
      <w:kern w:val="0"/>
      <w:sz w:val="24"/>
    </w:rPr>
  </w:style>
  <w:style w:type="character" w:styleId="19">
    <w:name w:val="Strong"/>
    <w:basedOn w:val="18"/>
    <w:qFormat/>
    <w:uiPriority w:val="99"/>
    <w:rPr>
      <w:b/>
    </w:rPr>
  </w:style>
  <w:style w:type="character" w:styleId="20">
    <w:name w:val="Hyperlink"/>
    <w:basedOn w:val="18"/>
    <w:unhideWhenUsed/>
    <w:qFormat/>
    <w:uiPriority w:val="99"/>
    <w:rPr>
      <w:color w:val="0000FF" w:themeColor="hyperlink"/>
      <w:u w:val="single"/>
      <w14:textFill>
        <w14:solidFill>
          <w14:schemeClr w14:val="hlink"/>
        </w14:solidFill>
      </w14:textFill>
    </w:rPr>
  </w:style>
  <w:style w:type="paragraph" w:customStyle="1" w:styleId="21">
    <w:name w:val="标题 5（有编号）（绿盟科技）"/>
    <w:next w:val="1"/>
    <w:qFormat/>
    <w:uiPriority w:val="99"/>
    <w:pPr>
      <w:keepNext/>
      <w:keepLines/>
      <w:widowControl w:val="0"/>
      <w:spacing w:before="280" w:after="156" w:line="377" w:lineRule="auto"/>
      <w:jc w:val="left"/>
      <w:outlineLvl w:val="4"/>
    </w:pPr>
    <w:rPr>
      <w:rFonts w:ascii="Arial" w:hAnsi="Arial" w:eastAsia="黑体" w:cs="Times New Roman"/>
      <w:b/>
      <w:kern w:val="2"/>
      <w:sz w:val="24"/>
      <w:szCs w:val="28"/>
      <w:lang w:val="en-US" w:eastAsia="zh-CN" w:bidi="ar-SA"/>
    </w:rPr>
  </w:style>
  <w:style w:type="character" w:customStyle="1" w:styleId="22">
    <w:name w:val="Header Char"/>
    <w:basedOn w:val="18"/>
    <w:semiHidden/>
    <w:qFormat/>
    <w:uiPriority w:val="99"/>
    <w:rPr>
      <w:rFonts w:ascii="Times New Roman" w:hAnsi="Times New Roman"/>
      <w:sz w:val="18"/>
      <w:szCs w:val="18"/>
    </w:rPr>
  </w:style>
  <w:style w:type="character" w:customStyle="1" w:styleId="23">
    <w:name w:val="页眉 Char"/>
    <w:link w:val="11"/>
    <w:semiHidden/>
    <w:qFormat/>
    <w:locked/>
    <w:uiPriority w:val="99"/>
    <w:rPr>
      <w:sz w:val="18"/>
    </w:rPr>
  </w:style>
  <w:style w:type="character" w:customStyle="1" w:styleId="24">
    <w:name w:val="Footer Char"/>
    <w:basedOn w:val="18"/>
    <w:semiHidden/>
    <w:qFormat/>
    <w:uiPriority w:val="99"/>
    <w:rPr>
      <w:rFonts w:ascii="Times New Roman" w:hAnsi="Times New Roman"/>
      <w:sz w:val="18"/>
      <w:szCs w:val="18"/>
    </w:rPr>
  </w:style>
  <w:style w:type="character" w:customStyle="1" w:styleId="25">
    <w:name w:val="页脚 Char"/>
    <w:link w:val="10"/>
    <w:qFormat/>
    <w:locked/>
    <w:uiPriority w:val="99"/>
    <w:rPr>
      <w:sz w:val="18"/>
    </w:rPr>
  </w:style>
  <w:style w:type="character" w:customStyle="1" w:styleId="26">
    <w:name w:val="Body Text Char"/>
    <w:basedOn w:val="18"/>
    <w:semiHidden/>
    <w:qFormat/>
    <w:uiPriority w:val="99"/>
    <w:rPr>
      <w:rFonts w:ascii="Times New Roman" w:hAnsi="Times New Roman"/>
      <w:szCs w:val="24"/>
    </w:rPr>
  </w:style>
  <w:style w:type="character" w:customStyle="1" w:styleId="27">
    <w:name w:val="正文文本 Char"/>
    <w:link w:val="6"/>
    <w:qFormat/>
    <w:locked/>
    <w:uiPriority w:val="99"/>
    <w:rPr>
      <w:rFonts w:ascii="仿宋_GB2312" w:hAnsi="Times New Roman" w:eastAsia="仿宋_GB2312"/>
      <w:sz w:val="24"/>
    </w:rPr>
  </w:style>
  <w:style w:type="paragraph" w:customStyle="1" w:styleId="28">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9">
    <w:name w:val="List Paragraph"/>
    <w:basedOn w:val="1"/>
    <w:qFormat/>
    <w:uiPriority w:val="34"/>
    <w:pPr>
      <w:ind w:firstLine="420" w:firstLineChars="200"/>
    </w:pPr>
  </w:style>
  <w:style w:type="character" w:customStyle="1" w:styleId="30">
    <w:name w:val="标题 1 Char"/>
    <w:basedOn w:val="18"/>
    <w:link w:val="3"/>
    <w:qFormat/>
    <w:uiPriority w:val="9"/>
    <w:rPr>
      <w:rFonts w:ascii="Times New Roman" w:hAnsi="Times New Roman"/>
      <w:b/>
      <w:bCs/>
      <w:kern w:val="44"/>
      <w:sz w:val="44"/>
      <w:szCs w:val="44"/>
    </w:rPr>
  </w:style>
  <w:style w:type="character" w:customStyle="1" w:styleId="31">
    <w:name w:val="标题 2 Char"/>
    <w:basedOn w:val="18"/>
    <w:link w:val="4"/>
    <w:qFormat/>
    <w:uiPriority w:val="9"/>
    <w:rPr>
      <w:rFonts w:asciiTheme="majorHAnsi" w:hAnsiTheme="majorHAnsi" w:eastAsiaTheme="majorEastAsia" w:cstheme="majorBidi"/>
      <w:b/>
      <w:bCs/>
      <w:kern w:val="2"/>
      <w:sz w:val="32"/>
      <w:szCs w:val="32"/>
    </w:rPr>
  </w:style>
  <w:style w:type="paragraph" w:customStyle="1" w:styleId="32">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3">
    <w:name w:val="批注框文本 Char"/>
    <w:basedOn w:val="18"/>
    <w:link w:val="9"/>
    <w:semiHidden/>
    <w:qFormat/>
    <w:uiPriority w:val="99"/>
    <w:rPr>
      <w:rFonts w:ascii="Times New Roman" w:hAnsi="Times New Roman"/>
      <w:kern w:val="2"/>
      <w:sz w:val="18"/>
      <w:szCs w:val="18"/>
    </w:rPr>
  </w:style>
  <w:style w:type="character" w:customStyle="1" w:styleId="34">
    <w:name w:val="标题 3 Char"/>
    <w:basedOn w:val="18"/>
    <w:link w:val="5"/>
    <w:qFormat/>
    <w:uiPriority w:val="9"/>
    <w:rPr>
      <w:rFonts w:ascii="Times New Roman" w:hAnsi="Times New Roman"/>
      <w:b/>
      <w:bCs/>
      <w:kern w:val="2"/>
      <w:sz w:val="32"/>
      <w:szCs w:val="32"/>
    </w:rPr>
  </w:style>
  <w:style w:type="paragraph" w:customStyle="1" w:styleId="35">
    <w:name w:val="TOC Heading"/>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6">
    <w:name w:val="四号正文"/>
    <w:basedOn w:val="1"/>
    <w:qFormat/>
    <w:uiPriority w:val="0"/>
    <w:pPr>
      <w:spacing w:line="360" w:lineRule="auto"/>
    </w:pPr>
    <w:rPr>
      <w:rFonts w:ascii="??" w:hAnsi="??" w:eastAsia="宋体"/>
      <w:color w:val="000000"/>
      <w:kern w:val="0"/>
      <w:sz w:val="28"/>
      <w:szCs w:val="21"/>
      <w:lang w:val="zh-CN" w:eastAsia="zh-CN"/>
    </w:rPr>
  </w:style>
  <w:style w:type="paragraph" w:customStyle="1" w:styleId="37">
    <w:name w:val="正文2"/>
    <w:basedOn w:val="1"/>
    <w:next w:val="1"/>
    <w:qFormat/>
    <w:uiPriority w:val="0"/>
    <w:rPr>
      <w:rFonts w:ascii="仿宋_GB2312" w:eastAsia="仿宋_GB2312"/>
      <w:sz w:val="32"/>
      <w:szCs w:val="20"/>
    </w:rPr>
  </w:style>
  <w:style w:type="character" w:customStyle="1" w:styleId="38">
    <w:name w:val="NormalCharacter"/>
    <w:qFormat/>
    <w:uiPriority w:val="0"/>
  </w:style>
  <w:style w:type="paragraph" w:customStyle="1" w:styleId="39">
    <w:name w:val="普通(网站)1"/>
    <w:basedOn w:val="1"/>
    <w:qFormat/>
    <w:uiPriority w:val="0"/>
    <w:pPr>
      <w:widowControl/>
      <w:spacing w:beforeAutospacing="1" w:afterAutospacing="1"/>
      <w:jc w:val="left"/>
    </w:pPr>
    <w:rPr>
      <w:rFonts w:ascii="宋体" w:hAnsi="宋体" w:eastAsia="宋体" w:cs="宋体"/>
      <w:kern w:val="0"/>
      <w:sz w:val="24"/>
      <w:lang w:bidi="bo-CN"/>
    </w:rPr>
  </w:style>
</w:styles>
</file>

<file path=word/_rels/document.xml.rels><?xml version="1.0" encoding="UTF-8" standalone="yes"?>
<Relationships xmlns="http://schemas.openxmlformats.org/package/2006/relationships"><Relationship Id="rId9" Type="http://schemas.openxmlformats.org/officeDocument/2006/relationships/chart" Target="charts/chart3.xml"/><Relationship Id="rId8" Type="http://schemas.openxmlformats.org/officeDocument/2006/relationships/chart" Target="charts/chart2.xml"/><Relationship Id="rId7" Type="http://schemas.openxmlformats.org/officeDocument/2006/relationships/chart" Target="charts/chart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chart" Target="charts/chart7.xml"/><Relationship Id="rId12" Type="http://schemas.openxmlformats.org/officeDocument/2006/relationships/chart" Target="charts/chart6.xml"/><Relationship Id="rId11" Type="http://schemas.openxmlformats.org/officeDocument/2006/relationships/chart" Target="charts/chart5.xml"/><Relationship Id="rId10" Type="http://schemas.openxmlformats.org/officeDocument/2006/relationships/chart" Target="charts/chart4.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2.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4" Type="http://schemas.microsoft.com/office/2011/relationships/chartColorStyle" Target="colors7.xml"/><Relationship Id="rId3" Type="http://schemas.microsoft.com/office/2011/relationships/chartStyle" Target="style7.xml"/><Relationship Id="rId2" Type="http://schemas.openxmlformats.org/officeDocument/2006/relationships/themeOverride" Target="../theme/themeOverride1.xml"/><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收入、支出决算总计变动情况图（万元）</a:t>
            </a: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2023年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收入</c:v>
                </c:pt>
                <c:pt idx="1">
                  <c:v>支出</c:v>
                </c:pt>
              </c:strCache>
            </c:strRef>
          </c:cat>
          <c:val>
            <c:numRef>
              <c:f>Sheet1!$B$2:$B$3</c:f>
              <c:numCache>
                <c:formatCode>General</c:formatCode>
                <c:ptCount val="2"/>
                <c:pt idx="0">
                  <c:v>2131.72</c:v>
                </c:pt>
                <c:pt idx="1">
                  <c:v>2131.73</c:v>
                </c:pt>
              </c:numCache>
            </c:numRef>
          </c:val>
        </c:ser>
        <c:ser>
          <c:idx val="1"/>
          <c:order val="1"/>
          <c:tx>
            <c:strRef>
              <c:f>Sheet1!$C$1</c:f>
              <c:strCache>
                <c:ptCount val="1"/>
                <c:pt idx="0">
                  <c:v>2024年</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收入</c:v>
                </c:pt>
                <c:pt idx="1">
                  <c:v>支出</c:v>
                </c:pt>
              </c:strCache>
            </c:strRef>
          </c:cat>
          <c:val>
            <c:numRef>
              <c:f>Sheet1!$C$2:$C$3</c:f>
              <c:numCache>
                <c:formatCode>General</c:formatCode>
                <c:ptCount val="2"/>
                <c:pt idx="0">
                  <c:v>2090.65</c:v>
                </c:pt>
                <c:pt idx="1">
                  <c:v>2090.65</c:v>
                </c:pt>
              </c:numCache>
            </c:numRef>
          </c:val>
        </c:ser>
        <c:dLbls>
          <c:showLegendKey val="0"/>
          <c:showVal val="1"/>
          <c:showCatName val="0"/>
          <c:showSerName val="0"/>
          <c:showPercent val="0"/>
          <c:showBubbleSize val="0"/>
        </c:dLbls>
        <c:gapWidth val="246"/>
        <c:overlap val="-28"/>
        <c:axId val="633820866"/>
        <c:axId val="121055008"/>
      </c:barChart>
      <c:catAx>
        <c:axId val="63382086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21055008"/>
        <c:crosses val="autoZero"/>
        <c:auto val="1"/>
        <c:lblAlgn val="ctr"/>
        <c:lblOffset val="100"/>
        <c:noMultiLvlLbl val="0"/>
      </c:catAx>
      <c:valAx>
        <c:axId val="121055008"/>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33820866"/>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收入决算结构图（万元）</a:t>
            </a:r>
          </a:p>
        </c:rich>
      </c:tx>
      <c:layout>
        <c:manualLayout>
          <c:xMode val="edge"/>
          <c:yMode val="edge"/>
          <c:x val="0.440323749697995"/>
          <c:y val="0.022311942201445"/>
        </c:manualLayout>
      </c:layout>
      <c:overlay val="0"/>
      <c:spPr>
        <a:noFill/>
        <a:ln>
          <a:noFill/>
        </a:ln>
        <a:effectLst/>
      </c:spPr>
    </c:title>
    <c:autoTitleDeleted val="0"/>
    <c:plotArea>
      <c:layout/>
      <c:pieChart>
        <c:varyColors val="1"/>
        <c:ser>
          <c:idx val="0"/>
          <c:order val="0"/>
          <c:tx>
            <c:strRef>
              <c:f>Sheet1!$B$1</c:f>
              <c:strCache>
                <c:ptCount val="1"/>
                <c:pt idx="0">
                  <c:v>收入决算结构图</c:v>
                </c:pt>
              </c:strCache>
            </c:strRef>
          </c:tx>
          <c:spPr/>
          <c:explosion val="0"/>
          <c:dPt>
            <c:idx val="0"/>
            <c:bubble3D val="0"/>
            <c:spPr>
              <a:gradFill>
                <a:gsLst>
                  <a:gs pos="0">
                    <a:schemeClr val="accent1">
                      <a:lumMod val="40000"/>
                      <a:lumOff val="60000"/>
                    </a:schemeClr>
                  </a:gs>
                  <a:gs pos="90000">
                    <a:schemeClr val="accent1"/>
                  </a:gs>
                </a:gsLst>
                <a:lin ang="5400000" scaled="0"/>
              </a:gradFill>
              <a:ln>
                <a:gradFill>
                  <a:gsLst>
                    <a:gs pos="0">
                      <a:schemeClr val="accent1"/>
                    </a:gs>
                    <a:gs pos="100000">
                      <a:schemeClr val="accent1">
                        <a:lumMod val="75000"/>
                      </a:schemeClr>
                    </a:gs>
                  </a:gsLst>
                  <a:lin ang="5400000" scaled="1"/>
                </a:gradFill>
              </a:ln>
              <a:effectLst/>
            </c:spPr>
          </c:dPt>
          <c:dLbls>
            <c:dLbl>
              <c:idx val="0"/>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t>一般公共预算财政拨款收入</a:t>
                    </a:r>
                    <a:r>
                      <a:rPr lang="en-US" altLang="zh-CN"/>
                      <a:t>2090.65</a:t>
                    </a:r>
                    <a:r>
                      <a:t>100%</a:t>
                    </a:r>
                  </a:p>
                </c:rich>
              </c:tx>
              <c:dLblPos val="inEnd"/>
              <c:showLegendKey val="0"/>
              <c:showVal val="0"/>
              <c:showCatName val="1"/>
              <c:showSerName val="0"/>
              <c:showPercent val="1"/>
              <c:showBubbleSize val="0"/>
              <c:separator>
</c:separator>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inEnd"/>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一般公共预算财政拨款收入</c:v>
                </c:pt>
              </c:strCache>
            </c:strRef>
          </c:cat>
          <c:val>
            <c:numRef>
              <c:f>Sheet1!$B$2</c:f>
              <c:numCache>
                <c:formatCode>General</c:formatCode>
                <c:ptCount val="1"/>
                <c:pt idx="0">
                  <c:v>2090.65</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pieChart>
        <c:varyColors val="1"/>
        <c:ser>
          <c:idx val="0"/>
          <c:order val="0"/>
          <c:tx>
            <c:strRef>
              <c:f>Sheet1!$B$1</c:f>
              <c:strCache>
                <c:ptCount val="1"/>
                <c:pt idx="0">
                  <c:v>支出决算结构图（万元）</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Lbls>
            <c:dLbl>
              <c:idx val="0"/>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t>基本支出</a:t>
                    </a:r>
                    <a:r>
                      <a:rPr lang="en-US" altLang="zh-CN"/>
                      <a:t>1202.04</a:t>
                    </a:r>
                    <a:r>
                      <a:t>57%</a:t>
                    </a:r>
                  </a:p>
                </c:rich>
              </c:tx>
              <c:dLblPos val="inEnd"/>
              <c:showLegendKey val="0"/>
              <c:showVal val="0"/>
              <c:showCatName val="1"/>
              <c:showSerName val="0"/>
              <c:showPercent val="1"/>
              <c:showBubbleSize val="0"/>
              <c:separator>
</c:separator>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t>项目支出</a:t>
                    </a:r>
                    <a:r>
                      <a:rPr lang="en-US" altLang="zh-CN"/>
                      <a:t>888.61</a:t>
                    </a:r>
                    <a:r>
                      <a:t>43%</a:t>
                    </a:r>
                  </a:p>
                </c:rich>
              </c:tx>
              <c:dLblPos val="inEnd"/>
              <c:showLegendKey val="0"/>
              <c:showVal val="0"/>
              <c:showCatName val="1"/>
              <c:showSerName val="0"/>
              <c:showPercent val="1"/>
              <c:showBubbleSize val="0"/>
              <c:separator>
</c:separator>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inEnd"/>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基本支出</c:v>
                </c:pt>
                <c:pt idx="1">
                  <c:v>项目支出</c:v>
                </c:pt>
              </c:strCache>
            </c:strRef>
          </c:cat>
          <c:val>
            <c:numRef>
              <c:f>Sheet1!$B$2:$B$3</c:f>
              <c:numCache>
                <c:formatCode>General</c:formatCode>
                <c:ptCount val="2"/>
                <c:pt idx="0">
                  <c:v>1202.04</c:v>
                </c:pt>
                <c:pt idx="1">
                  <c:v>888.61</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一般公共预算财政拨款支出决算变工情况（万元）</a:t>
            </a:r>
          </a:p>
        </c:rich>
      </c:tx>
      <c:layout>
        <c:manualLayout>
          <c:xMode val="edge"/>
          <c:yMode val="edge"/>
          <c:x val="0.116694853829427"/>
          <c:y val="0.00637484062898428"/>
        </c:manualLayout>
      </c:layout>
      <c:overlay val="0"/>
      <c:spPr>
        <a:noFill/>
        <a:ln>
          <a:noFill/>
        </a:ln>
        <a:effectLst/>
      </c:spPr>
    </c:title>
    <c:autoTitleDeleted val="0"/>
    <c:plotArea>
      <c:layout>
        <c:manualLayout>
          <c:layoutTarget val="inner"/>
          <c:xMode val="edge"/>
          <c:yMode val="edge"/>
          <c:x val="0.0800434887654023"/>
          <c:y val="0.155546111347216"/>
          <c:w val="0.891568011597004"/>
          <c:h val="0.639481512962176"/>
        </c:manualLayout>
      </c:layout>
      <c:barChart>
        <c:barDir val="col"/>
        <c:grouping val="clustered"/>
        <c:varyColors val="0"/>
        <c:ser>
          <c:idx val="0"/>
          <c:order val="0"/>
          <c:tx>
            <c:strRef>
              <c:f>Sheet1!$B$1</c:f>
              <c:strCache>
                <c:ptCount val="1"/>
                <c:pt idx="0">
                  <c:v>2023年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一般公共预算财政拨款支出</c:v>
                </c:pt>
              </c:strCache>
            </c:strRef>
          </c:cat>
          <c:val>
            <c:numRef>
              <c:f>Sheet1!$B$2</c:f>
              <c:numCache>
                <c:formatCode>General</c:formatCode>
                <c:ptCount val="1"/>
                <c:pt idx="0">
                  <c:v>2131.73</c:v>
                </c:pt>
              </c:numCache>
            </c:numRef>
          </c:val>
        </c:ser>
        <c:ser>
          <c:idx val="1"/>
          <c:order val="1"/>
          <c:tx>
            <c:strRef>
              <c:f>Sheet1!$C$1</c:f>
              <c:strCache>
                <c:ptCount val="1"/>
                <c:pt idx="0">
                  <c:v>2024年</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一般公共预算财政拨款支出</c:v>
                </c:pt>
              </c:strCache>
            </c:strRef>
          </c:cat>
          <c:val>
            <c:numRef>
              <c:f>Sheet1!$C$2</c:f>
              <c:numCache>
                <c:formatCode>General</c:formatCode>
                <c:ptCount val="1"/>
                <c:pt idx="0">
                  <c:v>2090.65</c:v>
                </c:pt>
              </c:numCache>
            </c:numRef>
          </c:val>
        </c:ser>
        <c:dLbls>
          <c:showLegendKey val="0"/>
          <c:showVal val="1"/>
          <c:showCatName val="0"/>
          <c:showSerName val="0"/>
          <c:showPercent val="0"/>
          <c:showBubbleSize val="0"/>
        </c:dLbls>
        <c:gapWidth val="246"/>
        <c:overlap val="-28"/>
        <c:axId val="364124261"/>
        <c:axId val="567973662"/>
      </c:barChart>
      <c:catAx>
        <c:axId val="364124261"/>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67973662"/>
        <c:crosses val="autoZero"/>
        <c:auto val="1"/>
        <c:lblAlgn val="ctr"/>
        <c:lblOffset val="100"/>
        <c:noMultiLvlLbl val="0"/>
      </c:catAx>
      <c:valAx>
        <c:axId val="567973662"/>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64124261"/>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一般公共预算财政拨款支出决算变动情况</a:t>
            </a: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2023年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一般公共预算财政拨款指出</c:v>
                </c:pt>
              </c:strCache>
            </c:strRef>
          </c:cat>
          <c:val>
            <c:numRef>
              <c:f>Sheet1!$B$2</c:f>
              <c:numCache>
                <c:formatCode>General</c:formatCode>
                <c:ptCount val="1"/>
                <c:pt idx="0">
                  <c:v>2131.73</c:v>
                </c:pt>
              </c:numCache>
            </c:numRef>
          </c:val>
        </c:ser>
        <c:ser>
          <c:idx val="1"/>
          <c:order val="1"/>
          <c:tx>
            <c:strRef>
              <c:f>Sheet1!$C$1</c:f>
              <c:strCache>
                <c:ptCount val="1"/>
                <c:pt idx="0">
                  <c:v>2024年</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一般公共预算财政拨款指出</c:v>
                </c:pt>
              </c:strCache>
            </c:strRef>
          </c:cat>
          <c:val>
            <c:numRef>
              <c:f>Sheet1!$C$2</c:f>
              <c:numCache>
                <c:formatCode>General</c:formatCode>
                <c:ptCount val="1"/>
                <c:pt idx="0">
                  <c:v>2090.65</c:v>
                </c:pt>
              </c:numCache>
            </c:numRef>
          </c:val>
        </c:ser>
        <c:dLbls>
          <c:showLegendKey val="0"/>
          <c:showVal val="1"/>
          <c:showCatName val="0"/>
          <c:showSerName val="0"/>
          <c:showPercent val="0"/>
          <c:showBubbleSize val="0"/>
        </c:dLbls>
        <c:gapWidth val="219"/>
        <c:overlap val="-27"/>
        <c:axId val="95984645"/>
        <c:axId val="840564939"/>
      </c:barChart>
      <c:catAx>
        <c:axId val="95984645"/>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40564939"/>
        <c:crosses val="autoZero"/>
        <c:auto val="1"/>
        <c:lblAlgn val="ctr"/>
        <c:lblOffset val="100"/>
        <c:noMultiLvlLbl val="0"/>
      </c:catAx>
      <c:valAx>
        <c:axId val="84056493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5984645"/>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pieChart>
        <c:varyColors val="1"/>
        <c:ser>
          <c:idx val="0"/>
          <c:order val="0"/>
          <c:tx>
            <c:strRef>
              <c:f>Sheet1!$B$1</c:f>
              <c:strCache>
                <c:ptCount val="1"/>
                <c:pt idx="0">
                  <c:v>一般公共预算财政拨款支出决算结构（万元）</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Pt>
            <c:idx val="4"/>
            <c:bubble3D val="0"/>
            <c:spPr>
              <a:solidFill>
                <a:schemeClr val="accent5"/>
              </a:solidFill>
              <a:ln>
                <a:solidFill>
                  <a:schemeClr val="bg1"/>
                </a:solidFill>
              </a:ln>
              <a:effectLst/>
            </c:spPr>
          </c:dPt>
          <c:dPt>
            <c:idx val="5"/>
            <c:bubble3D val="0"/>
            <c:spPr>
              <a:solidFill>
                <a:schemeClr val="accent6"/>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inEnd"/>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一般公共服务支出</c:v>
                </c:pt>
                <c:pt idx="1">
                  <c:v>社会保障和就业支出</c:v>
                </c:pt>
                <c:pt idx="2">
                  <c:v>卫生健康支出</c:v>
                </c:pt>
                <c:pt idx="3">
                  <c:v>农林水支出</c:v>
                </c:pt>
                <c:pt idx="4">
                  <c:v>住房保障支出</c:v>
                </c:pt>
                <c:pt idx="5">
                  <c:v>灾害防治及应急管理支出</c:v>
                </c:pt>
              </c:strCache>
            </c:strRef>
          </c:cat>
          <c:val>
            <c:numRef>
              <c:f>Sheet1!$B$2:$B$7</c:f>
              <c:numCache>
                <c:formatCode>General</c:formatCode>
                <c:ptCount val="6"/>
                <c:pt idx="0">
                  <c:v>643.64</c:v>
                </c:pt>
                <c:pt idx="1">
                  <c:v>162.25</c:v>
                </c:pt>
                <c:pt idx="2">
                  <c:v>66.05</c:v>
                </c:pt>
                <c:pt idx="3">
                  <c:v>1112.23</c:v>
                </c:pt>
                <c:pt idx="4">
                  <c:v>91.47</c:v>
                </c:pt>
                <c:pt idx="5">
                  <c:v>15</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forceAA="0"/>
          <a:lstStyle/>
          <a:p>
            <a:pPr defTabSz="914400">
              <a:defRPr lang="zh-CN" sz="1400" b="0" i="0" u="none" strike="noStrike" kern="120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r>
              <a:rPr lang="en-US" altLang="zh-CN"/>
              <a:t>“</a:t>
            </a:r>
            <a:r>
              <a:rPr altLang="en-US"/>
              <a:t>三公</a:t>
            </a:r>
            <a:r>
              <a:rPr lang="en-US" altLang="zh-CN"/>
              <a:t>”</a:t>
            </a:r>
            <a:r>
              <a:rPr altLang="zh-CN"/>
              <a:t>经费财政拨款支出结构（万元）</a:t>
            </a:r>
            <a:endParaRPr altLang="zh-CN"/>
          </a:p>
        </c:rich>
      </c:tx>
      <c:layout/>
      <c:overlay val="0"/>
      <c:spPr>
        <a:noFill/>
        <a:ln>
          <a:noFill/>
        </a:ln>
        <a:effectLst/>
      </c:spPr>
    </c:title>
    <c:autoTitleDeleted val="0"/>
    <c:plotArea>
      <c:layout/>
      <c:pieChart>
        <c:varyColors val="1"/>
        <c:ser>
          <c:idx val="1"/>
          <c:order val="0"/>
          <c:tx>
            <c:strRef>
              <c:f>Sheet1!$B$1</c:f>
              <c:strCache>
                <c:ptCount val="1"/>
                <c:pt idx="0">
                  <c:v>“三公”经费财政拨款支出结构</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Lbls>
            <c:numFmt formatCode="General" sourceLinked="1"/>
            <c:spPr>
              <a:noFill/>
              <a:ln>
                <a:noFill/>
              </a:ln>
              <a:effectLst/>
            </c:spPr>
            <c:txPr>
              <a:bodyPr rot="0" spcFirstLastPara="0" vertOverflow="ellipsis" vert="horz" wrap="square" lIns="38100" tIns="19050" rIns="38100" bIns="19050" anchor="ctr" anchorCtr="1" forceAA="0"/>
              <a:lstStyle/>
              <a:p>
                <a:pPr>
                  <a:defRPr lang="zh-CN" sz="1000" b="0" i="0" u="none" strike="noStrike" kern="120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inEnd"/>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因公出国（境）费支出</c:v>
                </c:pt>
                <c:pt idx="1">
                  <c:v>公务用车购置及运行维护费支出</c:v>
                </c:pt>
                <c:pt idx="2">
                  <c:v>公务接待费支出</c:v>
                </c:pt>
              </c:strCache>
            </c:strRef>
          </c:cat>
          <c:val>
            <c:numRef>
              <c:f>Sheet1!$B$2:$B$4</c:f>
              <c:numCache>
                <c:formatCode>General</c:formatCode>
                <c:ptCount val="3"/>
                <c:pt idx="0">
                  <c:v>0</c:v>
                </c:pt>
                <c:pt idx="1">
                  <c:v>4</c:v>
                </c:pt>
                <c:pt idx="2">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forceAA="0"/>
        <a:lstStyle/>
        <a:p>
          <a:pPr>
            <a:defRPr lang="zh-CN" sz="900" b="0" i="0" u="none" strike="noStrike" kern="120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legend>
    <c:plotVisOnly val="1"/>
    <c:dispBlanksAs val="gap"/>
    <c:showDLblsOverMax val="0"/>
  </c:chart>
  <c:spPr>
    <a:solidFill>
      <a:schemeClr val="bg1"/>
    </a:solidFill>
    <a:ln w="9525" cap="flat" cmpd="sng" algn="ctr">
      <a:solidFill>
        <a:schemeClr val="tx1">
          <a:lumMod val="50000"/>
          <a:lumOff val="50000"/>
          <a:alpha val="25000"/>
        </a:schemeClr>
      </a:solidFill>
      <a:round/>
    </a:ln>
    <a:effectLst/>
  </c:spPr>
  <c:txPr>
    <a:bodyPr/>
    <a:lstStyle/>
    <a:p>
      <a:pPr>
        <a:defRPr lang="zh-CN">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lumMod val="40000"/>
              <a:lumOff val="60000"/>
            </a:schemeClr>
          </a:gs>
          <a:gs pos="90000">
            <a:schemeClr val="phClr"/>
          </a:gs>
        </a:gsLst>
        <a:lin ang="5400000" scaled="0"/>
      </a:gradFill>
      <a:ln>
        <a:gradFill>
          <a:gsLst>
            <a:gs pos="0">
              <a:schemeClr val="phClr"/>
            </a:gs>
            <a:gs pos="100000">
              <a:schemeClr val="phClr">
                <a:lumMod val="75000"/>
              </a:schemeClr>
            </a:gs>
          </a:gsLst>
          <a:lin ang="5400000" scaled="1"/>
        </a:gra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083">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10083">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word/theme/themeOverride1.xml><?xml version="1.0" encoding="utf-8"?>
<a:themeOverride xmlns:a="http://schemas.openxmlformats.org/drawingml/2006/main">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88</Pages>
  <Words>15112</Words>
  <Characters>16263</Characters>
  <Lines>61</Lines>
  <Paragraphs>17</Paragraphs>
  <TotalTime>216</TotalTime>
  <ScaleCrop>false</ScaleCrop>
  <LinksUpToDate>false</LinksUpToDate>
  <CharactersWithSpaces>16419</CharactersWithSpaces>
  <Application>WPS Office_11.1.0.10702_F1E327BC-269C-435d-A152-05C5408002CA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2020-08-11T01:49:00Z</dcterms:created>
  <dc:creator>曹颖</dc:creator>
  <cp:lastModifiedBy>user</cp:lastModifiedBy>
  <cp:lastPrinted>2025-08-08T09:34:00Z</cp:lastPrinted>
  <dcterms:modified xsi:type="dcterms:W3CDTF">2025-09-25T15:12:49Z</dcterms:modified>
  <dc:title>四川省***</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04787F2533EB45DC91BCDE4AB213247F</vt:lpwstr>
  </property>
  <property fmtid="{D5CDD505-2E9C-101B-9397-08002B2CF9AE}" pid="4" name="KSOTemplateDocerSaveRecord">
    <vt:lpwstr>eyJoZGlkIjoiODIxZWIxZGQ2YTk0MTg1MDRkMzU5OGU2OGZiZWZlYzciLCJ1c2VySWQiOiI2NzM1MTg2NzMifQ==</vt:lpwstr>
  </property>
</Properties>
</file>