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ind w:firstLine="0"/>
        <w:jc w:val="center"/>
        <w:rPr>
          <w:rFonts w:ascii="方正小标宋简体" w:hAnsi="方正小标宋简体" w:eastAsia="方正小标宋简体" w:cs="方正小标宋简体"/>
          <w:sz w:val="44"/>
          <w:szCs w:val="44"/>
          <w:lang w:eastAsia="zh-CN"/>
        </w:rPr>
      </w:pPr>
      <w:bookmarkStart w:id="0" w:name="_GoBack"/>
      <w:bookmarkEnd w:id="0"/>
      <w:r>
        <w:rPr>
          <w:rFonts w:hint="eastAsia" w:ascii="方正小标宋简体" w:hAnsi="方正小标宋简体" w:eastAsia="方正小标宋简体" w:cs="方正小标宋简体"/>
          <w:sz w:val="44"/>
          <w:szCs w:val="44"/>
          <w:lang w:eastAsia="zh-CN"/>
        </w:rPr>
        <w:t>茂县雅都镇人民政府</w:t>
      </w:r>
    </w:p>
    <w:p>
      <w:pPr>
        <w:spacing w:line="576" w:lineRule="exact"/>
        <w:ind w:firstLine="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2020年预算公开情况说明</w:t>
      </w:r>
    </w:p>
    <w:p>
      <w:pPr>
        <w:spacing w:line="576" w:lineRule="exact"/>
        <w:ind w:firstLine="0"/>
        <w:jc w:val="center"/>
        <w:rPr>
          <w:rFonts w:ascii="宋体" w:hAnsi="宋体"/>
          <w:sz w:val="32"/>
          <w:szCs w:val="32"/>
          <w:lang w:eastAsia="zh-CN"/>
        </w:rPr>
      </w:pPr>
    </w:p>
    <w:p>
      <w:pPr>
        <w:spacing w:line="576" w:lineRule="exact"/>
        <w:ind w:firstLine="0"/>
        <w:jc w:val="center"/>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目 录</w:t>
      </w:r>
    </w:p>
    <w:p>
      <w:pPr>
        <w:spacing w:line="576" w:lineRule="exact"/>
        <w:ind w:firstLine="0"/>
        <w:jc w:val="center"/>
        <w:rPr>
          <w:rFonts w:ascii="仿宋_GB2312" w:hAnsi="仿宋_GB2312" w:eastAsia="仿宋_GB2312" w:cs="仿宋_GB2312"/>
          <w:sz w:val="32"/>
          <w:szCs w:val="32"/>
          <w:lang w:eastAsia="zh-CN"/>
        </w:rPr>
      </w:pP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一、基本职能及主要工作</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（一）部门职能简介</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（二）2020年重点工作</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二、部门预算单位构成</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三、收支预算情况说明</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（一）收入预算情况</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（二）支出预算情况</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四、财政拨款收支预算情况说明</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五、一般公共预算当年拨款情况说明</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（一）一般公共预算当年拨款规模变化情况</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（二）一般公共预算当年拨款结构情况</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（三）一般公共预算当年拨款具体使用情况</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六、一般公共预算基本支出情况说明</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七、“三公”经费财政拨款预算安排情况说明</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八、政府性基金预算支出情况说明</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九、其他重要事项的情况说明</w:t>
      </w:r>
    </w:p>
    <w:p>
      <w:pPr>
        <w:spacing w:line="576" w:lineRule="exact"/>
        <w:ind w:firstLine="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十、名称解释</w:t>
      </w:r>
    </w:p>
    <w:p>
      <w:pPr>
        <w:spacing w:line="576" w:lineRule="exact"/>
        <w:ind w:firstLine="0"/>
        <w:rPr>
          <w:rFonts w:hint="eastAsia"/>
          <w:lang w:eastAsia="zh-CN"/>
        </w:rPr>
      </w:pPr>
      <w:r>
        <w:rPr>
          <w:lang w:eastAsia="zh-CN"/>
        </w:rPr>
        <w:t xml:space="preserve">  </w:t>
      </w:r>
    </w:p>
    <w:p>
      <w:pPr>
        <w:spacing w:line="576" w:lineRule="exact"/>
        <w:ind w:firstLine="0"/>
        <w:rPr>
          <w:rFonts w:hint="eastAsia"/>
          <w:lang w:eastAsia="zh-CN"/>
        </w:rPr>
      </w:pPr>
      <w:r>
        <w:rPr>
          <w:lang w:eastAsia="zh-CN"/>
        </w:rPr>
        <w:t>　　</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一、基本职能及主要工作</w:t>
      </w:r>
    </w:p>
    <w:p>
      <w:pPr>
        <w:spacing w:line="576" w:lineRule="exact"/>
        <w:ind w:firstLine="640" w:firstLineChars="200"/>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（一）部门职能简介</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负责草拟本镇农业产业结构调整规划，建立健全合作组织的组织制度、民主管理制度、利益分配制度等；负责调查了解农业产业结构状况及市场走向，及时提供农业结构调整参考信息；做好计划生育宣传教育工作，落实国家计划生育政策，努力提高人口素质；宣传贯彻国土管理、城建规划的法律法规，拟定全镇国土、城建管理规划措施；宣传教育、文化、科技、卫生等方面的政策、知识；严格按规定做好财务管理工作。</w:t>
      </w:r>
    </w:p>
    <w:p>
      <w:pPr>
        <w:spacing w:line="576" w:lineRule="exact"/>
        <w:ind w:firstLine="640" w:firstLineChars="200"/>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（二）2020年重点工作</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优化农业产业结构，促进群众增收致富；推进重大项目建设，增强经济发展后劲；加快社会事业发展，构建和谐稳定乡镇；加强城乡环境综合治理，创建文明生态镇；加强财务管理工作，推进财务公开；加强政府自身建设，打造为民高效政府。</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二、部门预算单位构成</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茂县雅都镇人民政府属一级预算单位，下属二级预算单位0个，其中：参照公务员法管理的事业单位0个，其他事业单位0个。参照公务员法管理的事业单位分别是：0；其他事业单位分别是：0。</w:t>
      </w:r>
    </w:p>
    <w:p>
      <w:pPr>
        <w:numPr>
          <w:ilvl w:val="0"/>
          <w:numId w:val="1"/>
        </w:num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收支总预算情况说明</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按照综合预算的原则，茂县雅都镇人民政府部门所有收入和支出均纳入部门预算管理。收入包括：一般公共预算拨款收入6058189元；支出包括:一般公共服务支出1639244 元，社会保障和就业支出632652元，医疗卫生与计划生育支出 241609元，农林水支出3078508元，住房保障支出 466176元。茂县雅都镇人民政府部门2020年收支总预算6058189元,比2018年收支预算总数增加325434元，主要原因:1.住房公积金变动；2.人员工资正常晋升及高海拔工资增加；3.社会保险比例增加。</w:t>
      </w:r>
    </w:p>
    <w:p>
      <w:pPr>
        <w:spacing w:line="576" w:lineRule="exact"/>
        <w:ind w:firstLine="640" w:firstLineChars="200"/>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（一）收入预算情况</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2020年收入预算 6058189元；一般公共预算拨款收入  4392189元，占72.50%。项目预算拨款收入1666000元。占27.50%</w:t>
      </w:r>
    </w:p>
    <w:p>
      <w:pPr>
        <w:spacing w:line="576" w:lineRule="exact"/>
        <w:ind w:firstLine="640" w:firstLineChars="200"/>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（二）支出预算情况</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2020年支出预算6058189元，其中：基本支出4392189元，占72.5%，项目支出1666000元，占27.50%。 </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四、财政拨款收支预算情况说明</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2020年财政拨款收支总预算6058189元,比2018年收支预算总数增加325434元，主要原因:1.住房公积金变动；2.人员工资正常晋升及高海拔工资增加；3.社会保险增加。</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收入包括：</w:t>
      </w:r>
      <w:r>
        <w:rPr>
          <w:rFonts w:hint="eastAsia" w:ascii="仿宋_GB2312" w:hAnsi="仿宋_GB2312" w:eastAsia="仿宋_GB2312" w:cs="仿宋_GB2312"/>
          <w:sz w:val="32"/>
          <w:szCs w:val="32"/>
          <w:lang w:eastAsia="zh-CN"/>
        </w:rPr>
        <w:t>本年一般公共预算拨款收入6058189元。</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支出包括：</w:t>
      </w:r>
      <w:r>
        <w:rPr>
          <w:rFonts w:hint="eastAsia" w:ascii="仿宋_GB2312" w:hAnsi="仿宋_GB2312" w:eastAsia="仿宋_GB2312" w:cs="仿宋_GB2312"/>
          <w:sz w:val="32"/>
          <w:szCs w:val="32"/>
          <w:lang w:eastAsia="zh-CN"/>
        </w:rPr>
        <w:t>一般公共服务支出1639244元，社会保障和就业支出632652元，医疗卫生与计划生育支出241609元，农林水支出3078508元，住房保障支出466176元。</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五、一般公共预算当年拨款情况说明</w:t>
      </w:r>
    </w:p>
    <w:p>
      <w:pPr>
        <w:spacing w:line="576" w:lineRule="exact"/>
        <w:ind w:firstLine="640" w:firstLineChars="200"/>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（一）一般公共预算当年拨款规模变化情况</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2020年一般公共预算当年拨款6058189元,比2018年预算总数增加325434元，主要原因:1.住房公积金变动；2.人员工资正常晋升及高海拔工资增加；3.社会保险增加。</w:t>
      </w:r>
    </w:p>
    <w:p>
      <w:pPr>
        <w:spacing w:line="576" w:lineRule="exact"/>
        <w:ind w:firstLine="640" w:firstLineChars="200"/>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（二）一般公共预算当年拨款结构情况</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一般公共服务支出1639244元，占27%；社会保障和就业支出632652元，占10%；医疗卫生与计划生育支出241609元，占4%；农林水支出3078508元，占51%，住房保障支出466176元，占8%。</w:t>
      </w:r>
    </w:p>
    <w:p>
      <w:pPr>
        <w:spacing w:line="576" w:lineRule="exact"/>
        <w:ind w:firstLine="640" w:firstLineChars="200"/>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（三）一般公共预算当年拨款具体使用情况</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1.一般公共服务（201）财政事务（03）行政运行（01）2020年预算数为1251953元，主要用于单位2020年行政人员的人员经费和日常公用经费等基本支出。</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2.一般公共服务（201）财政事务（06）一般行政管理事务（50）2020年预算数为86636元，主要用于财政事业人员的人员经费和日常公用经费等基本支出。 </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3.一般公共服务（201）财政事务（31）行政运行（01）2020年预算数为300655元，主要用于单位2020年行政人员的人员经费和日常公用经费等基本支出。</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4.一般公共服务（213）财政事务（01）一般行政管理事务（04）2020年预算数为1412508元，主要用于农林水事业人员的人员经费和日常公用经费等基本支出。</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5.社会保障和就业支出（208）行政事业单位离退休（05）机关事业单位基本养老保险缴费支出（05）2020年预算数为421768元，主要用于单位缴纳基本养老保险费。</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6.社会保障和就业支出（208）行政事业单位离退休（05）机关事业单位职业年金缴费支出（06）2020年预算数为210884元，主要用于单位缴纳职业年金。</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7.医疗卫生与计划生育支出（210）行政事业单位医疗（11）行政单位医疗（01）2020年预算数为241609元，主要用于行政单位缴纳基本医疗保险。</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8.一般公共服务（213）财政事务（07）行政运行（05）2020年预算数为1666000元，主要用于2020年对村民委员会和村党支部人员经费和日常公用经费等基本支出。</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9.住房保障（221）住房改革（02）住房公积金（01）2020年预算数为466176元，主要用于单位为职工缴纳住房公积金。</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六、一般公共预算基本支出情况说明</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雅都镇人民政府2020年一般公共预算基本支出4392189元，其中人员经费4096189元，主要包括：基本工资、津贴补贴、奖金、其他社会保障缴费、绩效工资、机关事业单位基本养老保险缴费、职业年金缴费、其他工资福利支出、离休费、奖励金、住房公积金、其他对个人和家庭的补助支出。公用经费296000元，主要包括：办公费、印刷费、手续费、水费、电费、邮电费、差旅费、维修（护）费、租赁费、会议费、培训费、劳务费、工会经费、福利费、其他交通工具运行维护费、其他商品和服务支出。</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七、“三公”经费财政拨款预算安排情况说明</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茂县雅都镇人民政府2020年“三公”经费财政拨款预算数45120元，其中：无因公出国（境）经费，公务接待费5120元，公务用车购置及运行维护费40000元。</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（一）</w:t>
      </w:r>
      <w:r>
        <w:rPr>
          <w:rFonts w:hint="eastAsia" w:ascii="仿宋_GB2312" w:hAnsi="仿宋_GB2312" w:eastAsia="仿宋_GB2312" w:cs="仿宋_GB2312"/>
          <w:sz w:val="32"/>
          <w:szCs w:val="32"/>
          <w:lang w:eastAsia="zh-CN"/>
        </w:rPr>
        <w:t>2020年公务接待费5120元。较2018年预算减少15.54%，主要原因是：厉行节约。</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（二）</w:t>
      </w:r>
      <w:r>
        <w:rPr>
          <w:rFonts w:hint="eastAsia" w:ascii="仿宋_GB2312" w:hAnsi="仿宋_GB2312" w:eastAsia="仿宋_GB2312" w:cs="仿宋_GB2312"/>
          <w:sz w:val="32"/>
          <w:szCs w:val="32"/>
          <w:lang w:eastAsia="zh-CN"/>
        </w:rPr>
        <w:t>2020年无因公出国（境）经费。</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（三）</w:t>
      </w:r>
      <w:r>
        <w:rPr>
          <w:rFonts w:hint="eastAsia" w:ascii="仿宋_GB2312" w:hAnsi="仿宋_GB2312" w:eastAsia="仿宋_GB2312" w:cs="仿宋_GB2312"/>
          <w:sz w:val="32"/>
          <w:szCs w:val="32"/>
          <w:lang w:eastAsia="zh-CN"/>
        </w:rPr>
        <w:t>2020年公务用车购置及运行维护费40000元。与2018年持平。</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八、政府性基金预算支出情况说明</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茂县雅都镇人民政府2020年无政府性基金预算拨款安排的支出。</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九、其他重要事项的情况说明</w:t>
      </w:r>
    </w:p>
    <w:p>
      <w:pPr>
        <w:spacing w:line="576" w:lineRule="exact"/>
        <w:ind w:firstLine="640" w:firstLineChars="200"/>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（一）机关运行经费</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茂县雅都镇人民政府2020年机关运行经费财政拨款预算为296000元，比2019年预算减少13185元，减少4%。主要原因是：厉行节约。</w:t>
      </w:r>
    </w:p>
    <w:p>
      <w:pPr>
        <w:spacing w:line="576" w:lineRule="exact"/>
        <w:ind w:firstLine="640" w:firstLineChars="200"/>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（二）政府采购情况</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2020年，茂县雅都镇人民政府未安排政府采购预算。</w:t>
      </w:r>
    </w:p>
    <w:p>
      <w:pPr>
        <w:spacing w:line="576" w:lineRule="exact"/>
        <w:ind w:firstLine="640" w:firstLineChars="200"/>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（三）国有资产占有使用情况</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茂县雅都镇人民政府截止2019年12月31日，固定资产总额4401216.27元，其中：房屋4609.82平方米，价值1917887.27元；公务用车2辆，价值223200元；其他固定资产2260129元。</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 xml:space="preserve">（四）绩效目标设置情况 </w:t>
      </w:r>
      <w:r>
        <w:rPr>
          <w:rFonts w:hint="eastAsia" w:ascii="仿宋_GB2312" w:hAnsi="仿宋_GB2312" w:eastAsia="仿宋_GB2312" w:cs="仿宋_GB2312"/>
          <w:sz w:val="32"/>
          <w:szCs w:val="32"/>
          <w:lang w:eastAsia="zh-CN"/>
        </w:rPr>
        <w:t xml:space="preserve"> </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2020年茂县雅都镇人民政府通用项目和专用项目均按要求实行绩效目标管理，涉及项目2个，一般公共预算当年拨款1666000元。</w:t>
      </w:r>
    </w:p>
    <w:p>
      <w:pPr>
        <w:spacing w:line="576"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十、名词解释</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（一）财政拨款收入：</w:t>
      </w:r>
      <w:r>
        <w:rPr>
          <w:rFonts w:hint="eastAsia" w:ascii="仿宋_GB2312" w:hAnsi="仿宋_GB2312" w:eastAsia="仿宋_GB2312" w:cs="仿宋_GB2312"/>
          <w:sz w:val="32"/>
          <w:szCs w:val="32"/>
          <w:lang w:eastAsia="zh-CN"/>
        </w:rPr>
        <w:t>指由财政拨款形成的部门收入。按现行管理制度，部门预算中反映的财政拨款仅包括一般公共预算拨款和政府性基金预算拨款。</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（二）事业收入：</w:t>
      </w:r>
      <w:r>
        <w:rPr>
          <w:rFonts w:hint="eastAsia" w:ascii="仿宋_GB2312" w:hAnsi="仿宋_GB2312" w:eastAsia="仿宋_GB2312" w:cs="仿宋_GB2312"/>
          <w:sz w:val="32"/>
          <w:szCs w:val="32"/>
          <w:lang w:eastAsia="zh-CN"/>
        </w:rPr>
        <w:t>指所属事业单位开展专业业务活动及辅助活动所取得的收入。</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（三）事业单位经营收入：</w:t>
      </w:r>
      <w:r>
        <w:rPr>
          <w:rFonts w:hint="eastAsia" w:ascii="仿宋_GB2312" w:hAnsi="仿宋_GB2312" w:eastAsia="仿宋_GB2312" w:cs="仿宋_GB2312"/>
          <w:sz w:val="32"/>
          <w:szCs w:val="32"/>
          <w:lang w:eastAsia="zh-CN"/>
        </w:rPr>
        <w:t>指所属事业单位在专业业务活动及其辅助活动之外开展非独立核算经营活动取得的收入。</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（四）其他收入：</w:t>
      </w:r>
      <w:r>
        <w:rPr>
          <w:rFonts w:hint="eastAsia" w:ascii="仿宋_GB2312" w:hAnsi="仿宋_GB2312" w:eastAsia="仿宋_GB2312" w:cs="仿宋_GB2312"/>
          <w:sz w:val="32"/>
          <w:szCs w:val="32"/>
          <w:lang w:eastAsia="zh-CN"/>
        </w:rPr>
        <w:t>指除上述“财政拨款收入”、“事业收入”、“事业单位经营收入”等以外的收入，主要是所属行政事业单位按规定动用的售房收入、存款利息收入等。</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（五）用事业基金弥补收支差额：</w:t>
      </w:r>
      <w:r>
        <w:rPr>
          <w:rFonts w:hint="eastAsia" w:ascii="仿宋_GB2312" w:hAnsi="仿宋_GB2312" w:eastAsia="仿宋_GB2312" w:cs="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（六）上年结转：</w:t>
      </w:r>
      <w:r>
        <w:rPr>
          <w:rFonts w:hint="eastAsia" w:ascii="仿宋_GB2312" w:hAnsi="仿宋_GB2312" w:eastAsia="仿宋_GB2312" w:cs="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（七）基本支出：</w:t>
      </w:r>
      <w:r>
        <w:rPr>
          <w:rFonts w:hint="eastAsia" w:ascii="仿宋_GB2312" w:hAnsi="仿宋_GB2312" w:eastAsia="仿宋_GB2312" w:cs="仿宋_GB2312"/>
          <w:sz w:val="32"/>
          <w:szCs w:val="32"/>
          <w:lang w:eastAsia="zh-CN"/>
        </w:rPr>
        <w:t>指为保证机构正常运转，完成日常工作任务而发生的人员支出和公用支出。</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（八）项目支出：</w:t>
      </w:r>
      <w:r>
        <w:rPr>
          <w:rFonts w:hint="eastAsia" w:ascii="仿宋_GB2312" w:hAnsi="仿宋_GB2312" w:eastAsia="仿宋_GB2312" w:cs="仿宋_GB2312"/>
          <w:sz w:val="32"/>
          <w:szCs w:val="32"/>
          <w:lang w:eastAsia="zh-CN"/>
        </w:rPr>
        <w:t>指在基本支出之外为完成特定行政任务和事业发展目标所发生的支出。</w:t>
      </w:r>
    </w:p>
    <w:p>
      <w:pPr>
        <w:spacing w:line="576" w:lineRule="exact"/>
        <w:ind w:firstLine="640" w:firstLineChars="200"/>
        <w:rPr>
          <w:rFonts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（九）“三公”经费：</w:t>
      </w:r>
      <w:r>
        <w:rPr>
          <w:rFonts w:hint="eastAsia" w:ascii="仿宋_GB2312" w:hAnsi="仿宋_GB2312" w:eastAsia="仿宋_GB2312" w:cs="仿宋_GB2312"/>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附件：茂县雅都镇人民政府2020年部门预算公开表</w:t>
      </w:r>
    </w:p>
    <w:p>
      <w:pPr>
        <w:spacing w:line="576" w:lineRule="exact"/>
        <w:ind w:firstLine="0"/>
        <w:rPr>
          <w:rFonts w:hint="eastAsia"/>
          <w:lang w:eastAsia="zh-CN"/>
        </w:rPr>
      </w:pPr>
    </w:p>
    <w:p>
      <w:pPr>
        <w:spacing w:line="576" w:lineRule="exact"/>
        <w:ind w:firstLine="0"/>
        <w:rPr>
          <w:rFonts w:hint="eastAsia"/>
          <w:lang w:eastAsia="zh-CN"/>
        </w:rPr>
      </w:pPr>
    </w:p>
    <w:p>
      <w:pPr>
        <w:spacing w:line="576" w:lineRule="exact"/>
        <w:ind w:firstLine="4041" w:firstLineChars="1263"/>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茂县雅都镇人民政府</w:t>
      </w:r>
    </w:p>
    <w:p>
      <w:pPr>
        <w:spacing w:line="576"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                        2020年6月16日</w:t>
      </w:r>
    </w:p>
    <w:p>
      <w:pPr>
        <w:rPr>
          <w:rFonts w:ascii="仿宋_GB2312" w:hAnsi="仿宋_GB2312" w:eastAsia="仿宋_GB2312" w:cs="仿宋_GB2312"/>
          <w:sz w:val="32"/>
          <w:szCs w:val="32"/>
          <w:lang w:eastAsia="zh-CN"/>
        </w:rPr>
      </w:pPr>
    </w:p>
    <w:p>
      <w:pPr>
        <w:spacing w:line="576" w:lineRule="exact"/>
        <w:ind w:firstLine="0"/>
        <w:jc w:val="right"/>
        <w:rPr>
          <w:rFonts w:hint="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Arial">
    <w:altName w:val="Times New Roman"/>
    <w:panose1 w:val="020B0604020202020204"/>
    <w:charset w:val="00"/>
    <w:family w:val="swiss"/>
    <w:pitch w:val="default"/>
    <w:sig w:usb0="00000000" w:usb1="00000000" w:usb2="00000009" w:usb3="00000000" w:csb0="0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E02F43"/>
    <w:multiLevelType w:val="singleLevel"/>
    <w:tmpl w:val="42E02F43"/>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30CDD"/>
    <w:rsid w:val="000614F1"/>
    <w:rsid w:val="000A4ECA"/>
    <w:rsid w:val="000D50D6"/>
    <w:rsid w:val="00127C2B"/>
    <w:rsid w:val="00145198"/>
    <w:rsid w:val="00186E1A"/>
    <w:rsid w:val="00227B77"/>
    <w:rsid w:val="00240F83"/>
    <w:rsid w:val="00262727"/>
    <w:rsid w:val="00316688"/>
    <w:rsid w:val="00326341"/>
    <w:rsid w:val="003271F5"/>
    <w:rsid w:val="00360941"/>
    <w:rsid w:val="00382B7A"/>
    <w:rsid w:val="003957B5"/>
    <w:rsid w:val="0043752F"/>
    <w:rsid w:val="004555F0"/>
    <w:rsid w:val="00486EE4"/>
    <w:rsid w:val="00513150"/>
    <w:rsid w:val="00532C6E"/>
    <w:rsid w:val="00535E0A"/>
    <w:rsid w:val="005A2720"/>
    <w:rsid w:val="005C334E"/>
    <w:rsid w:val="005D1ACE"/>
    <w:rsid w:val="005E1FC6"/>
    <w:rsid w:val="005E7711"/>
    <w:rsid w:val="00610894"/>
    <w:rsid w:val="006752BC"/>
    <w:rsid w:val="00696576"/>
    <w:rsid w:val="0074461B"/>
    <w:rsid w:val="00790255"/>
    <w:rsid w:val="007959FB"/>
    <w:rsid w:val="00795C76"/>
    <w:rsid w:val="008144B8"/>
    <w:rsid w:val="008202CD"/>
    <w:rsid w:val="008E2E3E"/>
    <w:rsid w:val="00927C5E"/>
    <w:rsid w:val="00992E2D"/>
    <w:rsid w:val="009F6C59"/>
    <w:rsid w:val="00A062A9"/>
    <w:rsid w:val="00A53F54"/>
    <w:rsid w:val="00AA4C94"/>
    <w:rsid w:val="00AB7B8A"/>
    <w:rsid w:val="00B00764"/>
    <w:rsid w:val="00B906A9"/>
    <w:rsid w:val="00BE13B7"/>
    <w:rsid w:val="00C646E6"/>
    <w:rsid w:val="00CC5EE7"/>
    <w:rsid w:val="00D62C31"/>
    <w:rsid w:val="00DA76FF"/>
    <w:rsid w:val="00DB7A6E"/>
    <w:rsid w:val="00E0755E"/>
    <w:rsid w:val="00E23AC0"/>
    <w:rsid w:val="00E27CDC"/>
    <w:rsid w:val="00EB65E3"/>
    <w:rsid w:val="02B27DA6"/>
    <w:rsid w:val="076F09F6"/>
    <w:rsid w:val="11AC03FC"/>
    <w:rsid w:val="14662823"/>
    <w:rsid w:val="15BD784A"/>
    <w:rsid w:val="20514FED"/>
    <w:rsid w:val="24CC260E"/>
    <w:rsid w:val="2846351A"/>
    <w:rsid w:val="2B7966AE"/>
    <w:rsid w:val="2DA93B28"/>
    <w:rsid w:val="2FBF1F4C"/>
    <w:rsid w:val="2FEA2636"/>
    <w:rsid w:val="30605A65"/>
    <w:rsid w:val="32301914"/>
    <w:rsid w:val="33D6008E"/>
    <w:rsid w:val="34A26CD9"/>
    <w:rsid w:val="3C26577B"/>
    <w:rsid w:val="3C5D26FA"/>
    <w:rsid w:val="3DCA33DD"/>
    <w:rsid w:val="42092211"/>
    <w:rsid w:val="44045B89"/>
    <w:rsid w:val="4C6D34EC"/>
    <w:rsid w:val="4CB54BB8"/>
    <w:rsid w:val="532268B8"/>
    <w:rsid w:val="59C56CEC"/>
    <w:rsid w:val="5BC94FE5"/>
    <w:rsid w:val="5CB95D66"/>
    <w:rsid w:val="5F7C1F19"/>
    <w:rsid w:val="64E67837"/>
    <w:rsid w:val="67470A61"/>
    <w:rsid w:val="7D1A79C7"/>
    <w:rsid w:val="7ECA74F3"/>
    <w:rsid w:val="B57EB02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qFormat/>
    <w:uiPriority w:val="0"/>
    <w:pPr>
      <w:tabs>
        <w:tab w:val="center" w:pos="4153"/>
        <w:tab w:val="right" w:pos="8306"/>
      </w:tabs>
      <w:snapToGrid w:val="0"/>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pPr>
    <w:rPr>
      <w:rFonts w:cs="Times New Roman"/>
      <w:sz w:val="24"/>
      <w:lang w:eastAsia="zh-CN" w:bidi="ar-SA"/>
    </w:rPr>
  </w:style>
  <w:style w:type="character" w:styleId="7">
    <w:name w:val="Strong"/>
    <w:basedOn w:val="6"/>
    <w:qFormat/>
    <w:uiPriority w:val="22"/>
    <w:rPr>
      <w:b/>
    </w:rPr>
  </w:style>
  <w:style w:type="character" w:styleId="8">
    <w:name w:val="FollowedHyperlink"/>
    <w:basedOn w:val="6"/>
    <w:qFormat/>
    <w:uiPriority w:val="0"/>
    <w:rPr>
      <w:color w:val="323232"/>
      <w:u w:val="none"/>
    </w:rPr>
  </w:style>
  <w:style w:type="character" w:styleId="9">
    <w:name w:val="Hyperlink"/>
    <w:basedOn w:val="6"/>
    <w:qFormat/>
    <w:uiPriority w:val="0"/>
    <w:rPr>
      <w:color w:val="323232"/>
      <w:u w:val="none"/>
    </w:rPr>
  </w:style>
  <w:style w:type="character" w:customStyle="1" w:styleId="10">
    <w:name w:val="bsharetext"/>
    <w:basedOn w:val="6"/>
    <w:qFormat/>
    <w:uiPriority w:val="0"/>
  </w:style>
  <w:style w:type="character" w:customStyle="1" w:styleId="11">
    <w:name w:val="页眉 Char"/>
    <w:basedOn w:val="6"/>
    <w:link w:val="3"/>
    <w:qFormat/>
    <w:uiPriority w:val="0"/>
    <w:rPr>
      <w:rFonts w:ascii="Calibri" w:hAnsi="Calibri" w:cs="Arial"/>
      <w:sz w:val="18"/>
      <w:szCs w:val="18"/>
      <w:lang w:eastAsia="en-US" w:bidi="en-US"/>
    </w:rPr>
  </w:style>
  <w:style w:type="character" w:customStyle="1" w:styleId="12">
    <w:name w:val="页脚 Char"/>
    <w:basedOn w:val="6"/>
    <w:link w:val="2"/>
    <w:qFormat/>
    <w:uiPriority w:val="0"/>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 (Beijing) Limited</Company>
  <Pages>8</Pages>
  <Words>3294</Words>
  <Characters>632</Characters>
  <Lines>5</Lines>
  <Paragraphs>7</Paragraphs>
  <TotalTime>14</TotalTime>
  <ScaleCrop>false</ScaleCrop>
  <LinksUpToDate>false</LinksUpToDate>
  <CharactersWithSpaces>3919</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2018-03-13T10:07:00Z</dcterms:created>
  <dc:creator>Administrator</dc:creator>
  <cp:lastModifiedBy>user</cp:lastModifiedBy>
  <cp:lastPrinted>2019-05-07T16:20:00Z</cp:lastPrinted>
  <dcterms:modified xsi:type="dcterms:W3CDTF">2023-07-13T20:00:09Z</dcterms:modified>
  <cp:revision>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CC4CF0EE315A972249E7AF64B143095B</vt:lpwstr>
  </property>
</Properties>
</file>