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96475"/>
      <w:bookmarkStart w:id="2" w:name="_Toc15377425"/>
      <w:bookmarkStart w:id="3" w:name="_Toc15378441"/>
      <w:bookmarkStart w:id="4" w:name="_Toc15377193"/>
      <w:bookmarkStart w:id="5" w:name="_Toc15396597"/>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6" w:name="_Toc15377426"/>
      <w:bookmarkStart w:id="7" w:name="_Toc15378442"/>
      <w:bookmarkStart w:id="8" w:name="_Toc15396598"/>
      <w:bookmarkStart w:id="9" w:name="_Toc15396476"/>
      <w:bookmarkStart w:id="10" w:name="_Toc15377194"/>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茂县赤不苏镇人民政府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部门概况................................................................................................4</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一、基本职能及主要工作...............................................................................4</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二、机构设置...................................................................................................5</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第二部分度部门决算情况说明..............................................................................6</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一、收入支出决算总体情况说明...................................................................6</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.............6</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...........7</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四、财政拨款收入支出决算总体情况说明...................................................7</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...........8</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六、一般公共预算财政拨款基本支出决算情况说明..................................13</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七、“三公”经费财政拨款支出决算情况说明............................................13</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八、政府性基金预算支出决算情况说明......................................................15</w:t>
      </w:r>
    </w:p>
    <w:p>
      <w:pPr>
        <w:pStyle w:val="11"/>
        <w:adjustRightInd w:val="0"/>
        <w:snapToGrid w:val="0"/>
        <w:spacing w:line="440" w:lineRule="exact"/>
        <w:ind w:left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九、国有资本经营预算支出决算情况说明..................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..............................15</w:t>
      </w:r>
    </w:p>
    <w:p>
      <w:pPr>
        <w:adjustRightInd w:val="0"/>
        <w:snapToGrid w:val="0"/>
        <w:spacing w:line="440" w:lineRule="exact"/>
        <w:ind w:firstLine="480" w:firstLineChars="20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十、其他重要事项的情况说明</w:t>
      </w:r>
      <w:r>
        <w:rPr>
          <w:rFonts w:hint="eastAsia"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..........15</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名词解释...............................................................................................30</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附件.部门整体支出绩效评价报告 ....................................................34</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五、财政拨款支出决算明细表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七、一般公共预算财政拨款支出决算明细表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八、一般公共预算财政拨款基本支出决算表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九、一般公共预算财政拨款项目支出决算表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十、一般公共预算财政拨款“三公”经费支出决算表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十一、政府性基金预算财政拨款收入支出决算表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十二、政府性基金预算财政拨款“三公”经费支出决算表</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十三、国有资本经营预算支出决算表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spacing w:line="576" w:lineRule="atLeast"/>
        <w:ind w:firstLine="642" w:firstLineChars="200"/>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（一）基本职能</w:t>
      </w:r>
      <w:bookmarkStart w:id="18" w:name="_Toc15378446"/>
      <w:bookmarkStart w:id="19" w:name="_Toc15377199"/>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atLeas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spacing w:line="576" w:lineRule="atLeast"/>
        <w:ind w:firstLine="640" w:firstLineChars="200"/>
        <w:rPr>
          <w:rFonts w:ascii="楷体" w:hAnsi="楷体" w:eastAsia="楷体"/>
          <w:color w:val="000000"/>
          <w:sz w:val="32"/>
          <w:szCs w:val="32"/>
        </w:rPr>
      </w:pPr>
      <w:r>
        <w:rPr>
          <w:rFonts w:hint="eastAsia" w:ascii="仿宋_GB2312" w:hAnsi="仿宋_GB2312" w:eastAsia="仿宋_GB2312" w:cs="仿宋_GB2312"/>
          <w:color w:val="auto"/>
          <w:sz w:val="32"/>
          <w:szCs w:val="32"/>
        </w:rPr>
        <w:t>全力推动镇村组路网升级改造，群众出行难、农副产品运输难等问题得到有效解决。大力实施农村饮水安全，“群众饮水难、农业灌溉难”等问题得到有效解决。同时，紧盯“住房安全有保障”目标，</w:t>
      </w:r>
      <w:r>
        <w:rPr>
          <w:rFonts w:hint="eastAsia" w:ascii="仿宋_GB2312" w:hAnsi="仿宋_GB2312" w:eastAsia="仿宋_GB2312" w:cs="仿宋_GB2312"/>
          <w:color w:val="auto"/>
          <w:sz w:val="32"/>
          <w:szCs w:val="32"/>
          <w:lang w:eastAsia="zh-CN"/>
        </w:rPr>
        <w:t>实施</w:t>
      </w:r>
      <w:r>
        <w:rPr>
          <w:rFonts w:hint="eastAsia" w:ascii="仿宋_GB2312" w:hAnsi="仿宋_GB2312" w:eastAsia="仿宋_GB2312" w:cs="仿宋_GB2312"/>
          <w:color w:val="auto"/>
          <w:sz w:val="32"/>
          <w:szCs w:val="32"/>
        </w:rPr>
        <w:t>C级危房改造</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D级危房改造3户</w:t>
      </w:r>
      <w:r>
        <w:rPr>
          <w:rFonts w:hint="eastAsia" w:ascii="仿宋_GB2312" w:hAnsi="仿宋_GB2312" w:eastAsia="仿宋_GB2312" w:cs="仿宋_GB2312"/>
          <w:color w:val="auto"/>
          <w:sz w:val="32"/>
          <w:szCs w:val="32"/>
          <w:lang w:eastAsia="zh-CN"/>
        </w:rPr>
        <w:t>，目前已完成</w:t>
      </w:r>
      <w:r>
        <w:rPr>
          <w:rFonts w:hint="eastAsia" w:ascii="仿宋_GB2312" w:hAnsi="仿宋_GB2312" w:eastAsia="仿宋_GB2312" w:cs="仿宋_GB2312"/>
          <w:color w:val="auto"/>
          <w:sz w:val="32"/>
          <w:szCs w:val="32"/>
          <w:lang w:val="en-US" w:eastAsia="zh-CN"/>
        </w:rPr>
        <w:t>5户</w:t>
      </w:r>
      <w:r>
        <w:rPr>
          <w:rFonts w:hint="eastAsia" w:ascii="仿宋_GB2312" w:hAnsi="仿宋_GB2312" w:eastAsia="仿宋_GB2312" w:cs="仿宋_GB2312"/>
          <w:color w:val="auto"/>
          <w:sz w:val="32"/>
          <w:szCs w:val="32"/>
        </w:rPr>
        <w:t>；加大贫困村贫困户用电线路改造提升，实现了贫困村光纤宽带全覆盖，行政村无线通信全覆盖。注重产业扶持，</w:t>
      </w:r>
      <w:r>
        <w:rPr>
          <w:rFonts w:hint="eastAsia" w:ascii="仿宋_GB2312" w:hAnsi="仿宋_GB2312" w:eastAsia="仿宋_GB2312" w:cs="仿宋_GB2312"/>
          <w:color w:val="auto"/>
          <w:sz w:val="32"/>
          <w:szCs w:val="32"/>
          <w:lang w:eastAsia="zh-CN"/>
        </w:rPr>
        <w:t>自脱贫攻坚工作开展以来</w:t>
      </w:r>
      <w:r>
        <w:rPr>
          <w:rFonts w:hint="eastAsia" w:ascii="仿宋_GB2312" w:hAnsi="仿宋_GB2312" w:eastAsia="仿宋_GB2312" w:cs="仿宋_GB2312"/>
          <w:color w:val="auto"/>
          <w:sz w:val="32"/>
          <w:szCs w:val="32"/>
        </w:rPr>
        <w:t>，全镇共设立产业扶持基金46万元，整合资金266万元，积极探索集体经济发展、产业互补联动发展的新途径。投入179万元发展藏香猪养殖、中蜂养殖、木耳种植、蔬菜种植等产业，以产业带动集体经发展；投入资金87万元，委托茂县羌地文化旅游公司、茂县兴富医院进行经营管理，每年按6%的利润返给村集体，以分红方式带动集体经济发展。加强贫困户信贷支持，发放小额贷款591.9万元。狠抓农业产业结构调整，形成了高半山以羌脆李、甜樱桃、花椒为主，河坝以蔬菜、酿酒葡萄为主的生态果蔬产业，种植面积达4000余亩。以就业扶贫为重点，提供公益性岗位1</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人，在建档立卡贫困户中选评生态护林员</w:t>
      </w:r>
      <w:r>
        <w:rPr>
          <w:rFonts w:hint="eastAsia" w:ascii="仿宋_GB2312" w:hAnsi="仿宋_GB2312" w:eastAsia="仿宋_GB2312" w:cs="仿宋_GB2312"/>
          <w:color w:val="auto"/>
          <w:sz w:val="32"/>
          <w:szCs w:val="32"/>
          <w:lang w:val="en-US" w:eastAsia="zh-CN"/>
        </w:rPr>
        <w:t>32</w:t>
      </w:r>
      <w:r>
        <w:rPr>
          <w:rFonts w:hint="eastAsia" w:ascii="仿宋_GB2312" w:hAnsi="仿宋_GB2312" w:eastAsia="仿宋_GB2312" w:cs="仿宋_GB2312"/>
          <w:color w:val="auto"/>
          <w:sz w:val="32"/>
          <w:szCs w:val="32"/>
        </w:rPr>
        <w:t>名，解决了贫困户就业难问题，促进增收。以救助兜底为补充，</w:t>
      </w:r>
      <w:r>
        <w:rPr>
          <w:rFonts w:hint="eastAsia" w:ascii="仿宋_GB2312" w:hAnsi="仿宋_GB2312" w:eastAsia="仿宋_GB2312" w:cs="仿宋_GB2312"/>
          <w:color w:val="auto"/>
          <w:sz w:val="32"/>
          <w:szCs w:val="32"/>
          <w:lang w:eastAsia="zh-CN"/>
        </w:rPr>
        <w:t>今年，共实施教育扶贫救助</w:t>
      </w:r>
      <w:r>
        <w:rPr>
          <w:rFonts w:hint="eastAsia" w:ascii="仿宋_GB2312" w:hAnsi="仿宋_GB2312" w:eastAsia="仿宋_GB2312" w:cs="仿宋_GB2312"/>
          <w:color w:val="auto"/>
          <w:sz w:val="32"/>
          <w:szCs w:val="32"/>
          <w:lang w:val="en-US" w:eastAsia="zh-CN"/>
        </w:rPr>
        <w:t>55人，共计资金90800元。</w:t>
      </w:r>
      <w:r>
        <w:rPr>
          <w:rFonts w:hint="eastAsia" w:ascii="仿宋_GB2312" w:hAnsi="仿宋_GB2312" w:eastAsia="仿宋_GB2312" w:cs="仿宋_GB2312"/>
          <w:color w:val="auto"/>
          <w:sz w:val="32"/>
          <w:szCs w:val="32"/>
        </w:rPr>
        <w:t>为建档立卡贫困人口全额代缴城乡居民基本医疗保险、大病医疗商业补充保险和城乡居民养老保险，参保率达100%。</w:t>
      </w:r>
      <w:r>
        <w:rPr>
          <w:rFonts w:hint="eastAsia" w:ascii="仿宋_GB2312" w:hAnsi="仿宋_GB2312" w:eastAsia="仿宋_GB2312" w:cs="仿宋_GB2312"/>
          <w:color w:val="auto"/>
          <w:sz w:val="32"/>
          <w:szCs w:val="32"/>
          <w:lang w:eastAsia="zh-CN"/>
        </w:rPr>
        <w:t>“两不愁、三保障”回头看大排查工作中</w:t>
      </w:r>
      <w:r>
        <w:rPr>
          <w:rFonts w:hint="eastAsia" w:ascii="仿宋_GB2312" w:hAnsi="仿宋_GB2312" w:eastAsia="仿宋_GB2312" w:cs="仿宋_GB2312"/>
          <w:color w:val="auto"/>
          <w:sz w:val="32"/>
          <w:szCs w:val="32"/>
          <w:lang w:val="en-US" w:eastAsia="zh-CN"/>
        </w:rPr>
        <w:t>发现问题142条已全部整</w:t>
      </w:r>
      <w:r>
        <w:rPr>
          <w:rFonts w:hint="eastAsia" w:ascii="仿宋_GB2312" w:hAnsi="仿宋_GB2312" w:eastAsia="仿宋_GB2312" w:cs="仿宋_GB2312"/>
          <w:color w:val="auto"/>
          <w:kern w:val="2"/>
          <w:sz w:val="32"/>
          <w:szCs w:val="32"/>
          <w:lang w:val="en-US" w:eastAsia="zh-CN" w:bidi="ar-SA"/>
        </w:rPr>
        <w:t>改销号。</w:t>
      </w:r>
    </w:p>
    <w:p>
      <w:pPr>
        <w:pStyle w:val="3"/>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adjustRightInd w:val="0"/>
        <w:snapToGrid w:val="0"/>
        <w:spacing w:beforeLines="0" w:line="576" w:lineRule="atLeast"/>
        <w:ind w:firstLine="640" w:firstLineChars="200"/>
        <w:outlineLvl w:val="2"/>
        <w:rPr>
          <w:rStyle w:val="30"/>
          <w:rFonts w:ascii="方正小标宋简体" w:hAnsi="方正小标宋简体" w:eastAsia="方正小标宋简体" w:cs="方正小标宋简体"/>
          <w:b w:val="0"/>
          <w:bCs w:val="0"/>
        </w:rPr>
      </w:pPr>
      <w:r>
        <w:rPr>
          <w:rFonts w:hint="eastAsia" w:ascii="仿宋" w:hAnsi="仿宋" w:eastAsia="仿宋"/>
          <w:color w:val="000000"/>
          <w:sz w:val="32"/>
          <w:szCs w:val="32"/>
        </w:rPr>
        <w:t>茂县赤不苏镇人民政府属于行政单位，下设行政单位0个，其中内设机构2个（1党政办公室2综合发展办公室）。</w:t>
      </w:r>
    </w:p>
    <w:p>
      <w:pPr>
        <w:widowControl/>
        <w:jc w:val="left"/>
        <w:rPr>
          <w:rFonts w:ascii="仿宋" w:hAnsi="仿宋" w:eastAsia="仿宋"/>
          <w:color w:val="000000"/>
          <w:kern w:val="0"/>
          <w:sz w:val="32"/>
          <w:szCs w:val="32"/>
        </w:rPr>
      </w:pPr>
    </w:p>
    <w:p>
      <w:pPr>
        <w:widowControl/>
        <w:jc w:val="left"/>
        <w:rPr>
          <w:rFonts w:ascii="仿宋" w:hAnsi="仿宋" w:eastAsia="仿宋"/>
          <w:color w:val="000000"/>
          <w:kern w:val="0"/>
          <w:sz w:val="32"/>
          <w:szCs w:val="32"/>
        </w:rPr>
      </w:pPr>
    </w:p>
    <w:p>
      <w:pPr>
        <w:pStyle w:val="2"/>
        <w:ind w:right="440"/>
        <w:jc w:val="right"/>
        <w:rPr>
          <w:rStyle w:val="24"/>
          <w:rFonts w:ascii="黑体" w:hAnsi="黑体" w:eastAsia="黑体"/>
          <w:b w:val="0"/>
          <w:bCs w:val="0"/>
        </w:rPr>
      </w:pPr>
      <w:bookmarkStart w:id="20" w:name="_Toc15377204"/>
      <w:bookmarkStart w:id="21"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茂县赤不苏镇人民政府2019年度收入、支出决算总计1646.70万元。与2018年相比，收入、支出决算总计增加</w:t>
      </w:r>
      <w:r>
        <w:rPr>
          <w:rFonts w:hint="eastAsia" w:ascii="仿宋_GB2312" w:hAnsi="仿宋_GB2312" w:eastAsia="仿宋_GB2312" w:cs="仿宋_GB2312"/>
          <w:color w:val="000000"/>
          <w:sz w:val="32"/>
          <w:szCs w:val="32"/>
          <w:lang w:val="en-US" w:eastAsia="zh-CN"/>
        </w:rPr>
        <w:t>9.83</w:t>
      </w:r>
      <w:r>
        <w:rPr>
          <w:rFonts w:hint="eastAsia" w:ascii="仿宋_GB2312" w:hAnsi="仿宋_GB2312" w:eastAsia="仿宋_GB2312" w:cs="仿宋_GB2312"/>
          <w:color w:val="000000"/>
          <w:sz w:val="32"/>
          <w:szCs w:val="32"/>
        </w:rPr>
        <w:t>万元，增加</w:t>
      </w:r>
      <w:r>
        <w:rPr>
          <w:rFonts w:hint="eastAsia" w:ascii="仿宋_GB2312" w:hAnsi="仿宋_GB2312" w:eastAsia="仿宋_GB2312" w:cs="仿宋_GB2312"/>
          <w:color w:val="000000"/>
          <w:sz w:val="32"/>
          <w:szCs w:val="32"/>
          <w:lang w:val="en-US" w:eastAsia="zh-CN"/>
        </w:rPr>
        <w:t>0.60</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人员变动，项目增加</w:t>
      </w:r>
      <w:r>
        <w:rPr>
          <w:rFonts w:hint="eastAsia" w:ascii="仿宋_GB2312" w:hAnsi="仿宋_GB2312" w:eastAsia="仿宋_GB2312" w:cs="仿宋_GB2312"/>
          <w:color w:val="000000"/>
          <w:sz w:val="32"/>
          <w:szCs w:val="32"/>
        </w:rPr>
        <w:t>。</w:t>
      </w:r>
    </w:p>
    <w:p>
      <w:pPr>
        <w:pStyle w:val="23"/>
        <w:spacing w:line="576" w:lineRule="atLeast"/>
        <w:ind w:firstLine="0" w:firstLineChars="0"/>
        <w:jc w:val="center"/>
        <w:outlineLvl w:val="1"/>
      </w:pPr>
      <w:r>
        <w:drawing>
          <wp:inline distT="0" distB="0" distL="114300" distR="114300">
            <wp:extent cx="4572000" cy="2743200"/>
            <wp:effectExtent l="4445" t="4445" r="14605" b="14605"/>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spacing w:line="576" w:lineRule="atLeast"/>
        <w:ind w:firstLine="640" w:firstLineChars="200"/>
        <w:jc w:val="left"/>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2019年本年收入合计1594.69万元，其中：一般公共预算财政拨款收入1591.82万元，占99.82%；政府性基金预算财政拨款收入2.87万元，占0.18%。</w:t>
      </w:r>
    </w:p>
    <w:p>
      <w:pPr>
        <w:spacing w:line="576" w:lineRule="atLeast"/>
        <w:jc w:val="center"/>
        <w:outlineLvl w:val="1"/>
      </w:pPr>
      <w:r>
        <w:drawing>
          <wp:inline distT="0" distB="0" distL="114300" distR="114300">
            <wp:extent cx="4730750" cy="3279775"/>
            <wp:effectExtent l="4445" t="5080" r="8255" b="10795"/>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spacing w:line="576" w:lineRule="atLeast"/>
        <w:ind w:firstLine="640" w:firstLineChars="200"/>
        <w:jc w:val="left"/>
        <w:rPr>
          <w:rFonts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2019年本年支出合计1417.53万元，其中：基本支出967.87万元，占68.28%；项目支出449.66万元，占31.72%。</w:t>
      </w:r>
    </w:p>
    <w:p>
      <w:pPr>
        <w:spacing w:line="576" w:lineRule="atLeast"/>
        <w:jc w:val="center"/>
      </w:pPr>
      <w:r>
        <w:drawing>
          <wp:inline distT="0" distB="0" distL="114300" distR="114300">
            <wp:extent cx="4226560" cy="3156585"/>
            <wp:effectExtent l="4445" t="4445" r="17145" b="20320"/>
            <wp:docPr id="6"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spacing w:line="576" w:lineRule="atLeast"/>
        <w:ind w:firstLine="640" w:firstLineChars="200"/>
        <w:rPr>
          <w:rFonts w:ascii="仿宋_GB2312" w:hAnsi="仿宋_GB2312" w:eastAsia="仿宋_GB2312" w:cs="仿宋_GB2312"/>
          <w:color w:val="000000"/>
          <w:sz w:val="32"/>
          <w:szCs w:val="32"/>
        </w:rPr>
      </w:pPr>
      <w:bookmarkStart w:id="30" w:name="_Toc15377209"/>
      <w:bookmarkStart w:id="31" w:name="_Toc15396607"/>
      <w:r>
        <w:rPr>
          <w:rFonts w:hint="eastAsia" w:ascii="仿宋_GB2312" w:hAnsi="仿宋_GB2312" w:eastAsia="仿宋_GB2312" w:cs="仿宋_GB2312"/>
          <w:color w:val="000000"/>
          <w:sz w:val="32"/>
          <w:szCs w:val="32"/>
        </w:rPr>
        <w:t>茂县赤不苏镇人民政府2019年度收入、支出决算总计1646.70万元。与2018年相比，收入、支出决算总计增加</w:t>
      </w:r>
      <w:r>
        <w:rPr>
          <w:rFonts w:hint="eastAsia" w:ascii="仿宋_GB2312" w:hAnsi="仿宋_GB2312" w:eastAsia="仿宋_GB2312" w:cs="仿宋_GB2312"/>
          <w:color w:val="000000"/>
          <w:sz w:val="32"/>
          <w:szCs w:val="32"/>
          <w:lang w:val="en-US" w:eastAsia="zh-CN"/>
        </w:rPr>
        <w:t>9.83</w:t>
      </w:r>
      <w:r>
        <w:rPr>
          <w:rFonts w:hint="eastAsia" w:ascii="仿宋_GB2312" w:hAnsi="仿宋_GB2312" w:eastAsia="仿宋_GB2312" w:cs="仿宋_GB2312"/>
          <w:color w:val="000000"/>
          <w:sz w:val="32"/>
          <w:szCs w:val="32"/>
        </w:rPr>
        <w:t>万元，增加</w:t>
      </w:r>
      <w:r>
        <w:rPr>
          <w:rFonts w:hint="eastAsia" w:ascii="仿宋_GB2312" w:hAnsi="仿宋_GB2312" w:eastAsia="仿宋_GB2312" w:cs="仿宋_GB2312"/>
          <w:color w:val="000000"/>
          <w:sz w:val="32"/>
          <w:szCs w:val="32"/>
          <w:lang w:val="en-US" w:eastAsia="zh-CN"/>
        </w:rPr>
        <w:t>0.60</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人员变动，项目增加</w:t>
      </w:r>
      <w:r>
        <w:rPr>
          <w:rFonts w:hint="eastAsia" w:ascii="仿宋_GB2312" w:hAnsi="仿宋_GB2312" w:eastAsia="仿宋_GB2312" w:cs="仿宋_GB2312"/>
          <w:color w:val="000000"/>
          <w:sz w:val="32"/>
          <w:szCs w:val="32"/>
        </w:rPr>
        <w:t>。</w:t>
      </w:r>
    </w:p>
    <w:p>
      <w:pPr>
        <w:pStyle w:val="3"/>
        <w:keepNext w:val="0"/>
        <w:keepLines w:val="0"/>
        <w:spacing w:before="0" w:after="0" w:line="576" w:lineRule="atLeast"/>
        <w:ind w:firstLine="640" w:firstLineChars="200"/>
        <w:jc w:val="left"/>
        <w:rPr>
          <w:rFonts w:ascii="仿宋_GB2312" w:hAnsi="仿宋_GB2312" w:eastAsia="仿宋_GB2312" w:cs="仿宋_GB2312"/>
          <w:b w:val="0"/>
          <w:bCs w:val="0"/>
          <w:color w:val="000000"/>
        </w:rPr>
      </w:pPr>
    </w:p>
    <w:p>
      <w:pPr>
        <w:spacing w:line="576" w:lineRule="atLeast"/>
        <w:jc w:val="center"/>
        <w:rPr>
          <w:rFonts w:ascii="黑体" w:hAnsi="黑体" w:eastAsia="黑体"/>
          <w:color w:val="000000"/>
          <w:sz w:val="32"/>
          <w:szCs w:val="32"/>
        </w:rPr>
      </w:pPr>
      <w:r>
        <w:drawing>
          <wp:inline distT="0" distB="0" distL="114300" distR="114300">
            <wp:extent cx="4572000" cy="2743200"/>
            <wp:effectExtent l="4445" t="4445" r="14605" b="14605"/>
            <wp:docPr id="9"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楷体" w:hAnsi="楷体" w:eastAsia="楷体" w:cs="楷体"/>
          <w:b/>
          <w:color w:val="000000"/>
          <w:sz w:val="32"/>
          <w:szCs w:val="32"/>
        </w:rPr>
        <w:t>（一）一般公共预算财政拨款支出决算总体情况</w:t>
      </w:r>
      <w:bookmarkEnd w:id="32"/>
    </w:p>
    <w:p>
      <w:pPr>
        <w:spacing w:line="576" w:lineRule="atLeast"/>
        <w:ind w:firstLine="640" w:firstLineChars="200"/>
        <w:rPr>
          <w:rFonts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2019年一般公共预算财政拨款支出1414.66万元，占本年支出合计的</w:t>
      </w:r>
      <w:r>
        <w:rPr>
          <w:rFonts w:hint="eastAsia" w:ascii="仿宋_GB2312" w:hAnsi="仿宋_GB2312" w:eastAsia="仿宋_GB2312" w:cs="仿宋_GB2312"/>
          <w:color w:val="000000"/>
          <w:sz w:val="32"/>
          <w:szCs w:val="32"/>
          <w:lang w:val="en-US" w:eastAsia="zh-CN"/>
        </w:rPr>
        <w:t>10</w:t>
      </w:r>
      <w:r>
        <w:rPr>
          <w:rFonts w:hint="eastAsia" w:ascii="仿宋_GB2312" w:hAnsi="仿宋_GB2312" w:eastAsia="仿宋_GB2312" w:cs="仿宋_GB2312"/>
          <w:color w:val="000000"/>
          <w:sz w:val="32"/>
          <w:szCs w:val="32"/>
        </w:rPr>
        <w:t>0%。与2018年相比，一般公共预算财政拨款</w:t>
      </w:r>
      <w:r>
        <w:rPr>
          <w:rFonts w:hint="eastAsia" w:ascii="仿宋_GB2312" w:hAnsi="仿宋_GB2312" w:eastAsia="仿宋_GB2312" w:cs="仿宋_GB2312"/>
          <w:color w:val="000000"/>
          <w:sz w:val="32"/>
          <w:szCs w:val="32"/>
          <w:lang w:val="en-US" w:eastAsia="zh-CN"/>
        </w:rPr>
        <w:t>减少170.13</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val="en-US" w:eastAsia="zh-CN"/>
        </w:rPr>
        <w:t>减少10.74</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val="en-US" w:eastAsia="zh-CN"/>
        </w:rPr>
        <w:t>学校支出未纳入</w:t>
      </w:r>
      <w:r>
        <w:rPr>
          <w:rFonts w:hint="eastAsia" w:ascii="仿宋_GB2312" w:hAnsi="仿宋_GB2312" w:eastAsia="仿宋_GB2312" w:cs="仿宋_GB2312"/>
          <w:color w:val="000000"/>
          <w:sz w:val="32"/>
          <w:szCs w:val="32"/>
        </w:rPr>
        <w:t>。</w:t>
      </w:r>
    </w:p>
    <w:p>
      <w:pPr>
        <w:spacing w:line="576" w:lineRule="atLeast"/>
        <w:jc w:val="center"/>
      </w:pPr>
      <w:r>
        <w:drawing>
          <wp:inline distT="0" distB="0" distL="114300" distR="114300">
            <wp:extent cx="4226560" cy="3156585"/>
            <wp:effectExtent l="4445" t="4445" r="17145" b="20320"/>
            <wp:docPr id="10"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atLeast"/>
        <w:jc w:val="center"/>
        <w:rPr>
          <w:rFonts w:ascii="仿宋" w:hAnsi="仿宋" w:eastAsia="仿宋"/>
          <w:color w:val="000000" w:themeColor="text1"/>
          <w:sz w:val="32"/>
          <w:szCs w:val="32"/>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2" w:firstLineChars="200"/>
        <w:outlineLvl w:val="2"/>
        <w:rPr>
          <w:rFonts w:hint="eastAsia" w:ascii="楷体" w:hAnsi="楷体" w:eastAsia="楷体" w:cs="楷体"/>
          <w:b/>
          <w:color w:val="000000"/>
          <w:sz w:val="32"/>
          <w:szCs w:val="32"/>
        </w:rPr>
      </w:pPr>
      <w:bookmarkStart w:id="33" w:name="_Toc15377211"/>
      <w:r>
        <w:rPr>
          <w:rFonts w:hint="eastAsia" w:ascii="楷体" w:hAnsi="楷体" w:eastAsia="楷体" w:cs="楷体"/>
          <w:b/>
          <w:color w:val="000000"/>
          <w:sz w:val="32"/>
          <w:szCs w:val="32"/>
        </w:rPr>
        <w:t>（二）一般公共预算财政拨款支出决算结构情况</w:t>
      </w:r>
      <w:bookmarkEnd w:id="33"/>
    </w:p>
    <w:p>
      <w:pPr>
        <w:spacing w:line="576" w:lineRule="atLeast"/>
        <w:ind w:firstLine="640" w:firstLineChars="200"/>
        <w:rPr>
          <w:rFonts w:ascii="仿宋_GB2312" w:hAnsi="仿宋_GB2312" w:eastAsia="仿宋_GB2312" w:cs="仿宋_GB2312"/>
          <w:sz w:val="32"/>
          <w:szCs w:val="32"/>
        </w:rPr>
      </w:pPr>
      <w:bookmarkStart w:id="34" w:name="_Toc15377212"/>
      <w:r>
        <w:rPr>
          <w:rFonts w:hint="eastAsia" w:ascii="仿宋_GB2312" w:hAnsi="仿宋_GB2312" w:eastAsia="仿宋_GB2312" w:cs="仿宋_GB2312"/>
          <w:color w:val="000000"/>
          <w:sz w:val="32"/>
          <w:szCs w:val="32"/>
        </w:rPr>
        <w:t>茂县赤不苏镇人民政府2019年支出决算总数141</w:t>
      </w:r>
      <w:r>
        <w:rPr>
          <w:rFonts w:hint="eastAsia" w:ascii="仿宋_GB2312" w:hAnsi="仿宋_GB2312" w:eastAsia="仿宋_GB2312" w:cs="仿宋_GB2312"/>
          <w:color w:val="000000"/>
          <w:sz w:val="32"/>
          <w:szCs w:val="32"/>
          <w:lang w:val="en-US" w:eastAsia="zh-CN"/>
        </w:rPr>
        <w:t>4.66</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558.20万元，占</w:t>
      </w:r>
      <w:bookmarkStart w:id="35" w:name="OLE_LINK1"/>
      <w:r>
        <w:rPr>
          <w:rFonts w:hint="eastAsia" w:ascii="仿宋_GB2312" w:hAnsi="仿宋_GB2312" w:eastAsia="仿宋_GB2312" w:cs="仿宋_GB2312"/>
          <w:sz w:val="32"/>
          <w:szCs w:val="32"/>
        </w:rPr>
        <w:t>本年支出合计的</w:t>
      </w:r>
      <w:bookmarkEnd w:id="35"/>
      <w:r>
        <w:rPr>
          <w:rFonts w:hint="eastAsia" w:ascii="仿宋_GB2312" w:hAnsi="仿宋_GB2312" w:eastAsia="仿宋_GB2312" w:cs="仿宋_GB2312"/>
          <w:sz w:val="32"/>
          <w:szCs w:val="32"/>
        </w:rPr>
        <w:t>39.</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100.97万元，占本年支出合计的7.1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49.85万元，占本年支出合计的3.52%；</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627.83万元，占本年支出合计的44.</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70.47万元，占本年支出合计的4.9</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7.34万元，占本年支出合计的0.5</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p>
    <w:p>
      <w:pPr>
        <w:spacing w:line="576" w:lineRule="atLeast"/>
        <w:ind w:firstLine="640" w:firstLineChars="200"/>
        <w:rPr>
          <w:rFonts w:ascii="仿宋_GB2312" w:hAnsi="仿宋_GB2312" w:eastAsia="仿宋_GB2312" w:cs="仿宋_GB2312"/>
          <w:sz w:val="32"/>
          <w:szCs w:val="32"/>
        </w:rPr>
      </w:pPr>
    </w:p>
    <w:p>
      <w:pPr>
        <w:spacing w:line="576" w:lineRule="atLeast"/>
        <w:ind w:firstLine="640" w:firstLineChars="200"/>
        <w:rPr>
          <w:rFonts w:ascii="仿宋_GB2312" w:hAnsi="仿宋_GB2312" w:eastAsia="仿宋_GB2312" w:cs="仿宋_GB2312"/>
          <w:sz w:val="32"/>
          <w:szCs w:val="32"/>
        </w:rPr>
      </w:pPr>
    </w:p>
    <w:p>
      <w:pPr>
        <w:spacing w:line="576" w:lineRule="atLeast"/>
        <w:ind w:firstLine="420" w:firstLineChars="200"/>
        <w:jc w:val="center"/>
      </w:pPr>
      <w:r>
        <w:drawing>
          <wp:inline distT="0" distB="0" distL="114300" distR="114300">
            <wp:extent cx="4572000" cy="2743200"/>
            <wp:effectExtent l="4445" t="4445" r="14605" b="146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34"/>
    </w:p>
    <w:p>
      <w:pPr>
        <w:spacing w:line="576" w:lineRule="atLeast"/>
        <w:ind w:firstLine="642" w:firstLineChars="200"/>
        <w:outlineLvl w:val="2"/>
        <w:rPr>
          <w:rStyle w:val="14"/>
          <w:rFonts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2019年一般公共预算支出决算数为1414.66万元，</w:t>
      </w:r>
      <w:r>
        <w:rPr>
          <w:rStyle w:val="14"/>
          <w:rFonts w:hint="eastAsia" w:ascii="仿宋_GB2312" w:hAnsi="仿宋_GB2312" w:eastAsia="仿宋_GB2312" w:cs="仿宋_GB2312"/>
          <w:bCs/>
          <w:color w:val="000000"/>
          <w:sz w:val="32"/>
          <w:szCs w:val="32"/>
        </w:rPr>
        <w:t>完成预算</w:t>
      </w:r>
      <w:r>
        <w:rPr>
          <w:rStyle w:val="14"/>
          <w:rFonts w:hint="eastAsia" w:ascii="仿宋_GB2312" w:hAnsi="仿宋_GB2312" w:eastAsia="仿宋_GB2312" w:cs="仿宋_GB2312"/>
          <w:bCs/>
          <w:color w:val="000000"/>
          <w:sz w:val="32"/>
          <w:szCs w:val="32"/>
          <w:lang w:val="en-US" w:eastAsia="zh-CN"/>
        </w:rPr>
        <w:t>86.06</w:t>
      </w:r>
      <w:r>
        <w:rPr>
          <w:rStyle w:val="14"/>
          <w:rFonts w:hint="eastAsia" w:ascii="仿宋_GB2312" w:hAnsi="仿宋_GB2312" w:eastAsia="仿宋_GB2312" w:cs="仿宋_GB2312"/>
          <w:bCs/>
          <w:color w:val="000000"/>
          <w:sz w:val="32"/>
          <w:szCs w:val="32"/>
        </w:rPr>
        <w:t>%。其中：</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1.一般公共服务（类）人大事务（款）行政运行（项）: </w:t>
      </w:r>
      <w:r>
        <w:rPr>
          <w:rStyle w:val="14"/>
          <w:rFonts w:hint="eastAsia" w:ascii="仿宋_GB2312" w:hAnsi="仿宋_GB2312" w:eastAsia="仿宋_GB2312" w:cs="仿宋_GB2312"/>
          <w:b w:val="0"/>
          <w:color w:val="000000"/>
          <w:sz w:val="32"/>
          <w:szCs w:val="32"/>
        </w:rPr>
        <w:t>支出决算为1.08万元，完成预算100%，决算数等于预算数。</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2.一般公共服务（类）人大事务（款）人大会议（项）: </w:t>
      </w:r>
      <w:r>
        <w:rPr>
          <w:rStyle w:val="14"/>
          <w:rFonts w:hint="eastAsia" w:ascii="仿宋_GB2312" w:hAnsi="仿宋_GB2312" w:eastAsia="仿宋_GB2312" w:cs="仿宋_GB2312"/>
          <w:b w:val="0"/>
          <w:color w:val="000000"/>
          <w:sz w:val="32"/>
          <w:szCs w:val="32"/>
        </w:rPr>
        <w:t>支出决算为0.68万元，完成预算100%，决算数等于预算数。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3.一般公共服务（类）人大事务（款）代表工作（项）: </w:t>
      </w:r>
      <w:r>
        <w:rPr>
          <w:rStyle w:val="14"/>
          <w:rFonts w:hint="eastAsia" w:ascii="仿宋_GB2312" w:hAnsi="仿宋_GB2312" w:eastAsia="仿宋_GB2312" w:cs="仿宋_GB2312"/>
          <w:b w:val="0"/>
          <w:color w:val="000000"/>
          <w:sz w:val="32"/>
          <w:szCs w:val="32"/>
        </w:rPr>
        <w:t>支出决算为1.99万元，完成预算100%，决算数等于预算数。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4.一般公共服务（类）政府办公厅（室）及相关机构事务（款）行政运行（项）:</w:t>
      </w:r>
      <w:r>
        <w:rPr>
          <w:rStyle w:val="14"/>
          <w:rFonts w:hint="eastAsia" w:ascii="仿宋_GB2312" w:hAnsi="仿宋_GB2312" w:eastAsia="仿宋_GB2312" w:cs="仿宋_GB2312"/>
          <w:b w:val="0"/>
          <w:color w:val="000000"/>
          <w:sz w:val="32"/>
          <w:szCs w:val="32"/>
        </w:rPr>
        <w:t xml:space="preserve"> 支出决算为464.87万元，完成预算100%，决算数等于预算数。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5.一般公共服务（类）政府办公厅（室）及相关机构事务（款） 一般行政管理事务（项）: </w:t>
      </w:r>
      <w:r>
        <w:rPr>
          <w:rStyle w:val="14"/>
          <w:rFonts w:hint="eastAsia" w:ascii="仿宋_GB2312" w:hAnsi="仿宋_GB2312" w:eastAsia="仿宋_GB2312" w:cs="仿宋_GB2312"/>
          <w:b w:val="0"/>
          <w:color w:val="000000"/>
          <w:sz w:val="32"/>
          <w:szCs w:val="32"/>
        </w:rPr>
        <w:t xml:space="preserve">支出决算为18.71万元，完成预算100%，决算数等于预算数。 </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6.一般公共服务（类）政府办公厅（室）及相关机构事务（款）其他政府办公厅（室）及相关机构事务支出（项）: </w:t>
      </w:r>
      <w:r>
        <w:rPr>
          <w:rStyle w:val="14"/>
          <w:rFonts w:hint="eastAsia" w:ascii="仿宋_GB2312" w:hAnsi="仿宋_GB2312" w:eastAsia="仿宋_GB2312" w:cs="仿宋_GB2312"/>
          <w:b w:val="0"/>
          <w:color w:val="000000"/>
          <w:sz w:val="32"/>
          <w:szCs w:val="32"/>
        </w:rPr>
        <w:t>支出决算为2.05万元，完成预算100%，决算数等于预算数。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7.一般公共服务（类）财政事务（款）事业运行（项）: </w:t>
      </w:r>
      <w:r>
        <w:rPr>
          <w:rStyle w:val="14"/>
          <w:rFonts w:hint="eastAsia" w:ascii="仿宋_GB2312" w:hAnsi="仿宋_GB2312" w:eastAsia="仿宋_GB2312" w:cs="仿宋_GB2312"/>
          <w:b w:val="0"/>
          <w:color w:val="000000"/>
          <w:sz w:val="32"/>
          <w:szCs w:val="32"/>
        </w:rPr>
        <w:t>支出决算为7.51万元，完成预算100%，决算数等于预算数。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8.一般公共服务（类）党委办公厅（室）及相关机构事务（款）行政运行（项）: </w:t>
      </w:r>
      <w:r>
        <w:rPr>
          <w:rStyle w:val="14"/>
          <w:rFonts w:hint="eastAsia" w:ascii="仿宋_GB2312" w:hAnsi="仿宋_GB2312" w:eastAsia="仿宋_GB2312" w:cs="仿宋_GB2312"/>
          <w:b w:val="0"/>
          <w:color w:val="000000"/>
          <w:sz w:val="32"/>
          <w:szCs w:val="32"/>
        </w:rPr>
        <w:t>支出决算为61.31万元，完成预算100%，决算数等于预算数。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9.社会保障和就业（类）行政事业单位离退休（款）机关事业单位基本养老保险缴费支出（项）: </w:t>
      </w:r>
      <w:r>
        <w:rPr>
          <w:rStyle w:val="14"/>
          <w:rFonts w:hint="eastAsia" w:ascii="仿宋_GB2312" w:hAnsi="仿宋_GB2312" w:eastAsia="仿宋_GB2312" w:cs="仿宋_GB2312"/>
          <w:b w:val="0"/>
          <w:color w:val="000000"/>
          <w:sz w:val="32"/>
          <w:szCs w:val="32"/>
        </w:rPr>
        <w:t>支出决算为65.36万元，完成预算100%，决算数等于预算数。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10.社会保障和就业（类）行政事业单位离退休（款）机关事业单位职业年金缴费支出（项）:</w:t>
      </w:r>
      <w:r>
        <w:rPr>
          <w:rStyle w:val="14"/>
          <w:rFonts w:hint="eastAsia" w:ascii="仿宋_GB2312" w:hAnsi="仿宋_GB2312" w:eastAsia="仿宋_GB2312" w:cs="仿宋_GB2312"/>
          <w:b w:val="0"/>
          <w:color w:val="000000"/>
          <w:sz w:val="32"/>
          <w:szCs w:val="32"/>
        </w:rPr>
        <w:t xml:space="preserve"> 支出决算为30.19万元，完成预算100%，决算数等于预算数。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11.社会保障和就业（类）社会福利（款）老年福利（项）: </w:t>
      </w:r>
      <w:r>
        <w:rPr>
          <w:rStyle w:val="14"/>
          <w:rFonts w:hint="eastAsia" w:ascii="仿宋_GB2312" w:hAnsi="仿宋_GB2312" w:eastAsia="仿宋_GB2312" w:cs="仿宋_GB2312"/>
          <w:b w:val="0"/>
          <w:color w:val="000000"/>
          <w:sz w:val="32"/>
          <w:szCs w:val="32"/>
        </w:rPr>
        <w:t>支出决算为1.51万元，完成预算100%，决算数等于预算数。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12.社会保障和就业（类）社会福利（款）其他社会福利支出（项）:</w:t>
      </w:r>
      <w:r>
        <w:rPr>
          <w:rStyle w:val="14"/>
          <w:rFonts w:hint="eastAsia" w:ascii="仿宋_GB2312" w:hAnsi="仿宋_GB2312" w:eastAsia="仿宋_GB2312" w:cs="仿宋_GB2312"/>
          <w:b w:val="0"/>
          <w:color w:val="000000"/>
          <w:sz w:val="32"/>
          <w:szCs w:val="32"/>
        </w:rPr>
        <w:t xml:space="preserve"> 支出决算为2.81万元，完成预算100%，决算数等于预算数。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13.社会保障和就业（类）退役军人管理事务（款）拥军优属（项）：</w:t>
      </w:r>
      <w:r>
        <w:rPr>
          <w:rStyle w:val="14"/>
          <w:rFonts w:hint="eastAsia" w:ascii="仿宋_GB2312" w:hAnsi="仿宋_GB2312" w:eastAsia="仿宋_GB2312" w:cs="仿宋_GB2312"/>
          <w:b w:val="0"/>
          <w:color w:val="000000"/>
          <w:sz w:val="32"/>
          <w:szCs w:val="32"/>
        </w:rPr>
        <w:t>支出决算为1.10万元，完成预算100%，决算数等于预算数。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14.卫生健康（类）公共卫生（款）重大公共卫生专项（项）:</w:t>
      </w:r>
      <w:r>
        <w:rPr>
          <w:rStyle w:val="14"/>
          <w:rFonts w:hint="eastAsia" w:ascii="仿宋_GB2312" w:hAnsi="仿宋_GB2312" w:eastAsia="仿宋_GB2312" w:cs="仿宋_GB2312"/>
          <w:b w:val="0"/>
          <w:color w:val="000000"/>
          <w:sz w:val="32"/>
          <w:szCs w:val="32"/>
        </w:rPr>
        <w:t>支出决算为1万元，完成预算100%，决算数等于预算数。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15.卫生健康（类）行政事业单位医疗（款）行政单位医疗（项）:</w:t>
      </w:r>
      <w:r>
        <w:rPr>
          <w:rStyle w:val="14"/>
          <w:rFonts w:hint="eastAsia" w:ascii="仿宋_GB2312" w:hAnsi="仿宋_GB2312" w:eastAsia="仿宋_GB2312" w:cs="仿宋_GB2312"/>
          <w:b w:val="0"/>
          <w:color w:val="000000"/>
          <w:sz w:val="32"/>
          <w:szCs w:val="32"/>
        </w:rPr>
        <w:t>支出决算为48.85万元，完成预算100%，决算数等于预算数。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16.农林水支出（类）农业（款）事业运行（项）:</w:t>
      </w:r>
      <w:r>
        <w:rPr>
          <w:rStyle w:val="14"/>
          <w:rFonts w:hint="eastAsia" w:ascii="仿宋_GB2312" w:hAnsi="仿宋_GB2312" w:eastAsia="仿宋_GB2312" w:cs="仿宋_GB2312"/>
          <w:b w:val="0"/>
          <w:color w:val="000000"/>
          <w:sz w:val="32"/>
          <w:szCs w:val="32"/>
        </w:rPr>
        <w:t xml:space="preserve"> 支出决算为218.23万元，完成预算100%，决算数等于预算数。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17.农林水支出（类）农业（款）其他农业支出（项）: </w:t>
      </w:r>
      <w:r>
        <w:rPr>
          <w:rStyle w:val="14"/>
          <w:rFonts w:hint="eastAsia" w:ascii="仿宋_GB2312" w:hAnsi="仿宋_GB2312" w:eastAsia="仿宋_GB2312" w:cs="仿宋_GB2312"/>
          <w:b w:val="0"/>
          <w:color w:val="000000"/>
          <w:sz w:val="32"/>
          <w:szCs w:val="32"/>
        </w:rPr>
        <w:t>支出决算为4万元，完成预算100%，决算数等于预算数。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18.农林水支出（类）扶贫（款）其他扶贫支出（项）: </w:t>
      </w:r>
      <w:r>
        <w:rPr>
          <w:rStyle w:val="14"/>
          <w:rFonts w:hint="eastAsia" w:ascii="仿宋_GB2312" w:hAnsi="仿宋_GB2312" w:eastAsia="仿宋_GB2312" w:cs="仿宋_GB2312"/>
          <w:b w:val="0"/>
          <w:color w:val="000000"/>
          <w:sz w:val="32"/>
          <w:szCs w:val="32"/>
        </w:rPr>
        <w:t>支出决算为81.22万元，完成预算100%，决算数等于预算数。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19.农林水支出（类）农村综合改革（款）对村民委员会和村党支部的支出（项）: </w:t>
      </w:r>
      <w:r>
        <w:rPr>
          <w:rStyle w:val="14"/>
          <w:rFonts w:hint="eastAsia" w:ascii="仿宋_GB2312" w:hAnsi="仿宋_GB2312" w:eastAsia="仿宋_GB2312" w:cs="仿宋_GB2312"/>
          <w:b w:val="0"/>
          <w:color w:val="000000"/>
          <w:sz w:val="32"/>
          <w:szCs w:val="32"/>
        </w:rPr>
        <w:t>支出决算为322.98万元，完完成预算100%，决算数等于预算数。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20.农林水支出（类）其他农林水支出（款）其他农林水支出（项）: </w:t>
      </w:r>
      <w:r>
        <w:rPr>
          <w:rStyle w:val="14"/>
          <w:rFonts w:hint="eastAsia" w:ascii="仿宋_GB2312" w:hAnsi="仿宋_GB2312" w:eastAsia="仿宋_GB2312" w:cs="仿宋_GB2312"/>
          <w:b w:val="0"/>
          <w:color w:val="000000"/>
          <w:sz w:val="32"/>
          <w:szCs w:val="32"/>
        </w:rPr>
        <w:t>支出决算为1.40万元，完成预算100%，决算数等于预算数。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21.住房保障支出（类）住房改革支出（款）住房公积金（项）: </w:t>
      </w:r>
      <w:r>
        <w:rPr>
          <w:rStyle w:val="14"/>
          <w:rFonts w:hint="eastAsia" w:ascii="仿宋_GB2312" w:hAnsi="仿宋_GB2312" w:eastAsia="仿宋_GB2312" w:cs="仿宋_GB2312"/>
          <w:b w:val="0"/>
          <w:color w:val="000000"/>
          <w:sz w:val="32"/>
          <w:szCs w:val="32"/>
        </w:rPr>
        <w:t>支出决算为70.47万元，完成预算100%，决算数等于预算数。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22.其他支出（类）其他支出（款）其他支出（项）：</w:t>
      </w:r>
      <w:r>
        <w:rPr>
          <w:rStyle w:val="14"/>
          <w:rFonts w:hint="eastAsia" w:ascii="仿宋_GB2312" w:hAnsi="仿宋_GB2312" w:eastAsia="仿宋_GB2312" w:cs="仿宋_GB2312"/>
          <w:b w:val="0"/>
          <w:color w:val="000000"/>
          <w:sz w:val="32"/>
          <w:szCs w:val="32"/>
        </w:rPr>
        <w:t>支出决算为7.34万元，完成预算100%，决算数等于预算数。</w:t>
      </w:r>
    </w:p>
    <w:p>
      <w:pPr>
        <w:tabs>
          <w:tab w:val="right" w:pos="8306"/>
        </w:tabs>
        <w:spacing w:line="600" w:lineRule="exact"/>
        <w:ind w:firstLine="640"/>
        <w:outlineLvl w:val="1"/>
        <w:rPr>
          <w:rStyle w:val="25"/>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9年一般公共预算财政拨款基本支出967.87万元，其中：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914.12万元，主要包括：基本工资、津贴补贴、奖金、绩效工资、机关事业单位基本养老保险缴费、职业年金缴费、其他社会保障缴费、其他工资福利支出、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日常公用经费53.75万元，主要包括：办公费、手续费、水费、电费、邮电费、差旅费、维修（护）费、培训费、公务用车运行维护费、其他交通费等。</w:t>
      </w:r>
    </w:p>
    <w:p>
      <w:pPr>
        <w:spacing w:line="600" w:lineRule="exact"/>
        <w:ind w:firstLine="640"/>
        <w:outlineLvl w:val="1"/>
        <w:rPr>
          <w:rStyle w:val="25"/>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2" w:firstLineChars="200"/>
        <w:outlineLvl w:val="2"/>
        <w:rPr>
          <w:rFonts w:hint="eastAsia" w:ascii="楷体" w:hAnsi="楷体" w:eastAsia="楷体" w:cs="楷体"/>
          <w:b/>
          <w:color w:val="000000"/>
          <w:sz w:val="32"/>
          <w:szCs w:val="32"/>
        </w:rPr>
      </w:pPr>
      <w:bookmarkStart w:id="40" w:name="_Toc15377216"/>
      <w:r>
        <w:rPr>
          <w:rFonts w:hint="eastAsia" w:ascii="楷体" w:hAnsi="楷体" w:eastAsia="楷体" w:cs="楷体"/>
          <w:b/>
          <w:color w:val="000000"/>
          <w:sz w:val="32"/>
          <w:szCs w:val="32"/>
        </w:rPr>
        <w:t>（一）“三公”经费财政拨款支出决算总体情况说明</w:t>
      </w:r>
      <w:bookmarkEnd w:id="40"/>
    </w:p>
    <w:p>
      <w:pPr>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2019年“三公”经费财政拨款支出决算为5.45万元，完成预算100%，决算数与预算数持平</w:t>
      </w:r>
      <w:r>
        <w:rPr>
          <w:rFonts w:hint="eastAsia" w:ascii="仿宋" w:hAnsi="仿宋" w:eastAsia="仿宋" w:cs="仿宋"/>
          <w:sz w:val="32"/>
          <w:szCs w:val="32"/>
        </w:rPr>
        <w:t>。</w:t>
      </w:r>
    </w:p>
    <w:p>
      <w:pPr>
        <w:spacing w:line="600" w:lineRule="exact"/>
        <w:ind w:firstLine="642" w:firstLineChars="200"/>
        <w:outlineLvl w:val="2"/>
        <w:rPr>
          <w:rFonts w:hint="eastAsia" w:ascii="楷体" w:hAnsi="楷体" w:eastAsia="楷体" w:cs="楷体"/>
          <w:b/>
          <w:color w:val="000000"/>
          <w:sz w:val="32"/>
          <w:szCs w:val="32"/>
        </w:rPr>
      </w:pPr>
      <w:bookmarkStart w:id="41" w:name="_Toc15377217"/>
      <w:r>
        <w:rPr>
          <w:rFonts w:hint="eastAsia" w:ascii="楷体" w:hAnsi="楷体" w:eastAsia="楷体" w:cs="楷体"/>
          <w:b/>
          <w:color w:val="000000"/>
          <w:sz w:val="32"/>
          <w:szCs w:val="32"/>
        </w:rPr>
        <w:t>（二）“三公”经费财政拨款支出决算具体情况说明</w:t>
      </w:r>
      <w:bookmarkEnd w:id="41"/>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2019年“三公”经费财政拨款支出决算中，因公出国（境）费支出决算0万元，占0%；公务用车购置及运行维护费支出决算5.45万元，占100%；公务接待费支出决算0万元，占0%。具体情况如下：</w:t>
      </w:r>
    </w:p>
    <w:p>
      <w:pPr>
        <w:spacing w:line="576" w:lineRule="atLeast"/>
        <w:jc w:val="center"/>
      </w:pPr>
      <w:r>
        <w:drawing>
          <wp:inline distT="0" distB="0" distL="114300" distR="114300">
            <wp:extent cx="4572000" cy="2743200"/>
            <wp:effectExtent l="4445" t="4445" r="14605" b="14605"/>
            <wp:docPr id="15"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atLeast"/>
        <w:jc w:val="center"/>
        <w:rPr>
          <w:rFonts w:ascii="仿宋" w:hAnsi="仿宋" w:eastAsia="仿宋" w:cs="仿宋"/>
          <w:color w:val="000000"/>
          <w:sz w:val="32"/>
          <w:szCs w:val="32"/>
        </w:rPr>
      </w:pPr>
      <w:r>
        <w:rPr>
          <w:rFonts w:hint="eastAsia" w:ascii="仿宋" w:hAnsi="仿宋" w:eastAsia="仿宋" w:cs="仿宋"/>
          <w:color w:val="000000"/>
          <w:sz w:val="32"/>
          <w:szCs w:val="32"/>
        </w:rPr>
        <w:t>图7：“三公”经费财政拨款支出结构</w:t>
      </w:r>
    </w:p>
    <w:p>
      <w:pPr>
        <w:spacing w:line="600" w:lineRule="exact"/>
        <w:ind w:firstLine="642" w:firstLineChars="200"/>
        <w:rPr>
          <w:rFonts w:ascii="仿宋_GB2312" w:eastAsia="仿宋_GB2312"/>
          <w:color w:val="000000"/>
          <w:sz w:val="32"/>
          <w:szCs w:val="32"/>
        </w:rPr>
      </w:pPr>
      <w:bookmarkStart w:id="42" w:name="_Toc15377218"/>
      <w:bookmarkStart w:id="43" w:name="_Toc15396610"/>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5.45万元,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公务用车购置及运行维护费支出决算与2019年持平。</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w:t>
      </w:r>
      <w:r>
        <w:rPr>
          <w:rFonts w:hint="eastAsia" w:ascii="仿宋_GB2312" w:hAnsi="仿宋_GB2312" w:eastAsia="仿宋_GB2312" w:cs="仿宋_GB2312"/>
          <w:color w:val="000000"/>
          <w:sz w:val="32"/>
          <w:szCs w:val="32"/>
        </w:rPr>
        <w:t>轿车0辆、金额0万元，越野车2辆、金额0万元，载客汽车0辆、金额0万元。</w:t>
      </w:r>
    </w:p>
    <w:p>
      <w:pPr>
        <w:spacing w:line="576" w:lineRule="atLeast"/>
        <w:ind w:firstLine="642" w:firstLineChars="20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公务用车运行维护费支出5.45</w:t>
      </w:r>
      <w:r>
        <w:rPr>
          <w:rFonts w:hint="eastAsia" w:ascii="仿宋_GB2312" w:eastAsia="仿宋_GB2312"/>
          <w:color w:val="000000"/>
          <w:sz w:val="32"/>
          <w:szCs w:val="32"/>
        </w:rPr>
        <w:t>万元。</w:t>
      </w:r>
      <w:r>
        <w:rPr>
          <w:rFonts w:hint="eastAsia" w:ascii="仿宋_GB2312" w:hAnsi="仿宋_GB2312" w:eastAsia="仿宋_GB2312" w:cs="仿宋_GB2312"/>
          <w:color w:val="000000"/>
          <w:sz w:val="32"/>
          <w:szCs w:val="32"/>
        </w:rPr>
        <w:t>下村开展日常工作所需的公务用车燃料费、维修费、过路过桥费、保险费等支出。</w:t>
      </w:r>
    </w:p>
    <w:p>
      <w:pPr>
        <w:spacing w:line="600" w:lineRule="exact"/>
        <w:ind w:left="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s="仿宋_GB2312"/>
          <w:b/>
          <w:bCs/>
          <w:color w:val="000000"/>
          <w:sz w:val="32"/>
          <w:szCs w:val="32"/>
        </w:rPr>
        <w:t>2.87</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4" w:name="_Toc15396611"/>
      <w:bookmarkStart w:id="45" w:name="_Toc15377219"/>
      <w:r>
        <w:rPr>
          <w:rStyle w:val="25"/>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5"/>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2" w:firstLineChars="200"/>
        <w:outlineLvl w:val="2"/>
        <w:rPr>
          <w:rFonts w:hint="eastAsia" w:ascii="楷体" w:hAnsi="楷体" w:eastAsia="楷体" w:cs="楷体"/>
          <w:b/>
          <w:color w:val="000000"/>
          <w:sz w:val="32"/>
          <w:szCs w:val="32"/>
        </w:rPr>
      </w:pPr>
      <w:bookmarkStart w:id="48" w:name="_Toc15377222"/>
      <w:r>
        <w:rPr>
          <w:rFonts w:hint="eastAsia" w:ascii="楷体" w:hAnsi="楷体" w:eastAsia="楷体" w:cs="楷体"/>
          <w:b/>
          <w:color w:val="000000"/>
          <w:sz w:val="32"/>
          <w:szCs w:val="32"/>
        </w:rPr>
        <w:t>（一）机关运行经费支出情况</w:t>
      </w:r>
      <w:bookmarkEnd w:id="48"/>
    </w:p>
    <w:p>
      <w:pPr>
        <w:autoSpaceDE w:val="0"/>
        <w:autoSpaceDN w:val="0"/>
        <w:adjustRightInd w:val="0"/>
        <w:spacing w:line="576" w:lineRule="atLeast"/>
        <w:ind w:firstLine="640" w:firstLineChars="200"/>
        <w:rPr>
          <w:rFonts w:ascii="仿宋_GB2312" w:eastAsia="仿宋_GB2312" w:cs="仿宋_GB2312"/>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9年茂县赤不苏镇人民政府机关运行经费支出</w:t>
      </w:r>
      <w:r>
        <w:rPr>
          <w:rFonts w:hint="eastAsia" w:ascii="仿宋" w:hAnsi="仿宋" w:eastAsia="仿宋"/>
          <w:color w:val="000000"/>
          <w:sz w:val="32"/>
          <w:szCs w:val="32"/>
        </w:rPr>
        <w:t>53.75</w:t>
      </w:r>
      <w:r>
        <w:rPr>
          <w:rFonts w:hint="eastAsia" w:ascii="仿宋_GB2312" w:eastAsia="仿宋_GB2312" w:cs="仿宋_GB2312"/>
          <w:color w:val="000000"/>
          <w:sz w:val="32"/>
          <w:szCs w:val="32"/>
        </w:rPr>
        <w:t>万元，</w:t>
      </w:r>
      <w:r>
        <w:rPr>
          <w:rFonts w:hint="eastAsia" w:ascii="仿宋_GB2312" w:eastAsia="仿宋_GB2312" w:cs="仿宋_GB2312"/>
          <w:sz w:val="32"/>
          <w:szCs w:val="32"/>
        </w:rPr>
        <w:t>比201</w:t>
      </w: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年增加</w:t>
      </w:r>
      <w:r>
        <w:rPr>
          <w:rFonts w:hint="eastAsia" w:ascii="仿宋_GB2312" w:eastAsia="仿宋_GB2312" w:cs="仿宋_GB2312"/>
          <w:sz w:val="32"/>
          <w:szCs w:val="32"/>
          <w:lang w:val="en-US" w:eastAsia="zh-CN"/>
        </w:rPr>
        <w:t>6.96</w:t>
      </w:r>
      <w:r>
        <w:rPr>
          <w:rFonts w:hint="eastAsia" w:ascii="仿宋_GB2312" w:eastAsia="仿宋_GB2312" w:cs="仿宋_GB2312"/>
          <w:sz w:val="32"/>
          <w:szCs w:val="32"/>
        </w:rPr>
        <w:t>万元，增加</w:t>
      </w:r>
      <w:r>
        <w:rPr>
          <w:rFonts w:hint="eastAsia" w:ascii="仿宋_GB2312" w:eastAsia="仿宋_GB2312" w:cs="仿宋_GB2312"/>
          <w:sz w:val="32"/>
          <w:szCs w:val="32"/>
          <w:lang w:val="en-US" w:eastAsia="zh-CN"/>
        </w:rPr>
        <w:t>14.88</w:t>
      </w:r>
      <w:r>
        <w:rPr>
          <w:rFonts w:ascii="仿宋_GB2312" w:eastAsia="仿宋_GB2312" w:cs="仿宋_GB2312"/>
          <w:sz w:val="32"/>
          <w:szCs w:val="32"/>
        </w:rPr>
        <w:t>%</w:t>
      </w:r>
      <w:r>
        <w:rPr>
          <w:rFonts w:hint="eastAsia" w:ascii="仿宋_GB2312" w:eastAsia="仿宋_GB2312" w:cs="仿宋_GB2312"/>
          <w:sz w:val="32"/>
          <w:szCs w:val="32"/>
        </w:rPr>
        <w:t>。单位出差旅费用增加。</w:t>
      </w:r>
      <w:bookmarkStart w:id="49" w:name="_Toc15377223"/>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bookmarkEnd w:id="49"/>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9年，茂县赤不苏镇人民政府采购支出总额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万元，其中：政府采购货物支出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600" w:lineRule="exact"/>
        <w:ind w:firstLine="642" w:firstLineChars="200"/>
        <w:outlineLvl w:val="2"/>
        <w:rPr>
          <w:rFonts w:hint="eastAsia" w:ascii="楷体" w:hAnsi="楷体" w:eastAsia="楷体" w:cs="楷体"/>
          <w:b/>
          <w:color w:val="000000"/>
          <w:sz w:val="32"/>
          <w:szCs w:val="32"/>
        </w:rPr>
      </w:pPr>
      <w:bookmarkStart w:id="50" w:name="_Toc15377224"/>
      <w:r>
        <w:rPr>
          <w:rFonts w:hint="eastAsia" w:ascii="楷体" w:hAnsi="楷体" w:eastAsia="楷体" w:cs="楷体"/>
          <w:b/>
          <w:color w:val="000000"/>
          <w:sz w:val="32"/>
          <w:szCs w:val="32"/>
        </w:rPr>
        <w:t>（三）国有资产占有使用情况</w:t>
      </w:r>
      <w:bookmarkEnd w:id="50"/>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日，茂县赤不苏镇人民政府共有车辆2辆，其中：领导干部用车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辆、其他用车2辆，车两主要用于下村开展日常工作。单价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赤不苏镇人民政府在年初预算编制阶段，组织对2019年一般公共预算项目开展了预算事前绩效评估，对2个项目编制了绩效目标，预算执行过程中，选取5个项目开展绩效监控，年终执行完毕后，对5个项目开展了绩效目标完成情况梳理填报。</w:t>
      </w:r>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茂县赤不苏镇人民政府按要求对2019年部门整体支出开展绩效自评，从评价情况来看</w:t>
      </w:r>
      <w:r>
        <w:rPr>
          <w:rFonts w:hint="eastAsia" w:ascii="仿宋_GB2312" w:hAnsi="仿宋_GB2312" w:eastAsia="仿宋_GB2312" w:cs="仿宋_GB2312"/>
          <w:color w:val="000000"/>
          <w:kern w:val="0"/>
          <w:sz w:val="32"/>
          <w:szCs w:val="32"/>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autoSpaceDE w:val="0"/>
        <w:autoSpaceDN w:val="0"/>
        <w:adjustRightInd w:val="0"/>
        <w:spacing w:line="600" w:lineRule="exact"/>
        <w:ind w:firstLine="642" w:firstLineChars="200"/>
        <w:jc w:val="left"/>
        <w:outlineLvl w:val="2"/>
        <w:rPr>
          <w:rFonts w:hint="eastAsia" w:ascii="仿宋" w:hAnsi="仿宋" w:eastAsia="仿宋"/>
          <w:b/>
          <w:color w:val="000000"/>
          <w:sz w:val="32"/>
          <w:szCs w:val="32"/>
        </w:rPr>
      </w:pPr>
      <w:r>
        <w:rPr>
          <w:rFonts w:hint="eastAsia" w:ascii="仿宋" w:hAnsi="仿宋" w:eastAsia="仿宋"/>
          <w:b/>
          <w:color w:val="000000"/>
          <w:sz w:val="32"/>
          <w:szCs w:val="32"/>
        </w:rPr>
        <w:t>项目绩效目标完成情况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9年度部门决算中反映“包虫病防治经费”“基层组织活动和公共服务运行经费”“农业资源及生态保护补助资金”“ 省州财政养老服务业发展专项补助资金”“俄俄村太阳能路灯安装”等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镇包虫病防治项目绩效目标完成情况综述。项目全年预算数1万元，执行数为1万元，完成预算的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。通过项目实施，保障了我镇农户畜禽的健康，丰富</w:t>
      </w:r>
      <w:r>
        <w:rPr>
          <w:rFonts w:hint="eastAsia" w:ascii="仿宋_GB2312" w:eastAsia="仿宋_GB2312" w:cs="仿宋_GB2312"/>
          <w:color w:val="000000"/>
          <w:sz w:val="32"/>
          <w:szCs w:val="32"/>
          <w:lang w:val="zh-CN"/>
        </w:rPr>
        <w:t>了人民群众</w:t>
      </w:r>
      <w:r>
        <w:rPr>
          <w:rFonts w:hint="eastAsia" w:ascii="仿宋_GB2312" w:eastAsia="仿宋_GB2312" w:cs="仿宋_GB2312"/>
          <w:color w:val="000000"/>
          <w:sz w:val="32"/>
          <w:szCs w:val="32"/>
        </w:rPr>
        <w:t>的防疫知识，发现的主要问题是发现了有许多流浪猫狗，有村民卫生意识较差。下一步改进措施：加强组织领导，强化督促检查，加大宣传教育力度，确保各项工作任务的有序开展。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基层组织活动和公共服务运行经费项目绩效目标完成情况综述。项目全年预算数143万元，执行数为322.98万元（包含上年结转资金），完成预算的100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 xml:space="preserve"> 农业资源及生态保护补助资金项目绩效目标完成情况综述。项目全年预算数1.4万元，执行数为1.4万元，完成预算的100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。通过项目实施，使人民群众更加了解农业资源及生态保护政策</w:t>
      </w:r>
      <w:r>
        <w:rPr>
          <w:rFonts w:hint="eastAsia" w:ascii="仿宋_GB2312" w:eastAsia="仿宋_GB2312" w:cs="仿宋_GB2312"/>
          <w:color w:val="000000"/>
          <w:sz w:val="32"/>
          <w:szCs w:val="32"/>
          <w:lang w:val="zh-CN"/>
        </w:rPr>
        <w:t>，满足了人民群众不断增长的政策需求，提高人居生活质量，</w:t>
      </w:r>
      <w:r>
        <w:rPr>
          <w:rFonts w:hint="eastAsia" w:ascii="仿宋_GB2312" w:eastAsia="仿宋_GB2312" w:cs="仿宋_GB2312"/>
          <w:color w:val="000000"/>
          <w:sz w:val="32"/>
          <w:szCs w:val="32"/>
        </w:rPr>
        <w:t>为村民的生产、生活提供了良好的条件，发现的主要问题是群众政策理解不透彻。下一步改进措施：加强组织领导，强化督促检查，加大宣传，确保各项工作任务的有序开展。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rPr>
        <w:t>省州财政养老服务业发展专项补助资金项目绩效目标完成情况综述。项目全年预算数2.61万元，执行数为2.61万元，完成预算的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。通过项目实施，改善了老年人的生活</w:t>
      </w:r>
      <w:r>
        <w:rPr>
          <w:rFonts w:hint="eastAsia" w:ascii="仿宋_GB2312" w:eastAsia="仿宋_GB2312" w:cs="仿宋_GB2312"/>
          <w:color w:val="000000"/>
          <w:sz w:val="32"/>
          <w:szCs w:val="32"/>
          <w:lang w:val="zh-CN"/>
        </w:rPr>
        <w:t>，提高了老年人的精神享受感，满足了人民群众不断增长的生活需求，提高人居生活质量，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rPr>
        <w:t xml:space="preserve"> 俄俄村太阳能路灯安装项目绩效目标完成情况综述。项目全年预算数2万元，执行数为2万元，完成预算的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。通过项目实施，改善了俄俄村全村老百姓用道路照明问题</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9年镇包虫病防治项目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提高了群众对包虫病的防治知识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提高了群众对包虫病的防治知识</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防治包虫病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防治包虫病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解决老百姓的经济损失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提高人民群众的防治知识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减少了老百姓的经济损失</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autoSpaceDE w:val="0"/>
              <w:autoSpaceDN w:val="0"/>
              <w:adjustRightInd w:val="0"/>
              <w:spacing w:line="576" w:lineRule="atLeast"/>
              <w:rPr>
                <w:rFonts w:ascii="仿宋_GB2312" w:hAnsi="仿宋_GB2312" w:eastAsia="仿宋_GB2312"/>
                <w:color w:val="000000"/>
                <w:sz w:val="24"/>
              </w:rPr>
            </w:pPr>
            <w:r>
              <w:rPr>
                <w:rFonts w:ascii="仿宋_GB2312" w:eastAsia="仿宋_GB2312"/>
                <w:color w:val="000000"/>
                <w:sz w:val="24"/>
              </w:rPr>
              <w:t>201</w:t>
            </w:r>
            <w:r>
              <w:rPr>
                <w:rFonts w:hint="eastAsia" w:ascii="仿宋_GB2312" w:eastAsia="仿宋_GB2312"/>
                <w:color w:val="000000"/>
                <w:sz w:val="24"/>
              </w:rPr>
              <w:t>9年农业资源及生态保护补助资金项目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农业资源及生态保护补助资政策宣传</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农业资源及生态保护补助资金已完成宣传</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加强农业资源及生态保护补助资政策宣传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已完成宣传任务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ind w:firstLine="240" w:firstLineChars="100"/>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解决老百姓用水难问题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满足人民群众不断增长的生活需求，提高老百姓生产、生活质量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为全村经济发展奠定了基础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黑体" w:hAnsi="黑体" w:eastAsia="黑体" w:cs="黑体"/>
                <w:color w:val="000000"/>
                <w:kern w:val="0"/>
                <w:sz w:val="36"/>
                <w:szCs w:val="36"/>
              </w:rPr>
            </w:pPr>
          </w:p>
          <w:p>
            <w:pPr>
              <w:pStyle w:val="23"/>
              <w:spacing w:line="576" w:lineRule="atLeast"/>
              <w:ind w:firstLine="0" w:firstLineChars="0"/>
              <w:textAlignment w:val="center"/>
              <w:rPr>
                <w:rFonts w:hint="eastAsia" w:ascii="黑体" w:hAnsi="黑体" w:eastAsia="黑体" w:cs="黑体"/>
                <w:color w:val="000000"/>
                <w:kern w:val="0"/>
                <w:sz w:val="36"/>
                <w:szCs w:val="36"/>
              </w:rPr>
            </w:pPr>
          </w:p>
          <w:p>
            <w:pPr>
              <w:pStyle w:val="23"/>
              <w:spacing w:line="576" w:lineRule="atLeast"/>
              <w:ind w:firstLine="0" w:firstLineChars="0"/>
              <w:textAlignment w:val="center"/>
              <w:rPr>
                <w:rFonts w:ascii="黑体" w:hAnsi="黑体" w:eastAsia="黑体" w:cs="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9年俄俄村太阳能路灯安装</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改善</w:t>
            </w:r>
            <w:r>
              <w:rPr>
                <w:rFonts w:hint="eastAsia" w:ascii="仿宋_GB2312" w:hAnsi="仿宋_GB2312" w:eastAsia="仿宋_GB2312" w:cs="仿宋_GB2312"/>
                <w:color w:val="000000"/>
                <w:sz w:val="24"/>
              </w:rPr>
              <w:t>俄俄</w:t>
            </w:r>
            <w:r>
              <w:rPr>
                <w:rFonts w:hint="eastAsia" w:ascii="仿宋_GB2312" w:hAnsi="仿宋_GB2312" w:eastAsia="仿宋_GB2312"/>
                <w:color w:val="000000"/>
                <w:sz w:val="24"/>
              </w:rPr>
              <w:t>村照明</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俄俄村范围内的道路照明</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购买太阳能路灯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太阳能路灯购买及安装</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改善俄俄村照明</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提高俄俄村老百姓生活环境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为全村老百姓脱贫致富奠定了基础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p>
      <w:pPr>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2019年省州财政养老服务业发展专项补助资金</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2.61万元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保障老年人精神需求</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保障了老年人精神需求</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保障老年人精神需求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2.61万元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2.61万元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优化村道路建设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201</w:t>
            </w:r>
            <w:r>
              <w:rPr>
                <w:rFonts w:hint="eastAsia" w:ascii="仿宋_GB2312" w:hAnsi="仿宋_GB2312" w:eastAsia="仿宋_GB2312" w:cs="仿宋_GB2312"/>
                <w:color w:val="000000"/>
                <w:kern w:val="0"/>
                <w:sz w:val="24"/>
              </w:rPr>
              <w:t>9年基层组织活动和公共服务运行经费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茂县赤不苏镇人民政府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322.98万元（包含上年结转)</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143万元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322.98万元（包含上年结转)</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13个行政村的日常办公及村内道路的环境卫生及管水管电的日常开支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实现了13个行政村的日常办公及村内道路的环境卫生及管水管电的日常开支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322.98万元（包含上年结转)</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143万元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322.98万元（包含上年结转)</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autoSpaceDE w:val="0"/>
        <w:autoSpaceDN w:val="0"/>
        <w:adjustRightInd w:val="0"/>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本单位按要求对2019年部门整体支出绩效评价情况开展自评，《茂县赤不苏镇人民政府2019年部门整体支出绩效评价报告》见附件(附件1）。</w:t>
      </w:r>
      <w:r>
        <w:rPr>
          <w:rFonts w:ascii="仿宋_GB2312" w:eastAsia="仿宋_GB2312"/>
          <w:b/>
          <w:color w:val="000000"/>
          <w:sz w:val="32"/>
          <w:szCs w:val="32"/>
        </w:rPr>
        <w:br w:type="page"/>
      </w:r>
    </w:p>
    <w:p>
      <w:pPr>
        <w:spacing w:line="576" w:lineRule="atLeast"/>
        <w:jc w:val="center"/>
        <w:outlineLvl w:val="0"/>
        <w:rPr>
          <w:rStyle w:val="30"/>
          <w:rFonts w:ascii="方正小标宋简体" w:hAnsi="方正小标宋简体" w:eastAsia="方正小标宋简体"/>
          <w:b w:val="0"/>
          <w:bCs w:val="0"/>
        </w:rPr>
      </w:pPr>
      <w:bookmarkStart w:id="51" w:name="_Toc15377225"/>
      <w:bookmarkStart w:id="52" w:name="_Toc15396613"/>
      <w:bookmarkStart w:id="53" w:name="_Toc15396614"/>
      <w:bookmarkStart w:id="54" w:name="_Toc15377226"/>
      <w:r>
        <w:rPr>
          <w:rFonts w:hint="eastAsia" w:ascii="方正小标宋简体" w:hAnsi="方正小标宋简体" w:eastAsia="方正小标宋简体" w:cs="方正小标宋简体"/>
          <w:color w:val="000000"/>
          <w:sz w:val="44"/>
          <w:szCs w:val="44"/>
        </w:rPr>
        <w:t>第三部分 名</w:t>
      </w:r>
      <w:r>
        <w:rPr>
          <w:rStyle w:val="30"/>
          <w:rFonts w:hint="eastAsia" w:ascii="方正小标宋简体" w:hAnsi="方正小标宋简体" w:eastAsia="方正小标宋简体" w:cs="方正小标宋简体"/>
          <w:b w:val="0"/>
          <w:bCs w:val="0"/>
        </w:rPr>
        <w:t>词解释</w:t>
      </w:r>
      <w:bookmarkEnd w:id="51"/>
      <w:bookmarkEnd w:id="52"/>
    </w:p>
    <w:p>
      <w:pPr>
        <w:spacing w:line="576" w:lineRule="atLeast"/>
        <w:rPr>
          <w:rFonts w:ascii="仿宋_GB2312" w:eastAsia="仿宋_GB2312"/>
          <w:b/>
          <w:bCs/>
          <w:color w:val="000000"/>
          <w:sz w:val="32"/>
          <w:szCs w:val="32"/>
        </w:rPr>
      </w:pP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ascii="仿宋_GB2312" w:hAnsi="仿宋_GB2312" w:eastAsia="仿宋_GB2312" w:cs="仿宋_GB2312"/>
          <w:b w:val="0"/>
          <w:color w:val="000000"/>
          <w:sz w:val="32"/>
          <w:szCs w:val="32"/>
        </w:rPr>
        <w:t>9.</w:t>
      </w:r>
      <w:r>
        <w:rPr>
          <w:rStyle w:val="14"/>
          <w:rFonts w:hint="eastAsia" w:ascii="仿宋_GB2312" w:hAnsi="仿宋_GB2312" w:eastAsia="仿宋_GB2312" w:cs="仿宋_GB2312"/>
          <w:b w:val="0"/>
          <w:color w:val="000000"/>
          <w:sz w:val="32"/>
          <w:szCs w:val="32"/>
        </w:rPr>
        <w:t>一般公共服务（</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）人大事务（</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）人大会议（</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sz w:val="32"/>
          <w:szCs w:val="32"/>
        </w:rPr>
        <w:t>一般公共服务（类）民族事务（款）其他民族事务支出（项）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14.</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医疗卫生与计划生育（类）基层医疗卫生机构（款）镇镇卫生院（项）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医疗卫生与计划生育（类）行政事业单位医疗（款）事业单位医疗（项）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农林水支出（类）农业（款）农业资源保护修复与利用（项）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农林水支出（类）农业（款）其他农业支出（项）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w:t>
      </w:r>
      <w:bookmarkStart w:id="71" w:name="_GoBack"/>
      <w:bookmarkEnd w:id="71"/>
      <w:r>
        <w:rPr>
          <w:rStyle w:val="14"/>
          <w:rFonts w:hint="eastAsia" w:ascii="仿宋_GB2312" w:hAnsi="仿宋_GB2312" w:eastAsia="仿宋_GB2312" w:cs="仿宋_GB2312"/>
          <w:b w:val="0"/>
          <w:color w:val="000000"/>
          <w:sz w:val="32"/>
          <w:szCs w:val="32"/>
          <w:lang w:eastAsia="zh-CN"/>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农林水支出（类）其他农林水支出（款）其他农林水支出（项）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rPr>
        <w:t>29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bookmarkEnd w:id="53"/>
    <w:p>
      <w:pPr>
        <w:spacing w:line="576" w:lineRule="atLeast"/>
        <w:jc w:val="center"/>
        <w:rPr>
          <w:rStyle w:val="30"/>
          <w:b w:val="0"/>
          <w:bCs w:val="0"/>
        </w:rPr>
      </w:pPr>
      <w:r>
        <w:rPr>
          <w:rFonts w:hint="eastAsia" w:ascii="方正小标宋简体" w:hAnsi="方正小标宋简体" w:eastAsia="方正小标宋简体" w:cs="方正小标宋简体"/>
          <w:color w:val="000000"/>
          <w:sz w:val="44"/>
          <w:szCs w:val="44"/>
        </w:rPr>
        <w:t xml:space="preserve">第四部分 </w:t>
      </w:r>
      <w:r>
        <w:rPr>
          <w:rStyle w:val="30"/>
          <w:rFonts w:hint="eastAsia" w:ascii="方正小标宋简体" w:hAnsi="方正小标宋简体" w:eastAsia="方正小标宋简体" w:cs="方正小标宋简体"/>
          <w:b w:val="0"/>
          <w:bCs w:val="0"/>
        </w:rPr>
        <w:t>附件</w:t>
      </w:r>
    </w:p>
    <w:p>
      <w:pPr>
        <w:pStyle w:val="3"/>
        <w:keepNext w:val="0"/>
        <w:keepLines w:val="0"/>
        <w:spacing w:before="0" w:after="0" w:line="576" w:lineRule="atLeast"/>
        <w:rPr>
          <w:rStyle w:val="30"/>
          <w:rFonts w:ascii="黑体" w:hAnsi="黑体" w:eastAsia="黑体" w:cs="黑体"/>
          <w:b w:val="0"/>
          <w:bCs w:val="0"/>
          <w:sz w:val="28"/>
          <w:szCs w:val="28"/>
        </w:rPr>
      </w:pPr>
      <w:bookmarkStart w:id="55"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5"/>
    </w:p>
    <w:p>
      <w:pPr>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茂县赤不苏镇人民政府</w:t>
      </w:r>
    </w:p>
    <w:p>
      <w:pPr>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rPr>
        <w:t>9年部门整体支出绩效评价报告</w:t>
      </w:r>
      <w:bookmarkEnd w:id="56"/>
    </w:p>
    <w:p>
      <w:pPr>
        <w:pStyle w:val="3"/>
        <w:keepNext w:val="0"/>
        <w:keepLines w:val="0"/>
        <w:spacing w:before="0" w:after="0" w:line="576" w:lineRule="atLeast"/>
        <w:ind w:firstLine="642" w:firstLineChars="200"/>
        <w:rPr>
          <w:rFonts w:ascii="黑体" w:hAnsi="黑体" w:eastAsia="黑体" w:cs="Times New Roman"/>
        </w:rPr>
      </w:pPr>
    </w:p>
    <w:p>
      <w:pPr>
        <w:pStyle w:val="3"/>
        <w:keepNext w:val="0"/>
        <w:keepLines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赤不苏镇内设行政办公室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（二）机构职能</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赤不苏镇总编制63名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行政编制35名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其中行政工勤编制5名，事业编制23名。现有在职人员53人，（其中公务员30人，机关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4人，事业人员</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9人）；退休人员</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人（行政退休13人，事业退休</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人）；遗属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0人。</w:t>
      </w:r>
    </w:p>
    <w:p>
      <w:pPr>
        <w:pStyle w:val="3"/>
        <w:keepNext w:val="0"/>
        <w:keepLines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9年本部门财政拨款收入决算总额为1594.69万元，其中：当年财政拨款收入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1594.69万元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为一般公共预算财政拨款</w:t>
      </w:r>
      <w:r>
        <w:rPr>
          <w:rFonts w:hint="eastAsia" w:ascii="仿宋_GB2312" w:hAnsi="仿宋_GB2312" w:eastAsia="仿宋_GB2312" w:cs="仿宋_GB2312"/>
          <w:sz w:val="32"/>
          <w:szCs w:val="32"/>
          <w:lang w:eastAsia="zh-CN"/>
        </w:rPr>
        <w:t>收入</w:t>
      </w:r>
      <w:r>
        <w:rPr>
          <w:rFonts w:hint="eastAsia" w:ascii="仿宋_GB2312" w:hAnsi="仿宋_GB2312" w:eastAsia="仿宋_GB2312" w:cs="仿宋_GB2312"/>
          <w:sz w:val="32"/>
          <w:szCs w:val="32"/>
          <w:lang w:val="en-US" w:eastAsia="zh-CN"/>
        </w:rPr>
        <w:t>1591.82万元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政府性基金预算财政拨款收入2.87万元</w:t>
      </w:r>
      <w:r>
        <w:rPr>
          <w:rFonts w:hint="eastAsia" w:ascii="仿宋_GB2312" w:hAnsi="仿宋_GB2312" w:eastAsia="仿宋_GB2312" w:cs="仿宋_GB2312"/>
          <w:sz w:val="32"/>
          <w:szCs w:val="32"/>
        </w:rPr>
        <w:t>。</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部门财政资金支出情况</w:t>
      </w:r>
    </w:p>
    <w:p>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2019年一般公共预算财政拨款支出141</w:t>
      </w:r>
      <w:r>
        <w:rPr>
          <w:rFonts w:hint="eastAsia" w:ascii="仿宋_GB2312" w:hAnsi="仿宋_GB2312" w:eastAsia="仿宋_GB2312" w:cs="仿宋_GB2312"/>
          <w:sz w:val="32"/>
          <w:szCs w:val="32"/>
          <w:lang w:val="en-US" w:eastAsia="zh-CN"/>
        </w:rPr>
        <w:t>7.53</w:t>
      </w:r>
      <w:r>
        <w:rPr>
          <w:rFonts w:hint="eastAsia" w:ascii="仿宋_GB2312" w:hAnsi="仿宋_GB2312" w:eastAsia="仿宋_GB2312" w:cs="仿宋_GB2312"/>
          <w:sz w:val="32"/>
          <w:szCs w:val="32"/>
        </w:rPr>
        <w:t>万元。主要用于以下方面:一般公共服务支出558.20万元，占本年支出合计的39.</w:t>
      </w:r>
      <w:r>
        <w:rPr>
          <w:rFonts w:hint="eastAsia" w:ascii="仿宋_GB2312" w:hAnsi="仿宋_GB2312" w:eastAsia="仿宋_GB2312" w:cs="仿宋_GB2312"/>
          <w:sz w:val="32"/>
          <w:szCs w:val="32"/>
          <w:lang w:val="en-US" w:eastAsia="zh-CN"/>
        </w:rPr>
        <w:t>37</w:t>
      </w:r>
      <w:r>
        <w:rPr>
          <w:rFonts w:hint="eastAsia" w:ascii="仿宋_GB2312" w:hAnsi="仿宋_GB2312" w:eastAsia="仿宋_GB2312" w:cs="仿宋_GB2312"/>
          <w:sz w:val="32"/>
          <w:szCs w:val="32"/>
        </w:rPr>
        <w:t>%；社会保障和就业支出100.97万元，占本年支出合计的7.1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%；卫生健康支出49.85万元，占本年支出合计的3.5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%；农林水支出627.83万元，占本年支出合计的44.</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%；住房保障支出70.47万元，占本年支出合计的4.9</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%；其他支出7.34万元，占本年支出合计的0.5</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政府性基金预算财政拨款收入2.87万元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rPr>
        <w:t>占本年支出合计的0.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spacing w:line="576" w:lineRule="atLeast"/>
        <w:ind w:firstLine="642"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rPr>
        <w:t>9年部门支出进行预算，支出合计</w:t>
      </w:r>
      <w:r>
        <w:rPr>
          <w:rFonts w:hint="eastAsia" w:ascii="仿宋_GB2312" w:hAnsi="仿宋_GB2312" w:eastAsia="仿宋_GB2312" w:cs="仿宋_GB2312"/>
          <w:sz w:val="32"/>
          <w:szCs w:val="32"/>
          <w:shd w:val="clear" w:color="auto" w:fill="FFFFFF"/>
        </w:rPr>
        <w:t>1417.54万</w:t>
      </w:r>
      <w:r>
        <w:rPr>
          <w:rFonts w:hint="eastAsia" w:ascii="仿宋_GB2312" w:hAnsi="仿宋_GB2312" w:eastAsia="仿宋_GB2312" w:cs="仿宋_GB2312"/>
          <w:color w:val="000000"/>
          <w:kern w:val="0"/>
          <w:sz w:val="32"/>
          <w:szCs w:val="32"/>
          <w:shd w:val="clear" w:color="auto" w:fill="FFFFFF"/>
        </w:rPr>
        <w:t>元。其中：</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基本支出967.87万元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）工资福利性支出：877.08万元。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）商品和服务支出53.74万元，其中：公务接待费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万元；公务用车运行维护费5.45万元。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）对个人和家庭的补助支出：37.06万元。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项目支出449.66万元</w:t>
      </w:r>
    </w:p>
    <w:p>
      <w:pPr>
        <w:shd w:val="clear" w:color="auto" w:fill="FFFFFF"/>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）商品和服务支出222.68万元，其中基层组织活动和公共服务运行经费项目支出142.51万元，村办公费75.51万元,差旅费1.11万元，会议费0.68万元，劳务费2.87万元。</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（2）对个人和家庭的补助208.27万元，主要用于村干部生活补助。</w:t>
      </w:r>
    </w:p>
    <w:p>
      <w:pPr>
        <w:shd w:val="clear" w:color="auto" w:fill="FFFFFF"/>
        <w:spacing w:line="576" w:lineRule="atLeast"/>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（3）资本性支出18.71万元，主要用于办公楼维修加固。</w:t>
      </w:r>
    </w:p>
    <w:p>
      <w:pPr>
        <w:pStyle w:val="3"/>
        <w:keepNext w:val="0"/>
        <w:keepLines w:val="0"/>
        <w:spacing w:before="0" w:after="0" w:line="576" w:lineRule="atLeast"/>
        <w:ind w:firstLine="642"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（二）专项预算管理</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9年，赤不苏镇人民政府无专项预算。</w:t>
      </w:r>
    </w:p>
    <w:p>
      <w:pPr>
        <w:pStyle w:val="3"/>
        <w:keepNext w:val="0"/>
        <w:keepLines w:val="0"/>
        <w:spacing w:before="0" w:after="0" w:line="576" w:lineRule="atLeast"/>
        <w:ind w:firstLine="642"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 xml:space="preserve">（三）结果应用情况  </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spacing w:before="0" w:after="0" w:line="576" w:lineRule="atLeast"/>
        <w:ind w:firstLine="642"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（一）评价结论</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color w:val="000000"/>
          <w:kern w:val="0"/>
          <w:sz w:val="32"/>
          <w:szCs w:val="32"/>
        </w:rPr>
        <w:t>2019年我单位部门整体支出绩效评价自查自评结果良好，全年基本支出保证了部门的正常运行和日常工作的正常开展，项目支出保障了重点工作的开展，达到预期绩效目标。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按照《茂县财政局关于开展2019年财政支出绩效评价工作的通知》（茂财发</w:t>
      </w:r>
      <w:r>
        <w:rPr>
          <w:rFonts w:ascii="仿宋_GB2312" w:hAnsi="仿宋_GB2312" w:eastAsia="仿宋_GB2312" w:cs="仿宋_GB2312"/>
          <w:b w:val="0"/>
          <w:bCs w:val="0"/>
          <w:color w:val="000000"/>
          <w:kern w:val="0"/>
        </w:rPr>
        <w:t>[2019]38</w:t>
      </w:r>
      <w:r>
        <w:rPr>
          <w:rFonts w:hint="eastAsia" w:ascii="仿宋_GB2312" w:hAnsi="仿宋_GB2312" w:eastAsia="仿宋_GB2312" w:cs="仿宋_GB2312"/>
          <w:b w:val="0"/>
          <w:bCs w:val="0"/>
          <w:color w:val="000000"/>
          <w:kern w:val="0"/>
        </w:rPr>
        <w:t>号）2019年赤不苏镇人民部门整体支出绩效评价指标体系自评得分93分。</w:t>
      </w:r>
    </w:p>
    <w:p>
      <w:pPr>
        <w:pStyle w:val="3"/>
        <w:keepNext w:val="0"/>
        <w:keepLines w:val="0"/>
        <w:spacing w:before="0" w:after="0" w:line="576" w:lineRule="atLeast"/>
        <w:ind w:firstLine="642"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（二）存在问题</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2" w:firstLineChars="200"/>
        <w:rPr>
          <w:rFonts w:hint="eastAsia" w:ascii="楷体_GB2312" w:hAnsi="楷体_GB2312" w:eastAsia="楷体_GB2312" w:cs="楷体_GB2312"/>
          <w:b/>
          <w:bCs/>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（三）改进建议</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600" w:lineRule="exact"/>
        <w:jc w:val="both"/>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57"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9"/>
    </w:p>
    <w:p>
      <w:pPr>
        <w:pStyle w:val="3"/>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pPr>
        <w:pStyle w:val="3"/>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rPr>
      </w:pPr>
      <w:bookmarkStart w:id="7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24</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18B7"/>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16A05"/>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865"/>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0DD1"/>
    <w:rsid w:val="00853718"/>
    <w:rsid w:val="00855221"/>
    <w:rsid w:val="00860645"/>
    <w:rsid w:val="00871F71"/>
    <w:rsid w:val="00872FD8"/>
    <w:rsid w:val="00885AF4"/>
    <w:rsid w:val="008939CD"/>
    <w:rsid w:val="008B768C"/>
    <w:rsid w:val="008C4DB1"/>
    <w:rsid w:val="008C4EAF"/>
    <w:rsid w:val="008C5176"/>
    <w:rsid w:val="008C7FD0"/>
    <w:rsid w:val="008D37A0"/>
    <w:rsid w:val="008E1DE7"/>
    <w:rsid w:val="008E707C"/>
    <w:rsid w:val="008F35A3"/>
    <w:rsid w:val="00900B08"/>
    <w:rsid w:val="00902155"/>
    <w:rsid w:val="00902FA3"/>
    <w:rsid w:val="00923564"/>
    <w:rsid w:val="0092392E"/>
    <w:rsid w:val="009315F9"/>
    <w:rsid w:val="00933499"/>
    <w:rsid w:val="00935C98"/>
    <w:rsid w:val="00946945"/>
    <w:rsid w:val="00951248"/>
    <w:rsid w:val="0095152F"/>
    <w:rsid w:val="00954C49"/>
    <w:rsid w:val="00955E37"/>
    <w:rsid w:val="00956D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05E80"/>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5CB7B42"/>
    <w:rsid w:val="06533ED0"/>
    <w:rsid w:val="080B3CDE"/>
    <w:rsid w:val="09F375DA"/>
    <w:rsid w:val="0A782618"/>
    <w:rsid w:val="0A8F0F43"/>
    <w:rsid w:val="10C055FF"/>
    <w:rsid w:val="130C6946"/>
    <w:rsid w:val="13C428A1"/>
    <w:rsid w:val="16BB723D"/>
    <w:rsid w:val="1D37198E"/>
    <w:rsid w:val="2203769E"/>
    <w:rsid w:val="23AB5A9D"/>
    <w:rsid w:val="240371BF"/>
    <w:rsid w:val="24620973"/>
    <w:rsid w:val="260D3E37"/>
    <w:rsid w:val="262A0B94"/>
    <w:rsid w:val="28AA2DFA"/>
    <w:rsid w:val="29FD04D3"/>
    <w:rsid w:val="2A6C6D52"/>
    <w:rsid w:val="2E960D3D"/>
    <w:rsid w:val="2EE24C8F"/>
    <w:rsid w:val="30C4073F"/>
    <w:rsid w:val="31283159"/>
    <w:rsid w:val="319F7F4E"/>
    <w:rsid w:val="31AA68A3"/>
    <w:rsid w:val="32CA2F1B"/>
    <w:rsid w:val="342A796E"/>
    <w:rsid w:val="34A965DE"/>
    <w:rsid w:val="36972FD2"/>
    <w:rsid w:val="3AD7160C"/>
    <w:rsid w:val="3F714DA5"/>
    <w:rsid w:val="41932C39"/>
    <w:rsid w:val="438868C4"/>
    <w:rsid w:val="45812F1B"/>
    <w:rsid w:val="4A84720A"/>
    <w:rsid w:val="4ECE2238"/>
    <w:rsid w:val="5B926019"/>
    <w:rsid w:val="5CF239FE"/>
    <w:rsid w:val="5DE505F2"/>
    <w:rsid w:val="5EB4003F"/>
    <w:rsid w:val="63CE4746"/>
    <w:rsid w:val="67591170"/>
    <w:rsid w:val="67B61286"/>
    <w:rsid w:val="6A24678F"/>
    <w:rsid w:val="6AD55A23"/>
    <w:rsid w:val="6ADF52FA"/>
    <w:rsid w:val="6AEF3F95"/>
    <w:rsid w:val="70A75187"/>
    <w:rsid w:val="72734D90"/>
    <w:rsid w:val="74457559"/>
    <w:rsid w:val="75086B56"/>
    <w:rsid w:val="75350BB8"/>
    <w:rsid w:val="771C4C90"/>
    <w:rsid w:val="79EA4D4B"/>
    <w:rsid w:val="7A9901E8"/>
    <w:rsid w:val="7D645CBC"/>
    <w:rsid w:val="7DC56FEA"/>
    <w:rsid w:val="7E301CD0"/>
    <w:rsid w:val="DFEB883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1 Char"/>
    <w:basedOn w:val="13"/>
    <w:link w:val="2"/>
    <w:qFormat/>
    <w:locked/>
    <w:uiPriority w:val="99"/>
    <w:rPr>
      <w:rFonts w:ascii="Times New Roman" w:hAnsi="Times New Roman" w:cs="Times New Roman"/>
      <w:b/>
      <w:bCs/>
      <w:kern w:val="44"/>
      <w:sz w:val="44"/>
      <w:szCs w:val="44"/>
    </w:rPr>
  </w:style>
  <w:style w:type="character" w:customStyle="1" w:styleId="31">
    <w:name w:val="标题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chensi\Desktop\&#22270;&#26631;.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chensi\Desktop\&#22270;&#26631;.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chensi\Desktop\&#22270;&#26631;.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chensi\Desktop\&#22270;&#26631;.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chensi\Desktop\&#22270;&#26631;.xls"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chensi\Desktop\&#22270;&#2663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tx>
            <c:strRef>
              <c:f>[图标.xls]Sheet1!$B$1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[图标.xls]Sheet1!$A$2:$A$3</c:f>
              <c:strCache>
                <c:ptCount val="2"/>
                <c:pt idx="0">
                  <c:v>2018年</c:v>
                </c:pt>
                <c:pt idx="1">
                  <c:v>2019年</c:v>
                </c:pt>
              </c:strCache>
            </c:strRef>
          </c:cat>
          <c:val>
            <c:numRef>
              <c:f>[图标.xls]Sheet1!$B$2:$B$3</c:f>
              <c:numCache>
                <c:formatCode>General</c:formatCode>
                <c:ptCount val="2"/>
                <c:pt idx="0">
                  <c:v>1636.87</c:v>
                </c:pt>
                <c:pt idx="1">
                  <c:v>1646.7</c:v>
                </c:pt>
              </c:numCache>
            </c:numRef>
          </c:val>
        </c:ser>
        <c:dLbls>
          <c:showLegendKey val="0"/>
          <c:showVal val="1"/>
          <c:showCatName val="0"/>
          <c:showSerName val="0"/>
          <c:showPercent val="0"/>
          <c:showBubbleSize val="0"/>
        </c:dLbls>
        <c:gapWidth val="219"/>
        <c:overlap val="-27"/>
        <c:axId val="274697929"/>
        <c:axId val="783556597"/>
      </c:barChart>
      <c:catAx>
        <c:axId val="2746979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56597"/>
        <c:crosses val="autoZero"/>
        <c:auto val="1"/>
        <c:lblAlgn val="ctr"/>
        <c:lblOffset val="100"/>
        <c:noMultiLvlLbl val="0"/>
      </c:catAx>
      <c:valAx>
        <c:axId val="7835565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69792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本年收入</a:t>
            </a:r>
          </a:p>
        </c:rich>
      </c:tx>
      <c:layout/>
      <c:overlay val="0"/>
      <c:spPr>
        <a:noFill/>
        <a:ln>
          <a:noFill/>
        </a:ln>
        <a:effectLst/>
      </c:spPr>
    </c:title>
    <c:autoTitleDeleted val="0"/>
    <c:plotArea>
      <c:layout/>
      <c:pieChart>
        <c:varyColors val="1"/>
        <c:ser>
          <c:idx val="0"/>
          <c:order val="0"/>
          <c:tx>
            <c:strRef>
              <c:f>[图标.xls]Sheet1!$B$1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79890237883284"/>
                  <c:y val="-0.11790857344202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57115445939546"/>
                  <c:y val="-0.00319802342450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[图标.xls]Sheet1!$A$2:$A$3</c:f>
              <c:strCache>
                <c:ptCount val="2"/>
                <c:pt idx="0">
                  <c:v>一般公共预算财政拨款收入</c:v>
                </c:pt>
                <c:pt idx="1">
                  <c:v>政府性基金预算财政拨款收入</c:v>
                </c:pt>
              </c:strCache>
            </c:strRef>
          </c:cat>
          <c:val>
            <c:numRef>
              <c:f>[图标.xls]Sheet1!$B$2:$B$3</c:f>
              <c:numCache>
                <c:formatCode>General</c:formatCode>
                <c:ptCount val="2"/>
                <c:pt idx="0">
                  <c:v>1591.82</c:v>
                </c:pt>
                <c:pt idx="1">
                  <c:v>2.87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本年支出</a:t>
            </a:r>
          </a:p>
        </c:rich>
      </c:tx>
      <c:layout/>
      <c:overlay val="0"/>
      <c:spPr>
        <a:noFill/>
        <a:ln>
          <a:noFill/>
        </a:ln>
        <a:effectLst/>
      </c:spPr>
    </c:title>
    <c:autoTitleDeleted val="0"/>
    <c:plotArea>
      <c:layout/>
      <c:pieChart>
        <c:varyColors val="1"/>
        <c:ser>
          <c:idx val="0"/>
          <c:order val="0"/>
          <c:tx>
            <c:strRef>
              <c:f>[图标.xls]Sheet1!$B$1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0446738917294376"/>
                  <c:y val="-0.03643603270575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157115445939546"/>
                  <c:y val="-0.0031980234245058"/>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[图标.xls]Sheet1!$A$2:$A$3</c:f>
              <c:strCache>
                <c:ptCount val="2"/>
                <c:pt idx="0">
                  <c:v>基本支出</c:v>
                </c:pt>
                <c:pt idx="1">
                  <c:v>项目支出</c:v>
                </c:pt>
              </c:strCache>
            </c:strRef>
          </c:cat>
          <c:val>
            <c:numRef>
              <c:f>[图标.xls]Sheet1!$B$2:$B$3</c:f>
              <c:numCache>
                <c:formatCode>General</c:formatCode>
                <c:ptCount val="2"/>
                <c:pt idx="0">
                  <c:v>967.87</c:v>
                </c:pt>
                <c:pt idx="1">
                  <c:v>449.66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财政拨款收支情况</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tx>
            <c:strRef>
              <c:f>[图标.xls]Sheet1!$B$1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[图标.xls]Sheet1!$A$2:$A$3</c:f>
              <c:strCache>
                <c:ptCount val="2"/>
                <c:pt idx="0">
                  <c:v>2018年</c:v>
                </c:pt>
                <c:pt idx="1">
                  <c:v>2019年</c:v>
                </c:pt>
              </c:strCache>
            </c:strRef>
          </c:cat>
          <c:val>
            <c:numRef>
              <c:f>[图标.xls]Sheet1!$B$2:$B$3</c:f>
              <c:numCache>
                <c:formatCode>General</c:formatCode>
                <c:ptCount val="2"/>
                <c:pt idx="0">
                  <c:v>1636.87</c:v>
                </c:pt>
                <c:pt idx="1">
                  <c:v>1646.7</c:v>
                </c:pt>
              </c:numCache>
            </c:numRef>
          </c:val>
        </c:ser>
        <c:dLbls>
          <c:showLegendKey val="0"/>
          <c:showVal val="1"/>
          <c:showCatName val="0"/>
          <c:showSerName val="0"/>
          <c:showPercent val="0"/>
          <c:showBubbleSize val="0"/>
        </c:dLbls>
        <c:gapWidth val="219"/>
        <c:overlap val="-27"/>
        <c:axId val="274697929"/>
        <c:axId val="783556597"/>
      </c:barChart>
      <c:catAx>
        <c:axId val="27469792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56597"/>
        <c:crosses val="autoZero"/>
        <c:auto val="1"/>
        <c:lblAlgn val="ctr"/>
        <c:lblOffset val="100"/>
        <c:noMultiLvlLbl val="0"/>
      </c:catAx>
      <c:valAx>
        <c:axId val="78355659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469792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0"/>
          <c:order val="0"/>
          <c:tx>
            <c:strRef>
              <c:f>[图标.xls]Sheet1!$B$1</c:f>
              <c:strCache>
                <c:ptCount val="1"/>
                <c:pt idx="0">
                  <c:v/>
                </c:pt>
              </c:strCache>
            </c:strRef>
          </c:tx>
          <c:spPr/>
          <c:explosion val="0"/>
          <c:dPt>
            <c:idx val="0"/>
            <c:bubble3D val="0"/>
            <c:spPr>
              <a:solidFill>
                <a:schemeClr val="accent1"/>
              </a:solidFill>
              <a:ln w="19050">
                <a:solidFill>
                  <a:schemeClr val="lt1"/>
                </a:solidFill>
              </a:ln>
              <a:effectLst/>
            </c:spPr>
          </c:dPt>
          <c:dLbls>
            <c:dLbl>
              <c:idx val="0"/>
              <c:layout>
                <c:manualLayout>
                  <c:x val="0.0446738917294376"/>
                  <c:y val="-0.0364360327057513"/>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c:f>
              <c:strCache>
                <c:ptCount val="1"/>
                <c:pt idx="0">
                  <c:v>本年支出</c:v>
                </c:pt>
              </c:strCache>
            </c:strRef>
          </c:cat>
          <c:val>
            <c:numRef>
              <c:f>[图标.xls]Sheet1!$B$2</c:f>
              <c:numCache>
                <c:formatCode>General</c:formatCode>
                <c:ptCount val="1"/>
                <c:pt idx="0">
                  <c:v>1414.66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一般公共预算财政拨款支出决算情况</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4"/>
              <c:layout>
                <c:manualLayout>
                  <c:x val="-0.0758676645265278"/>
                  <c:y val="0.015318548330646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25236958398857"/>
                  <c:y val="-0.012414399100116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工作表.xls]Sheet1'!$A$1:$A$6</c:f>
              <c:strCache>
                <c:ptCount val="6"/>
                <c:pt idx="0">
                  <c:v>一般公共服务支出</c:v>
                </c:pt>
                <c:pt idx="1">
                  <c:v>社会保障和就业支出</c:v>
                </c:pt>
                <c:pt idx="2">
                  <c:v>卫生健康支出</c:v>
                </c:pt>
                <c:pt idx="3">
                  <c:v>农林水支出</c:v>
                </c:pt>
                <c:pt idx="4">
                  <c:v>住房保障支出</c:v>
                </c:pt>
                <c:pt idx="5">
                  <c:v>其他支出</c:v>
                </c:pt>
              </c:strCache>
            </c:strRef>
          </c:cat>
          <c:val>
            <c:numRef>
              <c:f>'[新建 XLS 工作表.xls]Sheet1'!$B$1:$B$6</c:f>
              <c:numCache>
                <c:formatCode>General</c:formatCode>
                <c:ptCount val="6"/>
                <c:pt idx="0">
                  <c:v>558.2</c:v>
                </c:pt>
                <c:pt idx="1">
                  <c:v>100.97</c:v>
                </c:pt>
                <c:pt idx="2">
                  <c:v>49.85</c:v>
                </c:pt>
                <c:pt idx="3">
                  <c:v>627.83</c:v>
                </c:pt>
                <c:pt idx="4">
                  <c:v>70.47</c:v>
                </c:pt>
                <c:pt idx="5">
                  <c:v>7.34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三公经费支出决算数</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pieChart>
        <c:varyColors val="1"/>
        <c:ser>
          <c:idx val="0"/>
          <c:order val="0"/>
          <c:tx>
            <c:strRef>
              <c:f>[图标.xls]Sheet1!$B$1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0"/>
              <c:layout>
                <c:manualLayout>
                  <c:x val="0.0937494148347394"/>
                  <c:y val="-0.0492076634368267"/>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[图标.xls]Sheet1!$A$2:$A$4</c:f>
              <c:strCache>
                <c:ptCount val="3"/>
                <c:pt idx="0">
                  <c:v>公务用车购置及运行维护费</c:v>
                </c:pt>
                <c:pt idx="1">
                  <c:v>公务接待费</c:v>
                </c:pt>
                <c:pt idx="2">
                  <c:v>因公出国（境）费</c:v>
                </c:pt>
              </c:strCache>
            </c:strRef>
          </c:cat>
          <c:val>
            <c:numRef>
              <c:f>[图标.xls]Sheet1!$B$2:$B$4</c:f>
              <c:numCache>
                <c:formatCode>General</c:formatCode>
                <c:ptCount val="3"/>
                <c:pt idx="0">
                  <c:v>5.45</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39</Pages>
  <Words>11835</Words>
  <Characters>2915</Characters>
  <Lines>24</Lines>
  <Paragraphs>29</Paragraphs>
  <TotalTime>10</TotalTime>
  <ScaleCrop>false</ScaleCrop>
  <LinksUpToDate>false</LinksUpToDate>
  <CharactersWithSpaces>14721</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2020-09-24T14:29:00Z</cp:lastPrinted>
  <dcterms:modified xsi:type="dcterms:W3CDTF">2023-07-13T20:56:15Z</dcterms:modified>
  <dc:title>四川省***</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4C64895B8B0FB2A46FF4AF64E8499A12</vt:lpwstr>
  </property>
</Properties>
</file>