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175" w:name="_GoBack"/>
      <w:bookmarkEnd w:id="175"/>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193"/>
      <w:bookmarkStart w:id="3" w:name="_Toc15377425"/>
      <w:bookmarkStart w:id="4" w:name="_Toc1539647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96476"/>
      <w:bookmarkStart w:id="8" w:name="_Toc15396598"/>
      <w:bookmarkStart w:id="9" w:name="_Toc15377426"/>
      <w:bookmarkStart w:id="10" w:name="_Toc15377194"/>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赤不苏镇人民政府</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15</w:t>
      </w:r>
      <w:r>
        <w:rPr>
          <w:rFonts w:hint="eastAsia" w:hAnsiTheme="minorHAnsi"/>
          <w:b w:val="0"/>
          <w:bCs w:val="0"/>
          <w:sz w:val="24"/>
          <w:szCs w:val="24"/>
        </w:rPr>
        <w:t>日</w:t>
      </w:r>
    </w:p>
    <w:p>
      <w:pPr>
        <w:pStyle w:val="15"/>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 w:val="0"/>
          <w:bCs w:val="0"/>
          <w:caps w:val="0"/>
          <w:smallCaps/>
          <w:sz w:val="28"/>
          <w:szCs w:val="28"/>
        </w:rPr>
        <w:fldChar w:fldCharType="begin"/>
      </w:r>
      <w:r>
        <w:rPr>
          <w:rFonts w:hint="eastAsia" w:ascii="仿宋_GB2312" w:hAnsi="仿宋_GB2312" w:eastAsia="仿宋_GB2312" w:cs="仿宋_GB2312"/>
          <w:b w:val="0"/>
          <w:bCs w:val="0"/>
          <w:caps w:val="0"/>
          <w:smallCaps/>
          <w:sz w:val="28"/>
          <w:szCs w:val="28"/>
        </w:rPr>
        <w:instrText xml:space="preserve"> TOC \o \u </w:instrText>
      </w:r>
      <w:r>
        <w:rPr>
          <w:rFonts w:hint="eastAsia" w:ascii="仿宋_GB2312" w:hAnsi="仿宋_GB2312" w:eastAsia="仿宋_GB2312" w:cs="仿宋_GB2312"/>
          <w:b w:val="0"/>
          <w:bCs w:val="0"/>
          <w:caps w:val="0"/>
          <w:smallCaps/>
          <w:sz w:val="28"/>
          <w:szCs w:val="28"/>
        </w:rPr>
        <w:fldChar w:fldCharType="separate"/>
      </w:r>
      <w:r>
        <w:rPr>
          <w:rFonts w:hint="eastAsia" w:ascii="仿宋_GB2312" w:hAnsi="仿宋_GB2312" w:eastAsia="仿宋_GB2312" w:cs="仿宋_GB2312"/>
          <w:sz w:val="28"/>
          <w:szCs w:val="28"/>
        </w:rPr>
        <w:t>第一部分</w:t>
      </w:r>
      <w:r>
        <w:rPr>
          <w:rFonts w:hint="eastAsia" w:ascii="仿宋_GB2312" w:hAnsi="仿宋_GB2312" w:eastAsia="仿宋_GB2312" w:cs="仿宋_GB2312"/>
          <w:bCs w:val="0"/>
          <w:sz w:val="28"/>
          <w:szCs w:val="28"/>
        </w:rPr>
        <w:t>部门概况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_Toc11844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一、基</w:t>
      </w:r>
      <w:r>
        <w:rPr>
          <w:rFonts w:hint="eastAsia" w:ascii="仿宋_GB2312" w:hAnsi="仿宋_GB2312" w:eastAsia="仿宋_GB2312" w:cs="仿宋_GB2312"/>
          <w:bCs w:val="0"/>
          <w:sz w:val="28"/>
          <w:szCs w:val="28"/>
        </w:rPr>
        <w:t>本职能及主要工作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_Toc3532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（一）主要职能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_Toc4270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（二）2020年重点工作完成情况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_Toc8336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二、机</w:t>
      </w:r>
      <w:r>
        <w:rPr>
          <w:rFonts w:hint="eastAsia" w:ascii="仿宋_GB2312" w:hAnsi="仿宋_GB2312" w:eastAsia="仿宋_GB2312" w:cs="仿宋_GB2312"/>
          <w:bCs w:val="0"/>
          <w:sz w:val="28"/>
          <w:szCs w:val="28"/>
        </w:rPr>
        <w:t>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_Toc4629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p>
    <w:p>
      <w:pPr>
        <w:pStyle w:val="15"/>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第二部分</w:t>
      </w:r>
      <w:r>
        <w:rPr>
          <w:rFonts w:hint="eastAsia" w:ascii="仿宋_GB2312" w:hAnsi="仿宋_GB2312" w:eastAsia="仿宋_GB2312" w:cs="仿宋_GB2312"/>
          <w:bCs w:val="0"/>
          <w:sz w:val="28"/>
          <w:szCs w:val="28"/>
        </w:rPr>
        <w:t>2020年度部门决算情况说明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_Toc10125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 </w:t>
      </w:r>
      <w:r>
        <w:rPr>
          <w:rFonts w:hint="eastAsia" w:ascii="仿宋_GB2312" w:hAnsi="仿宋_GB2312" w:eastAsia="仿宋_GB2312" w:cs="仿宋_GB2312"/>
          <w:color w:val="000000"/>
          <w:sz w:val="28"/>
          <w:szCs w:val="28"/>
        </w:rPr>
        <w:t>收</w:t>
      </w:r>
      <w:r>
        <w:rPr>
          <w:rFonts w:hint="eastAsia" w:ascii="仿宋_GB2312" w:hAnsi="仿宋_GB2312" w:eastAsia="仿宋_GB2312" w:cs="仿宋_GB2312"/>
          <w:sz w:val="28"/>
          <w:szCs w:val="28"/>
        </w:rPr>
        <w:t>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_Toc27388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 </w:t>
      </w:r>
      <w:r>
        <w:rPr>
          <w:rFonts w:hint="eastAsia" w:ascii="仿宋_GB2312" w:hAnsi="仿宋_GB2312" w:eastAsia="仿宋_GB2312" w:cs="仿宋_GB2312"/>
          <w:color w:val="000000"/>
          <w:sz w:val="28"/>
          <w:szCs w:val="28"/>
        </w:rPr>
        <w:t>收</w:t>
      </w:r>
      <w:r>
        <w:rPr>
          <w:rFonts w:hint="eastAsia" w:ascii="仿宋_GB2312" w:hAnsi="仿宋_GB2312" w:eastAsia="仿宋_GB2312" w:cs="仿宋_GB2312"/>
          <w:sz w:val="28"/>
          <w:szCs w:val="28"/>
        </w:rPr>
        <w:t>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_Toc3925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 </w:t>
      </w:r>
      <w:r>
        <w:rPr>
          <w:rFonts w:hint="eastAsia" w:ascii="仿宋_GB2312" w:hAnsi="仿宋_GB2312" w:eastAsia="仿宋_GB2312" w:cs="仿宋_GB2312"/>
          <w:color w:val="000000"/>
          <w:sz w:val="28"/>
          <w:szCs w:val="28"/>
        </w:rPr>
        <w:t>支</w:t>
      </w:r>
      <w:r>
        <w:rPr>
          <w:rFonts w:hint="eastAsia" w:ascii="仿宋_GB2312" w:hAnsi="仿宋_GB2312" w:eastAsia="仿宋_GB2312" w:cs="仿宋_GB2312"/>
          <w:sz w:val="28"/>
          <w:szCs w:val="28"/>
        </w:rPr>
        <w:t>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_Toc10185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四、财</w:t>
      </w:r>
      <w:r>
        <w:rPr>
          <w:rFonts w:hint="eastAsia" w:ascii="仿宋_GB2312" w:hAnsi="仿宋_GB2312" w:eastAsia="仿宋_GB2312" w:cs="仿宋_GB2312"/>
          <w:sz w:val="28"/>
          <w:szCs w:val="28"/>
        </w:rPr>
        <w:t>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_Toc6560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五、一</w:t>
      </w:r>
      <w:r>
        <w:rPr>
          <w:rFonts w:hint="eastAsia" w:ascii="仿宋_GB2312" w:hAnsi="仿宋_GB2312" w:eastAsia="仿宋_GB2312" w:cs="仿宋_GB2312"/>
          <w:sz w:val="28"/>
          <w:szCs w:val="28"/>
        </w:rPr>
        <w:t>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_Toc28532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（一）一般公共预算财政拨款支出决算总体情况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_Toc5408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（二）一般公共预算财政拨款支出决算结构情况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_Toc29465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（三）一般公共预算财政拨款支出决算具体情况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_Toc24294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六、一</w:t>
      </w:r>
      <w:r>
        <w:rPr>
          <w:rFonts w:hint="eastAsia" w:ascii="仿宋_GB2312" w:hAnsi="仿宋_GB2312" w:eastAsia="仿宋_GB2312" w:cs="仿宋_GB2312"/>
          <w:sz w:val="28"/>
          <w:szCs w:val="28"/>
        </w:rPr>
        <w:t>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_Toc31339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七、</w:t>
      </w:r>
      <w:r>
        <w:rPr>
          <w:rFonts w:hint="eastAsia" w:ascii="仿宋_GB2312" w:hAnsi="仿宋_GB2312" w:eastAsia="仿宋_GB2312" w:cs="仿宋_GB2312"/>
          <w:sz w:val="28"/>
          <w:szCs w:val="28"/>
        </w:rPr>
        <w:t>“三公”经费财政拨款支出决算情况说明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_Toc13754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（一）“三公”经费财政拨款支出决算总体情况说明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（二）“三公”经费财政拨款支出决算具体情况说明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_Toc12666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八、</w:t>
      </w:r>
      <w:r>
        <w:rPr>
          <w:rFonts w:hint="eastAsia" w:ascii="仿宋_GB2312" w:hAnsi="仿宋_GB2312" w:eastAsia="仿宋_GB2312" w:cs="仿宋_GB2312"/>
          <w:sz w:val="28"/>
          <w:szCs w:val="28"/>
        </w:rPr>
        <w:t>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_Toc23458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 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_Toc4869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十</w:t>
      </w:r>
      <w:r>
        <w:rPr>
          <w:rFonts w:hint="eastAsia" w:ascii="仿宋_GB2312" w:hAnsi="仿宋_GB2312" w:eastAsia="仿宋_GB2312" w:cs="仿宋_GB2312"/>
          <w:sz w:val="28"/>
          <w:szCs w:val="28"/>
        </w:rPr>
        <w:t>、其他重要事项的情况说明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_Toc6459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（一）机关运行经费支出情况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_Toc22441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（二）政府采购支出情况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_Toc26271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17</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（三）国有资产占有使用情况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_Toc25265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p>
    <w:p>
      <w:pPr>
        <w:pStyle w:val="10"/>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（四）预算绩效管理情况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_Toc7306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p>
    <w:p>
      <w:pPr>
        <w:pStyle w:val="15"/>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第三部分 </w:t>
      </w:r>
      <w:r>
        <w:rPr>
          <w:rFonts w:hint="eastAsia" w:ascii="仿宋_GB2312" w:hAnsi="仿宋_GB2312" w:eastAsia="仿宋_GB2312" w:cs="仿宋_GB2312"/>
          <w:color w:val="000000"/>
          <w:sz w:val="28"/>
          <w:szCs w:val="28"/>
        </w:rPr>
        <w:t>名</w:t>
      </w:r>
      <w:r>
        <w:rPr>
          <w:rFonts w:hint="eastAsia" w:ascii="仿宋_GB2312" w:hAnsi="仿宋_GB2312" w:eastAsia="仿宋_GB2312" w:cs="仿宋_GB2312"/>
          <w:sz w:val="28"/>
          <w:szCs w:val="28"/>
        </w:rPr>
        <w:t>词解释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_Toc10753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p>
    <w:p>
      <w:pPr>
        <w:pStyle w:val="15"/>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第</w:t>
      </w:r>
      <w:r>
        <w:rPr>
          <w:rFonts w:hint="eastAsia" w:ascii="仿宋_GB2312" w:hAnsi="仿宋_GB2312" w:eastAsia="仿宋_GB2312" w:cs="仿宋_GB2312"/>
          <w:sz w:val="28"/>
          <w:szCs w:val="28"/>
        </w:rPr>
        <w:t>四部分附件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_Toc16647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p>
    <w:p>
      <w:pPr>
        <w:pStyle w:val="15"/>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_Toc11361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一、部门（单位）概况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_Toc30535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二、部门财政资金收支情况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_Toc28767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37</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三、部门整体预算绩效管理情况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_Toc30988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38</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（二）专项预算管理</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_Toc13916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（三）结果应用情况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_Toc7894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四、评价结论及建议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_Toc20693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（一）评价结论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_Toc21118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（二）存在问题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_Toc28090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39</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（三）改进建议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_Toc23361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p>
    <w:p>
      <w:pPr>
        <w:pStyle w:val="15"/>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第</w:t>
      </w:r>
      <w:r>
        <w:rPr>
          <w:rFonts w:hint="eastAsia" w:ascii="仿宋_GB2312" w:hAnsi="仿宋_GB2312" w:eastAsia="仿宋_GB2312" w:cs="仿宋_GB2312"/>
          <w:sz w:val="28"/>
          <w:szCs w:val="28"/>
        </w:rPr>
        <w:t>五部分附表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_Toc25141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一、收</w:t>
      </w:r>
      <w:r>
        <w:rPr>
          <w:rFonts w:hint="eastAsia" w:ascii="仿宋_GB2312" w:hAnsi="仿宋_GB2312" w:eastAsia="仿宋_GB2312" w:cs="仿宋_GB2312"/>
          <w:bCs w:val="0"/>
          <w:sz w:val="28"/>
          <w:szCs w:val="28"/>
        </w:rPr>
        <w:t>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_Toc16373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二、收</w:t>
      </w:r>
      <w:r>
        <w:rPr>
          <w:rFonts w:hint="eastAsia" w:ascii="仿宋_GB2312" w:hAnsi="仿宋_GB2312" w:eastAsia="仿宋_GB2312" w:cs="仿宋_GB2312"/>
          <w:bCs w:val="0"/>
          <w:sz w:val="28"/>
          <w:szCs w:val="28"/>
        </w:rPr>
        <w:t>入决算表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_Toc27470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三、</w:t>
      </w:r>
      <w:r>
        <w:rPr>
          <w:rFonts w:hint="eastAsia" w:ascii="仿宋_GB2312" w:hAnsi="仿宋_GB2312" w:eastAsia="仿宋_GB2312" w:cs="仿宋_GB2312"/>
          <w:color w:val="000000"/>
          <w:sz w:val="28"/>
          <w:szCs w:val="28"/>
        </w:rPr>
        <w:t>支</w:t>
      </w:r>
      <w:r>
        <w:rPr>
          <w:rFonts w:hint="eastAsia" w:ascii="仿宋_GB2312" w:hAnsi="仿宋_GB2312" w:eastAsia="仿宋_GB2312" w:cs="仿宋_GB2312"/>
          <w:bCs w:val="0"/>
          <w:sz w:val="28"/>
          <w:szCs w:val="28"/>
        </w:rPr>
        <w:t>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_Toc1571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四、</w:t>
      </w:r>
      <w:r>
        <w:rPr>
          <w:rFonts w:hint="eastAsia" w:ascii="仿宋_GB2312" w:hAnsi="仿宋_GB2312" w:eastAsia="仿宋_GB2312" w:cs="仿宋_GB2312"/>
          <w:color w:val="000000"/>
          <w:sz w:val="28"/>
          <w:szCs w:val="28"/>
        </w:rPr>
        <w:t>财</w:t>
      </w:r>
      <w:r>
        <w:rPr>
          <w:rFonts w:hint="eastAsia" w:ascii="仿宋_GB2312" w:hAnsi="仿宋_GB2312" w:eastAsia="仿宋_GB2312" w:cs="仿宋_GB2312"/>
          <w:bCs w:val="0"/>
          <w:sz w:val="28"/>
          <w:szCs w:val="28"/>
        </w:rPr>
        <w:t>政拨款收入支出决算总表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_Toc24311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五、</w:t>
      </w:r>
      <w:r>
        <w:rPr>
          <w:rFonts w:hint="eastAsia" w:ascii="仿宋_GB2312" w:hAnsi="仿宋_GB2312" w:eastAsia="仿宋_GB2312" w:cs="仿宋_GB2312"/>
          <w:color w:val="000000"/>
          <w:sz w:val="28"/>
          <w:szCs w:val="28"/>
        </w:rPr>
        <w:t>财</w:t>
      </w:r>
      <w:r>
        <w:rPr>
          <w:rFonts w:hint="eastAsia" w:ascii="仿宋_GB2312" w:hAnsi="仿宋_GB2312" w:eastAsia="仿宋_GB2312" w:cs="仿宋_GB2312"/>
          <w:bCs w:val="0"/>
          <w:sz w:val="28"/>
          <w:szCs w:val="28"/>
        </w:rPr>
        <w:t>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_Toc6324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六、</w:t>
      </w:r>
      <w:r>
        <w:rPr>
          <w:rFonts w:hint="eastAsia" w:ascii="仿宋_GB2312" w:hAnsi="仿宋_GB2312" w:eastAsia="仿宋_GB2312" w:cs="仿宋_GB2312"/>
          <w:color w:val="000000"/>
          <w:sz w:val="28"/>
          <w:szCs w:val="28"/>
        </w:rPr>
        <w:t>一</w:t>
      </w:r>
      <w:r>
        <w:rPr>
          <w:rFonts w:hint="eastAsia" w:ascii="仿宋_GB2312" w:hAnsi="仿宋_GB2312" w:eastAsia="仿宋_GB2312" w:cs="仿宋_GB2312"/>
          <w:bCs w:val="0"/>
          <w:sz w:val="28"/>
          <w:szCs w:val="28"/>
        </w:rPr>
        <w:t>般公共预算财政拨款支出决算表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_Toc7746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七、</w:t>
      </w:r>
      <w:r>
        <w:rPr>
          <w:rFonts w:hint="eastAsia" w:ascii="仿宋_GB2312" w:hAnsi="仿宋_GB2312" w:eastAsia="仿宋_GB2312" w:cs="仿宋_GB2312"/>
          <w:color w:val="000000"/>
          <w:sz w:val="28"/>
          <w:szCs w:val="28"/>
        </w:rPr>
        <w:t>一</w:t>
      </w:r>
      <w:r>
        <w:rPr>
          <w:rFonts w:hint="eastAsia" w:ascii="仿宋_GB2312" w:hAnsi="仿宋_GB2312" w:eastAsia="仿宋_GB2312" w:cs="仿宋_GB2312"/>
          <w:bCs w:val="0"/>
          <w:sz w:val="28"/>
          <w:szCs w:val="28"/>
        </w:rPr>
        <w:t>般公共预算财政拨款支出决算明细表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_Toc14072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八、</w:t>
      </w:r>
      <w:r>
        <w:rPr>
          <w:rFonts w:hint="eastAsia" w:ascii="仿宋_GB2312" w:hAnsi="仿宋_GB2312" w:eastAsia="仿宋_GB2312" w:cs="仿宋_GB2312"/>
          <w:color w:val="000000"/>
          <w:sz w:val="28"/>
          <w:szCs w:val="28"/>
        </w:rPr>
        <w:t>一</w:t>
      </w:r>
      <w:r>
        <w:rPr>
          <w:rFonts w:hint="eastAsia" w:ascii="仿宋_GB2312" w:hAnsi="仿宋_GB2312" w:eastAsia="仿宋_GB2312" w:cs="仿宋_GB2312"/>
          <w:bCs w:val="0"/>
          <w:sz w:val="28"/>
          <w:szCs w:val="28"/>
        </w:rPr>
        <w:t>般公共预算财政拨款基本支出决算表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_Toc27552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九、</w:t>
      </w:r>
      <w:r>
        <w:rPr>
          <w:rFonts w:hint="eastAsia" w:ascii="仿宋_GB2312" w:hAnsi="仿宋_GB2312" w:eastAsia="仿宋_GB2312" w:cs="仿宋_GB2312"/>
          <w:color w:val="000000"/>
          <w:sz w:val="28"/>
          <w:szCs w:val="28"/>
        </w:rPr>
        <w:t>一</w:t>
      </w:r>
      <w:r>
        <w:rPr>
          <w:rFonts w:hint="eastAsia" w:ascii="仿宋_GB2312" w:hAnsi="仿宋_GB2312" w:eastAsia="仿宋_GB2312" w:cs="仿宋_GB2312"/>
          <w:bCs w:val="0"/>
          <w:sz w:val="28"/>
          <w:szCs w:val="28"/>
        </w:rPr>
        <w:t>般公共预算财政拨款项目支出决算表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_Toc8315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十、</w:t>
      </w:r>
      <w:r>
        <w:rPr>
          <w:rFonts w:hint="eastAsia" w:ascii="仿宋_GB2312" w:hAnsi="仿宋_GB2312" w:eastAsia="仿宋_GB2312" w:cs="仿宋_GB2312"/>
          <w:color w:val="000000"/>
          <w:sz w:val="28"/>
          <w:szCs w:val="28"/>
        </w:rPr>
        <w:t>一</w:t>
      </w:r>
      <w:r>
        <w:rPr>
          <w:rFonts w:hint="eastAsia" w:ascii="仿宋_GB2312" w:hAnsi="仿宋_GB2312" w:eastAsia="仿宋_GB2312" w:cs="仿宋_GB2312"/>
          <w:bCs w:val="0"/>
          <w:sz w:val="28"/>
          <w:szCs w:val="28"/>
        </w:rPr>
        <w:t>般公共预算财政拨款“三公”经费支出决算表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_Toc23523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十一、</w:t>
      </w:r>
      <w:r>
        <w:rPr>
          <w:rFonts w:hint="eastAsia" w:ascii="仿宋_GB2312" w:hAnsi="仿宋_GB2312" w:eastAsia="仿宋_GB2312" w:cs="仿宋_GB2312"/>
          <w:color w:val="000000"/>
          <w:sz w:val="28"/>
          <w:szCs w:val="28"/>
        </w:rPr>
        <w:t>政</w:t>
      </w:r>
      <w:r>
        <w:rPr>
          <w:rFonts w:hint="eastAsia" w:ascii="仿宋_GB2312" w:hAnsi="仿宋_GB2312" w:eastAsia="仿宋_GB2312" w:cs="仿宋_GB2312"/>
          <w:bCs w:val="0"/>
          <w:sz w:val="28"/>
          <w:szCs w:val="28"/>
        </w:rPr>
        <w:t>府性基金预算财政拨款收入支出决算表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_Toc25708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十二、</w:t>
      </w:r>
      <w:r>
        <w:rPr>
          <w:rFonts w:hint="eastAsia" w:ascii="仿宋_GB2312" w:hAnsi="仿宋_GB2312" w:eastAsia="仿宋_GB2312" w:cs="仿宋_GB2312"/>
          <w:color w:val="000000"/>
          <w:sz w:val="28"/>
          <w:szCs w:val="28"/>
        </w:rPr>
        <w:t>政</w:t>
      </w:r>
      <w:r>
        <w:rPr>
          <w:rFonts w:hint="eastAsia" w:ascii="仿宋_GB2312" w:hAnsi="仿宋_GB2312" w:eastAsia="仿宋_GB2312" w:cs="仿宋_GB2312"/>
          <w:bCs w:val="0"/>
          <w:sz w:val="28"/>
          <w:szCs w:val="28"/>
        </w:rPr>
        <w:t>府性基金预算财政拨款“三公”经费支出决算表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十三、</w:t>
      </w:r>
      <w:r>
        <w:rPr>
          <w:rFonts w:hint="eastAsia" w:ascii="仿宋_GB2312" w:hAnsi="仿宋_GB2312" w:eastAsia="仿宋_GB2312" w:cs="仿宋_GB2312"/>
          <w:color w:val="000000"/>
          <w:sz w:val="28"/>
          <w:szCs w:val="28"/>
        </w:rPr>
        <w:t>国</w:t>
      </w:r>
      <w:r>
        <w:rPr>
          <w:rFonts w:hint="eastAsia" w:ascii="仿宋_GB2312" w:hAnsi="仿宋_GB2312" w:eastAsia="仿宋_GB2312" w:cs="仿宋_GB2312"/>
          <w:bCs w:val="0"/>
          <w:sz w:val="28"/>
          <w:szCs w:val="28"/>
        </w:rPr>
        <w:t>有资本经营预算财政拨款支出决算表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_Toc6510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pPr>
        <w:pStyle w:val="1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bCs w:val="0"/>
          <w:sz w:val="28"/>
          <w:szCs w:val="28"/>
        </w:rPr>
        <w:t>十四、国有资本经营预算财政拨款支出决算表</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_Toc7325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41</w:t>
      </w:r>
      <w:r>
        <w:rPr>
          <w:rFonts w:hint="eastAsia" w:ascii="仿宋_GB2312" w:hAnsi="仿宋_GB2312" w:eastAsia="仿宋_GB2312" w:cs="仿宋_GB2312"/>
          <w:sz w:val="28"/>
          <w:szCs w:val="28"/>
        </w:rPr>
        <w:fldChar w:fldCharType="end"/>
      </w:r>
    </w:p>
    <w:p>
      <w:r>
        <w:rPr>
          <w:rFonts w:hint="eastAsia" w:ascii="仿宋_GB2312" w:hAnsi="仿宋_GB2312" w:eastAsia="仿宋_GB2312" w:cs="仿宋_GB2312"/>
          <w:smallCaps/>
          <w:sz w:val="28"/>
          <w:szCs w:val="28"/>
        </w:rP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5"/>
        <w:jc w:val="center"/>
        <w:rPr>
          <w:rStyle w:val="24"/>
          <w:rFonts w:ascii="黑体" w:hAnsi="黑体" w:eastAsia="黑体"/>
          <w:b/>
          <w:bCs w:val="0"/>
        </w:rPr>
      </w:pPr>
      <w:bookmarkStart w:id="14" w:name="_Toc11844"/>
      <w:bookmarkStart w:id="15" w:name="_Toc79163601"/>
      <w:r>
        <w:rPr>
          <w:rFonts w:hint="eastAsia" w:ascii="黑体" w:hAnsi="黑体" w:eastAsia="黑体"/>
          <w:b w:val="0"/>
        </w:rPr>
        <w:t>第一部分</w:t>
      </w:r>
      <w:r>
        <w:rPr>
          <w:rStyle w:val="24"/>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6"/>
        <w:rPr>
          <w:rStyle w:val="25"/>
          <w:rFonts w:ascii="仿宋" w:hAnsi="仿宋" w:eastAsia="仿宋"/>
          <w:b w:val="0"/>
          <w:bCs w:val="0"/>
        </w:rPr>
      </w:pPr>
      <w:bookmarkStart w:id="16" w:name="_Toc79163602"/>
      <w:bookmarkStart w:id="17" w:name="_Toc15396600"/>
      <w:bookmarkStart w:id="18" w:name="_Toc3532"/>
      <w:bookmarkStart w:id="19"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p>
    <w:p>
      <w:pPr>
        <w:pStyle w:val="3"/>
        <w:adjustRightInd w:val="0"/>
        <w:snapToGrid w:val="0"/>
        <w:spacing w:before="93" w:line="600" w:lineRule="exact"/>
        <w:ind w:firstLine="672" w:firstLineChars="210"/>
        <w:outlineLvl w:val="2"/>
        <w:rPr>
          <w:rFonts w:hint="eastAsia" w:ascii="仿宋" w:hAnsi="仿宋" w:eastAsia="仿宋"/>
          <w:sz w:val="32"/>
          <w:szCs w:val="32"/>
          <w:lang w:val="en-US" w:eastAsia="zh-CN"/>
        </w:rPr>
      </w:pPr>
      <w:bookmarkStart w:id="20" w:name="_Toc15378445"/>
      <w:bookmarkStart w:id="21" w:name="_Toc15377198"/>
      <w:bookmarkStart w:id="22" w:name="_Toc79163603"/>
      <w:bookmarkStart w:id="23" w:name="_Toc4270"/>
      <w:r>
        <w:rPr>
          <w:rFonts w:hint="eastAsia" w:ascii="仿宋" w:hAnsi="仿宋" w:eastAsia="仿宋"/>
          <w:bCs/>
          <w:color w:val="000000"/>
          <w:sz w:val="32"/>
          <w:szCs w:val="32"/>
        </w:rPr>
        <w:t>（一）主要职能</w:t>
      </w:r>
      <w:bookmarkEnd w:id="20"/>
      <w:bookmarkEnd w:id="21"/>
      <w:bookmarkEnd w:id="22"/>
      <w:bookmarkEnd w:id="23"/>
      <w:bookmarkStart w:id="24" w:name="_Toc15378446"/>
      <w:bookmarkStart w:id="25" w:name="_Toc15377199"/>
      <w:bookmarkStart w:id="26" w:name="_Toc79163604"/>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1.贯彻执行党和国家的路线方针政策和上级党委、政府各项决策部署，以及本级党员代表大会（党员大会）、人民代表大会的决议决定。</w:t>
      </w:r>
    </w:p>
    <w:p>
      <w:pPr>
        <w:pStyle w:val="4"/>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2.讨论和决定本镇经济建设、政治建设、文化建设、社会建设、生态文明建设和党的建设以及乡村振兴中的重大问题。</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3.领导镇政权机关、群团组织和其他各类组织，加强指导和规范，支持和保证这些机关和组织依照国家法律法规以及各自章程履行职责。</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4.加强党的建设。坚持全面从严治党，落实管党治党主体责任，全面加强党的政治建设、思想建设、组织建设、作风建设、纪律建设、制度建设等工作。</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5.按照干部管理权限，负责对干部的教育、培训、选拔、考核和监督工作。</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统筹区域发展。落实关于辖区发展的重大决策，制定辖区经济和社会发展规划、公共服务设施布局；负责乡村振兴工作，做好民生保障、扶贫开发、民族宗教等工作，推动辖区经济社会健康、有序、可持续发展。</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8.优化公共服务。推进服务型政府建设，组织实施并优化教育、文化、民政、社会保障、退役军人事务等各项公共服务。</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9.负责辖区范围内的应急管理、社会稳定、安全生产、生态环境保护、社会信用体系建设和审批服务便民化等工作。</w:t>
      </w:r>
    </w:p>
    <w:p>
      <w:pPr>
        <w:pStyle w:val="4"/>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10.负责辖区农村经营管理体系建设工作。</w:t>
      </w:r>
    </w:p>
    <w:p>
      <w:pPr>
        <w:pStyle w:val="4"/>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11.完成县委、县人民政府交办的其他任务。</w:t>
      </w:r>
    </w:p>
    <w:p>
      <w:pPr>
        <w:pStyle w:val="3"/>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7" w:name="_Toc8336"/>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numPr>
          <w:ilvl w:val="0"/>
          <w:numId w:val="0"/>
        </w:numPr>
        <w:spacing w:line="560" w:lineRule="exact"/>
        <w:ind w:firstLine="640" w:firstLineChars="200"/>
        <w:rPr>
          <w:rFonts w:hint="default" w:ascii="仿宋_GB2312" w:hAnsi="仿宋_GB2312" w:eastAsia="仿宋_GB2312" w:cs="仿宋_GB2312"/>
          <w:sz w:val="32"/>
          <w:szCs w:val="32"/>
          <w:lang w:val="en-US" w:eastAsia="zh-CN"/>
        </w:rPr>
      </w:pPr>
      <w:bookmarkStart w:id="28" w:name="_Toc15377200"/>
      <w:bookmarkStart w:id="29" w:name="_Toc4629"/>
      <w:bookmarkStart w:id="30" w:name="_Toc15396601"/>
      <w:bookmarkStart w:id="31" w:name="_Toc79163605"/>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、做</w:t>
      </w:r>
      <w:r>
        <w:rPr>
          <w:rFonts w:hint="eastAsia" w:ascii="仿宋_GB2312" w:hAnsi="仿宋_GB2312" w:eastAsia="仿宋_GB2312" w:cs="仿宋_GB2312"/>
          <w:sz w:val="32"/>
          <w:szCs w:val="32"/>
          <w:lang w:val="en-US" w:eastAsia="zh-CN"/>
        </w:rPr>
        <w:t>好</w:t>
      </w:r>
      <w:r>
        <w:rPr>
          <w:rFonts w:hint="eastAsia" w:ascii="仿宋_GB2312" w:hAnsi="仿宋_GB2312" w:eastAsia="仿宋_GB2312" w:cs="仿宋_GB2312"/>
          <w:sz w:val="32"/>
          <w:szCs w:val="32"/>
        </w:rPr>
        <w:t>社会保障工作。一是</w:t>
      </w:r>
      <w:r>
        <w:rPr>
          <w:rFonts w:hint="eastAsia" w:ascii="仿宋_GB2312" w:hAnsi="仿宋_GB2312" w:eastAsia="仿宋_GB2312" w:cs="仿宋_GB2312"/>
          <w:sz w:val="32"/>
          <w:szCs w:val="32"/>
          <w:lang w:eastAsia="zh-CN"/>
        </w:rPr>
        <w:t>做</w:t>
      </w:r>
      <w:r>
        <w:rPr>
          <w:rFonts w:hint="eastAsia" w:ascii="仿宋_GB2312" w:hAnsi="仿宋_GB2312" w:eastAsia="仿宋_GB2312" w:cs="仿宋_GB2312"/>
          <w:sz w:val="32"/>
          <w:szCs w:val="32"/>
          <w:lang w:val="en-US" w:eastAsia="zh-CN"/>
        </w:rPr>
        <w:t>好</w:t>
      </w:r>
      <w:r>
        <w:rPr>
          <w:rFonts w:hint="eastAsia" w:ascii="仿宋_GB2312" w:hAnsi="仿宋_GB2312" w:eastAsia="仿宋_GB2312" w:cs="仿宋_GB2312"/>
          <w:sz w:val="32"/>
          <w:szCs w:val="32"/>
        </w:rPr>
        <w:t>城乡低保人员、离任老干部、高龄津贴人员、特困人员等人员的动态管理，核实上报死亡人员，按照相关要求，规范申报程序，做</w:t>
      </w:r>
      <w:r>
        <w:rPr>
          <w:rFonts w:hint="eastAsia" w:ascii="仿宋_GB2312" w:hAnsi="仿宋_GB2312" w:eastAsia="仿宋_GB2312" w:cs="仿宋_GB2312"/>
          <w:sz w:val="32"/>
          <w:szCs w:val="32"/>
          <w:lang w:eastAsia="zh-CN"/>
        </w:rPr>
        <w:t>到</w:t>
      </w:r>
      <w:r>
        <w:rPr>
          <w:rFonts w:hint="eastAsia" w:ascii="仿宋_GB2312" w:hAnsi="仿宋_GB2312" w:eastAsia="仿宋_GB2312" w:cs="仿宋_GB2312"/>
          <w:sz w:val="32"/>
          <w:szCs w:val="32"/>
        </w:rPr>
        <w:t>应保尽保；</w:t>
      </w:r>
      <w:r>
        <w:rPr>
          <w:rFonts w:hint="eastAsia" w:ascii="仿宋_GB2312" w:hAnsi="仿宋_GB2312" w:eastAsia="仿宋_GB2312" w:cs="仿宋_GB2312"/>
          <w:sz w:val="32"/>
          <w:szCs w:val="32"/>
          <w:lang w:val="en-US" w:eastAsia="zh-CN"/>
        </w:rPr>
        <w:t>二是落实好民政、残联等相关救助帮扶政策，确保辖区内群众切实得到帮扶和救助。</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是加</w:t>
      </w:r>
      <w:r>
        <w:rPr>
          <w:rFonts w:hint="eastAsia" w:ascii="仿宋_GB2312" w:hAnsi="仿宋_GB2312" w:eastAsia="仿宋_GB2312" w:cs="仿宋_GB2312"/>
          <w:sz w:val="32"/>
          <w:szCs w:val="32"/>
          <w:lang w:val="en-US" w:eastAsia="zh-CN"/>
        </w:rPr>
        <w:t>强</w:t>
      </w:r>
      <w:r>
        <w:rPr>
          <w:rFonts w:hint="eastAsia" w:ascii="仿宋_GB2312" w:hAnsi="仿宋_GB2312" w:eastAsia="仿宋_GB2312" w:cs="仿宋_GB2312"/>
          <w:sz w:val="32"/>
          <w:szCs w:val="32"/>
        </w:rPr>
        <w:t>就业援助和技能培训力度。健全城乡社会救助体系，加强城乡医疗救助、重度残疾人护理、孤儿生活保障等工作。</w:t>
      </w:r>
      <w:r>
        <w:rPr>
          <w:rFonts w:hint="eastAsia" w:ascii="仿宋_GB2312" w:hAnsi="仿宋_GB2312" w:eastAsia="仿宋_GB2312" w:cs="仿宋_GB2312"/>
          <w:sz w:val="32"/>
          <w:szCs w:val="32"/>
          <w:lang w:eastAsia="zh-CN"/>
        </w:rPr>
        <w:t>保证</w:t>
      </w:r>
      <w:r>
        <w:rPr>
          <w:rFonts w:hint="eastAsia" w:ascii="仿宋_GB2312" w:hAnsi="仿宋_GB2312" w:eastAsia="仿宋_GB2312" w:cs="仿宋_GB2312"/>
          <w:sz w:val="32"/>
          <w:szCs w:val="32"/>
        </w:rPr>
        <w:t>全民参保计划，基本实现社会保险全覆盖、银行代扣全覆盖，加强宣传新型农村养老保险制度。</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是统筹发展社会事业，</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lang w:eastAsia="zh-CN"/>
        </w:rPr>
        <w:t>好</w:t>
      </w:r>
      <w:r>
        <w:rPr>
          <w:rFonts w:hint="eastAsia" w:ascii="仿宋_GB2312" w:hAnsi="仿宋_GB2312" w:eastAsia="仿宋_GB2312" w:cs="仿宋_GB2312"/>
          <w:sz w:val="32"/>
          <w:szCs w:val="32"/>
        </w:rPr>
        <w:t>农村义务教育工作，完善</w:t>
      </w:r>
      <w:r>
        <w:rPr>
          <w:rFonts w:hint="eastAsia" w:ascii="仿宋_GB2312" w:hAnsi="仿宋_GB2312" w:eastAsia="仿宋_GB2312" w:cs="仿宋_GB2312"/>
          <w:sz w:val="32"/>
          <w:szCs w:val="32"/>
          <w:lang w:val="en-US" w:eastAsia="zh-CN"/>
        </w:rPr>
        <w:t>了镇</w:t>
      </w:r>
      <w:r>
        <w:rPr>
          <w:rFonts w:hint="eastAsia" w:ascii="仿宋_GB2312" w:hAnsi="仿宋_GB2312" w:eastAsia="仿宋_GB2312" w:cs="仿宋_GB2312"/>
          <w:sz w:val="32"/>
          <w:szCs w:val="32"/>
        </w:rPr>
        <w:t>、村医疗卫生体系；加强工会、共青团、妇联群团组织建设，做好</w:t>
      </w:r>
      <w:r>
        <w:rPr>
          <w:rFonts w:hint="eastAsia" w:ascii="仿宋_GB2312" w:hAnsi="仿宋_GB2312" w:eastAsia="仿宋_GB2312" w:cs="仿宋_GB2312"/>
          <w:sz w:val="32"/>
          <w:szCs w:val="32"/>
          <w:lang w:eastAsia="zh-CN"/>
        </w:rPr>
        <w:t>民族团结进步示范镇创建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防汛抗旱</w:t>
      </w:r>
      <w:r>
        <w:rPr>
          <w:rFonts w:hint="eastAsia" w:ascii="仿宋_GB2312" w:hAnsi="仿宋_GB2312" w:eastAsia="仿宋_GB2312" w:cs="仿宋_GB2312"/>
          <w:sz w:val="32"/>
          <w:szCs w:val="32"/>
        </w:rPr>
        <w:t>、防震减灾、红十字、</w:t>
      </w:r>
      <w:r>
        <w:rPr>
          <w:rFonts w:hint="eastAsia" w:ascii="仿宋_GB2312" w:hAnsi="仿宋_GB2312" w:eastAsia="仿宋_GB2312" w:cs="仿宋_GB2312"/>
          <w:sz w:val="32"/>
          <w:szCs w:val="32"/>
          <w:lang w:eastAsia="zh-CN"/>
        </w:rPr>
        <w:t>疫情防控</w:t>
      </w:r>
      <w:r>
        <w:rPr>
          <w:rFonts w:hint="eastAsia" w:ascii="仿宋_GB2312" w:hAnsi="仿宋_GB2312" w:eastAsia="仿宋_GB2312" w:cs="仿宋_GB2312"/>
          <w:sz w:val="32"/>
          <w:szCs w:val="32"/>
        </w:rPr>
        <w:t>等工作。</w:t>
      </w:r>
      <w:r>
        <w:rPr>
          <w:rFonts w:hint="eastAsia" w:ascii="仿宋_GB2312" w:hAnsi="仿宋_GB2312" w:eastAsia="仿宋_GB2312" w:cs="仿宋_GB2312"/>
          <w:sz w:val="32"/>
          <w:szCs w:val="32"/>
          <w:lang w:eastAsia="zh-CN"/>
        </w:rPr>
        <w:t>五是</w:t>
      </w:r>
      <w:r>
        <w:rPr>
          <w:rFonts w:hint="eastAsia" w:ascii="仿宋_GB2312" w:hAnsi="仿宋_GB2312" w:eastAsia="仿宋_GB2312" w:cs="仿宋_GB2312"/>
          <w:sz w:val="32"/>
          <w:szCs w:val="32"/>
          <w:lang w:val="en-US" w:eastAsia="zh-CN"/>
        </w:rPr>
        <w:t>进行了</w:t>
      </w:r>
      <w:r>
        <w:rPr>
          <w:rFonts w:hint="eastAsia" w:ascii="仿宋_GB2312" w:hAnsi="仿宋_GB2312" w:eastAsia="仿宋_GB2312" w:cs="仿宋_GB2312"/>
          <w:sz w:val="32"/>
          <w:szCs w:val="32"/>
        </w:rPr>
        <w:t>农资市场专项整治。抓好农产品质量安全工作和农产品销售工作，避免因农产品质量、市场供求失调等原因造成大宗农产品滞销</w:t>
      </w:r>
      <w:r>
        <w:rPr>
          <w:rFonts w:hint="eastAsia" w:ascii="仿宋_GB2312" w:hAnsi="仿宋_GB2312" w:eastAsia="仿宋_GB2312" w:cs="仿宋_GB2312"/>
          <w:sz w:val="32"/>
          <w:szCs w:val="32"/>
          <w:lang w:val="en-US" w:eastAsia="zh-CN"/>
        </w:rPr>
        <w:t>以及做好</w:t>
      </w:r>
      <w:r>
        <w:rPr>
          <w:rFonts w:hint="eastAsia" w:ascii="仿宋_GB2312" w:hAnsi="仿宋_GB2312" w:eastAsia="仿宋_GB2312" w:cs="仿宋_GB2312"/>
          <w:sz w:val="32"/>
          <w:szCs w:val="32"/>
        </w:rPr>
        <w:t>动物防疫工作，特别是非洲猪瘟防控工作。</w:t>
      </w:r>
    </w:p>
    <w:p>
      <w:pPr>
        <w:numPr>
          <w:ilvl w:val="0"/>
          <w:numId w:val="0"/>
        </w:num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落实责任抓好重大项目建设推进。加强项目管理，从项目申报、实施和验收报账等各个环节严</w:t>
      </w:r>
      <w:r>
        <w:rPr>
          <w:rFonts w:hint="eastAsia" w:ascii="仿宋_GB2312" w:hAnsi="仿宋_GB2312" w:eastAsia="仿宋_GB2312" w:cs="仿宋_GB2312"/>
          <w:sz w:val="32"/>
          <w:szCs w:val="32"/>
          <w:lang w:eastAsia="zh-CN"/>
        </w:rPr>
        <w:t>格按照</w:t>
      </w:r>
      <w:r>
        <w:rPr>
          <w:rFonts w:hint="eastAsia" w:ascii="仿宋_GB2312" w:hAnsi="仿宋_GB2312" w:eastAsia="仿宋_GB2312" w:cs="仿宋_GB2312"/>
          <w:sz w:val="32"/>
          <w:szCs w:val="32"/>
          <w:lang w:val="en-US" w:eastAsia="zh-CN"/>
        </w:rPr>
        <w:t>28号文件</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，组织村干部学习项目相关文件精神和纪委项目管理的相关规定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加强村上项目管理</w:t>
      </w:r>
      <w:r>
        <w:rPr>
          <w:rFonts w:hint="eastAsia" w:ascii="仿宋_GB2312" w:hAnsi="仿宋_GB2312" w:eastAsia="仿宋_GB2312" w:cs="仿宋_GB2312"/>
          <w:sz w:val="32"/>
          <w:szCs w:val="32"/>
          <w:lang w:eastAsia="zh-CN"/>
        </w:rPr>
        <w:t>水平</w:t>
      </w: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val="en-US" w:eastAsia="zh-CN"/>
        </w:rPr>
        <w:t>全年</w:t>
      </w:r>
      <w:r>
        <w:rPr>
          <w:rFonts w:hint="eastAsia" w:ascii="仿宋_GB2312" w:hAnsi="仿宋_GB2312" w:eastAsia="仿宋_GB2312" w:cs="仿宋_GB2312"/>
          <w:sz w:val="32"/>
          <w:szCs w:val="32"/>
        </w:rPr>
        <w:t>统筹整合财政涉农资金使用安排脱贫攻坚项目共计</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个，涉及项目资金16</w:t>
      </w:r>
      <w:r>
        <w:rPr>
          <w:rFonts w:hint="eastAsia" w:ascii="仿宋_GB2312" w:hAnsi="仿宋_GB2312" w:eastAsia="仿宋_GB2312" w:cs="仿宋_GB2312"/>
          <w:sz w:val="32"/>
          <w:szCs w:val="32"/>
          <w:lang w:val="en-US" w:eastAsia="zh-CN"/>
        </w:rPr>
        <w:t>74.24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pPr>
        <w:pStyle w:val="6"/>
        <w:ind w:firstLine="640" w:firstLineChars="200"/>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bookmarkEnd w:id="31"/>
    </w:p>
    <w:p>
      <w:pPr>
        <w:ind w:firstLine="800" w:firstLineChars="250"/>
        <w:rPr>
          <w:rFonts w:ascii="仿宋" w:hAnsi="仿宋" w:eastAsia="仿宋"/>
          <w:sz w:val="32"/>
          <w:szCs w:val="32"/>
        </w:rPr>
      </w:pPr>
      <w:r>
        <w:rPr>
          <w:rFonts w:hint="eastAsia" w:ascii="仿宋" w:hAnsi="仿宋" w:eastAsia="仿宋"/>
          <w:sz w:val="32"/>
          <w:szCs w:val="32"/>
          <w:lang w:val="en-US" w:eastAsia="zh-CN"/>
        </w:rPr>
        <w:t>茂县赤不苏镇人民政府</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5"/>
        <w:ind w:right="440"/>
        <w:jc w:val="right"/>
        <w:rPr>
          <w:rStyle w:val="24"/>
          <w:rFonts w:ascii="黑体" w:hAnsi="黑体" w:eastAsia="黑体"/>
          <w:b w:val="0"/>
          <w:bCs w:val="0"/>
        </w:rPr>
      </w:pPr>
      <w:bookmarkStart w:id="32" w:name="_Toc79163609"/>
      <w:bookmarkStart w:id="33" w:name="_Toc15396602"/>
      <w:bookmarkStart w:id="34" w:name="_Toc15377204"/>
      <w:bookmarkStart w:id="35" w:name="_Toc10125"/>
      <w:r>
        <w:rPr>
          <w:rFonts w:hint="eastAsia" w:ascii="黑体" w:hAnsi="黑体" w:eastAsia="黑体"/>
          <w:b w:val="0"/>
          <w:color w:val="000000"/>
        </w:rPr>
        <w:t>第二部分</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2"/>
      <w:bookmarkEnd w:id="33"/>
      <w:bookmarkEnd w:id="34"/>
      <w:bookmarkEnd w:id="35"/>
    </w:p>
    <w:p/>
    <w:p>
      <w:pPr>
        <w:pStyle w:val="35"/>
        <w:numPr>
          <w:ilvl w:val="0"/>
          <w:numId w:val="1"/>
        </w:numPr>
        <w:spacing w:line="600" w:lineRule="exact"/>
        <w:ind w:firstLineChars="0"/>
        <w:outlineLvl w:val="1"/>
        <w:rPr>
          <w:rStyle w:val="25"/>
          <w:rFonts w:ascii="黑体" w:hAnsi="黑体" w:eastAsia="黑体"/>
          <w:b w:val="0"/>
        </w:rPr>
      </w:pPr>
      <w:bookmarkStart w:id="36" w:name="_Toc79163610"/>
      <w:bookmarkStart w:id="37" w:name="_Toc15396603"/>
      <w:bookmarkStart w:id="38" w:name="_Toc27388"/>
      <w:bookmarkStart w:id="39"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2105.48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458.78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27.86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lang w:val="en-US" w:eastAsia="zh-CN"/>
        </w:rPr>
        <w:t>人员变动，项目增加。</w:t>
      </w:r>
    </w:p>
    <w:p>
      <w:pPr>
        <w:spacing w:line="600" w:lineRule="exact"/>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458470</wp:posOffset>
            </wp:positionH>
            <wp:positionV relativeFrom="paragraph">
              <wp:posOffset>406400</wp:posOffset>
            </wp:positionV>
            <wp:extent cx="4784725" cy="3219450"/>
            <wp:effectExtent l="4445" t="5080" r="11430" b="1397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r>
        <w:rPr>
          <w:rFonts w:hint="eastAsia" w:ascii="仿宋" w:hAnsi="仿宋" w:eastAsia="仿宋"/>
          <w:color w:val="000000"/>
          <w:sz w:val="32"/>
          <w:szCs w:val="32"/>
          <w:lang w:val="en-US" w:eastAsia="zh-CN"/>
        </w:rPr>
        <w:t>单位：万元</w:t>
      </w:r>
      <w:r>
        <w:rPr>
          <w:rFonts w:hint="eastAsia" w:ascii="仿宋" w:hAnsi="仿宋" w:eastAsia="仿宋"/>
          <w:color w:val="000000"/>
          <w:sz w:val="32"/>
          <w:szCs w:val="32"/>
        </w:rPr>
        <w:t>）</w:t>
      </w:r>
    </w:p>
    <w:p>
      <w:pPr>
        <w:pStyle w:val="35"/>
        <w:numPr>
          <w:ilvl w:val="0"/>
          <w:numId w:val="1"/>
        </w:numPr>
        <w:spacing w:line="600" w:lineRule="exact"/>
        <w:ind w:firstLineChars="0"/>
        <w:outlineLvl w:val="1"/>
        <w:rPr>
          <w:rStyle w:val="25"/>
          <w:rFonts w:ascii="黑体" w:hAnsi="黑体" w:eastAsia="黑体"/>
          <w:b w:val="0"/>
        </w:rPr>
      </w:pPr>
      <w:bookmarkStart w:id="40" w:name="_Toc3925"/>
      <w:bookmarkStart w:id="41" w:name="_Toc15377206"/>
      <w:bookmarkStart w:id="42" w:name="_Toc15396604"/>
      <w:bookmarkStart w:id="43" w:name="_Toc79163611"/>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1916.37</w:t>
      </w:r>
      <w:r>
        <w:rPr>
          <w:rFonts w:hint="eastAsia" w:ascii="仿宋" w:hAnsi="仿宋" w:eastAsia="仿宋"/>
          <w:color w:val="000000"/>
          <w:sz w:val="32"/>
          <w:szCs w:val="32"/>
        </w:rPr>
        <w:t>万元，其中：一般公共预算财政拨款收入1832.58万元，占</w:t>
      </w:r>
      <w:r>
        <w:rPr>
          <w:rFonts w:hint="eastAsia" w:ascii="仿宋" w:hAnsi="仿宋" w:eastAsia="仿宋"/>
          <w:color w:val="000000"/>
          <w:sz w:val="32"/>
          <w:szCs w:val="32"/>
          <w:lang w:val="en-US" w:eastAsia="zh-CN"/>
        </w:rPr>
        <w:t>95.63</w:t>
      </w:r>
      <w:r>
        <w:rPr>
          <w:rFonts w:ascii="仿宋" w:hAnsi="仿宋" w:eastAsia="仿宋"/>
          <w:color w:val="000000"/>
          <w:sz w:val="32"/>
          <w:szCs w:val="32"/>
        </w:rPr>
        <w:t>%</w:t>
      </w:r>
      <w:r>
        <w:rPr>
          <w:rFonts w:hint="eastAsia" w:ascii="仿宋" w:hAnsi="仿宋" w:eastAsia="仿宋"/>
          <w:color w:val="000000"/>
          <w:sz w:val="32"/>
          <w:szCs w:val="32"/>
        </w:rPr>
        <w:t>；政府性基金预算财政拨款收入83.79万元，占</w:t>
      </w:r>
      <w:r>
        <w:rPr>
          <w:rFonts w:hint="eastAsia" w:ascii="仿宋" w:hAnsi="仿宋" w:eastAsia="仿宋"/>
          <w:color w:val="000000"/>
          <w:sz w:val="32"/>
          <w:szCs w:val="32"/>
          <w:lang w:val="en-US" w:eastAsia="zh-CN"/>
        </w:rPr>
        <w:t>4.37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248920</wp:posOffset>
            </wp:positionH>
            <wp:positionV relativeFrom="page">
              <wp:posOffset>194945</wp:posOffset>
            </wp:positionV>
            <wp:extent cx="4880610" cy="3543300"/>
            <wp:effectExtent l="5080" t="4445" r="1016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pStyle w:val="35"/>
        <w:numPr>
          <w:ilvl w:val="0"/>
          <w:numId w:val="1"/>
        </w:numPr>
        <w:spacing w:line="600" w:lineRule="exact"/>
        <w:ind w:firstLineChars="0"/>
        <w:outlineLvl w:val="1"/>
        <w:rPr>
          <w:rStyle w:val="25"/>
          <w:rFonts w:ascii="黑体" w:hAnsi="黑体" w:eastAsia="黑体"/>
          <w:b w:val="0"/>
        </w:rPr>
      </w:pPr>
      <w:bookmarkStart w:id="44" w:name="_Toc10185"/>
      <w:bookmarkStart w:id="45" w:name="_Toc15396605"/>
      <w:bookmarkStart w:id="46" w:name="_Toc79163612"/>
      <w:bookmarkStart w:id="4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 w:hAnsi="仿宋" w:eastAsia="仿宋"/>
          <w:color w:val="000000"/>
          <w:sz w:val="32"/>
          <w:szCs w:val="32"/>
          <w:shd w:val="pct10" w:color="auto" w:fill="FFFFFF"/>
        </w:rPr>
      </w:pPr>
      <w:r>
        <w:rPr>
          <w:rFonts w:ascii="仿宋_GB2312" w:eastAsia="仿宋_GB2312"/>
          <w:sz w:val="32"/>
          <w:szCs w:val="32"/>
        </w:rPr>
        <w:t>2020</w:t>
      </w:r>
      <w:r>
        <w:rPr>
          <w:rFonts w:hint="eastAsia" w:ascii="仿宋_GB2312" w:eastAsia="仿宋_GB2312"/>
          <w:sz w:val="32"/>
          <w:szCs w:val="32"/>
        </w:rPr>
        <w:t>年本年支出合计2020.89万元，其中：基本支出1074.7万元，占</w:t>
      </w:r>
      <w:r>
        <w:rPr>
          <w:rFonts w:hint="eastAsia" w:ascii="仿宋_GB2312" w:eastAsia="仿宋_GB2312"/>
          <w:sz w:val="32"/>
          <w:szCs w:val="32"/>
          <w:lang w:val="en-US" w:eastAsia="zh-CN"/>
        </w:rPr>
        <w:t>53.18</w:t>
      </w:r>
      <w:r>
        <w:rPr>
          <w:rFonts w:ascii="仿宋_GB2312" w:eastAsia="仿宋_GB2312"/>
          <w:sz w:val="32"/>
          <w:szCs w:val="32"/>
        </w:rPr>
        <w:t>%</w:t>
      </w:r>
      <w:r>
        <w:rPr>
          <w:rFonts w:hint="eastAsia" w:ascii="仿宋_GB2312" w:eastAsia="仿宋_GB2312"/>
          <w:sz w:val="32"/>
          <w:szCs w:val="32"/>
        </w:rPr>
        <w:t>；项目支出946.19万元，占</w:t>
      </w:r>
      <w:r>
        <w:rPr>
          <w:rFonts w:hint="eastAsia" w:ascii="仿宋_GB2312" w:eastAsia="仿宋_GB2312"/>
          <w:sz w:val="32"/>
          <w:szCs w:val="32"/>
          <w:lang w:val="en-US" w:eastAsia="zh-CN"/>
        </w:rPr>
        <w:t>46.82</w:t>
      </w:r>
      <w:r>
        <w:rPr>
          <w:rFonts w:ascii="仿宋_GB2312" w:eastAsia="仿宋_GB2312"/>
          <w:sz w:val="32"/>
          <w:szCs w:val="32"/>
        </w:rPr>
        <w:t>%</w:t>
      </w:r>
      <w:r>
        <w:rPr>
          <w:rFonts w:hint="eastAsia" w:ascii="仿宋_GB2312" w:eastAsia="仿宋_GB2312"/>
          <w:sz w:val="32"/>
          <w:szCs w:val="32"/>
          <w:lang w:eastAsia="zh-CN"/>
        </w:rPr>
        <w:t>。</w:t>
      </w: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372745</wp:posOffset>
            </wp:positionH>
            <wp:positionV relativeFrom="paragraph">
              <wp:posOffset>130810</wp:posOffset>
            </wp:positionV>
            <wp:extent cx="4413885" cy="3258185"/>
            <wp:effectExtent l="4445" t="4445" r="20320" b="1397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48" w:name="_Toc6560"/>
      <w:bookmarkStart w:id="49" w:name="_Toc79163613"/>
      <w:bookmarkStart w:id="50" w:name="_Toc15377208"/>
      <w:bookmarkStart w:id="51"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2105.48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458.78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27.86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lang w:val="en-US" w:eastAsia="zh-CN"/>
        </w:rPr>
        <w:t>人员变动，项目增加。</w:t>
      </w:r>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414020</wp:posOffset>
            </wp:positionH>
            <wp:positionV relativeFrom="paragraph">
              <wp:posOffset>205105</wp:posOffset>
            </wp:positionV>
            <wp:extent cx="4509135" cy="3039110"/>
            <wp:effectExtent l="4445" t="4445" r="20320" b="2349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r>
        <w:rPr>
          <w:rFonts w:hint="eastAsia" w:ascii="仿宋" w:hAnsi="仿宋" w:eastAsia="仿宋"/>
          <w:color w:val="000000"/>
          <w:sz w:val="32"/>
          <w:szCs w:val="32"/>
          <w:lang w:val="en-US" w:eastAsia="zh-CN"/>
        </w:rPr>
        <w:t>单位：万元</w:t>
      </w:r>
      <w:r>
        <w:rPr>
          <w:rFonts w:hint="eastAsia" w:ascii="仿宋" w:hAnsi="仿宋" w:eastAsia="仿宋"/>
          <w:color w:val="000000"/>
          <w:sz w:val="32"/>
          <w:szCs w:val="32"/>
        </w:rPr>
        <w:t>）</w:t>
      </w:r>
    </w:p>
    <w:p>
      <w:pPr>
        <w:spacing w:line="600" w:lineRule="exact"/>
        <w:ind w:firstLine="640" w:firstLineChars="200"/>
        <w:outlineLvl w:val="1"/>
        <w:rPr>
          <w:rStyle w:val="25"/>
          <w:rFonts w:ascii="黑体" w:hAnsi="黑体" w:eastAsia="黑体"/>
          <w:b w:val="0"/>
        </w:rPr>
      </w:pPr>
      <w:bookmarkStart w:id="52" w:name="_Toc15377209"/>
      <w:bookmarkStart w:id="53" w:name="_Toc15396607"/>
      <w:bookmarkStart w:id="54" w:name="_Toc28532"/>
      <w:bookmarkStart w:id="5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15377210"/>
      <w:bookmarkStart w:id="57" w:name="_Toc5408"/>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年一般公共预算财政拨款支出1937.1</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95.85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522.44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36.93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人员变动。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496570</wp:posOffset>
            </wp:positionH>
            <wp:positionV relativeFrom="page">
              <wp:posOffset>681355</wp:posOffset>
            </wp:positionV>
            <wp:extent cx="4613275" cy="3667125"/>
            <wp:effectExtent l="4445" t="5080" r="11430" b="44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val="en-US" w:eastAsia="zh-CN"/>
        </w:rPr>
        <w:t>单位：万元</w:t>
      </w:r>
      <w:r>
        <w:rPr>
          <w:rFonts w:hint="eastAsia" w:ascii="仿宋" w:hAnsi="仿宋" w:eastAsia="仿宋"/>
          <w:color w:val="000000"/>
          <w:sz w:val="32"/>
          <w:szCs w:val="32"/>
        </w:rPr>
        <w:t>）</w:t>
      </w:r>
    </w:p>
    <w:p>
      <w:pPr>
        <w:spacing w:line="600" w:lineRule="exact"/>
        <w:ind w:firstLine="642" w:firstLineChars="200"/>
        <w:outlineLvl w:val="2"/>
        <w:rPr>
          <w:rFonts w:ascii="仿宋" w:hAnsi="仿宋" w:eastAsia="仿宋"/>
          <w:b/>
          <w:color w:val="000000"/>
          <w:sz w:val="32"/>
          <w:szCs w:val="32"/>
        </w:rPr>
      </w:pPr>
      <w:bookmarkStart w:id="59" w:name="_Toc79163616"/>
      <w:bookmarkStart w:id="60" w:name="_Toc15377211"/>
      <w:bookmarkStart w:id="61" w:name="_Toc29465"/>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hint="eastAsia" w:ascii="仿宋_GB2312" w:hAnsi="仿宋_GB2312" w:eastAsia="仿宋_GB2312" w:cs="仿宋_GB2312"/>
          <w:color w:val="000000"/>
          <w:sz w:val="32"/>
          <w:szCs w:val="32"/>
        </w:rPr>
        <w:t>茂县赤不苏镇人民政府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年一般公共预算财政拨款支出1937.1</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662.56万元，占</w:t>
      </w:r>
      <w:bookmarkStart w:id="62" w:name="OLE_LINK1"/>
      <w:r>
        <w:rPr>
          <w:rFonts w:hint="eastAsia" w:ascii="仿宋_GB2312" w:hAnsi="仿宋_GB2312" w:eastAsia="仿宋_GB2312" w:cs="仿宋_GB2312"/>
          <w:sz w:val="32"/>
          <w:szCs w:val="32"/>
        </w:rPr>
        <w:t>本年支出合计的</w:t>
      </w:r>
      <w:bookmarkEnd w:id="62"/>
      <w:r>
        <w:rPr>
          <w:rFonts w:hint="eastAsia" w:ascii="仿宋_GB2312" w:hAnsi="仿宋_GB2312" w:eastAsia="仿宋_GB2312" w:cs="仿宋_GB2312"/>
          <w:sz w:val="32"/>
          <w:szCs w:val="32"/>
          <w:lang w:val="en-US" w:eastAsia="zh-CN"/>
        </w:rPr>
        <w:t>34.20</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8.99万元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占本年支出合计的</w:t>
      </w:r>
      <w:r>
        <w:rPr>
          <w:rFonts w:hint="eastAsia" w:ascii="仿宋_GB2312" w:hAnsi="仿宋_GB2312" w:eastAsia="仿宋_GB2312" w:cs="仿宋_GB2312"/>
          <w:sz w:val="32"/>
          <w:szCs w:val="32"/>
          <w:lang w:val="en-US" w:eastAsia="zh-CN"/>
        </w:rPr>
        <w:t>0.47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文化旅游体育与传媒支出（类）</w:t>
      </w:r>
      <w:r>
        <w:rPr>
          <w:rFonts w:hint="eastAsia" w:ascii="仿宋_GB2312" w:hAnsi="仿宋_GB2312" w:eastAsia="仿宋_GB2312" w:cs="仿宋_GB2312"/>
          <w:sz w:val="32"/>
          <w:szCs w:val="32"/>
        </w:rPr>
        <w:t>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占本年支出合计的</w:t>
      </w:r>
      <w:r>
        <w:rPr>
          <w:rFonts w:hint="eastAsia" w:ascii="仿宋_GB2312" w:hAnsi="仿宋_GB2312" w:eastAsia="仿宋_GB2312" w:cs="仿宋_GB2312"/>
          <w:sz w:val="32"/>
          <w:szCs w:val="32"/>
          <w:lang w:val="en-US" w:eastAsia="zh-CN"/>
        </w:rPr>
        <w:t>0.26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117.06万元，占本年支出合计的</w:t>
      </w:r>
      <w:r>
        <w:rPr>
          <w:rFonts w:hint="eastAsia" w:ascii="仿宋_GB2312" w:hAnsi="仿宋_GB2312" w:eastAsia="仿宋_GB2312" w:cs="仿宋_GB2312"/>
          <w:sz w:val="32"/>
          <w:szCs w:val="32"/>
          <w:lang w:val="en-US" w:eastAsia="zh-CN"/>
        </w:rPr>
        <w:t>6.04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54.11万元，占本年支出合计的</w:t>
      </w:r>
      <w:r>
        <w:rPr>
          <w:rFonts w:hint="eastAsia" w:ascii="仿宋_GB2312" w:hAnsi="仿宋_GB2312" w:eastAsia="仿宋_GB2312" w:cs="仿宋_GB2312"/>
          <w:sz w:val="32"/>
          <w:szCs w:val="32"/>
          <w:lang w:val="en-US" w:eastAsia="zh-CN"/>
        </w:rPr>
        <w:t>2.79</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1014.79万元，占本年支出合计的</w:t>
      </w:r>
      <w:r>
        <w:rPr>
          <w:rFonts w:hint="eastAsia" w:ascii="仿宋_GB2312" w:hAnsi="仿宋_GB2312" w:eastAsia="仿宋_GB2312" w:cs="仿宋_GB2312"/>
          <w:sz w:val="32"/>
          <w:szCs w:val="32"/>
          <w:lang w:val="en-US" w:eastAsia="zh-CN"/>
        </w:rPr>
        <w:t>52.39</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73.59万元，占本年支出合计的</w:t>
      </w:r>
      <w:r>
        <w:rPr>
          <w:rFonts w:hint="eastAsia" w:ascii="仿宋_GB2312" w:hAnsi="仿宋_GB2312" w:eastAsia="仿宋_GB2312" w:cs="仿宋_GB2312"/>
          <w:sz w:val="32"/>
          <w:szCs w:val="32"/>
          <w:lang w:val="en-US" w:eastAsia="zh-CN"/>
        </w:rPr>
        <w:t>3.80</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rPr>
        <w:t>1万元，占本年支出合计的</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w:t>
      </w:r>
    </w:p>
    <w:p>
      <w:pPr>
        <w:spacing w:line="600" w:lineRule="exact"/>
        <w:ind w:firstLine="64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410845</wp:posOffset>
            </wp:positionH>
            <wp:positionV relativeFrom="paragraph">
              <wp:posOffset>-2453005</wp:posOffset>
            </wp:positionV>
            <wp:extent cx="4572000" cy="2743200"/>
            <wp:effectExtent l="4445" t="4445" r="14605" b="14605"/>
            <wp:wrapTopAndBottom/>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r>
        <w:rPr>
          <w:rFonts w:hint="eastAsia" w:ascii="仿宋" w:hAnsi="仿宋" w:eastAsia="仿宋"/>
          <w:color w:val="000000"/>
          <w:sz w:val="32"/>
          <w:szCs w:val="32"/>
          <w:lang w:val="en-US" w:eastAsia="zh-CN"/>
        </w:rPr>
        <w:t>单位：万元</w:t>
      </w:r>
      <w:r>
        <w:rPr>
          <w:rFonts w:hint="eastAsia" w:ascii="仿宋" w:hAnsi="仿宋" w:eastAsia="仿宋"/>
          <w:color w:val="000000"/>
          <w:sz w:val="32"/>
          <w:szCs w:val="32"/>
        </w:rPr>
        <w:t>）</w:t>
      </w:r>
    </w:p>
    <w:p>
      <w:pPr>
        <w:spacing w:line="600" w:lineRule="exact"/>
        <w:ind w:firstLine="642" w:firstLineChars="200"/>
        <w:outlineLvl w:val="2"/>
        <w:rPr>
          <w:rFonts w:ascii="仿宋" w:hAnsi="仿宋" w:eastAsia="仿宋"/>
          <w:b/>
          <w:color w:val="000000"/>
          <w:sz w:val="32"/>
          <w:szCs w:val="32"/>
        </w:rPr>
      </w:pPr>
      <w:bookmarkStart w:id="63" w:name="_Toc79163617"/>
      <w:bookmarkStart w:id="64" w:name="_Toc15377212"/>
      <w:bookmarkStart w:id="65" w:name="_Toc24294"/>
      <w:r>
        <w:rPr>
          <w:rFonts w:hint="eastAsia" w:ascii="仿宋" w:hAnsi="仿宋" w:eastAsia="仿宋"/>
          <w:b/>
          <w:color w:val="000000"/>
          <w:sz w:val="32"/>
          <w:szCs w:val="32"/>
        </w:rPr>
        <w:t>（三）一般公共预算财政拨款支出决算具体情况</w:t>
      </w:r>
      <w:bookmarkEnd w:id="63"/>
      <w:bookmarkEnd w:id="64"/>
      <w:bookmarkEnd w:id="65"/>
    </w:p>
    <w:p>
      <w:pPr>
        <w:spacing w:line="600" w:lineRule="exact"/>
        <w:ind w:firstLine="642" w:firstLineChars="200"/>
        <w:rPr>
          <w:rFonts w:ascii="仿宋_GB2312" w:eastAsia="仿宋_GB2312"/>
          <w:b/>
          <w:bCs/>
          <w:sz w:val="32"/>
          <w:szCs w:val="32"/>
        </w:rPr>
      </w:pPr>
      <w:bookmarkStart w:id="66" w:name="_Toc15377213"/>
      <w:bookmarkStart w:id="67" w:name="_Toc15378460"/>
      <w:bookmarkStart w:id="68" w:name="_Toc15377444"/>
      <w:r>
        <w:rPr>
          <w:rFonts w:ascii="仿宋_GB2312" w:eastAsia="仿宋_GB2312"/>
          <w:b/>
          <w:bCs/>
          <w:sz w:val="32"/>
          <w:szCs w:val="32"/>
        </w:rPr>
        <w:t>2020</w:t>
      </w:r>
      <w:r>
        <w:rPr>
          <w:rFonts w:hint="eastAsia" w:ascii="仿宋_GB2312" w:eastAsia="仿宋_GB2312"/>
          <w:b/>
          <w:bCs/>
          <w:sz w:val="32"/>
          <w:szCs w:val="32"/>
        </w:rPr>
        <w:t>年一般公共预算支出决算数为1937.1</w:t>
      </w:r>
      <w:r>
        <w:rPr>
          <w:rFonts w:hint="eastAsia" w:ascii="仿宋_GB2312" w:eastAsia="仿宋_GB2312"/>
          <w:b/>
          <w:bCs/>
          <w:sz w:val="32"/>
          <w:szCs w:val="32"/>
          <w:lang w:val="en-US" w:eastAsia="zh-CN"/>
        </w:rPr>
        <w:t>0万元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pPr>
        <w:spacing w:line="576" w:lineRule="atLeast"/>
        <w:ind w:firstLine="642" w:firstLineChars="200"/>
        <w:outlineLvl w:val="2"/>
        <w:rPr>
          <w:rStyle w:val="22"/>
          <w:rFonts w:ascii="仿宋_GB2312" w:hAnsi="仿宋_GB2312" w:eastAsia="仿宋_GB2312" w:cs="仿宋_GB2312"/>
          <w:b w:val="0"/>
          <w:color w:val="000000"/>
          <w:sz w:val="32"/>
          <w:szCs w:val="32"/>
        </w:rPr>
      </w:pPr>
      <w:bookmarkStart w:id="69" w:name="_Toc29250"/>
      <w:r>
        <w:rPr>
          <w:rStyle w:val="22"/>
          <w:rFonts w:hint="eastAsia" w:ascii="仿宋_GB2312" w:hAnsi="仿宋_GB2312" w:eastAsia="仿宋_GB2312" w:cs="仿宋_GB2312"/>
          <w:bCs/>
          <w:color w:val="000000"/>
          <w:sz w:val="32"/>
          <w:szCs w:val="32"/>
        </w:rPr>
        <w:t>1.一般公共服务支出（类）人大事务（款）人大会议（项）:</w:t>
      </w:r>
      <w:r>
        <w:rPr>
          <w:rStyle w:val="22"/>
          <w:rFonts w:hint="eastAsia" w:ascii="仿宋_GB2312" w:hAnsi="仿宋_GB2312" w:eastAsia="仿宋_GB2312" w:cs="仿宋_GB2312"/>
          <w:b w:val="0"/>
          <w:color w:val="000000"/>
          <w:sz w:val="32"/>
          <w:szCs w:val="32"/>
        </w:rPr>
        <w:t>支出决算为0.85万元，完成预算100%，决算数等于预算数。</w:t>
      </w:r>
      <w:bookmarkEnd w:id="69"/>
    </w:p>
    <w:p>
      <w:pPr>
        <w:spacing w:line="576" w:lineRule="atLeast"/>
        <w:ind w:firstLine="642" w:firstLineChars="200"/>
        <w:outlineLvl w:val="2"/>
        <w:rPr>
          <w:rStyle w:val="22"/>
          <w:rFonts w:ascii="仿宋_GB2312" w:hAnsi="仿宋_GB2312" w:eastAsia="仿宋_GB2312" w:cs="仿宋_GB2312"/>
          <w:b w:val="0"/>
          <w:color w:val="000000"/>
          <w:sz w:val="32"/>
          <w:szCs w:val="32"/>
        </w:rPr>
      </w:pPr>
      <w:bookmarkStart w:id="70" w:name="_Toc15377"/>
      <w:r>
        <w:rPr>
          <w:rStyle w:val="22"/>
          <w:rFonts w:hint="eastAsia" w:ascii="仿宋_GB2312" w:hAnsi="仿宋_GB2312" w:eastAsia="仿宋_GB2312" w:cs="仿宋_GB2312"/>
          <w:bCs/>
          <w:color w:val="000000"/>
          <w:sz w:val="32"/>
          <w:szCs w:val="32"/>
        </w:rPr>
        <w:t>2.一般公共服务支出（类）人大事务（款）代表工作（项）:</w:t>
      </w:r>
      <w:r>
        <w:rPr>
          <w:rStyle w:val="22"/>
          <w:rFonts w:hint="eastAsia" w:ascii="仿宋_GB2312" w:hAnsi="仿宋_GB2312" w:eastAsia="仿宋_GB2312" w:cs="仿宋_GB2312"/>
          <w:b w:val="0"/>
          <w:color w:val="000000"/>
          <w:sz w:val="32"/>
          <w:szCs w:val="32"/>
        </w:rPr>
        <w:t>支出决算为2.7</w:t>
      </w:r>
      <w:r>
        <w:rPr>
          <w:rStyle w:val="22"/>
          <w:rFonts w:hint="eastAsia" w:ascii="仿宋_GB2312" w:hAnsi="仿宋_GB2312" w:eastAsia="仿宋_GB2312" w:cs="仿宋_GB2312"/>
          <w:b w:val="0"/>
          <w:color w:val="000000"/>
          <w:sz w:val="32"/>
          <w:szCs w:val="32"/>
          <w:lang w:val="en-US" w:eastAsia="zh-CN"/>
        </w:rPr>
        <w:t>0</w:t>
      </w:r>
      <w:r>
        <w:rPr>
          <w:rStyle w:val="22"/>
          <w:rFonts w:hint="eastAsia" w:ascii="仿宋_GB2312" w:hAnsi="仿宋_GB2312" w:eastAsia="仿宋_GB2312" w:cs="仿宋_GB2312"/>
          <w:b w:val="0"/>
          <w:color w:val="000000"/>
          <w:sz w:val="32"/>
          <w:szCs w:val="32"/>
        </w:rPr>
        <w:t>万元，完成预算100%，决算数等于预算数。</w:t>
      </w:r>
      <w:bookmarkEnd w:id="70"/>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3.一般公共服务支出（类）政府办公厅（室）及相关机构事务（款）行政运行（项）:</w:t>
      </w:r>
      <w:r>
        <w:rPr>
          <w:rStyle w:val="22"/>
          <w:rFonts w:hint="eastAsia" w:ascii="仿宋_GB2312" w:hAnsi="仿宋_GB2312" w:eastAsia="仿宋_GB2312" w:cs="仿宋_GB2312"/>
          <w:b w:val="0"/>
          <w:color w:val="000000"/>
          <w:sz w:val="32"/>
          <w:szCs w:val="32"/>
        </w:rPr>
        <w:t>支出决算为364.77万元，完成预算100%，决算数等于预算数。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4.一般公共服务支出（类）政府办公厅（室）及相关机构事务（款）一般行政管理事务（项）:</w:t>
      </w:r>
      <w:r>
        <w:rPr>
          <w:rStyle w:val="22"/>
          <w:rFonts w:hint="eastAsia" w:ascii="仿宋_GB2312" w:hAnsi="仿宋_GB2312" w:eastAsia="仿宋_GB2312" w:cs="仿宋_GB2312"/>
          <w:b w:val="0"/>
          <w:color w:val="000000"/>
          <w:sz w:val="32"/>
          <w:szCs w:val="32"/>
        </w:rPr>
        <w:t>支出决算为21.68万元，完成预算100%，决算数等于预算数。</w:t>
      </w:r>
    </w:p>
    <w:p>
      <w:pPr>
        <w:spacing w:line="576" w:lineRule="atLeast"/>
        <w:ind w:firstLine="642" w:firstLineChars="200"/>
        <w:rPr>
          <w:rStyle w:val="22"/>
          <w:rFonts w:hint="eastAsia" w:ascii="仿宋_GB2312" w:hAnsi="仿宋_GB2312" w:eastAsia="仿宋_GB2312" w:cs="仿宋_GB2312"/>
          <w:b w:val="0"/>
          <w:color w:val="000000"/>
          <w:sz w:val="32"/>
          <w:szCs w:val="32"/>
          <w:lang w:eastAsia="zh-CN"/>
        </w:rPr>
      </w:pPr>
      <w:r>
        <w:rPr>
          <w:rStyle w:val="22"/>
          <w:rFonts w:hint="eastAsia" w:ascii="仿宋_GB2312" w:hAnsi="仿宋_GB2312" w:eastAsia="仿宋_GB2312" w:cs="仿宋_GB2312"/>
          <w:bCs/>
          <w:color w:val="000000"/>
          <w:sz w:val="32"/>
          <w:szCs w:val="32"/>
        </w:rPr>
        <w:t>5.一般公共服务支出（类）政府办公厅（室）及相关机构事务（款）事业运行（项）:</w:t>
      </w:r>
      <w:r>
        <w:rPr>
          <w:rStyle w:val="22"/>
          <w:rFonts w:hint="eastAsia" w:ascii="仿宋_GB2312" w:hAnsi="仿宋_GB2312" w:eastAsia="仿宋_GB2312" w:cs="仿宋_GB2312"/>
          <w:b w:val="0"/>
          <w:color w:val="000000"/>
          <w:sz w:val="32"/>
          <w:szCs w:val="32"/>
        </w:rPr>
        <w:t>支出决算为2.09万元，完成预算100%，决算数等于预算数。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6.一般公共服务支出（类）财政事务（款）事业运行（项）:</w:t>
      </w:r>
      <w:r>
        <w:rPr>
          <w:rStyle w:val="22"/>
          <w:rFonts w:hint="eastAsia" w:ascii="仿宋_GB2312" w:hAnsi="仿宋_GB2312" w:eastAsia="仿宋_GB2312" w:cs="仿宋_GB2312"/>
          <w:b w:val="0"/>
          <w:color w:val="000000"/>
          <w:sz w:val="32"/>
          <w:szCs w:val="32"/>
        </w:rPr>
        <w:t>支出决算为111.46万元，完成预算100%，决算数等于预算数。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7.一般公共服务（类）党委办公厅（室）及相关机构事务（款）行政运行（项）:</w:t>
      </w:r>
      <w:r>
        <w:rPr>
          <w:rStyle w:val="22"/>
          <w:rFonts w:hint="eastAsia" w:ascii="仿宋_GB2312" w:hAnsi="仿宋_GB2312" w:eastAsia="仿宋_GB2312" w:cs="仿宋_GB2312"/>
          <w:b w:val="0"/>
          <w:color w:val="000000"/>
          <w:sz w:val="32"/>
          <w:szCs w:val="32"/>
        </w:rPr>
        <w:t>支出决算为159.01万元，完成预算100%，决算数等于预算数。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8.国防支出（类）国防动员（室）民兵（款）行政运行（项）:</w:t>
      </w:r>
      <w:r>
        <w:rPr>
          <w:rStyle w:val="22"/>
          <w:rFonts w:hint="eastAsia" w:ascii="仿宋_GB2312" w:hAnsi="仿宋_GB2312" w:eastAsia="仿宋_GB2312" w:cs="仿宋_GB2312"/>
          <w:b w:val="0"/>
          <w:color w:val="000000"/>
          <w:sz w:val="32"/>
          <w:szCs w:val="32"/>
        </w:rPr>
        <w:t>支出决算为8.99万元，完成预算100%，决算数等于预算数。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9.文化旅游体育与传媒支出（类）其他文化旅游体育与传媒支出（款）其他文化旅游体育与传媒支出（项）:</w:t>
      </w:r>
      <w:r>
        <w:rPr>
          <w:rStyle w:val="22"/>
          <w:rFonts w:hint="eastAsia" w:ascii="仿宋_GB2312" w:hAnsi="仿宋_GB2312" w:eastAsia="仿宋_GB2312" w:cs="仿宋_GB2312"/>
          <w:b w:val="0"/>
          <w:color w:val="000000"/>
          <w:sz w:val="32"/>
          <w:szCs w:val="32"/>
        </w:rPr>
        <w:t>支出决算为5万元，完成预算100%，决算数等于预算数。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10.社会保障和就业支出（类）行政事业单位养老支出（款）机关事业单位基本养老保险缴费支出（项）:</w:t>
      </w:r>
      <w:r>
        <w:rPr>
          <w:rStyle w:val="22"/>
          <w:rFonts w:hint="eastAsia" w:ascii="仿宋_GB2312" w:hAnsi="仿宋_GB2312" w:eastAsia="仿宋_GB2312" w:cs="仿宋_GB2312"/>
          <w:b w:val="0"/>
          <w:color w:val="000000"/>
          <w:sz w:val="32"/>
          <w:szCs w:val="32"/>
        </w:rPr>
        <w:t>支出决算为61.36万元，完成预算100%，决算数等于预算数。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11.社会保障和就业支出（类）行政事业单位养老支出（款）机关事业单位职业年金缴费支出（项）:</w:t>
      </w:r>
      <w:r>
        <w:rPr>
          <w:rStyle w:val="22"/>
          <w:rFonts w:hint="eastAsia" w:ascii="仿宋_GB2312" w:hAnsi="仿宋_GB2312" w:eastAsia="仿宋_GB2312" w:cs="仿宋_GB2312"/>
          <w:b w:val="0"/>
          <w:color w:val="000000"/>
          <w:sz w:val="32"/>
          <w:szCs w:val="32"/>
        </w:rPr>
        <w:t>支出决算为30.68万元，完成预算100%，决算数等于预算数。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12.社会保障和就业支出（类）社会福利（款）老年福利（项）:</w:t>
      </w:r>
      <w:r>
        <w:rPr>
          <w:rStyle w:val="22"/>
          <w:rFonts w:hint="eastAsia" w:ascii="仿宋_GB2312" w:hAnsi="仿宋_GB2312" w:eastAsia="仿宋_GB2312" w:cs="仿宋_GB2312"/>
          <w:b w:val="0"/>
          <w:color w:val="000000"/>
          <w:sz w:val="32"/>
          <w:szCs w:val="32"/>
        </w:rPr>
        <w:t>支出决算为1.51万元，完成预算100%，决算数等于预算数。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13.社会保障和就业支出（类）社会福利（款）其他社会福利支出（项）：</w:t>
      </w:r>
      <w:r>
        <w:rPr>
          <w:rStyle w:val="22"/>
          <w:rFonts w:hint="eastAsia" w:ascii="仿宋_GB2312" w:hAnsi="仿宋_GB2312" w:eastAsia="仿宋_GB2312" w:cs="仿宋_GB2312"/>
          <w:b w:val="0"/>
          <w:color w:val="000000"/>
          <w:sz w:val="32"/>
          <w:szCs w:val="32"/>
        </w:rPr>
        <w:t>支出决算为20.51万元，完成预算100%，决算数等于预算数。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14.社会保障和就业支出（类）其他生活救助（款）其他农村生活救助（项）:</w:t>
      </w:r>
      <w:r>
        <w:rPr>
          <w:rStyle w:val="22"/>
          <w:rFonts w:hint="eastAsia" w:ascii="仿宋_GB2312" w:hAnsi="仿宋_GB2312" w:eastAsia="仿宋_GB2312" w:cs="仿宋_GB2312"/>
          <w:b w:val="0"/>
          <w:color w:val="000000"/>
          <w:sz w:val="32"/>
          <w:szCs w:val="32"/>
        </w:rPr>
        <w:t>支出决算为0.8万元，完成预算100%，决算数等于预算数。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15.社会保障和就业支出（类）退役军人管理事务（款）拥军优属（项）:</w:t>
      </w:r>
      <w:r>
        <w:rPr>
          <w:rStyle w:val="22"/>
          <w:rFonts w:hint="eastAsia" w:ascii="仿宋_GB2312" w:hAnsi="仿宋_GB2312" w:eastAsia="仿宋_GB2312" w:cs="仿宋_GB2312"/>
          <w:b w:val="0"/>
          <w:color w:val="000000"/>
          <w:sz w:val="32"/>
          <w:szCs w:val="32"/>
        </w:rPr>
        <w:t>支出决算为2.2</w:t>
      </w:r>
      <w:r>
        <w:rPr>
          <w:rStyle w:val="22"/>
          <w:rFonts w:hint="eastAsia" w:ascii="仿宋_GB2312" w:hAnsi="仿宋_GB2312" w:eastAsia="仿宋_GB2312" w:cs="仿宋_GB2312"/>
          <w:b w:val="0"/>
          <w:color w:val="000000"/>
          <w:sz w:val="32"/>
          <w:szCs w:val="32"/>
          <w:lang w:val="en-US" w:eastAsia="zh-CN"/>
        </w:rPr>
        <w:t>0</w:t>
      </w:r>
      <w:r>
        <w:rPr>
          <w:rStyle w:val="22"/>
          <w:rFonts w:hint="eastAsia" w:ascii="仿宋_GB2312" w:hAnsi="仿宋_GB2312" w:eastAsia="仿宋_GB2312" w:cs="仿宋_GB2312"/>
          <w:b w:val="0"/>
          <w:color w:val="000000"/>
          <w:sz w:val="32"/>
          <w:szCs w:val="32"/>
        </w:rPr>
        <w:t>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16.卫生健康支出（类）公共卫生（款）重大公共卫生服务（项）:</w:t>
      </w:r>
      <w:r>
        <w:rPr>
          <w:rStyle w:val="22"/>
          <w:rFonts w:hint="eastAsia" w:ascii="仿宋_GB2312" w:hAnsi="仿宋_GB2312" w:eastAsia="仿宋_GB2312" w:cs="仿宋_GB2312"/>
          <w:b w:val="0"/>
          <w:color w:val="000000"/>
          <w:sz w:val="32"/>
          <w:szCs w:val="32"/>
        </w:rPr>
        <w:t>支出决算为2万元，完成预算100%，决算数等于预算数。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17.卫生健康支出（类）行政事业单位医疗（款）行政单位医疗（项）:</w:t>
      </w:r>
      <w:r>
        <w:rPr>
          <w:rStyle w:val="22"/>
          <w:rFonts w:hint="eastAsia" w:ascii="仿宋_GB2312" w:hAnsi="仿宋_GB2312" w:eastAsia="仿宋_GB2312" w:cs="仿宋_GB2312"/>
          <w:b w:val="0"/>
          <w:color w:val="000000"/>
          <w:sz w:val="32"/>
          <w:szCs w:val="32"/>
        </w:rPr>
        <w:t>支出决算为52.11万元，完成预算100%，决算数等于预算数。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18.农林水支出（类）农业农村（款）事业运行（项）:</w:t>
      </w:r>
      <w:r>
        <w:rPr>
          <w:rStyle w:val="22"/>
          <w:rFonts w:hint="eastAsia" w:ascii="仿宋_GB2312" w:hAnsi="仿宋_GB2312" w:eastAsia="仿宋_GB2312" w:cs="仿宋_GB2312"/>
          <w:b w:val="0"/>
          <w:color w:val="000000"/>
          <w:sz w:val="32"/>
          <w:szCs w:val="32"/>
        </w:rPr>
        <w:t>支出决算为219.63万元，完成预算100%，决算数等于预算数。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19.农林水支出（类）农业农村（款）其他农业农村支出（项）:</w:t>
      </w:r>
      <w:r>
        <w:rPr>
          <w:rStyle w:val="22"/>
          <w:rFonts w:hint="eastAsia" w:ascii="仿宋_GB2312" w:hAnsi="仿宋_GB2312" w:eastAsia="仿宋_GB2312" w:cs="仿宋_GB2312"/>
          <w:b w:val="0"/>
          <w:color w:val="000000"/>
          <w:sz w:val="32"/>
          <w:szCs w:val="32"/>
        </w:rPr>
        <w:t>支出决算为12万元，完完成预算100%，决算数等于预算数。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20.农林水支出（类）扶贫（款）其他扶贫支出（项）:</w:t>
      </w:r>
      <w:r>
        <w:rPr>
          <w:rStyle w:val="22"/>
          <w:rFonts w:hint="eastAsia" w:ascii="仿宋_GB2312" w:hAnsi="仿宋_GB2312" w:eastAsia="仿宋_GB2312" w:cs="仿宋_GB2312"/>
          <w:b w:val="0"/>
          <w:color w:val="000000"/>
          <w:sz w:val="32"/>
          <w:szCs w:val="32"/>
        </w:rPr>
        <w:t>支出决算为328.74万元，完成预算100%，决算数等于预算数。</w:t>
      </w:r>
    </w:p>
    <w:p>
      <w:pPr>
        <w:spacing w:line="576" w:lineRule="atLeast"/>
        <w:ind w:firstLine="642" w:firstLineChars="200"/>
        <w:rPr>
          <w:rStyle w:val="22"/>
          <w:rFonts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21.农林水支出（类）农村综合改革（款）对村民委员会和村党支部的补助（项）:</w:t>
      </w:r>
      <w:r>
        <w:rPr>
          <w:rStyle w:val="22"/>
          <w:rFonts w:hint="eastAsia" w:ascii="仿宋_GB2312" w:hAnsi="仿宋_GB2312" w:eastAsia="仿宋_GB2312" w:cs="仿宋_GB2312"/>
          <w:b w:val="0"/>
          <w:color w:val="000000"/>
          <w:sz w:val="32"/>
          <w:szCs w:val="32"/>
        </w:rPr>
        <w:t>支出决算为454.42万元，完成预算100%，决算数等于预算数。</w:t>
      </w:r>
    </w:p>
    <w:p>
      <w:pPr>
        <w:spacing w:line="576" w:lineRule="atLeast"/>
        <w:ind w:firstLine="642" w:firstLineChars="200"/>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22.住房保障支出（类）住房改革支出（款）住房公积金（项）：</w:t>
      </w:r>
      <w:r>
        <w:rPr>
          <w:rStyle w:val="22"/>
          <w:rFonts w:hint="eastAsia" w:ascii="仿宋_GB2312" w:hAnsi="仿宋_GB2312" w:eastAsia="仿宋_GB2312" w:cs="仿宋_GB2312"/>
          <w:b w:val="0"/>
          <w:color w:val="000000"/>
          <w:sz w:val="32"/>
          <w:szCs w:val="32"/>
        </w:rPr>
        <w:t>支出决算为72.57万元，完成预算100%，决算数等于预算数。</w:t>
      </w:r>
    </w:p>
    <w:p>
      <w:pPr>
        <w:spacing w:line="576" w:lineRule="atLeast"/>
        <w:ind w:firstLine="642" w:firstLineChars="200"/>
        <w:rPr>
          <w:rStyle w:val="22"/>
          <w:rFonts w:hint="eastAsia" w:ascii="仿宋_GB2312" w:hAnsi="仿宋_GB2312" w:eastAsia="仿宋_GB2312" w:cs="仿宋_GB2312"/>
          <w:b w:val="0"/>
          <w:color w:val="000000"/>
          <w:sz w:val="32"/>
          <w:szCs w:val="32"/>
        </w:rPr>
      </w:pPr>
      <w:r>
        <w:rPr>
          <w:rStyle w:val="22"/>
          <w:rFonts w:hint="eastAsia" w:ascii="仿宋_GB2312" w:hAnsi="仿宋_GB2312" w:eastAsia="仿宋_GB2312" w:cs="仿宋_GB2312"/>
          <w:bCs/>
          <w:color w:val="000000"/>
          <w:sz w:val="32"/>
          <w:szCs w:val="32"/>
        </w:rPr>
        <w:t>2</w:t>
      </w:r>
      <w:r>
        <w:rPr>
          <w:rStyle w:val="22"/>
          <w:rFonts w:hint="eastAsia" w:ascii="仿宋_GB2312" w:hAnsi="仿宋_GB2312" w:eastAsia="仿宋_GB2312" w:cs="仿宋_GB2312"/>
          <w:bCs/>
          <w:color w:val="000000"/>
          <w:sz w:val="32"/>
          <w:szCs w:val="32"/>
          <w:lang w:val="en-US" w:eastAsia="zh-CN"/>
        </w:rPr>
        <w:t>3</w:t>
      </w:r>
      <w:r>
        <w:rPr>
          <w:rStyle w:val="22"/>
          <w:rFonts w:hint="eastAsia" w:ascii="仿宋_GB2312" w:hAnsi="仿宋_GB2312" w:eastAsia="仿宋_GB2312" w:cs="仿宋_GB2312"/>
          <w:bCs/>
          <w:color w:val="000000"/>
          <w:sz w:val="32"/>
          <w:szCs w:val="32"/>
        </w:rPr>
        <w:t>.住房保障支出（类）住房改革支出（款）购房补贴（项）：</w:t>
      </w:r>
      <w:r>
        <w:rPr>
          <w:rStyle w:val="22"/>
          <w:rFonts w:hint="eastAsia" w:ascii="仿宋_GB2312" w:hAnsi="仿宋_GB2312" w:eastAsia="仿宋_GB2312" w:cs="仿宋_GB2312"/>
          <w:b w:val="0"/>
          <w:color w:val="000000"/>
          <w:sz w:val="32"/>
          <w:szCs w:val="32"/>
        </w:rPr>
        <w:t>支出决算为1.02万元，完成预算100%，决算数等于预算数。</w:t>
      </w:r>
    </w:p>
    <w:p>
      <w:pPr>
        <w:spacing w:line="576" w:lineRule="atLeast"/>
        <w:ind w:firstLine="642" w:firstLineChars="200"/>
        <w:rPr>
          <w:rFonts w:ascii="仿宋" w:hAnsi="仿宋" w:eastAsia="仿宋"/>
          <w:b/>
          <w:color w:val="000000"/>
          <w:sz w:val="32"/>
          <w:szCs w:val="32"/>
        </w:rPr>
      </w:pPr>
      <w:r>
        <w:rPr>
          <w:rStyle w:val="22"/>
          <w:rFonts w:hint="eastAsia" w:ascii="仿宋_GB2312" w:hAnsi="仿宋_GB2312" w:eastAsia="仿宋_GB2312" w:cs="仿宋_GB2312"/>
          <w:bCs/>
          <w:color w:val="000000"/>
          <w:sz w:val="32"/>
          <w:szCs w:val="32"/>
        </w:rPr>
        <w:t>2</w:t>
      </w:r>
      <w:r>
        <w:rPr>
          <w:rStyle w:val="22"/>
          <w:rFonts w:hint="eastAsia" w:ascii="仿宋_GB2312" w:hAnsi="仿宋_GB2312" w:eastAsia="仿宋_GB2312" w:cs="仿宋_GB2312"/>
          <w:bCs/>
          <w:color w:val="000000"/>
          <w:sz w:val="32"/>
          <w:szCs w:val="32"/>
          <w:lang w:val="en-US" w:eastAsia="zh-CN"/>
        </w:rPr>
        <w:t>4</w:t>
      </w:r>
      <w:r>
        <w:rPr>
          <w:rStyle w:val="22"/>
          <w:rFonts w:hint="eastAsia" w:ascii="仿宋_GB2312" w:hAnsi="仿宋_GB2312" w:eastAsia="仿宋_GB2312" w:cs="仿宋_GB2312"/>
          <w:bCs/>
          <w:color w:val="000000"/>
          <w:sz w:val="32"/>
          <w:szCs w:val="32"/>
        </w:rPr>
        <w:t>.其他支出（类）其他支出（款）其他支出（项）：</w:t>
      </w:r>
      <w:r>
        <w:rPr>
          <w:rStyle w:val="22"/>
          <w:rFonts w:hint="eastAsia" w:ascii="仿宋_GB2312" w:hAnsi="仿宋_GB2312" w:eastAsia="仿宋_GB2312" w:cs="仿宋_GB2312"/>
          <w:b w:val="0"/>
          <w:color w:val="000000"/>
          <w:sz w:val="32"/>
          <w:szCs w:val="32"/>
        </w:rPr>
        <w:t>支出决算为1.</w:t>
      </w:r>
      <w:r>
        <w:rPr>
          <w:rStyle w:val="22"/>
          <w:rFonts w:hint="eastAsia" w:ascii="仿宋_GB2312" w:hAnsi="仿宋_GB2312" w:eastAsia="仿宋_GB2312" w:cs="仿宋_GB2312"/>
          <w:b w:val="0"/>
          <w:color w:val="000000"/>
          <w:sz w:val="32"/>
          <w:szCs w:val="32"/>
          <w:lang w:val="en-US" w:eastAsia="zh-CN"/>
        </w:rPr>
        <w:t>00</w:t>
      </w:r>
      <w:r>
        <w:rPr>
          <w:rStyle w:val="22"/>
          <w:rFonts w:hint="eastAsia" w:ascii="仿宋_GB2312" w:hAnsi="仿宋_GB2312" w:eastAsia="仿宋_GB2312" w:cs="仿宋_GB2312"/>
          <w:b w:val="0"/>
          <w:color w:val="000000"/>
          <w:sz w:val="32"/>
          <w:szCs w:val="32"/>
        </w:rPr>
        <w:t>万元，完成预算100%，决算数等于预算数。</w:t>
      </w:r>
    </w:p>
    <w:p>
      <w:pPr>
        <w:tabs>
          <w:tab w:val="right" w:pos="8306"/>
        </w:tabs>
        <w:spacing w:line="600" w:lineRule="exact"/>
        <w:ind w:firstLine="640"/>
        <w:outlineLvl w:val="1"/>
        <w:rPr>
          <w:rStyle w:val="25"/>
        </w:rPr>
      </w:pPr>
      <w:bookmarkStart w:id="71" w:name="_Toc31339"/>
      <w:bookmarkStart w:id="72" w:name="_Toc15377214"/>
      <w:bookmarkStart w:id="73" w:name="_Toc79163618"/>
      <w:bookmarkStart w:id="74"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71"/>
      <w:bookmarkEnd w:id="72"/>
      <w:bookmarkEnd w:id="73"/>
      <w:bookmarkEnd w:id="74"/>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年一般公共预算财政拨款基本支出1074.7</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人员经费995.23万元，主要包括：基本工资、津贴补贴、奖金、伙食补助费、绩效工资、机关事业单位基本养老保险缴费、职业年金缴费、其他社会保障缴费、生活补助、医疗费补助、奖励金、住房公积金等。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日常公用经费79.46万元，主要包括：办公费、手续费、电费、差旅费、维修（护）费、培训费、公务用车运行维护费、</w:t>
      </w:r>
      <w:r>
        <w:rPr>
          <w:rFonts w:hint="eastAsia" w:ascii="仿宋" w:hAnsi="仿宋" w:eastAsia="仿宋"/>
          <w:color w:val="000000"/>
          <w:sz w:val="32"/>
          <w:szCs w:val="32"/>
          <w:lang w:val="en-US" w:eastAsia="zh-CN"/>
        </w:rPr>
        <w:t>公务用车</w:t>
      </w:r>
      <w:r>
        <w:rPr>
          <w:rFonts w:hint="eastAsia" w:ascii="仿宋" w:hAnsi="仿宋" w:eastAsia="仿宋"/>
          <w:color w:val="000000"/>
          <w:sz w:val="32"/>
          <w:szCs w:val="32"/>
        </w:rPr>
        <w:t>购置等。</w:t>
      </w:r>
    </w:p>
    <w:p>
      <w:pPr>
        <w:spacing w:line="600" w:lineRule="exact"/>
        <w:ind w:firstLine="640"/>
        <w:outlineLvl w:val="1"/>
        <w:rPr>
          <w:rStyle w:val="25"/>
          <w:rFonts w:ascii="黑体" w:hAnsi="黑体" w:eastAsia="黑体"/>
          <w:b w:val="0"/>
        </w:rPr>
      </w:pPr>
      <w:bookmarkStart w:id="75" w:name="_Toc15396609"/>
      <w:bookmarkStart w:id="76" w:name="_Toc15377215"/>
      <w:bookmarkStart w:id="77" w:name="_Toc13754"/>
      <w:bookmarkStart w:id="78" w:name="_Toc7916361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5"/>
      <w:bookmarkEnd w:id="76"/>
      <w:bookmarkEnd w:id="77"/>
      <w:bookmarkEnd w:id="78"/>
    </w:p>
    <w:p>
      <w:pPr>
        <w:spacing w:line="600" w:lineRule="exact"/>
        <w:ind w:firstLine="640"/>
        <w:outlineLvl w:val="2"/>
        <w:rPr>
          <w:rFonts w:ascii="仿宋" w:hAnsi="仿宋" w:eastAsia="仿宋"/>
          <w:b/>
          <w:color w:val="000000"/>
          <w:sz w:val="32"/>
          <w:szCs w:val="32"/>
        </w:rPr>
      </w:pPr>
      <w:bookmarkStart w:id="79" w:name="_Toc15377216"/>
      <w:bookmarkStart w:id="80" w:name="_Toc79163620"/>
      <w:bookmarkStart w:id="81" w:name="_Toc936"/>
      <w:r>
        <w:rPr>
          <w:rFonts w:hint="eastAsia" w:ascii="仿宋" w:hAnsi="仿宋" w:eastAsia="仿宋"/>
          <w:b/>
          <w:color w:val="000000"/>
          <w:sz w:val="32"/>
          <w:szCs w:val="32"/>
        </w:rPr>
        <w:t>（一）“三公”经费财政拨款支出决算总体情况说明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39.77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仿宋_GB2312" w:eastAsia="仿宋_GB2312" w:cs="仿宋_GB2312"/>
          <w:sz w:val="32"/>
          <w:szCs w:val="32"/>
        </w:rPr>
        <w:t>决算数与预算数持平</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82" w:name="_Toc15377217"/>
      <w:bookmarkStart w:id="83" w:name="_Toc12666"/>
      <w:bookmarkStart w:id="84" w:name="_Toc79163621"/>
      <w:r>
        <w:rPr>
          <w:rFonts w:hint="eastAsia" w:ascii="仿宋" w:hAnsi="仿宋" w:eastAsia="仿宋"/>
          <w:b/>
          <w:color w:val="000000"/>
          <w:sz w:val="32"/>
          <w:szCs w:val="32"/>
        </w:rPr>
        <w:t>（二）“三公”经费财政拨款支出决算具体情况说明</w:t>
      </w:r>
      <w:bookmarkEnd w:id="82"/>
      <w:bookmarkEnd w:id="83"/>
      <w:bookmarkEnd w:id="84"/>
    </w:p>
    <w:p>
      <w:pPr>
        <w:spacing w:line="600" w:lineRule="exact"/>
        <w:ind w:firstLine="640"/>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39.77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630" w:firstLineChars="300"/>
        <w:rPr>
          <w:rFonts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461645</wp:posOffset>
            </wp:positionH>
            <wp:positionV relativeFrom="paragraph">
              <wp:posOffset>16510</wp:posOffset>
            </wp:positionV>
            <wp:extent cx="4572000" cy="2743200"/>
            <wp:effectExtent l="4445" t="4445" r="14605" b="14605"/>
            <wp:wrapTopAndBottom/>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r>
        <w:rPr>
          <w:rFonts w:hint="eastAsia" w:ascii="仿宋" w:hAnsi="仿宋" w:eastAsia="仿宋"/>
          <w:color w:val="000000"/>
          <w:sz w:val="32"/>
          <w:szCs w:val="32"/>
          <w:lang w:val="en-US" w:eastAsia="zh-CN"/>
        </w:rPr>
        <w:t>单位：万元</w:t>
      </w:r>
      <w:r>
        <w:rPr>
          <w:rFonts w:hint="eastAsia" w:ascii="仿宋" w:hAnsi="仿宋" w:eastAsia="仿宋"/>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lang w:val="en-US" w:eastAsia="zh-CN"/>
        </w:rPr>
        <w:t>39.77</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34.32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629.72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购置2辆新车</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25.6</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辆、金额25.6</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下村开展工作</w:t>
      </w: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14.17万元。主要用于</w:t>
      </w:r>
      <w:r>
        <w:rPr>
          <w:rFonts w:hint="eastAsia" w:ascii="仿宋_GB2312" w:hAnsi="仿宋_GB2312" w:eastAsia="仿宋_GB2312" w:cs="仿宋_GB2312"/>
          <w:color w:val="000000"/>
          <w:sz w:val="32"/>
          <w:szCs w:val="32"/>
        </w:rPr>
        <w:t>下村开展日常工作所需的公务用车燃料费、维修费、过路过桥费、保险费等支出</w:t>
      </w:r>
      <w:r>
        <w:rPr>
          <w:rFonts w:hint="eastAsia" w:ascii="仿宋_GB2312" w:eastAsia="仿宋_GB2312"/>
          <w:color w:val="000000"/>
          <w:sz w:val="32"/>
          <w:szCs w:val="32"/>
        </w:rPr>
        <w:t>。</w:t>
      </w:r>
    </w:p>
    <w:p>
      <w:pPr>
        <w:spacing w:line="600" w:lineRule="exact"/>
        <w:ind w:left="640"/>
        <w:rPr>
          <w:rFonts w:ascii="仿宋_GB2312" w:eastAsia="仿宋_GB2312"/>
          <w:color w:val="000000"/>
          <w:sz w:val="32"/>
          <w:szCs w:val="32"/>
        </w:rPr>
      </w:pPr>
      <w:bookmarkStart w:id="85" w:name="_Toc15396610"/>
      <w:bookmarkStart w:id="86" w:name="_Toc15377218"/>
      <w:bookmarkStart w:id="87" w:name="_Toc79163622"/>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p>
    <w:p>
      <w:pPr>
        <w:spacing w:line="600" w:lineRule="exact"/>
        <w:ind w:firstLine="640"/>
        <w:outlineLvl w:val="1"/>
        <w:rPr>
          <w:rStyle w:val="25"/>
          <w:rFonts w:ascii="黑体" w:hAnsi="黑体" w:eastAsia="黑体"/>
        </w:rPr>
      </w:pPr>
      <w:bookmarkStart w:id="88" w:name="_Toc2345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5"/>
      <w:bookmarkEnd w:id="86"/>
      <w:bookmarkEnd w:id="87"/>
      <w:bookmarkEnd w:id="8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年政府性基金预算拨款支出83.79万元。</w:t>
      </w:r>
    </w:p>
    <w:p>
      <w:pPr>
        <w:numPr>
          <w:ilvl w:val="0"/>
          <w:numId w:val="2"/>
        </w:numPr>
        <w:spacing w:line="600" w:lineRule="exact"/>
        <w:ind w:firstLine="640"/>
        <w:outlineLvl w:val="1"/>
        <w:rPr>
          <w:rStyle w:val="25"/>
          <w:rFonts w:ascii="黑体" w:hAnsi="黑体" w:eastAsia="黑体"/>
          <w:b w:val="0"/>
        </w:rPr>
      </w:pPr>
      <w:bookmarkStart w:id="89" w:name="_Toc79163623"/>
      <w:bookmarkStart w:id="90" w:name="_Toc4869"/>
      <w:bookmarkStart w:id="91" w:name="_Toc15396611"/>
      <w:bookmarkStart w:id="92" w:name="_Toc15377219"/>
      <w:r>
        <w:rPr>
          <w:rStyle w:val="25"/>
          <w:rFonts w:hint="eastAsia" w:ascii="黑体" w:hAnsi="黑体" w:eastAsia="黑体"/>
          <w:b w:val="0"/>
        </w:rPr>
        <w:t>国有资本经营预算支出决算情况说明</w:t>
      </w:r>
      <w:bookmarkEnd w:id="89"/>
      <w:bookmarkEnd w:id="90"/>
      <w:bookmarkEnd w:id="91"/>
      <w:bookmarkEnd w:id="92"/>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93" w:name="_Toc15377221"/>
      <w:bookmarkStart w:id="94" w:name="_Toc79163624"/>
      <w:bookmarkStart w:id="95" w:name="_Toc6459"/>
      <w:bookmarkStart w:id="96"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3"/>
      <w:bookmarkEnd w:id="94"/>
      <w:bookmarkEnd w:id="95"/>
      <w:bookmarkEnd w:id="96"/>
    </w:p>
    <w:p>
      <w:pPr>
        <w:spacing w:line="600" w:lineRule="exact"/>
        <w:ind w:firstLine="642" w:firstLineChars="200"/>
        <w:outlineLvl w:val="2"/>
        <w:rPr>
          <w:rFonts w:ascii="仿宋" w:hAnsi="仿宋" w:eastAsia="仿宋"/>
          <w:color w:val="000000"/>
          <w:sz w:val="32"/>
          <w:szCs w:val="32"/>
        </w:rPr>
      </w:pPr>
      <w:bookmarkStart w:id="97" w:name="_Toc79163625"/>
      <w:bookmarkStart w:id="98" w:name="_Toc22441"/>
      <w:bookmarkStart w:id="99" w:name="_Toc15377222"/>
      <w:r>
        <w:rPr>
          <w:rFonts w:hint="eastAsia" w:ascii="仿宋" w:hAnsi="仿宋" w:eastAsia="仿宋"/>
          <w:b/>
          <w:color w:val="000000"/>
          <w:sz w:val="32"/>
          <w:szCs w:val="32"/>
        </w:rPr>
        <w:t>（一）机关运行经费支出情况</w:t>
      </w:r>
      <w:bookmarkEnd w:id="97"/>
      <w:bookmarkEnd w:id="98"/>
      <w:bookmarkEnd w:id="99"/>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茂县赤不苏镇人民</w:t>
      </w:r>
      <w:r>
        <w:rPr>
          <w:rFonts w:hint="eastAsia" w:ascii="仿宋_GB2312" w:eastAsia="仿宋_GB2312"/>
          <w:color w:val="000000"/>
          <w:sz w:val="32"/>
          <w:szCs w:val="32"/>
        </w:rPr>
        <w:t>政府机关运行经费支出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 w:hAnsi="仿宋" w:eastAsia="仿宋"/>
          <w:color w:val="000000"/>
          <w:sz w:val="32"/>
          <w:szCs w:val="32"/>
        </w:rPr>
        <w:t>53.75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按决算要求进行了调整。</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15377223"/>
      <w:bookmarkStart w:id="101" w:name="_Toc79163626"/>
      <w:bookmarkStart w:id="102" w:name="_Toc26271"/>
      <w:r>
        <w:rPr>
          <w:rFonts w:hint="eastAsia" w:ascii="仿宋" w:hAnsi="仿宋" w:eastAsia="仿宋"/>
          <w:b/>
          <w:color w:val="000000"/>
          <w:sz w:val="32"/>
          <w:szCs w:val="32"/>
        </w:rPr>
        <w:t>（二）政府采购支出情况</w:t>
      </w:r>
      <w:bookmarkEnd w:id="100"/>
      <w:bookmarkEnd w:id="101"/>
      <w:bookmarkEnd w:id="10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茂县赤不苏镇人民</w:t>
      </w:r>
      <w:r>
        <w:rPr>
          <w:rFonts w:hint="eastAsia" w:ascii="仿宋_GB2312" w:eastAsia="仿宋_GB2312"/>
          <w:color w:val="000000"/>
          <w:sz w:val="32"/>
          <w:szCs w:val="32"/>
        </w:rPr>
        <w:t>政府采购支出总额41.57万元，其中：政府采购货物支出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41.57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41.57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15377224"/>
      <w:bookmarkStart w:id="104" w:name="_Toc79163627"/>
      <w:bookmarkStart w:id="105" w:name="_Toc25265"/>
      <w:r>
        <w:rPr>
          <w:rFonts w:hint="eastAsia" w:ascii="仿宋" w:hAnsi="仿宋" w:eastAsia="仿宋"/>
          <w:b/>
          <w:color w:val="000000"/>
          <w:sz w:val="32"/>
          <w:szCs w:val="32"/>
        </w:rPr>
        <w:t>（三）国有资产占有使用情况</w:t>
      </w:r>
      <w:bookmarkEnd w:id="103"/>
      <w:bookmarkEnd w:id="104"/>
      <w:bookmarkEnd w:id="105"/>
    </w:p>
    <w:p>
      <w:pPr>
        <w:autoSpaceDE w:val="0"/>
        <w:autoSpaceDN w:val="0"/>
        <w:adjustRightInd w:val="0"/>
        <w:spacing w:line="576" w:lineRule="atLeast"/>
        <w:ind w:firstLine="640" w:firstLineChars="200"/>
        <w:rPr>
          <w:rFonts w:ascii="仿宋_GB2312" w:eastAsia="仿宋_GB2312"/>
          <w:color w:val="000000"/>
          <w:sz w:val="32"/>
          <w:szCs w:val="32"/>
        </w:rPr>
      </w:pPr>
      <w:bookmarkStart w:id="106" w:name="_Toc79163628"/>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日，茂县赤不苏镇人民政府共有车辆</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辆，车两主要用于下村开展日常工作。单价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7" w:name="_Toc7306"/>
      <w:r>
        <w:rPr>
          <w:rFonts w:hint="eastAsia" w:ascii="仿宋" w:hAnsi="仿宋" w:eastAsia="仿宋"/>
          <w:b/>
          <w:color w:val="000000"/>
          <w:sz w:val="32"/>
          <w:szCs w:val="32"/>
        </w:rPr>
        <w:t>（四）预算绩效管理情况</w:t>
      </w:r>
      <w:bookmarkEnd w:id="106"/>
      <w:bookmarkEnd w:id="107"/>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根据预算绩效管理要求，茂县赤不苏镇人民政府在年初预算编制阶段，组织对20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茂县赤不苏镇人民政府按要求对20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eastAsia="仿宋_GB2312" w:cs="仿宋_GB2312"/>
          <w:color w:val="000000"/>
          <w:sz w:val="32"/>
          <w:szCs w:val="32"/>
        </w:rPr>
        <w:t>基层组织活动和公共服务运行经费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2020年中央、省级和州级财政卫生健康专项补助资金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各镇2020年基层武装部工作经费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2020年养老养老服务补助县级配套资金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茂县各镇人大代表活动经费</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_GB2312" w:eastAsia="仿宋_GB2312" w:cs="仿宋_GB2312"/>
          <w:color w:val="00000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237.74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454.42</w:t>
      </w:r>
      <w:r>
        <w:rPr>
          <w:rFonts w:hint="eastAsia" w:ascii="仿宋_GB2312" w:hAnsi="仿宋_GB2312" w:eastAsia="仿宋_GB2312" w:cs="仿宋_GB2312"/>
          <w:sz w:val="32"/>
          <w:szCs w:val="32"/>
        </w:rPr>
        <w:t>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2020年中央、省级和州级财政卫生健康专项补助资金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疫情防疫工作的顺利进行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提高了人民群众的预防疾病的知识，</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群众预防疾病的意识不够</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加大宣传力度。</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各镇2020年基层武装部工作经费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8.99</w:t>
      </w:r>
      <w:r>
        <w:rPr>
          <w:rFonts w:hint="eastAsia" w:ascii="仿宋_GB2312" w:hAnsi="仿宋_GB2312" w:eastAsia="仿宋_GB2312" w:cs="仿宋_GB2312"/>
          <w:sz w:val="32"/>
          <w:szCs w:val="32"/>
        </w:rPr>
        <w:t>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了应急抢险工作开展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提高了全镇处理紧急事情的能力，</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项目实施进度慢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加强组织领导，加快项目实施进度。</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2020年养老养老服务补助县级配套资金</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老年人的生活质量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丰富了老年人的日常，使老年人获得更多幸福感，</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村民对政策不了解</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加强政策宣传。</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茂县各镇人大代表活动经费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2.70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2.70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全镇人大代表活动的开展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人大代表组织性不强</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加强组织领导，加强人大代表知识学习。</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tbl>
      <w:tblPr>
        <w:tblStyle w:val="20"/>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(2020</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基层组织活动和公共服务运行经费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茂县赤不苏镇人民政府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val="en-US"/>
              </w:rPr>
            </w:pPr>
            <w:r>
              <w:rPr>
                <w:rFonts w:hint="eastAsia" w:ascii="宋体" w:hAnsi="宋体" w:eastAsia="宋体" w:cs="宋体"/>
                <w:sz w:val="24"/>
                <w:szCs w:val="24"/>
                <w:lang w:val="en-US" w:eastAsia="zh-CN"/>
              </w:rPr>
              <w:t>237.74万元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lang w:val="en-US" w:eastAsia="zh-CN"/>
              </w:rPr>
              <w:t>454.42</w:t>
            </w:r>
            <w:r>
              <w:rPr>
                <w:rFonts w:hint="eastAsia" w:ascii="宋体" w:hAnsi="宋体" w:eastAsia="宋体" w:cs="宋体"/>
                <w:sz w:val="24"/>
                <w:szCs w:val="24"/>
              </w:rPr>
              <w:t>万元</w:t>
            </w:r>
            <w:r>
              <w:rPr>
                <w:rFonts w:hint="eastAsia" w:ascii="宋体" w:hAnsi="宋体" w:eastAsia="宋体" w:cs="宋体"/>
                <w:color w:val="000000"/>
                <w:sz w:val="24"/>
                <w:szCs w:val="24"/>
              </w:rPr>
              <w:t>（包含上年结转资金）</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lang w:val="en-US" w:eastAsia="zh-CN"/>
              </w:rPr>
              <w:t>237.74万元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rPr>
            </w:pPr>
            <w:r>
              <w:rPr>
                <w:rFonts w:hint="eastAsia" w:ascii="宋体" w:hAnsi="宋体" w:eastAsia="宋体" w:cs="宋体"/>
                <w:sz w:val="24"/>
                <w:szCs w:val="24"/>
                <w:lang w:val="en-US" w:eastAsia="zh-CN"/>
              </w:rPr>
              <w:t>454.42</w:t>
            </w:r>
            <w:r>
              <w:rPr>
                <w:rFonts w:hint="eastAsia" w:ascii="宋体" w:hAnsi="宋体" w:eastAsia="宋体" w:cs="宋体"/>
                <w:sz w:val="24"/>
                <w:szCs w:val="24"/>
              </w:rPr>
              <w:t>万元</w:t>
            </w:r>
            <w:r>
              <w:rPr>
                <w:rFonts w:hint="eastAsia" w:ascii="宋体" w:hAnsi="宋体" w:eastAsia="宋体" w:cs="宋体"/>
                <w:color w:val="000000"/>
                <w:sz w:val="24"/>
                <w:szCs w:val="24"/>
              </w:rPr>
              <w:t>（包含上年结转资金）</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实现了</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个行政村的日常办公及村内道路的环境卫生及管水管电的日常开支</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hAnsi="宋体" w:eastAsia="宋体" w:cs="宋体"/>
                <w:sz w:val="24"/>
                <w:szCs w:val="24"/>
                <w:lang w:val="en-US" w:eastAsia="zh-CN"/>
              </w:rPr>
              <w:t>237.74万元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hAnsi="宋体" w:eastAsia="宋体" w:cs="宋体"/>
                <w:sz w:val="24"/>
                <w:szCs w:val="24"/>
                <w:lang w:val="en-US" w:eastAsia="zh-CN"/>
              </w:rPr>
              <w:t>454.42</w:t>
            </w:r>
            <w:r>
              <w:rPr>
                <w:rFonts w:hint="eastAsia" w:ascii="宋体" w:hAnsi="宋体" w:eastAsia="宋体" w:cs="宋体"/>
                <w:sz w:val="24"/>
                <w:szCs w:val="24"/>
              </w:rPr>
              <w:t>万元</w:t>
            </w:r>
            <w:r>
              <w:rPr>
                <w:rFonts w:hint="eastAsia" w:ascii="宋体" w:hAnsi="宋体" w:eastAsia="宋体" w:cs="宋体"/>
                <w:color w:val="000000"/>
                <w:sz w:val="24"/>
                <w:szCs w:val="24"/>
              </w:rPr>
              <w:t>（包含上年结转资金）</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hAnsi="宋体" w:eastAsia="宋体" w:cs="宋体"/>
                <w:sz w:val="24"/>
                <w:szCs w:val="24"/>
                <w:lang w:val="en-US" w:eastAsia="zh-CN"/>
              </w:rPr>
              <w:t>237.74万元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hAnsi="宋体" w:eastAsia="宋体" w:cs="宋体"/>
                <w:sz w:val="24"/>
                <w:szCs w:val="24"/>
                <w:lang w:val="en-US" w:eastAsia="zh-CN"/>
              </w:rPr>
              <w:t>454.42</w:t>
            </w:r>
            <w:r>
              <w:rPr>
                <w:rFonts w:hint="eastAsia" w:ascii="宋体" w:hAnsi="宋体" w:eastAsia="宋体" w:cs="宋体"/>
                <w:sz w:val="24"/>
                <w:szCs w:val="24"/>
              </w:rPr>
              <w:t>万元</w:t>
            </w:r>
            <w:r>
              <w:rPr>
                <w:rFonts w:hint="eastAsia" w:ascii="宋体" w:hAnsi="宋体" w:eastAsia="宋体" w:cs="宋体"/>
                <w:color w:val="000000"/>
                <w:sz w:val="24"/>
                <w:szCs w:val="24"/>
              </w:rPr>
              <w:t>（包含上年结转资金）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2020年中央、省级和州级财政卫生健康专项补助资金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2</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2</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lang w:val="en-US" w:eastAsia="zh-CN"/>
              </w:rPr>
              <w:t>提高全镇的预防疾病能力，强化群众预防疾病意识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rPr>
            </w:pPr>
            <w:r>
              <w:rPr>
                <w:rFonts w:hint="eastAsia" w:ascii="仿宋_GB2312" w:hAnsi="仿宋_GB2312" w:eastAsia="仿宋_GB2312" w:cs="仿宋_GB2312"/>
                <w:color w:val="000000"/>
                <w:sz w:val="24"/>
                <w:lang w:val="en-US" w:eastAsia="zh-CN"/>
              </w:rPr>
              <w:t>全镇预防疾病能力得到提升，群众预防疾病意识有效提高</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2</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2</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olor w:val="000000"/>
                <w:sz w:val="24"/>
                <w:lang w:val="en-US" w:eastAsia="zh-CN"/>
              </w:rPr>
              <w:t>保障群众的身体健康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各镇2020年基层武装部工作经费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8.99</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8.99</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w:t>
            </w:r>
            <w:r>
              <w:rPr>
                <w:rFonts w:hint="eastAsia" w:ascii="仿宋_GB2312" w:hAnsi="仿宋_GB2312" w:eastAsia="仿宋_GB2312" w:cs="仿宋_GB2312"/>
                <w:color w:val="000000"/>
                <w:sz w:val="24"/>
                <w:lang w:val="en-US" w:eastAsia="zh-CN"/>
              </w:rPr>
              <w:t>了应急抢险工作开展</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提高了全镇处理紧急事情的能力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w:t>
            </w:r>
            <w:r>
              <w:rPr>
                <w:rFonts w:hint="eastAsia" w:ascii="仿宋_GB2312" w:hAnsi="仿宋_GB2312" w:eastAsia="仿宋_GB2312" w:cs="仿宋_GB2312"/>
                <w:color w:val="000000"/>
                <w:sz w:val="24"/>
                <w:lang w:val="en-US" w:eastAsia="zh-CN"/>
              </w:rPr>
              <w:t>了应急抢险工作开展</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提高了全镇处理紧急事情的能力</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lang w:val="en-US" w:eastAsia="zh-CN"/>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8.99</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8.99</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rPr>
              <w:t>推动</w:t>
            </w:r>
            <w:r>
              <w:rPr>
                <w:rFonts w:hint="eastAsia" w:ascii="仿宋_GB2312" w:hAnsi="仿宋_GB2312" w:eastAsia="仿宋_GB2312" w:cs="仿宋_GB2312"/>
                <w:color w:val="000000"/>
                <w:sz w:val="24"/>
                <w:lang w:val="en-US" w:eastAsia="zh-CN"/>
              </w:rPr>
              <w:t>全镇</w:t>
            </w:r>
            <w:r>
              <w:rPr>
                <w:rFonts w:hint="eastAsia" w:ascii="仿宋_GB2312" w:hAnsi="仿宋_GB2312" w:eastAsia="仿宋_GB2312" w:cs="仿宋_GB2312"/>
                <w:color w:val="000000"/>
                <w:sz w:val="24"/>
              </w:rPr>
              <w:t>的</w:t>
            </w:r>
            <w:r>
              <w:rPr>
                <w:rFonts w:hint="eastAsia" w:ascii="仿宋_GB2312" w:hAnsi="仿宋_GB2312" w:eastAsia="仿宋_GB2312" w:cs="仿宋_GB2312"/>
                <w:color w:val="000000"/>
                <w:sz w:val="24"/>
                <w:lang w:val="en-US" w:eastAsia="zh-CN"/>
              </w:rPr>
              <w:t>应急工作开展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lang w:val="en-US" w:eastAsia="zh-CN"/>
              </w:rPr>
              <w:t>保障了人民群众生命安全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2020年养老养老服务补助县级配套资金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1.51</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1.51</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1.51</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1.51</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w:t>
            </w:r>
            <w:r>
              <w:rPr>
                <w:rFonts w:hint="eastAsia" w:ascii="仿宋_GB2312" w:hAnsi="仿宋_GB2312" w:eastAsia="仿宋_GB2312" w:cs="仿宋_GB2312"/>
                <w:color w:val="000000"/>
                <w:sz w:val="24"/>
                <w:lang w:val="en-US" w:eastAsia="zh-CN"/>
              </w:rPr>
              <w:t>老年人的生活质量</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丰富了老年人的日常，使老年人获得更多幸福感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w:t>
            </w:r>
            <w:r>
              <w:rPr>
                <w:rFonts w:hint="eastAsia" w:ascii="仿宋_GB2312" w:hAnsi="仿宋_GB2312" w:eastAsia="仿宋_GB2312" w:cs="仿宋_GB2312"/>
                <w:color w:val="000000"/>
                <w:sz w:val="24"/>
                <w:lang w:val="en-US" w:eastAsia="zh-CN"/>
              </w:rPr>
              <w:t>老年人生活质量提高</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丰富了老年人的日常，使老年人获得更多幸福感</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lang w:val="en-US" w:eastAsia="zh-CN"/>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1.51</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1.51</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1.51</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1.51</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rPr>
              <w:t>推动各村的</w:t>
            </w:r>
            <w:r>
              <w:rPr>
                <w:rFonts w:hint="eastAsia" w:ascii="仿宋_GB2312" w:hAnsi="仿宋_GB2312" w:eastAsia="仿宋_GB2312" w:cs="仿宋_GB2312"/>
                <w:color w:val="000000"/>
                <w:sz w:val="24"/>
                <w:lang w:val="en-US" w:eastAsia="zh-CN"/>
              </w:rPr>
              <w:t>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茂县各镇人大代表活动经费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2.70</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2.70</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2.70</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2.70</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w:t>
            </w:r>
            <w:r>
              <w:rPr>
                <w:rFonts w:hint="eastAsia" w:ascii="仿宋_GB2312" w:hAnsi="仿宋_GB2312" w:eastAsia="仿宋_GB2312" w:cs="仿宋_GB2312"/>
                <w:color w:val="000000"/>
                <w:sz w:val="24"/>
                <w:lang w:val="en-US" w:eastAsia="zh-CN"/>
              </w:rPr>
              <w:t>全镇人大代表活动的开展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w:t>
            </w:r>
            <w:r>
              <w:rPr>
                <w:rFonts w:hint="eastAsia" w:ascii="仿宋_GB2312" w:hAnsi="仿宋_GB2312" w:eastAsia="仿宋_GB2312" w:cs="仿宋_GB2312"/>
                <w:color w:val="000000"/>
                <w:sz w:val="24"/>
                <w:lang w:val="en-US" w:eastAsia="zh-CN"/>
              </w:rPr>
              <w:t>人大代表活动的有序开展</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2.70</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2.70</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2.70</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2.70</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rPr>
              <w:t>推动</w:t>
            </w:r>
            <w:r>
              <w:rPr>
                <w:rFonts w:hint="eastAsia" w:ascii="仿宋_GB2312" w:hAnsi="仿宋_GB2312" w:eastAsia="仿宋_GB2312" w:cs="仿宋_GB2312"/>
                <w:color w:val="000000"/>
                <w:sz w:val="24"/>
                <w:lang w:val="en-US" w:eastAsia="zh-CN"/>
              </w:rPr>
              <w:t>人大代表工作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default" w:ascii="仿宋_GB2312" w:hAnsi="仿宋_GB2312" w:eastAsia="仿宋_GB2312"/>
                <w:color w:val="000000"/>
                <w:sz w:val="24"/>
                <w:lang w:val="en-US" w:eastAsia="zh-CN"/>
              </w:rPr>
            </w:pPr>
            <w:r>
              <w:rPr>
                <w:rFonts w:hint="eastAsia" w:ascii="仿宋_GB2312" w:hAnsi="仿宋_GB2312" w:eastAsia="仿宋_GB2312" w:cs="仿宋_GB2312"/>
                <w:color w:val="000000"/>
                <w:sz w:val="24"/>
              </w:rPr>
              <w:t>满足人</w:t>
            </w:r>
            <w:r>
              <w:rPr>
                <w:rFonts w:hint="eastAsia" w:ascii="仿宋_GB2312" w:hAnsi="仿宋_GB2312" w:eastAsia="仿宋_GB2312" w:cs="仿宋_GB2312"/>
                <w:color w:val="000000"/>
                <w:sz w:val="24"/>
                <w:lang w:val="en-US" w:eastAsia="zh-CN"/>
              </w:rPr>
              <w:t>大代表工作需要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color w:val="000000"/>
          <w:sz w:val="32"/>
          <w:szCs w:val="32"/>
        </w:rPr>
        <w:t>茂县赤不苏镇人民政府</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108" w:name="_Toc10753"/>
      <w:bookmarkStart w:id="109" w:name="_Toc15396613"/>
      <w:bookmarkStart w:id="110" w:name="_Toc15377225"/>
      <w:bookmarkStart w:id="111" w:name="_Toc79163629"/>
      <w:r>
        <w:rPr>
          <w:rFonts w:hint="eastAsia" w:ascii="黑体" w:hAnsi="黑体" w:eastAsia="黑体"/>
          <w:color w:val="000000"/>
          <w:sz w:val="44"/>
          <w:szCs w:val="44"/>
        </w:rPr>
        <w:t>名</w:t>
      </w:r>
      <w:r>
        <w:rPr>
          <w:rStyle w:val="24"/>
          <w:rFonts w:hint="eastAsia" w:ascii="黑体" w:hAnsi="黑体" w:eastAsia="黑体"/>
          <w:b w:val="0"/>
        </w:rPr>
        <w:t>词解释</w:t>
      </w:r>
      <w:bookmarkEnd w:id="108"/>
      <w:bookmarkEnd w:id="109"/>
      <w:bookmarkEnd w:id="110"/>
      <w:bookmarkEnd w:id="111"/>
    </w:p>
    <w:p>
      <w:pPr>
        <w:pStyle w:val="2"/>
      </w:pPr>
    </w:p>
    <w:p>
      <w:pPr>
        <w:pStyle w:val="34"/>
        <w:spacing w:line="576" w:lineRule="atLeast"/>
        <w:ind w:firstLine="640" w:firstLineChars="200"/>
        <w:jc w:val="both"/>
        <w:rPr>
          <w:rFonts w:ascii="仿宋_GB2312" w:eastAsia="仿宋_GB2312" w:cs="Times New Roman"/>
          <w:sz w:val="32"/>
          <w:szCs w:val="32"/>
        </w:rPr>
      </w:pPr>
      <w:bookmarkStart w:id="112"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22"/>
          <w:rFonts w:ascii="仿宋_GB2312" w:hAnsi="仿宋_GB2312" w:eastAsia="仿宋_GB2312"/>
          <w:b w:val="0"/>
          <w:color w:val="0000FF"/>
          <w:sz w:val="32"/>
          <w:szCs w:val="32"/>
        </w:rPr>
      </w:pPr>
      <w:r>
        <w:rPr>
          <w:rStyle w:val="22"/>
          <w:rFonts w:ascii="仿宋_GB2312" w:hAnsi="仿宋_GB2312" w:eastAsia="仿宋_GB2312" w:cs="仿宋_GB2312"/>
          <w:b w:val="0"/>
          <w:color w:val="000000"/>
          <w:sz w:val="32"/>
          <w:szCs w:val="32"/>
        </w:rPr>
        <w:t>9.</w:t>
      </w:r>
      <w:r>
        <w:rPr>
          <w:rStyle w:val="22"/>
          <w:rFonts w:hint="eastAsia" w:ascii="仿宋_GB2312" w:hAnsi="仿宋_GB2312" w:eastAsia="仿宋_GB2312" w:cs="仿宋_GB2312"/>
          <w:b w:val="0"/>
          <w:color w:val="000000"/>
          <w:sz w:val="32"/>
          <w:szCs w:val="32"/>
        </w:rPr>
        <w:t>一般公共服务（</w:t>
      </w:r>
      <w:r>
        <w:rPr>
          <w:rStyle w:val="22"/>
          <w:rFonts w:hint="eastAsia" w:ascii="仿宋_GB2312" w:hAnsi="仿宋_GB2312" w:eastAsia="仿宋_GB2312" w:cs="仿宋_GB2312"/>
          <w:b w:val="0"/>
          <w:color w:val="000000"/>
          <w:sz w:val="32"/>
          <w:szCs w:val="32"/>
          <w:lang w:eastAsia="zh-CN"/>
        </w:rPr>
        <w:t>类</w:t>
      </w:r>
      <w:r>
        <w:rPr>
          <w:rStyle w:val="22"/>
          <w:rFonts w:hint="eastAsia" w:ascii="仿宋_GB2312" w:hAnsi="仿宋_GB2312" w:eastAsia="仿宋_GB2312" w:cs="仿宋_GB2312"/>
          <w:b w:val="0"/>
          <w:color w:val="000000"/>
          <w:sz w:val="32"/>
          <w:szCs w:val="32"/>
        </w:rPr>
        <w:t>）人大事务（</w:t>
      </w:r>
      <w:r>
        <w:rPr>
          <w:rStyle w:val="22"/>
          <w:rFonts w:hint="eastAsia" w:ascii="仿宋_GB2312" w:hAnsi="仿宋_GB2312" w:eastAsia="仿宋_GB2312" w:cs="仿宋_GB2312"/>
          <w:b w:val="0"/>
          <w:color w:val="000000"/>
          <w:sz w:val="32"/>
          <w:szCs w:val="32"/>
          <w:lang w:eastAsia="zh-CN"/>
        </w:rPr>
        <w:t>款</w:t>
      </w:r>
      <w:r>
        <w:rPr>
          <w:rStyle w:val="22"/>
          <w:rFonts w:hint="eastAsia" w:ascii="仿宋_GB2312" w:hAnsi="仿宋_GB2312" w:eastAsia="仿宋_GB2312" w:cs="仿宋_GB2312"/>
          <w:b w:val="0"/>
          <w:color w:val="000000"/>
          <w:sz w:val="32"/>
          <w:szCs w:val="32"/>
        </w:rPr>
        <w:t>）人大会议（</w:t>
      </w:r>
      <w:r>
        <w:rPr>
          <w:rStyle w:val="22"/>
          <w:rFonts w:hint="eastAsia" w:ascii="仿宋_GB2312" w:hAnsi="仿宋_GB2312" w:eastAsia="仿宋_GB2312" w:cs="仿宋_GB2312"/>
          <w:b w:val="0"/>
          <w:color w:val="000000"/>
          <w:sz w:val="32"/>
          <w:szCs w:val="32"/>
          <w:lang w:eastAsia="zh-CN"/>
        </w:rPr>
        <w:t>项</w:t>
      </w:r>
      <w:r>
        <w:rPr>
          <w:rStyle w:val="22"/>
          <w:rFonts w:hint="eastAsia" w:ascii="仿宋_GB2312" w:hAnsi="仿宋_GB2312" w:eastAsia="仿宋_GB2312" w:cs="仿宋_GB2312"/>
          <w:b w:val="0"/>
          <w:color w:val="000000"/>
          <w:sz w:val="32"/>
          <w:szCs w:val="32"/>
        </w:rPr>
        <w:t>）</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22"/>
          <w:rFonts w:hint="eastAsia" w:ascii="仿宋_GB2312" w:hAnsi="仿宋_GB2312" w:eastAsia="仿宋_GB2312" w:cs="仿宋_GB2312"/>
          <w:b w:val="0"/>
          <w:color w:val="0000FF"/>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10.</w:t>
      </w:r>
      <w:r>
        <w:rPr>
          <w:rStyle w:val="22"/>
          <w:rFonts w:hint="eastAsia" w:ascii="仿宋_GB2312" w:hAnsi="仿宋_GB2312" w:eastAsia="仿宋_GB2312" w:cs="仿宋_GB2312"/>
          <w:b w:val="0"/>
          <w:color w:val="000000"/>
          <w:sz w:val="32"/>
          <w:szCs w:val="32"/>
        </w:rPr>
        <w:t>一般公共服务（类）政府办公厅（室）及相关机构事务（款）行政运行（项）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11.</w:t>
      </w:r>
      <w:r>
        <w:rPr>
          <w:rStyle w:val="22"/>
          <w:rFonts w:hint="eastAsia" w:ascii="仿宋_GB2312" w:hAnsi="仿宋_GB2312" w:eastAsia="仿宋_GB2312" w:cs="仿宋_GB2312"/>
          <w:b w:val="0"/>
          <w:color w:val="000000"/>
          <w:sz w:val="32"/>
          <w:szCs w:val="32"/>
        </w:rPr>
        <w:t>一般公共服务（类）财政事务（款）事业运行（项）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12.</w:t>
      </w:r>
      <w:r>
        <w:rPr>
          <w:rStyle w:val="22"/>
          <w:rFonts w:hint="eastAsia" w:ascii="仿宋_GB2312" w:hAnsi="仿宋_GB2312" w:eastAsia="仿宋_GB2312" w:cs="仿宋_GB2312"/>
          <w:b w:val="0"/>
          <w:color w:val="000000"/>
          <w:sz w:val="32"/>
          <w:szCs w:val="32"/>
        </w:rPr>
        <w:t>一般公共服务（类）民族事务（款）其他民族事务支出（项）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13.</w:t>
      </w:r>
      <w:r>
        <w:rPr>
          <w:rStyle w:val="22"/>
          <w:rFonts w:hint="eastAsia" w:ascii="仿宋_GB2312" w:hAnsi="仿宋_GB2312" w:eastAsia="仿宋_GB2312" w:cs="仿宋_GB2312"/>
          <w:b w:val="0"/>
          <w:color w:val="000000"/>
          <w:sz w:val="32"/>
          <w:szCs w:val="32"/>
        </w:rPr>
        <w:t>一般公共服务（类）党委办公厅（室）及相关机构事务（款）行政运行（项）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14.</w:t>
      </w:r>
      <w:r>
        <w:rPr>
          <w:rStyle w:val="22"/>
          <w:rFonts w:hint="eastAsia" w:ascii="仿宋_GB2312" w:hAnsi="仿宋_GB2312" w:eastAsia="仿宋_GB2312" w:cs="仿宋_GB2312"/>
          <w:b w:val="0"/>
          <w:color w:val="000000"/>
          <w:sz w:val="32"/>
          <w:szCs w:val="32"/>
        </w:rPr>
        <w:t>国防支出（类）其他国防支出（款）其他国防支出（项）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ascii="仿宋_GB2312" w:hAnsi="仿宋_GB2312" w:eastAsia="仿宋_GB2312" w:cs="仿宋_GB2312"/>
          <w:b w:val="0"/>
          <w:color w:val="000000"/>
          <w:sz w:val="32"/>
          <w:szCs w:val="32"/>
        </w:rPr>
        <w:t>1</w:t>
      </w:r>
      <w:r>
        <w:rPr>
          <w:rStyle w:val="22"/>
          <w:rFonts w:hint="eastAsia" w:ascii="仿宋_GB2312" w:hAnsi="仿宋_GB2312" w:eastAsia="仿宋_GB2312" w:cs="仿宋_GB2312"/>
          <w:b w:val="0"/>
          <w:color w:val="000000"/>
          <w:sz w:val="32"/>
          <w:szCs w:val="32"/>
        </w:rPr>
        <w:t>5</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16</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17</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社会保障和就业（类）社会福利（款）老年福利（项）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18</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社会保障和就业（类）社会福利（款）其他社会福利支出（项）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19</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医疗卫生与计划生育（类）基层医疗卫生机构（款）镇镇卫生院（项）</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20</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医疗卫生与计划生育（类）行政事业单位医疗（款）行政单位医疗（项）</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21</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医疗卫生与计划生育（类）行政事业单位医疗（款）事业单位医疗（项）</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22</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农林水支出（类）农业（款）事业运行（项）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23</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农林水支出（类）农业（款）农业资源保护修复与利用（项）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24</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农林水支出（类）农业（款）其他农业支出（项）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25</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农林水支出（类）扶贫（款）农村基础设施建设（项）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指用于农村贫困地区镇村道路、住房、基本农田、水利设施、</w:t>
      </w:r>
      <w:r>
        <w:rPr>
          <w:rStyle w:val="22"/>
          <w:rFonts w:hint="eastAsia" w:ascii="仿宋_GB2312" w:hAnsi="仿宋_GB2312" w:eastAsia="仿宋_GB2312" w:cs="仿宋_GB2312"/>
          <w:b w:val="0"/>
          <w:color w:val="000000"/>
          <w:sz w:val="32"/>
          <w:szCs w:val="32"/>
          <w:lang w:eastAsia="zh-CN"/>
        </w:rPr>
        <w:t>人畜饮水</w:t>
      </w:r>
      <w:r>
        <w:rPr>
          <w:rStyle w:val="22"/>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26</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农林水支出（类）扶贫（款）其他扶贫支出（项）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27</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农林水支出（类）农村综合改革（款）对村委会和村党支部的补助（项）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22"/>
          <w:rFonts w:ascii="仿宋_GB2312" w:hAnsi="仿宋_GB2312" w:eastAsia="仿宋_GB2312"/>
          <w:b w:val="0"/>
          <w:color w:val="000000"/>
          <w:sz w:val="32"/>
          <w:szCs w:val="32"/>
        </w:rPr>
      </w:pPr>
      <w:r>
        <w:rPr>
          <w:rStyle w:val="22"/>
          <w:rFonts w:hint="eastAsia" w:ascii="仿宋_GB2312" w:hAnsi="仿宋_GB2312" w:eastAsia="仿宋_GB2312" w:cs="仿宋_GB2312"/>
          <w:b w:val="0"/>
          <w:color w:val="000000"/>
          <w:sz w:val="32"/>
          <w:szCs w:val="32"/>
        </w:rPr>
        <w:t>28</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农林水支出（类）其他农林水支出（款）其他农林水支出（项）</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22"/>
          <w:rFonts w:hint="eastAsia" w:ascii="仿宋_GB2312" w:hAnsi="仿宋_GB2312" w:eastAsia="仿宋_GB2312" w:cs="仿宋_GB2312"/>
          <w:b w:val="0"/>
          <w:color w:val="000000"/>
          <w:sz w:val="32"/>
          <w:szCs w:val="32"/>
        </w:rPr>
        <w:t>29</w:t>
      </w:r>
      <w:r>
        <w:rPr>
          <w:rStyle w:val="22"/>
          <w:rFonts w:ascii="仿宋_GB2312" w:hAnsi="仿宋_GB2312" w:eastAsia="仿宋_GB2312" w:cs="仿宋_GB2312"/>
          <w:b w:val="0"/>
          <w:color w:val="000000"/>
          <w:sz w:val="32"/>
          <w:szCs w:val="32"/>
        </w:rPr>
        <w:t>.</w:t>
      </w:r>
      <w:r>
        <w:rPr>
          <w:rStyle w:val="22"/>
          <w:rFonts w:hint="eastAsia" w:ascii="仿宋_GB2312" w:hAnsi="仿宋_GB2312" w:eastAsia="仿宋_GB2312" w:cs="仿宋_GB2312"/>
          <w:b w:val="0"/>
          <w:color w:val="000000"/>
          <w:sz w:val="32"/>
          <w:szCs w:val="32"/>
        </w:rPr>
        <w:t>住房保障支出（类）住房改革支出（款）住房公积金（</w:t>
      </w:r>
      <w:r>
        <w:rPr>
          <w:rStyle w:val="22"/>
          <w:rFonts w:ascii="仿宋_GB2312" w:hAnsi="仿宋_GB2312" w:eastAsia="仿宋_GB2312" w:cs="仿宋_GB2312"/>
          <w:b w:val="0"/>
          <w:color w:val="000000"/>
          <w:sz w:val="32"/>
          <w:szCs w:val="32"/>
        </w:rPr>
        <w:t>01</w:t>
      </w:r>
      <w:r>
        <w:rPr>
          <w:rStyle w:val="22"/>
          <w:rFonts w:hint="eastAsia" w:ascii="仿宋_GB2312" w:hAnsi="仿宋_GB2312" w:eastAsia="仿宋_GB2312" w:cs="仿宋_GB2312"/>
          <w:b w:val="0"/>
          <w:color w:val="000000"/>
          <w:sz w:val="32"/>
          <w:szCs w:val="32"/>
        </w:rPr>
        <w:t>）</w:t>
      </w:r>
      <w:r>
        <w:rPr>
          <w:rStyle w:val="22"/>
          <w:rFonts w:ascii="仿宋_GB2312" w:hAnsi="仿宋_GB2312" w:eastAsia="仿宋_GB2312" w:cs="仿宋_GB2312"/>
          <w:b w:val="0"/>
          <w:color w:val="000000"/>
          <w:sz w:val="32"/>
          <w:szCs w:val="32"/>
        </w:rPr>
        <w:t xml:space="preserve">: </w:t>
      </w:r>
      <w:r>
        <w:rPr>
          <w:rStyle w:val="22"/>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22"/>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bookmarkStart w:id="113" w:name="_Toc16647"/>
      <w:bookmarkStart w:id="114" w:name="_Toc15396614"/>
      <w:bookmarkStart w:id="115" w:name="_Toc79163630"/>
      <w:r>
        <w:rPr>
          <w:rFonts w:hint="eastAsia" w:ascii="黑体" w:hAnsi="黑体" w:eastAsia="黑体"/>
          <w:color w:val="000000"/>
          <w:sz w:val="44"/>
          <w:szCs w:val="44"/>
        </w:rPr>
        <w:t>第</w:t>
      </w:r>
      <w:r>
        <w:rPr>
          <w:rStyle w:val="24"/>
          <w:rFonts w:hint="eastAsia" w:ascii="黑体" w:hAnsi="黑体" w:eastAsia="黑体"/>
          <w:b w:val="0"/>
        </w:rPr>
        <w:t>四部分附件</w:t>
      </w:r>
      <w:bookmarkEnd w:id="113"/>
      <w:bookmarkEnd w:id="114"/>
      <w:bookmarkEnd w:id="115"/>
    </w:p>
    <w:p>
      <w:pPr>
        <w:spacing w:line="600" w:lineRule="exact"/>
        <w:jc w:val="left"/>
        <w:outlineLvl w:val="0"/>
        <w:rPr>
          <w:rFonts w:ascii="方正小标宋简体" w:hAnsi="方正小标宋简体" w:eastAsia="方正小标宋简体" w:cs="方正小标宋简体"/>
          <w:sz w:val="32"/>
          <w:szCs w:val="32"/>
        </w:rPr>
      </w:pPr>
      <w:bookmarkStart w:id="116" w:name="_Toc79163631"/>
      <w:bookmarkStart w:id="117" w:name="_Toc11361"/>
      <w:r>
        <w:rPr>
          <w:rFonts w:hint="eastAsia" w:ascii="黑体" w:hAnsi="黑体" w:eastAsia="黑体" w:cs="黑体"/>
          <w:sz w:val="32"/>
          <w:szCs w:val="32"/>
        </w:rPr>
        <w:t>附件</w:t>
      </w:r>
      <w:r>
        <w:rPr>
          <w:rFonts w:ascii="黑体" w:hAnsi="黑体" w:eastAsia="黑体" w:cs="黑体"/>
          <w:sz w:val="32"/>
          <w:szCs w:val="32"/>
        </w:rPr>
        <w:t>1</w:t>
      </w:r>
      <w:bookmarkEnd w:id="116"/>
      <w:bookmarkEnd w:id="117"/>
    </w:p>
    <w:p>
      <w:pPr>
        <w:spacing w:line="580" w:lineRule="exact"/>
        <w:jc w:val="center"/>
        <w:rPr>
          <w:rFonts w:ascii="方正小标宋简体" w:hAnsi="方正小标宋简体" w:eastAsia="方正小标宋简体" w:cs="方正小标宋简体"/>
          <w:sz w:val="44"/>
          <w:szCs w:val="44"/>
        </w:rPr>
      </w:pPr>
    </w:p>
    <w:p>
      <w:pPr>
        <w:spacing w:line="576" w:lineRule="atLeast"/>
        <w:jc w:val="center"/>
        <w:outlineLvl w:val="0"/>
        <w:rPr>
          <w:rFonts w:ascii="方正小标宋简体" w:hAnsi="方正小标宋简体" w:eastAsia="方正小标宋简体"/>
          <w:sz w:val="44"/>
          <w:szCs w:val="44"/>
        </w:rPr>
      </w:pPr>
      <w:bookmarkStart w:id="118" w:name="_Toc19712"/>
      <w:bookmarkStart w:id="119" w:name="_Toc15396616"/>
      <w:r>
        <w:rPr>
          <w:rFonts w:hint="eastAsia" w:ascii="方正小标宋简体" w:hAnsi="方正小标宋简体" w:eastAsia="方正小标宋简体" w:cs="方正小标宋简体"/>
          <w:sz w:val="44"/>
          <w:szCs w:val="44"/>
        </w:rPr>
        <w:t>茂县赤不苏镇人民政府</w:t>
      </w:r>
      <w:bookmarkEnd w:id="118"/>
    </w:p>
    <w:p>
      <w:pPr>
        <w:spacing w:line="576" w:lineRule="atLeast"/>
        <w:jc w:val="center"/>
        <w:outlineLvl w:val="0"/>
        <w:rPr>
          <w:rFonts w:ascii="黑体" w:hAnsi="黑体" w:eastAsia="黑体"/>
          <w:sz w:val="32"/>
          <w:szCs w:val="32"/>
        </w:rPr>
      </w:pPr>
      <w:bookmarkStart w:id="120" w:name="_Toc10064"/>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年部门整体支出绩效评价报告</w:t>
      </w:r>
      <w:bookmarkEnd w:id="119"/>
      <w:bookmarkEnd w:id="120"/>
    </w:p>
    <w:p>
      <w:pPr>
        <w:pStyle w:val="6"/>
        <w:keepNext w:val="0"/>
        <w:keepLines w:val="0"/>
        <w:spacing w:before="0" w:after="0" w:line="576" w:lineRule="atLeast"/>
        <w:ind w:firstLine="642" w:firstLineChars="200"/>
        <w:rPr>
          <w:rFonts w:ascii="黑体" w:hAnsi="黑体" w:eastAsia="黑体" w:cs="Times New Roman"/>
        </w:rPr>
      </w:pPr>
    </w:p>
    <w:p>
      <w:pPr>
        <w:pStyle w:val="6"/>
        <w:keepNext w:val="0"/>
        <w:keepLines w:val="0"/>
        <w:spacing w:before="0" w:after="0" w:line="576" w:lineRule="atLeast"/>
        <w:ind w:firstLine="642" w:firstLineChars="200"/>
        <w:rPr>
          <w:rFonts w:ascii="仿宋" w:hAnsi="仿宋" w:eastAsia="仿宋" w:cs="Times New Roman"/>
          <w:color w:val="000000"/>
        </w:rPr>
      </w:pPr>
      <w:bookmarkStart w:id="121" w:name="_Toc30535"/>
      <w:r>
        <w:rPr>
          <w:rFonts w:hint="eastAsia" w:ascii="黑体" w:hAnsi="黑体" w:eastAsia="黑体" w:cs="黑体"/>
        </w:rPr>
        <w:t>一、部门（单位）概况</w:t>
      </w:r>
      <w:bookmarkEnd w:id="121"/>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赤不苏镇内设行政办公室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个、事业机构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个，分别是：党政办公室、</w:t>
      </w:r>
      <w:r>
        <w:rPr>
          <w:rFonts w:hint="eastAsia" w:ascii="仿宋_GB2312" w:hAnsi="仿宋_GB2312" w:eastAsia="仿宋_GB2312" w:cs="仿宋_GB2312"/>
          <w:sz w:val="32"/>
          <w:szCs w:val="32"/>
          <w:lang w:val="en-US" w:eastAsia="zh-CN"/>
        </w:rPr>
        <w:t>党建工作办公室、维护稳定和</w:t>
      </w:r>
      <w:r>
        <w:rPr>
          <w:rFonts w:hint="eastAsia" w:ascii="仿宋_GB2312" w:hAnsi="仿宋_GB2312" w:eastAsia="仿宋_GB2312" w:cs="仿宋_GB2312"/>
          <w:sz w:val="32"/>
          <w:szCs w:val="32"/>
          <w:lang w:val="zh-CN"/>
        </w:rPr>
        <w:t>综合</w:t>
      </w:r>
      <w:r>
        <w:rPr>
          <w:rFonts w:hint="eastAsia" w:ascii="仿宋_GB2312" w:hAnsi="仿宋_GB2312" w:eastAsia="仿宋_GB2312" w:cs="仿宋_GB2312"/>
          <w:sz w:val="32"/>
          <w:szCs w:val="32"/>
          <w:lang w:val="en-US" w:eastAsia="zh-CN"/>
        </w:rPr>
        <w:t>行政执法</w:t>
      </w:r>
      <w:r>
        <w:rPr>
          <w:rFonts w:hint="eastAsia" w:ascii="仿宋_GB2312" w:hAnsi="仿宋_GB2312" w:eastAsia="仿宋_GB2312" w:cs="仿宋_GB2312"/>
          <w:sz w:val="32"/>
          <w:szCs w:val="32"/>
          <w:lang w:val="zh-CN"/>
        </w:rPr>
        <w:t>办公室、经济发展</w:t>
      </w:r>
      <w:r>
        <w:rPr>
          <w:rFonts w:hint="eastAsia" w:ascii="仿宋_GB2312" w:hAnsi="仿宋_GB2312" w:eastAsia="仿宋_GB2312" w:cs="仿宋_GB2312"/>
          <w:sz w:val="32"/>
          <w:szCs w:val="32"/>
          <w:lang w:val="en-US" w:eastAsia="zh-CN"/>
        </w:rPr>
        <w:t>和乡村振兴办公室</w:t>
      </w:r>
      <w:r>
        <w:rPr>
          <w:rFonts w:hint="eastAsia" w:ascii="仿宋_GB2312" w:hAnsi="仿宋_GB2312" w:eastAsia="仿宋_GB2312" w:cs="仿宋_GB2312"/>
          <w:sz w:val="32"/>
          <w:szCs w:val="32"/>
          <w:lang w:val="zh-CN"/>
        </w:rPr>
        <w:t>、社会事</w:t>
      </w:r>
      <w:r>
        <w:rPr>
          <w:rFonts w:hint="eastAsia" w:ascii="仿宋_GB2312" w:hAnsi="仿宋_GB2312" w:eastAsia="仿宋_GB2312" w:cs="仿宋_GB2312"/>
          <w:sz w:val="32"/>
          <w:szCs w:val="32"/>
          <w:lang w:val="en-US" w:eastAsia="zh-CN"/>
        </w:rPr>
        <w:t>务办公室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生态环境和应急管理办公室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财经审查工作办公室</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便民服务中心、经济发展服务中心、农业农村服务中心、综合文化服务中心</w:t>
      </w:r>
      <w:r>
        <w:rPr>
          <w:rFonts w:hint="eastAsia" w:ascii="仿宋_GB2312" w:hAnsi="仿宋_GB2312" w:eastAsia="仿宋_GB2312" w:cs="仿宋_GB2312"/>
          <w:sz w:val="32"/>
          <w:szCs w:val="32"/>
          <w:lang w:val="zh-CN"/>
        </w:rPr>
        <w:t>。</w:t>
      </w:r>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（二）机构职能</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spacing w:line="576" w:lineRule="atLeast"/>
        <w:ind w:firstLine="640" w:firstLineChars="200"/>
        <w:rPr>
          <w:rFonts w:ascii="楷体" w:hAnsi="楷体" w:eastAsia="楷体"/>
          <w:sz w:val="32"/>
          <w:szCs w:val="32"/>
        </w:rPr>
      </w:pPr>
      <w:r>
        <w:rPr>
          <w:rFonts w:hint="eastAsia" w:ascii="楷体" w:hAnsi="楷体" w:eastAsia="楷体" w:cs="楷体"/>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赤不苏镇总编制63名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行政编制35名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其中行政工勤编制5名，事业编制23名。现有在职人员53人，（其中公务员30人，机关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4人，事业人员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9人）；退休人员</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人（行政退休13人，事业退休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人）；遗属</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0人。</w:t>
      </w:r>
    </w:p>
    <w:p>
      <w:pPr>
        <w:pStyle w:val="6"/>
        <w:keepNext w:val="0"/>
        <w:keepLines w:val="0"/>
        <w:spacing w:before="0" w:after="0" w:line="576" w:lineRule="atLeast"/>
        <w:ind w:firstLine="640" w:firstLineChars="200"/>
        <w:rPr>
          <w:rFonts w:ascii="仿宋" w:hAnsi="仿宋" w:eastAsia="仿宋" w:cs="Times New Roman"/>
          <w:b w:val="0"/>
          <w:bCs w:val="0"/>
          <w:color w:val="000000"/>
        </w:rPr>
      </w:pPr>
      <w:bookmarkStart w:id="122" w:name="_Toc28767"/>
      <w:r>
        <w:rPr>
          <w:rFonts w:hint="eastAsia" w:ascii="黑体" w:hAnsi="黑体" w:eastAsia="黑体" w:cs="黑体"/>
          <w:b w:val="0"/>
          <w:bCs w:val="0"/>
        </w:rPr>
        <w:t>二、部门财政资金收支情况</w:t>
      </w:r>
      <w:bookmarkEnd w:id="122"/>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年本部门财政拨款收入决算总额为1916.37万元，其中：当年财政拨款收入</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1916.37万元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为一般公共预算财政拨款</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lang w:val="en-US" w:eastAsia="zh-CN"/>
        </w:rPr>
        <w:t>1832.58万元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政府性基金预算财政拨款收入83.79万元</w:t>
      </w:r>
      <w:r>
        <w:rPr>
          <w:rFonts w:hint="eastAsia" w:ascii="仿宋_GB2312" w:hAnsi="仿宋_GB2312" w:eastAsia="仿宋_GB2312" w:cs="仿宋_GB2312"/>
          <w:sz w:val="32"/>
          <w:szCs w:val="32"/>
        </w:rPr>
        <w:t>。</w:t>
      </w:r>
    </w:p>
    <w:p>
      <w:pPr>
        <w:numPr>
          <w:ilvl w:val="0"/>
          <w:numId w:val="4"/>
        </w:num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部门财政资金支出情况</w:t>
      </w:r>
    </w:p>
    <w:p>
      <w:pPr>
        <w:spacing w:line="600" w:lineRule="exact"/>
        <w:ind w:firstLine="640"/>
        <w:rPr>
          <w:rFonts w:ascii="仿宋" w:hAnsi="仿宋" w:eastAsia="仿宋"/>
          <w:b/>
          <w:color w:val="000000"/>
          <w:sz w:val="32"/>
          <w:szCs w:val="32"/>
        </w:rPr>
      </w:pPr>
      <w:r>
        <w:rPr>
          <w:rFonts w:hint="eastAsia" w:ascii="仿宋_GB2312" w:hAnsi="仿宋_GB2312" w:eastAsia="仿宋_GB2312" w:cs="仿宋_GB2312"/>
          <w:color w:val="000000"/>
          <w:sz w:val="32"/>
          <w:szCs w:val="32"/>
        </w:rPr>
        <w:t>茂县赤不苏镇人民政府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年一般公共预算财政拨款支出1937.1</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_GB2312" w:hAnsi="仿宋_GB2312" w:eastAsia="仿宋_GB2312" w:cs="仿宋_GB2312"/>
          <w:color w:val="000000"/>
          <w:sz w:val="32"/>
          <w:szCs w:val="32"/>
        </w:rPr>
        <w:t>一般公共服务支出（类）662.56万元，占本年支出合计的</w:t>
      </w:r>
      <w:r>
        <w:rPr>
          <w:rFonts w:hint="eastAsia" w:ascii="仿宋_GB2312" w:hAnsi="仿宋_GB2312" w:eastAsia="仿宋_GB2312" w:cs="仿宋_GB2312"/>
          <w:color w:val="000000"/>
          <w:sz w:val="32"/>
          <w:szCs w:val="32"/>
          <w:lang w:val="en-US" w:eastAsia="zh-CN"/>
        </w:rPr>
        <w:t>34.20</w:t>
      </w:r>
      <w:r>
        <w:rPr>
          <w:rFonts w:hint="eastAsia" w:ascii="仿宋_GB2312" w:hAnsi="仿宋_GB2312" w:eastAsia="仿宋_GB2312" w:cs="仿宋_GB2312"/>
          <w:color w:val="000000"/>
          <w:sz w:val="32"/>
          <w:szCs w:val="32"/>
        </w:rPr>
        <w:t>%；国防支出（类）8.99万元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占本年支出合计的</w:t>
      </w:r>
      <w:r>
        <w:rPr>
          <w:rFonts w:hint="eastAsia" w:ascii="仿宋_GB2312" w:hAnsi="仿宋_GB2312" w:eastAsia="仿宋_GB2312" w:cs="仿宋_GB2312"/>
          <w:color w:val="000000"/>
          <w:sz w:val="32"/>
          <w:szCs w:val="32"/>
          <w:lang w:val="en-US" w:eastAsia="zh-CN"/>
        </w:rPr>
        <w:t>0.47</w:t>
      </w:r>
      <w:r>
        <w:rPr>
          <w:rFonts w:hint="eastAsia" w:ascii="仿宋_GB2312" w:hAnsi="仿宋_GB2312" w:eastAsia="仿宋_GB2312" w:cs="仿宋_GB2312"/>
          <w:color w:val="000000"/>
          <w:sz w:val="32"/>
          <w:szCs w:val="32"/>
        </w:rPr>
        <w:t>%；文化旅游体育与传媒支出（类）5万元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占本年支出合计的</w:t>
      </w:r>
      <w:r>
        <w:rPr>
          <w:rFonts w:hint="eastAsia" w:ascii="仿宋_GB2312" w:hAnsi="仿宋_GB2312" w:eastAsia="仿宋_GB2312" w:cs="仿宋_GB2312"/>
          <w:color w:val="000000"/>
          <w:sz w:val="32"/>
          <w:szCs w:val="32"/>
          <w:lang w:val="en-US" w:eastAsia="zh-CN"/>
        </w:rPr>
        <w:t>0.26</w:t>
      </w:r>
      <w:r>
        <w:rPr>
          <w:rFonts w:hint="eastAsia" w:ascii="仿宋_GB2312" w:hAnsi="仿宋_GB2312" w:eastAsia="仿宋_GB2312" w:cs="仿宋_GB2312"/>
          <w:color w:val="000000"/>
          <w:sz w:val="32"/>
          <w:szCs w:val="32"/>
        </w:rPr>
        <w:t>%；社会保障和就业支出（类）117.06万元，占本年支出合计的</w:t>
      </w:r>
      <w:r>
        <w:rPr>
          <w:rFonts w:hint="eastAsia" w:ascii="仿宋_GB2312" w:hAnsi="仿宋_GB2312" w:eastAsia="仿宋_GB2312" w:cs="仿宋_GB2312"/>
          <w:color w:val="000000"/>
          <w:sz w:val="32"/>
          <w:szCs w:val="32"/>
          <w:lang w:val="en-US" w:eastAsia="zh-CN"/>
        </w:rPr>
        <w:t>6.04</w:t>
      </w:r>
      <w:r>
        <w:rPr>
          <w:rFonts w:hint="eastAsia" w:ascii="仿宋_GB2312" w:hAnsi="仿宋_GB2312" w:eastAsia="仿宋_GB2312" w:cs="仿宋_GB2312"/>
          <w:color w:val="000000"/>
          <w:sz w:val="32"/>
          <w:szCs w:val="32"/>
        </w:rPr>
        <w:t>%；卫生健康支出（类）54.11万元，占本年支出合计的</w:t>
      </w:r>
      <w:r>
        <w:rPr>
          <w:rFonts w:hint="eastAsia" w:ascii="仿宋_GB2312" w:hAnsi="仿宋_GB2312" w:eastAsia="仿宋_GB2312" w:cs="仿宋_GB2312"/>
          <w:color w:val="000000"/>
          <w:sz w:val="32"/>
          <w:szCs w:val="32"/>
          <w:lang w:val="en-US" w:eastAsia="zh-CN"/>
        </w:rPr>
        <w:t>2.79</w:t>
      </w:r>
      <w:r>
        <w:rPr>
          <w:rFonts w:hint="eastAsia" w:ascii="仿宋_GB2312" w:hAnsi="仿宋_GB2312" w:eastAsia="仿宋_GB2312" w:cs="仿宋_GB2312"/>
          <w:color w:val="000000"/>
          <w:sz w:val="32"/>
          <w:szCs w:val="32"/>
        </w:rPr>
        <w:t>%；农林水支出（类）1014.79万元，占本年支出合计的</w:t>
      </w:r>
      <w:r>
        <w:rPr>
          <w:rFonts w:hint="eastAsia" w:ascii="仿宋_GB2312" w:hAnsi="仿宋_GB2312" w:eastAsia="仿宋_GB2312" w:cs="仿宋_GB2312"/>
          <w:color w:val="000000"/>
          <w:sz w:val="32"/>
          <w:szCs w:val="32"/>
          <w:lang w:val="en-US" w:eastAsia="zh-CN"/>
        </w:rPr>
        <w:t>52.39</w:t>
      </w:r>
      <w:r>
        <w:rPr>
          <w:rFonts w:hint="eastAsia" w:ascii="仿宋_GB2312" w:hAnsi="仿宋_GB2312" w:eastAsia="仿宋_GB2312" w:cs="仿宋_GB2312"/>
          <w:color w:val="000000"/>
          <w:sz w:val="32"/>
          <w:szCs w:val="32"/>
        </w:rPr>
        <w:t>%；住房保障支出（类）73.59万元，占本年支出合计的</w:t>
      </w:r>
      <w:r>
        <w:rPr>
          <w:rFonts w:hint="eastAsia" w:ascii="仿宋_GB2312" w:hAnsi="仿宋_GB2312" w:eastAsia="仿宋_GB2312" w:cs="仿宋_GB2312"/>
          <w:color w:val="000000"/>
          <w:sz w:val="32"/>
          <w:szCs w:val="32"/>
          <w:lang w:val="en-US" w:eastAsia="zh-CN"/>
        </w:rPr>
        <w:t>3.80</w:t>
      </w:r>
      <w:r>
        <w:rPr>
          <w:rFonts w:hint="eastAsia" w:ascii="仿宋_GB2312" w:hAnsi="仿宋_GB2312" w:eastAsia="仿宋_GB2312" w:cs="仿宋_GB2312"/>
          <w:color w:val="000000"/>
          <w:sz w:val="32"/>
          <w:szCs w:val="32"/>
        </w:rPr>
        <w:t>%；其他支出（类）1万元，占本年支出合计</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val="en-US" w:eastAsia="zh-CN"/>
        </w:rPr>
        <w:t>0.05</w:t>
      </w:r>
      <w:r>
        <w:rPr>
          <w:rFonts w:hint="eastAsia" w:ascii="仿宋_GB2312" w:hAnsi="仿宋_GB2312" w:eastAsia="仿宋_GB2312" w:cs="仿宋_GB2312"/>
          <w:sz w:val="32"/>
          <w:szCs w:val="32"/>
        </w:rPr>
        <w:t>%。</w:t>
      </w:r>
    </w:p>
    <w:p>
      <w:pPr>
        <w:pStyle w:val="6"/>
        <w:keepNext w:val="0"/>
        <w:keepLines w:val="0"/>
        <w:spacing w:before="0" w:after="0" w:line="576" w:lineRule="atLeast"/>
        <w:ind w:firstLine="640" w:firstLineChars="200"/>
        <w:rPr>
          <w:rFonts w:ascii="黑体" w:hAnsi="黑体" w:eastAsia="黑体" w:cs="Times New Roman"/>
          <w:b w:val="0"/>
          <w:bCs w:val="0"/>
        </w:rPr>
      </w:pPr>
      <w:bookmarkStart w:id="123" w:name="_Toc30988"/>
      <w:r>
        <w:rPr>
          <w:rFonts w:hint="eastAsia" w:ascii="黑体" w:hAnsi="黑体" w:eastAsia="黑体" w:cs="黑体"/>
          <w:b w:val="0"/>
          <w:bCs w:val="0"/>
        </w:rPr>
        <w:t>三、部门整体预算绩效管理情况</w:t>
      </w:r>
      <w:bookmarkEnd w:id="123"/>
    </w:p>
    <w:p>
      <w:pPr>
        <w:adjustRightInd w:val="0"/>
        <w:snapToGrid w:val="0"/>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rPr>
        <w:t>年部门支出进行预算，支出合计</w:t>
      </w:r>
      <w:r>
        <w:rPr>
          <w:rFonts w:hint="eastAsia" w:ascii="仿宋_GB2312" w:hAnsi="仿宋_GB2312" w:eastAsia="仿宋_GB2312" w:cs="仿宋_GB2312"/>
          <w:sz w:val="32"/>
          <w:szCs w:val="32"/>
          <w:shd w:val="clear" w:color="auto" w:fill="FFFFFF"/>
        </w:rPr>
        <w:t>2020.88万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基本支出1074.68万元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）工资福利性支出：968.36万元。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）商品和服务支出53.86万元，其中：公务接待费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万元；公务用车运行维护费14.17万元。</w:t>
      </w:r>
    </w:p>
    <w:p>
      <w:pPr>
        <w:shd w:val="clear" w:color="auto" w:fill="FFFFFF"/>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）对个人和家庭的补助支出：26.86万元。</w:t>
      </w:r>
    </w:p>
    <w:p>
      <w:pPr>
        <w:shd w:val="clear" w:color="auto" w:fill="FFFFFF"/>
        <w:spacing w:line="576" w:lineRule="atLeast"/>
        <w:ind w:firstLine="640" w:firstLineChars="200"/>
        <w:rPr>
          <w:rFonts w:hint="default" w:ascii="仿宋_GB2312" w:hAnsi="仿宋_GB2312" w:eastAsia="仿宋_GB2312" w:cs="仿宋_GB2312"/>
          <w:color w:val="000000"/>
          <w:kern w:val="0"/>
          <w:sz w:val="32"/>
          <w:szCs w:val="32"/>
          <w:shd w:val="clear" w:color="auto" w:fill="FFFFFF"/>
          <w:lang w:val="en-US" w:eastAsia="zh-CN" w:bidi="ar-SA"/>
        </w:rPr>
      </w:pPr>
      <w:r>
        <w:rPr>
          <w:rFonts w:hint="eastAsia" w:ascii="仿宋_GB2312" w:hAnsi="仿宋_GB2312" w:eastAsia="仿宋_GB2312" w:cs="仿宋_GB2312"/>
          <w:color w:val="000000"/>
          <w:kern w:val="0"/>
          <w:sz w:val="32"/>
          <w:szCs w:val="32"/>
          <w:shd w:val="clear" w:color="auto" w:fill="FFFFFF"/>
          <w:lang w:val="en-US" w:eastAsia="zh-CN" w:bidi="ar-SA"/>
        </w:rPr>
        <w:t>（4）资本性支出：25.60万元。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w:t>
      </w:r>
      <w:r>
        <w:rPr>
          <w:rFonts w:hint="eastAsia" w:ascii="仿宋_GB2312" w:hAnsi="仿宋_GB2312" w:eastAsia="仿宋_GB2312" w:cs="仿宋_GB2312"/>
          <w:color w:val="000000"/>
          <w:kern w:val="0"/>
          <w:sz w:val="32"/>
          <w:szCs w:val="32"/>
          <w:shd w:val="clear" w:color="auto" w:fill="FFFFFF"/>
          <w:lang w:val="en-US" w:eastAsia="zh-CN"/>
        </w:rPr>
        <w:t>946.20</w:t>
      </w:r>
      <w:r>
        <w:rPr>
          <w:rFonts w:hint="eastAsia" w:ascii="仿宋_GB2312" w:hAnsi="仿宋_GB2312" w:eastAsia="仿宋_GB2312" w:cs="仿宋_GB2312"/>
          <w:color w:val="000000"/>
          <w:kern w:val="0"/>
          <w:sz w:val="32"/>
          <w:szCs w:val="32"/>
          <w:shd w:val="clear" w:color="auto" w:fill="FFFFFF"/>
        </w:rPr>
        <w:t>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326.61</w:t>
      </w:r>
      <w:r>
        <w:rPr>
          <w:rFonts w:hint="eastAsia" w:ascii="仿宋_GB2312" w:hAnsi="仿宋_GB2312" w:eastAsia="仿宋_GB2312" w:cs="仿宋_GB2312"/>
          <w:color w:val="000000"/>
          <w:kern w:val="0"/>
          <w:sz w:val="32"/>
          <w:szCs w:val="32"/>
          <w:shd w:val="clear" w:color="auto" w:fill="FFFFFF"/>
        </w:rPr>
        <w:t>万元，其中基层组织活动和公共服务运行经费项目支出214.77万元，村办公费90.3</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办公费</w:t>
      </w:r>
      <w:r>
        <w:rPr>
          <w:rFonts w:hint="eastAsia" w:ascii="仿宋_GB2312" w:hAnsi="仿宋_GB2312" w:eastAsia="仿宋_GB2312" w:cs="仿宋_GB2312"/>
          <w:color w:val="000000"/>
          <w:kern w:val="0"/>
          <w:sz w:val="32"/>
          <w:szCs w:val="32"/>
          <w:shd w:val="clear" w:color="auto" w:fill="FFFFFF"/>
        </w:rPr>
        <w:t>7.16</w:t>
      </w:r>
      <w:r>
        <w:rPr>
          <w:rFonts w:hint="eastAsia" w:ascii="仿宋_GB2312" w:hAnsi="仿宋_GB2312" w:eastAsia="仿宋_GB2312" w:cs="仿宋_GB2312"/>
          <w:color w:val="000000"/>
          <w:kern w:val="0"/>
          <w:sz w:val="32"/>
          <w:szCs w:val="32"/>
          <w:shd w:val="clear" w:color="auto" w:fill="FFFFFF"/>
          <w:lang w:val="en-US" w:eastAsia="zh-CN"/>
        </w:rPr>
        <w:t>万元</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培训</w:t>
      </w:r>
      <w:r>
        <w:rPr>
          <w:rFonts w:hint="eastAsia" w:ascii="仿宋_GB2312" w:hAnsi="仿宋_GB2312" w:eastAsia="仿宋_GB2312" w:cs="仿宋_GB2312"/>
          <w:color w:val="000000"/>
          <w:kern w:val="0"/>
          <w:sz w:val="32"/>
          <w:szCs w:val="32"/>
          <w:shd w:val="clear" w:color="auto" w:fill="FFFFFF"/>
        </w:rPr>
        <w:t>费2.63万元，</w:t>
      </w:r>
      <w:r>
        <w:rPr>
          <w:rFonts w:hint="eastAsia" w:ascii="仿宋_GB2312" w:hAnsi="仿宋_GB2312" w:eastAsia="仿宋_GB2312" w:cs="仿宋_GB2312"/>
          <w:color w:val="000000"/>
          <w:kern w:val="0"/>
          <w:sz w:val="32"/>
          <w:szCs w:val="32"/>
          <w:shd w:val="clear" w:color="auto" w:fill="FFFFFF"/>
          <w:lang w:val="en-US" w:eastAsia="zh-CN"/>
        </w:rPr>
        <w:t>电费</w:t>
      </w:r>
      <w:r>
        <w:rPr>
          <w:rFonts w:hint="eastAsia" w:ascii="仿宋_GB2312" w:hAnsi="仿宋_GB2312" w:eastAsia="仿宋_GB2312" w:cs="仿宋_GB2312"/>
          <w:color w:val="000000"/>
          <w:kern w:val="0"/>
          <w:sz w:val="32"/>
          <w:szCs w:val="32"/>
          <w:shd w:val="clear" w:color="auto" w:fill="FFFFFF"/>
        </w:rPr>
        <w:t>4.23</w:t>
      </w:r>
      <w:r>
        <w:rPr>
          <w:rFonts w:hint="eastAsia" w:ascii="仿宋_GB2312" w:hAnsi="仿宋_GB2312" w:eastAsia="仿宋_GB2312" w:cs="仿宋_GB2312"/>
          <w:color w:val="000000"/>
          <w:kern w:val="0"/>
          <w:sz w:val="32"/>
          <w:szCs w:val="32"/>
          <w:shd w:val="clear" w:color="auto" w:fill="FFFFFF"/>
          <w:lang w:val="en-US" w:eastAsia="zh-CN"/>
        </w:rPr>
        <w:t>万元，</w:t>
      </w:r>
      <w:r>
        <w:rPr>
          <w:rFonts w:hint="eastAsia" w:ascii="仿宋_GB2312" w:hAnsi="仿宋_GB2312" w:eastAsia="仿宋_GB2312" w:cs="仿宋_GB2312"/>
          <w:color w:val="000000"/>
          <w:kern w:val="0"/>
          <w:sz w:val="32"/>
          <w:szCs w:val="32"/>
          <w:shd w:val="clear" w:color="auto" w:fill="FFFFFF"/>
        </w:rPr>
        <w:t>会议费0.85万元，劳务费6.68万元。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（2）对个人和家庭的补助226.8</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万元，主要用于村干部生活补助。</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（3）资本性支出</w:t>
      </w:r>
      <w:r>
        <w:rPr>
          <w:rFonts w:hint="eastAsia" w:ascii="仿宋_GB2312" w:hAnsi="仿宋_GB2312" w:eastAsia="仿宋_GB2312" w:cs="仿宋_GB2312"/>
          <w:color w:val="000000"/>
          <w:kern w:val="0"/>
          <w:sz w:val="32"/>
          <w:szCs w:val="32"/>
          <w:shd w:val="clear" w:color="auto" w:fill="FFFFFF"/>
          <w:lang w:val="en-US" w:eastAsia="zh-CN"/>
        </w:rPr>
        <w:t>392.79</w:t>
      </w:r>
      <w:r>
        <w:rPr>
          <w:rFonts w:hint="eastAsia" w:ascii="仿宋_GB2312" w:hAnsi="仿宋_GB2312" w:eastAsia="仿宋_GB2312" w:cs="仿宋_GB2312"/>
          <w:color w:val="000000"/>
          <w:kern w:val="0"/>
          <w:sz w:val="32"/>
          <w:szCs w:val="32"/>
          <w:shd w:val="clear" w:color="auto" w:fill="FFFFFF"/>
        </w:rPr>
        <w:t>万元，主要用于</w:t>
      </w:r>
      <w:r>
        <w:rPr>
          <w:rFonts w:hint="eastAsia" w:ascii="仿宋_GB2312" w:hAnsi="仿宋_GB2312" w:eastAsia="仿宋_GB2312" w:cs="仿宋_GB2312"/>
          <w:color w:val="000000"/>
          <w:kern w:val="0"/>
          <w:sz w:val="32"/>
          <w:szCs w:val="32"/>
          <w:shd w:val="clear" w:color="auto" w:fill="FFFFFF"/>
          <w:lang w:val="en-US" w:eastAsia="zh-CN"/>
        </w:rPr>
        <w:t>堡坎、防洪沟治理、安全饮水</w:t>
      </w:r>
      <w:r>
        <w:rPr>
          <w:rFonts w:hint="eastAsia" w:ascii="仿宋_GB2312" w:hAnsi="仿宋_GB2312" w:eastAsia="仿宋_GB2312" w:cs="仿宋_GB2312"/>
          <w:color w:val="000000"/>
          <w:kern w:val="0"/>
          <w:sz w:val="32"/>
          <w:szCs w:val="32"/>
          <w:shd w:val="clear" w:color="auto" w:fill="FFFFFF"/>
        </w:rPr>
        <w:t>。</w:t>
      </w:r>
    </w:p>
    <w:p>
      <w:pPr>
        <w:pStyle w:val="6"/>
        <w:keepNext w:val="0"/>
        <w:keepLines w:val="0"/>
        <w:spacing w:before="0" w:after="0" w:line="576" w:lineRule="atLeast"/>
        <w:ind w:firstLine="640" w:firstLineChars="200"/>
        <w:rPr>
          <w:rFonts w:ascii="楷体_GB2312" w:hAnsi="楷体_GB2312" w:eastAsia="楷体_GB2312" w:cs="楷体_GB2312"/>
        </w:rPr>
      </w:pPr>
      <w:bookmarkStart w:id="124" w:name="_Toc13916"/>
      <w:r>
        <w:rPr>
          <w:rFonts w:hint="eastAsia" w:ascii="楷体_GB2312" w:hAnsi="楷体_GB2312" w:eastAsia="楷体_GB2312" w:cs="楷体_GB2312"/>
          <w:b w:val="0"/>
          <w:bCs w:val="0"/>
        </w:rPr>
        <w:t>（二）专项预算管理</w:t>
      </w:r>
      <w:bookmarkEnd w:id="124"/>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年，赤不苏镇人民政府无专项预算。</w:t>
      </w:r>
    </w:p>
    <w:p>
      <w:pPr>
        <w:pStyle w:val="6"/>
        <w:keepNext w:val="0"/>
        <w:keepLines w:val="0"/>
        <w:spacing w:before="0" w:after="0" w:line="576" w:lineRule="atLeast"/>
        <w:ind w:firstLine="640" w:firstLineChars="200"/>
        <w:rPr>
          <w:rFonts w:ascii="仿宋" w:hAnsi="仿宋" w:eastAsia="楷体_GB2312" w:cs="Times New Roman"/>
        </w:rPr>
      </w:pPr>
      <w:bookmarkStart w:id="125" w:name="_Toc7894"/>
      <w:r>
        <w:rPr>
          <w:rFonts w:hint="eastAsia" w:ascii="楷体_GB2312" w:hAnsi="楷体_GB2312" w:eastAsia="楷体_GB2312" w:cs="楷体_GB2312"/>
          <w:b w:val="0"/>
          <w:bCs w:val="0"/>
        </w:rPr>
        <w:t>（三）结果应用情况</w:t>
      </w:r>
      <w:bookmarkEnd w:id="125"/>
      <w:r>
        <w:rPr>
          <w:rFonts w:hint="eastAsia" w:ascii="楷体_GB2312" w:hAnsi="楷体_GB2312" w:eastAsia="楷体_GB2312" w:cs="楷体_GB2312"/>
          <w:b w:val="0"/>
          <w:bCs w:val="0"/>
        </w:rPr>
        <w:t xml:space="preserve">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6"/>
        <w:keepNext w:val="0"/>
        <w:keepLines w:val="0"/>
        <w:spacing w:before="0" w:after="0" w:line="576" w:lineRule="atLeast"/>
        <w:ind w:firstLine="640" w:firstLineChars="200"/>
        <w:rPr>
          <w:rFonts w:ascii="黑体" w:hAnsi="黑体" w:eastAsia="黑体" w:cs="Times New Roman"/>
          <w:b w:val="0"/>
          <w:bCs w:val="0"/>
        </w:rPr>
      </w:pPr>
      <w:bookmarkStart w:id="126" w:name="_Toc20693"/>
      <w:r>
        <w:rPr>
          <w:rFonts w:hint="eastAsia" w:ascii="黑体" w:hAnsi="黑体" w:eastAsia="黑体" w:cs="黑体"/>
          <w:b w:val="0"/>
          <w:bCs w:val="0"/>
        </w:rPr>
        <w:t>四、评价结论及建议</w:t>
      </w:r>
      <w:bookmarkEnd w:id="126"/>
    </w:p>
    <w:p>
      <w:pPr>
        <w:pStyle w:val="6"/>
        <w:keepNext w:val="0"/>
        <w:keepLines w:val="0"/>
        <w:spacing w:before="0" w:after="0" w:line="576" w:lineRule="atLeast"/>
        <w:ind w:firstLine="640" w:firstLineChars="200"/>
        <w:rPr>
          <w:rStyle w:val="25"/>
          <w:rFonts w:ascii="楷体_GB2312" w:hAnsi="楷体_GB2312" w:eastAsia="楷体_GB2312" w:cs="楷体_GB2312"/>
          <w:b w:val="0"/>
          <w:bCs w:val="0"/>
        </w:rPr>
      </w:pPr>
      <w:bookmarkStart w:id="127" w:name="_Toc21118"/>
      <w:r>
        <w:rPr>
          <w:rFonts w:hint="eastAsia" w:ascii="楷体_GB2312" w:hAnsi="楷体_GB2312" w:eastAsia="楷体_GB2312" w:cs="楷体_GB2312"/>
          <w:b w:val="0"/>
          <w:bCs w:val="0"/>
        </w:rPr>
        <w:t>（一）评价结论</w:t>
      </w:r>
      <w:bookmarkEnd w:id="127"/>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Style w:val="6"/>
        <w:keepNext w:val="0"/>
        <w:keepLines w:val="0"/>
        <w:spacing w:before="0" w:after="0" w:line="576" w:lineRule="atLeast"/>
        <w:ind w:firstLine="640" w:firstLineChars="200"/>
        <w:rPr>
          <w:rFonts w:ascii="仿宋_GB2312" w:hAnsi="仿宋_GB2312" w:eastAsia="仿宋_GB2312" w:cs="仿宋_GB2312"/>
          <w:b w:val="0"/>
          <w:bCs w:val="0"/>
          <w:color w:val="000000"/>
          <w:kern w:val="0"/>
        </w:rPr>
      </w:pPr>
      <w:bookmarkStart w:id="128" w:name="_Toc14527"/>
      <w:r>
        <w:rPr>
          <w:rFonts w:hint="eastAsia" w:ascii="仿宋_GB2312" w:hAnsi="仿宋_GB2312" w:eastAsia="仿宋_GB2312" w:cs="仿宋_GB2312"/>
          <w:b w:val="0"/>
          <w:bCs w:val="0"/>
          <w:color w:val="000000"/>
          <w:kern w:val="0"/>
        </w:rPr>
        <w:t>按照《茂县财政局关于开展20</w:t>
      </w:r>
      <w:r>
        <w:rPr>
          <w:rFonts w:hint="eastAsia" w:ascii="仿宋_GB2312" w:hAnsi="仿宋_GB2312" w:eastAsia="仿宋_GB2312" w:cs="仿宋_GB2312"/>
          <w:b w:val="0"/>
          <w:bCs w:val="0"/>
          <w:color w:val="000000"/>
          <w:kern w:val="0"/>
          <w:lang w:val="en-US" w:eastAsia="zh-CN"/>
        </w:rPr>
        <w:t>20</w:t>
      </w:r>
      <w:r>
        <w:rPr>
          <w:rFonts w:hint="eastAsia" w:ascii="仿宋_GB2312" w:hAnsi="仿宋_GB2312" w:eastAsia="仿宋_GB2312" w:cs="仿宋_GB2312"/>
          <w:b w:val="0"/>
          <w:bCs w:val="0"/>
          <w:color w:val="000000"/>
          <w:kern w:val="0"/>
        </w:rPr>
        <w:t>年财政支出绩效评价工作的通知》（茂财发</w:t>
      </w:r>
      <w:r>
        <w:rPr>
          <w:rFonts w:ascii="仿宋_GB2312" w:hAnsi="仿宋_GB2312" w:eastAsia="仿宋_GB2312" w:cs="仿宋_GB2312"/>
          <w:b w:val="0"/>
          <w:bCs w:val="0"/>
          <w:color w:val="000000"/>
          <w:kern w:val="0"/>
        </w:rPr>
        <w:t>[20</w:t>
      </w:r>
      <w:r>
        <w:rPr>
          <w:rFonts w:hint="eastAsia" w:ascii="仿宋_GB2312" w:hAnsi="仿宋_GB2312" w:eastAsia="仿宋_GB2312" w:cs="仿宋_GB2312"/>
          <w:b w:val="0"/>
          <w:bCs w:val="0"/>
          <w:color w:val="000000"/>
          <w:kern w:val="0"/>
          <w:lang w:val="en-US" w:eastAsia="zh-CN"/>
        </w:rPr>
        <w:t>20</w:t>
      </w:r>
      <w:r>
        <w:rPr>
          <w:rFonts w:ascii="仿宋_GB2312" w:hAnsi="仿宋_GB2312" w:eastAsia="仿宋_GB2312" w:cs="仿宋_GB2312"/>
          <w:b w:val="0"/>
          <w:bCs w:val="0"/>
          <w:color w:val="000000"/>
          <w:kern w:val="0"/>
        </w:rPr>
        <w:t>]</w:t>
      </w:r>
      <w:r>
        <w:rPr>
          <w:rFonts w:hint="eastAsia" w:ascii="仿宋_GB2312" w:hAnsi="仿宋_GB2312" w:eastAsia="仿宋_GB2312" w:cs="仿宋_GB2312"/>
          <w:b w:val="0"/>
          <w:bCs w:val="0"/>
          <w:color w:val="000000"/>
          <w:kern w:val="0"/>
          <w:lang w:val="en-US" w:eastAsia="zh-CN"/>
        </w:rPr>
        <w:t>62</w:t>
      </w:r>
      <w:r>
        <w:rPr>
          <w:rFonts w:hint="eastAsia" w:ascii="仿宋_GB2312" w:hAnsi="仿宋_GB2312" w:eastAsia="仿宋_GB2312" w:cs="仿宋_GB2312"/>
          <w:b w:val="0"/>
          <w:bCs w:val="0"/>
          <w:color w:val="000000"/>
          <w:kern w:val="0"/>
        </w:rPr>
        <w:t>号）20</w:t>
      </w:r>
      <w:r>
        <w:rPr>
          <w:rFonts w:hint="eastAsia" w:ascii="仿宋_GB2312" w:hAnsi="仿宋_GB2312" w:eastAsia="仿宋_GB2312" w:cs="仿宋_GB2312"/>
          <w:b w:val="0"/>
          <w:bCs w:val="0"/>
          <w:color w:val="000000"/>
          <w:kern w:val="0"/>
          <w:lang w:val="en-US" w:eastAsia="zh-CN"/>
        </w:rPr>
        <w:t>20</w:t>
      </w:r>
      <w:r>
        <w:rPr>
          <w:rFonts w:hint="eastAsia" w:ascii="仿宋_GB2312" w:hAnsi="仿宋_GB2312" w:eastAsia="仿宋_GB2312" w:cs="仿宋_GB2312"/>
          <w:b w:val="0"/>
          <w:bCs w:val="0"/>
          <w:color w:val="000000"/>
          <w:kern w:val="0"/>
        </w:rPr>
        <w:t>年赤不苏镇人民部门整体支出绩效评价指标体系自评得分</w:t>
      </w:r>
      <w:r>
        <w:rPr>
          <w:rFonts w:hint="eastAsia" w:ascii="仿宋_GB2312" w:hAnsi="仿宋_GB2312" w:eastAsia="仿宋_GB2312" w:cs="仿宋_GB2312"/>
          <w:b w:val="0"/>
          <w:bCs w:val="0"/>
          <w:color w:val="000000"/>
          <w:kern w:val="0"/>
          <w:lang w:val="en-US" w:eastAsia="zh-CN"/>
        </w:rPr>
        <w:t>81</w:t>
      </w:r>
      <w:r>
        <w:rPr>
          <w:rFonts w:hint="eastAsia" w:ascii="仿宋_GB2312" w:hAnsi="仿宋_GB2312" w:eastAsia="仿宋_GB2312" w:cs="仿宋_GB2312"/>
          <w:b w:val="0"/>
          <w:bCs w:val="0"/>
          <w:color w:val="000000"/>
          <w:kern w:val="0"/>
        </w:rPr>
        <w:t>分。</w:t>
      </w:r>
      <w:bookmarkEnd w:id="128"/>
    </w:p>
    <w:p>
      <w:pPr>
        <w:pStyle w:val="6"/>
        <w:keepNext w:val="0"/>
        <w:keepLines w:val="0"/>
        <w:spacing w:before="0" w:after="0" w:line="576" w:lineRule="atLeast"/>
        <w:ind w:firstLine="640" w:firstLineChars="200"/>
        <w:rPr>
          <w:rStyle w:val="25"/>
          <w:rFonts w:ascii="楷体_GB2312" w:hAnsi="楷体_GB2312" w:eastAsia="楷体_GB2312" w:cs="楷体_GB2312"/>
          <w:b w:val="0"/>
          <w:bCs w:val="0"/>
        </w:rPr>
      </w:pPr>
      <w:bookmarkStart w:id="129" w:name="_Toc28090"/>
      <w:r>
        <w:rPr>
          <w:rFonts w:hint="eastAsia" w:ascii="楷体_GB2312" w:hAnsi="楷体_GB2312" w:eastAsia="楷体_GB2312" w:cs="楷体_GB2312"/>
          <w:b w:val="0"/>
          <w:bCs w:val="0"/>
        </w:rPr>
        <w:t>（二）存在问题</w:t>
      </w:r>
      <w:bookmarkEnd w:id="129"/>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6"/>
        <w:keepNext w:val="0"/>
        <w:keepLines w:val="0"/>
        <w:spacing w:before="0" w:after="0" w:line="576" w:lineRule="atLeast"/>
        <w:ind w:firstLine="640" w:firstLineChars="200"/>
        <w:rPr>
          <w:rFonts w:ascii="楷体_GB2312" w:hAnsi="楷体_GB2312" w:eastAsia="楷体_GB2312" w:cs="楷体_GB2312"/>
          <w:b w:val="0"/>
          <w:bCs w:val="0"/>
        </w:rPr>
      </w:pPr>
      <w:bookmarkStart w:id="130" w:name="_Toc23361"/>
      <w:r>
        <w:rPr>
          <w:rFonts w:hint="eastAsia" w:ascii="楷体_GB2312" w:hAnsi="楷体_GB2312" w:eastAsia="楷体_GB2312" w:cs="楷体_GB2312"/>
          <w:b w:val="0"/>
          <w:bCs w:val="0"/>
        </w:rPr>
        <w:t>（三）改进建议</w:t>
      </w:r>
      <w:bookmarkEnd w:id="130"/>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131" w:name="_Toc25141"/>
      <w:bookmarkStart w:id="132" w:name="_Toc15396618"/>
      <w:bookmarkStart w:id="133" w:name="_Toc79163635"/>
      <w:r>
        <w:rPr>
          <w:rFonts w:hint="eastAsia" w:ascii="黑体" w:hAnsi="黑体" w:eastAsia="黑体"/>
          <w:color w:val="000000"/>
          <w:sz w:val="44"/>
          <w:szCs w:val="44"/>
        </w:rPr>
        <w:t>第</w:t>
      </w:r>
      <w:r>
        <w:rPr>
          <w:rStyle w:val="24"/>
          <w:rFonts w:hint="eastAsia" w:ascii="黑体" w:hAnsi="黑体" w:eastAsia="黑体"/>
          <w:b w:val="0"/>
        </w:rPr>
        <w:t>五部分附表</w:t>
      </w:r>
      <w:bookmarkEnd w:id="112"/>
      <w:bookmarkEnd w:id="131"/>
      <w:bookmarkEnd w:id="132"/>
      <w:bookmarkEnd w:id="133"/>
    </w:p>
    <w:p>
      <w:pPr>
        <w:pStyle w:val="6"/>
        <w:rPr>
          <w:rFonts w:ascii="仿宋" w:hAnsi="仿宋" w:eastAsia="仿宋"/>
          <w:color w:val="000000"/>
        </w:rPr>
      </w:pPr>
      <w:bookmarkStart w:id="134" w:name="_Toc16373"/>
      <w:bookmarkStart w:id="135" w:name="_Toc79163636"/>
      <w:bookmarkStart w:id="136"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134"/>
      <w:bookmarkEnd w:id="135"/>
      <w:bookmarkEnd w:id="136"/>
    </w:p>
    <w:p>
      <w:pPr>
        <w:pStyle w:val="6"/>
        <w:rPr>
          <w:rFonts w:ascii="仿宋" w:hAnsi="仿宋" w:eastAsia="仿宋"/>
          <w:color w:val="000000"/>
        </w:rPr>
      </w:pPr>
      <w:bookmarkStart w:id="137" w:name="_Toc15396620"/>
      <w:bookmarkStart w:id="138" w:name="_Toc79163637"/>
      <w:bookmarkStart w:id="139" w:name="_Toc27470"/>
      <w:r>
        <w:rPr>
          <w:rFonts w:hint="eastAsia" w:ascii="仿宋" w:hAnsi="仿宋" w:eastAsia="仿宋"/>
          <w:b w:val="0"/>
          <w:color w:val="000000"/>
        </w:rPr>
        <w:t>二、收</w:t>
      </w:r>
      <w:r>
        <w:rPr>
          <w:rStyle w:val="25"/>
          <w:rFonts w:hint="eastAsia" w:ascii="仿宋" w:hAnsi="仿宋" w:eastAsia="仿宋"/>
          <w:b w:val="0"/>
          <w:bCs w:val="0"/>
        </w:rPr>
        <w:t>入决算表</w:t>
      </w:r>
      <w:bookmarkEnd w:id="137"/>
      <w:bookmarkEnd w:id="138"/>
      <w:bookmarkEnd w:id="139"/>
    </w:p>
    <w:p>
      <w:pPr>
        <w:pStyle w:val="6"/>
        <w:rPr>
          <w:rFonts w:ascii="仿宋" w:hAnsi="仿宋" w:eastAsia="仿宋"/>
          <w:color w:val="000000"/>
        </w:rPr>
      </w:pPr>
      <w:bookmarkStart w:id="140" w:name="_Toc15396621"/>
      <w:bookmarkStart w:id="141" w:name="_Toc79163638"/>
      <w:bookmarkStart w:id="142" w:name="_Toc157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40"/>
      <w:bookmarkEnd w:id="141"/>
      <w:bookmarkEnd w:id="142"/>
    </w:p>
    <w:p>
      <w:pPr>
        <w:pStyle w:val="6"/>
        <w:rPr>
          <w:rFonts w:ascii="仿宋" w:hAnsi="仿宋" w:eastAsia="仿宋"/>
          <w:b w:val="0"/>
          <w:color w:val="000000"/>
        </w:rPr>
      </w:pPr>
      <w:bookmarkStart w:id="143" w:name="_Toc15396622"/>
      <w:bookmarkStart w:id="144" w:name="_Toc79163639"/>
      <w:bookmarkStart w:id="145" w:name="_Toc24311"/>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43"/>
      <w:bookmarkEnd w:id="144"/>
      <w:bookmarkEnd w:id="145"/>
    </w:p>
    <w:p>
      <w:pPr>
        <w:pStyle w:val="6"/>
        <w:rPr>
          <w:rStyle w:val="25"/>
          <w:rFonts w:ascii="仿宋" w:hAnsi="仿宋" w:eastAsia="仿宋"/>
          <w:b w:val="0"/>
          <w:bCs w:val="0"/>
        </w:rPr>
      </w:pPr>
      <w:bookmarkStart w:id="146" w:name="_Toc15396623"/>
      <w:bookmarkStart w:id="147" w:name="_Toc79163640"/>
      <w:bookmarkStart w:id="148" w:name="_Toc6324"/>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46"/>
      <w:bookmarkEnd w:id="147"/>
      <w:bookmarkEnd w:id="148"/>
      <w:bookmarkStart w:id="149" w:name="_Toc15396624"/>
    </w:p>
    <w:p>
      <w:pPr>
        <w:pStyle w:val="6"/>
        <w:rPr>
          <w:rFonts w:ascii="仿宋" w:hAnsi="仿宋" w:eastAsia="仿宋"/>
          <w:color w:val="000000"/>
        </w:rPr>
      </w:pPr>
      <w:bookmarkStart w:id="150" w:name="_Toc79163641"/>
      <w:bookmarkStart w:id="151" w:name="_Toc7746"/>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49"/>
      <w:bookmarkEnd w:id="150"/>
      <w:bookmarkEnd w:id="151"/>
    </w:p>
    <w:p>
      <w:pPr>
        <w:pStyle w:val="6"/>
        <w:rPr>
          <w:rFonts w:ascii="仿宋" w:hAnsi="仿宋" w:eastAsia="仿宋"/>
          <w:color w:val="000000"/>
        </w:rPr>
      </w:pPr>
      <w:bookmarkStart w:id="152" w:name="_Toc15396625"/>
      <w:bookmarkStart w:id="153" w:name="_Toc79163642"/>
      <w:bookmarkStart w:id="154" w:name="_Toc1407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52"/>
      <w:bookmarkEnd w:id="153"/>
      <w:bookmarkEnd w:id="154"/>
    </w:p>
    <w:p>
      <w:pPr>
        <w:pStyle w:val="6"/>
        <w:rPr>
          <w:rFonts w:ascii="仿宋" w:hAnsi="仿宋" w:eastAsia="仿宋"/>
          <w:color w:val="000000"/>
        </w:rPr>
      </w:pPr>
      <w:bookmarkStart w:id="155" w:name="_Toc79163643"/>
      <w:bookmarkStart w:id="156" w:name="_Toc15396626"/>
      <w:bookmarkStart w:id="157" w:name="_Toc27552"/>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55"/>
      <w:bookmarkEnd w:id="156"/>
      <w:bookmarkEnd w:id="157"/>
    </w:p>
    <w:p>
      <w:pPr>
        <w:pStyle w:val="6"/>
        <w:rPr>
          <w:rFonts w:ascii="仿宋" w:hAnsi="仿宋" w:eastAsia="仿宋"/>
          <w:color w:val="000000"/>
        </w:rPr>
      </w:pPr>
      <w:bookmarkStart w:id="158" w:name="_Toc8315"/>
      <w:bookmarkStart w:id="159" w:name="_Toc15396627"/>
      <w:bookmarkStart w:id="160" w:name="_Toc7916364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58"/>
      <w:bookmarkEnd w:id="159"/>
      <w:bookmarkEnd w:id="160"/>
    </w:p>
    <w:p>
      <w:pPr>
        <w:pStyle w:val="6"/>
        <w:rPr>
          <w:rFonts w:ascii="仿宋" w:hAnsi="仿宋" w:eastAsia="仿宋"/>
          <w:color w:val="000000"/>
        </w:rPr>
      </w:pPr>
      <w:bookmarkStart w:id="161" w:name="_Toc79163645"/>
      <w:bookmarkStart w:id="162" w:name="_Toc15396628"/>
      <w:bookmarkStart w:id="163" w:name="_Toc23523"/>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61"/>
      <w:bookmarkEnd w:id="162"/>
      <w:bookmarkEnd w:id="163"/>
    </w:p>
    <w:p>
      <w:pPr>
        <w:pStyle w:val="6"/>
        <w:rPr>
          <w:rFonts w:ascii="仿宋" w:hAnsi="仿宋" w:eastAsia="仿宋"/>
          <w:color w:val="000000"/>
        </w:rPr>
      </w:pPr>
      <w:bookmarkStart w:id="164" w:name="_Toc25708"/>
      <w:bookmarkStart w:id="165" w:name="_Toc79163646"/>
      <w:bookmarkStart w:id="166"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64"/>
      <w:bookmarkEnd w:id="165"/>
      <w:bookmarkEnd w:id="166"/>
    </w:p>
    <w:p>
      <w:pPr>
        <w:pStyle w:val="6"/>
        <w:rPr>
          <w:rFonts w:ascii="仿宋" w:hAnsi="仿宋" w:eastAsia="仿宋"/>
          <w:color w:val="000000"/>
        </w:rPr>
      </w:pPr>
      <w:bookmarkStart w:id="167" w:name="_Toc15396630"/>
      <w:bookmarkStart w:id="168" w:name="_Toc79163647"/>
      <w:bookmarkStart w:id="169" w:name="_Toc12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67"/>
      <w:bookmarkEnd w:id="168"/>
      <w:bookmarkEnd w:id="169"/>
    </w:p>
    <w:p>
      <w:pPr>
        <w:pStyle w:val="6"/>
        <w:rPr>
          <w:rStyle w:val="25"/>
          <w:rFonts w:ascii="仿宋" w:hAnsi="仿宋" w:eastAsia="仿宋"/>
          <w:b w:val="0"/>
          <w:bCs w:val="0"/>
        </w:rPr>
      </w:pPr>
      <w:bookmarkStart w:id="170" w:name="_Toc6510"/>
      <w:bookmarkStart w:id="171" w:name="_Toc79163648"/>
      <w:bookmarkStart w:id="1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70"/>
      <w:bookmarkEnd w:id="171"/>
      <w:bookmarkEnd w:id="172"/>
    </w:p>
    <w:p>
      <w:pPr>
        <w:pStyle w:val="6"/>
        <w:rPr>
          <w:rStyle w:val="25"/>
          <w:rFonts w:ascii="仿宋" w:hAnsi="仿宋" w:eastAsia="仿宋"/>
          <w:b w:val="0"/>
          <w:bCs w:val="0"/>
        </w:rPr>
      </w:pPr>
      <w:bookmarkStart w:id="173" w:name="_Toc79163649"/>
      <w:bookmarkStart w:id="174" w:name="_Toc7325"/>
      <w:r>
        <w:rPr>
          <w:rStyle w:val="25"/>
          <w:rFonts w:hint="eastAsia" w:ascii="仿宋" w:hAnsi="仿宋" w:eastAsia="仿宋"/>
          <w:b w:val="0"/>
          <w:bCs w:val="0"/>
        </w:rPr>
        <w:t>十四、国有资本经营预算财政拨款支出决算表</w:t>
      </w:r>
      <w:bookmarkEnd w:id="173"/>
      <w:bookmarkEnd w:id="1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B5C9670"/>
    <w:multiLevelType w:val="singleLevel"/>
    <w:tmpl w:val="FB5C9670"/>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387A"/>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2B91A59"/>
    <w:rsid w:val="02FC5CAA"/>
    <w:rsid w:val="05FD765F"/>
    <w:rsid w:val="061979DB"/>
    <w:rsid w:val="075B00B8"/>
    <w:rsid w:val="08EE7AF1"/>
    <w:rsid w:val="0A2032A3"/>
    <w:rsid w:val="0B002ABF"/>
    <w:rsid w:val="0B3037BF"/>
    <w:rsid w:val="0BAA15B5"/>
    <w:rsid w:val="0BD413F1"/>
    <w:rsid w:val="0D720B6F"/>
    <w:rsid w:val="0DD806BA"/>
    <w:rsid w:val="0E8136C4"/>
    <w:rsid w:val="0F59641D"/>
    <w:rsid w:val="109465BB"/>
    <w:rsid w:val="10C055FF"/>
    <w:rsid w:val="118107EC"/>
    <w:rsid w:val="12206FC1"/>
    <w:rsid w:val="16AA5993"/>
    <w:rsid w:val="16BB723D"/>
    <w:rsid w:val="17144AAD"/>
    <w:rsid w:val="1C4E29E8"/>
    <w:rsid w:val="1D155CEE"/>
    <w:rsid w:val="1E0E557A"/>
    <w:rsid w:val="216D7795"/>
    <w:rsid w:val="21C472B4"/>
    <w:rsid w:val="221570B3"/>
    <w:rsid w:val="240371BF"/>
    <w:rsid w:val="252B7FD9"/>
    <w:rsid w:val="26A21068"/>
    <w:rsid w:val="27A44E74"/>
    <w:rsid w:val="28274600"/>
    <w:rsid w:val="29FD04D3"/>
    <w:rsid w:val="2BC40C13"/>
    <w:rsid w:val="2C057E6C"/>
    <w:rsid w:val="2C4E4AF4"/>
    <w:rsid w:val="2CAF754D"/>
    <w:rsid w:val="2E5A6DDE"/>
    <w:rsid w:val="2E850B7B"/>
    <w:rsid w:val="318C0682"/>
    <w:rsid w:val="319F7F4E"/>
    <w:rsid w:val="31FB54DF"/>
    <w:rsid w:val="32E34D82"/>
    <w:rsid w:val="34E7269D"/>
    <w:rsid w:val="350B13A4"/>
    <w:rsid w:val="35F111E7"/>
    <w:rsid w:val="3680669F"/>
    <w:rsid w:val="36F755BD"/>
    <w:rsid w:val="3A881054"/>
    <w:rsid w:val="3C4D0340"/>
    <w:rsid w:val="3F18293D"/>
    <w:rsid w:val="403E5B72"/>
    <w:rsid w:val="41104302"/>
    <w:rsid w:val="41994A92"/>
    <w:rsid w:val="419A72A4"/>
    <w:rsid w:val="43766ED4"/>
    <w:rsid w:val="4378463C"/>
    <w:rsid w:val="442D2D69"/>
    <w:rsid w:val="453320AE"/>
    <w:rsid w:val="4B5C5851"/>
    <w:rsid w:val="4C8E7F9F"/>
    <w:rsid w:val="4DA63AB8"/>
    <w:rsid w:val="4ECE2238"/>
    <w:rsid w:val="4F0D2918"/>
    <w:rsid w:val="5374687B"/>
    <w:rsid w:val="54FB046B"/>
    <w:rsid w:val="55BB1F0F"/>
    <w:rsid w:val="56DB31A7"/>
    <w:rsid w:val="585712C6"/>
    <w:rsid w:val="5AD23DF0"/>
    <w:rsid w:val="5ADD7421"/>
    <w:rsid w:val="5DC5A7D6"/>
    <w:rsid w:val="60564B5D"/>
    <w:rsid w:val="60CF5160"/>
    <w:rsid w:val="60F044D8"/>
    <w:rsid w:val="615A1435"/>
    <w:rsid w:val="63D35C96"/>
    <w:rsid w:val="64F0000C"/>
    <w:rsid w:val="65602AFF"/>
    <w:rsid w:val="666A14A1"/>
    <w:rsid w:val="67064E5C"/>
    <w:rsid w:val="6B6B6B48"/>
    <w:rsid w:val="6C4A05C8"/>
    <w:rsid w:val="6DFF410E"/>
    <w:rsid w:val="715C34EA"/>
    <w:rsid w:val="719A5115"/>
    <w:rsid w:val="72734D90"/>
    <w:rsid w:val="72CF7F03"/>
    <w:rsid w:val="75CA0129"/>
    <w:rsid w:val="762A5A23"/>
    <w:rsid w:val="77E46243"/>
    <w:rsid w:val="79E815C7"/>
    <w:rsid w:val="7A4A2270"/>
    <w:rsid w:val="7DCB2C4B"/>
    <w:rsid w:val="7E2933DB"/>
    <w:rsid w:val="7F9D132C"/>
    <w:rsid w:val="7FF5C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spacing w:before="100" w:beforeAutospacing="1" w:after="0"/>
      <w:ind w:firstLine="420" w:firstLineChars="100"/>
    </w:pPr>
    <w:rPr>
      <w:rFonts w:ascii="Times New Roman" w:hAnsi="Times New Roman" w:eastAsia="楷体_GB2312"/>
    </w:rPr>
  </w:style>
  <w:style w:type="paragraph" w:styleId="3">
    <w:name w:val="Body Text"/>
    <w:basedOn w:val="1"/>
    <w:next w:val="4"/>
    <w:link w:val="33"/>
    <w:qFormat/>
    <w:uiPriority w:val="99"/>
    <w:pPr>
      <w:spacing w:beforeLines="30"/>
    </w:pPr>
    <w:rPr>
      <w:rFonts w:ascii="仿宋_GB2312" w:eastAsia="仿宋_GB2312"/>
      <w:kern w:val="0"/>
      <w:sz w:val="24"/>
      <w:szCs w:val="20"/>
      <w:lang w:val="zh-CN" w:eastAsia="zh-CN"/>
    </w:rPr>
  </w:style>
  <w:style w:type="paragraph" w:styleId="4">
    <w:name w:val="Body Text First Indent"/>
    <w:basedOn w:val="3"/>
    <w:qFormat/>
    <w:uiPriority w:val="0"/>
    <w:pPr>
      <w:ind w:firstLine="420" w:firstLineChars="100"/>
    </w:pPr>
    <w:rPr>
      <w:kern w:val="0"/>
      <w:sz w:val="20"/>
      <w:szCs w:val="20"/>
    </w:r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Char"/>
    <w:basedOn w:val="21"/>
    <w:link w:val="5"/>
    <w:qFormat/>
    <w:locked/>
    <w:uiPriority w:val="9"/>
    <w:rPr>
      <w:rFonts w:ascii="Times New Roman" w:hAnsi="Times New Roman" w:cs="Times New Roman"/>
      <w:b/>
      <w:bCs/>
      <w:kern w:val="44"/>
      <w:sz w:val="44"/>
      <w:szCs w:val="44"/>
    </w:rPr>
  </w:style>
  <w:style w:type="character" w:customStyle="1" w:styleId="25">
    <w:name w:val="标题 2 Char"/>
    <w:basedOn w:val="21"/>
    <w:link w:val="6"/>
    <w:qFormat/>
    <w:locked/>
    <w:uiPriority w:val="9"/>
    <w:rPr>
      <w:rFonts w:ascii="Cambria" w:hAnsi="Cambria" w:eastAsia="宋体" w:cs="Times New Roman"/>
      <w:b/>
      <w:bCs/>
      <w:kern w:val="2"/>
      <w:sz w:val="32"/>
      <w:szCs w:val="32"/>
    </w:rPr>
  </w:style>
  <w:style w:type="character" w:customStyle="1" w:styleId="26">
    <w:name w:val="标题 3 Char"/>
    <w:basedOn w:val="21"/>
    <w:link w:val="7"/>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Char"/>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Char"/>
    <w:link w:val="14"/>
    <w:semiHidden/>
    <w:qFormat/>
    <w:locked/>
    <w:uiPriority w:val="99"/>
    <w:rPr>
      <w:sz w:val="18"/>
    </w:rPr>
  </w:style>
  <w:style w:type="character" w:customStyle="1" w:styleId="32">
    <w:name w:val="页脚 Char"/>
    <w:link w:val="13"/>
    <w:qFormat/>
    <w:locked/>
    <w:uiPriority w:val="99"/>
    <w:rPr>
      <w:sz w:val="18"/>
    </w:rPr>
  </w:style>
  <w:style w:type="character" w:customStyle="1" w:styleId="33">
    <w:name w:val="正文文本 Char"/>
    <w:link w:val="3"/>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chensi\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chensi\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收支总计</c:v>
                </c:pt>
              </c:strCache>
            </c:strRef>
          </c:cat>
          <c:val>
            <c:numRef>
              <c:f>Sheet1!$B$2</c:f>
              <c:numCache>
                <c:formatCode>General</c:formatCode>
                <c:ptCount val="1"/>
                <c:pt idx="0">
                  <c:v>1646.7</c:v>
                </c:pt>
              </c:numCache>
            </c:numRef>
          </c:val>
        </c:ser>
        <c:ser>
          <c:idx val="1"/>
          <c:order val="1"/>
          <c:tx>
            <c:strRef>
              <c:f>Sheet1!$C$1</c:f>
              <c:strCache>
                <c:ptCount val="1"/>
                <c:pt idx="0">
                  <c:v>2020年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收支总计</c:v>
                </c:pt>
              </c:strCache>
            </c:strRef>
          </c:cat>
          <c:val>
            <c:numRef>
              <c:f>Sheet1!$C$2</c:f>
              <c:numCache>
                <c:formatCode>General</c:formatCode>
                <c:ptCount val="1"/>
                <c:pt idx="0">
                  <c:v>2105.48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44051598"/>
        <c:axId val="968947293"/>
      </c:barChart>
      <c:catAx>
        <c:axId val="84405159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947293"/>
        <c:crosses val="autoZero"/>
        <c:auto val="1"/>
        <c:lblAlgn val="ctr"/>
        <c:lblOffset val="100"/>
        <c:noMultiLvlLbl val="0"/>
      </c:catAx>
      <c:valAx>
        <c:axId val="96894729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05159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年收入决算情况图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67553737178229"/>
                  <c:y val="-0.052230831330271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1832.58</c:v>
                </c:pt>
                <c:pt idx="1">
                  <c:v>83.79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0853673832166116"/>
                  <c:y val="-0.0313642304991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72696474665146"/>
                  <c:y val="-0.04172093632788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1074.7</c:v>
                </c:pt>
                <c:pt idx="1">
                  <c:v>946.19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manualLayout>
          <c:xMode val="edge"/>
          <c:yMode val="edge"/>
          <c:x val="0.277355302070131"/>
          <c:y val="0.0250731299623903"/>
        </c:manualLayout>
      </c:layout>
      <c:overlay val="0"/>
      <c:spPr>
        <a:noFill/>
        <a:ln>
          <a:noFill/>
        </a:ln>
        <a:effectLst/>
      </c:spPr>
    </c:title>
    <c:autoTitleDeleted val="0"/>
    <c:plotArea>
      <c:layout>
        <c:manualLayout>
          <c:layoutTarget val="inner"/>
          <c:xMode val="edge"/>
          <c:yMode val="edge"/>
          <c:x val="0.0948374253483743"/>
          <c:y val="0.142998027613412"/>
          <c:w val="0.879283344392833"/>
          <c:h val="0.65491124260355"/>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收支总计</c:v>
                </c:pt>
              </c:strCache>
            </c:strRef>
          </c:cat>
          <c:val>
            <c:numRef>
              <c:f>Sheet1!$B$2</c:f>
              <c:numCache>
                <c:formatCode>General</c:formatCode>
                <c:ptCount val="1"/>
                <c:pt idx="0">
                  <c:v>1646.7</c:v>
                </c:pt>
              </c:numCache>
            </c:numRef>
          </c:val>
        </c:ser>
        <c:ser>
          <c:idx val="1"/>
          <c:order val="1"/>
          <c:tx>
            <c:strRef>
              <c:f>Sheet1!$C$1</c:f>
              <c:strCache>
                <c:ptCount val="1"/>
                <c:pt idx="0">
                  <c:v>2020年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收支总计</c:v>
                </c:pt>
              </c:strCache>
            </c:strRef>
          </c:cat>
          <c:val>
            <c:numRef>
              <c:f>Sheet1!$C$2</c:f>
              <c:numCache>
                <c:formatCode>General</c:formatCode>
                <c:ptCount val="1"/>
                <c:pt idx="0">
                  <c:v>2105.48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844051598"/>
        <c:axId val="968947293"/>
      </c:barChart>
      <c:catAx>
        <c:axId val="84405159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947293"/>
        <c:crosses val="autoZero"/>
        <c:auto val="1"/>
        <c:lblAlgn val="ctr"/>
        <c:lblOffset val="100"/>
        <c:noMultiLvlLbl val="0"/>
      </c:catAx>
      <c:valAx>
        <c:axId val="96894729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405159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1414.66</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1937.1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4852288"/>
        <c:axId val="254014511"/>
      </c:barChart>
      <c:catAx>
        <c:axId val="148522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014511"/>
        <c:crosses val="autoZero"/>
        <c:auto val="1"/>
        <c:lblAlgn val="ctr"/>
        <c:lblOffset val="100"/>
        <c:noMultiLvlLbl val="0"/>
      </c:catAx>
      <c:valAx>
        <c:axId val="254014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85228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manualLayout>
                  <c:x val="0.0190028002884594"/>
                  <c:y val="0.004714249432920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398780486131404"/>
                  <c:y val="-0.05803035002593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0127975862775688"/>
                  <c:y val="0.040635325337207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401035606961081"/>
                  <c:y val="0.0204870227678677"/>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0944444444444444"/>
                      <c:h val="0.0585648148148148"/>
                    </c:manualLayout>
                  </c15:layout>
                </c:ext>
              </c:extLst>
            </c:dLbl>
            <c:dLbl>
              <c:idx val="5"/>
              <c:layout>
                <c:manualLayout>
                  <c:x val="-0.0100743855577161"/>
                  <c:y val="0.0049831859628676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46891025295262"/>
                  <c:y val="-0.005488634528774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工作表.xls]Sheet1'!$A$2:$A$9</c:f>
              <c:strCache>
                <c:ptCount val="8"/>
                <c:pt idx="0">
                  <c:v>一般公共服务支出</c:v>
                </c:pt>
                <c:pt idx="1">
                  <c:v>国防支出</c:v>
                </c:pt>
                <c:pt idx="2">
                  <c:v>文化旅游体育与传媒支出</c:v>
                </c:pt>
                <c:pt idx="3">
                  <c:v>社会保障和就业支出</c:v>
                </c:pt>
                <c:pt idx="4">
                  <c:v>卫生健康支出</c:v>
                </c:pt>
                <c:pt idx="5">
                  <c:v>农林水支出</c:v>
                </c:pt>
                <c:pt idx="6">
                  <c:v>住房保障支出</c:v>
                </c:pt>
                <c:pt idx="7">
                  <c:v>其他支出</c:v>
                </c:pt>
              </c:strCache>
            </c:strRef>
          </c:cat>
          <c:val>
            <c:numRef>
              <c:f>'[新建 XLS 工作表.xls]Sheet1'!$B$2:$B$9</c:f>
              <c:numCache>
                <c:formatCode>General</c:formatCode>
                <c:ptCount val="8"/>
                <c:pt idx="0">
                  <c:v>662.56</c:v>
                </c:pt>
                <c:pt idx="1">
                  <c:v>8.99</c:v>
                </c:pt>
                <c:pt idx="2">
                  <c:v>5</c:v>
                </c:pt>
                <c:pt idx="3">
                  <c:v>117.06</c:v>
                </c:pt>
                <c:pt idx="4">
                  <c:v>54.11</c:v>
                </c:pt>
                <c:pt idx="5">
                  <c:v>1014.79</c:v>
                </c:pt>
                <c:pt idx="6">
                  <c:v>73.59</c:v>
                </c:pt>
                <c:pt idx="7">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XLS 工作表.xls]Sheet1'!$B$1</c:f>
              <c:strCache>
                <c:ptCount val="1"/>
                <c:pt idx="0">
                  <c:v>“三公”经费财政拨款支出结构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937506901003649"/>
                  <c:y val="-0.03746629144153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855557107623297"/>
                  <c:y val="0.020759259261275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工作表.xls]Sheet1'!$A$2:$A$4</c:f>
              <c:strCache>
                <c:ptCount val="3"/>
                <c:pt idx="0">
                  <c:v>公务用车购置及运行维护费支出</c:v>
                </c:pt>
                <c:pt idx="1">
                  <c:v>因公出国（境）费支出</c:v>
                </c:pt>
                <c:pt idx="2">
                  <c:v>公务接待费支出</c:v>
                </c:pt>
              </c:strCache>
            </c:strRef>
          </c:cat>
          <c:val>
            <c:numRef>
              <c:f>'[新建 XLS 工作表.xls]Sheet1'!$B$2:$B$4</c:f>
              <c:numCache>
                <c:formatCode>General</c:formatCode>
                <c:ptCount val="3"/>
                <c:pt idx="0">
                  <c:v>662.56</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1575</Words>
  <Characters>8981</Characters>
  <Lines>74</Lines>
  <Paragraphs>21</Paragraphs>
  <TotalTime>6</TotalTime>
  <ScaleCrop>false</ScaleCrop>
  <LinksUpToDate>false</LinksUpToDate>
  <CharactersWithSpaces>10535</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user</cp:lastModifiedBy>
  <cp:lastPrinted>2021-07-29T19:56:00Z</cp:lastPrinted>
  <dcterms:modified xsi:type="dcterms:W3CDTF">2023-07-13T20:46:34Z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D35FF00CE0BE43BCA4A8BEE7317C8C22</vt:lpwstr>
  </property>
</Properties>
</file>