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6" w:lineRule="exact"/>
        <w:ind w:left="0" w:leftChars="0"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茂县富顺镇人民政府</w:t>
      </w:r>
    </w:p>
    <w:p>
      <w:pPr>
        <w:keepNext w:val="0"/>
        <w:keepLines w:val="0"/>
        <w:pageBreakBefore w:val="0"/>
        <w:widowControl/>
        <w:kinsoku/>
        <w:wordWrap/>
        <w:overflowPunct/>
        <w:topLinePunct w:val="0"/>
        <w:autoSpaceDE/>
        <w:autoSpaceDN/>
        <w:bidi w:val="0"/>
        <w:adjustRightInd/>
        <w:snapToGrid/>
        <w:spacing w:line="576" w:lineRule="exact"/>
        <w:ind w:left="0" w:leftChars="0"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20</w:t>
      </w:r>
      <w:r>
        <w:rPr>
          <w:rFonts w:hint="eastAsia" w:ascii="方正小标宋简体" w:hAnsi="方正小标宋简体" w:eastAsia="方正小标宋简体" w:cs="方正小标宋简体"/>
          <w:b w:val="0"/>
          <w:bCs w:val="0"/>
          <w:sz w:val="44"/>
          <w:szCs w:val="44"/>
          <w:lang w:val="en-US" w:eastAsia="zh-CN"/>
        </w:rPr>
        <w:t>20</w:t>
      </w:r>
      <w:r>
        <w:rPr>
          <w:rFonts w:hint="eastAsia" w:ascii="方正小标宋简体" w:hAnsi="方正小标宋简体" w:eastAsia="方正小标宋简体" w:cs="方正小标宋简体"/>
          <w:b w:val="0"/>
          <w:bCs w:val="0"/>
          <w:sz w:val="44"/>
          <w:szCs w:val="44"/>
          <w:lang w:eastAsia="zh-CN"/>
        </w:rPr>
        <w:t>年部门预算公开说明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ascii="宋体" w:hAnsi="宋体"/>
          <w:sz w:val="32"/>
          <w:szCs w:val="32"/>
          <w:lang w:eastAsia="zh-CN"/>
        </w:rPr>
      </w:pPr>
      <w:r>
        <w:rPr>
          <w:rFonts w:ascii="宋体" w:hAnsi="宋体"/>
          <w:sz w:val="32"/>
          <w:szCs w:val="32"/>
          <w:lang w:eastAsia="zh-CN"/>
        </w:rPr>
        <w:t>目 录</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一、基本职能及主要工作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二、部门预算单位构成</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三、收支预算情况说明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四、财政拨款收支预算情况说明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五、一般公共预算当年拨款情况说明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六、一般公共预算基本支出情况说明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七、“三公”经费财政拨款预算安排情况说明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九、其他重要事项的情况说明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sz w:val="32"/>
          <w:szCs w:val="32"/>
          <w:lang w:eastAsia="zh-CN"/>
        </w:rPr>
        <w:t xml:space="preserve">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sz w:val="32"/>
          <w:szCs w:val="32"/>
          <w:lang w:eastAsia="zh-CN"/>
        </w:rPr>
        <w:t>　　</w:t>
      </w:r>
    </w:p>
    <w:p>
      <w:pPr>
        <w:keepNext w:val="0"/>
        <w:keepLines w:val="0"/>
        <w:pageBreakBefore w:val="0"/>
        <w:kinsoku/>
        <w:wordWrap/>
        <w:overflowPunct/>
        <w:topLinePunct w:val="0"/>
        <w:autoSpaceDE/>
        <w:autoSpaceDN/>
        <w:bidi w:val="0"/>
        <w:adjustRightInd/>
        <w:spacing w:line="576" w:lineRule="exact"/>
        <w:ind w:left="0" w:leftChars="0" w:firstLine="0" w:firstLineChars="0"/>
        <w:textAlignment w:val="auto"/>
        <w:rPr>
          <w:sz w:val="32"/>
          <w:szCs w:val="32"/>
          <w:lang w:eastAsia="zh-CN"/>
        </w:rPr>
      </w:pPr>
    </w:p>
    <w:p>
      <w:pPr>
        <w:keepNext w:val="0"/>
        <w:keepLines w:val="0"/>
        <w:pageBreakBefore w:val="0"/>
        <w:kinsoku/>
        <w:wordWrap/>
        <w:overflowPunct/>
        <w:topLinePunct w:val="0"/>
        <w:autoSpaceDE/>
        <w:autoSpaceDN/>
        <w:bidi w:val="0"/>
        <w:adjustRightInd/>
        <w:spacing w:line="576" w:lineRule="exact"/>
        <w:ind w:left="0" w:leftChars="0" w:firstLine="640" w:firstLineChars="200"/>
        <w:textAlignment w:val="auto"/>
        <w:rPr>
          <w:sz w:val="32"/>
          <w:szCs w:val="32"/>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pacing w:line="576" w:lineRule="exact"/>
        <w:ind w:firstLine="643" w:firstLineChars="200"/>
        <w:jc w:val="both"/>
        <w:textAlignment w:val="auto"/>
        <w:rPr>
          <w:sz w:val="32"/>
          <w:szCs w:val="32"/>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kinsoku/>
        <w:wordWrap/>
        <w:overflowPunct/>
        <w:topLinePunct w:val="0"/>
        <w:autoSpaceDE/>
        <w:autoSpaceDN/>
        <w:bidi w:val="0"/>
        <w:adjustRightInd/>
        <w:spacing w:line="576" w:lineRule="exact"/>
        <w:ind w:left="0" w:leftChars="0" w:firstLine="640" w:firstLineChars="200"/>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负责草拟本乡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 </w:t>
      </w:r>
    </w:p>
    <w:p>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1.</w:t>
      </w:r>
      <w:r>
        <w:rPr>
          <w:rFonts w:hint="eastAsia" w:ascii="仿宋_GB2312" w:hAnsi="仿宋_GB2312" w:eastAsia="仿宋_GB2312" w:cs="仿宋_GB2312"/>
          <w:b/>
          <w:bCs w:val="0"/>
          <w:color w:val="auto"/>
          <w:sz w:val="32"/>
          <w:szCs w:val="32"/>
        </w:rPr>
        <w:t>全力做好三篇文章，巩固脱贫成效</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一要做好“巩固”文章。</w:t>
      </w:r>
      <w:r>
        <w:rPr>
          <w:rFonts w:hint="eastAsia" w:ascii="仿宋_GB2312" w:hAnsi="仿宋_GB2312" w:eastAsia="仿宋_GB2312" w:cs="仿宋_GB2312"/>
          <w:b w:val="0"/>
          <w:bCs/>
          <w:color w:val="auto"/>
          <w:sz w:val="32"/>
          <w:szCs w:val="32"/>
        </w:rPr>
        <w:t>要不断强化业务学习，及时组织学习上级关于扶贫工作的新政策、新内容、新思路。继续夯实政策引导，多措并举助推贫困人口生产生活条件改善；坚持扶贫扶智导向，不断提升贫困人口自我发展的能力，不断激发村自身发展动力，实现群众增收致富能力的明显增强。</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二要做好“防贫”文章。</w:t>
      </w:r>
      <w:r>
        <w:rPr>
          <w:rFonts w:hint="eastAsia" w:ascii="仿宋_GB2312" w:hAnsi="仿宋_GB2312" w:eastAsia="仿宋_GB2312" w:cs="仿宋_GB2312"/>
          <w:b w:val="0"/>
          <w:bCs/>
          <w:color w:val="auto"/>
          <w:sz w:val="32"/>
          <w:szCs w:val="32"/>
        </w:rPr>
        <w:t>紧盯特殊户、监测户，抓住因病、因学、因灾等致贫返贫关键因素，按照相关标准和程序，结合我镇实际，进一步完善精准防贫机制，从源头上筑牢阻止贫困发生的防线。</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三要做好“作风”文章。</w:t>
      </w:r>
      <w:r>
        <w:rPr>
          <w:rFonts w:hint="eastAsia" w:ascii="仿宋_GB2312" w:hAnsi="仿宋_GB2312" w:eastAsia="仿宋_GB2312" w:cs="仿宋_GB2312"/>
          <w:b w:val="0"/>
          <w:bCs/>
          <w:color w:val="auto"/>
          <w:sz w:val="32"/>
          <w:szCs w:val="32"/>
        </w:rPr>
        <w:t>继续保证工作力量和工作时间，扎实做好群众走访帮扶，抓好问题整改，做好群众思想教育和人居环境卫生整治。</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lang w:val="en-US" w:eastAsia="zh-CN"/>
        </w:rPr>
        <w:t>2.</w:t>
      </w:r>
      <w:r>
        <w:rPr>
          <w:rFonts w:hint="eastAsia" w:ascii="仿宋_GB2312" w:hAnsi="仿宋_GB2312" w:eastAsia="仿宋_GB2312" w:cs="仿宋_GB2312"/>
          <w:b/>
          <w:bCs w:val="0"/>
          <w:color w:val="auto"/>
          <w:sz w:val="32"/>
          <w:szCs w:val="32"/>
        </w:rPr>
        <w:t>大力实施乡村振兴，做好全面统筹</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一要积极强化产业驱动，描绘“建强富顺”。</w:t>
      </w:r>
      <w:r>
        <w:rPr>
          <w:rFonts w:hint="eastAsia" w:ascii="仿宋_GB2312" w:hAnsi="仿宋_GB2312" w:eastAsia="仿宋_GB2312" w:cs="仿宋_GB2312"/>
          <w:b w:val="0"/>
          <w:bCs/>
          <w:color w:val="auto"/>
          <w:sz w:val="32"/>
          <w:szCs w:val="32"/>
        </w:rPr>
        <w:t>多触角发展现代农业。继续探索发展中药材种植基地；进一步推动青红脆李、红富士苹果、猕猴桃等特色水果更大范围的落地生根；做好新兴电商产业，通过网贸港、云朵小城等电商，带动富顺特色农副产品通过互联网走出农村、走进城市。高标准建设美丽乡村。进一步争取幸福美丽新村建设，依托成兰铁路、茂绵路交通优势，提前规划宝顶沟户外探险游、神溪休闲农庄等特色旅游项目；按照逢场习俗，打造甘沟商贸交易特色小镇；</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二要推进重点项目建设</w:t>
      </w:r>
      <w:r>
        <w:rPr>
          <w:rFonts w:hint="eastAsia" w:ascii="仿宋_GB2312" w:hAnsi="仿宋_GB2312" w:cs="仿宋_GB2312"/>
          <w:b/>
          <w:bCs w:val="0"/>
          <w:color w:val="auto"/>
          <w:sz w:val="32"/>
          <w:szCs w:val="32"/>
          <w:lang w:eastAsia="zh-CN"/>
        </w:rPr>
        <w:t>及完善基础设施</w:t>
      </w:r>
      <w:r>
        <w:rPr>
          <w:rFonts w:hint="eastAsia" w:ascii="仿宋_GB2312" w:hAnsi="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加快申报甘沟街道整治、涪江土门河河提治理等重点项目，主动对接相关部门加快宝顶沟保护区道路扩建项目实施。</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三要加强人居环境卫生整治，推进村民自治。</w:t>
      </w:r>
      <w:r>
        <w:rPr>
          <w:rFonts w:hint="eastAsia" w:ascii="仿宋_GB2312" w:hAnsi="仿宋_GB2312" w:eastAsia="仿宋_GB2312" w:cs="仿宋_GB2312"/>
          <w:b w:val="0"/>
          <w:bCs/>
          <w:color w:val="auto"/>
          <w:sz w:val="32"/>
          <w:szCs w:val="32"/>
        </w:rPr>
        <w:t>加大整治力度，深入宣传动员。建立督查评比机制，强化奖惩导向。</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3.</w:t>
      </w:r>
      <w:r>
        <w:rPr>
          <w:rFonts w:hint="eastAsia" w:ascii="仿宋_GB2312" w:hAnsi="仿宋_GB2312" w:eastAsia="仿宋_GB2312" w:cs="仿宋_GB2312"/>
          <w:b/>
          <w:bCs w:val="0"/>
          <w:color w:val="auto"/>
          <w:sz w:val="32"/>
          <w:szCs w:val="32"/>
        </w:rPr>
        <w:t>牢固树立底线思维，稳定发展环境</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一要加强意识形态建设，筑牢思想防线。</w:t>
      </w:r>
      <w:r>
        <w:rPr>
          <w:rFonts w:hint="eastAsia" w:ascii="仿宋_GB2312" w:hAnsi="仿宋_GB2312" w:eastAsia="仿宋_GB2312" w:cs="仿宋_GB2312"/>
          <w:b w:val="0"/>
          <w:bCs/>
          <w:color w:val="auto"/>
          <w:sz w:val="32"/>
          <w:szCs w:val="32"/>
        </w:rPr>
        <w:t>继续开展“守法规、明礼仪、怀感恩、行孝道”活动，形成乡风文明的农村新气象，统一思想、凝心聚力、管控舆情，为各项工作打下思想基础；同时利用好“富顺那些事”宣传折页和“村村响”广播，加大正面宣传引导，多挖掘、多总结，讲好富顺故事，传递传递声音，维护富顺形象。</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bCs w:val="0"/>
          <w:color w:val="auto"/>
          <w:sz w:val="32"/>
          <w:szCs w:val="32"/>
        </w:rPr>
        <w:t>二要加强党风廉政建设，筑牢纪律防线。</w:t>
      </w:r>
      <w:r>
        <w:rPr>
          <w:rFonts w:hint="eastAsia" w:ascii="仿宋_GB2312" w:hAnsi="仿宋_GB2312" w:eastAsia="仿宋_GB2312" w:cs="仿宋_GB2312"/>
          <w:b w:val="0"/>
          <w:bCs/>
          <w:color w:val="auto"/>
          <w:sz w:val="32"/>
          <w:szCs w:val="32"/>
        </w:rPr>
        <w:t>加大党风廉政建设力度，严格防止“微腐败”；加大村级财务管理力度；加强干部作风建设，层层压实责任，确保每项工作落到实处。</w:t>
      </w:r>
      <w:r>
        <w:rPr>
          <w:rFonts w:hint="eastAsia" w:ascii="仿宋_GB2312" w:hAnsi="仿宋_GB2312" w:eastAsia="仿宋_GB2312" w:cs="仿宋_GB2312"/>
          <w:b w:val="0"/>
          <w:bCs/>
          <w:color w:val="auto"/>
          <w:sz w:val="32"/>
          <w:szCs w:val="32"/>
          <w:lang w:val="en-US" w:eastAsia="zh-CN"/>
        </w:rPr>
        <w:t xml:space="preserve">  </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三要加强日常排查整治，筑牢安全防线。</w:t>
      </w:r>
      <w:r>
        <w:rPr>
          <w:rFonts w:hint="eastAsia" w:ascii="仿宋_GB2312" w:hAnsi="仿宋_GB2312" w:eastAsia="仿宋_GB2312" w:cs="仿宋_GB2312"/>
          <w:b w:val="0"/>
          <w:bCs/>
          <w:color w:val="auto"/>
          <w:sz w:val="32"/>
          <w:szCs w:val="32"/>
        </w:rPr>
        <w:t>继续落实“一岗双责”，加强对我镇非煤矿山、企业的日常管理。进一步落实安全生产“一单四制”并组织排查形成清单，做好安全防范，积极开展应急救援演练等工作。</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四要加大扫黑除恶力度，筑牢社会防线。</w:t>
      </w:r>
      <w:r>
        <w:rPr>
          <w:rFonts w:hint="eastAsia" w:ascii="仿宋_GB2312" w:hAnsi="仿宋_GB2312" w:eastAsia="仿宋_GB2312" w:cs="仿宋_GB2312"/>
          <w:b w:val="0"/>
          <w:bCs/>
          <w:color w:val="auto"/>
          <w:sz w:val="32"/>
          <w:szCs w:val="32"/>
        </w:rPr>
        <w:t>继续深入开展扫黑除恶行动，加强普法、规范行政，完善综治网格化管理工作，进一步加强综合治理工作。</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lang w:val="en-US" w:eastAsia="zh-CN"/>
        </w:rPr>
        <w:t>4.</w:t>
      </w:r>
      <w:r>
        <w:rPr>
          <w:rFonts w:hint="eastAsia" w:ascii="仿宋_GB2312" w:hAnsi="仿宋_GB2312" w:eastAsia="仿宋_GB2312" w:cs="仿宋_GB2312"/>
          <w:b/>
          <w:bCs w:val="0"/>
          <w:color w:val="auto"/>
          <w:sz w:val="32"/>
          <w:szCs w:val="32"/>
        </w:rPr>
        <w:t>切实加强自身建设，营造干事氛围</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一要学习贯彻党的十九大精神。</w:t>
      </w:r>
      <w:r>
        <w:rPr>
          <w:rFonts w:hint="eastAsia" w:ascii="仿宋_GB2312" w:hAnsi="仿宋_GB2312" w:eastAsia="仿宋_GB2312" w:cs="仿宋_GB2312"/>
          <w:b w:val="0"/>
          <w:bCs/>
          <w:color w:val="auto"/>
          <w:sz w:val="32"/>
          <w:szCs w:val="32"/>
        </w:rPr>
        <w:t>紧扣“不忘初心、牢记使命”主题，采取干部群众喜闻乐见的形式，组织广大党员干部、群众学习党的十九大精神和习近平新时代中国特色社会主义思想，推动新思想进农村、进校园、进企业。</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二要坚持抓好“班子”的带头示范作用。</w:t>
      </w:r>
      <w:r>
        <w:rPr>
          <w:rFonts w:hint="eastAsia" w:ascii="仿宋_GB2312" w:hAnsi="仿宋_GB2312" w:eastAsia="仿宋_GB2312" w:cs="仿宋_GB2312"/>
          <w:b w:val="0"/>
          <w:bCs/>
          <w:color w:val="auto"/>
          <w:sz w:val="32"/>
          <w:szCs w:val="32"/>
        </w:rPr>
        <w:t>把镇领导干部紧密团结起来，分清职权，压实责任，营造领导走在前、带头干的干事创业和创先争优氛围，提升班子的凝聚力和战斗力；进一步加强基层基础工作，提升村干部队伍素质，继续开展“两学一做”常态化学习教育，狠抓村干部队伍作风建设，培养村干部的责任和担当意识。</w:t>
      </w:r>
    </w:p>
    <w:p>
      <w:pPr>
        <w:keepNext w:val="0"/>
        <w:keepLines w:val="0"/>
        <w:pageBreakBefore w:val="0"/>
        <w:kinsoku/>
        <w:wordWrap/>
        <w:overflowPunct/>
        <w:topLinePunct w:val="0"/>
        <w:autoSpaceDE/>
        <w:autoSpaceDN/>
        <w:bidi w:val="0"/>
        <w:adjustRightInd/>
        <w:snapToGrid w:val="0"/>
        <w:spacing w:line="576"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sz w:val="32"/>
          <w:szCs w:val="32"/>
        </w:rPr>
        <w:t>三要持续抓好镇、村党风廉政建设。</w:t>
      </w:r>
      <w:r>
        <w:rPr>
          <w:rFonts w:hint="eastAsia" w:ascii="仿宋_GB2312" w:hAnsi="仿宋_GB2312" w:eastAsia="仿宋_GB2312" w:cs="仿宋_GB2312"/>
          <w:b w:val="0"/>
          <w:bCs/>
          <w:color w:val="auto"/>
          <w:sz w:val="32"/>
          <w:szCs w:val="32"/>
        </w:rPr>
        <w:t>整顿不作为、慢作为、懒作为、乱作为，切实转变工作作风，提升工作效能。</w:t>
      </w:r>
    </w:p>
    <w:p>
      <w:pPr>
        <w:keepNext w:val="0"/>
        <w:keepLines w:val="0"/>
        <w:pageBreakBefore w:val="0"/>
        <w:kinsoku/>
        <w:wordWrap/>
        <w:overflowPunct/>
        <w:topLinePunct w:val="0"/>
        <w:autoSpaceDE/>
        <w:autoSpaceDN/>
        <w:bidi w:val="0"/>
        <w:adjustRightInd/>
        <w:snapToGrid w:val="0"/>
        <w:spacing w:line="576" w:lineRule="exact"/>
        <w:ind w:firstLine="640" w:firstLineChars="200"/>
        <w:jc w:val="both"/>
        <w:textAlignment w:val="auto"/>
        <w:rPr>
          <w:rFonts w:ascii="楷体_GB2312" w:hAnsi="楷体_GB2312" w:eastAsia="楷体_GB2312" w:cs="楷体_GB2312"/>
          <w:b/>
          <w:bCs/>
          <w:kern w:val="2"/>
          <w:sz w:val="32"/>
          <w:szCs w:val="32"/>
          <w:lang w:eastAsia="zh-CN" w:bidi="ar-SA"/>
        </w:rPr>
      </w:pP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b/>
          <w:bCs w:val="0"/>
          <w:color w:val="auto"/>
          <w:sz w:val="32"/>
          <w:szCs w:val="32"/>
        </w:rPr>
        <w:t>四要继续健全常态工作机制。</w:t>
      </w:r>
      <w:r>
        <w:rPr>
          <w:rFonts w:hint="eastAsia" w:ascii="仿宋_GB2312" w:hAnsi="仿宋_GB2312" w:eastAsia="仿宋_GB2312" w:cs="仿宋_GB2312"/>
          <w:b w:val="0"/>
          <w:bCs/>
          <w:color w:val="auto"/>
          <w:sz w:val="32"/>
          <w:szCs w:val="32"/>
        </w:rPr>
        <w:t>夯实基层基础，确保教育、卫计、环保、统战、工会、妇联、共青团等各项事业蓬勃发展。</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val="0"/>
        <w:spacing w:line="576" w:lineRule="exact"/>
        <w:ind w:firstLine="640" w:firstLineChars="200"/>
        <w:jc w:val="both"/>
        <w:textAlignment w:val="auto"/>
        <w:rPr>
          <w:rFonts w:hint="eastAsia" w:ascii="仿宋_GB2312" w:hAnsi="仿宋_GB2312" w:eastAsia="仿宋_GB2312" w:cs="仿宋_GB2312"/>
          <w:b w:val="0"/>
          <w:bCs/>
          <w:color w:val="auto"/>
          <w:sz w:val="32"/>
          <w:szCs w:val="32"/>
          <w:lang w:val="en-US" w:eastAsia="en-US"/>
        </w:rPr>
      </w:pPr>
      <w:r>
        <w:rPr>
          <w:rFonts w:hint="eastAsia" w:ascii="仿宋_GB2312" w:hAnsi="仿宋_GB2312" w:eastAsia="仿宋_GB2312" w:cs="仿宋_GB2312"/>
          <w:b w:val="0"/>
          <w:bCs/>
          <w:color w:val="auto"/>
          <w:sz w:val="32"/>
          <w:szCs w:val="32"/>
          <w:lang w:val="en-US" w:eastAsia="en-US"/>
        </w:rPr>
        <w:t>茂县富顺镇人民政府属一级预算单位</w:t>
      </w:r>
      <w:r>
        <w:rPr>
          <w:rFonts w:hint="eastAsia" w:ascii="仿宋_GB2312" w:hAnsi="仿宋_GB2312" w:eastAsia="仿宋_GB2312" w:cs="仿宋_GB2312"/>
          <w:b w:val="0"/>
          <w:bCs/>
          <w:color w:val="auto"/>
          <w:sz w:val="32"/>
          <w:szCs w:val="32"/>
          <w:lang w:val="en-US" w:eastAsia="zh-CN"/>
        </w:rPr>
        <w:t>，下属二级预算单位0个，其中：参照公务员法管理的事业单位0个，其他事业单位0个。</w:t>
      </w:r>
      <w:r>
        <w:rPr>
          <w:rFonts w:hint="eastAsia" w:ascii="仿宋_GB2312" w:hAnsi="仿宋_GB2312" w:eastAsia="仿宋_GB2312" w:cs="仿宋_GB2312"/>
          <w:b w:val="0"/>
          <w:bCs/>
          <w:color w:val="auto"/>
          <w:sz w:val="32"/>
          <w:szCs w:val="32"/>
          <w:lang w:val="en-US" w:eastAsia="en-US"/>
        </w:rPr>
        <w:t>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按照综合预算的原则,茂县富顺镇人民政府所有收入和支出均纳入部门预算管理。收入包括:一般公共预算拨款收入</w:t>
      </w:r>
      <w:r>
        <w:rPr>
          <w:rFonts w:hint="eastAsia" w:ascii="仿宋_GB2312" w:hAnsi="仿宋_GB2312" w:eastAsia="仿宋_GB2312" w:cs="仿宋_GB2312"/>
          <w:sz w:val="32"/>
          <w:szCs w:val="32"/>
          <w:lang w:val="en-US" w:eastAsia="zh-CN"/>
        </w:rPr>
        <w:t>5053115</w:t>
      </w:r>
      <w:r>
        <w:rPr>
          <w:rFonts w:hint="eastAsia" w:ascii="仿宋_GB2312" w:hAnsi="仿宋_GB2312" w:eastAsia="仿宋_GB2312" w:cs="仿宋_GB2312"/>
          <w:sz w:val="32"/>
          <w:szCs w:val="32"/>
          <w:lang w:val="en-US" w:eastAsia="en-US"/>
        </w:rPr>
        <w:t>元;支出包括:一般公共服务支出</w:t>
      </w:r>
      <w:r>
        <w:rPr>
          <w:rFonts w:hint="eastAsia" w:ascii="仿宋_GB2312" w:hAnsi="仿宋_GB2312" w:eastAsia="仿宋_GB2312" w:cs="仿宋_GB2312"/>
          <w:sz w:val="32"/>
          <w:szCs w:val="32"/>
          <w:lang w:val="en-US" w:eastAsia="zh-CN"/>
        </w:rPr>
        <w:t>1694214</w:t>
      </w:r>
      <w:r>
        <w:rPr>
          <w:rFonts w:hint="eastAsia" w:ascii="仿宋_GB2312" w:hAnsi="仿宋_GB2312" w:eastAsia="仿宋_GB2312" w:cs="仿宋_GB2312"/>
          <w:sz w:val="32"/>
          <w:szCs w:val="32"/>
          <w:lang w:val="en-US" w:eastAsia="en-US"/>
        </w:rPr>
        <w:t>元,社会保障和就业支出</w:t>
      </w:r>
      <w:r>
        <w:rPr>
          <w:rFonts w:hint="eastAsia" w:ascii="仿宋_GB2312" w:hAnsi="仿宋_GB2312" w:eastAsia="仿宋_GB2312" w:cs="仿宋_GB2312"/>
          <w:sz w:val="32"/>
          <w:szCs w:val="32"/>
          <w:lang w:val="en-US" w:eastAsia="zh-CN"/>
        </w:rPr>
        <w:t>569050</w:t>
      </w:r>
      <w:r>
        <w:rPr>
          <w:rFonts w:hint="eastAsia" w:ascii="仿宋_GB2312" w:hAnsi="仿宋_GB2312" w:eastAsia="仿宋_GB2312" w:cs="仿宋_GB2312"/>
          <w:sz w:val="32"/>
          <w:szCs w:val="32"/>
          <w:lang w:val="en-US" w:eastAsia="en-US"/>
        </w:rPr>
        <w:t>元,卫生健康支出</w:t>
      </w:r>
      <w:r>
        <w:rPr>
          <w:rFonts w:hint="eastAsia" w:ascii="仿宋_GB2312" w:hAnsi="仿宋_GB2312" w:eastAsia="仿宋_GB2312" w:cs="仿宋_GB2312"/>
          <w:sz w:val="32"/>
          <w:szCs w:val="32"/>
          <w:lang w:val="en-US" w:eastAsia="zh-CN"/>
        </w:rPr>
        <w:t>216416</w:t>
      </w:r>
      <w:r>
        <w:rPr>
          <w:rFonts w:hint="eastAsia" w:ascii="仿宋_GB2312" w:hAnsi="仿宋_GB2312" w:eastAsia="仿宋_GB2312" w:cs="仿宋_GB2312"/>
          <w:sz w:val="32"/>
          <w:szCs w:val="32"/>
          <w:lang w:val="en-US" w:eastAsia="en-US"/>
        </w:rPr>
        <w:t>元,农林水支出</w:t>
      </w:r>
      <w:r>
        <w:rPr>
          <w:rFonts w:hint="eastAsia" w:ascii="仿宋_GB2312" w:hAnsi="仿宋_GB2312" w:eastAsia="仿宋_GB2312" w:cs="仿宋_GB2312"/>
          <w:sz w:val="32"/>
          <w:szCs w:val="32"/>
          <w:lang w:val="en-US" w:eastAsia="zh-CN"/>
        </w:rPr>
        <w:t>2132675</w:t>
      </w:r>
      <w:r>
        <w:rPr>
          <w:rFonts w:hint="eastAsia" w:ascii="仿宋_GB2312" w:hAnsi="仿宋_GB2312" w:eastAsia="仿宋_GB2312" w:cs="仿宋_GB2312"/>
          <w:sz w:val="32"/>
          <w:szCs w:val="32"/>
          <w:lang w:val="en-US" w:eastAsia="en-US"/>
        </w:rPr>
        <w:t>元,住房保障支出</w:t>
      </w:r>
      <w:r>
        <w:rPr>
          <w:rFonts w:hint="eastAsia" w:ascii="仿宋_GB2312" w:hAnsi="仿宋_GB2312" w:eastAsia="仿宋_GB2312" w:cs="仿宋_GB2312"/>
          <w:sz w:val="32"/>
          <w:szCs w:val="32"/>
          <w:lang w:val="en-US" w:eastAsia="zh-CN"/>
        </w:rPr>
        <w:t>440760</w:t>
      </w:r>
      <w:r>
        <w:rPr>
          <w:rFonts w:hint="eastAsia" w:ascii="仿宋_GB2312" w:hAnsi="仿宋_GB2312" w:eastAsia="仿宋_GB2312" w:cs="仿宋_GB2312"/>
          <w:sz w:val="32"/>
          <w:szCs w:val="32"/>
          <w:lang w:val="en-US" w:eastAsia="en-US"/>
        </w:rPr>
        <w:t>元。茂县富顺镇人民政府20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en-US" w:eastAsia="en-US"/>
        </w:rPr>
        <w:t>年收支总预算</w:t>
      </w:r>
      <w:r>
        <w:rPr>
          <w:rFonts w:hint="eastAsia" w:ascii="仿宋_GB2312" w:hAnsi="仿宋_GB2312" w:eastAsia="仿宋_GB2312" w:cs="仿宋_GB2312"/>
          <w:sz w:val="32"/>
          <w:szCs w:val="32"/>
          <w:lang w:val="en-US" w:eastAsia="zh-CN"/>
        </w:rPr>
        <w:t>5053115</w:t>
      </w:r>
      <w:r>
        <w:rPr>
          <w:rFonts w:hint="eastAsia" w:ascii="仿宋_GB2312" w:hAnsi="仿宋_GB2312" w:eastAsia="仿宋_GB2312" w:cs="仿宋_GB2312"/>
          <w:sz w:val="32"/>
          <w:szCs w:val="32"/>
          <w:lang w:val="en-US" w:eastAsia="en-US"/>
        </w:rPr>
        <w:t>元,比201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en-US" w:eastAsia="en-US"/>
        </w:rPr>
        <w:t>年收支预算总数增加</w:t>
      </w:r>
      <w:r>
        <w:rPr>
          <w:rFonts w:hint="eastAsia" w:ascii="仿宋_GB2312" w:hAnsi="仿宋_GB2312" w:eastAsia="仿宋_GB2312" w:cs="仿宋_GB2312"/>
          <w:sz w:val="32"/>
          <w:szCs w:val="32"/>
          <w:lang w:val="en-US" w:eastAsia="zh-CN"/>
        </w:rPr>
        <w:t>154617</w:t>
      </w:r>
      <w:r>
        <w:rPr>
          <w:rFonts w:hint="eastAsia" w:ascii="仿宋_GB2312" w:hAnsi="仿宋_GB2312" w:eastAsia="仿宋_GB2312" w:cs="仿宋_GB2312"/>
          <w:sz w:val="32"/>
          <w:szCs w:val="32"/>
          <w:lang w:val="en-US" w:eastAsia="en-US"/>
        </w:rPr>
        <w:t>元,主要原因:人员经费预算增加;公用经费预算增加。 </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pacing w:line="576" w:lineRule="exact"/>
        <w:ind w:left="0" w:leftChars="0"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val="en-US" w:eastAsia="zh-CN"/>
        </w:rPr>
        <w:t>5053115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5053115</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pacing w:line="576" w:lineRule="exact"/>
        <w:ind w:left="0" w:leftChars="0" w:firstLine="640" w:firstLineChars="200"/>
        <w:textAlignment w:val="auto"/>
        <w:rPr>
          <w:rFonts w:ascii="仿宋_GB2312" w:eastAsia="仿宋_GB2312"/>
          <w:vanish/>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val="en-US" w:eastAsia="zh-CN"/>
        </w:rPr>
        <w:t>5053115</w:t>
      </w:r>
      <w:r>
        <w:rPr>
          <w:rFonts w:ascii="仿宋_GB2312" w:eastAsia="仿宋_GB2312"/>
          <w:sz w:val="32"/>
          <w:szCs w:val="32"/>
          <w:lang w:eastAsia="zh-CN"/>
        </w:rPr>
        <w:t>元，其中：基本支出</w:t>
      </w:r>
      <w:r>
        <w:rPr>
          <w:rFonts w:hint="eastAsia" w:ascii="仿宋_GB2312" w:eastAsia="仿宋_GB2312"/>
          <w:sz w:val="32"/>
          <w:szCs w:val="32"/>
          <w:lang w:val="en-US" w:eastAsia="zh-CN"/>
        </w:rPr>
        <w:t>3990835</w:t>
      </w:r>
      <w:r>
        <w:rPr>
          <w:rFonts w:ascii="仿宋_GB2312" w:eastAsia="仿宋_GB2312"/>
          <w:sz w:val="32"/>
          <w:szCs w:val="32"/>
          <w:lang w:eastAsia="zh-CN"/>
        </w:rPr>
        <w:t>元，占</w:t>
      </w:r>
      <w:r>
        <w:rPr>
          <w:rFonts w:hint="eastAsia" w:ascii="仿宋_GB2312" w:eastAsia="仿宋_GB2312"/>
          <w:sz w:val="32"/>
          <w:szCs w:val="32"/>
          <w:lang w:val="en-US" w:eastAsia="zh-CN"/>
        </w:rPr>
        <w:t>79</w:t>
      </w:r>
      <w:r>
        <w:rPr>
          <w:rFonts w:ascii="仿宋_GB2312" w:eastAsia="仿宋_GB2312"/>
          <w:sz w:val="32"/>
          <w:szCs w:val="32"/>
          <w:lang w:eastAsia="zh-CN"/>
        </w:rPr>
        <w:t>%，项目支出</w:t>
      </w:r>
      <w:r>
        <w:rPr>
          <w:rFonts w:hint="eastAsia" w:ascii="仿宋_GB2312" w:eastAsia="仿宋_GB2312"/>
          <w:sz w:val="32"/>
          <w:szCs w:val="32"/>
          <w:lang w:val="en-US" w:eastAsia="zh-CN"/>
        </w:rPr>
        <w:t>1062280</w:t>
      </w:r>
      <w:r>
        <w:rPr>
          <w:rFonts w:ascii="仿宋_GB2312" w:eastAsia="仿宋_GB2312"/>
          <w:sz w:val="32"/>
          <w:szCs w:val="32"/>
          <w:lang w:eastAsia="zh-CN"/>
        </w:rPr>
        <w:t>元，占</w:t>
      </w:r>
      <w:r>
        <w:rPr>
          <w:rFonts w:hint="eastAsia" w:ascii="仿宋_GB2312" w:eastAsia="仿宋_GB2312"/>
          <w:sz w:val="32"/>
          <w:szCs w:val="32"/>
          <w:lang w:val="en-US" w:eastAsia="zh-CN"/>
        </w:rPr>
        <w:t>21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adjustRightInd/>
        <w:spacing w:line="576" w:lineRule="exact"/>
        <w:textAlignment w:val="auto"/>
        <w:rPr>
          <w:rFonts w:hint="eastAsia" w:ascii="仿宋_GB2312" w:eastAsia="仿宋_GB2312"/>
          <w:sz w:val="32"/>
          <w:szCs w:val="32"/>
          <w:lang w:val="en-US" w:eastAsia="zh-CN"/>
        </w:rPr>
      </w:pPr>
      <w:r>
        <w:rPr>
          <w:lang w:eastAsia="zh-CN"/>
        </w:rPr>
        <w:t>　</w:t>
      </w:r>
      <w:r>
        <w:rPr>
          <w:rFonts w:hint="eastAsia" w:ascii="仿宋_GB2312" w:eastAsia="仿宋_GB2312"/>
          <w:sz w:val="32"/>
          <w:szCs w:val="32"/>
          <w:lang w:val="en-US" w:eastAsia="zh-CN"/>
        </w:rPr>
        <w:t>2020年财政拨款收支总预算5053115元,比2019年收支预算总数增加154617元，主要原因:</w:t>
      </w:r>
      <w:r>
        <w:rPr>
          <w:rFonts w:hint="eastAsia" w:ascii="仿宋_GB2312" w:eastAsia="仿宋_GB2312"/>
          <w:sz w:val="32"/>
          <w:szCs w:val="32"/>
          <w:lang w:val="en-US" w:eastAsia="en-US"/>
        </w:rPr>
        <w:t>人员经费预算增加;公用经费预算增加。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5053115</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1694214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569050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216416</w:t>
      </w:r>
      <w:r>
        <w:rPr>
          <w:rFonts w:ascii="仿宋_GB2312" w:eastAsia="仿宋_GB2312"/>
          <w:sz w:val="32"/>
          <w:szCs w:val="32"/>
          <w:lang w:eastAsia="zh-CN"/>
        </w:rPr>
        <w:t>元，</w:t>
      </w:r>
      <w:r>
        <w:rPr>
          <w:rFonts w:hint="eastAsia" w:ascii="仿宋_GB2312" w:hAnsi="Calibri" w:eastAsia="仿宋_GB2312" w:cs="Arial"/>
          <w:sz w:val="32"/>
          <w:szCs w:val="32"/>
          <w:lang w:val="en-US" w:eastAsia="en-US" w:bidi="en-US"/>
        </w:rPr>
        <w:t>农林水支出</w:t>
      </w:r>
      <w:r>
        <w:rPr>
          <w:rFonts w:hint="eastAsia" w:ascii="仿宋_GB2312" w:hAnsi="Calibri" w:eastAsia="仿宋_GB2312" w:cs="Arial"/>
          <w:sz w:val="32"/>
          <w:szCs w:val="32"/>
          <w:lang w:val="en-US" w:eastAsia="zh-CN" w:bidi="en-US"/>
        </w:rPr>
        <w:t>2132675</w:t>
      </w:r>
      <w:r>
        <w:rPr>
          <w:rFonts w:hint="eastAsia" w:ascii="仿宋_GB2312" w:hAnsi="Calibri" w:eastAsia="仿宋_GB2312" w:cs="Arial"/>
          <w:sz w:val="32"/>
          <w:szCs w:val="32"/>
          <w:lang w:val="en-US" w:eastAsia="en-US" w:bidi="en-US"/>
        </w:rPr>
        <w:t>元</w:t>
      </w:r>
      <w:r>
        <w:rPr>
          <w:rFonts w:hint="eastAsia" w:ascii="仿宋_GB2312" w:eastAsia="仿宋_GB2312" w:cs="Arial"/>
          <w:sz w:val="32"/>
          <w:szCs w:val="32"/>
          <w:lang w:val="en-US" w:eastAsia="zh-CN" w:bidi="en-US"/>
        </w:rPr>
        <w:t>,</w:t>
      </w:r>
      <w:r>
        <w:rPr>
          <w:rFonts w:ascii="仿宋_GB2312" w:eastAsia="仿宋_GB2312"/>
          <w:sz w:val="32"/>
          <w:szCs w:val="32"/>
          <w:lang w:eastAsia="zh-CN"/>
        </w:rPr>
        <w:t>住房保障支出</w:t>
      </w:r>
      <w:r>
        <w:rPr>
          <w:rFonts w:hint="eastAsia" w:ascii="仿宋_GB2312" w:eastAsia="仿宋_GB2312"/>
          <w:sz w:val="32"/>
          <w:szCs w:val="32"/>
          <w:lang w:val="en-US" w:eastAsia="zh-CN"/>
        </w:rPr>
        <w:t>440760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pacing w:line="576" w:lineRule="exact"/>
        <w:ind w:left="0" w:leftChars="0"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5053115</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年预算总数增加</w:t>
      </w:r>
      <w:r>
        <w:rPr>
          <w:rFonts w:hint="eastAsia" w:ascii="仿宋_GB2312" w:eastAsia="仿宋_GB2312"/>
          <w:sz w:val="32"/>
          <w:szCs w:val="32"/>
          <w:lang w:val="en-US" w:eastAsia="zh-CN"/>
        </w:rPr>
        <w:t>154617</w:t>
      </w:r>
      <w:r>
        <w:rPr>
          <w:rFonts w:ascii="仿宋_GB2312" w:eastAsia="仿宋_GB2312"/>
          <w:sz w:val="32"/>
          <w:szCs w:val="32"/>
          <w:lang w:eastAsia="zh-CN"/>
        </w:rPr>
        <w:t>元，主要原因:</w:t>
      </w:r>
      <w:r>
        <w:rPr>
          <w:rFonts w:hint="eastAsia" w:ascii="仿宋_GB2312" w:eastAsia="仿宋_GB2312"/>
          <w:sz w:val="32"/>
          <w:szCs w:val="32"/>
          <w:lang w:val="en-US" w:eastAsia="en-US"/>
        </w:rPr>
        <w:t>人员经费预算增加;公用经费预算增加。 </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sz w:val="32"/>
          <w:szCs w:val="32"/>
          <w:lang w:eastAsia="zh-CN"/>
        </w:rPr>
      </w:pPr>
      <w:r>
        <w:rPr>
          <w:rFonts w:ascii="楷体_GB2312" w:hAnsi="楷体_GB2312" w:eastAsia="楷体_GB2312" w:cs="楷体_GB2312"/>
          <w:b/>
          <w:bCs/>
          <w:kern w:val="2"/>
          <w:sz w:val="32"/>
          <w:szCs w:val="32"/>
          <w:lang w:eastAsia="zh-CN" w:bidi="ar-SA"/>
        </w:rPr>
        <w:t>（二</w:t>
      </w:r>
      <w:r>
        <w:rPr>
          <w:rFonts w:hint="eastAsia" w:ascii="楷体_GB2312" w:hAnsi="楷体_GB2312" w:eastAsia="楷体_GB2312" w:cs="楷体_GB2312"/>
          <w:b/>
          <w:bCs/>
          <w:kern w:val="2"/>
          <w:sz w:val="32"/>
          <w:szCs w:val="32"/>
          <w:lang w:eastAsia="zh-CN" w:bidi="ar-SA"/>
        </w:rPr>
        <w:t>）</w:t>
      </w:r>
      <w:r>
        <w:rPr>
          <w:rFonts w:ascii="楷体_GB2312" w:hAnsi="楷体_GB2312" w:eastAsia="楷体_GB2312" w:cs="楷体_GB2312"/>
          <w:b/>
          <w:bCs/>
          <w:kern w:val="2"/>
          <w:sz w:val="32"/>
          <w:szCs w:val="32"/>
          <w:lang w:eastAsia="zh-CN" w:bidi="ar-SA"/>
        </w:rPr>
        <w:t>一般公共预算当年拨款结构情况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Calibri" w:eastAsia="仿宋_GB2312" w:cs="Times New Roman"/>
          <w:sz w:val="32"/>
          <w:szCs w:val="32"/>
          <w:lang w:val="en-US" w:eastAsia="zh-CN" w:bidi="ar-SA"/>
        </w:rPr>
      </w:pPr>
      <w:r>
        <w:rPr>
          <w:rFonts w:hint="eastAsia" w:ascii="仿宋_GB2312" w:hAnsi="Calibri" w:eastAsia="仿宋_GB2312" w:cs="Times New Roman"/>
          <w:sz w:val="32"/>
          <w:szCs w:val="32"/>
          <w:lang w:val="en-US" w:eastAsia="zh-CN" w:bidi="ar-SA"/>
        </w:rPr>
        <w:t>一般公共服务支出1694214元，占34 %；社会保障和就业支出569050元，占11%；卫生健康支出216416元，占4%；</w:t>
      </w:r>
      <w:r>
        <w:rPr>
          <w:rFonts w:hint="eastAsia" w:ascii="仿宋_GB2312" w:hAnsi="Calibri" w:eastAsia="仿宋_GB2312" w:cs="Times New Roman"/>
          <w:sz w:val="32"/>
          <w:szCs w:val="32"/>
          <w:lang w:val="en-US" w:eastAsia="en-US" w:bidi="ar-SA"/>
        </w:rPr>
        <w:t>农林水支出</w:t>
      </w:r>
      <w:r>
        <w:rPr>
          <w:rFonts w:hint="eastAsia" w:ascii="仿宋_GB2312" w:hAnsi="Calibri" w:eastAsia="仿宋_GB2312" w:cs="Times New Roman"/>
          <w:sz w:val="32"/>
          <w:szCs w:val="32"/>
          <w:lang w:val="en-US" w:eastAsia="zh-CN" w:bidi="ar-SA"/>
        </w:rPr>
        <w:t>2132675</w:t>
      </w:r>
      <w:r>
        <w:rPr>
          <w:rFonts w:hint="eastAsia" w:ascii="仿宋_GB2312" w:hAnsi="Calibri" w:eastAsia="仿宋_GB2312" w:cs="Times New Roman"/>
          <w:sz w:val="32"/>
          <w:szCs w:val="32"/>
          <w:lang w:val="en-US" w:eastAsia="en-US" w:bidi="ar-SA"/>
        </w:rPr>
        <w:t>元</w:t>
      </w:r>
      <w:r>
        <w:rPr>
          <w:rFonts w:hint="eastAsia" w:ascii="仿宋_GB2312" w:hAnsi="Calibri" w:eastAsia="仿宋_GB2312" w:cs="Times New Roman"/>
          <w:sz w:val="32"/>
          <w:szCs w:val="32"/>
          <w:lang w:val="en-US" w:eastAsia="zh-CN" w:bidi="ar-SA"/>
        </w:rPr>
        <w:t>,占42%;住房保障支出44076元，占9%。</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hint="eastAsia" w:ascii="仿宋_GB2312" w:hAnsi="Calibri" w:eastAsia="仿宋_GB2312" w:cs="Arial"/>
          <w:sz w:val="32"/>
          <w:szCs w:val="32"/>
          <w:lang w:val="en-US" w:eastAsia="zh-CN" w:bidi="en-US"/>
        </w:rPr>
      </w:pPr>
      <w:r>
        <w:rPr>
          <w:rFonts w:hint="eastAsia" w:ascii="楷体_GB2312" w:hAnsi="楷体_GB2312" w:eastAsia="楷体_GB2312" w:cs="楷体_GB2312"/>
          <w:b/>
          <w:bCs/>
          <w:kern w:val="2"/>
          <w:sz w:val="32"/>
          <w:szCs w:val="32"/>
          <w:lang w:val="en-US" w:eastAsia="zh-CN" w:bidi="ar-SA"/>
        </w:rPr>
        <w:t>（三）</w:t>
      </w:r>
      <w:r>
        <w:rPr>
          <w:rFonts w:ascii="楷体_GB2312" w:hAnsi="楷体_GB2312" w:eastAsia="楷体_GB2312" w:cs="楷体_GB2312"/>
          <w:b/>
          <w:bCs/>
          <w:kern w:val="2"/>
          <w:sz w:val="32"/>
          <w:szCs w:val="32"/>
          <w:lang w:eastAsia="zh-CN" w:bidi="ar-SA"/>
        </w:rPr>
        <w:t>一般公共预算当年拨款具体使用情况</w:t>
      </w:r>
    </w:p>
    <w:p>
      <w:pPr>
        <w:keepNext w:val="0"/>
        <w:keepLines w:val="0"/>
        <w:pageBreakBefore w:val="0"/>
        <w:numPr>
          <w:ilvl w:val="0"/>
          <w:numId w:val="0"/>
        </w:numPr>
        <w:kinsoku/>
        <w:wordWrap/>
        <w:overflowPunct/>
        <w:topLinePunct w:val="0"/>
        <w:autoSpaceDE/>
        <w:autoSpaceDN/>
        <w:bidi w:val="0"/>
        <w:adjustRightInd/>
        <w:spacing w:line="576" w:lineRule="exact"/>
        <w:ind w:firstLine="640" w:firstLineChars="200"/>
        <w:textAlignment w:val="auto"/>
        <w:rPr>
          <w:rFonts w:hint="eastAsia" w:ascii="仿宋_GB2312" w:hAnsi="Calibri" w:eastAsia="仿宋_GB2312" w:cs="Arial"/>
          <w:sz w:val="32"/>
          <w:szCs w:val="32"/>
          <w:lang w:val="en-US" w:eastAsia="zh-CN" w:bidi="en-US"/>
        </w:rPr>
      </w:pPr>
      <w:r>
        <w:rPr>
          <w:rFonts w:hint="eastAsia" w:ascii="仿宋_GB2312" w:hAnsi="Calibri" w:eastAsia="仿宋_GB2312" w:cs="Arial"/>
          <w:sz w:val="32"/>
          <w:szCs w:val="32"/>
          <w:lang w:val="en-US" w:eastAsia="zh-CN" w:bidi="en-US"/>
        </w:rPr>
        <w:t>1.一般公共服务(201)政府办公厅(室)及相关机构事务(03)行政运行(01)2020年预算数为</w:t>
      </w:r>
      <w:r>
        <w:rPr>
          <w:rFonts w:hint="eastAsia" w:ascii="仿宋_GB2312" w:eastAsia="仿宋_GB2312" w:cs="Arial"/>
          <w:sz w:val="32"/>
          <w:szCs w:val="32"/>
          <w:lang w:val="en-US" w:eastAsia="zh-CN" w:bidi="en-US"/>
        </w:rPr>
        <w:t>1068553</w:t>
      </w:r>
      <w:r>
        <w:rPr>
          <w:rFonts w:hint="eastAsia" w:ascii="仿宋_GB2312" w:hAnsi="Calibri" w:eastAsia="仿宋_GB2312" w:cs="Arial"/>
          <w:sz w:val="32"/>
          <w:szCs w:val="32"/>
          <w:lang w:val="en-US" w:eastAsia="zh-CN" w:bidi="en-US"/>
        </w:rPr>
        <w:t>元,主要用于单位2020年政府人员经费和日常公用经费等基本支出。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Calibri" w:eastAsia="仿宋_GB2312" w:cs="Arial"/>
          <w:sz w:val="32"/>
          <w:szCs w:val="32"/>
          <w:lang w:val="en-US" w:eastAsia="zh-CN" w:bidi="en-US"/>
        </w:rPr>
      </w:pPr>
      <w:r>
        <w:rPr>
          <w:rFonts w:hint="eastAsia" w:ascii="仿宋_GB2312" w:eastAsia="仿宋_GB2312" w:cs="Arial"/>
          <w:sz w:val="32"/>
          <w:szCs w:val="32"/>
          <w:lang w:val="en-US" w:eastAsia="zh-CN" w:bidi="en-US"/>
        </w:rPr>
        <w:t>2</w:t>
      </w:r>
      <w:r>
        <w:rPr>
          <w:rFonts w:hint="eastAsia" w:ascii="仿宋_GB2312" w:hAnsi="Calibri" w:eastAsia="仿宋_GB2312" w:cs="Arial"/>
          <w:sz w:val="32"/>
          <w:szCs w:val="32"/>
          <w:lang w:val="en-US" w:eastAsia="zh-CN" w:bidi="en-US"/>
        </w:rPr>
        <w:t>.一般公共服务(201)财政事务(06)事业运行(50)2020年预算数为</w:t>
      </w:r>
      <w:r>
        <w:rPr>
          <w:rFonts w:hint="eastAsia" w:ascii="仿宋_GB2312" w:eastAsia="仿宋_GB2312" w:cs="Arial"/>
          <w:sz w:val="32"/>
          <w:szCs w:val="32"/>
          <w:lang w:val="en-US" w:eastAsia="zh-CN" w:bidi="en-US"/>
        </w:rPr>
        <w:t>162923</w:t>
      </w:r>
      <w:r>
        <w:rPr>
          <w:rFonts w:hint="eastAsia" w:ascii="仿宋_GB2312" w:hAnsi="Calibri" w:eastAsia="仿宋_GB2312" w:cs="Arial"/>
          <w:sz w:val="32"/>
          <w:szCs w:val="32"/>
          <w:lang w:val="en-US" w:eastAsia="zh-CN" w:bidi="en-US"/>
        </w:rPr>
        <w:t>元，主要用于 :单位2020年的人员经费和日常公用经费等基本支出。</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cs="Arial"/>
          <w:sz w:val="32"/>
          <w:szCs w:val="32"/>
          <w:lang w:val="en-US" w:eastAsia="zh-CN" w:bidi="en-US"/>
        </w:rPr>
      </w:pPr>
      <w:r>
        <w:rPr>
          <w:rFonts w:hint="eastAsia" w:ascii="仿宋_GB2312" w:eastAsia="仿宋_GB2312" w:cs="Arial"/>
          <w:sz w:val="32"/>
          <w:szCs w:val="32"/>
          <w:lang w:val="en-US" w:eastAsia="zh-CN" w:bidi="en-US"/>
        </w:rPr>
        <w:t>3.一般公共服务(201)党委办公厅(室)及相关机构事务(31)行政运行(01)2020年预算数为462738元,主要用于单位2020年党委人员经费和日常公用经费等基本支出。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cs="Arial"/>
          <w:sz w:val="32"/>
          <w:szCs w:val="32"/>
          <w:lang w:val="en-US" w:eastAsia="zh-CN" w:bidi="en-US"/>
        </w:rPr>
      </w:pPr>
      <w:r>
        <w:rPr>
          <w:rFonts w:hint="eastAsia" w:ascii="仿宋_GB2312" w:eastAsia="仿宋_GB2312" w:cs="Arial"/>
          <w:sz w:val="32"/>
          <w:szCs w:val="32"/>
          <w:lang w:val="en-US" w:eastAsia="zh-CN" w:bidi="en-US"/>
        </w:rPr>
        <w:t>4.社会保障和就业支出(208)行政事业单位离退休(05)机关事业单位基本养老保险缴费支出(05)2020年预算数为379367元,主要用于单位缴纳基本养老保险费。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cs="Arial"/>
          <w:sz w:val="32"/>
          <w:szCs w:val="32"/>
          <w:lang w:val="en-US" w:eastAsia="zh-CN" w:bidi="en-US"/>
        </w:rPr>
      </w:pPr>
      <w:r>
        <w:rPr>
          <w:rFonts w:hint="eastAsia" w:ascii="仿宋_GB2312" w:eastAsia="仿宋_GB2312" w:cs="Arial"/>
          <w:sz w:val="32"/>
          <w:szCs w:val="32"/>
          <w:lang w:val="en-US" w:eastAsia="zh-CN" w:bidi="en-US"/>
        </w:rPr>
        <w:t>5.社会保障和就业支出(208)行政事业单位离退休(05)机关事业单位职业年金缴费支出(06)2020年预算数为189683元,主要用于单位缴纳职业年金。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cs="Arial"/>
          <w:sz w:val="32"/>
          <w:szCs w:val="32"/>
          <w:lang w:val="en-US" w:eastAsia="zh-CN" w:bidi="en-US"/>
        </w:rPr>
      </w:pPr>
      <w:r>
        <w:rPr>
          <w:rFonts w:hint="eastAsia" w:ascii="仿宋_GB2312" w:eastAsia="仿宋_GB2312" w:cs="Arial"/>
          <w:sz w:val="32"/>
          <w:szCs w:val="32"/>
          <w:lang w:val="en-US" w:eastAsia="zh-CN" w:bidi="en-US"/>
        </w:rPr>
        <w:t>6.卫生健康(210)行政事业单位医疗(11)行政单位医疗(01)2020年预算数为216416元,主要用于行政单位缴纳基本医疗保险。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cs="Arial"/>
          <w:sz w:val="32"/>
          <w:szCs w:val="32"/>
          <w:lang w:val="en-US" w:eastAsia="zh-CN" w:bidi="en-US"/>
        </w:rPr>
      </w:pPr>
      <w:r>
        <w:rPr>
          <w:rFonts w:hint="eastAsia" w:ascii="仿宋_GB2312" w:eastAsia="仿宋_GB2312" w:cs="Arial"/>
          <w:sz w:val="32"/>
          <w:szCs w:val="32"/>
          <w:lang w:val="en-US" w:eastAsia="zh-CN" w:bidi="en-US"/>
        </w:rPr>
        <w:t>7.农林水支出(213)农业(01)事业运行(04)2020年预算数为1070395元,主要用于单位2020年农林水事业人员经费和日常公用经费等基本支出。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cs="Arial"/>
          <w:sz w:val="32"/>
          <w:szCs w:val="32"/>
          <w:lang w:val="en-US" w:eastAsia="zh-CN" w:bidi="en-US"/>
        </w:rPr>
      </w:pPr>
      <w:r>
        <w:rPr>
          <w:rFonts w:hint="eastAsia" w:ascii="仿宋_GB2312" w:eastAsia="仿宋_GB2312" w:cs="Arial"/>
          <w:sz w:val="32"/>
          <w:szCs w:val="32"/>
          <w:lang w:val="en-US" w:eastAsia="zh-CN" w:bidi="en-US"/>
        </w:rPr>
        <w:t>8.农林水支出(213)农村综合改革(07)对村民委员会和村党支部的补助(05)2020年预算数为1062280元,主要用于富顺镇村干部生活补助支出、办公经费及公共运行维护费支出。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cs="Arial"/>
          <w:sz w:val="32"/>
          <w:szCs w:val="32"/>
          <w:lang w:val="en-US" w:eastAsia="zh-CN" w:bidi="en-US"/>
        </w:rPr>
      </w:pPr>
      <w:r>
        <w:rPr>
          <w:rFonts w:hint="eastAsia" w:ascii="仿宋_GB2312" w:eastAsia="仿宋_GB2312" w:cs="Arial"/>
          <w:sz w:val="32"/>
          <w:szCs w:val="32"/>
          <w:lang w:val="en-US" w:eastAsia="zh-CN" w:bidi="en-US"/>
        </w:rPr>
        <w:t>9.住房保障(221)住房改革(02)住房公积金(01)2020年预算数为440760元,主要用于单位为职工缴纳住房公积金。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茂县富顺镇人民政府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3990835</w:t>
      </w:r>
      <w:r>
        <w:rPr>
          <w:rFonts w:ascii="仿宋_GB2312" w:eastAsia="仿宋_GB2312"/>
          <w:sz w:val="32"/>
          <w:szCs w:val="32"/>
          <w:lang w:eastAsia="zh-CN"/>
        </w:rPr>
        <w:t>元，其中人员经费</w:t>
      </w:r>
      <w:r>
        <w:rPr>
          <w:rFonts w:hint="eastAsia" w:ascii="仿宋_GB2312" w:eastAsia="仿宋_GB2312"/>
          <w:sz w:val="32"/>
          <w:szCs w:val="32"/>
          <w:lang w:val="en-US" w:eastAsia="zh-CN"/>
        </w:rPr>
        <w:t>3694835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296000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茂县富顺镇人民政府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45120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5120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pacing w:line="576" w:lineRule="exact"/>
        <w:ind w:left="0" w:leftChars="0"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5120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11</w:t>
      </w:r>
      <w:r>
        <w:rPr>
          <w:rFonts w:ascii="仿宋_GB2312" w:eastAsia="仿宋_GB2312"/>
          <w:sz w:val="32"/>
          <w:szCs w:val="32"/>
          <w:lang w:eastAsia="zh-CN"/>
        </w:rPr>
        <w:t>%，主要原因是：</w:t>
      </w:r>
      <w:r>
        <w:rPr>
          <w:rFonts w:hint="eastAsia" w:ascii="仿宋_GB2312" w:eastAsia="仿宋_GB2312"/>
          <w:sz w:val="32"/>
          <w:szCs w:val="32"/>
          <w:lang w:eastAsia="zh-CN"/>
        </w:rPr>
        <w:t>经费减少。</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2020</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eastAsia="zh-CN"/>
        </w:rPr>
        <w:t>持平。</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pacing w:line="576" w:lineRule="exact"/>
        <w:ind w:left="0" w:leftChars="0" w:firstLine="640" w:firstLineChars="200"/>
        <w:textAlignment w:val="auto"/>
        <w:rPr>
          <w:sz w:val="32"/>
          <w:szCs w:val="32"/>
          <w:lang w:eastAsia="zh-CN"/>
        </w:rPr>
      </w:pPr>
      <w:r>
        <w:rPr>
          <w:rFonts w:hint="eastAsia" w:ascii="仿宋_GB2312" w:eastAsia="仿宋_GB2312"/>
          <w:sz w:val="32"/>
          <w:szCs w:val="32"/>
          <w:lang w:eastAsia="zh-CN"/>
        </w:rPr>
        <w:t>茂县富顺镇人民政府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茂县富顺镇人民政府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296000</w:t>
      </w:r>
      <w:r>
        <w:rPr>
          <w:rFonts w:ascii="仿宋_GB2312" w:eastAsia="仿宋_GB2312"/>
          <w:sz w:val="32"/>
          <w:szCs w:val="32"/>
          <w:lang w:eastAsia="zh-CN"/>
        </w:rPr>
        <w:t>元，比</w:t>
      </w:r>
      <w:r>
        <w:rPr>
          <w:rFonts w:hint="eastAsia" w:ascii="仿宋_GB2312" w:eastAsia="仿宋_GB2312"/>
          <w:sz w:val="32"/>
          <w:szCs w:val="32"/>
          <w:lang w:eastAsia="zh-CN"/>
        </w:rPr>
        <w:t>2019</w:t>
      </w:r>
      <w:r>
        <w:rPr>
          <w:rFonts w:ascii="仿宋_GB2312" w:eastAsia="仿宋_GB2312"/>
          <w:sz w:val="32"/>
          <w:szCs w:val="32"/>
          <w:lang w:eastAsia="zh-CN"/>
        </w:rPr>
        <w:t>年预算增加</w:t>
      </w:r>
      <w:r>
        <w:rPr>
          <w:rFonts w:hint="eastAsia" w:ascii="仿宋_GB2312" w:eastAsia="仿宋_GB2312"/>
          <w:sz w:val="32"/>
          <w:szCs w:val="32"/>
          <w:lang w:val="en-US" w:eastAsia="zh-CN"/>
        </w:rPr>
        <w:t>558</w:t>
      </w:r>
      <w:r>
        <w:rPr>
          <w:rFonts w:ascii="仿宋_GB2312" w:eastAsia="仿宋_GB2312"/>
          <w:sz w:val="32"/>
          <w:szCs w:val="32"/>
          <w:lang w:eastAsia="zh-CN"/>
        </w:rPr>
        <w:t>元，增长</w:t>
      </w:r>
      <w:r>
        <w:rPr>
          <w:rFonts w:hint="eastAsia" w:ascii="仿宋_GB2312" w:eastAsia="仿宋_GB2312"/>
          <w:sz w:val="32"/>
          <w:szCs w:val="32"/>
          <w:lang w:val="en-US" w:eastAsia="zh-CN"/>
        </w:rPr>
        <w:t>0.2</w:t>
      </w:r>
      <w:r>
        <w:rPr>
          <w:rFonts w:hint="eastAsia" w:ascii="仿宋_GB2312" w:eastAsia="仿宋_GB2312"/>
          <w:sz w:val="32"/>
          <w:szCs w:val="32"/>
          <w:lang w:eastAsia="zh-CN"/>
        </w:rPr>
        <w:t xml:space="preserve"> </w:t>
      </w:r>
      <w:r>
        <w:rPr>
          <w:rFonts w:ascii="仿宋_GB2312" w:eastAsia="仿宋_GB2312"/>
          <w:sz w:val="32"/>
          <w:szCs w:val="32"/>
          <w:lang w:eastAsia="zh-CN"/>
        </w:rPr>
        <w:t>%。主要原因是：</w:t>
      </w:r>
      <w:r>
        <w:rPr>
          <w:rFonts w:hint="eastAsia" w:ascii="仿宋_GB2312" w:eastAsia="仿宋_GB2312"/>
          <w:sz w:val="32"/>
          <w:szCs w:val="32"/>
          <w:lang w:eastAsia="zh-CN"/>
        </w:rPr>
        <w:t>公用经费增加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，茂县富顺镇人民政府未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茂县富顺镇人民政府</w:t>
      </w:r>
      <w:r>
        <w:rPr>
          <w:rFonts w:ascii="仿宋_GB2312" w:eastAsia="仿宋_GB2312"/>
          <w:sz w:val="32"/>
          <w:szCs w:val="32"/>
          <w:lang w:eastAsia="zh-CN"/>
        </w:rPr>
        <w:t>截止201</w:t>
      </w:r>
      <w:r>
        <w:rPr>
          <w:rFonts w:hint="eastAsia" w:ascii="仿宋_GB2312" w:eastAsia="仿宋_GB2312"/>
          <w:sz w:val="32"/>
          <w:szCs w:val="32"/>
          <w:lang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1915403.03</w:t>
      </w:r>
      <w:r>
        <w:rPr>
          <w:rFonts w:ascii="仿宋_GB2312" w:eastAsia="仿宋_GB2312"/>
          <w:sz w:val="32"/>
          <w:szCs w:val="32"/>
          <w:lang w:eastAsia="zh-CN"/>
        </w:rPr>
        <w:t>元，其中：</w:t>
      </w:r>
      <w:r>
        <w:rPr>
          <w:rFonts w:hint="eastAsia" w:ascii="仿宋_GB2312" w:eastAsia="仿宋_GB2312" w:cs="Arial"/>
          <w:sz w:val="32"/>
          <w:szCs w:val="32"/>
          <w:lang w:eastAsia="zh-CN"/>
        </w:rPr>
        <w:t>房屋3926.71平方米,价值1265813.43元;公务用车1辆,价值116800元；</w:t>
      </w:r>
      <w:r>
        <w:rPr>
          <w:rFonts w:ascii="仿宋_GB2312" w:eastAsia="仿宋_GB2312"/>
          <w:sz w:val="32"/>
          <w:szCs w:val="32"/>
          <w:lang w:eastAsia="zh-CN"/>
        </w:rPr>
        <w:t>其他固定资产</w:t>
      </w:r>
      <w:r>
        <w:rPr>
          <w:rFonts w:hint="eastAsia" w:ascii="仿宋_GB2312" w:eastAsia="仿宋_GB2312"/>
          <w:sz w:val="32"/>
          <w:szCs w:val="32"/>
          <w:lang w:val="en-US" w:eastAsia="zh-CN"/>
        </w:rPr>
        <w:t>532789.6</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bookmarkStart w:id="0" w:name="_GoBack"/>
      <w:bookmarkEnd w:id="0"/>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2020年茂县富顺镇人民政府通用项目和专用项目均按要求实行绩效目标管理，涉及项目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1062280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pacing w:line="576" w:lineRule="exact"/>
        <w:ind w:firstLine="640" w:firstLineChars="200"/>
        <w:jc w:val="left"/>
        <w:textAlignment w:val="auto"/>
        <w:rPr>
          <w:rFonts w:hint="eastAsia" w:ascii="仿宋_GB2312" w:eastAsia="仿宋_GB2312" w:cs="Arial"/>
          <w:sz w:val="32"/>
          <w:szCs w:val="32"/>
          <w:lang w:eastAsia="zh-CN"/>
        </w:rPr>
      </w:pPr>
    </w:p>
    <w:p>
      <w:pPr>
        <w:keepNext w:val="0"/>
        <w:keepLines w:val="0"/>
        <w:pageBreakBefore w:val="0"/>
        <w:kinsoku/>
        <w:wordWrap/>
        <w:overflowPunct/>
        <w:topLinePunct w:val="0"/>
        <w:autoSpaceDE/>
        <w:autoSpaceDN/>
        <w:bidi w:val="0"/>
        <w:adjustRightInd/>
        <w:spacing w:line="576" w:lineRule="exact"/>
        <w:ind w:firstLine="640" w:firstLineChars="200"/>
        <w:jc w:val="left"/>
        <w:textAlignment w:val="auto"/>
        <w:rPr>
          <w:rFonts w:hint="eastAsia" w:ascii="仿宋_GB2312" w:eastAsia="仿宋_GB2312" w:cs="Arial"/>
          <w:sz w:val="32"/>
          <w:szCs w:val="32"/>
          <w:lang w:eastAsia="zh-CN"/>
        </w:rPr>
      </w:pPr>
      <w:r>
        <w:rPr>
          <w:rFonts w:hint="eastAsia" w:ascii="仿宋_GB2312" w:eastAsia="仿宋_GB2312" w:cs="Arial"/>
          <w:sz w:val="32"/>
          <w:szCs w:val="32"/>
          <w:lang w:eastAsia="zh-CN"/>
        </w:rPr>
        <w:t>附件：茂县富顺镇20</w:t>
      </w:r>
      <w:r>
        <w:rPr>
          <w:rFonts w:hint="eastAsia" w:ascii="仿宋_GB2312" w:eastAsia="仿宋_GB2312" w:cs="Arial"/>
          <w:sz w:val="32"/>
          <w:szCs w:val="32"/>
          <w:lang w:val="en-US" w:eastAsia="zh-CN"/>
        </w:rPr>
        <w:t>20</w:t>
      </w:r>
      <w:r>
        <w:rPr>
          <w:rFonts w:hint="eastAsia" w:ascii="仿宋_GB2312" w:eastAsia="仿宋_GB2312" w:cs="Arial"/>
          <w:sz w:val="32"/>
          <w:szCs w:val="32"/>
          <w:lang w:eastAsia="zh-CN"/>
        </w:rPr>
        <w:t>年部门预算公开表</w:t>
      </w:r>
    </w:p>
    <w:p>
      <w:pPr>
        <w:keepNext w:val="0"/>
        <w:keepLines w:val="0"/>
        <w:pageBreakBefore w:val="0"/>
        <w:kinsoku/>
        <w:wordWrap/>
        <w:overflowPunct/>
        <w:topLinePunct w:val="0"/>
        <w:autoSpaceDE/>
        <w:autoSpaceDN/>
        <w:bidi w:val="0"/>
        <w:adjustRightInd/>
        <w:spacing w:line="576" w:lineRule="exact"/>
        <w:ind w:left="0" w:leftChars="0" w:firstLine="0" w:firstLineChars="0"/>
        <w:jc w:val="both"/>
        <w:textAlignment w:val="auto"/>
        <w:rPr>
          <w:rFonts w:hint="eastAsia" w:ascii="仿宋_GB2312" w:eastAsia="仿宋_GB2312" w:cs="Arial"/>
          <w:sz w:val="32"/>
          <w:szCs w:val="32"/>
          <w:lang w:eastAsia="zh-CN"/>
        </w:rPr>
      </w:pPr>
    </w:p>
    <w:p>
      <w:pPr>
        <w:keepNext w:val="0"/>
        <w:keepLines w:val="0"/>
        <w:pageBreakBefore w:val="0"/>
        <w:kinsoku/>
        <w:wordWrap/>
        <w:overflowPunct/>
        <w:topLinePunct w:val="0"/>
        <w:autoSpaceDE/>
        <w:autoSpaceDN/>
        <w:bidi w:val="0"/>
        <w:adjustRightInd/>
        <w:spacing w:line="576" w:lineRule="exact"/>
        <w:ind w:firstLine="640" w:firstLineChars="200"/>
        <w:jc w:val="right"/>
        <w:textAlignment w:val="auto"/>
        <w:rPr>
          <w:rFonts w:hint="eastAsia" w:ascii="仿宋_GB2312" w:eastAsia="仿宋_GB2312" w:cs="Arial"/>
          <w:sz w:val="32"/>
          <w:szCs w:val="32"/>
          <w:lang w:eastAsia="zh-CN"/>
        </w:rPr>
      </w:pPr>
    </w:p>
    <w:p>
      <w:pPr>
        <w:keepNext w:val="0"/>
        <w:keepLines w:val="0"/>
        <w:pageBreakBefore w:val="0"/>
        <w:kinsoku/>
        <w:wordWrap/>
        <w:overflowPunct/>
        <w:topLinePunct w:val="0"/>
        <w:autoSpaceDE/>
        <w:autoSpaceDN/>
        <w:bidi w:val="0"/>
        <w:adjustRightInd/>
        <w:spacing w:line="576" w:lineRule="exact"/>
        <w:ind w:left="0" w:leftChars="0" w:firstLine="0" w:firstLineChars="0"/>
        <w:jc w:val="both"/>
        <w:textAlignment w:val="auto"/>
        <w:rPr>
          <w:rFonts w:hint="eastAsia" w:ascii="仿宋_GB2312" w:eastAsia="仿宋_GB2312" w:cs="Arial"/>
          <w:sz w:val="32"/>
          <w:szCs w:val="32"/>
          <w:lang w:eastAsia="zh-CN"/>
        </w:rPr>
      </w:pPr>
    </w:p>
    <w:p>
      <w:pPr>
        <w:keepNext w:val="0"/>
        <w:keepLines w:val="0"/>
        <w:pageBreakBefore w:val="0"/>
        <w:kinsoku/>
        <w:wordWrap/>
        <w:overflowPunct/>
        <w:topLinePunct w:val="0"/>
        <w:autoSpaceDE/>
        <w:autoSpaceDN/>
        <w:bidi w:val="0"/>
        <w:adjustRightInd/>
        <w:spacing w:line="576" w:lineRule="exact"/>
        <w:ind w:firstLine="640" w:firstLineChars="200"/>
        <w:jc w:val="center"/>
        <w:textAlignment w:val="auto"/>
        <w:rPr>
          <w:rFonts w:hint="eastAsia" w:ascii="仿宋_GB2312" w:eastAsia="仿宋_GB2312" w:cs="Arial"/>
          <w:sz w:val="32"/>
          <w:szCs w:val="32"/>
          <w:lang w:eastAsia="zh-CN"/>
        </w:rPr>
      </w:pPr>
      <w:r>
        <w:rPr>
          <w:rFonts w:hint="eastAsia" w:ascii="仿宋_GB2312" w:eastAsia="仿宋_GB2312" w:cs="Arial"/>
          <w:sz w:val="32"/>
          <w:szCs w:val="32"/>
          <w:lang w:val="en-US" w:eastAsia="zh-CN"/>
        </w:rPr>
        <w:t xml:space="preserve">                             </w:t>
      </w:r>
      <w:r>
        <w:rPr>
          <w:rFonts w:hint="eastAsia" w:ascii="仿宋_GB2312" w:eastAsia="仿宋_GB2312" w:cs="Arial"/>
          <w:sz w:val="32"/>
          <w:szCs w:val="32"/>
          <w:lang w:eastAsia="zh-CN"/>
        </w:rPr>
        <w:t>茂县富顺镇人民政府</w:t>
      </w:r>
    </w:p>
    <w:p>
      <w:pPr>
        <w:keepNext w:val="0"/>
        <w:keepLines w:val="0"/>
        <w:pageBreakBefore w:val="0"/>
        <w:kinsoku/>
        <w:wordWrap/>
        <w:overflowPunct/>
        <w:topLinePunct w:val="0"/>
        <w:autoSpaceDE/>
        <w:autoSpaceDN/>
        <w:bidi w:val="0"/>
        <w:adjustRightInd/>
        <w:spacing w:line="576" w:lineRule="exact"/>
        <w:ind w:firstLine="640" w:firstLineChars="200"/>
        <w:jc w:val="center"/>
        <w:textAlignment w:val="auto"/>
        <w:rPr>
          <w:rFonts w:ascii="宋体" w:cs="宋体"/>
          <w:sz w:val="32"/>
          <w:szCs w:val="32"/>
        </w:rPr>
      </w:pPr>
      <w:r>
        <w:rPr>
          <w:rFonts w:hint="eastAsia" w:ascii="仿宋_GB2312" w:eastAsia="仿宋_GB2312" w:cs="Arial"/>
          <w:sz w:val="32"/>
          <w:szCs w:val="32"/>
          <w:lang w:val="en-US" w:eastAsia="zh-CN"/>
        </w:rPr>
        <w:t xml:space="preserve">                               </w:t>
      </w:r>
      <w:r>
        <w:rPr>
          <w:rFonts w:hint="eastAsia" w:ascii="仿宋_GB2312" w:eastAsia="仿宋_GB2312" w:cs="Arial"/>
          <w:sz w:val="32"/>
          <w:szCs w:val="32"/>
          <w:lang w:eastAsia="zh-CN"/>
        </w:rPr>
        <w:t>20</w:t>
      </w:r>
      <w:r>
        <w:rPr>
          <w:rFonts w:hint="eastAsia" w:ascii="仿宋_GB2312" w:eastAsia="仿宋_GB2312" w:cs="Arial"/>
          <w:sz w:val="32"/>
          <w:szCs w:val="32"/>
          <w:lang w:val="en-US" w:eastAsia="zh-CN"/>
        </w:rPr>
        <w:t>20</w:t>
      </w:r>
      <w:r>
        <w:rPr>
          <w:rFonts w:hint="eastAsia" w:ascii="仿宋_GB2312" w:eastAsia="仿宋_GB2312" w:cs="Arial"/>
          <w:sz w:val="32"/>
          <w:szCs w:val="32"/>
          <w:lang w:eastAsia="zh-CN"/>
        </w:rPr>
        <w:t>年</w:t>
      </w:r>
      <w:r>
        <w:rPr>
          <w:rFonts w:hint="eastAsia" w:ascii="仿宋_GB2312" w:eastAsia="仿宋_GB2312" w:cs="Arial"/>
          <w:sz w:val="32"/>
          <w:szCs w:val="32"/>
          <w:lang w:val="en-US" w:eastAsia="zh-CN"/>
        </w:rPr>
        <w:t>6</w:t>
      </w:r>
      <w:r>
        <w:rPr>
          <w:rFonts w:hint="eastAsia" w:ascii="仿宋_GB2312" w:eastAsia="仿宋_GB2312" w:cs="Arial"/>
          <w:sz w:val="32"/>
          <w:szCs w:val="32"/>
          <w:lang w:eastAsia="zh-CN"/>
        </w:rPr>
        <w:t>月</w:t>
      </w:r>
      <w:r>
        <w:rPr>
          <w:rFonts w:hint="eastAsia" w:ascii="仿宋_GB2312" w:eastAsia="仿宋_GB2312" w:cs="Arial"/>
          <w:sz w:val="32"/>
          <w:szCs w:val="32"/>
          <w:lang w:val="en-US" w:eastAsia="zh-CN"/>
        </w:rPr>
        <w:t>20</w:t>
      </w:r>
      <w:r>
        <w:rPr>
          <w:rFonts w:hint="eastAsia" w:ascii="仿宋_GB2312" w:eastAsia="仿宋_GB2312" w:cs="Arial"/>
          <w:sz w:val="32"/>
          <w:szCs w:val="32"/>
          <w:lang w:eastAsia="zh-CN"/>
        </w:rPr>
        <w:t>日</w:t>
      </w:r>
      <w:r>
        <w:rPr>
          <w:rFonts w:ascii="宋体" w:cs="宋体"/>
          <w:color w:val="333333"/>
          <w:sz w:val="32"/>
          <w:szCs w:val="32"/>
          <w:shd w:val="clear" w:color="auto" w:fill="FFFFFF"/>
        </w:rPr>
        <w:t>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sz w:val="32"/>
          <w:szCs w:val="32"/>
          <w:lang w:eastAsia="zh-CN"/>
        </w:rPr>
      </w:pPr>
    </w:p>
    <w:p>
      <w:pPr>
        <w:ind w:firstLine="0"/>
        <w:rPr>
          <w:sz w:val="32"/>
          <w:szCs w:val="32"/>
          <w:lang w:eastAsia="zh-CN"/>
        </w:rPr>
      </w:pPr>
      <w:r>
        <w:rPr>
          <w:sz w:val="32"/>
          <w:szCs w:val="32"/>
          <w:lang w:eastAsia="zh-CN"/>
        </w:rPr>
        <w:t>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A09BA"/>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1DA3D46"/>
    <w:rsid w:val="03745228"/>
    <w:rsid w:val="04466988"/>
    <w:rsid w:val="0489667E"/>
    <w:rsid w:val="05C7503D"/>
    <w:rsid w:val="06BA688A"/>
    <w:rsid w:val="06FC6E25"/>
    <w:rsid w:val="07333C7E"/>
    <w:rsid w:val="07873AF2"/>
    <w:rsid w:val="0A5B6862"/>
    <w:rsid w:val="0B423C6B"/>
    <w:rsid w:val="0BE76EFB"/>
    <w:rsid w:val="0DE84C6D"/>
    <w:rsid w:val="0DF43D19"/>
    <w:rsid w:val="0E865820"/>
    <w:rsid w:val="0FBD5EDA"/>
    <w:rsid w:val="11CA0337"/>
    <w:rsid w:val="120A4656"/>
    <w:rsid w:val="1337355E"/>
    <w:rsid w:val="19192E92"/>
    <w:rsid w:val="196F31FD"/>
    <w:rsid w:val="19834F44"/>
    <w:rsid w:val="19E84208"/>
    <w:rsid w:val="1AF06E96"/>
    <w:rsid w:val="1BB642CF"/>
    <w:rsid w:val="1C626BF3"/>
    <w:rsid w:val="1CD6229A"/>
    <w:rsid w:val="1DE50F82"/>
    <w:rsid w:val="1EA126B5"/>
    <w:rsid w:val="1FD74A6A"/>
    <w:rsid w:val="20D75E40"/>
    <w:rsid w:val="22885C6E"/>
    <w:rsid w:val="22AC1D26"/>
    <w:rsid w:val="22AF7905"/>
    <w:rsid w:val="254943F8"/>
    <w:rsid w:val="260B37E0"/>
    <w:rsid w:val="261519F6"/>
    <w:rsid w:val="27A47A77"/>
    <w:rsid w:val="28017DA8"/>
    <w:rsid w:val="283E4919"/>
    <w:rsid w:val="28D1274C"/>
    <w:rsid w:val="295A27EB"/>
    <w:rsid w:val="2ED72C9D"/>
    <w:rsid w:val="2FC0091C"/>
    <w:rsid w:val="31AE6C91"/>
    <w:rsid w:val="31FF24CD"/>
    <w:rsid w:val="330D79D5"/>
    <w:rsid w:val="338B368F"/>
    <w:rsid w:val="342D4FDC"/>
    <w:rsid w:val="3463319C"/>
    <w:rsid w:val="35B32608"/>
    <w:rsid w:val="35D4217F"/>
    <w:rsid w:val="39EF4017"/>
    <w:rsid w:val="3CAC403E"/>
    <w:rsid w:val="3DC03857"/>
    <w:rsid w:val="3DC47A7E"/>
    <w:rsid w:val="40221DC0"/>
    <w:rsid w:val="40C04C24"/>
    <w:rsid w:val="411D0353"/>
    <w:rsid w:val="43324AB1"/>
    <w:rsid w:val="43CD4BC8"/>
    <w:rsid w:val="440C6034"/>
    <w:rsid w:val="44A95E71"/>
    <w:rsid w:val="4522225B"/>
    <w:rsid w:val="49BB1787"/>
    <w:rsid w:val="4A7F2453"/>
    <w:rsid w:val="4AA322C6"/>
    <w:rsid w:val="4B5B2507"/>
    <w:rsid w:val="4C3840F6"/>
    <w:rsid w:val="4C6D34EC"/>
    <w:rsid w:val="4C8F7FFE"/>
    <w:rsid w:val="4D5844CD"/>
    <w:rsid w:val="4DA63381"/>
    <w:rsid w:val="4E2B414F"/>
    <w:rsid w:val="4E5D69BD"/>
    <w:rsid w:val="4F5F5181"/>
    <w:rsid w:val="508032DF"/>
    <w:rsid w:val="52436DE3"/>
    <w:rsid w:val="532C36D6"/>
    <w:rsid w:val="546A032D"/>
    <w:rsid w:val="549B0E37"/>
    <w:rsid w:val="55A059C1"/>
    <w:rsid w:val="57754DCC"/>
    <w:rsid w:val="58446D78"/>
    <w:rsid w:val="5A0908C8"/>
    <w:rsid w:val="5A7810B3"/>
    <w:rsid w:val="5B237754"/>
    <w:rsid w:val="5B5A38BC"/>
    <w:rsid w:val="5D796A3F"/>
    <w:rsid w:val="5F9A4534"/>
    <w:rsid w:val="613904CA"/>
    <w:rsid w:val="61A07F72"/>
    <w:rsid w:val="61DA118B"/>
    <w:rsid w:val="62B30272"/>
    <w:rsid w:val="63866FE4"/>
    <w:rsid w:val="66AD759B"/>
    <w:rsid w:val="67091152"/>
    <w:rsid w:val="67470A61"/>
    <w:rsid w:val="68DF3069"/>
    <w:rsid w:val="6A181721"/>
    <w:rsid w:val="6A905811"/>
    <w:rsid w:val="6AAF3A3A"/>
    <w:rsid w:val="6ADD777B"/>
    <w:rsid w:val="6B246B7A"/>
    <w:rsid w:val="6BEA7F09"/>
    <w:rsid w:val="6C5C6003"/>
    <w:rsid w:val="6FDA2C9A"/>
    <w:rsid w:val="70B43346"/>
    <w:rsid w:val="719A139F"/>
    <w:rsid w:val="72EC51BB"/>
    <w:rsid w:val="73652407"/>
    <w:rsid w:val="73743676"/>
    <w:rsid w:val="744C0671"/>
    <w:rsid w:val="74C81F7D"/>
    <w:rsid w:val="752F0359"/>
    <w:rsid w:val="75C02C9C"/>
    <w:rsid w:val="76436DC4"/>
    <w:rsid w:val="76960857"/>
    <w:rsid w:val="784E0476"/>
    <w:rsid w:val="7A561729"/>
    <w:rsid w:val="7ABB200E"/>
    <w:rsid w:val="7D5C1E38"/>
    <w:rsid w:val="7D8569F9"/>
    <w:rsid w:val="7DFE5E3F"/>
    <w:rsid w:val="7E0917FF"/>
    <w:rsid w:val="7ECA74F3"/>
    <w:rsid w:val="7FCF48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17</TotalTime>
  <ScaleCrop>false</ScaleCrop>
  <LinksUpToDate>false</LinksUpToDate>
  <CharactersWithSpaces>3337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喂，在哪儿喃，在路上</cp:lastModifiedBy>
  <dcterms:modified xsi:type="dcterms:W3CDTF">2020-06-23T01:59:33Z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