
<file path=[Content_Types].xml><?xml version="1.0" encoding="utf-8"?>
<Types xmlns="http://schemas.openxmlformats.org/package/2006/content-types">
  <Default Extension="xlsx" ContentType="application/vnd.openxmlformats-officedocument.spreadsheetml.sheet"/>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olors1.xml" ContentType="application/vnd.ms-office.chartcolorstyle+xml"/>
  <Override PartName="/word/charts/colors2.xml" ContentType="application/vnd.ms-office.chartcolorstyle+xml"/>
  <Override PartName="/word/charts/colors3.xml" ContentType="application/vnd.ms-office.chartcolorstyle+xml"/>
  <Override PartName="/word/charts/colors4.xml" ContentType="application/vnd.ms-office.chartcolorstyle+xml"/>
  <Override PartName="/word/charts/colors5.xml" ContentType="application/vnd.ms-office.chartcolorstyle+xml"/>
  <Override PartName="/word/charts/colors6.xml" ContentType="application/vnd.ms-office.chartcolorstyle+xml"/>
  <Override PartName="/word/charts/style1.xml" ContentType="application/vnd.ms-office.chartstyle+xml"/>
  <Override PartName="/word/charts/style2.xml" ContentType="application/vnd.ms-office.chartstyle+xml"/>
  <Override PartName="/word/charts/style3.xml" ContentType="application/vnd.ms-office.chartstyle+xml"/>
  <Override PartName="/word/charts/style4.xml" ContentType="application/vnd.ms-office.chartstyle+xml"/>
  <Override PartName="/word/charts/style5.xml" ContentType="application/vnd.ms-office.chartstyle+xml"/>
  <Override PartName="/word/charts/style6.xml" ContentType="application/vnd.ms-office.chartstyle+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00" w:lineRule="exact"/>
        <w:jc w:val="center"/>
        <w:outlineLvl w:val="0"/>
        <w:rPr>
          <w:rFonts w:ascii="方正小标宋简体" w:hAnsi="宋体" w:eastAsia="方正小标宋简体"/>
          <w:color w:val="000000"/>
          <w:sz w:val="72"/>
          <w:szCs w:val="72"/>
        </w:rPr>
      </w:pPr>
      <w:bookmarkStart w:id="0" w:name="_Toc15306267"/>
      <w:bookmarkStart w:id="70" w:name="_GoBack"/>
      <w:bookmarkEnd w:id="70"/>
    </w:p>
    <w:p>
      <w:pPr>
        <w:spacing w:line="600" w:lineRule="exact"/>
        <w:jc w:val="center"/>
        <w:outlineLvl w:val="0"/>
        <w:rPr>
          <w:rFonts w:ascii="方正小标宋简体" w:hAnsi="宋体" w:eastAsia="方正小标宋简体"/>
          <w:color w:val="000000"/>
          <w:sz w:val="72"/>
          <w:szCs w:val="72"/>
        </w:rPr>
      </w:pPr>
    </w:p>
    <w:p>
      <w:pPr>
        <w:spacing w:line="600" w:lineRule="exact"/>
        <w:jc w:val="center"/>
        <w:outlineLvl w:val="0"/>
        <w:rPr>
          <w:rFonts w:ascii="方正小标宋简体" w:hAnsi="宋体" w:eastAsia="方正小标宋简体"/>
          <w:color w:val="000000"/>
          <w:sz w:val="72"/>
          <w:szCs w:val="72"/>
        </w:rPr>
      </w:pPr>
    </w:p>
    <w:p>
      <w:pPr>
        <w:spacing w:line="600" w:lineRule="exact"/>
        <w:jc w:val="center"/>
        <w:outlineLvl w:val="0"/>
        <w:rPr>
          <w:rFonts w:ascii="方正小标宋简体" w:hAnsi="宋体" w:eastAsia="方正小标宋简体"/>
          <w:color w:val="000000"/>
          <w:sz w:val="72"/>
          <w:szCs w:val="72"/>
        </w:rPr>
      </w:pPr>
    </w:p>
    <w:p>
      <w:pPr>
        <w:adjustRightInd w:val="0"/>
        <w:snapToGrid w:val="0"/>
        <w:spacing w:line="360" w:lineRule="auto"/>
        <w:jc w:val="center"/>
        <w:outlineLvl w:val="0"/>
        <w:rPr>
          <w:rFonts w:ascii="方正小标宋简体" w:hAnsi="宋体" w:eastAsia="方正小标宋简体"/>
          <w:color w:val="000000"/>
          <w:sz w:val="44"/>
          <w:szCs w:val="44"/>
        </w:rPr>
      </w:pPr>
      <w:bookmarkStart w:id="1" w:name="_Toc15377425"/>
      <w:bookmarkStart w:id="2" w:name="_Toc15396597"/>
      <w:bookmarkStart w:id="3" w:name="_Toc15396475"/>
      <w:bookmarkStart w:id="4" w:name="_Toc15377193"/>
      <w:bookmarkStart w:id="5" w:name="_Toc15378441"/>
      <w:r>
        <w:rPr>
          <w:rFonts w:ascii="黑体" w:hAnsi="黑体" w:eastAsia="黑体"/>
          <w:color w:val="000000"/>
          <w:sz w:val="44"/>
          <w:szCs w:val="44"/>
        </w:rPr>
        <w:t>201</w:t>
      </w:r>
      <w:r>
        <w:rPr>
          <w:rFonts w:hint="eastAsia" w:ascii="黑体" w:hAnsi="黑体" w:eastAsia="黑体"/>
          <w:color w:val="000000"/>
          <w:sz w:val="44"/>
          <w:szCs w:val="44"/>
        </w:rPr>
        <w:t>9</w:t>
      </w:r>
      <w:r>
        <w:rPr>
          <w:rFonts w:hint="eastAsia" w:ascii="方正小标宋简体" w:hAnsi="宋体" w:eastAsia="方正小标宋简体"/>
          <w:color w:val="000000"/>
          <w:sz w:val="44"/>
          <w:szCs w:val="44"/>
        </w:rPr>
        <w:t>年度</w:t>
      </w:r>
      <w:bookmarkEnd w:id="1"/>
      <w:bookmarkEnd w:id="2"/>
      <w:bookmarkEnd w:id="3"/>
      <w:bookmarkEnd w:id="4"/>
      <w:bookmarkEnd w:id="5"/>
    </w:p>
    <w:p>
      <w:pPr>
        <w:adjustRightInd w:val="0"/>
        <w:snapToGrid w:val="0"/>
        <w:spacing w:line="360" w:lineRule="auto"/>
        <w:jc w:val="center"/>
        <w:outlineLvl w:val="0"/>
        <w:rPr>
          <w:rFonts w:ascii="方正小标宋简体" w:hAnsi="宋体" w:eastAsia="方正小标宋简体"/>
          <w:color w:val="000000"/>
          <w:sz w:val="44"/>
          <w:szCs w:val="44"/>
        </w:rPr>
      </w:pPr>
      <w:bookmarkStart w:id="6" w:name="_Toc15377426"/>
      <w:bookmarkStart w:id="7" w:name="_Toc15396476"/>
      <w:bookmarkStart w:id="8" w:name="_Toc15377194"/>
      <w:bookmarkStart w:id="9" w:name="_Toc15396598"/>
      <w:bookmarkStart w:id="10" w:name="_Toc15378442"/>
      <w:r>
        <w:rPr>
          <w:rFonts w:hint="eastAsia" w:ascii="方正小标宋简体" w:hAnsi="宋体" w:eastAsia="方正小标宋简体"/>
          <w:color w:val="000000"/>
          <w:sz w:val="44"/>
          <w:szCs w:val="44"/>
        </w:rPr>
        <w:t>四川省阿坝州</w:t>
      </w:r>
      <w:bookmarkEnd w:id="0"/>
      <w:bookmarkStart w:id="11" w:name="_Toc15306268"/>
      <w:r>
        <w:rPr>
          <w:rFonts w:hint="eastAsia" w:ascii="方正小标宋简体" w:hAnsi="宋体" w:eastAsia="方正小标宋简体"/>
          <w:color w:val="000000"/>
          <w:sz w:val="44"/>
          <w:szCs w:val="44"/>
        </w:rPr>
        <w:t>茂县土门镇人民政府</w:t>
      </w:r>
    </w:p>
    <w:p>
      <w:pPr>
        <w:adjustRightInd w:val="0"/>
        <w:snapToGrid w:val="0"/>
        <w:spacing w:line="360" w:lineRule="auto"/>
        <w:jc w:val="center"/>
        <w:outlineLvl w:val="0"/>
        <w:rPr>
          <w:rFonts w:ascii="方正小标宋简体" w:hAnsi="宋体" w:eastAsia="方正小标宋简体"/>
          <w:color w:val="000000"/>
          <w:sz w:val="44"/>
          <w:szCs w:val="44"/>
        </w:rPr>
      </w:pPr>
      <w:r>
        <w:rPr>
          <w:rFonts w:hint="eastAsia" w:ascii="方正小标宋简体" w:hAnsi="宋体" w:eastAsia="方正小标宋简体"/>
          <w:color w:val="000000"/>
          <w:sz w:val="44"/>
          <w:szCs w:val="44"/>
        </w:rPr>
        <w:t>部门决算</w:t>
      </w:r>
      <w:bookmarkEnd w:id="6"/>
      <w:bookmarkEnd w:id="7"/>
      <w:bookmarkEnd w:id="8"/>
      <w:bookmarkEnd w:id="9"/>
      <w:bookmarkEnd w:id="10"/>
      <w:bookmarkEnd w:id="11"/>
    </w:p>
    <w:p>
      <w:pPr>
        <w:widowControl/>
        <w:jc w:val="center"/>
        <w:rPr>
          <w:rFonts w:ascii="方正小标宋简体" w:hAnsi="宋体" w:eastAsia="方正小标宋简体"/>
          <w:color w:val="000000"/>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autoSpaceDE w:val="0"/>
        <w:autoSpaceDN w:val="0"/>
        <w:adjustRightInd w:val="0"/>
        <w:ind w:firstLine="1276"/>
        <w:jc w:val="left"/>
        <w:rPr>
          <w:rFonts w:ascii="仿宋_GB2312" w:hAnsi="Calibri" w:eastAsia="仿宋_GB2312" w:cs="仿宋_GB2312"/>
          <w:sz w:val="32"/>
          <w:szCs w:val="32"/>
        </w:rPr>
      </w:pPr>
      <w:r>
        <w:rPr>
          <w:rFonts w:hint="eastAsia" w:ascii="仿宋_GB2312" w:hAnsi="Calibri" w:eastAsia="仿宋_GB2312" w:cs="仿宋_GB2312"/>
          <w:sz w:val="32"/>
          <w:szCs w:val="32"/>
        </w:rPr>
        <w:t>保密审查情况：</w:t>
      </w:r>
    </w:p>
    <w:p>
      <w:pPr>
        <w:autoSpaceDE w:val="0"/>
        <w:autoSpaceDN w:val="0"/>
        <w:adjustRightInd w:val="0"/>
        <w:ind w:firstLine="1276"/>
        <w:jc w:val="left"/>
        <w:rPr>
          <w:rFonts w:eastAsia="仿宋_GB2312"/>
          <w:sz w:val="32"/>
          <w:szCs w:val="32"/>
        </w:rPr>
      </w:pPr>
      <w:r>
        <w:rPr>
          <w:rFonts w:hint="eastAsia" w:ascii="仿宋_GB2312" w:eastAsia="仿宋_GB2312" w:cs="仿宋_GB2312"/>
          <w:sz w:val="32"/>
          <w:szCs w:val="32"/>
        </w:rPr>
        <w:t>部门主要负责人审签情况：</w:t>
      </w:r>
    </w:p>
    <w:p>
      <w:pPr>
        <w:widowControl/>
        <w:jc w:val="center"/>
        <w:rPr>
          <w:rFonts w:ascii="方正小标宋简体" w:hAnsi="宋体" w:eastAsia="方正小标宋简体"/>
          <w:sz w:val="36"/>
          <w:szCs w:val="36"/>
        </w:rPr>
      </w:pPr>
    </w:p>
    <w:p>
      <w:pPr>
        <w:widowControl/>
        <w:jc w:val="center"/>
        <w:rPr>
          <w:rFonts w:ascii="黑体" w:hAnsi="黑体" w:eastAsia="黑体"/>
          <w:color w:val="000000"/>
          <w:sz w:val="48"/>
          <w:szCs w:val="48"/>
        </w:rPr>
      </w:pPr>
      <w:r>
        <w:rPr>
          <w:rFonts w:ascii="方正小标宋简体" w:hAnsi="宋体" w:eastAsia="方正小标宋简体"/>
          <w:sz w:val="36"/>
          <w:szCs w:val="36"/>
        </w:rPr>
        <w:br w:type="page"/>
      </w:r>
      <w:r>
        <w:rPr>
          <w:rFonts w:hint="eastAsia" w:ascii="黑体" w:hAnsi="黑体" w:eastAsia="黑体"/>
          <w:color w:val="000000"/>
          <w:sz w:val="48"/>
          <w:szCs w:val="48"/>
        </w:rPr>
        <w:t>目  录</w:t>
      </w:r>
    </w:p>
    <w:p>
      <w:pPr>
        <w:widowControl/>
        <w:jc w:val="center"/>
        <w:rPr>
          <w:rFonts w:ascii="黑体" w:hAnsi="黑体" w:eastAsia="黑体" w:cstheme="minorBidi"/>
          <w:sz w:val="28"/>
          <w:szCs w:val="28"/>
        </w:rPr>
      </w:pPr>
    </w:p>
    <w:p/>
    <w:p>
      <w:pPr>
        <w:pStyle w:val="10"/>
        <w:adjustRightInd w:val="0"/>
        <w:snapToGrid w:val="0"/>
        <w:spacing w:before="0" w:line="440" w:lineRule="exact"/>
        <w:jc w:val="left"/>
        <w:rPr>
          <w:rFonts w:cstheme="minorBidi"/>
          <w:sz w:val="24"/>
          <w:szCs w:val="24"/>
        </w:rPr>
      </w:pPr>
      <w:r>
        <w:rPr>
          <w:rFonts w:hint="eastAsia" w:ascii="Times New Roman" w:hAnsi="Times New Roman" w:eastAsia="宋体"/>
          <w:sz w:val="24"/>
          <w:szCs w:val="24"/>
        </w:rPr>
        <w:t>第一部分 部门概况</w:t>
      </w:r>
      <w:r>
        <w:rPr>
          <w:rFonts w:hint="eastAsia"/>
          <w:sz w:val="24"/>
        </w:rPr>
        <w:t>...............................................4</w:t>
      </w:r>
    </w:p>
    <w:p>
      <w:pPr>
        <w:pStyle w:val="11"/>
        <w:adjustRightInd w:val="0"/>
        <w:snapToGrid w:val="0"/>
        <w:spacing w:line="440" w:lineRule="exact"/>
        <w:jc w:val="left"/>
        <w:rPr>
          <w:rFonts w:ascii="仿宋" w:hAnsi="仿宋"/>
          <w:sz w:val="24"/>
        </w:rPr>
      </w:pPr>
      <w:r>
        <w:rPr>
          <w:rFonts w:hint="eastAsia"/>
          <w:sz w:val="24"/>
        </w:rPr>
        <w:t>一、基本职能及主要工作.............................................................................4</w:t>
      </w:r>
    </w:p>
    <w:p>
      <w:pPr>
        <w:pStyle w:val="11"/>
        <w:adjustRightInd w:val="0"/>
        <w:snapToGrid w:val="0"/>
        <w:spacing w:line="440" w:lineRule="exact"/>
        <w:jc w:val="left"/>
        <w:rPr>
          <w:rFonts w:ascii="仿宋" w:hAnsi="仿宋" w:cstheme="minorBidi"/>
          <w:sz w:val="24"/>
        </w:rPr>
      </w:pPr>
      <w:r>
        <w:rPr>
          <w:rFonts w:hint="eastAsia"/>
          <w:sz w:val="24"/>
        </w:rPr>
        <w:t>二、机构设置.................................................................................................6</w:t>
      </w:r>
    </w:p>
    <w:p>
      <w:pPr>
        <w:pStyle w:val="10"/>
        <w:adjustRightInd w:val="0"/>
        <w:snapToGrid w:val="0"/>
        <w:spacing w:before="0" w:line="440" w:lineRule="exact"/>
        <w:jc w:val="left"/>
        <w:rPr>
          <w:sz w:val="24"/>
          <w:szCs w:val="24"/>
        </w:rPr>
      </w:pPr>
      <w:r>
        <w:rPr>
          <w:rFonts w:hint="eastAsia" w:ascii="Times New Roman" w:hAnsi="Times New Roman" w:eastAsia="宋体"/>
          <w:sz w:val="24"/>
          <w:szCs w:val="24"/>
        </w:rPr>
        <w:t>第二部分度部门决算情况说明</w:t>
      </w:r>
      <w:r>
        <w:rPr>
          <w:rFonts w:hint="eastAsia"/>
          <w:sz w:val="24"/>
        </w:rPr>
        <w:t>......................................6</w:t>
      </w:r>
    </w:p>
    <w:p>
      <w:pPr>
        <w:pStyle w:val="11"/>
        <w:adjustRightInd w:val="0"/>
        <w:snapToGrid w:val="0"/>
        <w:spacing w:line="440" w:lineRule="exact"/>
        <w:jc w:val="left"/>
        <w:rPr>
          <w:rFonts w:ascii="仿宋" w:hAnsi="仿宋" w:cstheme="minorBidi"/>
          <w:sz w:val="24"/>
        </w:rPr>
      </w:pPr>
      <w:r>
        <w:rPr>
          <w:rFonts w:hint="eastAsia"/>
          <w:sz w:val="24"/>
        </w:rPr>
        <w:t>一、收入支出决算总体情况说明..................................................................6</w:t>
      </w:r>
    </w:p>
    <w:p>
      <w:pPr>
        <w:pStyle w:val="11"/>
        <w:adjustRightInd w:val="0"/>
        <w:snapToGrid w:val="0"/>
        <w:spacing w:line="440" w:lineRule="exact"/>
        <w:jc w:val="left"/>
        <w:rPr>
          <w:rFonts w:ascii="仿宋" w:hAnsi="仿宋" w:cstheme="minorBidi"/>
          <w:sz w:val="24"/>
        </w:rPr>
      </w:pPr>
      <w:r>
        <w:rPr>
          <w:rFonts w:hint="eastAsia"/>
          <w:sz w:val="24"/>
        </w:rPr>
        <w:t>二、收入决算情况说明..................................................................................6</w:t>
      </w:r>
    </w:p>
    <w:p>
      <w:pPr>
        <w:pStyle w:val="11"/>
        <w:adjustRightInd w:val="0"/>
        <w:snapToGrid w:val="0"/>
        <w:spacing w:line="440" w:lineRule="exact"/>
        <w:jc w:val="left"/>
        <w:rPr>
          <w:rFonts w:ascii="仿宋" w:hAnsi="仿宋" w:cstheme="minorBidi"/>
          <w:sz w:val="24"/>
        </w:rPr>
      </w:pPr>
      <w:r>
        <w:rPr>
          <w:rFonts w:hint="eastAsia"/>
          <w:sz w:val="24"/>
        </w:rPr>
        <w:t>三、支出决算情况说明..................................................................................7</w:t>
      </w:r>
    </w:p>
    <w:p>
      <w:pPr>
        <w:pStyle w:val="11"/>
        <w:adjustRightInd w:val="0"/>
        <w:snapToGrid w:val="0"/>
        <w:spacing w:line="440" w:lineRule="exact"/>
        <w:jc w:val="left"/>
        <w:rPr>
          <w:rFonts w:ascii="仿宋" w:hAnsi="仿宋" w:cstheme="minorBidi"/>
          <w:sz w:val="24"/>
        </w:rPr>
      </w:pPr>
      <w:r>
        <w:rPr>
          <w:rFonts w:hint="eastAsia"/>
          <w:sz w:val="24"/>
        </w:rPr>
        <w:t>四、财政拨款收入支出决算总体情况说明..................................................7</w:t>
      </w:r>
    </w:p>
    <w:p>
      <w:pPr>
        <w:pStyle w:val="11"/>
        <w:adjustRightInd w:val="0"/>
        <w:snapToGrid w:val="0"/>
        <w:spacing w:line="440" w:lineRule="exact"/>
        <w:jc w:val="left"/>
        <w:rPr>
          <w:rFonts w:ascii="仿宋" w:hAnsi="仿宋" w:cstheme="minorBidi"/>
          <w:sz w:val="24"/>
        </w:rPr>
      </w:pPr>
      <w:r>
        <w:rPr>
          <w:rFonts w:hint="eastAsia"/>
          <w:sz w:val="24"/>
        </w:rPr>
        <w:t>五、一般公共预算财政拨款支出决算情况说明..........................................8</w:t>
      </w:r>
    </w:p>
    <w:p>
      <w:pPr>
        <w:pStyle w:val="11"/>
        <w:adjustRightInd w:val="0"/>
        <w:snapToGrid w:val="0"/>
        <w:spacing w:line="440" w:lineRule="exact"/>
        <w:jc w:val="left"/>
        <w:rPr>
          <w:rFonts w:ascii="仿宋" w:hAnsi="仿宋" w:cstheme="minorBidi"/>
          <w:sz w:val="24"/>
        </w:rPr>
      </w:pPr>
      <w:r>
        <w:rPr>
          <w:rFonts w:hint="eastAsia"/>
          <w:sz w:val="24"/>
        </w:rPr>
        <w:t>六、一般公共预算财政拨款基本支出决算情况说明..................................13</w:t>
      </w:r>
    </w:p>
    <w:p>
      <w:pPr>
        <w:pStyle w:val="11"/>
        <w:adjustRightInd w:val="0"/>
        <w:snapToGrid w:val="0"/>
        <w:spacing w:line="440" w:lineRule="exact"/>
        <w:jc w:val="left"/>
        <w:rPr>
          <w:rFonts w:ascii="仿宋" w:hAnsi="仿宋" w:cstheme="minorBidi"/>
          <w:sz w:val="24"/>
        </w:rPr>
      </w:pPr>
      <w:r>
        <w:rPr>
          <w:rFonts w:hint="eastAsia"/>
          <w:sz w:val="24"/>
        </w:rPr>
        <w:t>七、</w:t>
      </w:r>
      <w:r>
        <w:rPr>
          <w:sz w:val="24"/>
        </w:rPr>
        <w:t>“</w:t>
      </w:r>
      <w:r>
        <w:rPr>
          <w:rFonts w:hint="eastAsia"/>
          <w:sz w:val="24"/>
        </w:rPr>
        <w:t>三公”经费财政拨款支出决算情况说明............................................13</w:t>
      </w:r>
    </w:p>
    <w:p>
      <w:pPr>
        <w:pStyle w:val="11"/>
        <w:adjustRightInd w:val="0"/>
        <w:snapToGrid w:val="0"/>
        <w:spacing w:line="440" w:lineRule="exact"/>
        <w:jc w:val="left"/>
        <w:rPr>
          <w:rFonts w:ascii="仿宋" w:hAnsi="仿宋" w:cstheme="minorBidi"/>
          <w:sz w:val="24"/>
        </w:rPr>
      </w:pPr>
      <w:r>
        <w:rPr>
          <w:rFonts w:hint="eastAsia"/>
          <w:sz w:val="24"/>
        </w:rPr>
        <w:t>八、政府性基金预算支出决算情况说明......................................................15</w:t>
      </w:r>
    </w:p>
    <w:p>
      <w:pPr>
        <w:pStyle w:val="11"/>
        <w:adjustRightInd w:val="0"/>
        <w:snapToGrid w:val="0"/>
        <w:spacing w:line="440" w:lineRule="exact"/>
        <w:ind w:leftChars="0"/>
        <w:jc w:val="left"/>
        <w:rPr>
          <w:rFonts w:ascii="仿宋" w:hAnsi="仿宋"/>
          <w:sz w:val="24"/>
        </w:rPr>
      </w:pPr>
      <w:r>
        <w:rPr>
          <w:rFonts w:hint="eastAsia"/>
          <w:sz w:val="24"/>
        </w:rPr>
        <w:t>九、</w:t>
      </w:r>
      <w:r>
        <w:rPr>
          <w:sz w:val="24"/>
        </w:rPr>
        <w:t xml:space="preserve"> 国</w:t>
      </w:r>
      <w:r>
        <w:rPr>
          <w:rFonts w:hint="eastAsia"/>
          <w:sz w:val="24"/>
        </w:rPr>
        <w:t>有资本经营预算支出决算情况说明................................................15</w:t>
      </w:r>
    </w:p>
    <w:p>
      <w:pPr>
        <w:adjustRightInd w:val="0"/>
        <w:snapToGrid w:val="0"/>
        <w:spacing w:line="440" w:lineRule="exact"/>
        <w:ind w:firstLine="480" w:firstLineChars="200"/>
        <w:jc w:val="left"/>
        <w:rPr>
          <w:rFonts w:ascii="仿宋" w:hAnsi="仿宋" w:eastAsia="仿宋" w:cstheme="minorBidi"/>
          <w:sz w:val="24"/>
        </w:rPr>
      </w:pPr>
      <w:r>
        <w:rPr>
          <w:rFonts w:hint="eastAsia"/>
          <w:sz w:val="24"/>
        </w:rPr>
        <w:t>十、其他重要事项的情况明........................................................................15</w:t>
      </w:r>
    </w:p>
    <w:p>
      <w:pPr>
        <w:pStyle w:val="10"/>
        <w:adjustRightInd w:val="0"/>
        <w:snapToGrid w:val="0"/>
        <w:spacing w:before="0" w:line="440" w:lineRule="exact"/>
        <w:jc w:val="left"/>
        <w:rPr>
          <w:rFonts w:cstheme="minorBidi"/>
          <w:sz w:val="24"/>
          <w:szCs w:val="24"/>
        </w:rPr>
      </w:pPr>
      <w:r>
        <w:rPr>
          <w:rFonts w:hint="eastAsia" w:ascii="Times New Roman" w:hAnsi="Times New Roman" w:eastAsia="宋体"/>
          <w:sz w:val="24"/>
          <w:szCs w:val="24"/>
        </w:rPr>
        <w:t>第三部分 名词解释</w:t>
      </w:r>
      <w:r>
        <w:rPr>
          <w:rFonts w:hint="eastAsia"/>
          <w:sz w:val="24"/>
        </w:rPr>
        <w:t>...............................................30</w:t>
      </w:r>
    </w:p>
    <w:p>
      <w:pPr>
        <w:pStyle w:val="10"/>
        <w:adjustRightInd w:val="0"/>
        <w:snapToGrid w:val="0"/>
        <w:spacing w:before="0" w:line="440" w:lineRule="exact"/>
        <w:jc w:val="left"/>
        <w:rPr>
          <w:rFonts w:cstheme="minorBidi"/>
          <w:sz w:val="24"/>
          <w:szCs w:val="24"/>
        </w:rPr>
      </w:pPr>
      <w:r>
        <w:rPr>
          <w:rFonts w:hint="eastAsia" w:ascii="Times New Roman" w:hAnsi="Times New Roman" w:eastAsia="宋体"/>
          <w:sz w:val="24"/>
          <w:szCs w:val="24"/>
        </w:rPr>
        <w:t>第四部分 附件.部门整体支出绩效评价报告</w:t>
      </w:r>
      <w:r>
        <w:rPr>
          <w:rFonts w:hint="eastAsia"/>
          <w:sz w:val="24"/>
        </w:rPr>
        <w:t>...........................35</w:t>
      </w:r>
    </w:p>
    <w:p>
      <w:pPr>
        <w:pStyle w:val="10"/>
        <w:adjustRightInd w:val="0"/>
        <w:snapToGrid w:val="0"/>
        <w:spacing w:before="0" w:line="440" w:lineRule="exact"/>
        <w:jc w:val="left"/>
        <w:rPr>
          <w:rFonts w:cstheme="minorBidi"/>
          <w:sz w:val="24"/>
          <w:szCs w:val="24"/>
        </w:rPr>
      </w:pPr>
      <w:r>
        <w:rPr>
          <w:rFonts w:hint="eastAsia" w:ascii="Times New Roman" w:hAnsi="Times New Roman" w:eastAsia="宋体"/>
          <w:sz w:val="24"/>
          <w:szCs w:val="24"/>
        </w:rPr>
        <w:t>第五部分 附表</w:t>
      </w:r>
      <w:r>
        <w:rPr>
          <w:rFonts w:hint="eastAsia"/>
          <w:sz w:val="24"/>
        </w:rPr>
        <w:t>....................................................41</w:t>
      </w:r>
    </w:p>
    <w:p>
      <w:pPr>
        <w:pStyle w:val="11"/>
        <w:adjustRightInd w:val="0"/>
        <w:snapToGrid w:val="0"/>
        <w:spacing w:line="440" w:lineRule="exact"/>
        <w:jc w:val="left"/>
        <w:rPr>
          <w:rFonts w:ascii="仿宋" w:hAnsi="仿宋" w:cstheme="minorBidi"/>
          <w:sz w:val="24"/>
        </w:rPr>
      </w:pPr>
      <w:r>
        <w:rPr>
          <w:rFonts w:hint="eastAsia" w:ascii="仿宋" w:hAnsi="仿宋" w:eastAsia="仿宋"/>
          <w:sz w:val="24"/>
        </w:rPr>
        <w:t>一、</w:t>
      </w:r>
      <w:r>
        <w:rPr>
          <w:rFonts w:hint="eastAsia"/>
          <w:sz w:val="24"/>
        </w:rPr>
        <w:t>收入支出决算总表...................................................................................41</w:t>
      </w:r>
    </w:p>
    <w:p>
      <w:pPr>
        <w:pStyle w:val="11"/>
        <w:adjustRightInd w:val="0"/>
        <w:snapToGrid w:val="0"/>
        <w:spacing w:line="440" w:lineRule="exact"/>
        <w:jc w:val="left"/>
        <w:rPr>
          <w:rFonts w:ascii="仿宋" w:hAnsi="仿宋" w:cstheme="minorBidi"/>
          <w:sz w:val="24"/>
        </w:rPr>
      </w:pPr>
      <w:r>
        <w:rPr>
          <w:rFonts w:hint="eastAsia"/>
          <w:sz w:val="24"/>
        </w:rPr>
        <w:t>二、收入决算表...............................................................................................41</w:t>
      </w:r>
    </w:p>
    <w:p>
      <w:pPr>
        <w:pStyle w:val="11"/>
        <w:adjustRightInd w:val="0"/>
        <w:snapToGrid w:val="0"/>
        <w:spacing w:line="440" w:lineRule="exact"/>
        <w:jc w:val="left"/>
        <w:rPr>
          <w:rFonts w:ascii="仿宋" w:hAnsi="仿宋" w:cstheme="minorBidi"/>
          <w:sz w:val="24"/>
        </w:rPr>
      </w:pPr>
      <w:r>
        <w:rPr>
          <w:rFonts w:hint="eastAsia"/>
          <w:sz w:val="24"/>
        </w:rPr>
        <w:t>三、支出决算表...............................................................................................41</w:t>
      </w:r>
    </w:p>
    <w:p>
      <w:pPr>
        <w:pStyle w:val="11"/>
        <w:adjustRightInd w:val="0"/>
        <w:snapToGrid w:val="0"/>
        <w:spacing w:line="440" w:lineRule="exact"/>
        <w:jc w:val="left"/>
        <w:rPr>
          <w:rFonts w:ascii="仿宋" w:hAnsi="仿宋" w:cstheme="minorBidi"/>
          <w:sz w:val="24"/>
        </w:rPr>
      </w:pPr>
      <w:r>
        <w:rPr>
          <w:rFonts w:hint="eastAsia"/>
          <w:sz w:val="24"/>
        </w:rPr>
        <w:t>四、财政拨款收入支出决算总表....................................................................41</w:t>
      </w:r>
    </w:p>
    <w:p>
      <w:pPr>
        <w:pStyle w:val="11"/>
        <w:adjustRightInd w:val="0"/>
        <w:snapToGrid w:val="0"/>
        <w:spacing w:line="440" w:lineRule="exact"/>
        <w:jc w:val="left"/>
        <w:rPr>
          <w:rFonts w:ascii="仿宋" w:hAnsi="仿宋" w:eastAsia="仿宋"/>
          <w:sz w:val="24"/>
        </w:rPr>
      </w:pPr>
      <w:r>
        <w:rPr>
          <w:rFonts w:hint="eastAsia"/>
          <w:sz w:val="24"/>
        </w:rPr>
        <w:t>五、财政拨款支出决算明细表</w:t>
      </w:r>
      <w:r>
        <w:rPr>
          <w:rFonts w:hint="eastAsia" w:ascii="仿宋" w:hAnsi="仿宋" w:eastAsia="仿宋"/>
          <w:sz w:val="24"/>
        </w:rPr>
        <w:t>....................................41</w:t>
      </w:r>
    </w:p>
    <w:p>
      <w:pPr>
        <w:pStyle w:val="11"/>
        <w:adjustRightInd w:val="0"/>
        <w:snapToGrid w:val="0"/>
        <w:spacing w:line="440" w:lineRule="exact"/>
        <w:jc w:val="left"/>
        <w:rPr>
          <w:rFonts w:ascii="仿宋" w:hAnsi="仿宋" w:cstheme="minorBidi"/>
          <w:sz w:val="24"/>
        </w:rPr>
      </w:pPr>
      <w:r>
        <w:rPr>
          <w:rFonts w:hint="eastAsia" w:ascii="仿宋" w:hAnsi="仿宋" w:eastAsia="仿宋"/>
          <w:sz w:val="24"/>
        </w:rPr>
        <w:t>六、</w:t>
      </w:r>
      <w:r>
        <w:rPr>
          <w:rFonts w:hint="eastAsia"/>
          <w:sz w:val="24"/>
        </w:rPr>
        <w:t>一般公共预算财政拨款支出决算表........................................................41</w:t>
      </w:r>
    </w:p>
    <w:p>
      <w:pPr>
        <w:pStyle w:val="11"/>
        <w:adjustRightInd w:val="0"/>
        <w:snapToGrid w:val="0"/>
        <w:spacing w:line="440" w:lineRule="exact"/>
        <w:jc w:val="left"/>
        <w:rPr>
          <w:rFonts w:ascii="仿宋" w:hAnsi="仿宋" w:cstheme="minorBidi"/>
          <w:sz w:val="24"/>
        </w:rPr>
      </w:pPr>
      <w:r>
        <w:rPr>
          <w:rFonts w:hint="eastAsia" w:ascii="仿宋" w:hAnsi="仿宋" w:eastAsia="仿宋"/>
          <w:sz w:val="24"/>
        </w:rPr>
        <w:t>七、</w:t>
      </w:r>
      <w:r>
        <w:rPr>
          <w:rFonts w:hint="eastAsia"/>
          <w:sz w:val="24"/>
        </w:rPr>
        <w:t>一般公共预算财政拨款支出决算明细表................................................41</w:t>
      </w:r>
    </w:p>
    <w:p>
      <w:pPr>
        <w:pStyle w:val="11"/>
        <w:adjustRightInd w:val="0"/>
        <w:snapToGrid w:val="0"/>
        <w:spacing w:line="440" w:lineRule="exact"/>
        <w:jc w:val="left"/>
        <w:rPr>
          <w:rFonts w:ascii="仿宋" w:hAnsi="仿宋" w:cstheme="minorBidi"/>
          <w:sz w:val="24"/>
        </w:rPr>
      </w:pPr>
      <w:r>
        <w:rPr>
          <w:rFonts w:hint="eastAsia" w:ascii="仿宋" w:hAnsi="仿宋" w:eastAsia="仿宋"/>
          <w:sz w:val="24"/>
        </w:rPr>
        <w:t>八、</w:t>
      </w:r>
      <w:r>
        <w:rPr>
          <w:rFonts w:hint="eastAsia"/>
          <w:sz w:val="24"/>
        </w:rPr>
        <w:t>一般公共预算财政拨款基本支出决算表................................................41</w:t>
      </w:r>
    </w:p>
    <w:p>
      <w:pPr>
        <w:pStyle w:val="11"/>
        <w:adjustRightInd w:val="0"/>
        <w:snapToGrid w:val="0"/>
        <w:spacing w:line="440" w:lineRule="exact"/>
        <w:jc w:val="left"/>
        <w:rPr>
          <w:rFonts w:ascii="仿宋" w:hAnsi="仿宋" w:cstheme="minorBidi"/>
          <w:sz w:val="24"/>
        </w:rPr>
      </w:pPr>
      <w:r>
        <w:rPr>
          <w:rFonts w:hint="eastAsia" w:ascii="仿宋" w:hAnsi="仿宋" w:eastAsia="仿宋"/>
          <w:sz w:val="24"/>
        </w:rPr>
        <w:t>九、</w:t>
      </w:r>
      <w:r>
        <w:rPr>
          <w:rFonts w:hint="eastAsia"/>
          <w:sz w:val="24"/>
        </w:rPr>
        <w:t>一般公共预算财政拨款项目支出决算表................................................41</w:t>
      </w:r>
    </w:p>
    <w:p>
      <w:pPr>
        <w:pStyle w:val="11"/>
        <w:adjustRightInd w:val="0"/>
        <w:snapToGrid w:val="0"/>
        <w:spacing w:line="440" w:lineRule="exact"/>
        <w:jc w:val="left"/>
        <w:rPr>
          <w:rFonts w:ascii="仿宋" w:hAnsi="仿宋" w:cstheme="minorBidi"/>
          <w:sz w:val="24"/>
        </w:rPr>
      </w:pPr>
      <w:r>
        <w:rPr>
          <w:rFonts w:hint="eastAsia" w:ascii="仿宋" w:hAnsi="仿宋" w:eastAsia="仿宋"/>
          <w:sz w:val="24"/>
        </w:rPr>
        <w:t>十、</w:t>
      </w:r>
      <w:r>
        <w:rPr>
          <w:rFonts w:hint="eastAsia"/>
          <w:sz w:val="24"/>
        </w:rPr>
        <w:t>一般公共预算财政拨款“三公”经费支出决算表.................................41</w:t>
      </w:r>
    </w:p>
    <w:p>
      <w:pPr>
        <w:pStyle w:val="11"/>
        <w:adjustRightInd w:val="0"/>
        <w:snapToGrid w:val="0"/>
        <w:spacing w:line="440" w:lineRule="exact"/>
        <w:jc w:val="left"/>
        <w:rPr>
          <w:rFonts w:ascii="仿宋" w:hAnsi="仿宋" w:cstheme="minorBidi"/>
          <w:sz w:val="24"/>
        </w:rPr>
      </w:pPr>
      <w:r>
        <w:rPr>
          <w:rFonts w:hint="eastAsia" w:ascii="仿宋" w:hAnsi="仿宋" w:eastAsia="仿宋"/>
          <w:sz w:val="24"/>
        </w:rPr>
        <w:t>十一、</w:t>
      </w:r>
      <w:r>
        <w:rPr>
          <w:rFonts w:hint="eastAsia"/>
          <w:sz w:val="24"/>
        </w:rPr>
        <w:t>政府性基金预算财政拨款收入支出决算表........................................41</w:t>
      </w:r>
    </w:p>
    <w:p>
      <w:pPr>
        <w:pStyle w:val="11"/>
        <w:adjustRightInd w:val="0"/>
        <w:snapToGrid w:val="0"/>
        <w:spacing w:line="440" w:lineRule="exact"/>
        <w:jc w:val="left"/>
        <w:rPr>
          <w:rFonts w:ascii="仿宋" w:hAnsi="仿宋" w:cstheme="minorBidi"/>
          <w:sz w:val="24"/>
        </w:rPr>
      </w:pPr>
      <w:r>
        <w:rPr>
          <w:rFonts w:hint="eastAsia" w:ascii="仿宋" w:hAnsi="仿宋" w:eastAsia="仿宋"/>
          <w:sz w:val="24"/>
        </w:rPr>
        <w:t>十二、</w:t>
      </w:r>
      <w:r>
        <w:rPr>
          <w:rFonts w:hint="eastAsia"/>
          <w:sz w:val="24"/>
        </w:rPr>
        <w:t>政府性基金预算财政拨款“三公”经费支出决算表.........................41</w:t>
      </w:r>
    </w:p>
    <w:p>
      <w:pPr>
        <w:pStyle w:val="11"/>
        <w:adjustRightInd w:val="0"/>
        <w:snapToGrid w:val="0"/>
        <w:spacing w:line="440" w:lineRule="exact"/>
        <w:jc w:val="left"/>
        <w:rPr>
          <w:rFonts w:ascii="仿宋" w:hAnsi="仿宋" w:cstheme="minorBidi"/>
          <w:sz w:val="24"/>
        </w:rPr>
      </w:pPr>
      <w:r>
        <w:rPr>
          <w:rFonts w:hint="eastAsia" w:ascii="仿宋" w:hAnsi="仿宋" w:eastAsia="仿宋"/>
          <w:sz w:val="24"/>
        </w:rPr>
        <w:t>十三、</w:t>
      </w:r>
      <w:r>
        <w:rPr>
          <w:rFonts w:hint="eastAsia"/>
          <w:sz w:val="24"/>
        </w:rPr>
        <w:t>国有资本经营预算支出决算表.............................................................41</w:t>
      </w:r>
    </w:p>
    <w:p>
      <w:pPr>
        <w:widowControl/>
        <w:spacing w:line="440" w:lineRule="exact"/>
        <w:jc w:val="left"/>
        <w:rPr>
          <w:rFonts w:ascii="仿宋" w:hAnsi="仿宋" w:eastAsia="仿宋"/>
          <w:bCs/>
          <w:kern w:val="44"/>
          <w:sz w:val="24"/>
        </w:rPr>
      </w:pPr>
      <w:bookmarkStart w:id="12" w:name="_Toc15396599"/>
      <w:bookmarkStart w:id="13" w:name="_Toc15377196"/>
      <w:r>
        <w:rPr>
          <w:rFonts w:ascii="仿宋" w:hAnsi="仿宋" w:eastAsia="仿宋"/>
          <w:b/>
          <w:sz w:val="24"/>
        </w:rPr>
        <w:br w:type="page"/>
      </w:r>
    </w:p>
    <w:p>
      <w:pPr>
        <w:pStyle w:val="2"/>
        <w:jc w:val="center"/>
        <w:rPr>
          <w:rFonts w:ascii="黑体" w:eastAsia="黑体"/>
          <w:color w:val="000000"/>
          <w:sz w:val="32"/>
          <w:szCs w:val="32"/>
        </w:rPr>
      </w:pPr>
      <w:r>
        <w:rPr>
          <w:rFonts w:hint="eastAsia" w:ascii="黑体" w:hAnsi="黑体" w:eastAsia="黑体"/>
          <w:b w:val="0"/>
        </w:rPr>
        <w:t xml:space="preserve">第一部分 </w:t>
      </w:r>
      <w:r>
        <w:rPr>
          <w:rStyle w:val="24"/>
          <w:rFonts w:hint="eastAsia" w:ascii="黑体" w:hAnsi="黑体" w:eastAsia="黑体"/>
          <w:b w:val="0"/>
          <w:bCs w:val="0"/>
        </w:rPr>
        <w:t>部门概况</w:t>
      </w:r>
      <w:bookmarkEnd w:id="12"/>
      <w:bookmarkEnd w:id="13"/>
    </w:p>
    <w:p>
      <w:pPr>
        <w:pStyle w:val="3"/>
        <w:ind w:firstLine="640" w:firstLineChars="200"/>
        <w:rPr>
          <w:rStyle w:val="25"/>
          <w:rFonts w:ascii="仿宋" w:hAnsi="仿宋" w:eastAsia="仿宋"/>
          <w:b w:val="0"/>
          <w:bCs w:val="0"/>
        </w:rPr>
      </w:pPr>
      <w:bookmarkStart w:id="14" w:name="_Toc15396600"/>
      <w:bookmarkStart w:id="15" w:name="_Toc15377197"/>
      <w:r>
        <w:rPr>
          <w:rFonts w:hint="eastAsia" w:ascii="黑体" w:hAnsi="黑体" w:eastAsia="黑体"/>
          <w:b w:val="0"/>
          <w:color w:val="000000"/>
        </w:rPr>
        <w:t>一、基</w:t>
      </w:r>
      <w:r>
        <w:rPr>
          <w:rStyle w:val="25"/>
          <w:rFonts w:hint="eastAsia" w:ascii="黑体" w:hAnsi="黑体" w:eastAsia="黑体"/>
          <w:b w:val="0"/>
          <w:bCs w:val="0"/>
        </w:rPr>
        <w:t>本职能及主要工作</w:t>
      </w:r>
      <w:bookmarkEnd w:id="14"/>
      <w:bookmarkEnd w:id="15"/>
    </w:p>
    <w:p>
      <w:pPr>
        <w:spacing w:line="576" w:lineRule="atLeast"/>
        <w:ind w:firstLine="642" w:firstLineChars="200"/>
        <w:outlineLvl w:val="1"/>
        <w:rPr>
          <w:rFonts w:ascii="楷体" w:hAnsi="楷体" w:eastAsia="楷体"/>
          <w:b/>
          <w:bCs/>
          <w:sz w:val="32"/>
          <w:szCs w:val="32"/>
        </w:rPr>
      </w:pPr>
      <w:bookmarkStart w:id="16" w:name="_Toc15396601"/>
      <w:bookmarkStart w:id="17" w:name="_Toc15377200"/>
      <w:r>
        <w:rPr>
          <w:rFonts w:hint="eastAsia" w:ascii="楷体" w:hAnsi="楷体" w:eastAsia="楷体" w:cs="楷体"/>
          <w:b/>
          <w:bCs/>
          <w:color w:val="000000"/>
          <w:sz w:val="32"/>
          <w:szCs w:val="32"/>
        </w:rPr>
        <w:t>（一）基本职能</w:t>
      </w:r>
      <w:bookmarkStart w:id="18" w:name="_Toc15378446"/>
      <w:bookmarkStart w:id="19" w:name="_Toc15377199"/>
    </w:p>
    <w:p>
      <w:pPr>
        <w:spacing w:line="576" w:lineRule="atLeast"/>
        <w:ind w:firstLine="640" w:firstLineChars="200"/>
        <w:outlineLvl w:val="1"/>
        <w:rPr>
          <w:rFonts w:ascii="仿宋_GB2312" w:hAnsi="仿宋_GB2312" w:eastAsia="仿宋_GB2312" w:cs="仿宋_GB2312"/>
          <w:sz w:val="32"/>
          <w:szCs w:val="32"/>
        </w:rPr>
      </w:pPr>
      <w:r>
        <w:rPr>
          <w:rFonts w:hint="eastAsia" w:ascii="仿宋_GB2312" w:hAnsi="仿宋_GB2312" w:eastAsia="仿宋_GB2312" w:cs="仿宋_GB2312"/>
          <w:sz w:val="32"/>
          <w:szCs w:val="32"/>
        </w:rPr>
        <w:t>负责草拟本镇农业产业结构调整规划，建立健全合作组织的组织制度、民主管理制度、利益分配制度等；负责调查了解农业产业结构状况及市场走向，及时提供农业结构调整参考信息；做好计划生育宣传教育工作，落实国家计划生育政策，努力提高人口素质；宣传贯彻国土管理、城建规划的法律法规，拟定全镇国土、城建管理规划措施；宣传教育、文化、科技、卫生等方面的政策、知识，严格按规定做好财务管理工作。</w:t>
      </w:r>
    </w:p>
    <w:p>
      <w:pPr>
        <w:spacing w:line="576" w:lineRule="atLeast"/>
        <w:ind w:firstLine="642" w:firstLineChars="200"/>
        <w:outlineLvl w:val="1"/>
        <w:rPr>
          <w:rFonts w:ascii="楷体" w:hAnsi="楷体" w:eastAsia="楷体" w:cs="楷体"/>
          <w:b/>
          <w:bCs/>
          <w:color w:val="000000"/>
          <w:sz w:val="32"/>
          <w:szCs w:val="32"/>
        </w:rPr>
      </w:pPr>
      <w:r>
        <w:rPr>
          <w:rFonts w:hint="eastAsia" w:ascii="楷体" w:hAnsi="楷体" w:eastAsia="楷体" w:cs="楷体"/>
          <w:b/>
          <w:bCs/>
          <w:color w:val="000000"/>
          <w:sz w:val="32"/>
          <w:szCs w:val="32"/>
        </w:rPr>
        <w:t>（二）2019年重点工作完成情况</w:t>
      </w:r>
      <w:bookmarkEnd w:id="18"/>
      <w:bookmarkEnd w:id="19"/>
    </w:p>
    <w:p>
      <w:pPr>
        <w:spacing w:line="576" w:lineRule="exact"/>
        <w:ind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1.传统农业稳步发展。一是认真落实中央、州、县惠民政策，加大宣传力度，在县农业局的支持下积极开展农村政策及蔬菜、果树种植及修剪技术培训，提高了老百姓种植技术，促进增产增收。二是大力推进传统农业春耕备耕工作，立足传统农业，确保粮食安全。我镇全年农作物总播面12399亩，其中水果种植面积为2306亩；二是加快产业结构调整。加强对猕猴桃、魔芋、中药材等产业管理；三是确保农产品质量安全，实现“管理无盲区、投入无违禁、产品无公害”的目标，成立镇、村农产品质量安全协管员共7名，并签订镇村两级责任书。</w:t>
      </w:r>
    </w:p>
    <w:p>
      <w:pPr>
        <w:spacing w:line="576"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2.认真推进基础设施建设。土门镇积极申报各项基础设施建设项目，改善群众生产生活条件。2019年项目共计31个，总资金762.1万元，已完工27个，未完工4个，已支付资金653.9445495万元，剩余资金（未支付及质保金、结余资金）108.1554505万元。</w:t>
      </w:r>
    </w:p>
    <w:p>
      <w:pPr>
        <w:spacing w:line="576"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3.深入开展精准扶贫攻坚工作。一是科学规划因村施策。通过日常走访以及召开村组干部大会对6个村的实际情况进行梳理，2019年针对各村基础设施建设的具体情况，争取不同的建设项目。二是</w:t>
      </w:r>
      <w:r>
        <w:rPr>
          <w:rFonts w:hint="eastAsia" w:ascii="仿宋_GB2312" w:hAnsi="仿宋_GB2312" w:eastAsia="仿宋_GB2312" w:cs="仿宋_GB2312"/>
          <w:color w:val="000000"/>
          <w:sz w:val="32"/>
          <w:szCs w:val="32"/>
        </w:rPr>
        <w:t>合理</w:t>
      </w:r>
      <w:r>
        <w:rPr>
          <w:rFonts w:hint="eastAsia" w:ascii="仿宋_GB2312" w:hAnsi="仿宋_GB2312" w:eastAsia="仿宋_GB2312" w:cs="仿宋_GB2312"/>
          <w:sz w:val="32"/>
          <w:szCs w:val="32"/>
        </w:rPr>
        <w:t>安排就业岗位。提供贫困户公益性岗位和生态护林员就业岗位，通过就业岗位，每年每月平均获得550元以上收入，实行有进有退的动态管理模式，有效增加贫困群众收入。三是</w:t>
      </w:r>
      <w:r>
        <w:rPr>
          <w:rFonts w:hint="eastAsia" w:ascii="仿宋_GB2312" w:hAnsi="仿宋_GB2312" w:eastAsia="仿宋_GB2312" w:cs="仿宋_GB2312"/>
          <w:color w:val="000000"/>
          <w:sz w:val="32"/>
          <w:szCs w:val="32"/>
        </w:rPr>
        <w:t>着力保障基本医疗。通过政府补贴为134户贫困户购买2019年新型农村合作医疗保险，同时为贫困户提供大病医疗救助、卫生扶贫救助基金等帮扶。</w:t>
      </w:r>
      <w:r>
        <w:rPr>
          <w:rFonts w:hint="eastAsia" w:ascii="仿宋_GB2312" w:hAnsi="仿宋_GB2312" w:eastAsia="仿宋_GB2312" w:cs="仿宋_GB2312"/>
          <w:sz w:val="32"/>
          <w:szCs w:val="32"/>
        </w:rPr>
        <w:t>四是</w:t>
      </w:r>
      <w:r>
        <w:rPr>
          <w:rFonts w:hint="eastAsia" w:ascii="仿宋_GB2312" w:hAnsi="仿宋_GB2312" w:eastAsia="仿宋_GB2312" w:cs="仿宋_GB2312"/>
          <w:color w:val="000000"/>
          <w:sz w:val="32"/>
          <w:szCs w:val="32"/>
        </w:rPr>
        <w:t>着力保障教育扶贫。建档立卡贫困人口除享受学前教育“一免一补”、义务教育“三免两补”普通高中“两免一助”、全日制大、中专在校纳入雨露计划外，为贫困家庭在校生提供了教育扶贫救助基金。</w:t>
      </w:r>
    </w:p>
    <w:p>
      <w:pPr>
        <w:spacing w:line="576" w:lineRule="exact"/>
        <w:ind w:firstLine="640" w:firstLineChars="200"/>
        <w:rPr>
          <w:rFonts w:ascii="仿宋_GB2312" w:hAnsi="仿宋_GB2312" w:eastAsia="仿宋_GB2312" w:cs="仿宋_GB2312"/>
          <w:bCs/>
          <w:sz w:val="32"/>
          <w:szCs w:val="32"/>
        </w:rPr>
      </w:pPr>
      <w:r>
        <w:rPr>
          <w:rFonts w:hint="eastAsia" w:ascii="仿宋_GB2312" w:hAnsi="仿宋_GB2312" w:eastAsia="仿宋_GB2312" w:cs="仿宋_GB2312"/>
          <w:bCs/>
          <w:sz w:val="32"/>
          <w:szCs w:val="32"/>
        </w:rPr>
        <w:t>4.生态文明建设和环境保护工作顺利推进。认真贯彻落实中央、省、州、县生态文明建设和环境保护工作的决策部署，建立健全的组织领导机构，认真落实环保主体责任，加强环境保护法宣传。一是加强农户庭院治理，规范治理农村垃圾污染，治理养殖大户、养殖场粪便直排，围绕“四改两建”完善基础设施，按照“清洁化、秩序化、优美化、制度化”要求，狠抓环境整治，农村生产生活面貌有了大的改观。二是加强水源保护，对河沟两岸垃圾进行清理，杜绝生活生产用水直排到河沟，多次开展节约用水宣传活动。三是强化退耕还林管护和生态公益林保护，加大护林防火力度，切实增加森林覆盖率。</w:t>
      </w:r>
    </w:p>
    <w:p>
      <w:pPr>
        <w:spacing w:line="576" w:lineRule="exact"/>
        <w:ind w:firstLine="640" w:firstLineChars="200"/>
        <w:rPr>
          <w:rFonts w:ascii="仿宋_GB2312" w:hAnsi="仿宋_GB2312" w:eastAsia="仿宋_GB2312" w:cs="仿宋_GB2312"/>
          <w:bCs/>
          <w:sz w:val="32"/>
          <w:szCs w:val="32"/>
        </w:rPr>
      </w:pPr>
      <w:r>
        <w:rPr>
          <w:rFonts w:hint="eastAsia" w:ascii="仿宋_GB2312" w:hAnsi="仿宋_GB2312" w:eastAsia="仿宋_GB2312" w:cs="仿宋_GB2312"/>
          <w:bCs/>
          <w:sz w:val="32"/>
          <w:szCs w:val="32"/>
        </w:rPr>
        <w:t>5.全面推行河长制工作。一是认真贯彻习近平总书记重要讲话精神，落实县委、县政府“清河护岸、静水保水”的决策部署，我镇首先从提高镇、村干部职工的思想意识，牢固树立“环境就是民生、青山就是美丽、蓝天也是幸福”的绿色思想和理念，充分认识到推行河长制是一项常抓不懈的政治任务，是保障民生、改善民生的现实需要入手。强化领导，落实责任，结合实际成立以镇党委书记为第一河长、镇长为总河长的组织领导机构。二是加强对辖区河域进行全覆盖摸底排查，制定河长制工作制度，严禁乱占乱禁、乱围乱堵、乱采乱控、乱排乱倒，每周进行1-2次全面清查。</w:t>
      </w:r>
    </w:p>
    <w:p>
      <w:pPr>
        <w:pStyle w:val="3"/>
        <w:ind w:firstLine="640" w:firstLineChars="200"/>
        <w:rPr>
          <w:rStyle w:val="25"/>
          <w:b w:val="0"/>
          <w:bCs w:val="0"/>
        </w:rPr>
      </w:pPr>
      <w:r>
        <w:rPr>
          <w:rFonts w:hint="eastAsia" w:ascii="黑体" w:eastAsia="黑体"/>
          <w:b w:val="0"/>
          <w:color w:val="000000"/>
        </w:rPr>
        <w:t>二、</w:t>
      </w:r>
      <w:r>
        <w:rPr>
          <w:rFonts w:hint="eastAsia" w:ascii="黑体" w:hAnsi="黑体" w:eastAsia="黑体"/>
          <w:b w:val="0"/>
          <w:color w:val="000000"/>
        </w:rPr>
        <w:t>机</w:t>
      </w:r>
      <w:r>
        <w:rPr>
          <w:rStyle w:val="25"/>
          <w:rFonts w:hint="eastAsia" w:ascii="黑体" w:hAnsi="黑体" w:eastAsia="黑体"/>
          <w:b w:val="0"/>
          <w:bCs w:val="0"/>
        </w:rPr>
        <w:t>构设置</w:t>
      </w:r>
      <w:bookmarkEnd w:id="16"/>
      <w:bookmarkEnd w:id="17"/>
    </w:p>
    <w:p>
      <w:pPr>
        <w:pStyle w:val="5"/>
        <w:adjustRightInd w:val="0"/>
        <w:snapToGrid w:val="0"/>
        <w:spacing w:beforeLines="0" w:line="576" w:lineRule="atLeast"/>
        <w:ind w:firstLine="640" w:firstLineChars="200"/>
        <w:outlineLvl w:val="2"/>
        <w:rPr>
          <w:rFonts w:ascii="仿宋" w:hAnsi="仿宋" w:eastAsia="仿宋"/>
          <w:color w:val="000000"/>
          <w:sz w:val="32"/>
          <w:szCs w:val="32"/>
        </w:rPr>
      </w:pPr>
      <w:r>
        <w:rPr>
          <w:rFonts w:hint="eastAsia" w:ascii="仿宋" w:hAnsi="仿宋" w:eastAsia="仿宋"/>
          <w:color w:val="000000"/>
          <w:sz w:val="32"/>
          <w:szCs w:val="32"/>
        </w:rPr>
        <w:t>茂县土门镇人民政府属于行政单位，下设行政单位0个。</w:t>
      </w:r>
    </w:p>
    <w:p>
      <w:pPr>
        <w:pStyle w:val="2"/>
        <w:ind w:right="440"/>
        <w:jc w:val="right"/>
        <w:rPr>
          <w:rStyle w:val="24"/>
          <w:rFonts w:ascii="黑体" w:hAnsi="黑体" w:eastAsia="黑体"/>
          <w:b w:val="0"/>
          <w:bCs w:val="0"/>
        </w:rPr>
      </w:pPr>
      <w:bookmarkStart w:id="20" w:name="_Toc15396602"/>
      <w:bookmarkStart w:id="21" w:name="_Toc15377204"/>
      <w:r>
        <w:rPr>
          <w:rFonts w:hint="eastAsia" w:ascii="黑体" w:hAnsi="黑体" w:eastAsia="黑体"/>
          <w:b w:val="0"/>
          <w:color w:val="000000"/>
        </w:rPr>
        <w:t>第二部分</w:t>
      </w:r>
      <w:r>
        <w:rPr>
          <w:rFonts w:hint="eastAsia" w:ascii="黑体" w:hAnsi="黑体" w:eastAsia="黑体"/>
          <w:color w:val="000000"/>
        </w:rPr>
        <w:t xml:space="preserve"> </w:t>
      </w:r>
      <w:r>
        <w:rPr>
          <w:rStyle w:val="24"/>
          <w:rFonts w:hint="eastAsia" w:ascii="黑体" w:hAnsi="黑体" w:eastAsia="黑体"/>
          <w:b w:val="0"/>
          <w:bCs w:val="0"/>
        </w:rPr>
        <w:t>2019年度部门决算情况说明</w:t>
      </w:r>
      <w:bookmarkEnd w:id="20"/>
      <w:bookmarkEnd w:id="21"/>
    </w:p>
    <w:p/>
    <w:p>
      <w:pPr>
        <w:pStyle w:val="23"/>
        <w:numPr>
          <w:ilvl w:val="0"/>
          <w:numId w:val="1"/>
        </w:numPr>
        <w:spacing w:line="600" w:lineRule="exact"/>
        <w:ind w:firstLineChars="0"/>
        <w:outlineLvl w:val="1"/>
        <w:rPr>
          <w:rStyle w:val="25"/>
          <w:rFonts w:ascii="黑体" w:hAnsi="黑体" w:eastAsia="黑体"/>
          <w:b w:val="0"/>
        </w:rPr>
      </w:pPr>
      <w:bookmarkStart w:id="22" w:name="_Toc15396603"/>
      <w:bookmarkStart w:id="23" w:name="_Toc15377205"/>
      <w:r>
        <w:rPr>
          <w:rFonts w:hint="eastAsia" w:ascii="黑体" w:hAnsi="黑体" w:eastAsia="黑体"/>
          <w:color w:val="000000"/>
          <w:sz w:val="32"/>
          <w:szCs w:val="32"/>
        </w:rPr>
        <w:t>收</w:t>
      </w:r>
      <w:r>
        <w:rPr>
          <w:rStyle w:val="25"/>
          <w:rFonts w:hint="eastAsia" w:ascii="黑体" w:hAnsi="黑体" w:eastAsia="黑体"/>
          <w:b w:val="0"/>
        </w:rPr>
        <w:t>入支出决算总体情况说明</w:t>
      </w:r>
      <w:bookmarkEnd w:id="22"/>
      <w:bookmarkEnd w:id="23"/>
    </w:p>
    <w:p>
      <w:pPr>
        <w:spacing w:line="576" w:lineRule="atLeast"/>
        <w:ind w:firstLine="640" w:firstLineChars="200"/>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茂县土门镇人民政府2019年度收入、支出决算总计1810.77万元。与2018年相比，收入、支出决算总计减少588.14万元，减少24.5%。主要变动原因是扶贫项目减少。</w:t>
      </w:r>
    </w:p>
    <w:p>
      <w:pPr>
        <w:pStyle w:val="23"/>
        <w:spacing w:line="576" w:lineRule="atLeast"/>
        <w:ind w:firstLine="0" w:firstLineChars="0"/>
        <w:jc w:val="center"/>
        <w:outlineLvl w:val="1"/>
      </w:pPr>
      <w:r>
        <w:rPr>
          <w:rFonts w:hint="eastAsia" w:ascii="仿宋_GB2312" w:hAnsi="仿宋_GB2312" w:eastAsia="仿宋_GB2312" w:cs="仿宋_GB2312"/>
          <w:color w:val="000000"/>
          <w:sz w:val="32"/>
          <w:szCs w:val="32"/>
        </w:rPr>
        <w:drawing>
          <wp:inline distT="0" distB="0" distL="114300" distR="114300">
            <wp:extent cx="4363085" cy="2966085"/>
            <wp:effectExtent l="4445" t="4445" r="13970" b="20320"/>
            <wp:docPr id="11" name="图表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inline>
        </w:drawing>
      </w:r>
    </w:p>
    <w:p>
      <w:pPr>
        <w:pStyle w:val="23"/>
        <w:spacing w:line="576" w:lineRule="atLeast"/>
        <w:ind w:firstLine="0" w:firstLineChars="0"/>
        <w:jc w:val="center"/>
        <w:outlineLvl w:val="1"/>
        <w:rPr>
          <w:rFonts w:ascii="仿宋_GB2312" w:eastAsia="仿宋_GB2312"/>
          <w:color w:val="000000"/>
          <w:sz w:val="32"/>
          <w:szCs w:val="32"/>
        </w:rPr>
      </w:pPr>
      <w:r>
        <w:rPr>
          <w:rFonts w:hint="eastAsia" w:ascii="仿宋_GB2312" w:hAnsi="仿宋_GB2312" w:eastAsia="仿宋_GB2312" w:cs="仿宋_GB2312"/>
          <w:color w:val="000000"/>
          <w:sz w:val="32"/>
          <w:szCs w:val="32"/>
        </w:rPr>
        <w:t>图1收、支决算总计变动情况图（单位：万元）</w:t>
      </w:r>
    </w:p>
    <w:p>
      <w:pPr>
        <w:pStyle w:val="23"/>
        <w:numPr>
          <w:ilvl w:val="0"/>
          <w:numId w:val="1"/>
        </w:numPr>
        <w:spacing w:line="600" w:lineRule="exact"/>
        <w:ind w:firstLineChars="0"/>
        <w:outlineLvl w:val="1"/>
        <w:rPr>
          <w:rStyle w:val="25"/>
          <w:rFonts w:ascii="黑体" w:hAnsi="黑体" w:eastAsia="黑体"/>
          <w:b w:val="0"/>
        </w:rPr>
      </w:pPr>
      <w:bookmarkStart w:id="24" w:name="_Toc15396604"/>
      <w:bookmarkStart w:id="25" w:name="_Toc15377206"/>
      <w:r>
        <w:rPr>
          <w:rFonts w:hint="eastAsia" w:ascii="黑体" w:hAnsi="黑体" w:eastAsia="黑体"/>
          <w:color w:val="000000"/>
          <w:sz w:val="32"/>
          <w:szCs w:val="32"/>
        </w:rPr>
        <w:t>收</w:t>
      </w:r>
      <w:r>
        <w:rPr>
          <w:rStyle w:val="25"/>
          <w:rFonts w:hint="eastAsia" w:ascii="黑体" w:hAnsi="黑体" w:eastAsia="黑体"/>
          <w:b w:val="0"/>
        </w:rPr>
        <w:t>入决算情况说明</w:t>
      </w:r>
      <w:bookmarkEnd w:id="24"/>
      <w:bookmarkEnd w:id="25"/>
    </w:p>
    <w:p>
      <w:pPr>
        <w:spacing w:line="576" w:lineRule="atLeast"/>
        <w:ind w:firstLine="640" w:firstLineChars="200"/>
        <w:jc w:val="left"/>
        <w:outlineLvl w:val="1"/>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2019年本年收入合计1624.91万元，其中：一般公共预算财政拨款收入1620.07万元，占99.7%；政府性基金预算财政拨款收入4.84万元，占0.3%。</w:t>
      </w:r>
    </w:p>
    <w:p>
      <w:pPr>
        <w:spacing w:line="576" w:lineRule="atLeast"/>
        <w:jc w:val="center"/>
        <w:outlineLvl w:val="1"/>
      </w:pPr>
      <w:r>
        <w:rPr>
          <w:rFonts w:hint="eastAsia"/>
        </w:rPr>
        <w:drawing>
          <wp:inline distT="0" distB="0" distL="114300" distR="114300">
            <wp:extent cx="5080000" cy="3810000"/>
            <wp:effectExtent l="4445" t="4445" r="20955" b="14605"/>
            <wp:docPr id="12" name="图表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pPr>
        <w:spacing w:line="576" w:lineRule="atLeast"/>
        <w:jc w:val="center"/>
        <w:outlineLvl w:val="1"/>
        <w:rPr>
          <w:rFonts w:ascii="仿宋_GB2312" w:eastAsia="仿宋_GB2312"/>
          <w:color w:val="FF0000"/>
          <w:sz w:val="32"/>
          <w:szCs w:val="32"/>
        </w:rPr>
      </w:pPr>
      <w:r>
        <w:rPr>
          <w:rFonts w:hint="eastAsia" w:ascii="仿宋_GB2312" w:hAnsi="仿宋_GB2312" w:eastAsia="仿宋_GB2312" w:cs="仿宋_GB2312"/>
          <w:color w:val="000000"/>
          <w:sz w:val="32"/>
          <w:szCs w:val="32"/>
        </w:rPr>
        <w:t>图2：收入决算结构图（单位：万元）</w:t>
      </w:r>
    </w:p>
    <w:p>
      <w:pPr>
        <w:pStyle w:val="23"/>
        <w:numPr>
          <w:ilvl w:val="0"/>
          <w:numId w:val="1"/>
        </w:numPr>
        <w:spacing w:line="600" w:lineRule="exact"/>
        <w:ind w:firstLineChars="0"/>
        <w:outlineLvl w:val="1"/>
        <w:rPr>
          <w:rStyle w:val="25"/>
          <w:rFonts w:ascii="黑体" w:hAnsi="黑体" w:eastAsia="黑体"/>
          <w:b w:val="0"/>
        </w:rPr>
      </w:pPr>
      <w:bookmarkStart w:id="26" w:name="_Toc15396605"/>
      <w:bookmarkStart w:id="27" w:name="_Toc15377207"/>
      <w:r>
        <w:rPr>
          <w:rFonts w:hint="eastAsia" w:ascii="黑体" w:hAnsi="黑体" w:eastAsia="黑体"/>
          <w:color w:val="000000"/>
          <w:sz w:val="32"/>
          <w:szCs w:val="32"/>
        </w:rPr>
        <w:t>支</w:t>
      </w:r>
      <w:r>
        <w:rPr>
          <w:rStyle w:val="25"/>
          <w:rFonts w:hint="eastAsia" w:ascii="黑体" w:hAnsi="黑体" w:eastAsia="黑体"/>
          <w:b w:val="0"/>
        </w:rPr>
        <w:t>出决算情况说明</w:t>
      </w:r>
      <w:bookmarkEnd w:id="26"/>
      <w:bookmarkEnd w:id="27"/>
    </w:p>
    <w:p>
      <w:pPr>
        <w:spacing w:line="576" w:lineRule="atLeast"/>
        <w:ind w:firstLine="640" w:firstLineChars="200"/>
        <w:jc w:val="left"/>
        <w:rPr>
          <w:rFonts w:ascii="仿宋_GB2312" w:hAnsi="仿宋_GB2312" w:eastAsia="仿宋_GB2312" w:cs="仿宋_GB2312"/>
          <w:color w:val="000000"/>
          <w:sz w:val="32"/>
          <w:szCs w:val="32"/>
        </w:rPr>
      </w:pPr>
      <w:bookmarkStart w:id="28" w:name="_Toc15396606"/>
      <w:bookmarkStart w:id="29" w:name="_Toc15377208"/>
      <w:r>
        <w:rPr>
          <w:rFonts w:hint="eastAsia" w:ascii="仿宋_GB2312" w:hAnsi="仿宋_GB2312" w:eastAsia="仿宋_GB2312" w:cs="仿宋_GB2312"/>
          <w:color w:val="000000"/>
          <w:sz w:val="32"/>
          <w:szCs w:val="32"/>
        </w:rPr>
        <w:t>2019年本年支出合计1451.69万元，其中：基本支出847.27万元，占58.36%；项目支出</w:t>
      </w:r>
      <w:r>
        <w:rPr>
          <w:rFonts w:hint="eastAsia" w:ascii="仿宋_GB2312" w:hAnsi="仿宋_GB2312" w:eastAsia="仿宋_GB2312" w:cs="仿宋_GB2312"/>
          <w:color w:val="000000"/>
          <w:sz w:val="32"/>
          <w:szCs w:val="32"/>
          <w:lang w:val="en-US" w:eastAsia="zh-CN"/>
        </w:rPr>
        <w:t>604.42</w:t>
      </w:r>
      <w:r>
        <w:rPr>
          <w:rFonts w:hint="eastAsia" w:ascii="仿宋_GB2312" w:hAnsi="仿宋_GB2312" w:eastAsia="仿宋_GB2312" w:cs="仿宋_GB2312"/>
          <w:color w:val="000000"/>
          <w:sz w:val="32"/>
          <w:szCs w:val="32"/>
        </w:rPr>
        <w:t>万元，占41.64%。</w:t>
      </w:r>
    </w:p>
    <w:p>
      <w:pPr>
        <w:spacing w:line="576" w:lineRule="atLeast"/>
        <w:jc w:val="center"/>
      </w:pPr>
      <w:r>
        <w:rPr>
          <w:rFonts w:hint="eastAsia"/>
        </w:rPr>
        <w:drawing>
          <wp:inline distT="0" distB="0" distL="114300" distR="114300">
            <wp:extent cx="4020185" cy="2820670"/>
            <wp:effectExtent l="4445" t="4445" r="13970" b="13335"/>
            <wp:docPr id="13" name="图表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pPr>
        <w:spacing w:line="576" w:lineRule="atLeast"/>
        <w:jc w:val="center"/>
        <w:rPr>
          <w:rFonts w:ascii="仿宋" w:hAnsi="仿宋" w:eastAsia="仿宋_GB2312"/>
          <w:color w:val="000000"/>
          <w:sz w:val="32"/>
          <w:szCs w:val="32"/>
        </w:rPr>
      </w:pPr>
      <w:r>
        <w:rPr>
          <w:rFonts w:hint="eastAsia" w:ascii="仿宋" w:hAnsi="仿宋" w:eastAsia="仿宋" w:cs="仿宋"/>
          <w:color w:val="000000"/>
          <w:sz w:val="32"/>
          <w:szCs w:val="32"/>
        </w:rPr>
        <w:t>图</w:t>
      </w:r>
      <w:r>
        <w:rPr>
          <w:rFonts w:ascii="仿宋" w:hAnsi="仿宋" w:eastAsia="仿宋" w:cs="仿宋"/>
          <w:color w:val="000000"/>
          <w:sz w:val="32"/>
          <w:szCs w:val="32"/>
        </w:rPr>
        <w:t>3</w:t>
      </w:r>
      <w:r>
        <w:rPr>
          <w:rFonts w:hint="eastAsia" w:ascii="仿宋" w:hAnsi="仿宋" w:eastAsia="仿宋" w:cs="仿宋"/>
          <w:color w:val="000000"/>
          <w:sz w:val="32"/>
          <w:szCs w:val="32"/>
        </w:rPr>
        <w:t>：支出决算结构图</w:t>
      </w:r>
      <w:r>
        <w:rPr>
          <w:rFonts w:hint="eastAsia" w:ascii="仿宋_GB2312" w:hAnsi="仿宋_GB2312" w:eastAsia="仿宋_GB2312" w:cs="仿宋_GB2312"/>
          <w:color w:val="000000"/>
          <w:sz w:val="32"/>
          <w:szCs w:val="32"/>
        </w:rPr>
        <w:t>（单位：万元）</w:t>
      </w:r>
    </w:p>
    <w:p>
      <w:pPr>
        <w:spacing w:line="600" w:lineRule="exact"/>
        <w:ind w:firstLine="640" w:firstLineChars="200"/>
        <w:outlineLvl w:val="1"/>
        <w:rPr>
          <w:rStyle w:val="25"/>
          <w:rFonts w:ascii="黑体" w:hAnsi="黑体" w:eastAsia="黑体"/>
          <w:b w:val="0"/>
        </w:rPr>
      </w:pPr>
      <w:r>
        <w:rPr>
          <w:rFonts w:hint="eastAsia" w:ascii="黑体" w:hAnsi="黑体" w:eastAsia="黑体"/>
          <w:color w:val="000000"/>
          <w:sz w:val="32"/>
          <w:szCs w:val="32"/>
        </w:rPr>
        <w:t>四、财</w:t>
      </w:r>
      <w:r>
        <w:rPr>
          <w:rStyle w:val="25"/>
          <w:rFonts w:hint="eastAsia" w:ascii="黑体" w:hAnsi="黑体" w:eastAsia="黑体"/>
          <w:b w:val="0"/>
        </w:rPr>
        <w:t>政拨款收入支出决算总体情况说明</w:t>
      </w:r>
      <w:bookmarkEnd w:id="28"/>
      <w:bookmarkEnd w:id="29"/>
    </w:p>
    <w:p>
      <w:pPr>
        <w:pStyle w:val="3"/>
        <w:keepNext w:val="0"/>
        <w:keepLines w:val="0"/>
        <w:spacing w:before="0" w:after="0" w:line="576" w:lineRule="atLeast"/>
        <w:ind w:firstLine="640" w:firstLineChars="200"/>
        <w:jc w:val="left"/>
        <w:rPr>
          <w:rFonts w:ascii="仿宋_GB2312" w:hAnsi="仿宋_GB2312" w:eastAsia="仿宋_GB2312" w:cs="仿宋_GB2312"/>
          <w:b w:val="0"/>
          <w:bCs w:val="0"/>
          <w:color w:val="000000"/>
        </w:rPr>
      </w:pPr>
      <w:bookmarkStart w:id="30" w:name="_Toc15396607"/>
      <w:bookmarkStart w:id="31" w:name="_Toc15377209"/>
      <w:r>
        <w:rPr>
          <w:rFonts w:hint="eastAsia" w:ascii="仿宋_GB2312" w:hAnsi="仿宋_GB2312" w:eastAsia="仿宋_GB2312" w:cs="仿宋_GB2312"/>
          <w:b w:val="0"/>
          <w:bCs w:val="0"/>
          <w:color w:val="000000"/>
        </w:rPr>
        <w:t>茂县土门镇人民政府2019年度收入、支出决算总计1810.77万元。与2018年相比，收入、支出决算总计减少588.14万元，减少24.5%。主要变动原因是扶贫项目减少。</w:t>
      </w:r>
    </w:p>
    <w:p>
      <w:pPr>
        <w:spacing w:line="576" w:lineRule="atLeast"/>
        <w:jc w:val="center"/>
        <w:rPr>
          <w:rFonts w:ascii="黑体" w:hAnsi="黑体" w:eastAsia="黑体"/>
          <w:color w:val="000000"/>
          <w:sz w:val="32"/>
          <w:szCs w:val="32"/>
        </w:rPr>
      </w:pPr>
      <w:r>
        <w:rPr>
          <w:rFonts w:hint="eastAsia"/>
        </w:rPr>
        <w:t xml:space="preserve">           </w:t>
      </w:r>
      <w:r>
        <w:rPr>
          <w:rFonts w:hint="eastAsia"/>
        </w:rPr>
        <w:drawing>
          <wp:inline distT="0" distB="0" distL="114300" distR="114300">
            <wp:extent cx="5080000" cy="3810000"/>
            <wp:effectExtent l="4445" t="4445" r="20955" b="14605"/>
            <wp:docPr id="14" name="图表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r>
        <w:rPr>
          <w:rFonts w:hint="eastAsia"/>
        </w:rPr>
        <w:t xml:space="preserve">  </w:t>
      </w:r>
      <w:r>
        <w:rPr>
          <w:rFonts w:hint="eastAsia" w:ascii="仿宋_GB2312" w:hAnsi="仿宋_GB2312" w:eastAsia="仿宋_GB2312" w:cs="仿宋_GB2312"/>
          <w:color w:val="000000"/>
          <w:sz w:val="32"/>
          <w:szCs w:val="32"/>
        </w:rPr>
        <w:t>图4：财政拨款收、支决算总计变动情况（单位：万元）</w:t>
      </w:r>
    </w:p>
    <w:p>
      <w:pPr>
        <w:spacing w:line="600" w:lineRule="exact"/>
        <w:ind w:firstLine="640" w:firstLineChars="200"/>
        <w:outlineLvl w:val="1"/>
        <w:rPr>
          <w:rStyle w:val="25"/>
          <w:rFonts w:ascii="黑体" w:hAnsi="黑体" w:eastAsia="黑体"/>
          <w:b w:val="0"/>
        </w:rPr>
      </w:pPr>
      <w:r>
        <w:rPr>
          <w:rFonts w:hint="eastAsia" w:ascii="黑体" w:hAnsi="黑体" w:eastAsia="黑体"/>
          <w:color w:val="000000"/>
          <w:sz w:val="32"/>
          <w:szCs w:val="32"/>
        </w:rPr>
        <w:t>五、</w:t>
      </w:r>
      <w:r>
        <w:rPr>
          <w:rFonts w:hint="eastAsia" w:ascii="黑体" w:hAnsi="黑体" w:eastAsia="黑体"/>
          <w:b/>
          <w:color w:val="000000"/>
          <w:sz w:val="32"/>
          <w:szCs w:val="32"/>
        </w:rPr>
        <w:t>一</w:t>
      </w:r>
      <w:r>
        <w:rPr>
          <w:rStyle w:val="25"/>
          <w:rFonts w:hint="eastAsia" w:ascii="黑体" w:hAnsi="黑体" w:eastAsia="黑体"/>
          <w:b w:val="0"/>
        </w:rPr>
        <w:t>般公共预算财政拨款支出决算情况说明</w:t>
      </w:r>
      <w:bookmarkEnd w:id="30"/>
      <w:bookmarkEnd w:id="31"/>
    </w:p>
    <w:p>
      <w:pPr>
        <w:spacing w:line="600" w:lineRule="exact"/>
        <w:ind w:firstLine="642" w:firstLineChars="200"/>
        <w:outlineLvl w:val="2"/>
        <w:rPr>
          <w:rFonts w:ascii="仿宋" w:hAnsi="仿宋" w:eastAsia="仿宋"/>
          <w:b/>
          <w:color w:val="000000"/>
          <w:sz w:val="32"/>
          <w:szCs w:val="32"/>
        </w:rPr>
      </w:pPr>
      <w:bookmarkStart w:id="32" w:name="_Toc15377210"/>
      <w:r>
        <w:rPr>
          <w:rFonts w:hint="eastAsia" w:ascii="楷体" w:hAnsi="楷体" w:eastAsia="楷体" w:cs="楷体"/>
          <w:b/>
          <w:color w:val="000000"/>
          <w:sz w:val="32"/>
          <w:szCs w:val="32"/>
        </w:rPr>
        <w:t>（一）一般公共预算财政拨款支出决算总体情况</w:t>
      </w:r>
      <w:bookmarkEnd w:id="32"/>
    </w:p>
    <w:p>
      <w:pPr>
        <w:spacing w:line="576" w:lineRule="atLeast"/>
        <w:ind w:firstLine="640" w:firstLineChars="200"/>
        <w:rPr>
          <w:rFonts w:ascii="仿宋_GB2312" w:hAnsi="仿宋_GB2312" w:eastAsia="仿宋_GB2312" w:cs="仿宋_GB2312"/>
          <w:color w:val="000000"/>
          <w:w w:val="95"/>
          <w:sz w:val="32"/>
          <w:szCs w:val="32"/>
        </w:rPr>
      </w:pPr>
      <w:r>
        <w:rPr>
          <w:rFonts w:hint="eastAsia" w:ascii="仿宋_GB2312" w:hAnsi="仿宋_GB2312" w:eastAsia="仿宋_GB2312" w:cs="仿宋_GB2312"/>
          <w:color w:val="000000"/>
          <w:sz w:val="32"/>
          <w:szCs w:val="32"/>
        </w:rPr>
        <w:t>2019年一般公共预算财政拨款支出</w:t>
      </w:r>
      <w:r>
        <w:rPr>
          <w:rFonts w:hint="eastAsia" w:ascii="仿宋_GB2312" w:hAnsi="仿宋_GB2312" w:eastAsia="仿宋_GB2312" w:cs="仿宋_GB2312"/>
          <w:color w:val="000000"/>
          <w:sz w:val="32"/>
          <w:szCs w:val="32"/>
          <w:lang w:val="en-US" w:eastAsia="zh-CN"/>
        </w:rPr>
        <w:t>1446.84</w:t>
      </w:r>
      <w:r>
        <w:rPr>
          <w:rFonts w:hint="eastAsia" w:ascii="仿宋_GB2312" w:hAnsi="仿宋_GB2312" w:eastAsia="仿宋_GB2312" w:cs="仿宋_GB2312"/>
          <w:color w:val="000000"/>
          <w:sz w:val="32"/>
          <w:szCs w:val="32"/>
        </w:rPr>
        <w:t>万元，占本年支出合计的99.7%。与2018年相比，一般公共预算财政拨款减少843.65万元，增加36.7%。主要变动原因是扶贫项目减少。</w:t>
      </w:r>
    </w:p>
    <w:p>
      <w:pPr>
        <w:spacing w:line="576" w:lineRule="atLeast"/>
        <w:jc w:val="center"/>
      </w:pPr>
      <w:r>
        <w:rPr>
          <w:rFonts w:hint="eastAsia"/>
        </w:rPr>
        <w:drawing>
          <wp:inline distT="0" distB="0" distL="114300" distR="114300">
            <wp:extent cx="4801235" cy="3562985"/>
            <wp:effectExtent l="4445" t="4445" r="13970" b="13970"/>
            <wp:docPr id="15" name="图表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pPr>
        <w:spacing w:line="576" w:lineRule="atLeast"/>
        <w:jc w:val="center"/>
        <w:rPr>
          <w:rFonts w:ascii="仿宋" w:hAnsi="仿宋" w:eastAsia="仿宋"/>
          <w:color w:val="000000" w:themeColor="text1"/>
          <w:sz w:val="32"/>
          <w:szCs w:val="32"/>
        </w:rPr>
      </w:pPr>
      <w:r>
        <w:rPr>
          <w:rFonts w:hint="eastAsia" w:ascii="仿宋" w:hAnsi="仿宋" w:eastAsia="仿宋" w:cs="仿宋"/>
          <w:color w:val="000000"/>
          <w:w w:val="95"/>
          <w:sz w:val="32"/>
          <w:szCs w:val="32"/>
        </w:rPr>
        <w:t>图</w:t>
      </w:r>
      <w:r>
        <w:rPr>
          <w:rFonts w:ascii="仿宋" w:hAnsi="仿宋" w:eastAsia="仿宋" w:cs="仿宋"/>
          <w:color w:val="000000"/>
          <w:w w:val="95"/>
          <w:sz w:val="32"/>
          <w:szCs w:val="32"/>
        </w:rPr>
        <w:t xml:space="preserve">5 </w:t>
      </w:r>
      <w:r>
        <w:rPr>
          <w:rFonts w:hint="eastAsia" w:ascii="仿宋" w:hAnsi="仿宋" w:eastAsia="仿宋" w:cs="仿宋"/>
          <w:color w:val="000000"/>
          <w:w w:val="95"/>
          <w:sz w:val="32"/>
          <w:szCs w:val="32"/>
        </w:rPr>
        <w:t>：一般公共预算财政拨款支出决算变动情况（单位：万元）</w:t>
      </w:r>
    </w:p>
    <w:p>
      <w:pPr>
        <w:spacing w:line="600" w:lineRule="exact"/>
        <w:ind w:firstLine="642" w:firstLineChars="200"/>
        <w:outlineLvl w:val="2"/>
        <w:rPr>
          <w:rFonts w:ascii="楷体" w:hAnsi="楷体" w:eastAsia="楷体" w:cs="楷体"/>
          <w:b/>
          <w:color w:val="000000"/>
          <w:sz w:val="32"/>
          <w:szCs w:val="32"/>
        </w:rPr>
      </w:pPr>
      <w:bookmarkStart w:id="33" w:name="_Toc15377211"/>
      <w:r>
        <w:rPr>
          <w:rFonts w:hint="eastAsia" w:ascii="楷体" w:hAnsi="楷体" w:eastAsia="楷体" w:cs="楷体"/>
          <w:b/>
          <w:color w:val="000000"/>
          <w:sz w:val="32"/>
          <w:szCs w:val="32"/>
        </w:rPr>
        <w:t>（二）一般公共预算财政拨款支出决算结构情况</w:t>
      </w:r>
      <w:bookmarkEnd w:id="33"/>
    </w:p>
    <w:p>
      <w:pPr>
        <w:spacing w:line="576" w:lineRule="atLeast"/>
        <w:ind w:firstLine="640" w:firstLineChars="200"/>
        <w:rPr>
          <w:rFonts w:ascii="仿宋_GB2312" w:hAnsi="仿宋_GB2312" w:eastAsia="仿宋_GB2312" w:cs="仿宋_GB2312"/>
          <w:sz w:val="32"/>
          <w:szCs w:val="32"/>
        </w:rPr>
      </w:pPr>
      <w:bookmarkStart w:id="34" w:name="_Toc15377212"/>
      <w:r>
        <w:rPr>
          <w:rFonts w:hint="eastAsia" w:ascii="仿宋_GB2312" w:hAnsi="仿宋_GB2312" w:eastAsia="仿宋_GB2312" w:cs="仿宋_GB2312"/>
          <w:color w:val="000000"/>
          <w:sz w:val="32"/>
          <w:szCs w:val="32"/>
        </w:rPr>
        <w:t>茂县土门镇人民政府2019年支出决算总数1446.8</w:t>
      </w:r>
      <w:r>
        <w:rPr>
          <w:rFonts w:hint="eastAsia" w:ascii="仿宋_GB2312" w:hAnsi="仿宋_GB2312" w:eastAsia="仿宋_GB2312" w:cs="仿宋_GB2312"/>
          <w:color w:val="000000"/>
          <w:sz w:val="32"/>
          <w:szCs w:val="32"/>
          <w:lang w:val="en-US" w:eastAsia="zh-CN"/>
        </w:rPr>
        <w:t>4</w:t>
      </w:r>
      <w:r>
        <w:rPr>
          <w:rFonts w:hint="eastAsia" w:ascii="仿宋_GB2312" w:hAnsi="仿宋_GB2312" w:eastAsia="仿宋_GB2312" w:cs="仿宋_GB2312"/>
          <w:color w:val="000000"/>
          <w:sz w:val="32"/>
          <w:szCs w:val="32"/>
        </w:rPr>
        <w:t>万元。主要用于以下方面:</w:t>
      </w:r>
      <w:r>
        <w:rPr>
          <w:rFonts w:hint="eastAsia" w:ascii="仿宋_GB2312" w:hAnsi="仿宋_GB2312" w:eastAsia="仿宋_GB2312" w:cs="仿宋_GB2312"/>
          <w:b/>
          <w:bCs/>
          <w:color w:val="000000"/>
          <w:sz w:val="32"/>
          <w:szCs w:val="32"/>
        </w:rPr>
        <w:t>一般公共服务支</w:t>
      </w:r>
      <w:r>
        <w:rPr>
          <w:rFonts w:hint="eastAsia" w:ascii="仿宋_GB2312" w:hAnsi="仿宋_GB2312" w:eastAsia="仿宋_GB2312" w:cs="仿宋_GB2312"/>
          <w:b/>
          <w:bCs/>
          <w:sz w:val="32"/>
          <w:szCs w:val="32"/>
        </w:rPr>
        <w:t>出（类）</w:t>
      </w:r>
      <w:r>
        <w:rPr>
          <w:rFonts w:hint="eastAsia" w:ascii="仿宋_GB2312" w:hAnsi="仿宋_GB2312" w:eastAsia="仿宋_GB2312" w:cs="仿宋_GB2312"/>
          <w:sz w:val="32"/>
          <w:szCs w:val="32"/>
        </w:rPr>
        <w:t>468.07万元，占</w:t>
      </w:r>
      <w:bookmarkStart w:id="35" w:name="OLE_LINK1"/>
      <w:r>
        <w:rPr>
          <w:rFonts w:hint="eastAsia" w:ascii="仿宋_GB2312" w:hAnsi="仿宋_GB2312" w:eastAsia="仿宋_GB2312" w:cs="仿宋_GB2312"/>
          <w:sz w:val="32"/>
          <w:szCs w:val="32"/>
        </w:rPr>
        <w:t>本年支出合计的</w:t>
      </w:r>
      <w:bookmarkEnd w:id="35"/>
      <w:r>
        <w:rPr>
          <w:rFonts w:hint="eastAsia" w:ascii="仿宋_GB2312" w:hAnsi="仿宋_GB2312" w:eastAsia="仿宋_GB2312" w:cs="仿宋_GB2312"/>
          <w:sz w:val="32"/>
          <w:szCs w:val="32"/>
        </w:rPr>
        <w:t>32.2%；</w:t>
      </w:r>
      <w:r>
        <w:rPr>
          <w:rFonts w:hint="eastAsia" w:ascii="仿宋_GB2312" w:hAnsi="仿宋_GB2312" w:eastAsia="仿宋_GB2312" w:cs="仿宋_GB2312"/>
          <w:b/>
          <w:bCs/>
          <w:sz w:val="32"/>
          <w:szCs w:val="32"/>
        </w:rPr>
        <w:t>公共安全支出（类）</w:t>
      </w:r>
      <w:r>
        <w:rPr>
          <w:rFonts w:hint="eastAsia" w:ascii="仿宋_GB2312" w:hAnsi="仿宋_GB2312" w:eastAsia="仿宋_GB2312" w:cs="仿宋_GB2312"/>
          <w:sz w:val="32"/>
          <w:szCs w:val="32"/>
        </w:rPr>
        <w:t>3.5万占本年支出0.02%；</w:t>
      </w:r>
      <w:r>
        <w:rPr>
          <w:rFonts w:hint="eastAsia" w:ascii="仿宋_GB2312" w:hAnsi="仿宋_GB2312" w:eastAsia="仿宋_GB2312" w:cs="仿宋_GB2312"/>
          <w:b/>
          <w:bCs/>
          <w:sz w:val="32"/>
          <w:szCs w:val="32"/>
        </w:rPr>
        <w:t>国防支出（类）</w:t>
      </w:r>
      <w:r>
        <w:rPr>
          <w:rFonts w:hint="eastAsia" w:ascii="仿宋_GB2312" w:hAnsi="仿宋_GB2312" w:eastAsia="仿宋_GB2312" w:cs="仿宋_GB2312"/>
          <w:sz w:val="32"/>
          <w:szCs w:val="32"/>
        </w:rPr>
        <w:t>0.71万元，占本年支出0.04%；</w:t>
      </w:r>
      <w:r>
        <w:rPr>
          <w:rFonts w:hint="eastAsia" w:ascii="仿宋_GB2312" w:hAnsi="仿宋_GB2312" w:eastAsia="仿宋_GB2312" w:cs="仿宋_GB2312"/>
          <w:b/>
          <w:bCs/>
          <w:sz w:val="32"/>
          <w:szCs w:val="32"/>
        </w:rPr>
        <w:t>社会保障和就业支出（类）</w:t>
      </w:r>
      <w:r>
        <w:rPr>
          <w:rFonts w:hint="eastAsia" w:ascii="仿宋_GB2312" w:hAnsi="仿宋_GB2312" w:eastAsia="仿宋_GB2312" w:cs="仿宋_GB2312"/>
          <w:sz w:val="32"/>
          <w:szCs w:val="32"/>
        </w:rPr>
        <w:t>102.17万元，占本年支出合计的7.03%；</w:t>
      </w:r>
      <w:r>
        <w:rPr>
          <w:rFonts w:hint="eastAsia" w:ascii="仿宋_GB2312" w:hAnsi="仿宋_GB2312" w:eastAsia="仿宋_GB2312" w:cs="仿宋_GB2312"/>
          <w:b/>
          <w:bCs/>
          <w:sz w:val="32"/>
          <w:szCs w:val="32"/>
        </w:rPr>
        <w:t>卫生健康支出（类）</w:t>
      </w:r>
      <w:r>
        <w:rPr>
          <w:rFonts w:hint="eastAsia" w:ascii="仿宋_GB2312" w:hAnsi="仿宋_GB2312" w:eastAsia="仿宋_GB2312" w:cs="仿宋_GB2312"/>
          <w:sz w:val="32"/>
          <w:szCs w:val="32"/>
        </w:rPr>
        <w:t>46.77万元，占本年支出合计的3.2%；</w:t>
      </w:r>
      <w:r>
        <w:rPr>
          <w:rFonts w:hint="eastAsia" w:ascii="仿宋_GB2312" w:hAnsi="仿宋_GB2312" w:eastAsia="仿宋_GB2312" w:cs="仿宋_GB2312"/>
          <w:b/>
          <w:bCs/>
          <w:sz w:val="32"/>
          <w:szCs w:val="32"/>
        </w:rPr>
        <w:t>农林水支出（类）</w:t>
      </w:r>
      <w:r>
        <w:rPr>
          <w:rFonts w:hint="eastAsia" w:ascii="仿宋_GB2312" w:hAnsi="仿宋_GB2312" w:eastAsia="仿宋_GB2312" w:cs="仿宋_GB2312"/>
          <w:sz w:val="32"/>
          <w:szCs w:val="32"/>
        </w:rPr>
        <w:t>663.56万元，占本年支出合计的45.7%；</w:t>
      </w:r>
      <w:r>
        <w:rPr>
          <w:rFonts w:hint="eastAsia" w:ascii="仿宋_GB2312" w:hAnsi="仿宋_GB2312" w:eastAsia="仿宋_GB2312" w:cs="仿宋_GB2312"/>
          <w:b/>
          <w:bCs/>
          <w:sz w:val="32"/>
          <w:szCs w:val="32"/>
        </w:rPr>
        <w:t>住房保障支出（类）</w:t>
      </w:r>
      <w:r>
        <w:rPr>
          <w:rFonts w:hint="eastAsia" w:ascii="仿宋_GB2312" w:hAnsi="仿宋_GB2312" w:eastAsia="仿宋_GB2312" w:cs="仿宋_GB2312"/>
          <w:sz w:val="32"/>
          <w:szCs w:val="32"/>
        </w:rPr>
        <w:t>66.34万元，占本年支出合计的4.5%；</w:t>
      </w:r>
      <w:r>
        <w:rPr>
          <w:rFonts w:hint="eastAsia" w:ascii="仿宋_GB2312" w:hAnsi="仿宋_GB2312" w:eastAsia="仿宋_GB2312" w:cs="仿宋_GB2312"/>
          <w:b/>
          <w:bCs/>
          <w:sz w:val="32"/>
          <w:szCs w:val="32"/>
        </w:rPr>
        <w:t>其他支出（类）</w:t>
      </w:r>
      <w:r>
        <w:rPr>
          <w:rFonts w:hint="eastAsia" w:ascii="仿宋_GB2312" w:hAnsi="仿宋_GB2312" w:eastAsia="仿宋_GB2312" w:cs="仿宋_GB2312"/>
          <w:sz w:val="32"/>
          <w:szCs w:val="32"/>
        </w:rPr>
        <w:t>95.73万元，占本年支出合计的7.01%。</w:t>
      </w:r>
    </w:p>
    <w:p>
      <w:pPr>
        <w:spacing w:line="576" w:lineRule="atLeast"/>
        <w:ind w:firstLine="640" w:firstLineChars="200"/>
        <w:rPr>
          <w:rFonts w:ascii="仿宋_GB2312" w:hAnsi="仿宋_GB2312" w:eastAsia="仿宋_GB2312" w:cs="仿宋_GB2312"/>
          <w:sz w:val="32"/>
          <w:szCs w:val="32"/>
        </w:rPr>
      </w:pPr>
    </w:p>
    <w:p>
      <w:pPr>
        <w:spacing w:line="576" w:lineRule="atLeast"/>
        <w:ind w:firstLine="640" w:firstLineChars="200"/>
        <w:rPr>
          <w:rFonts w:ascii="仿宋_GB2312" w:hAnsi="仿宋_GB2312" w:eastAsia="仿宋_GB2312" w:cs="仿宋_GB2312"/>
          <w:sz w:val="32"/>
          <w:szCs w:val="32"/>
        </w:rPr>
      </w:pPr>
    </w:p>
    <w:p>
      <w:pPr>
        <w:spacing w:line="576" w:lineRule="atLeast"/>
        <w:ind w:firstLine="420" w:firstLineChars="200"/>
        <w:jc w:val="center"/>
      </w:pPr>
      <w:r>
        <w:rPr>
          <w:rFonts w:hint="eastAsia"/>
        </w:rPr>
        <w:drawing>
          <wp:inline distT="0" distB="0" distL="114300" distR="114300">
            <wp:extent cx="5080000" cy="3810000"/>
            <wp:effectExtent l="4445" t="4445" r="20955" b="14605"/>
            <wp:docPr id="16" name="图表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pPr>
        <w:spacing w:line="576" w:lineRule="atLeast"/>
        <w:ind w:firstLine="640" w:firstLineChars="200"/>
        <w:rPr>
          <w:rFonts w:ascii="楷体" w:hAnsi="楷体" w:eastAsia="楷体"/>
          <w:b/>
          <w:bCs/>
          <w:color w:val="000000"/>
          <w:sz w:val="32"/>
          <w:szCs w:val="32"/>
        </w:rPr>
      </w:pPr>
      <w:r>
        <w:rPr>
          <w:rFonts w:hint="eastAsia" w:ascii="仿宋_GB2312" w:hAnsi="仿宋_GB2312" w:eastAsia="仿宋_GB2312" w:cs="仿宋_GB2312"/>
          <w:color w:val="000000"/>
          <w:sz w:val="32"/>
          <w:szCs w:val="32"/>
        </w:rPr>
        <w:t>图</w:t>
      </w:r>
      <w:r>
        <w:rPr>
          <w:rFonts w:ascii="仿宋_GB2312" w:hAnsi="仿宋_GB2312" w:eastAsia="仿宋_GB2312" w:cs="仿宋_GB2312"/>
          <w:color w:val="000000"/>
          <w:sz w:val="32"/>
          <w:szCs w:val="32"/>
        </w:rPr>
        <w:t>6</w:t>
      </w:r>
      <w:r>
        <w:rPr>
          <w:rFonts w:hint="eastAsia" w:ascii="仿宋_GB2312" w:hAnsi="仿宋_GB2312" w:eastAsia="仿宋_GB2312" w:cs="仿宋_GB2312"/>
          <w:color w:val="000000"/>
          <w:sz w:val="32"/>
          <w:szCs w:val="32"/>
        </w:rPr>
        <w:t>：一般公共预算财政拨款支出决算结构</w:t>
      </w:r>
      <w:r>
        <w:rPr>
          <w:rFonts w:hint="eastAsia" w:ascii="仿宋" w:hAnsi="仿宋" w:eastAsia="仿宋" w:cs="仿宋"/>
          <w:color w:val="000000"/>
          <w:sz w:val="32"/>
          <w:szCs w:val="32"/>
        </w:rPr>
        <w:t>（单位：万元）</w:t>
      </w:r>
    </w:p>
    <w:p>
      <w:pPr>
        <w:spacing w:line="600" w:lineRule="exact"/>
        <w:ind w:firstLine="642" w:firstLineChars="200"/>
        <w:outlineLvl w:val="2"/>
        <w:rPr>
          <w:rFonts w:ascii="楷体" w:hAnsi="楷体" w:eastAsia="楷体" w:cs="楷体"/>
          <w:b/>
          <w:color w:val="000000"/>
          <w:sz w:val="32"/>
          <w:szCs w:val="32"/>
        </w:rPr>
      </w:pPr>
      <w:r>
        <w:rPr>
          <w:rFonts w:hint="eastAsia" w:ascii="楷体" w:hAnsi="楷体" w:eastAsia="楷体" w:cs="楷体"/>
          <w:b/>
          <w:color w:val="000000"/>
          <w:sz w:val="32"/>
          <w:szCs w:val="32"/>
        </w:rPr>
        <w:t>（三）一般公共预算财政拨款支出决算具体情况</w:t>
      </w:r>
      <w:bookmarkEnd w:id="34"/>
    </w:p>
    <w:p>
      <w:pPr>
        <w:spacing w:line="576" w:lineRule="atLeast"/>
        <w:ind w:firstLine="642" w:firstLineChars="200"/>
        <w:outlineLvl w:val="2"/>
        <w:rPr>
          <w:rStyle w:val="14"/>
          <w:rFonts w:ascii="仿宋_GB2312" w:hAnsi="仿宋_GB2312" w:eastAsia="仿宋_GB2312" w:cs="仿宋_GB2312"/>
          <w:bCs/>
          <w:color w:val="000000"/>
          <w:sz w:val="32"/>
          <w:szCs w:val="32"/>
        </w:rPr>
      </w:pPr>
      <w:r>
        <w:rPr>
          <w:rFonts w:hint="eastAsia" w:ascii="仿宋_GB2312" w:hAnsi="仿宋_GB2312" w:eastAsia="仿宋_GB2312" w:cs="仿宋_GB2312"/>
          <w:b/>
          <w:bCs/>
          <w:color w:val="000000"/>
          <w:sz w:val="32"/>
          <w:szCs w:val="32"/>
        </w:rPr>
        <w:t>2019年一般公共预算支出决算数为1446.8</w:t>
      </w:r>
      <w:r>
        <w:rPr>
          <w:rFonts w:hint="eastAsia" w:ascii="仿宋_GB2312" w:hAnsi="仿宋_GB2312" w:eastAsia="仿宋_GB2312" w:cs="仿宋_GB2312"/>
          <w:b/>
          <w:bCs/>
          <w:color w:val="000000"/>
          <w:sz w:val="32"/>
          <w:szCs w:val="32"/>
          <w:lang w:val="en-US" w:eastAsia="zh-CN"/>
        </w:rPr>
        <w:t>4</w:t>
      </w:r>
      <w:r>
        <w:rPr>
          <w:rFonts w:hint="eastAsia" w:ascii="仿宋_GB2312" w:hAnsi="仿宋_GB2312" w:eastAsia="仿宋_GB2312" w:cs="仿宋_GB2312"/>
          <w:b/>
          <w:bCs/>
          <w:color w:val="000000"/>
          <w:sz w:val="32"/>
          <w:szCs w:val="32"/>
        </w:rPr>
        <w:t>万元，</w:t>
      </w:r>
      <w:r>
        <w:rPr>
          <w:rStyle w:val="14"/>
          <w:rFonts w:hint="eastAsia" w:ascii="仿宋_GB2312" w:hAnsi="仿宋_GB2312" w:eastAsia="仿宋_GB2312" w:cs="仿宋_GB2312"/>
          <w:bCs/>
          <w:color w:val="000000"/>
          <w:sz w:val="32"/>
          <w:szCs w:val="32"/>
        </w:rPr>
        <w:t>完成预算95%。其中：</w:t>
      </w:r>
    </w:p>
    <w:p>
      <w:pPr>
        <w:spacing w:line="576" w:lineRule="atLeast"/>
        <w:ind w:firstLine="642" w:firstLineChars="200"/>
        <w:outlineLvl w:val="2"/>
        <w:rPr>
          <w:rStyle w:val="14"/>
          <w:rFonts w:ascii="仿宋_GB2312" w:hAnsi="仿宋_GB2312" w:eastAsia="仿宋_GB2312" w:cs="仿宋_GB2312"/>
          <w:b w:val="0"/>
          <w:color w:val="000000"/>
          <w:sz w:val="32"/>
          <w:szCs w:val="32"/>
        </w:rPr>
      </w:pPr>
      <w:r>
        <w:rPr>
          <w:rStyle w:val="14"/>
          <w:rFonts w:hint="eastAsia" w:ascii="仿宋_GB2312" w:hAnsi="仿宋_GB2312" w:eastAsia="仿宋_GB2312" w:cs="仿宋_GB2312"/>
          <w:bCs/>
          <w:color w:val="000000"/>
          <w:sz w:val="32"/>
          <w:szCs w:val="32"/>
        </w:rPr>
        <w:t xml:space="preserve">1.一般公共服务（类）人大事务（款）行政运行（项）: </w:t>
      </w:r>
      <w:r>
        <w:rPr>
          <w:rStyle w:val="14"/>
          <w:rFonts w:hint="eastAsia" w:ascii="仿宋_GB2312" w:hAnsi="仿宋_GB2312" w:eastAsia="仿宋_GB2312" w:cs="仿宋_GB2312"/>
          <w:b w:val="0"/>
          <w:color w:val="000000"/>
          <w:sz w:val="32"/>
          <w:szCs w:val="32"/>
        </w:rPr>
        <w:t>支出决算为0.63万元，完成预算100%，决算数等于预算数。</w:t>
      </w:r>
    </w:p>
    <w:p>
      <w:pPr>
        <w:spacing w:line="576" w:lineRule="atLeast"/>
        <w:ind w:firstLine="642" w:firstLineChars="200"/>
        <w:outlineLvl w:val="2"/>
        <w:rPr>
          <w:rStyle w:val="14"/>
          <w:rFonts w:ascii="仿宋_GB2312" w:hAnsi="仿宋_GB2312" w:eastAsia="仿宋_GB2312" w:cs="仿宋_GB2312"/>
          <w:b w:val="0"/>
          <w:color w:val="000000"/>
          <w:sz w:val="32"/>
          <w:szCs w:val="32"/>
        </w:rPr>
      </w:pPr>
      <w:r>
        <w:rPr>
          <w:rStyle w:val="14"/>
          <w:rFonts w:hint="eastAsia" w:ascii="仿宋_GB2312" w:hAnsi="仿宋_GB2312" w:eastAsia="仿宋_GB2312" w:cs="仿宋_GB2312"/>
          <w:bCs/>
          <w:color w:val="000000"/>
          <w:sz w:val="32"/>
          <w:szCs w:val="32"/>
        </w:rPr>
        <w:t xml:space="preserve">2.一般公共服务（类）人大事务（款）人大会议（项）: </w:t>
      </w:r>
      <w:r>
        <w:rPr>
          <w:rStyle w:val="14"/>
          <w:rFonts w:hint="eastAsia" w:ascii="仿宋_GB2312" w:hAnsi="仿宋_GB2312" w:eastAsia="仿宋_GB2312" w:cs="仿宋_GB2312"/>
          <w:b w:val="0"/>
          <w:color w:val="000000"/>
          <w:sz w:val="32"/>
          <w:szCs w:val="32"/>
        </w:rPr>
        <w:t>支出决算为0.85万元，完成预算100%，决算数等于预算数。</w:t>
      </w:r>
    </w:p>
    <w:p>
      <w:pPr>
        <w:spacing w:line="576" w:lineRule="atLeast"/>
        <w:ind w:firstLine="642" w:firstLineChars="200"/>
        <w:rPr>
          <w:rStyle w:val="14"/>
          <w:rFonts w:ascii="仿宋_GB2312" w:hAnsi="仿宋_GB2312" w:eastAsia="仿宋_GB2312" w:cs="仿宋_GB2312"/>
          <w:b w:val="0"/>
          <w:color w:val="000000"/>
          <w:sz w:val="32"/>
          <w:szCs w:val="32"/>
        </w:rPr>
      </w:pPr>
      <w:r>
        <w:rPr>
          <w:rStyle w:val="14"/>
          <w:rFonts w:hint="eastAsia" w:ascii="仿宋_GB2312" w:hAnsi="仿宋_GB2312" w:eastAsia="仿宋_GB2312" w:cs="仿宋_GB2312"/>
          <w:bCs/>
          <w:color w:val="000000"/>
          <w:sz w:val="32"/>
          <w:szCs w:val="32"/>
        </w:rPr>
        <w:t xml:space="preserve">3.一般公共服务（类）人大事务（款）代表工作（项）: </w:t>
      </w:r>
      <w:r>
        <w:rPr>
          <w:rStyle w:val="14"/>
          <w:rFonts w:hint="eastAsia" w:ascii="仿宋_GB2312" w:hAnsi="仿宋_GB2312" w:eastAsia="仿宋_GB2312" w:cs="仿宋_GB2312"/>
          <w:b w:val="0"/>
          <w:color w:val="000000"/>
          <w:sz w:val="32"/>
          <w:szCs w:val="32"/>
        </w:rPr>
        <w:t>支出决算为4.1万元，完成预算100%，决算数等于预算数。</w:t>
      </w:r>
    </w:p>
    <w:p>
      <w:pPr>
        <w:spacing w:line="576" w:lineRule="atLeast"/>
        <w:ind w:firstLine="642" w:firstLineChars="200"/>
        <w:rPr>
          <w:rStyle w:val="14"/>
          <w:rFonts w:ascii="仿宋_GB2312" w:hAnsi="仿宋_GB2312" w:eastAsia="仿宋_GB2312" w:cs="仿宋_GB2312"/>
          <w:b w:val="0"/>
          <w:color w:val="000000"/>
          <w:sz w:val="32"/>
          <w:szCs w:val="32"/>
        </w:rPr>
      </w:pPr>
      <w:r>
        <w:rPr>
          <w:rStyle w:val="14"/>
          <w:rFonts w:hint="eastAsia" w:ascii="仿宋_GB2312" w:hAnsi="仿宋_GB2312" w:eastAsia="仿宋_GB2312" w:cs="仿宋_GB2312"/>
          <w:bCs/>
          <w:color w:val="000000"/>
          <w:sz w:val="32"/>
          <w:szCs w:val="32"/>
        </w:rPr>
        <w:t>4.一般公共服务（类）政府办公厅（室）及相关机构事务（款）行政运行（项）:</w:t>
      </w:r>
      <w:r>
        <w:rPr>
          <w:rStyle w:val="14"/>
          <w:rFonts w:hint="eastAsia" w:ascii="仿宋_GB2312" w:hAnsi="仿宋_GB2312" w:eastAsia="仿宋_GB2312" w:cs="仿宋_GB2312"/>
          <w:b w:val="0"/>
          <w:color w:val="000000"/>
          <w:sz w:val="32"/>
          <w:szCs w:val="32"/>
        </w:rPr>
        <w:t xml:space="preserve"> 支出决算为332.89万元，完成预算100%，决算数等于预算数。</w:t>
      </w:r>
    </w:p>
    <w:p>
      <w:pPr>
        <w:spacing w:line="576" w:lineRule="atLeast"/>
        <w:ind w:firstLine="642" w:firstLineChars="200"/>
        <w:rPr>
          <w:rStyle w:val="14"/>
          <w:rFonts w:ascii="仿宋_GB2312" w:hAnsi="仿宋_GB2312" w:eastAsia="仿宋_GB2312" w:cs="仿宋_GB2312"/>
          <w:b w:val="0"/>
          <w:color w:val="000000"/>
          <w:sz w:val="32"/>
          <w:szCs w:val="32"/>
        </w:rPr>
      </w:pPr>
      <w:r>
        <w:rPr>
          <w:rStyle w:val="14"/>
          <w:rFonts w:hint="eastAsia" w:ascii="仿宋_GB2312" w:hAnsi="仿宋_GB2312" w:eastAsia="仿宋_GB2312" w:cs="仿宋_GB2312"/>
          <w:bCs/>
          <w:color w:val="000000"/>
          <w:sz w:val="32"/>
          <w:szCs w:val="32"/>
        </w:rPr>
        <w:t>5.一般公共服务（类）政府办公厅（室）及相关机构事务（款）一般行政管理事务（项）:</w:t>
      </w:r>
      <w:r>
        <w:rPr>
          <w:rStyle w:val="14"/>
          <w:rFonts w:hint="eastAsia" w:ascii="仿宋_GB2312" w:hAnsi="仿宋_GB2312" w:eastAsia="仿宋_GB2312" w:cs="仿宋_GB2312"/>
          <w:b w:val="0"/>
          <w:color w:val="000000"/>
          <w:sz w:val="32"/>
          <w:szCs w:val="32"/>
        </w:rPr>
        <w:t xml:space="preserve"> 支出决算为6.7万元，完成预算100%，决算数等于预算数。</w:t>
      </w:r>
    </w:p>
    <w:p>
      <w:pPr>
        <w:spacing w:line="576" w:lineRule="atLeast"/>
        <w:ind w:firstLine="642" w:firstLineChars="200"/>
        <w:rPr>
          <w:rStyle w:val="14"/>
          <w:rFonts w:ascii="仿宋_GB2312" w:hAnsi="仿宋_GB2312" w:eastAsia="仿宋_GB2312" w:cs="仿宋_GB2312"/>
          <w:b w:val="0"/>
          <w:color w:val="000000"/>
          <w:sz w:val="32"/>
          <w:szCs w:val="32"/>
        </w:rPr>
      </w:pPr>
      <w:r>
        <w:rPr>
          <w:rStyle w:val="14"/>
          <w:rFonts w:hint="eastAsia" w:ascii="仿宋_GB2312" w:hAnsi="仿宋_GB2312" w:eastAsia="仿宋_GB2312" w:cs="仿宋_GB2312"/>
          <w:bCs/>
          <w:color w:val="000000"/>
          <w:sz w:val="32"/>
          <w:szCs w:val="32"/>
        </w:rPr>
        <w:t xml:space="preserve">6.一般公共服务（类）政府办公厅（室）及相关机构事务（款）其他政府办公厅（室）及相关机构事务支出（项）: </w:t>
      </w:r>
      <w:r>
        <w:rPr>
          <w:rStyle w:val="14"/>
          <w:rFonts w:hint="eastAsia" w:ascii="仿宋_GB2312" w:hAnsi="仿宋_GB2312" w:eastAsia="仿宋_GB2312" w:cs="仿宋_GB2312"/>
          <w:b w:val="0"/>
          <w:color w:val="000000"/>
          <w:sz w:val="32"/>
          <w:szCs w:val="32"/>
        </w:rPr>
        <w:t>支出决算为1.5万元，完成预算100%，决算数等于预算数。</w:t>
      </w:r>
    </w:p>
    <w:p>
      <w:pPr>
        <w:spacing w:line="576" w:lineRule="atLeast"/>
        <w:ind w:firstLine="642" w:firstLineChars="200"/>
        <w:rPr>
          <w:rStyle w:val="14"/>
          <w:rFonts w:ascii="仿宋_GB2312" w:hAnsi="仿宋_GB2312" w:eastAsia="仿宋_GB2312" w:cs="仿宋_GB2312"/>
          <w:b w:val="0"/>
          <w:color w:val="000000"/>
          <w:sz w:val="32"/>
          <w:szCs w:val="32"/>
        </w:rPr>
      </w:pPr>
      <w:r>
        <w:rPr>
          <w:rStyle w:val="14"/>
          <w:rFonts w:hint="eastAsia" w:ascii="仿宋_GB2312" w:hAnsi="仿宋_GB2312" w:eastAsia="仿宋_GB2312" w:cs="仿宋_GB2312"/>
          <w:bCs/>
          <w:color w:val="000000"/>
          <w:sz w:val="32"/>
          <w:szCs w:val="32"/>
        </w:rPr>
        <w:t xml:space="preserve">7.一般公共服务（类）财政事务（款）事业运行（项）: </w:t>
      </w:r>
      <w:r>
        <w:rPr>
          <w:rStyle w:val="14"/>
          <w:rFonts w:hint="eastAsia" w:ascii="仿宋_GB2312" w:hAnsi="仿宋_GB2312" w:eastAsia="仿宋_GB2312" w:cs="仿宋_GB2312"/>
          <w:b w:val="0"/>
          <w:color w:val="000000"/>
          <w:sz w:val="32"/>
          <w:szCs w:val="32"/>
        </w:rPr>
        <w:t>支出决算为14.94万元，完成预算100%，决算数等于预算数。</w:t>
      </w:r>
    </w:p>
    <w:p>
      <w:pPr>
        <w:spacing w:line="576" w:lineRule="atLeast"/>
        <w:ind w:firstLine="642" w:firstLineChars="200"/>
        <w:rPr>
          <w:rStyle w:val="14"/>
          <w:rFonts w:ascii="仿宋_GB2312" w:hAnsi="仿宋_GB2312" w:eastAsia="仿宋_GB2312" w:cs="仿宋_GB2312"/>
          <w:b w:val="0"/>
          <w:color w:val="000000"/>
          <w:sz w:val="32"/>
          <w:szCs w:val="32"/>
        </w:rPr>
      </w:pPr>
      <w:r>
        <w:rPr>
          <w:rStyle w:val="14"/>
          <w:rFonts w:hint="eastAsia" w:ascii="仿宋_GB2312" w:hAnsi="仿宋_GB2312" w:eastAsia="仿宋_GB2312" w:cs="仿宋_GB2312"/>
          <w:bCs/>
          <w:color w:val="000000"/>
          <w:sz w:val="32"/>
          <w:szCs w:val="32"/>
        </w:rPr>
        <w:t>8.一般公共服务（类）档案事务（室）及相关机构事务（款）其他档案事务支出（项）:</w:t>
      </w:r>
      <w:r>
        <w:rPr>
          <w:rStyle w:val="14"/>
          <w:rFonts w:hint="eastAsia" w:ascii="仿宋_GB2312" w:hAnsi="仿宋_GB2312" w:eastAsia="仿宋_GB2312" w:cs="仿宋_GB2312"/>
          <w:b w:val="0"/>
          <w:color w:val="000000"/>
          <w:sz w:val="32"/>
          <w:szCs w:val="32"/>
        </w:rPr>
        <w:t xml:space="preserve"> 支出决算为15.15万元，完成预算95%，年末安排结转，资金下年继续使用。</w:t>
      </w:r>
    </w:p>
    <w:p>
      <w:pPr>
        <w:spacing w:line="576" w:lineRule="atLeast"/>
        <w:ind w:firstLine="642" w:firstLineChars="200"/>
        <w:rPr>
          <w:rStyle w:val="14"/>
          <w:rFonts w:ascii="仿宋_GB2312" w:hAnsi="仿宋_GB2312" w:eastAsia="仿宋_GB2312" w:cs="仿宋_GB2312"/>
          <w:b w:val="0"/>
          <w:color w:val="000000"/>
          <w:sz w:val="32"/>
          <w:szCs w:val="32"/>
        </w:rPr>
      </w:pPr>
      <w:r>
        <w:rPr>
          <w:rStyle w:val="14"/>
          <w:rFonts w:hint="eastAsia" w:ascii="仿宋_GB2312" w:hAnsi="仿宋_GB2312" w:eastAsia="仿宋_GB2312" w:cs="仿宋_GB2312"/>
          <w:bCs/>
          <w:color w:val="000000"/>
          <w:sz w:val="32"/>
          <w:szCs w:val="32"/>
        </w:rPr>
        <w:t xml:space="preserve">9.一般公共服务（类）党委办公厅（室）及相关机构事务（款）行政运行（项）: </w:t>
      </w:r>
      <w:r>
        <w:rPr>
          <w:rStyle w:val="14"/>
          <w:rFonts w:hint="eastAsia" w:ascii="仿宋_GB2312" w:hAnsi="仿宋_GB2312" w:eastAsia="仿宋_GB2312" w:cs="仿宋_GB2312"/>
          <w:b w:val="0"/>
          <w:color w:val="000000"/>
          <w:sz w:val="32"/>
          <w:szCs w:val="32"/>
        </w:rPr>
        <w:t>支出决算为91.31万元，完成预算100%，决算数等于预算数。</w:t>
      </w:r>
    </w:p>
    <w:p>
      <w:pPr>
        <w:spacing w:line="576" w:lineRule="atLeast"/>
        <w:ind w:firstLine="642" w:firstLineChars="200"/>
        <w:rPr>
          <w:rStyle w:val="14"/>
          <w:rFonts w:ascii="仿宋_GB2312" w:hAnsi="仿宋_GB2312" w:eastAsia="仿宋_GB2312" w:cs="仿宋_GB2312"/>
          <w:b w:val="0"/>
          <w:color w:val="000000"/>
          <w:sz w:val="32"/>
          <w:szCs w:val="32"/>
        </w:rPr>
      </w:pPr>
      <w:r>
        <w:rPr>
          <w:rStyle w:val="14"/>
          <w:rFonts w:hint="eastAsia" w:ascii="仿宋_GB2312" w:hAnsi="仿宋_GB2312" w:eastAsia="仿宋_GB2312" w:cs="仿宋_GB2312"/>
          <w:bCs/>
          <w:color w:val="000000"/>
          <w:sz w:val="32"/>
          <w:szCs w:val="32"/>
        </w:rPr>
        <w:t>10.国防支出（类）国防动员（款）民兵（项）:</w:t>
      </w:r>
      <w:r>
        <w:rPr>
          <w:rStyle w:val="14"/>
          <w:rFonts w:hint="eastAsia" w:ascii="仿宋_GB2312" w:hAnsi="仿宋_GB2312" w:eastAsia="仿宋_GB2312" w:cs="仿宋_GB2312"/>
          <w:b w:val="0"/>
          <w:color w:val="000000"/>
          <w:sz w:val="32"/>
          <w:szCs w:val="32"/>
        </w:rPr>
        <w:t xml:space="preserve"> 支出决算为0.71万元，完成预算100%，决算数等于预算数。</w:t>
      </w:r>
    </w:p>
    <w:p>
      <w:pPr>
        <w:spacing w:line="576" w:lineRule="atLeast"/>
        <w:ind w:firstLine="642" w:firstLineChars="200"/>
        <w:rPr>
          <w:rStyle w:val="14"/>
          <w:rFonts w:ascii="仿宋_GB2312" w:hAnsi="仿宋_GB2312" w:eastAsia="仿宋_GB2312" w:cs="仿宋_GB2312"/>
          <w:b w:val="0"/>
          <w:color w:val="000000"/>
          <w:sz w:val="32"/>
          <w:szCs w:val="32"/>
        </w:rPr>
      </w:pPr>
      <w:r>
        <w:rPr>
          <w:rStyle w:val="14"/>
          <w:rFonts w:hint="eastAsia" w:ascii="仿宋_GB2312" w:hAnsi="仿宋_GB2312" w:eastAsia="仿宋_GB2312" w:cs="仿宋_GB2312"/>
          <w:bCs/>
          <w:color w:val="000000"/>
          <w:sz w:val="32"/>
          <w:szCs w:val="32"/>
        </w:rPr>
        <w:t>11.公共安全支出（类）公安（款）一般行政管理事务（项）:</w:t>
      </w:r>
      <w:r>
        <w:rPr>
          <w:rStyle w:val="14"/>
          <w:rFonts w:hint="eastAsia" w:ascii="仿宋_GB2312" w:hAnsi="仿宋_GB2312" w:eastAsia="仿宋_GB2312" w:cs="仿宋_GB2312"/>
          <w:b w:val="0"/>
          <w:color w:val="000000"/>
          <w:sz w:val="32"/>
          <w:szCs w:val="32"/>
        </w:rPr>
        <w:t xml:space="preserve"> 支出决算为1万元，完成预算100%，决算数等于预算数。</w:t>
      </w:r>
    </w:p>
    <w:p>
      <w:pPr>
        <w:spacing w:line="576" w:lineRule="atLeast"/>
        <w:ind w:firstLine="642" w:firstLineChars="200"/>
        <w:rPr>
          <w:rStyle w:val="14"/>
          <w:rFonts w:ascii="仿宋_GB2312" w:hAnsi="仿宋_GB2312" w:eastAsia="仿宋_GB2312" w:cs="仿宋_GB2312"/>
          <w:b w:val="0"/>
          <w:color w:val="000000"/>
          <w:sz w:val="32"/>
          <w:szCs w:val="32"/>
        </w:rPr>
      </w:pPr>
      <w:r>
        <w:rPr>
          <w:rStyle w:val="14"/>
          <w:rFonts w:hint="eastAsia" w:ascii="仿宋_GB2312" w:hAnsi="仿宋_GB2312" w:eastAsia="仿宋_GB2312" w:cs="仿宋_GB2312"/>
          <w:bCs/>
          <w:color w:val="000000"/>
          <w:sz w:val="32"/>
          <w:szCs w:val="32"/>
        </w:rPr>
        <w:t>12.公共安全支出（类）司法（款）一般行政管理事务（项）:</w:t>
      </w:r>
      <w:r>
        <w:rPr>
          <w:rStyle w:val="14"/>
          <w:rFonts w:hint="eastAsia" w:ascii="仿宋_GB2312" w:hAnsi="仿宋_GB2312" w:eastAsia="仿宋_GB2312" w:cs="仿宋_GB2312"/>
          <w:b w:val="0"/>
          <w:color w:val="000000"/>
          <w:sz w:val="32"/>
          <w:szCs w:val="32"/>
        </w:rPr>
        <w:t xml:space="preserve"> 支出决算为2.5万元，完成预算100%，决算数等于预算数。</w:t>
      </w:r>
    </w:p>
    <w:p>
      <w:pPr>
        <w:spacing w:line="576" w:lineRule="atLeast"/>
        <w:ind w:firstLine="642" w:firstLineChars="200"/>
        <w:rPr>
          <w:rStyle w:val="14"/>
          <w:rFonts w:ascii="仿宋_GB2312" w:hAnsi="仿宋_GB2312" w:eastAsia="仿宋_GB2312" w:cs="仿宋_GB2312"/>
          <w:b w:val="0"/>
          <w:color w:val="000000"/>
          <w:sz w:val="32"/>
          <w:szCs w:val="32"/>
        </w:rPr>
      </w:pPr>
      <w:r>
        <w:rPr>
          <w:rStyle w:val="14"/>
          <w:rFonts w:hint="eastAsia" w:ascii="仿宋_GB2312" w:hAnsi="仿宋_GB2312" w:eastAsia="仿宋_GB2312" w:cs="仿宋_GB2312"/>
          <w:bCs/>
          <w:color w:val="000000"/>
          <w:sz w:val="32"/>
          <w:szCs w:val="32"/>
        </w:rPr>
        <w:t xml:space="preserve">13.社会保障和就业（类）行政事业单位离退休（款）机关事业单位基本养老保险缴费支出（项）: </w:t>
      </w:r>
      <w:r>
        <w:rPr>
          <w:rStyle w:val="14"/>
          <w:rFonts w:hint="eastAsia" w:ascii="仿宋_GB2312" w:hAnsi="仿宋_GB2312" w:eastAsia="仿宋_GB2312" w:cs="仿宋_GB2312"/>
          <w:b w:val="0"/>
          <w:color w:val="000000"/>
          <w:sz w:val="32"/>
          <w:szCs w:val="32"/>
        </w:rPr>
        <w:t>支出决算为64.74万元，完成预算100%，决算数等于预算数。</w:t>
      </w:r>
    </w:p>
    <w:p>
      <w:pPr>
        <w:spacing w:line="576" w:lineRule="atLeast"/>
        <w:ind w:firstLine="642" w:firstLineChars="200"/>
        <w:rPr>
          <w:rStyle w:val="14"/>
          <w:rFonts w:ascii="仿宋_GB2312" w:hAnsi="仿宋_GB2312" w:eastAsia="仿宋_GB2312" w:cs="仿宋_GB2312"/>
          <w:b w:val="0"/>
          <w:color w:val="000000"/>
          <w:sz w:val="32"/>
          <w:szCs w:val="32"/>
        </w:rPr>
      </w:pPr>
      <w:r>
        <w:rPr>
          <w:rStyle w:val="14"/>
          <w:rFonts w:hint="eastAsia" w:ascii="仿宋_GB2312" w:hAnsi="仿宋_GB2312" w:eastAsia="仿宋_GB2312" w:cs="仿宋_GB2312"/>
          <w:bCs/>
          <w:color w:val="000000"/>
          <w:sz w:val="32"/>
          <w:szCs w:val="32"/>
        </w:rPr>
        <w:t>14.社会保障和就业（类）行政事业单位离退休（款）机关事业单位职业年金缴费支出（项）:</w:t>
      </w:r>
      <w:r>
        <w:rPr>
          <w:rStyle w:val="14"/>
          <w:rFonts w:hint="eastAsia" w:ascii="仿宋_GB2312" w:hAnsi="仿宋_GB2312" w:eastAsia="仿宋_GB2312" w:cs="仿宋_GB2312"/>
          <w:b w:val="0"/>
          <w:color w:val="000000"/>
          <w:sz w:val="32"/>
          <w:szCs w:val="32"/>
        </w:rPr>
        <w:t xml:space="preserve"> 支出决算为29.65万元，完成预算100%，决算数小于预算数，决算数等于预算数。</w:t>
      </w:r>
    </w:p>
    <w:p>
      <w:pPr>
        <w:spacing w:line="576" w:lineRule="atLeast"/>
        <w:ind w:firstLine="642" w:firstLineChars="200"/>
        <w:rPr>
          <w:rStyle w:val="14"/>
          <w:rFonts w:ascii="仿宋_GB2312" w:hAnsi="仿宋_GB2312" w:eastAsia="仿宋_GB2312" w:cs="仿宋_GB2312"/>
          <w:b w:val="0"/>
          <w:color w:val="000000"/>
          <w:sz w:val="32"/>
          <w:szCs w:val="32"/>
        </w:rPr>
      </w:pPr>
      <w:r>
        <w:rPr>
          <w:rStyle w:val="14"/>
          <w:rFonts w:hint="eastAsia" w:ascii="仿宋_GB2312" w:hAnsi="仿宋_GB2312" w:eastAsia="仿宋_GB2312" w:cs="仿宋_GB2312"/>
          <w:bCs/>
          <w:color w:val="000000"/>
          <w:sz w:val="32"/>
          <w:szCs w:val="32"/>
        </w:rPr>
        <w:t xml:space="preserve">15.社会保障和就业（类）社会福利（款）老年福利（项）: </w:t>
      </w:r>
      <w:r>
        <w:rPr>
          <w:rStyle w:val="14"/>
          <w:rFonts w:hint="eastAsia" w:ascii="仿宋_GB2312" w:hAnsi="仿宋_GB2312" w:eastAsia="仿宋_GB2312" w:cs="仿宋_GB2312"/>
          <w:b w:val="0"/>
          <w:color w:val="000000"/>
          <w:sz w:val="32"/>
          <w:szCs w:val="32"/>
        </w:rPr>
        <w:t>支出决算为2.48万元，完成预算80%，年末安排结转，资金下年继续使用。</w:t>
      </w:r>
    </w:p>
    <w:p>
      <w:pPr>
        <w:spacing w:line="576" w:lineRule="atLeast"/>
        <w:ind w:firstLine="642" w:firstLineChars="200"/>
        <w:rPr>
          <w:rStyle w:val="14"/>
          <w:rFonts w:ascii="仿宋_GB2312" w:hAnsi="仿宋_GB2312" w:eastAsia="仿宋_GB2312" w:cs="仿宋_GB2312"/>
          <w:b w:val="0"/>
          <w:color w:val="000000"/>
          <w:sz w:val="32"/>
          <w:szCs w:val="32"/>
        </w:rPr>
      </w:pPr>
      <w:r>
        <w:rPr>
          <w:rStyle w:val="14"/>
          <w:rFonts w:hint="eastAsia" w:ascii="仿宋_GB2312" w:hAnsi="仿宋_GB2312" w:eastAsia="仿宋_GB2312" w:cs="仿宋_GB2312"/>
          <w:bCs/>
          <w:color w:val="000000"/>
          <w:sz w:val="32"/>
          <w:szCs w:val="32"/>
        </w:rPr>
        <w:t>16.社会保障和就业（类）社会福利（款）其他社会福利支出（项）:</w:t>
      </w:r>
      <w:r>
        <w:rPr>
          <w:rStyle w:val="14"/>
          <w:rFonts w:hint="eastAsia" w:ascii="仿宋_GB2312" w:hAnsi="仿宋_GB2312" w:eastAsia="仿宋_GB2312" w:cs="仿宋_GB2312"/>
          <w:b w:val="0"/>
          <w:color w:val="000000"/>
          <w:sz w:val="32"/>
          <w:szCs w:val="32"/>
        </w:rPr>
        <w:t xml:space="preserve"> 支出决算为4.6万元，完成预算70%，年末安排结转，资金下年继续使用。</w:t>
      </w:r>
    </w:p>
    <w:p>
      <w:pPr>
        <w:spacing w:line="576" w:lineRule="atLeast"/>
        <w:ind w:firstLine="642" w:firstLineChars="200"/>
        <w:rPr>
          <w:rStyle w:val="14"/>
          <w:rFonts w:ascii="仿宋_GB2312" w:hAnsi="仿宋_GB2312" w:eastAsia="仿宋_GB2312" w:cs="仿宋_GB2312"/>
          <w:b w:val="0"/>
          <w:color w:val="000000"/>
          <w:sz w:val="32"/>
          <w:szCs w:val="32"/>
        </w:rPr>
      </w:pPr>
      <w:r>
        <w:rPr>
          <w:rStyle w:val="14"/>
          <w:rFonts w:hint="eastAsia" w:ascii="仿宋_GB2312" w:hAnsi="仿宋_GB2312" w:eastAsia="仿宋_GB2312" w:cs="仿宋_GB2312"/>
          <w:bCs/>
          <w:color w:val="000000"/>
          <w:sz w:val="32"/>
          <w:szCs w:val="32"/>
        </w:rPr>
        <w:t>17.社会保障和就业（类）退役军人管理事务（款）拥军优属（项）：</w:t>
      </w:r>
      <w:r>
        <w:rPr>
          <w:rStyle w:val="14"/>
          <w:rFonts w:hint="eastAsia" w:ascii="仿宋_GB2312" w:hAnsi="仿宋_GB2312" w:eastAsia="仿宋_GB2312" w:cs="仿宋_GB2312"/>
          <w:b w:val="0"/>
          <w:color w:val="000000"/>
          <w:sz w:val="32"/>
          <w:szCs w:val="32"/>
        </w:rPr>
        <w:t>支出决算为0.7万元，完成预算100%，决算数等于预算数。</w:t>
      </w:r>
    </w:p>
    <w:p>
      <w:pPr>
        <w:spacing w:line="576" w:lineRule="atLeast"/>
        <w:ind w:firstLine="642" w:firstLineChars="200"/>
        <w:rPr>
          <w:rStyle w:val="14"/>
          <w:rFonts w:ascii="仿宋_GB2312" w:hAnsi="仿宋_GB2312" w:eastAsia="仿宋_GB2312" w:cs="仿宋_GB2312"/>
          <w:b w:val="0"/>
          <w:color w:val="000000"/>
          <w:sz w:val="32"/>
          <w:szCs w:val="32"/>
        </w:rPr>
      </w:pPr>
      <w:r>
        <w:rPr>
          <w:rStyle w:val="14"/>
          <w:rFonts w:hint="eastAsia" w:ascii="仿宋_GB2312" w:hAnsi="仿宋_GB2312" w:eastAsia="仿宋_GB2312" w:cs="仿宋_GB2312"/>
          <w:bCs/>
          <w:color w:val="000000"/>
          <w:sz w:val="32"/>
          <w:szCs w:val="32"/>
        </w:rPr>
        <w:t>18.卫生健康（类）公共卫生（款）重大公共卫生专项（项）:</w:t>
      </w:r>
      <w:r>
        <w:rPr>
          <w:rStyle w:val="14"/>
          <w:rFonts w:hint="eastAsia" w:ascii="仿宋_GB2312" w:hAnsi="仿宋_GB2312" w:eastAsia="仿宋_GB2312" w:cs="仿宋_GB2312"/>
          <w:b w:val="0"/>
          <w:color w:val="000000"/>
          <w:sz w:val="32"/>
          <w:szCs w:val="32"/>
        </w:rPr>
        <w:t>支出决算为1.6万元，完成预算100%，决算数等于预算数。</w:t>
      </w:r>
    </w:p>
    <w:p>
      <w:pPr>
        <w:spacing w:line="576" w:lineRule="atLeast"/>
        <w:ind w:firstLine="642" w:firstLineChars="200"/>
        <w:rPr>
          <w:rStyle w:val="14"/>
          <w:rFonts w:ascii="仿宋_GB2312" w:hAnsi="仿宋_GB2312" w:eastAsia="仿宋_GB2312" w:cs="仿宋_GB2312"/>
          <w:b w:val="0"/>
          <w:color w:val="000000"/>
          <w:sz w:val="32"/>
          <w:szCs w:val="32"/>
        </w:rPr>
      </w:pPr>
      <w:r>
        <w:rPr>
          <w:rStyle w:val="14"/>
          <w:rFonts w:hint="eastAsia" w:ascii="仿宋_GB2312" w:hAnsi="仿宋_GB2312" w:eastAsia="仿宋_GB2312" w:cs="仿宋_GB2312"/>
          <w:bCs/>
          <w:color w:val="000000"/>
          <w:sz w:val="32"/>
          <w:szCs w:val="32"/>
        </w:rPr>
        <w:t>19.卫生健康（类）行政事业单位医疗（款）行政单位医疗（项）:</w:t>
      </w:r>
      <w:r>
        <w:rPr>
          <w:rStyle w:val="14"/>
          <w:rFonts w:hint="eastAsia" w:ascii="仿宋_GB2312" w:hAnsi="仿宋_GB2312" w:eastAsia="仿宋_GB2312" w:cs="仿宋_GB2312"/>
          <w:b w:val="0"/>
          <w:color w:val="000000"/>
          <w:sz w:val="32"/>
          <w:szCs w:val="32"/>
        </w:rPr>
        <w:t>支出决算为45.17万元，完成预算100%，决算数等于预算数。</w:t>
      </w:r>
    </w:p>
    <w:p>
      <w:pPr>
        <w:spacing w:line="576" w:lineRule="atLeast"/>
        <w:ind w:firstLine="642" w:firstLineChars="200"/>
        <w:rPr>
          <w:rStyle w:val="14"/>
          <w:rFonts w:ascii="仿宋_GB2312" w:hAnsi="仿宋_GB2312" w:eastAsia="仿宋_GB2312" w:cs="仿宋_GB2312"/>
          <w:b w:val="0"/>
          <w:color w:val="000000"/>
          <w:sz w:val="32"/>
          <w:szCs w:val="32"/>
        </w:rPr>
      </w:pPr>
      <w:r>
        <w:rPr>
          <w:rStyle w:val="14"/>
          <w:rFonts w:hint="eastAsia" w:ascii="仿宋_GB2312" w:hAnsi="仿宋_GB2312" w:eastAsia="仿宋_GB2312" w:cs="仿宋_GB2312"/>
          <w:bCs/>
          <w:color w:val="000000"/>
          <w:sz w:val="32"/>
          <w:szCs w:val="32"/>
        </w:rPr>
        <w:t>20.农林水支出（类）农业（款）事业运行（项）:</w:t>
      </w:r>
      <w:r>
        <w:rPr>
          <w:rStyle w:val="14"/>
          <w:rFonts w:hint="eastAsia" w:ascii="仿宋_GB2312" w:hAnsi="仿宋_GB2312" w:eastAsia="仿宋_GB2312" w:cs="仿宋_GB2312"/>
          <w:b w:val="0"/>
          <w:color w:val="000000"/>
          <w:sz w:val="32"/>
          <w:szCs w:val="32"/>
        </w:rPr>
        <w:t xml:space="preserve"> 支出决算为201.59万元，完成预算100%，决算数等于预算数</w:t>
      </w:r>
    </w:p>
    <w:p>
      <w:pPr>
        <w:spacing w:line="576" w:lineRule="atLeast"/>
        <w:ind w:firstLine="642" w:firstLineChars="200"/>
        <w:rPr>
          <w:rStyle w:val="14"/>
          <w:rFonts w:ascii="仿宋_GB2312" w:hAnsi="仿宋_GB2312" w:eastAsia="仿宋_GB2312" w:cs="仿宋_GB2312"/>
          <w:b w:val="0"/>
          <w:color w:val="000000"/>
          <w:sz w:val="32"/>
          <w:szCs w:val="32"/>
        </w:rPr>
      </w:pPr>
      <w:r>
        <w:rPr>
          <w:rStyle w:val="14"/>
          <w:rFonts w:hint="eastAsia" w:ascii="仿宋_GB2312" w:hAnsi="仿宋_GB2312" w:eastAsia="仿宋_GB2312" w:cs="仿宋_GB2312"/>
          <w:bCs/>
          <w:color w:val="000000"/>
          <w:sz w:val="32"/>
          <w:szCs w:val="32"/>
        </w:rPr>
        <w:t xml:space="preserve">21.农林水支出（类）扶贫（款）其他扶贫支出（项）: </w:t>
      </w:r>
      <w:r>
        <w:rPr>
          <w:rStyle w:val="14"/>
          <w:rFonts w:hint="eastAsia" w:ascii="仿宋_GB2312" w:hAnsi="仿宋_GB2312" w:eastAsia="仿宋_GB2312" w:cs="仿宋_GB2312"/>
          <w:b w:val="0"/>
          <w:color w:val="000000"/>
          <w:sz w:val="32"/>
          <w:szCs w:val="32"/>
        </w:rPr>
        <w:t>支出决算为194.51万元，完成预算80%，决算数小于预算数，年末安排结转，资金下年继续使用。</w:t>
      </w:r>
    </w:p>
    <w:p>
      <w:pPr>
        <w:spacing w:line="576" w:lineRule="atLeast"/>
        <w:ind w:firstLine="642" w:firstLineChars="200"/>
        <w:rPr>
          <w:rStyle w:val="14"/>
          <w:rFonts w:ascii="仿宋_GB2312" w:hAnsi="仿宋_GB2312" w:eastAsia="仿宋_GB2312" w:cs="仿宋_GB2312"/>
          <w:b w:val="0"/>
          <w:color w:val="000000"/>
          <w:sz w:val="32"/>
          <w:szCs w:val="32"/>
        </w:rPr>
      </w:pPr>
      <w:r>
        <w:rPr>
          <w:rStyle w:val="14"/>
          <w:rFonts w:hint="eastAsia" w:ascii="仿宋_GB2312" w:hAnsi="仿宋_GB2312" w:eastAsia="仿宋_GB2312" w:cs="仿宋_GB2312"/>
          <w:bCs/>
          <w:color w:val="000000"/>
          <w:sz w:val="32"/>
          <w:szCs w:val="32"/>
        </w:rPr>
        <w:t xml:space="preserve">22.农林水支出（类）农村综合改革（款）对村民委员会和村党支部的支出（项）: </w:t>
      </w:r>
      <w:r>
        <w:rPr>
          <w:rStyle w:val="14"/>
          <w:rFonts w:hint="eastAsia" w:ascii="仿宋_GB2312" w:hAnsi="仿宋_GB2312" w:eastAsia="仿宋_GB2312" w:cs="仿宋_GB2312"/>
          <w:b w:val="0"/>
          <w:color w:val="000000"/>
          <w:sz w:val="32"/>
          <w:szCs w:val="32"/>
        </w:rPr>
        <w:t>支出决算为267.45万元，完成预算77%，年末安排结转，资金下年继续使用。</w:t>
      </w:r>
    </w:p>
    <w:p>
      <w:pPr>
        <w:spacing w:line="576" w:lineRule="atLeast"/>
        <w:ind w:firstLine="642" w:firstLineChars="200"/>
        <w:rPr>
          <w:rStyle w:val="14"/>
          <w:rFonts w:ascii="仿宋_GB2312" w:hAnsi="仿宋_GB2312" w:eastAsia="仿宋_GB2312" w:cs="仿宋_GB2312"/>
          <w:b w:val="0"/>
          <w:color w:val="000000"/>
          <w:sz w:val="32"/>
          <w:szCs w:val="32"/>
        </w:rPr>
      </w:pPr>
      <w:r>
        <w:rPr>
          <w:rStyle w:val="14"/>
          <w:rFonts w:hint="eastAsia" w:ascii="仿宋_GB2312" w:hAnsi="仿宋_GB2312" w:eastAsia="仿宋_GB2312" w:cs="仿宋_GB2312"/>
          <w:bCs/>
          <w:color w:val="000000"/>
          <w:sz w:val="32"/>
          <w:szCs w:val="32"/>
        </w:rPr>
        <w:t xml:space="preserve">23.住房保障支出（类）住房改革支出（款）住房公积金（项）: </w:t>
      </w:r>
      <w:r>
        <w:rPr>
          <w:rStyle w:val="14"/>
          <w:rFonts w:hint="eastAsia" w:ascii="仿宋_GB2312" w:hAnsi="仿宋_GB2312" w:eastAsia="仿宋_GB2312" w:cs="仿宋_GB2312"/>
          <w:b w:val="0"/>
          <w:color w:val="000000"/>
          <w:sz w:val="32"/>
          <w:szCs w:val="32"/>
        </w:rPr>
        <w:t>支出决算为65.32万元，完成预算100%，决算数等于预算数。</w:t>
      </w:r>
    </w:p>
    <w:p>
      <w:pPr>
        <w:spacing w:line="576" w:lineRule="atLeast"/>
        <w:ind w:firstLine="642" w:firstLineChars="200"/>
        <w:rPr>
          <w:rStyle w:val="14"/>
          <w:rFonts w:ascii="仿宋_GB2312" w:hAnsi="仿宋_GB2312" w:eastAsia="仿宋_GB2312" w:cs="仿宋_GB2312"/>
          <w:b w:val="0"/>
          <w:color w:val="000000"/>
          <w:sz w:val="32"/>
          <w:szCs w:val="32"/>
        </w:rPr>
      </w:pPr>
      <w:r>
        <w:rPr>
          <w:rStyle w:val="14"/>
          <w:rFonts w:hint="eastAsia" w:ascii="仿宋_GB2312" w:hAnsi="仿宋_GB2312" w:eastAsia="仿宋_GB2312" w:cs="仿宋_GB2312"/>
          <w:bCs/>
          <w:color w:val="000000"/>
          <w:sz w:val="32"/>
          <w:szCs w:val="32"/>
        </w:rPr>
        <w:t xml:space="preserve">24.住房保障支出（类）住房改革支出（款）购房补贴（项）: </w:t>
      </w:r>
      <w:r>
        <w:rPr>
          <w:rStyle w:val="14"/>
          <w:rFonts w:hint="eastAsia" w:ascii="仿宋_GB2312" w:hAnsi="仿宋_GB2312" w:eastAsia="仿宋_GB2312" w:cs="仿宋_GB2312"/>
          <w:b w:val="0"/>
          <w:color w:val="000000"/>
          <w:sz w:val="32"/>
          <w:szCs w:val="32"/>
        </w:rPr>
        <w:t>支出决算为1.02万元，完成预算100%，决算数等于预算数。</w:t>
      </w:r>
    </w:p>
    <w:p>
      <w:pPr>
        <w:spacing w:line="576" w:lineRule="atLeast"/>
        <w:ind w:firstLine="642" w:firstLineChars="200"/>
        <w:rPr>
          <w:rStyle w:val="14"/>
          <w:rFonts w:ascii="仿宋_GB2312" w:hAnsi="仿宋_GB2312" w:eastAsia="仿宋_GB2312" w:cs="仿宋_GB2312"/>
          <w:b w:val="0"/>
          <w:color w:val="000000"/>
          <w:sz w:val="32"/>
          <w:szCs w:val="32"/>
        </w:rPr>
      </w:pPr>
      <w:r>
        <w:rPr>
          <w:rStyle w:val="14"/>
          <w:rFonts w:hint="eastAsia" w:ascii="仿宋_GB2312" w:hAnsi="仿宋_GB2312" w:eastAsia="仿宋_GB2312" w:cs="仿宋_GB2312"/>
          <w:bCs/>
          <w:color w:val="000000"/>
          <w:sz w:val="32"/>
          <w:szCs w:val="32"/>
        </w:rPr>
        <w:t>25.其他支出（类）其他支出（款）其他支出（项）：</w:t>
      </w:r>
      <w:r>
        <w:rPr>
          <w:rStyle w:val="14"/>
          <w:rFonts w:hint="eastAsia" w:ascii="仿宋_GB2312" w:hAnsi="仿宋_GB2312" w:eastAsia="仿宋_GB2312" w:cs="仿宋_GB2312"/>
          <w:b w:val="0"/>
          <w:color w:val="000000"/>
          <w:sz w:val="32"/>
          <w:szCs w:val="32"/>
        </w:rPr>
        <w:t>支出决算为95.73万元，完成预算100%，决算数等于预算数。</w:t>
      </w:r>
    </w:p>
    <w:p>
      <w:pPr>
        <w:tabs>
          <w:tab w:val="right" w:pos="8306"/>
        </w:tabs>
        <w:spacing w:line="600" w:lineRule="exact"/>
        <w:ind w:firstLine="640"/>
        <w:outlineLvl w:val="1"/>
        <w:rPr>
          <w:rStyle w:val="25"/>
        </w:rPr>
      </w:pPr>
      <w:bookmarkStart w:id="36" w:name="_Toc15377214"/>
      <w:bookmarkStart w:id="37" w:name="_Toc15396608"/>
      <w:r>
        <w:rPr>
          <w:rFonts w:hint="eastAsia" w:ascii="黑体" w:eastAsia="黑体"/>
          <w:color w:val="000000"/>
          <w:sz w:val="32"/>
          <w:szCs w:val="32"/>
        </w:rPr>
        <w:t>六</w:t>
      </w:r>
      <w:r>
        <w:rPr>
          <w:rFonts w:hint="eastAsia" w:ascii="黑体" w:eastAsia="黑体"/>
          <w:b/>
          <w:color w:val="000000"/>
          <w:sz w:val="32"/>
          <w:szCs w:val="32"/>
        </w:rPr>
        <w:t>、</w:t>
      </w:r>
      <w:r>
        <w:rPr>
          <w:rFonts w:hint="eastAsia" w:ascii="黑体" w:hAnsi="黑体" w:eastAsia="黑体"/>
          <w:b/>
          <w:color w:val="000000"/>
          <w:sz w:val="32"/>
          <w:szCs w:val="32"/>
        </w:rPr>
        <w:t>一</w:t>
      </w:r>
      <w:r>
        <w:rPr>
          <w:rStyle w:val="25"/>
          <w:rFonts w:hint="eastAsia" w:ascii="黑体" w:hAnsi="黑体" w:eastAsia="黑体"/>
          <w:b w:val="0"/>
        </w:rPr>
        <w:t>般公共预算财政拨款基本支出决算情况说明</w:t>
      </w:r>
      <w:bookmarkEnd w:id="36"/>
      <w:bookmarkEnd w:id="37"/>
      <w:r>
        <w:rPr>
          <w:rStyle w:val="25"/>
          <w:rFonts w:ascii="黑体" w:hAnsi="黑体" w:eastAsia="黑体"/>
          <w:b w:val="0"/>
        </w:rPr>
        <w:tab/>
      </w:r>
    </w:p>
    <w:p>
      <w:pPr>
        <w:spacing w:line="600" w:lineRule="exact"/>
        <w:ind w:firstLine="645"/>
        <w:rPr>
          <w:rFonts w:ascii="仿宋" w:hAnsi="仿宋" w:eastAsia="仿宋"/>
          <w:color w:val="000000"/>
          <w:sz w:val="32"/>
          <w:szCs w:val="32"/>
        </w:rPr>
      </w:pPr>
      <w:r>
        <w:rPr>
          <w:rFonts w:ascii="仿宋" w:hAnsi="仿宋" w:eastAsia="仿宋"/>
          <w:color w:val="000000"/>
          <w:sz w:val="32"/>
          <w:szCs w:val="32"/>
        </w:rPr>
        <w:t>201</w:t>
      </w:r>
      <w:r>
        <w:rPr>
          <w:rFonts w:hint="eastAsia" w:ascii="仿宋" w:hAnsi="仿宋" w:eastAsia="仿宋"/>
          <w:color w:val="000000"/>
          <w:sz w:val="32"/>
          <w:szCs w:val="32"/>
        </w:rPr>
        <w:t>9年一般公共预算财政拨款基本支出847.27万元，其中：</w:t>
      </w:r>
    </w:p>
    <w:p>
      <w:pPr>
        <w:spacing w:line="600" w:lineRule="exact"/>
        <w:ind w:firstLine="645"/>
        <w:rPr>
          <w:rFonts w:ascii="仿宋" w:hAnsi="仿宋" w:eastAsia="仿宋"/>
          <w:color w:val="000000"/>
          <w:sz w:val="32"/>
          <w:szCs w:val="32"/>
        </w:rPr>
      </w:pPr>
      <w:r>
        <w:rPr>
          <w:rFonts w:hint="eastAsia" w:ascii="仿宋" w:hAnsi="仿宋" w:eastAsia="仿宋"/>
          <w:color w:val="000000"/>
          <w:sz w:val="32"/>
          <w:szCs w:val="32"/>
        </w:rPr>
        <w:t>人员经费797.55万元，主要包括：基本工资、津贴补贴、奖金、伙食补助费、绩效工资、机关事业单位基本养老保险缴费、职业年金缴费、其他社会保障缴费、生活补助、医疗费补助、奖励金、住房公积金、其他对个人和家庭的补助支出等。</w:t>
      </w:r>
      <w:r>
        <w:rPr>
          <w:rFonts w:ascii="仿宋" w:hAnsi="仿宋" w:eastAsia="仿宋"/>
          <w:color w:val="000000"/>
          <w:sz w:val="32"/>
          <w:szCs w:val="32"/>
        </w:rPr>
        <w:br w:type="textWrapping"/>
      </w:r>
      <w:r>
        <w:rPr>
          <w:rFonts w:hint="eastAsia" w:ascii="仿宋" w:hAnsi="仿宋" w:eastAsia="仿宋"/>
          <w:color w:val="000000"/>
          <w:sz w:val="32"/>
          <w:szCs w:val="32"/>
        </w:rPr>
        <w:t>　　日常公用经费49.72万元，主要包括：办公费、印刷费、咨询费、手续费、水费、电费、邮电费、取暖费、物业管理费、差旅费、维修（护）费、租赁费、会议费、培训费、劳务费、委托业务费、工会经费、福利费、公务用车运行维护费、其他交通费、税金及附加费用、其他商品和服务支出、办公设备购置、专用设备购置、信息网络及软件购置更新、其他资本性支出等。</w:t>
      </w:r>
    </w:p>
    <w:p>
      <w:pPr>
        <w:spacing w:line="600" w:lineRule="exact"/>
        <w:ind w:firstLine="640"/>
        <w:outlineLvl w:val="1"/>
        <w:rPr>
          <w:rStyle w:val="25"/>
          <w:rFonts w:ascii="黑体" w:hAnsi="黑体" w:eastAsia="黑体"/>
          <w:b w:val="0"/>
        </w:rPr>
      </w:pPr>
      <w:bookmarkStart w:id="38" w:name="_Toc15377215"/>
      <w:bookmarkStart w:id="39" w:name="_Toc15396609"/>
      <w:r>
        <w:rPr>
          <w:rFonts w:hint="eastAsia" w:ascii="黑体" w:eastAsia="黑体"/>
          <w:color w:val="000000"/>
          <w:sz w:val="32"/>
          <w:szCs w:val="32"/>
        </w:rPr>
        <w:t>七、</w:t>
      </w:r>
      <w:r>
        <w:rPr>
          <w:rStyle w:val="25"/>
          <w:rFonts w:hint="eastAsia" w:ascii="黑体" w:hAnsi="黑体" w:eastAsia="黑体"/>
        </w:rPr>
        <w:t>“</w:t>
      </w:r>
      <w:r>
        <w:rPr>
          <w:rStyle w:val="25"/>
          <w:rFonts w:hint="eastAsia" w:ascii="黑体" w:hAnsi="黑体" w:eastAsia="黑体"/>
          <w:b w:val="0"/>
        </w:rPr>
        <w:t>三公”经费财政拨款支出决算情况说明</w:t>
      </w:r>
      <w:bookmarkEnd w:id="38"/>
      <w:bookmarkEnd w:id="39"/>
    </w:p>
    <w:p>
      <w:pPr>
        <w:spacing w:line="600" w:lineRule="exact"/>
        <w:ind w:firstLine="642" w:firstLineChars="200"/>
        <w:outlineLvl w:val="2"/>
        <w:rPr>
          <w:rFonts w:ascii="楷体" w:hAnsi="楷体" w:eastAsia="楷体" w:cs="楷体"/>
          <w:b/>
          <w:color w:val="000000"/>
          <w:sz w:val="32"/>
          <w:szCs w:val="32"/>
        </w:rPr>
      </w:pPr>
      <w:bookmarkStart w:id="40" w:name="_Toc15377216"/>
      <w:r>
        <w:rPr>
          <w:rFonts w:hint="eastAsia" w:ascii="楷体" w:hAnsi="楷体" w:eastAsia="楷体" w:cs="楷体"/>
          <w:b/>
          <w:color w:val="000000"/>
          <w:sz w:val="32"/>
          <w:szCs w:val="32"/>
        </w:rPr>
        <w:t>（一）“三公”经费财政拨款支出决算总体情况说明</w:t>
      </w:r>
      <w:bookmarkEnd w:id="40"/>
    </w:p>
    <w:p>
      <w:pPr>
        <w:spacing w:line="576" w:lineRule="exact"/>
        <w:ind w:firstLine="640" w:firstLineChars="200"/>
        <w:rPr>
          <w:rFonts w:ascii="仿宋_GB2312" w:hAnsi="仿宋_GB2312" w:eastAsia="仿宋_GB2312" w:cs="仿宋_GB2312"/>
          <w:color w:val="000000" w:themeColor="text1"/>
          <w:sz w:val="32"/>
          <w:szCs w:val="32"/>
        </w:rPr>
      </w:pPr>
      <w:bookmarkStart w:id="41" w:name="_Toc15377217"/>
      <w:r>
        <w:rPr>
          <w:rFonts w:hint="eastAsia" w:ascii="仿宋_GB2312" w:hAnsi="仿宋_GB2312" w:eastAsia="仿宋_GB2312" w:cs="仿宋_GB2312"/>
          <w:color w:val="000000" w:themeColor="text1"/>
          <w:sz w:val="32"/>
          <w:szCs w:val="32"/>
        </w:rPr>
        <w:t>2019年“三公”经费财政拨款支出决算中，我单位无因公出国（境）费、无公务用车购置及运行维护费支出、无公务接待费支出。</w:t>
      </w:r>
    </w:p>
    <w:p>
      <w:pPr>
        <w:spacing w:line="600" w:lineRule="exact"/>
        <w:ind w:firstLine="642" w:firstLineChars="200"/>
        <w:outlineLvl w:val="2"/>
        <w:rPr>
          <w:rFonts w:ascii="楷体" w:hAnsi="楷体" w:eastAsia="楷体" w:cs="楷体"/>
          <w:b/>
          <w:color w:val="000000"/>
          <w:sz w:val="32"/>
          <w:szCs w:val="32"/>
        </w:rPr>
      </w:pPr>
      <w:r>
        <w:rPr>
          <w:rFonts w:hint="eastAsia" w:ascii="楷体" w:hAnsi="楷体" w:eastAsia="楷体" w:cs="楷体"/>
          <w:b/>
          <w:color w:val="000000"/>
          <w:sz w:val="32"/>
          <w:szCs w:val="32"/>
        </w:rPr>
        <w:t>（二）“三公”经费财政拨款支出决算具体情况说明</w:t>
      </w:r>
      <w:bookmarkEnd w:id="41"/>
    </w:p>
    <w:p>
      <w:pPr>
        <w:spacing w:line="576" w:lineRule="atLeast"/>
        <w:ind w:firstLine="640" w:firstLineChars="200"/>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2019年“三公”经费财政拨款支出决算中，因公出国（境）费支出决算0万元，占0%；公务用车购置及运行维护费支出决算0万元，占0%；公务接待费支出决算0万元，占0%。具体情况如下：</w:t>
      </w:r>
    </w:p>
    <w:p>
      <w:pPr>
        <w:spacing w:line="600" w:lineRule="exact"/>
        <w:ind w:firstLine="642" w:firstLineChars="200"/>
        <w:rPr>
          <w:rFonts w:ascii="仿宋_GB2312" w:eastAsia="仿宋_GB2312"/>
          <w:color w:val="000000"/>
          <w:sz w:val="32"/>
          <w:szCs w:val="32"/>
        </w:rPr>
      </w:pPr>
      <w:bookmarkStart w:id="42" w:name="_Toc15396610"/>
      <w:bookmarkStart w:id="43" w:name="_Toc15377218"/>
      <w:r>
        <w:rPr>
          <w:rFonts w:hint="eastAsia" w:ascii="仿宋_GB2312" w:eastAsia="仿宋_GB2312"/>
          <w:b/>
          <w:color w:val="000000"/>
          <w:sz w:val="32"/>
          <w:szCs w:val="32"/>
        </w:rPr>
        <w:t>1.因公出国（境）经费支出</w:t>
      </w:r>
      <w:r>
        <w:rPr>
          <w:rFonts w:hint="eastAsia" w:ascii="仿宋_GB2312" w:eastAsia="仿宋_GB2312"/>
          <w:color w:val="000000"/>
          <w:sz w:val="32"/>
          <w:szCs w:val="32"/>
        </w:rPr>
        <w:t>0万元。</w:t>
      </w:r>
    </w:p>
    <w:p>
      <w:pPr>
        <w:spacing w:line="600" w:lineRule="exact"/>
        <w:ind w:firstLine="640"/>
        <w:rPr>
          <w:rFonts w:ascii="仿宋_GB2312" w:eastAsia="仿宋_GB2312"/>
          <w:b/>
          <w:color w:val="000000"/>
          <w:sz w:val="32"/>
          <w:szCs w:val="32"/>
        </w:rPr>
      </w:pPr>
      <w:r>
        <w:rPr>
          <w:rFonts w:ascii="仿宋_GB2312" w:eastAsia="仿宋_GB2312"/>
          <w:b/>
          <w:color w:val="000000"/>
          <w:sz w:val="32"/>
          <w:szCs w:val="32"/>
        </w:rPr>
        <w:t>2.</w:t>
      </w:r>
      <w:r>
        <w:rPr>
          <w:rFonts w:hint="eastAsia" w:ascii="仿宋_GB2312" w:eastAsia="仿宋_GB2312"/>
          <w:b/>
          <w:color w:val="000000"/>
          <w:sz w:val="32"/>
          <w:szCs w:val="32"/>
        </w:rPr>
        <w:t>公务用车购置及运行维护费支出</w:t>
      </w:r>
      <w:r>
        <w:rPr>
          <w:rFonts w:hint="eastAsia" w:ascii="仿宋_GB2312" w:eastAsia="仿宋_GB2312"/>
          <w:color w:val="000000"/>
          <w:sz w:val="32"/>
          <w:szCs w:val="32"/>
        </w:rPr>
        <w:t>0万元,</w:t>
      </w:r>
      <w:r>
        <w:rPr>
          <w:rStyle w:val="14"/>
          <w:rFonts w:hint="eastAsia" w:ascii="仿宋" w:hAnsi="仿宋" w:eastAsia="仿宋"/>
          <w:b w:val="0"/>
          <w:bCs/>
          <w:color w:val="000000"/>
          <w:sz w:val="32"/>
          <w:szCs w:val="32"/>
        </w:rPr>
        <w:t>完成预算0</w:t>
      </w:r>
      <w:r>
        <w:rPr>
          <w:rStyle w:val="14"/>
          <w:rFonts w:ascii="仿宋" w:hAnsi="仿宋" w:eastAsia="仿宋"/>
          <w:b w:val="0"/>
          <w:bCs/>
          <w:color w:val="000000"/>
          <w:sz w:val="32"/>
          <w:szCs w:val="32"/>
        </w:rPr>
        <w:t>%</w:t>
      </w:r>
      <w:r>
        <w:rPr>
          <w:rStyle w:val="14"/>
          <w:rFonts w:hint="eastAsia" w:ascii="仿宋" w:hAnsi="仿宋" w:eastAsia="仿宋"/>
          <w:b w:val="0"/>
          <w:bCs/>
          <w:color w:val="000000"/>
          <w:sz w:val="32"/>
          <w:szCs w:val="32"/>
        </w:rPr>
        <w:t>。</w:t>
      </w:r>
      <w:r>
        <w:rPr>
          <w:rFonts w:hint="eastAsia" w:ascii="仿宋_GB2312" w:eastAsia="仿宋_GB2312"/>
          <w:color w:val="000000"/>
          <w:sz w:val="32"/>
          <w:szCs w:val="32"/>
        </w:rPr>
        <w:t>公务用车购置及运行维护费支出决算与</w:t>
      </w:r>
      <w:r>
        <w:rPr>
          <w:rFonts w:ascii="仿宋_GB2312" w:eastAsia="仿宋_GB2312"/>
          <w:color w:val="000000"/>
          <w:sz w:val="32"/>
          <w:szCs w:val="32"/>
        </w:rPr>
        <w:t>201</w:t>
      </w:r>
      <w:r>
        <w:rPr>
          <w:rFonts w:hint="eastAsia" w:ascii="仿宋_GB2312" w:eastAsia="仿宋_GB2312"/>
          <w:color w:val="000000"/>
          <w:sz w:val="32"/>
          <w:szCs w:val="32"/>
        </w:rPr>
        <w:t>8年持平。</w:t>
      </w:r>
    </w:p>
    <w:p>
      <w:pPr>
        <w:spacing w:line="576" w:lineRule="atLeast"/>
        <w:ind w:firstLine="640" w:firstLineChars="200"/>
        <w:rPr>
          <w:rFonts w:ascii="仿宋_GB2312" w:eastAsia="仿宋_GB2312"/>
          <w:color w:val="000000"/>
          <w:sz w:val="32"/>
          <w:szCs w:val="32"/>
        </w:rPr>
      </w:pPr>
      <w:r>
        <w:rPr>
          <w:rFonts w:hint="eastAsia" w:ascii="仿宋_GB2312" w:eastAsia="仿宋_GB2312"/>
          <w:color w:val="000000"/>
          <w:sz w:val="32"/>
          <w:szCs w:val="32"/>
        </w:rPr>
        <w:t>其中：</w:t>
      </w:r>
      <w:r>
        <w:rPr>
          <w:rFonts w:hint="eastAsia" w:ascii="仿宋_GB2312" w:eastAsia="仿宋_GB2312"/>
          <w:b/>
          <w:color w:val="000000"/>
          <w:sz w:val="32"/>
          <w:szCs w:val="32"/>
        </w:rPr>
        <w:t>公务用车购置支出</w:t>
      </w:r>
      <w:r>
        <w:rPr>
          <w:rFonts w:hint="eastAsia" w:ascii="仿宋_GB2312" w:eastAsia="仿宋_GB2312"/>
          <w:color w:val="000000"/>
          <w:sz w:val="32"/>
          <w:szCs w:val="32"/>
        </w:rPr>
        <w:t>0万元。截至</w:t>
      </w:r>
      <w:r>
        <w:rPr>
          <w:rFonts w:ascii="仿宋_GB2312" w:eastAsia="仿宋_GB2312"/>
          <w:color w:val="000000"/>
          <w:sz w:val="32"/>
          <w:szCs w:val="32"/>
        </w:rPr>
        <w:t>201</w:t>
      </w:r>
      <w:r>
        <w:rPr>
          <w:rFonts w:hint="eastAsia" w:ascii="仿宋_GB2312" w:eastAsia="仿宋_GB2312"/>
          <w:color w:val="000000"/>
          <w:sz w:val="32"/>
          <w:szCs w:val="32"/>
        </w:rPr>
        <w:t>9年</w:t>
      </w:r>
      <w:r>
        <w:rPr>
          <w:rFonts w:ascii="仿宋_GB2312" w:eastAsia="仿宋_GB2312"/>
          <w:color w:val="000000"/>
          <w:sz w:val="32"/>
          <w:szCs w:val="32"/>
        </w:rPr>
        <w:t>12</w:t>
      </w:r>
      <w:r>
        <w:rPr>
          <w:rFonts w:hint="eastAsia" w:ascii="仿宋_GB2312" w:eastAsia="仿宋_GB2312"/>
          <w:color w:val="000000"/>
          <w:sz w:val="32"/>
          <w:szCs w:val="32"/>
        </w:rPr>
        <w:t>月底，单位共有公务用车0辆，其中：</w:t>
      </w:r>
      <w:r>
        <w:rPr>
          <w:rFonts w:hint="eastAsia" w:ascii="仿宋_GB2312" w:hAnsi="仿宋_GB2312" w:eastAsia="仿宋_GB2312" w:cs="仿宋_GB2312"/>
          <w:color w:val="000000"/>
          <w:sz w:val="32"/>
          <w:szCs w:val="32"/>
        </w:rPr>
        <w:t>轿车0辆、金额0万元，越野车0辆、金额0万元，载客汽车0辆、金额0万元。</w:t>
      </w:r>
    </w:p>
    <w:p>
      <w:pPr>
        <w:spacing w:line="576" w:lineRule="atLeast"/>
        <w:ind w:firstLine="642" w:firstLineChars="200"/>
        <w:rPr>
          <w:rFonts w:ascii="仿宋_GB2312" w:hAnsi="仿宋_GB2312" w:eastAsia="仿宋_GB2312" w:cs="仿宋_GB2312"/>
          <w:color w:val="000000"/>
          <w:sz w:val="32"/>
          <w:szCs w:val="32"/>
        </w:rPr>
      </w:pPr>
      <w:r>
        <w:rPr>
          <w:rFonts w:hint="eastAsia" w:ascii="仿宋_GB2312" w:eastAsia="仿宋_GB2312"/>
          <w:b/>
          <w:color w:val="000000"/>
          <w:sz w:val="32"/>
          <w:szCs w:val="32"/>
        </w:rPr>
        <w:t>公务用车运行维护费支出0</w:t>
      </w:r>
      <w:r>
        <w:rPr>
          <w:rFonts w:hint="eastAsia" w:ascii="仿宋_GB2312" w:eastAsia="仿宋_GB2312"/>
          <w:color w:val="000000"/>
          <w:sz w:val="32"/>
          <w:szCs w:val="32"/>
        </w:rPr>
        <w:t>万元。</w:t>
      </w:r>
    </w:p>
    <w:p>
      <w:pPr>
        <w:spacing w:line="600" w:lineRule="exact"/>
        <w:ind w:left="640"/>
        <w:rPr>
          <w:rFonts w:ascii="仿宋_GB2312" w:eastAsia="仿宋_GB2312"/>
          <w:color w:val="000000"/>
          <w:sz w:val="32"/>
          <w:szCs w:val="32"/>
        </w:rPr>
      </w:pPr>
      <w:r>
        <w:rPr>
          <w:rFonts w:hint="eastAsia" w:ascii="仿宋_GB2312" w:eastAsia="仿宋_GB2312"/>
          <w:b/>
          <w:color w:val="000000"/>
          <w:sz w:val="32"/>
          <w:szCs w:val="32"/>
        </w:rPr>
        <w:t>3.公务接待费支出</w:t>
      </w:r>
      <w:r>
        <w:rPr>
          <w:rFonts w:hint="eastAsia" w:ascii="仿宋_GB2312" w:eastAsia="仿宋_GB2312"/>
          <w:color w:val="000000"/>
          <w:sz w:val="32"/>
          <w:szCs w:val="32"/>
        </w:rPr>
        <w:t>0万元。</w:t>
      </w:r>
    </w:p>
    <w:p>
      <w:pPr>
        <w:spacing w:line="600" w:lineRule="exact"/>
        <w:ind w:left="640"/>
        <w:rPr>
          <w:rFonts w:ascii="仿宋_GB2312" w:eastAsia="仿宋_GB2312"/>
          <w:color w:val="000000"/>
          <w:sz w:val="32"/>
          <w:szCs w:val="32"/>
        </w:rPr>
      </w:pPr>
      <w:r>
        <w:rPr>
          <w:rFonts w:hint="eastAsia" w:ascii="仿宋" w:hAnsi="仿宋" w:eastAsia="仿宋"/>
          <w:b/>
          <w:color w:val="000000"/>
          <w:sz w:val="32"/>
          <w:szCs w:val="32"/>
        </w:rPr>
        <w:t>国内公务接待支出</w:t>
      </w:r>
      <w:r>
        <w:rPr>
          <w:rFonts w:hint="eastAsia" w:ascii="仿宋" w:hAnsi="仿宋" w:eastAsia="仿宋"/>
          <w:color w:val="000000"/>
          <w:sz w:val="32"/>
          <w:szCs w:val="32"/>
        </w:rPr>
        <w:t>0</w:t>
      </w:r>
      <w:r>
        <w:rPr>
          <w:rFonts w:hint="eastAsia" w:ascii="仿宋_GB2312" w:eastAsia="仿宋_GB2312"/>
          <w:color w:val="000000"/>
          <w:sz w:val="32"/>
          <w:szCs w:val="32"/>
        </w:rPr>
        <w:t>万元。</w:t>
      </w:r>
    </w:p>
    <w:p>
      <w:pPr>
        <w:spacing w:line="600" w:lineRule="exact"/>
        <w:ind w:firstLine="642" w:firstLineChars="200"/>
        <w:rPr>
          <w:rFonts w:ascii="仿宋_GB2312" w:eastAsia="仿宋_GB2312"/>
          <w:color w:val="000000" w:themeColor="text1"/>
          <w:sz w:val="32"/>
          <w:szCs w:val="32"/>
        </w:rPr>
      </w:pPr>
      <w:r>
        <w:rPr>
          <w:rFonts w:hint="eastAsia" w:ascii="仿宋" w:hAnsi="仿宋" w:eastAsia="仿宋"/>
          <w:b/>
          <w:color w:val="000000"/>
          <w:sz w:val="32"/>
          <w:szCs w:val="32"/>
        </w:rPr>
        <w:t>外事接待支出</w:t>
      </w:r>
      <w:r>
        <w:rPr>
          <w:rFonts w:hint="eastAsia" w:ascii="仿宋" w:hAnsi="仿宋" w:eastAsia="仿宋"/>
          <w:color w:val="000000"/>
          <w:sz w:val="32"/>
          <w:szCs w:val="32"/>
        </w:rPr>
        <w:t>0</w:t>
      </w:r>
      <w:r>
        <w:rPr>
          <w:rFonts w:hint="eastAsia" w:ascii="仿宋_GB2312" w:eastAsia="仿宋_GB2312"/>
          <w:color w:val="000000"/>
          <w:sz w:val="32"/>
          <w:szCs w:val="32"/>
        </w:rPr>
        <w:t>万元</w:t>
      </w:r>
      <w:r>
        <w:rPr>
          <w:rFonts w:hint="eastAsia" w:ascii="仿宋_GB2312" w:eastAsia="仿宋_GB2312"/>
          <w:color w:val="000000" w:themeColor="text1"/>
          <w:sz w:val="32"/>
          <w:szCs w:val="32"/>
        </w:rPr>
        <w:t>。</w:t>
      </w:r>
    </w:p>
    <w:p>
      <w:pPr>
        <w:spacing w:line="600" w:lineRule="exact"/>
        <w:ind w:firstLine="640"/>
        <w:outlineLvl w:val="1"/>
        <w:rPr>
          <w:rStyle w:val="25"/>
          <w:rFonts w:ascii="黑体" w:hAnsi="黑体" w:eastAsia="黑体"/>
        </w:rPr>
      </w:pPr>
      <w:r>
        <w:rPr>
          <w:rFonts w:hint="eastAsia" w:ascii="黑体" w:eastAsia="黑体"/>
          <w:color w:val="000000"/>
          <w:sz w:val="32"/>
          <w:szCs w:val="32"/>
        </w:rPr>
        <w:t>八、</w:t>
      </w:r>
      <w:r>
        <w:rPr>
          <w:rStyle w:val="25"/>
          <w:rFonts w:hint="eastAsia" w:ascii="黑体" w:hAnsi="黑体" w:eastAsia="黑体"/>
          <w:b w:val="0"/>
        </w:rPr>
        <w:t>政府性基金预算支出决算情况说明</w:t>
      </w:r>
      <w:bookmarkEnd w:id="42"/>
      <w:bookmarkEnd w:id="43"/>
    </w:p>
    <w:p>
      <w:pPr>
        <w:spacing w:line="600" w:lineRule="exact"/>
        <w:ind w:firstLine="640"/>
        <w:rPr>
          <w:rFonts w:ascii="仿宋_GB2312" w:eastAsia="仿宋_GB2312"/>
          <w:color w:val="000000"/>
          <w:sz w:val="32"/>
          <w:szCs w:val="32"/>
        </w:rPr>
      </w:pPr>
      <w:r>
        <w:rPr>
          <w:rFonts w:ascii="仿宋_GB2312" w:eastAsia="仿宋_GB2312"/>
          <w:color w:val="000000"/>
          <w:sz w:val="32"/>
          <w:szCs w:val="32"/>
        </w:rPr>
        <w:t>201</w:t>
      </w:r>
      <w:r>
        <w:rPr>
          <w:rFonts w:hint="eastAsia" w:ascii="仿宋_GB2312" w:eastAsia="仿宋_GB2312"/>
          <w:color w:val="000000"/>
          <w:sz w:val="32"/>
          <w:szCs w:val="32"/>
        </w:rPr>
        <w:t>9年政府性基金预算拨款支出</w:t>
      </w:r>
      <w:r>
        <w:rPr>
          <w:rFonts w:hint="eastAsia" w:ascii="仿宋_GB2312" w:eastAsia="仿宋_GB2312" w:cs="仿宋_GB2312"/>
          <w:b/>
          <w:bCs/>
          <w:color w:val="000000"/>
          <w:sz w:val="32"/>
          <w:szCs w:val="32"/>
        </w:rPr>
        <w:t>4.84</w:t>
      </w:r>
      <w:r>
        <w:rPr>
          <w:rFonts w:hint="eastAsia" w:ascii="仿宋_GB2312" w:eastAsia="仿宋_GB2312"/>
          <w:color w:val="000000"/>
          <w:sz w:val="32"/>
          <w:szCs w:val="32"/>
        </w:rPr>
        <w:t>万元。</w:t>
      </w:r>
    </w:p>
    <w:p>
      <w:pPr>
        <w:numPr>
          <w:ilvl w:val="0"/>
          <w:numId w:val="2"/>
        </w:numPr>
        <w:spacing w:line="600" w:lineRule="exact"/>
        <w:ind w:firstLine="640"/>
        <w:outlineLvl w:val="1"/>
        <w:rPr>
          <w:rStyle w:val="25"/>
          <w:rFonts w:ascii="黑体" w:hAnsi="黑体" w:eastAsia="黑体"/>
          <w:b w:val="0"/>
        </w:rPr>
      </w:pPr>
      <w:bookmarkStart w:id="44" w:name="_Toc15377219"/>
      <w:bookmarkStart w:id="45" w:name="_Toc15396611"/>
      <w:r>
        <w:rPr>
          <w:rStyle w:val="25"/>
          <w:rFonts w:hint="eastAsia" w:ascii="黑体" w:hAnsi="黑体" w:eastAsia="黑体"/>
          <w:b w:val="0"/>
        </w:rPr>
        <w:t>国有资本经营预算支出决算情况说明</w:t>
      </w:r>
      <w:bookmarkEnd w:id="44"/>
      <w:bookmarkEnd w:id="45"/>
    </w:p>
    <w:p>
      <w:pPr>
        <w:spacing w:line="600" w:lineRule="exact"/>
        <w:ind w:firstLine="640"/>
        <w:rPr>
          <w:rFonts w:ascii="方正小标宋简体" w:hAnsi="方正小标宋简体" w:eastAsia="方正小标宋简体" w:cs="方正小标宋简体"/>
          <w:sz w:val="44"/>
          <w:szCs w:val="44"/>
        </w:rPr>
      </w:pPr>
      <w:r>
        <w:rPr>
          <w:rFonts w:ascii="仿宋_GB2312" w:eastAsia="仿宋_GB2312"/>
          <w:color w:val="000000"/>
          <w:sz w:val="32"/>
          <w:szCs w:val="32"/>
        </w:rPr>
        <w:t>201</w:t>
      </w:r>
      <w:r>
        <w:rPr>
          <w:rFonts w:hint="eastAsia" w:ascii="仿宋_GB2312" w:eastAsia="仿宋_GB2312"/>
          <w:color w:val="000000"/>
          <w:sz w:val="32"/>
          <w:szCs w:val="32"/>
        </w:rPr>
        <w:t>9年国有资本经营预算拨款支出0万元。</w:t>
      </w:r>
    </w:p>
    <w:p>
      <w:pPr>
        <w:spacing w:line="600" w:lineRule="exact"/>
        <w:ind w:firstLine="640" w:firstLineChars="200"/>
        <w:outlineLvl w:val="1"/>
        <w:rPr>
          <w:rStyle w:val="25"/>
          <w:rFonts w:ascii="黑体" w:hAnsi="黑体" w:eastAsia="黑体"/>
        </w:rPr>
      </w:pPr>
      <w:bookmarkStart w:id="46" w:name="_Toc15377221"/>
      <w:bookmarkStart w:id="47" w:name="_Toc15396612"/>
      <w:r>
        <w:rPr>
          <w:rFonts w:hint="eastAsia" w:ascii="黑体" w:hAnsi="黑体" w:eastAsia="黑体"/>
          <w:color w:val="000000"/>
          <w:sz w:val="32"/>
          <w:szCs w:val="32"/>
        </w:rPr>
        <w:t>十</w:t>
      </w:r>
      <w:r>
        <w:rPr>
          <w:rStyle w:val="25"/>
          <w:rFonts w:hint="eastAsia" w:ascii="黑体" w:hAnsi="黑体" w:eastAsia="黑体"/>
        </w:rPr>
        <w:t>、</w:t>
      </w:r>
      <w:r>
        <w:rPr>
          <w:rStyle w:val="25"/>
          <w:rFonts w:hint="eastAsia" w:ascii="黑体" w:hAnsi="黑体" w:eastAsia="黑体"/>
          <w:b w:val="0"/>
        </w:rPr>
        <w:t>其他重要事项的情况说明</w:t>
      </w:r>
      <w:bookmarkEnd w:id="46"/>
      <w:bookmarkEnd w:id="47"/>
    </w:p>
    <w:p>
      <w:pPr>
        <w:spacing w:line="600" w:lineRule="exact"/>
        <w:ind w:firstLine="642" w:firstLineChars="200"/>
        <w:outlineLvl w:val="2"/>
        <w:rPr>
          <w:rFonts w:ascii="楷体" w:hAnsi="楷体" w:eastAsia="楷体" w:cs="楷体"/>
          <w:b/>
          <w:color w:val="000000"/>
          <w:sz w:val="32"/>
          <w:szCs w:val="32"/>
        </w:rPr>
      </w:pPr>
      <w:bookmarkStart w:id="48" w:name="_Toc15377222"/>
      <w:r>
        <w:rPr>
          <w:rFonts w:hint="eastAsia" w:ascii="楷体" w:hAnsi="楷体" w:eastAsia="楷体" w:cs="楷体"/>
          <w:b/>
          <w:color w:val="000000"/>
          <w:sz w:val="32"/>
          <w:szCs w:val="32"/>
        </w:rPr>
        <w:t>（一）机关运行经费支出情况</w:t>
      </w:r>
      <w:bookmarkEnd w:id="48"/>
    </w:p>
    <w:p>
      <w:pPr>
        <w:autoSpaceDE w:val="0"/>
        <w:autoSpaceDN w:val="0"/>
        <w:adjustRightInd w:val="0"/>
        <w:spacing w:line="576" w:lineRule="atLeast"/>
        <w:ind w:firstLine="640" w:firstLineChars="200"/>
        <w:rPr>
          <w:rFonts w:ascii="仿宋_GB2312" w:eastAsia="仿宋_GB2312" w:cs="仿宋_GB2312"/>
          <w:sz w:val="32"/>
          <w:szCs w:val="32"/>
        </w:rPr>
      </w:pPr>
      <w:r>
        <w:rPr>
          <w:rFonts w:ascii="仿宋_GB2312" w:eastAsia="仿宋_GB2312" w:cs="仿宋_GB2312"/>
          <w:color w:val="000000"/>
          <w:sz w:val="32"/>
          <w:szCs w:val="32"/>
        </w:rPr>
        <w:t>201</w:t>
      </w:r>
      <w:r>
        <w:rPr>
          <w:rFonts w:hint="eastAsia" w:ascii="仿宋_GB2312" w:eastAsia="仿宋_GB2312" w:cs="仿宋_GB2312"/>
          <w:color w:val="000000"/>
          <w:sz w:val="32"/>
          <w:szCs w:val="32"/>
        </w:rPr>
        <w:t>9年茂县土门镇人民政府机关运行经费支出49.72万元，</w:t>
      </w:r>
      <w:r>
        <w:rPr>
          <w:rFonts w:hint="eastAsia" w:ascii="仿宋_GB2312" w:eastAsia="仿宋_GB2312" w:cs="仿宋_GB2312"/>
          <w:sz w:val="32"/>
          <w:szCs w:val="32"/>
        </w:rPr>
        <w:t>比</w:t>
      </w:r>
      <w:r>
        <w:rPr>
          <w:rFonts w:ascii="仿宋_GB2312" w:eastAsia="仿宋_GB2312" w:cs="仿宋_GB2312"/>
          <w:sz w:val="32"/>
          <w:szCs w:val="32"/>
        </w:rPr>
        <w:t>201</w:t>
      </w:r>
      <w:r>
        <w:rPr>
          <w:rFonts w:hint="eastAsia" w:ascii="仿宋_GB2312" w:eastAsia="仿宋_GB2312" w:cs="仿宋_GB2312"/>
          <w:sz w:val="32"/>
          <w:szCs w:val="32"/>
        </w:rPr>
        <w:t>8年增加12.87万元，增加34</w:t>
      </w:r>
      <w:r>
        <w:rPr>
          <w:rFonts w:ascii="仿宋_GB2312" w:eastAsia="仿宋_GB2312" w:cs="仿宋_GB2312"/>
          <w:sz w:val="32"/>
          <w:szCs w:val="32"/>
        </w:rPr>
        <w:t>%</w:t>
      </w:r>
      <w:r>
        <w:rPr>
          <w:rFonts w:hint="eastAsia" w:ascii="仿宋_GB2312" w:eastAsia="仿宋_GB2312" w:cs="仿宋_GB2312"/>
          <w:sz w:val="32"/>
          <w:szCs w:val="32"/>
        </w:rPr>
        <w:t>。单位</w:t>
      </w:r>
      <w:bookmarkStart w:id="49" w:name="_Toc15377223"/>
      <w:r>
        <w:rPr>
          <w:rFonts w:hint="eastAsia" w:ascii="仿宋_GB2312" w:eastAsia="仿宋_GB2312" w:cs="仿宋_GB2312"/>
          <w:sz w:val="32"/>
          <w:szCs w:val="32"/>
        </w:rPr>
        <w:t>日常办公费用增加。</w:t>
      </w:r>
    </w:p>
    <w:p>
      <w:pPr>
        <w:spacing w:line="600" w:lineRule="exact"/>
        <w:ind w:firstLine="642" w:firstLineChars="200"/>
        <w:outlineLvl w:val="2"/>
        <w:rPr>
          <w:rFonts w:ascii="楷体" w:hAnsi="楷体" w:eastAsia="楷体" w:cs="楷体"/>
          <w:b/>
          <w:color w:val="000000"/>
          <w:sz w:val="32"/>
          <w:szCs w:val="32"/>
        </w:rPr>
      </w:pPr>
      <w:r>
        <w:rPr>
          <w:rFonts w:hint="eastAsia" w:ascii="楷体" w:hAnsi="楷体" w:eastAsia="楷体" w:cs="楷体"/>
          <w:b/>
          <w:color w:val="000000"/>
          <w:sz w:val="32"/>
          <w:szCs w:val="32"/>
        </w:rPr>
        <w:t>（二）政府采购支出情况</w:t>
      </w:r>
      <w:bookmarkEnd w:id="49"/>
    </w:p>
    <w:p>
      <w:pPr>
        <w:spacing w:line="600" w:lineRule="exact"/>
        <w:ind w:firstLine="640" w:firstLineChars="200"/>
        <w:outlineLvl w:val="2"/>
        <w:rPr>
          <w:rFonts w:ascii="楷体" w:hAnsi="楷体" w:eastAsia="楷体" w:cs="楷体"/>
          <w:b/>
          <w:color w:val="000000"/>
          <w:sz w:val="32"/>
          <w:szCs w:val="32"/>
        </w:rPr>
      </w:pPr>
      <w:r>
        <w:rPr>
          <w:rFonts w:ascii="仿宋_GB2312" w:eastAsia="仿宋_GB2312" w:cs="仿宋_GB2312"/>
          <w:color w:val="000000"/>
          <w:sz w:val="32"/>
          <w:szCs w:val="32"/>
        </w:rPr>
        <w:t>201</w:t>
      </w:r>
      <w:r>
        <w:rPr>
          <w:rFonts w:hint="eastAsia" w:ascii="仿宋_GB2312" w:eastAsia="仿宋_GB2312" w:cs="仿宋_GB2312"/>
          <w:color w:val="000000"/>
          <w:sz w:val="32"/>
          <w:szCs w:val="32"/>
        </w:rPr>
        <w:t>9年，茂县土门镇人民政府采购支出总额0万元，其中：政府采购货物支出0万元、政府采购工程支出</w:t>
      </w:r>
      <w:r>
        <w:rPr>
          <w:rFonts w:ascii="仿宋_GB2312" w:eastAsia="仿宋_GB2312" w:cs="仿宋_GB2312"/>
          <w:color w:val="000000"/>
          <w:sz w:val="32"/>
          <w:szCs w:val="32"/>
        </w:rPr>
        <w:t>0</w:t>
      </w:r>
      <w:r>
        <w:rPr>
          <w:rFonts w:hint="eastAsia" w:ascii="仿宋_GB2312" w:eastAsia="仿宋_GB2312" w:cs="仿宋_GB2312"/>
          <w:color w:val="000000"/>
          <w:sz w:val="32"/>
          <w:szCs w:val="32"/>
        </w:rPr>
        <w:t>万元、政府采购服务支出</w:t>
      </w:r>
      <w:r>
        <w:rPr>
          <w:rFonts w:ascii="仿宋_GB2312" w:eastAsia="仿宋_GB2312" w:cs="仿宋_GB2312"/>
          <w:color w:val="000000"/>
          <w:sz w:val="32"/>
          <w:szCs w:val="32"/>
        </w:rPr>
        <w:t>0</w:t>
      </w:r>
      <w:r>
        <w:rPr>
          <w:rFonts w:hint="eastAsia" w:ascii="仿宋_GB2312" w:eastAsia="仿宋_GB2312" w:cs="仿宋_GB2312"/>
          <w:color w:val="000000"/>
          <w:sz w:val="32"/>
          <w:szCs w:val="32"/>
        </w:rPr>
        <w:t>万元。授予中小企业合同金额</w:t>
      </w:r>
      <w:r>
        <w:rPr>
          <w:rFonts w:ascii="仿宋_GB2312" w:eastAsia="仿宋_GB2312" w:cs="仿宋_GB2312"/>
          <w:color w:val="000000"/>
          <w:sz w:val="32"/>
          <w:szCs w:val="32"/>
        </w:rPr>
        <w:t>0</w:t>
      </w:r>
      <w:r>
        <w:rPr>
          <w:rFonts w:hint="eastAsia" w:ascii="仿宋_GB2312" w:eastAsia="仿宋_GB2312" w:cs="仿宋_GB2312"/>
          <w:color w:val="000000"/>
          <w:sz w:val="32"/>
          <w:szCs w:val="32"/>
        </w:rPr>
        <w:t>万元，占政府采购支出总额的0</w:t>
      </w:r>
      <w:r>
        <w:rPr>
          <w:rFonts w:ascii="仿宋_GB2312" w:eastAsia="仿宋_GB2312" w:cs="仿宋_GB2312"/>
          <w:color w:val="000000"/>
          <w:sz w:val="32"/>
          <w:szCs w:val="32"/>
        </w:rPr>
        <w:t>%</w:t>
      </w:r>
      <w:r>
        <w:rPr>
          <w:rFonts w:hint="eastAsia" w:ascii="仿宋_GB2312" w:eastAsia="仿宋_GB2312" w:cs="仿宋_GB2312"/>
          <w:color w:val="000000"/>
          <w:sz w:val="32"/>
          <w:szCs w:val="32"/>
        </w:rPr>
        <w:t>，其中：授予小微企业合同金额</w:t>
      </w:r>
      <w:r>
        <w:rPr>
          <w:rFonts w:ascii="仿宋_GB2312" w:eastAsia="仿宋_GB2312" w:cs="仿宋_GB2312"/>
          <w:color w:val="000000"/>
          <w:sz w:val="32"/>
          <w:szCs w:val="32"/>
        </w:rPr>
        <w:t>0</w:t>
      </w:r>
      <w:r>
        <w:rPr>
          <w:rFonts w:hint="eastAsia" w:ascii="仿宋_GB2312" w:eastAsia="仿宋_GB2312" w:cs="仿宋_GB2312"/>
          <w:color w:val="000000"/>
          <w:sz w:val="32"/>
          <w:szCs w:val="32"/>
        </w:rPr>
        <w:t>万元，占政府采购支出总额的</w:t>
      </w:r>
      <w:r>
        <w:rPr>
          <w:rFonts w:ascii="仿宋_GB2312" w:eastAsia="仿宋_GB2312" w:cs="仿宋_GB2312"/>
          <w:color w:val="000000"/>
          <w:sz w:val="32"/>
          <w:szCs w:val="32"/>
        </w:rPr>
        <w:t>0%</w:t>
      </w:r>
      <w:r>
        <w:rPr>
          <w:rFonts w:hint="eastAsia" w:ascii="仿宋_GB2312" w:eastAsia="仿宋_GB2312" w:cs="仿宋_GB2312"/>
          <w:color w:val="000000"/>
          <w:sz w:val="32"/>
          <w:szCs w:val="32"/>
        </w:rPr>
        <w:t>。</w:t>
      </w:r>
    </w:p>
    <w:p>
      <w:pPr>
        <w:spacing w:line="600" w:lineRule="exact"/>
        <w:ind w:firstLine="642" w:firstLineChars="200"/>
        <w:outlineLvl w:val="2"/>
        <w:rPr>
          <w:rFonts w:ascii="楷体" w:hAnsi="楷体" w:eastAsia="楷体" w:cs="楷体"/>
          <w:b/>
          <w:color w:val="000000"/>
          <w:sz w:val="32"/>
          <w:szCs w:val="32"/>
        </w:rPr>
      </w:pPr>
      <w:bookmarkStart w:id="50" w:name="_Toc15377224"/>
      <w:r>
        <w:rPr>
          <w:rFonts w:hint="eastAsia" w:ascii="楷体" w:hAnsi="楷体" w:eastAsia="楷体" w:cs="楷体"/>
          <w:b/>
          <w:color w:val="000000"/>
          <w:sz w:val="32"/>
          <w:szCs w:val="32"/>
        </w:rPr>
        <w:t>（三）国有资产占有使用情况</w:t>
      </w:r>
      <w:bookmarkEnd w:id="50"/>
    </w:p>
    <w:p>
      <w:pPr>
        <w:autoSpaceDE w:val="0"/>
        <w:autoSpaceDN w:val="0"/>
        <w:adjustRightInd w:val="0"/>
        <w:spacing w:line="576" w:lineRule="atLeast"/>
        <w:ind w:firstLine="640" w:firstLineChars="200"/>
        <w:rPr>
          <w:rFonts w:ascii="仿宋_GB2312" w:eastAsia="仿宋_GB2312"/>
          <w:color w:val="000000"/>
          <w:sz w:val="32"/>
          <w:szCs w:val="32"/>
        </w:rPr>
      </w:pPr>
      <w:r>
        <w:rPr>
          <w:rFonts w:hint="eastAsia" w:ascii="仿宋_GB2312" w:eastAsia="仿宋_GB2312" w:cs="仿宋_GB2312"/>
          <w:color w:val="000000"/>
          <w:sz w:val="32"/>
          <w:szCs w:val="32"/>
        </w:rPr>
        <w:t>截至</w:t>
      </w:r>
      <w:r>
        <w:rPr>
          <w:rFonts w:ascii="仿宋_GB2312" w:eastAsia="仿宋_GB2312" w:cs="仿宋_GB2312"/>
          <w:color w:val="000000"/>
          <w:sz w:val="32"/>
          <w:szCs w:val="32"/>
        </w:rPr>
        <w:t>201</w:t>
      </w:r>
      <w:r>
        <w:rPr>
          <w:rFonts w:hint="eastAsia" w:ascii="仿宋_GB2312" w:eastAsia="仿宋_GB2312" w:cs="仿宋_GB2312"/>
          <w:color w:val="000000"/>
          <w:sz w:val="32"/>
          <w:szCs w:val="32"/>
        </w:rPr>
        <w:t>9年</w:t>
      </w:r>
      <w:r>
        <w:rPr>
          <w:rFonts w:ascii="仿宋_GB2312" w:eastAsia="仿宋_GB2312" w:cs="仿宋_GB2312"/>
          <w:color w:val="000000"/>
          <w:sz w:val="32"/>
          <w:szCs w:val="32"/>
        </w:rPr>
        <w:t>12</w:t>
      </w:r>
      <w:r>
        <w:rPr>
          <w:rFonts w:hint="eastAsia" w:ascii="仿宋_GB2312" w:eastAsia="仿宋_GB2312" w:cs="仿宋_GB2312"/>
          <w:color w:val="000000"/>
          <w:sz w:val="32"/>
          <w:szCs w:val="32"/>
        </w:rPr>
        <w:t>月</w:t>
      </w:r>
      <w:r>
        <w:rPr>
          <w:rFonts w:ascii="仿宋_GB2312" w:eastAsia="仿宋_GB2312" w:cs="仿宋_GB2312"/>
          <w:color w:val="000000"/>
          <w:sz w:val="32"/>
          <w:szCs w:val="32"/>
        </w:rPr>
        <w:t>31</w:t>
      </w:r>
      <w:r>
        <w:rPr>
          <w:rFonts w:hint="eastAsia" w:ascii="仿宋_GB2312" w:eastAsia="仿宋_GB2312" w:cs="仿宋_GB2312"/>
          <w:color w:val="000000"/>
          <w:sz w:val="32"/>
          <w:szCs w:val="32"/>
        </w:rPr>
        <w:t>日，茂县土门镇人民政府共有车辆0辆，其中：领导干部用车</w:t>
      </w:r>
      <w:r>
        <w:rPr>
          <w:rFonts w:ascii="仿宋_GB2312" w:eastAsia="仿宋_GB2312" w:cs="仿宋_GB2312"/>
          <w:color w:val="000000"/>
          <w:sz w:val="32"/>
          <w:szCs w:val="32"/>
        </w:rPr>
        <w:t>0</w:t>
      </w:r>
      <w:r>
        <w:rPr>
          <w:rFonts w:hint="eastAsia" w:ascii="仿宋_GB2312" w:eastAsia="仿宋_GB2312" w:cs="仿宋_GB2312"/>
          <w:color w:val="000000"/>
          <w:sz w:val="32"/>
          <w:szCs w:val="32"/>
        </w:rPr>
        <w:t>辆、一般公务用车</w:t>
      </w:r>
      <w:r>
        <w:rPr>
          <w:rFonts w:ascii="仿宋_GB2312" w:eastAsia="仿宋_GB2312" w:cs="仿宋_GB2312"/>
          <w:color w:val="000000"/>
          <w:sz w:val="32"/>
          <w:szCs w:val="32"/>
        </w:rPr>
        <w:t>0</w:t>
      </w:r>
      <w:r>
        <w:rPr>
          <w:rFonts w:hint="eastAsia" w:ascii="仿宋_GB2312" w:eastAsia="仿宋_GB2312" w:cs="仿宋_GB2312"/>
          <w:color w:val="000000"/>
          <w:sz w:val="32"/>
          <w:szCs w:val="32"/>
        </w:rPr>
        <w:t>辆、一般执法执勤用车</w:t>
      </w:r>
      <w:r>
        <w:rPr>
          <w:rFonts w:ascii="仿宋_GB2312" w:eastAsia="仿宋_GB2312" w:cs="仿宋_GB2312"/>
          <w:color w:val="000000"/>
          <w:sz w:val="32"/>
          <w:szCs w:val="32"/>
        </w:rPr>
        <w:t>0</w:t>
      </w:r>
      <w:r>
        <w:rPr>
          <w:rFonts w:hint="eastAsia" w:ascii="仿宋_GB2312" w:eastAsia="仿宋_GB2312" w:cs="仿宋_GB2312"/>
          <w:color w:val="000000"/>
          <w:sz w:val="32"/>
          <w:szCs w:val="32"/>
        </w:rPr>
        <w:t>辆、特种专业技术用车</w:t>
      </w:r>
      <w:r>
        <w:rPr>
          <w:rFonts w:ascii="仿宋_GB2312" w:eastAsia="仿宋_GB2312" w:cs="仿宋_GB2312"/>
          <w:color w:val="000000"/>
          <w:sz w:val="32"/>
          <w:szCs w:val="32"/>
        </w:rPr>
        <w:t>0</w:t>
      </w:r>
      <w:r>
        <w:rPr>
          <w:rFonts w:hint="eastAsia" w:ascii="仿宋_GB2312" w:eastAsia="仿宋_GB2312" w:cs="仿宋_GB2312"/>
          <w:color w:val="000000"/>
          <w:sz w:val="32"/>
          <w:szCs w:val="32"/>
        </w:rPr>
        <w:t>辆、其他用车0辆，车两主要用于下村开展日常工作。单价</w:t>
      </w:r>
      <w:r>
        <w:rPr>
          <w:rFonts w:ascii="仿宋_GB2312" w:eastAsia="仿宋_GB2312" w:cs="仿宋_GB2312"/>
          <w:color w:val="000000"/>
          <w:sz w:val="32"/>
          <w:szCs w:val="32"/>
        </w:rPr>
        <w:t>50</w:t>
      </w:r>
      <w:r>
        <w:rPr>
          <w:rFonts w:hint="eastAsia" w:ascii="仿宋_GB2312" w:eastAsia="仿宋_GB2312" w:cs="仿宋_GB2312"/>
          <w:color w:val="000000"/>
          <w:sz w:val="32"/>
          <w:szCs w:val="32"/>
        </w:rPr>
        <w:t>万元以上通用设备</w:t>
      </w:r>
      <w:r>
        <w:rPr>
          <w:rFonts w:ascii="仿宋_GB2312" w:eastAsia="仿宋_GB2312" w:cs="仿宋_GB2312"/>
          <w:color w:val="000000"/>
          <w:sz w:val="32"/>
          <w:szCs w:val="32"/>
        </w:rPr>
        <w:t>0</w:t>
      </w:r>
      <w:r>
        <w:rPr>
          <w:rFonts w:hint="eastAsia" w:ascii="仿宋_GB2312" w:eastAsia="仿宋_GB2312" w:cs="仿宋_GB2312"/>
          <w:color w:val="000000"/>
          <w:sz w:val="32"/>
          <w:szCs w:val="32"/>
        </w:rPr>
        <w:t>台（套），单价</w:t>
      </w:r>
      <w:r>
        <w:rPr>
          <w:rFonts w:ascii="仿宋_GB2312" w:eastAsia="仿宋_GB2312" w:cs="仿宋_GB2312"/>
          <w:color w:val="000000"/>
          <w:sz w:val="32"/>
          <w:szCs w:val="32"/>
        </w:rPr>
        <w:t>100</w:t>
      </w:r>
      <w:r>
        <w:rPr>
          <w:rFonts w:hint="eastAsia" w:ascii="仿宋_GB2312" w:eastAsia="仿宋_GB2312" w:cs="仿宋_GB2312"/>
          <w:color w:val="000000"/>
          <w:sz w:val="32"/>
          <w:szCs w:val="32"/>
        </w:rPr>
        <w:t>万元以上专用设备</w:t>
      </w:r>
      <w:r>
        <w:rPr>
          <w:rFonts w:ascii="仿宋_GB2312" w:eastAsia="仿宋_GB2312" w:cs="仿宋_GB2312"/>
          <w:color w:val="000000"/>
          <w:sz w:val="32"/>
          <w:szCs w:val="32"/>
        </w:rPr>
        <w:t>0</w:t>
      </w:r>
      <w:r>
        <w:rPr>
          <w:rFonts w:hint="eastAsia" w:ascii="仿宋_GB2312" w:eastAsia="仿宋_GB2312" w:cs="仿宋_GB2312"/>
          <w:color w:val="000000"/>
          <w:sz w:val="32"/>
          <w:szCs w:val="32"/>
        </w:rPr>
        <w:t>台（套）。</w:t>
      </w:r>
    </w:p>
    <w:p>
      <w:pPr>
        <w:spacing w:line="600" w:lineRule="exact"/>
        <w:ind w:firstLine="642" w:firstLineChars="200"/>
        <w:outlineLvl w:val="2"/>
        <w:rPr>
          <w:rFonts w:ascii="楷体" w:hAnsi="楷体" w:eastAsia="楷体" w:cs="楷体"/>
          <w:b/>
          <w:color w:val="000000"/>
          <w:sz w:val="32"/>
          <w:szCs w:val="32"/>
        </w:rPr>
      </w:pPr>
      <w:r>
        <w:rPr>
          <w:rFonts w:hint="eastAsia" w:ascii="楷体" w:hAnsi="楷体" w:eastAsia="楷体" w:cs="楷体"/>
          <w:b/>
          <w:color w:val="000000"/>
          <w:sz w:val="32"/>
          <w:szCs w:val="32"/>
        </w:rPr>
        <w:t>（四）预算绩效管理情况</w:t>
      </w:r>
    </w:p>
    <w:p>
      <w:pPr>
        <w:autoSpaceDE w:val="0"/>
        <w:autoSpaceDN w:val="0"/>
        <w:adjustRightInd w:val="0"/>
        <w:spacing w:line="576" w:lineRule="atLeast"/>
        <w:ind w:firstLine="640" w:firstLineChars="200"/>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根据预算绩效管理要求，茂县土门镇人民政府在年初预算编制阶段，组织对2019年一般公共预算项目开展了预算事前绩效评估，对2个项目编制了绩效目标，预算执行过程中，选取5个项目开展绩效监控，年终执行完毕后，对5个项目开展了绩效目标完成情况梳理填报。</w:t>
      </w:r>
    </w:p>
    <w:p>
      <w:pPr>
        <w:spacing w:line="576" w:lineRule="atLeast"/>
        <w:ind w:firstLine="640" w:firstLineChars="200"/>
        <w:outlineLvl w:val="1"/>
        <w:rPr>
          <w:rFonts w:ascii="仿宋_GB2312" w:hAnsi="仿宋_GB2312" w:eastAsia="仿宋_GB2312" w:cs="仿宋_GB2312"/>
          <w:sz w:val="32"/>
          <w:szCs w:val="32"/>
        </w:rPr>
      </w:pPr>
      <w:r>
        <w:rPr>
          <w:rFonts w:hint="eastAsia" w:ascii="仿宋_GB2312" w:hAnsi="仿宋_GB2312" w:eastAsia="仿宋_GB2312" w:cs="仿宋_GB2312"/>
          <w:color w:val="000000"/>
          <w:sz w:val="32"/>
          <w:szCs w:val="32"/>
        </w:rPr>
        <w:t>茂县土门镇人民政府按要求对2019年部门整体支出开展绩效自评，从评价情况来看</w:t>
      </w:r>
      <w:r>
        <w:rPr>
          <w:rFonts w:hint="eastAsia" w:ascii="仿宋_GB2312" w:hAnsi="仿宋_GB2312" w:eastAsia="仿宋_GB2312" w:cs="仿宋_GB2312"/>
          <w:color w:val="000000"/>
          <w:kern w:val="0"/>
          <w:sz w:val="32"/>
          <w:szCs w:val="32"/>
        </w:rPr>
        <w:t>，2019年</w:t>
      </w:r>
      <w:r>
        <w:rPr>
          <w:rFonts w:hint="eastAsia" w:ascii="仿宋_GB2312" w:hAnsi="仿宋_GB2312" w:eastAsia="仿宋_GB2312" w:cs="仿宋_GB2312"/>
          <w:sz w:val="32"/>
          <w:szCs w:val="32"/>
        </w:rPr>
        <w:t>我镇部门整体支出绩效评价自查自评结果良好，全年基本支出保证了我镇的正常运行和日常工作的正常开展，项目支出保障了重点工作的开展，绩效目标得到较好实现，绩效管理水平不断提高，绩效指标体系逐渐丰富和完善。</w:t>
      </w:r>
    </w:p>
    <w:p>
      <w:pPr>
        <w:autoSpaceDE w:val="0"/>
        <w:autoSpaceDN w:val="0"/>
        <w:adjustRightInd w:val="0"/>
        <w:spacing w:line="576" w:lineRule="atLeast"/>
        <w:ind w:firstLine="640" w:firstLineChars="200"/>
        <w:rPr>
          <w:rFonts w:ascii="楷体_GB2312" w:hAnsi="楷体_GB2312" w:eastAsia="楷体_GB2312" w:cs="楷体_GB2312"/>
          <w:color w:val="000000"/>
          <w:sz w:val="32"/>
          <w:szCs w:val="32"/>
        </w:rPr>
      </w:pPr>
      <w:r>
        <w:rPr>
          <w:rFonts w:hint="eastAsia" w:ascii="楷体_GB2312" w:hAnsi="楷体_GB2312" w:eastAsia="楷体_GB2312" w:cs="楷体_GB2312"/>
          <w:color w:val="000000"/>
          <w:sz w:val="32"/>
          <w:szCs w:val="32"/>
        </w:rPr>
        <w:t>项目绩效目标完成情况</w:t>
      </w:r>
    </w:p>
    <w:p>
      <w:pPr>
        <w:autoSpaceDE w:val="0"/>
        <w:autoSpaceDN w:val="0"/>
        <w:adjustRightInd w:val="0"/>
        <w:spacing w:line="576" w:lineRule="atLeast"/>
        <w:ind w:firstLine="640" w:firstLineChars="200"/>
        <w:rPr>
          <w:rFonts w:ascii="仿宋_GB2312" w:eastAsia="仿宋_GB2312"/>
          <w:color w:val="000000"/>
          <w:sz w:val="32"/>
          <w:szCs w:val="32"/>
        </w:rPr>
      </w:pPr>
      <w:r>
        <w:rPr>
          <w:rFonts w:hint="eastAsia" w:ascii="仿宋_GB2312" w:eastAsia="仿宋_GB2312" w:cs="仿宋_GB2312"/>
          <w:color w:val="000000"/>
          <w:sz w:val="32"/>
          <w:szCs w:val="32"/>
        </w:rPr>
        <w:t>本单位在</w:t>
      </w:r>
      <w:r>
        <w:rPr>
          <w:rFonts w:ascii="仿宋_GB2312" w:eastAsia="仿宋_GB2312" w:cs="仿宋_GB2312"/>
          <w:color w:val="000000"/>
          <w:sz w:val="32"/>
          <w:szCs w:val="32"/>
        </w:rPr>
        <w:t>201</w:t>
      </w:r>
      <w:r>
        <w:rPr>
          <w:rFonts w:hint="eastAsia" w:ascii="仿宋_GB2312" w:eastAsia="仿宋_GB2312" w:cs="仿宋_GB2312"/>
          <w:color w:val="000000"/>
          <w:sz w:val="32"/>
          <w:szCs w:val="32"/>
        </w:rPr>
        <w:t>9年度部门决算中反映“农村道路养护”“基层组织活动和公共服务运行经费”“万安村桥梁建设及堡坎建设项目”“洋坪村安全饮水项目”“新村猕猴桃基地建设”等</w:t>
      </w:r>
      <w:r>
        <w:rPr>
          <w:rFonts w:ascii="仿宋_GB2312" w:eastAsia="仿宋_GB2312" w:cs="仿宋_GB2312"/>
          <w:color w:val="000000"/>
          <w:sz w:val="32"/>
          <w:szCs w:val="32"/>
        </w:rPr>
        <w:t>5</w:t>
      </w:r>
      <w:r>
        <w:rPr>
          <w:rFonts w:hint="eastAsia" w:ascii="仿宋_GB2312" w:eastAsia="仿宋_GB2312" w:cs="仿宋_GB2312"/>
          <w:color w:val="000000"/>
          <w:sz w:val="32"/>
          <w:szCs w:val="32"/>
        </w:rPr>
        <w:t>个项目绩效目标实际完成情况。</w:t>
      </w:r>
    </w:p>
    <w:p>
      <w:pPr>
        <w:autoSpaceDE w:val="0"/>
        <w:autoSpaceDN w:val="0"/>
        <w:adjustRightInd w:val="0"/>
        <w:spacing w:line="576" w:lineRule="atLeast"/>
        <w:ind w:firstLine="640" w:firstLineChars="200"/>
        <w:rPr>
          <w:rFonts w:ascii="仿宋_GB2312" w:eastAsia="仿宋_GB2312"/>
          <w:color w:val="000000"/>
          <w:sz w:val="32"/>
          <w:szCs w:val="32"/>
        </w:rPr>
      </w:pPr>
      <w:r>
        <w:rPr>
          <w:rFonts w:ascii="仿宋_GB2312" w:eastAsia="仿宋_GB2312" w:cs="仿宋_GB2312"/>
          <w:color w:val="000000"/>
          <w:sz w:val="32"/>
          <w:szCs w:val="32"/>
        </w:rPr>
        <w:t>1.</w:t>
      </w:r>
      <w:r>
        <w:rPr>
          <w:rFonts w:hint="eastAsia" w:ascii="仿宋_GB2312" w:eastAsia="仿宋_GB2312" w:cs="仿宋_GB2312"/>
          <w:color w:val="000000"/>
          <w:sz w:val="32"/>
          <w:szCs w:val="32"/>
        </w:rPr>
        <w:t>农村道路养护项目绩效目标完成情况综述。项目全年预算数4.928万元，执行数为4.928万元，完成预算的</w:t>
      </w:r>
      <w:r>
        <w:rPr>
          <w:rFonts w:ascii="仿宋_GB2312" w:eastAsia="仿宋_GB2312" w:cs="仿宋_GB2312"/>
          <w:color w:val="000000"/>
          <w:sz w:val="32"/>
          <w:szCs w:val="32"/>
        </w:rPr>
        <w:t>100%</w:t>
      </w:r>
      <w:r>
        <w:rPr>
          <w:rFonts w:hint="eastAsia" w:ascii="仿宋_GB2312" w:eastAsia="仿宋_GB2312" w:cs="仿宋_GB2312"/>
          <w:color w:val="000000"/>
          <w:sz w:val="32"/>
          <w:szCs w:val="32"/>
        </w:rPr>
        <w:t>。通过项目实施，保障了村道路畅通，维护了我镇各村村道畅通</w:t>
      </w:r>
      <w:r>
        <w:rPr>
          <w:rFonts w:hint="eastAsia" w:ascii="仿宋_GB2312" w:eastAsia="仿宋_GB2312" w:cs="仿宋_GB2312"/>
          <w:color w:val="000000"/>
          <w:sz w:val="32"/>
          <w:szCs w:val="32"/>
          <w:lang w:val="zh-CN"/>
        </w:rPr>
        <w:t>，满足了人民群众不断增长的生活需求，提高人居环境生活质量，</w:t>
      </w:r>
      <w:r>
        <w:rPr>
          <w:rFonts w:hint="eastAsia" w:ascii="仿宋_GB2312" w:eastAsia="仿宋_GB2312" w:cs="仿宋_GB2312"/>
          <w:color w:val="000000"/>
          <w:sz w:val="32"/>
          <w:szCs w:val="32"/>
        </w:rPr>
        <w:t>为村民的生产、生活提供了良好的条件，发现的主要问题是实施没有达到预期的计划，进度较慢。下一步改进措施：加强组织领导，强化督促检查，严格遵守各项财务管理制度，加快项目实施进度，确保各项工作任务的有序开展。</w:t>
      </w:r>
    </w:p>
    <w:p>
      <w:pPr>
        <w:autoSpaceDE w:val="0"/>
        <w:autoSpaceDN w:val="0"/>
        <w:adjustRightInd w:val="0"/>
        <w:spacing w:line="576" w:lineRule="atLeast"/>
        <w:ind w:firstLine="640" w:firstLineChars="200"/>
        <w:rPr>
          <w:rFonts w:ascii="仿宋_GB2312" w:eastAsia="仿宋_GB2312"/>
          <w:color w:val="000000"/>
          <w:sz w:val="32"/>
          <w:szCs w:val="32"/>
        </w:rPr>
      </w:pPr>
      <w:r>
        <w:rPr>
          <w:rFonts w:ascii="仿宋_GB2312" w:eastAsia="仿宋_GB2312" w:cs="仿宋_GB2312"/>
          <w:color w:val="000000"/>
          <w:sz w:val="32"/>
          <w:szCs w:val="32"/>
        </w:rPr>
        <w:t>2.</w:t>
      </w:r>
      <w:r>
        <w:rPr>
          <w:rFonts w:hint="eastAsia" w:ascii="仿宋_GB2312" w:eastAsia="仿宋_GB2312" w:cs="仿宋_GB2312"/>
          <w:color w:val="000000"/>
          <w:sz w:val="32"/>
          <w:szCs w:val="32"/>
        </w:rPr>
        <w:t>基层组织活动和公共服务运行经费项目绩效目标完成情况综述。项目全年预算数154万元，执行数为126.86万元，完成预算的82</w:t>
      </w:r>
      <w:r>
        <w:rPr>
          <w:rFonts w:ascii="仿宋_GB2312" w:eastAsia="仿宋_GB2312" w:cs="仿宋_GB2312"/>
          <w:color w:val="000000"/>
          <w:sz w:val="32"/>
          <w:szCs w:val="32"/>
        </w:rPr>
        <w:t>%</w:t>
      </w:r>
      <w:r>
        <w:rPr>
          <w:rFonts w:hint="eastAsia" w:ascii="仿宋_GB2312" w:eastAsia="仿宋_GB2312" w:cs="仿宋_GB2312"/>
          <w:color w:val="000000"/>
          <w:sz w:val="32"/>
          <w:szCs w:val="32"/>
        </w:rPr>
        <w:t>。通过项目实施，保障了村级道路及村内环境卫生的打扫清理，提升村两委会的办公条件</w:t>
      </w:r>
      <w:r>
        <w:rPr>
          <w:rFonts w:hint="eastAsia" w:ascii="仿宋_GB2312" w:eastAsia="仿宋_GB2312" w:cs="仿宋_GB2312"/>
          <w:color w:val="000000"/>
          <w:sz w:val="32"/>
          <w:szCs w:val="32"/>
          <w:lang w:val="zh-CN"/>
        </w:rPr>
        <w:t>，满足了人民群众不断增长的生活需求，提高人居生活质量，</w:t>
      </w:r>
      <w:r>
        <w:rPr>
          <w:rFonts w:hint="eastAsia" w:ascii="仿宋_GB2312" w:eastAsia="仿宋_GB2312" w:cs="仿宋_GB2312"/>
          <w:color w:val="000000"/>
          <w:sz w:val="32"/>
          <w:szCs w:val="32"/>
        </w:rPr>
        <w:t>为村民的生产、生活提供了良好的条件，发现的主要问题是实施没有达到预期的计划，进度较慢。下一步改进措施：加强组织领导，强化督促检查，严格遵守各项财务管理制度，加快项目实施进度，确保各项工作任务的有序开展。</w:t>
      </w:r>
    </w:p>
    <w:p>
      <w:pPr>
        <w:autoSpaceDE w:val="0"/>
        <w:autoSpaceDN w:val="0"/>
        <w:adjustRightInd w:val="0"/>
        <w:spacing w:line="576" w:lineRule="atLeast"/>
        <w:ind w:firstLine="640" w:firstLineChars="200"/>
        <w:rPr>
          <w:rFonts w:ascii="仿宋_GB2312" w:eastAsia="仿宋_GB2312"/>
          <w:color w:val="000000"/>
          <w:sz w:val="32"/>
          <w:szCs w:val="32"/>
        </w:rPr>
      </w:pPr>
      <w:r>
        <w:rPr>
          <w:rFonts w:ascii="仿宋_GB2312" w:eastAsia="仿宋_GB2312" w:cs="仿宋_GB2312"/>
          <w:color w:val="000000"/>
          <w:sz w:val="32"/>
          <w:szCs w:val="32"/>
        </w:rPr>
        <w:t>3.</w:t>
      </w:r>
      <w:r>
        <w:rPr>
          <w:rFonts w:hint="eastAsia" w:ascii="仿宋_GB2312" w:eastAsia="仿宋_GB2312" w:cs="仿宋_GB2312"/>
          <w:color w:val="000000"/>
          <w:sz w:val="32"/>
          <w:szCs w:val="32"/>
        </w:rPr>
        <w:t>洋坪村安全饮水项目绩效目标完成情况综述。项目全年预算数24.3万元，执行数为24.3万元，完成预算的100</w:t>
      </w:r>
      <w:r>
        <w:rPr>
          <w:rFonts w:ascii="仿宋_GB2312" w:eastAsia="仿宋_GB2312" w:cs="仿宋_GB2312"/>
          <w:color w:val="000000"/>
          <w:sz w:val="32"/>
          <w:szCs w:val="32"/>
        </w:rPr>
        <w:t>%</w:t>
      </w:r>
      <w:r>
        <w:rPr>
          <w:rFonts w:hint="eastAsia" w:ascii="仿宋_GB2312" w:eastAsia="仿宋_GB2312" w:cs="仿宋_GB2312"/>
          <w:color w:val="000000"/>
          <w:sz w:val="32"/>
          <w:szCs w:val="32"/>
        </w:rPr>
        <w:t>。通过项目实施，洋坪村安全饮水项目改善了村民饮用水条件</w:t>
      </w:r>
      <w:r>
        <w:rPr>
          <w:rFonts w:hint="eastAsia" w:ascii="仿宋_GB2312" w:eastAsia="仿宋_GB2312" w:cs="仿宋_GB2312"/>
          <w:color w:val="000000"/>
          <w:sz w:val="32"/>
          <w:szCs w:val="32"/>
          <w:lang w:val="zh-CN"/>
        </w:rPr>
        <w:t>，满足了人民群众不断增长的生活需求，提高人居生活质量，</w:t>
      </w:r>
      <w:r>
        <w:rPr>
          <w:rFonts w:hint="eastAsia" w:ascii="仿宋_GB2312" w:eastAsia="仿宋_GB2312" w:cs="仿宋_GB2312"/>
          <w:color w:val="000000"/>
          <w:sz w:val="32"/>
          <w:szCs w:val="32"/>
        </w:rPr>
        <w:t>为村民的生产、生活提供了良好的条件，发现的主要问题是实施没有达到预期的计划，进度较慢。下一步改进措施：加强组织领导，强化督促检查，严格遵守各项财务管理制度，加快项目实施进度，确保各项工作任务的有序开展。</w:t>
      </w:r>
    </w:p>
    <w:p>
      <w:pPr>
        <w:autoSpaceDE w:val="0"/>
        <w:autoSpaceDN w:val="0"/>
        <w:adjustRightInd w:val="0"/>
        <w:spacing w:line="576" w:lineRule="atLeast"/>
        <w:ind w:firstLine="640" w:firstLineChars="200"/>
        <w:rPr>
          <w:rFonts w:ascii="仿宋_GB2312" w:eastAsia="仿宋_GB2312"/>
          <w:color w:val="000000"/>
          <w:sz w:val="32"/>
          <w:szCs w:val="32"/>
        </w:rPr>
      </w:pPr>
      <w:r>
        <w:rPr>
          <w:rFonts w:ascii="仿宋_GB2312" w:eastAsia="仿宋_GB2312" w:cs="仿宋_GB2312"/>
          <w:color w:val="000000"/>
          <w:sz w:val="32"/>
          <w:szCs w:val="32"/>
        </w:rPr>
        <w:t>4.</w:t>
      </w:r>
      <w:r>
        <w:rPr>
          <w:rFonts w:hint="eastAsia" w:ascii="仿宋_GB2312" w:eastAsia="仿宋_GB2312" w:cs="仿宋_GB2312"/>
          <w:color w:val="000000"/>
          <w:sz w:val="32"/>
          <w:szCs w:val="32"/>
        </w:rPr>
        <w:t>万安村桥梁建设及堡坎建设项目绩效目标完成情况综述。项目全年预算数4.74万元，执行数为4.74万元，完成预算的</w:t>
      </w:r>
      <w:r>
        <w:rPr>
          <w:rFonts w:ascii="仿宋_GB2312" w:eastAsia="仿宋_GB2312" w:cs="仿宋_GB2312"/>
          <w:color w:val="000000"/>
          <w:sz w:val="32"/>
          <w:szCs w:val="32"/>
        </w:rPr>
        <w:t>100%</w:t>
      </w:r>
      <w:r>
        <w:rPr>
          <w:rFonts w:hint="eastAsia" w:ascii="仿宋_GB2312" w:eastAsia="仿宋_GB2312" w:cs="仿宋_GB2312"/>
          <w:color w:val="000000"/>
          <w:sz w:val="32"/>
          <w:szCs w:val="32"/>
        </w:rPr>
        <w:t>。通过项目实施，改善了万安村老百姓出行困难问题</w:t>
      </w:r>
      <w:r>
        <w:rPr>
          <w:rFonts w:hint="eastAsia" w:ascii="仿宋_GB2312" w:eastAsia="仿宋_GB2312" w:cs="仿宋_GB2312"/>
          <w:color w:val="000000"/>
          <w:sz w:val="32"/>
          <w:szCs w:val="32"/>
          <w:lang w:val="zh-CN"/>
        </w:rPr>
        <w:t>，保障村组道路畅通，满足了人民群众不断增长的生活需求，提高人居生活质量，</w:t>
      </w:r>
      <w:r>
        <w:rPr>
          <w:rFonts w:hint="eastAsia" w:ascii="仿宋_GB2312" w:eastAsia="仿宋_GB2312" w:cs="仿宋_GB2312"/>
          <w:color w:val="000000"/>
          <w:sz w:val="32"/>
          <w:szCs w:val="32"/>
        </w:rPr>
        <w:t>为村民的生产、生活提供了良好的条件，发现的主要问题是实施没有达到预期的计划，进度较慢。</w:t>
      </w:r>
    </w:p>
    <w:p>
      <w:pPr>
        <w:autoSpaceDE w:val="0"/>
        <w:autoSpaceDN w:val="0"/>
        <w:adjustRightInd w:val="0"/>
        <w:spacing w:line="576" w:lineRule="atLeast"/>
        <w:ind w:firstLine="640" w:firstLineChars="200"/>
        <w:rPr>
          <w:rFonts w:ascii="仿宋_GB2312" w:eastAsia="仿宋_GB2312"/>
          <w:color w:val="000000"/>
          <w:sz w:val="32"/>
          <w:szCs w:val="32"/>
        </w:rPr>
      </w:pPr>
      <w:r>
        <w:rPr>
          <w:rFonts w:ascii="仿宋_GB2312" w:eastAsia="仿宋_GB2312" w:cs="仿宋_GB2312"/>
          <w:color w:val="000000"/>
          <w:sz w:val="32"/>
          <w:szCs w:val="32"/>
        </w:rPr>
        <w:t>5.</w:t>
      </w:r>
      <w:r>
        <w:rPr>
          <w:rFonts w:hint="eastAsia" w:ascii="仿宋_GB2312" w:eastAsia="仿宋_GB2312" w:cs="仿宋_GB2312"/>
          <w:color w:val="000000"/>
          <w:sz w:val="32"/>
          <w:szCs w:val="32"/>
        </w:rPr>
        <w:t>新村猕猴桃基地项目绩效目标完成情况综述。项目全年预算数87.1万元，执行数为87.1万元，完成预算的</w:t>
      </w:r>
      <w:r>
        <w:rPr>
          <w:rFonts w:ascii="仿宋_GB2312" w:eastAsia="仿宋_GB2312" w:cs="仿宋_GB2312"/>
          <w:color w:val="000000"/>
          <w:sz w:val="32"/>
          <w:szCs w:val="32"/>
        </w:rPr>
        <w:t>100%</w:t>
      </w:r>
      <w:r>
        <w:rPr>
          <w:rFonts w:hint="eastAsia" w:ascii="仿宋_GB2312" w:eastAsia="仿宋_GB2312" w:cs="仿宋_GB2312"/>
          <w:color w:val="000000"/>
          <w:sz w:val="32"/>
          <w:szCs w:val="32"/>
        </w:rPr>
        <w:t>。通过项目实施，改善了新村产业发展结构调整</w:t>
      </w:r>
      <w:r>
        <w:rPr>
          <w:rFonts w:hint="eastAsia" w:ascii="仿宋_GB2312" w:eastAsia="仿宋_GB2312" w:cs="仿宋_GB2312"/>
          <w:color w:val="000000"/>
          <w:sz w:val="32"/>
          <w:szCs w:val="32"/>
          <w:lang w:val="zh-CN"/>
        </w:rPr>
        <w:t>，满足了人民群众不断增长的生活需求，提高</w:t>
      </w:r>
      <w:r>
        <w:rPr>
          <w:rFonts w:hint="eastAsia" w:ascii="仿宋_GB2312" w:eastAsia="仿宋_GB2312" w:cs="仿宋_GB2312"/>
          <w:color w:val="000000"/>
          <w:sz w:val="32"/>
          <w:szCs w:val="32"/>
        </w:rPr>
        <w:t>村民人均收入</w:t>
      </w:r>
      <w:r>
        <w:rPr>
          <w:rFonts w:hint="eastAsia" w:ascii="仿宋_GB2312" w:eastAsia="仿宋_GB2312" w:cs="仿宋_GB2312"/>
          <w:color w:val="000000"/>
          <w:sz w:val="32"/>
          <w:szCs w:val="32"/>
          <w:lang w:val="zh-CN"/>
        </w:rPr>
        <w:t>，</w:t>
      </w:r>
      <w:r>
        <w:rPr>
          <w:rFonts w:hint="eastAsia" w:ascii="仿宋_GB2312" w:eastAsia="仿宋_GB2312" w:cs="仿宋_GB2312"/>
          <w:color w:val="000000"/>
          <w:sz w:val="32"/>
          <w:szCs w:val="32"/>
        </w:rPr>
        <w:t>为村民的生产、生活提供了良好的条件。</w:t>
      </w:r>
    </w:p>
    <w:p>
      <w:pPr>
        <w:autoSpaceDE w:val="0"/>
        <w:autoSpaceDN w:val="0"/>
        <w:adjustRightInd w:val="0"/>
        <w:spacing w:line="576" w:lineRule="atLeast"/>
        <w:rPr>
          <w:rFonts w:ascii="仿宋_GB2312" w:eastAsia="仿宋_GB2312"/>
          <w:color w:val="000000"/>
          <w:sz w:val="32"/>
          <w:szCs w:val="32"/>
        </w:rPr>
      </w:pPr>
    </w:p>
    <w:p>
      <w:pPr>
        <w:autoSpaceDE w:val="0"/>
        <w:autoSpaceDN w:val="0"/>
        <w:adjustRightInd w:val="0"/>
        <w:spacing w:line="576" w:lineRule="atLeast"/>
        <w:rPr>
          <w:rFonts w:ascii="仿宋_GB2312" w:eastAsia="仿宋_GB2312"/>
          <w:color w:val="000000"/>
          <w:sz w:val="32"/>
          <w:szCs w:val="32"/>
        </w:rPr>
      </w:pPr>
    </w:p>
    <w:p>
      <w:pPr>
        <w:autoSpaceDE w:val="0"/>
        <w:autoSpaceDN w:val="0"/>
        <w:adjustRightInd w:val="0"/>
        <w:spacing w:line="576" w:lineRule="atLeast"/>
        <w:rPr>
          <w:rFonts w:ascii="仿宋_GB2312" w:eastAsia="仿宋_GB2312"/>
          <w:color w:val="000000"/>
          <w:sz w:val="32"/>
          <w:szCs w:val="32"/>
        </w:rPr>
      </w:pPr>
    </w:p>
    <w:p>
      <w:pPr>
        <w:autoSpaceDE w:val="0"/>
        <w:autoSpaceDN w:val="0"/>
        <w:adjustRightInd w:val="0"/>
        <w:spacing w:line="576" w:lineRule="atLeast"/>
        <w:rPr>
          <w:rFonts w:ascii="仿宋_GB2312" w:eastAsia="仿宋_GB2312"/>
          <w:color w:val="000000"/>
          <w:sz w:val="32"/>
          <w:szCs w:val="32"/>
        </w:rPr>
      </w:pPr>
    </w:p>
    <w:tbl>
      <w:tblPr>
        <w:tblStyle w:val="12"/>
        <w:tblpPr w:leftFromText="180" w:rightFromText="180" w:vertAnchor="text" w:horzAnchor="page" w:tblpXSpec="center" w:tblpY="423"/>
        <w:tblOverlap w:val="never"/>
        <w:tblW w:w="9960" w:type="dxa"/>
        <w:tblInd w:w="0" w:type="dxa"/>
        <w:tblLayout w:type="fixed"/>
        <w:tblCellMar>
          <w:top w:w="0" w:type="dxa"/>
          <w:left w:w="0" w:type="dxa"/>
          <w:bottom w:w="0" w:type="dxa"/>
          <w:right w:w="0" w:type="dxa"/>
        </w:tblCellMar>
      </w:tblPr>
      <w:tblGrid>
        <w:gridCol w:w="395"/>
        <w:gridCol w:w="1362"/>
        <w:gridCol w:w="1025"/>
        <w:gridCol w:w="2392"/>
        <w:gridCol w:w="2394"/>
        <w:gridCol w:w="2392"/>
      </w:tblGrid>
      <w:tr>
        <w:tblPrEx>
          <w:tblCellMar>
            <w:top w:w="0" w:type="dxa"/>
            <w:left w:w="0" w:type="dxa"/>
            <w:bottom w:w="0" w:type="dxa"/>
            <w:right w:w="0" w:type="dxa"/>
          </w:tblCellMar>
        </w:tblPrEx>
        <w:trPr>
          <w:trHeight w:val="1034" w:hRule="atLeast"/>
        </w:trPr>
        <w:tc>
          <w:tcPr>
            <w:tcW w:w="9960" w:type="dxa"/>
            <w:gridSpan w:val="6"/>
            <w:tcMar>
              <w:top w:w="15" w:type="dxa"/>
              <w:left w:w="15" w:type="dxa"/>
              <w:bottom w:w="0" w:type="dxa"/>
              <w:right w:w="15" w:type="dxa"/>
            </w:tcMar>
            <w:vAlign w:val="center"/>
          </w:tcPr>
          <w:p>
            <w:pPr>
              <w:pStyle w:val="23"/>
              <w:spacing w:line="576" w:lineRule="atLeast"/>
              <w:ind w:firstLine="0" w:firstLineChars="0"/>
              <w:jc w:val="center"/>
              <w:textAlignment w:val="center"/>
              <w:rPr>
                <w:rFonts w:ascii="宋体"/>
                <w:color w:val="000000"/>
                <w:sz w:val="36"/>
                <w:szCs w:val="36"/>
              </w:rPr>
            </w:pPr>
            <w:r>
              <w:rPr>
                <w:rFonts w:hint="eastAsia" w:ascii="黑体" w:hAnsi="黑体" w:eastAsia="黑体" w:cs="黑体"/>
                <w:color w:val="000000"/>
                <w:kern w:val="0"/>
                <w:sz w:val="36"/>
                <w:szCs w:val="36"/>
              </w:rPr>
              <w:t>项目支出绩效目标完成情况表</w:t>
            </w:r>
            <w:r>
              <w:rPr>
                <w:rFonts w:ascii="宋体"/>
                <w:b/>
                <w:bCs/>
                <w:color w:val="000000"/>
                <w:kern w:val="0"/>
                <w:sz w:val="36"/>
                <w:szCs w:val="36"/>
              </w:rPr>
              <w:br w:type="textWrapping"/>
            </w:r>
            <w:r>
              <w:rPr>
                <w:rFonts w:ascii="宋体" w:hAnsi="宋体" w:cs="宋体"/>
                <w:color w:val="000000"/>
                <w:kern w:val="0"/>
                <w:sz w:val="36"/>
                <w:szCs w:val="36"/>
              </w:rPr>
              <w:t>(201</w:t>
            </w:r>
            <w:r>
              <w:rPr>
                <w:rFonts w:hint="eastAsia" w:ascii="宋体" w:hAnsi="宋体" w:cs="宋体"/>
                <w:color w:val="000000"/>
                <w:kern w:val="0"/>
                <w:sz w:val="36"/>
                <w:szCs w:val="36"/>
              </w:rPr>
              <w:t>9年度</w:t>
            </w:r>
            <w:r>
              <w:rPr>
                <w:rFonts w:ascii="宋体" w:hAnsi="宋体" w:cs="宋体"/>
                <w:color w:val="000000"/>
                <w:kern w:val="0"/>
                <w:sz w:val="36"/>
                <w:szCs w:val="36"/>
              </w:rPr>
              <w:t>)</w:t>
            </w:r>
          </w:p>
        </w:tc>
      </w:tr>
      <w:tr>
        <w:tblPrEx>
          <w:tblCellMar>
            <w:top w:w="0" w:type="dxa"/>
            <w:left w:w="0" w:type="dxa"/>
            <w:bottom w:w="0" w:type="dxa"/>
            <w:right w:w="0" w:type="dxa"/>
          </w:tblCellMar>
        </w:tblPrEx>
        <w:trPr>
          <w:trHeight w:val="276" w:hRule="atLeast"/>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kern w:val="0"/>
                <w:sz w:val="24"/>
              </w:rPr>
              <w:t>项目名称</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ascii="仿宋_GB2312" w:hAnsi="仿宋_GB2312" w:eastAsia="仿宋_GB2312" w:cs="仿宋_GB2312"/>
                <w:color w:val="000000"/>
                <w:sz w:val="24"/>
              </w:rPr>
              <w:t>201</w:t>
            </w:r>
            <w:r>
              <w:rPr>
                <w:rFonts w:hint="eastAsia" w:ascii="仿宋_GB2312" w:hAnsi="仿宋_GB2312" w:eastAsia="仿宋_GB2312" w:cs="仿宋_GB2312"/>
                <w:color w:val="000000"/>
                <w:sz w:val="24"/>
              </w:rPr>
              <w:t>9年农村道路养护</w:t>
            </w:r>
          </w:p>
        </w:tc>
      </w:tr>
      <w:tr>
        <w:tblPrEx>
          <w:tblCellMar>
            <w:top w:w="0" w:type="dxa"/>
            <w:left w:w="0" w:type="dxa"/>
            <w:bottom w:w="0" w:type="dxa"/>
            <w:right w:w="0" w:type="dxa"/>
          </w:tblCellMar>
        </w:tblPrEx>
        <w:trPr>
          <w:trHeight w:val="276" w:hRule="atLeast"/>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kern w:val="0"/>
                <w:sz w:val="24"/>
              </w:rPr>
              <w:t>预算单位</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茂县土门镇人民政府</w:t>
            </w:r>
          </w:p>
        </w:tc>
      </w:tr>
      <w:tr>
        <w:tblPrEx>
          <w:tblCellMar>
            <w:top w:w="0" w:type="dxa"/>
            <w:left w:w="0" w:type="dxa"/>
            <w:bottom w:w="0" w:type="dxa"/>
            <w:right w:w="0" w:type="dxa"/>
          </w:tblCellMar>
        </w:tblPrEx>
        <w:trPr>
          <w:trHeight w:val="276" w:hRule="atLeast"/>
        </w:trPr>
        <w:tc>
          <w:tcPr>
            <w:tcW w:w="395" w:type="dxa"/>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kern w:val="0"/>
                <w:sz w:val="24"/>
              </w:rPr>
              <w:t>预算执行情况</w:t>
            </w:r>
            <w:r>
              <w:rPr>
                <w:rFonts w:ascii="仿宋_GB2312" w:hAnsi="仿宋_GB2312" w:eastAsia="仿宋_GB2312" w:cs="仿宋_GB2312"/>
                <w:color w:val="000000"/>
                <w:kern w:val="0"/>
                <w:sz w:val="24"/>
              </w:rPr>
              <w:t>(</w:t>
            </w:r>
            <w:r>
              <w:rPr>
                <w:rFonts w:hint="eastAsia" w:ascii="仿宋_GB2312" w:hAnsi="仿宋_GB2312" w:eastAsia="仿宋_GB2312" w:cs="仿宋_GB2312"/>
                <w:color w:val="000000"/>
                <w:kern w:val="0"/>
                <w:sz w:val="24"/>
              </w:rPr>
              <w:t>万元</w:t>
            </w:r>
            <w:r>
              <w:rPr>
                <w:rFonts w:ascii="仿宋_GB2312" w:hAnsi="仿宋_GB2312" w:eastAsia="仿宋_GB2312" w:cs="仿宋_GB2312"/>
                <w:color w:val="000000"/>
                <w:kern w:val="0"/>
                <w:sz w:val="24"/>
              </w:rPr>
              <w:t>)</w:t>
            </w:r>
          </w:p>
        </w:tc>
        <w:tc>
          <w:tcPr>
            <w:tcW w:w="2387"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kern w:val="0"/>
                <w:sz w:val="24"/>
              </w:rPr>
              <w:t>预算数</w:t>
            </w:r>
            <w:r>
              <w:rPr>
                <w:rFonts w:ascii="仿宋_GB2312" w:hAnsi="仿宋_GB2312" w:eastAsia="仿宋_GB2312" w:cs="仿宋_GB2312"/>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4.928万元</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kern w:val="0"/>
                <w:sz w:val="24"/>
              </w:rPr>
              <w:t>执行数</w:t>
            </w:r>
            <w:r>
              <w:rPr>
                <w:rFonts w:ascii="仿宋_GB2312" w:hAnsi="仿宋_GB2312" w:eastAsia="仿宋_GB2312" w:cs="仿宋_GB2312"/>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4.928万元</w:t>
            </w:r>
          </w:p>
        </w:tc>
      </w:tr>
      <w:tr>
        <w:tblPrEx>
          <w:tblCellMar>
            <w:top w:w="0" w:type="dxa"/>
            <w:left w:w="0" w:type="dxa"/>
            <w:bottom w:w="0" w:type="dxa"/>
            <w:right w:w="0" w:type="dxa"/>
          </w:tblCellMar>
        </w:tblPrEx>
        <w:trPr>
          <w:trHeight w:val="276" w:hRule="atLeast"/>
        </w:trPr>
        <w:tc>
          <w:tcPr>
            <w:tcW w:w="395" w:type="dxa"/>
            <w:vMerge w:val="continue"/>
            <w:tcBorders>
              <w:top w:val="single" w:color="000000" w:sz="4" w:space="0"/>
              <w:left w:val="single" w:color="000000" w:sz="4" w:space="0"/>
              <w:bottom w:val="single" w:color="000000" w:sz="4" w:space="0"/>
              <w:right w:val="single" w:color="000000" w:sz="4" w:space="0"/>
            </w:tcBorders>
            <w:vAlign w:val="center"/>
          </w:tcPr>
          <w:p>
            <w:pPr>
              <w:spacing w:line="576" w:lineRule="atLeast"/>
              <w:rPr>
                <w:rFonts w:ascii="仿宋_GB2312" w:hAnsi="仿宋_GB2312" w:eastAsia="仿宋_GB2312"/>
                <w:color w:val="000000"/>
                <w:sz w:val="24"/>
              </w:rPr>
            </w:pPr>
          </w:p>
        </w:tc>
        <w:tc>
          <w:tcPr>
            <w:tcW w:w="2387"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kern w:val="0"/>
                <w:sz w:val="24"/>
              </w:rPr>
              <w:t>其中</w:t>
            </w:r>
            <w:r>
              <w:rPr>
                <w:rFonts w:ascii="仿宋_GB2312" w:hAnsi="仿宋_GB2312" w:eastAsia="仿宋_GB2312" w:cs="仿宋_GB2312"/>
                <w:color w:val="000000"/>
                <w:kern w:val="0"/>
                <w:sz w:val="24"/>
              </w:rPr>
              <w:t>-</w:t>
            </w:r>
            <w:r>
              <w:rPr>
                <w:rFonts w:hint="eastAsia" w:ascii="仿宋_GB2312" w:hAnsi="仿宋_GB2312" w:eastAsia="仿宋_GB2312" w:cs="仿宋_GB2312"/>
                <w:color w:val="000000"/>
                <w:kern w:val="0"/>
                <w:sz w:val="24"/>
              </w:rPr>
              <w:t>财政拨款</w:t>
            </w:r>
            <w:r>
              <w:rPr>
                <w:rFonts w:ascii="仿宋_GB2312" w:hAnsi="仿宋_GB2312" w:eastAsia="仿宋_GB2312" w:cs="仿宋_GB2312"/>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4.928万元</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kern w:val="0"/>
                <w:sz w:val="24"/>
              </w:rPr>
              <w:t>其中</w:t>
            </w:r>
            <w:r>
              <w:rPr>
                <w:rFonts w:ascii="仿宋_GB2312" w:hAnsi="仿宋_GB2312" w:eastAsia="仿宋_GB2312" w:cs="仿宋_GB2312"/>
                <w:color w:val="000000"/>
                <w:kern w:val="0"/>
                <w:sz w:val="24"/>
              </w:rPr>
              <w:t>-</w:t>
            </w:r>
            <w:r>
              <w:rPr>
                <w:rFonts w:hint="eastAsia" w:ascii="仿宋_GB2312" w:hAnsi="仿宋_GB2312" w:eastAsia="仿宋_GB2312" w:cs="仿宋_GB2312"/>
                <w:color w:val="000000"/>
                <w:kern w:val="0"/>
                <w:sz w:val="24"/>
              </w:rPr>
              <w:t>财政拨款</w:t>
            </w:r>
            <w:r>
              <w:rPr>
                <w:rFonts w:ascii="仿宋_GB2312" w:hAnsi="仿宋_GB2312" w:eastAsia="仿宋_GB2312" w:cs="仿宋_GB2312"/>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4.928万元</w:t>
            </w:r>
          </w:p>
        </w:tc>
      </w:tr>
      <w:tr>
        <w:tblPrEx>
          <w:tblCellMar>
            <w:top w:w="0" w:type="dxa"/>
            <w:left w:w="0" w:type="dxa"/>
            <w:bottom w:w="0" w:type="dxa"/>
            <w:right w:w="0" w:type="dxa"/>
          </w:tblCellMar>
        </w:tblPrEx>
        <w:trPr>
          <w:trHeight w:val="1511" w:hRule="atLeast"/>
        </w:trPr>
        <w:tc>
          <w:tcPr>
            <w:tcW w:w="395" w:type="dxa"/>
            <w:vMerge w:val="continue"/>
            <w:tcBorders>
              <w:top w:val="single" w:color="000000" w:sz="4" w:space="0"/>
              <w:left w:val="single" w:color="000000" w:sz="4" w:space="0"/>
              <w:bottom w:val="single" w:color="000000" w:sz="4" w:space="0"/>
              <w:right w:val="single" w:color="000000" w:sz="4" w:space="0"/>
            </w:tcBorders>
            <w:vAlign w:val="center"/>
          </w:tcPr>
          <w:p>
            <w:pPr>
              <w:spacing w:line="576" w:lineRule="atLeast"/>
              <w:rPr>
                <w:rFonts w:ascii="仿宋_GB2312" w:hAnsi="仿宋_GB2312" w:eastAsia="仿宋_GB2312"/>
                <w:color w:val="000000"/>
                <w:sz w:val="24"/>
              </w:rPr>
            </w:pPr>
          </w:p>
        </w:tc>
        <w:tc>
          <w:tcPr>
            <w:tcW w:w="2387"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kern w:val="0"/>
                <w:sz w:val="24"/>
              </w:rPr>
              <w:t>其它资金</w:t>
            </w:r>
            <w:r>
              <w:rPr>
                <w:rFonts w:ascii="仿宋_GB2312" w:hAnsi="仿宋_GB2312" w:eastAsia="仿宋_GB2312" w:cs="仿宋_GB2312"/>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ascii="仿宋_GB2312" w:hAnsi="仿宋_GB2312" w:eastAsia="仿宋_GB2312" w:cs="仿宋_GB2312"/>
                <w:color w:val="000000"/>
                <w:kern w:val="0"/>
                <w:sz w:val="24"/>
              </w:rPr>
              <w:t>0</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kern w:val="0"/>
                <w:sz w:val="24"/>
              </w:rPr>
              <w:t>其它资金</w:t>
            </w:r>
            <w:r>
              <w:rPr>
                <w:rFonts w:ascii="仿宋_GB2312" w:hAnsi="仿宋_GB2312" w:eastAsia="仿宋_GB2312" w:cs="仿宋_GB2312"/>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rPr>
                <w:rFonts w:ascii="仿宋_GB2312" w:hAnsi="仿宋_GB2312" w:eastAsia="仿宋_GB2312" w:cs="仿宋_GB2312"/>
                <w:color w:val="000000"/>
                <w:sz w:val="24"/>
              </w:rPr>
            </w:pPr>
            <w:r>
              <w:rPr>
                <w:rFonts w:ascii="仿宋_GB2312" w:hAnsi="仿宋_GB2312" w:eastAsia="仿宋_GB2312" w:cs="仿宋_GB2312"/>
                <w:color w:val="000000"/>
                <w:sz w:val="24"/>
              </w:rPr>
              <w:t>0</w:t>
            </w:r>
          </w:p>
        </w:tc>
      </w:tr>
      <w:tr>
        <w:tblPrEx>
          <w:tblCellMar>
            <w:top w:w="0" w:type="dxa"/>
            <w:left w:w="0" w:type="dxa"/>
            <w:bottom w:w="0" w:type="dxa"/>
            <w:right w:w="0" w:type="dxa"/>
          </w:tblCellMar>
        </w:tblPrEx>
        <w:trPr>
          <w:trHeight w:val="276" w:hRule="atLeast"/>
        </w:trPr>
        <w:tc>
          <w:tcPr>
            <w:tcW w:w="395" w:type="dxa"/>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kern w:val="0"/>
                <w:sz w:val="24"/>
              </w:rPr>
              <w:t>年度目标完成情况</w:t>
            </w:r>
          </w:p>
        </w:tc>
        <w:tc>
          <w:tcPr>
            <w:tcW w:w="4779"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kern w:val="0"/>
                <w:sz w:val="24"/>
              </w:rPr>
              <w:t>预期目标</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kern w:val="0"/>
                <w:sz w:val="24"/>
              </w:rPr>
              <w:t>实际完成目标</w:t>
            </w:r>
          </w:p>
        </w:tc>
      </w:tr>
      <w:tr>
        <w:tblPrEx>
          <w:tblCellMar>
            <w:top w:w="0" w:type="dxa"/>
            <w:left w:w="0" w:type="dxa"/>
            <w:bottom w:w="0" w:type="dxa"/>
            <w:right w:w="0" w:type="dxa"/>
          </w:tblCellMar>
        </w:tblPrEx>
        <w:trPr>
          <w:trHeight w:val="1159" w:hRule="atLeast"/>
        </w:trPr>
        <w:tc>
          <w:tcPr>
            <w:tcW w:w="395" w:type="dxa"/>
            <w:vMerge w:val="continue"/>
            <w:tcBorders>
              <w:top w:val="single" w:color="000000" w:sz="4" w:space="0"/>
              <w:left w:val="single" w:color="000000" w:sz="4" w:space="0"/>
              <w:bottom w:val="single" w:color="000000" w:sz="4" w:space="0"/>
              <w:right w:val="single" w:color="000000" w:sz="4" w:space="0"/>
            </w:tcBorders>
            <w:vAlign w:val="center"/>
          </w:tcPr>
          <w:p>
            <w:pPr>
              <w:spacing w:line="576" w:lineRule="atLeast"/>
              <w:rPr>
                <w:rFonts w:ascii="仿宋_GB2312" w:hAnsi="仿宋_GB2312" w:eastAsia="仿宋_GB2312"/>
                <w:color w:val="000000"/>
                <w:sz w:val="24"/>
              </w:rPr>
            </w:pPr>
          </w:p>
        </w:tc>
        <w:tc>
          <w:tcPr>
            <w:tcW w:w="4779"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对土门镇各村村道进行养护</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全年各村村道得到良好的道路养护</w:t>
            </w:r>
          </w:p>
        </w:tc>
      </w:tr>
      <w:tr>
        <w:tblPrEx>
          <w:tblCellMar>
            <w:top w:w="0" w:type="dxa"/>
            <w:left w:w="0" w:type="dxa"/>
            <w:bottom w:w="0" w:type="dxa"/>
            <w:right w:w="0" w:type="dxa"/>
          </w:tblCellMar>
        </w:tblPrEx>
        <w:trPr>
          <w:trHeight w:val="1042" w:hRule="atLeast"/>
        </w:trPr>
        <w:tc>
          <w:tcPr>
            <w:tcW w:w="395" w:type="dxa"/>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绩效指标完成情况</w:t>
            </w:r>
          </w:p>
        </w:tc>
        <w:tc>
          <w:tcPr>
            <w:tcW w:w="136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kern w:val="0"/>
                <w:sz w:val="24"/>
              </w:rPr>
              <w:t>一级指标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kern w:val="0"/>
                <w:sz w:val="24"/>
              </w:rPr>
              <w:t>二级指标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kern w:val="0"/>
                <w:sz w:val="24"/>
              </w:rPr>
              <w:t>三级指标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kern w:val="0"/>
                <w:sz w:val="24"/>
              </w:rPr>
              <w:t>预期指标值</w:t>
            </w:r>
            <w:r>
              <w:rPr>
                <w:rFonts w:ascii="仿宋_GB2312" w:hAnsi="仿宋_GB2312" w:eastAsia="仿宋_GB2312" w:cs="仿宋_GB2312"/>
                <w:color w:val="000000"/>
                <w:kern w:val="0"/>
                <w:sz w:val="24"/>
              </w:rPr>
              <w:t>(</w:t>
            </w:r>
            <w:r>
              <w:rPr>
                <w:rFonts w:hint="eastAsia" w:ascii="仿宋_GB2312" w:hAnsi="仿宋_GB2312" w:eastAsia="仿宋_GB2312" w:cs="仿宋_GB2312"/>
                <w:color w:val="000000"/>
                <w:kern w:val="0"/>
                <w:sz w:val="24"/>
              </w:rPr>
              <w:t>包含数字及文字描述</w:t>
            </w:r>
            <w:r>
              <w:rPr>
                <w:rFonts w:ascii="仿宋_GB2312" w:hAnsi="仿宋_GB2312" w:eastAsia="仿宋_GB2312" w:cs="仿宋_GB2312"/>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kern w:val="0"/>
                <w:sz w:val="24"/>
              </w:rPr>
              <w:t>实际完成指标值</w:t>
            </w:r>
            <w:r>
              <w:rPr>
                <w:rFonts w:ascii="仿宋_GB2312" w:hAnsi="仿宋_GB2312" w:eastAsia="仿宋_GB2312" w:cs="仿宋_GB2312"/>
                <w:color w:val="000000"/>
                <w:kern w:val="0"/>
                <w:sz w:val="24"/>
              </w:rPr>
              <w:t>(</w:t>
            </w:r>
            <w:r>
              <w:rPr>
                <w:rFonts w:hint="eastAsia" w:ascii="仿宋_GB2312" w:hAnsi="仿宋_GB2312" w:eastAsia="仿宋_GB2312" w:cs="仿宋_GB2312"/>
                <w:color w:val="000000"/>
                <w:kern w:val="0"/>
                <w:sz w:val="24"/>
              </w:rPr>
              <w:t>包含数字及文字描述</w:t>
            </w:r>
            <w:r>
              <w:rPr>
                <w:rFonts w:ascii="仿宋_GB2312" w:hAnsi="仿宋_GB2312" w:eastAsia="仿宋_GB2312" w:cs="仿宋_GB2312"/>
                <w:color w:val="000000"/>
                <w:kern w:val="0"/>
                <w:sz w:val="24"/>
              </w:rPr>
              <w:t>)</w:t>
            </w:r>
          </w:p>
        </w:tc>
      </w:tr>
      <w:tr>
        <w:tblPrEx>
          <w:tblCellMar>
            <w:top w:w="0" w:type="dxa"/>
            <w:left w:w="0" w:type="dxa"/>
            <w:bottom w:w="0" w:type="dxa"/>
            <w:right w:w="0" w:type="dxa"/>
          </w:tblCellMar>
        </w:tblPrEx>
        <w:trPr>
          <w:trHeight w:val="953" w:hRule="atLeast"/>
        </w:trPr>
        <w:tc>
          <w:tcPr>
            <w:tcW w:w="395" w:type="dxa"/>
            <w:vMerge w:val="continue"/>
            <w:tcBorders>
              <w:top w:val="single" w:color="000000" w:sz="4" w:space="0"/>
              <w:left w:val="single" w:color="000000" w:sz="4" w:space="0"/>
              <w:bottom w:val="single" w:color="000000" w:sz="4" w:space="0"/>
              <w:right w:val="single" w:color="000000" w:sz="4" w:space="0"/>
            </w:tcBorders>
            <w:vAlign w:val="center"/>
          </w:tcPr>
          <w:p>
            <w:pPr>
              <w:spacing w:line="576" w:lineRule="atLeast"/>
              <w:rPr>
                <w:rFonts w:ascii="仿宋_GB2312" w:hAnsi="仿宋_GB2312" w:eastAsia="仿宋_GB2312"/>
                <w:color w:val="000000"/>
                <w:sz w:val="24"/>
              </w:rPr>
            </w:pPr>
          </w:p>
        </w:tc>
        <w:tc>
          <w:tcPr>
            <w:tcW w:w="136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数量指标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对土门镇各村村道进行养护</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4.928万元</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4.928万元</w:t>
            </w:r>
          </w:p>
        </w:tc>
      </w:tr>
      <w:tr>
        <w:tblPrEx>
          <w:tblCellMar>
            <w:top w:w="0" w:type="dxa"/>
            <w:left w:w="0" w:type="dxa"/>
            <w:bottom w:w="0" w:type="dxa"/>
            <w:right w:w="0" w:type="dxa"/>
          </w:tblCellMar>
        </w:tblPrEx>
        <w:trPr>
          <w:trHeight w:val="1297" w:hRule="atLeast"/>
        </w:trPr>
        <w:tc>
          <w:tcPr>
            <w:tcW w:w="395" w:type="dxa"/>
            <w:vMerge w:val="continue"/>
            <w:tcBorders>
              <w:top w:val="single" w:color="000000" w:sz="4" w:space="0"/>
              <w:left w:val="single" w:color="000000" w:sz="4" w:space="0"/>
              <w:bottom w:val="single" w:color="000000" w:sz="4" w:space="0"/>
              <w:right w:val="single" w:color="000000" w:sz="4" w:space="0"/>
            </w:tcBorders>
            <w:vAlign w:val="center"/>
          </w:tcPr>
          <w:p>
            <w:pPr>
              <w:spacing w:line="576" w:lineRule="atLeast"/>
              <w:rPr>
                <w:rFonts w:ascii="仿宋_GB2312" w:hAnsi="仿宋_GB2312" w:eastAsia="仿宋_GB2312"/>
                <w:color w:val="000000"/>
                <w:sz w:val="24"/>
              </w:rPr>
            </w:pPr>
          </w:p>
        </w:tc>
        <w:tc>
          <w:tcPr>
            <w:tcW w:w="136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质量指标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道路通畅，养护情况良好</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s="仿宋_GB2312"/>
                <w:color w:val="000000"/>
                <w:sz w:val="24"/>
              </w:rPr>
            </w:pPr>
            <w:r>
              <w:rPr>
                <w:rFonts w:ascii="仿宋_GB2312" w:hAnsi="仿宋_GB2312" w:eastAsia="仿宋_GB2312" w:cs="仿宋_GB2312"/>
                <w:color w:val="000000"/>
                <w:sz w:val="24"/>
              </w:rPr>
              <w:t>100%</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s="仿宋_GB2312"/>
                <w:color w:val="000000"/>
                <w:sz w:val="24"/>
              </w:rPr>
            </w:pPr>
            <w:r>
              <w:rPr>
                <w:rFonts w:ascii="仿宋_GB2312" w:hAnsi="仿宋_GB2312" w:eastAsia="仿宋_GB2312" w:cs="仿宋_GB2312"/>
                <w:color w:val="000000"/>
                <w:sz w:val="24"/>
              </w:rPr>
              <w:t>100%</w:t>
            </w:r>
          </w:p>
        </w:tc>
      </w:tr>
      <w:tr>
        <w:tblPrEx>
          <w:tblCellMar>
            <w:top w:w="0" w:type="dxa"/>
            <w:left w:w="0" w:type="dxa"/>
            <w:bottom w:w="0" w:type="dxa"/>
            <w:right w:w="0" w:type="dxa"/>
          </w:tblCellMar>
        </w:tblPrEx>
        <w:trPr>
          <w:trHeight w:val="1042" w:hRule="atLeast"/>
        </w:trPr>
        <w:tc>
          <w:tcPr>
            <w:tcW w:w="395" w:type="dxa"/>
            <w:vMerge w:val="continue"/>
            <w:tcBorders>
              <w:top w:val="single" w:color="000000" w:sz="4" w:space="0"/>
              <w:left w:val="single" w:color="000000" w:sz="4" w:space="0"/>
              <w:bottom w:val="single" w:color="000000" w:sz="4" w:space="0"/>
              <w:right w:val="single" w:color="000000" w:sz="4" w:space="0"/>
            </w:tcBorders>
            <w:vAlign w:val="center"/>
          </w:tcPr>
          <w:p>
            <w:pPr>
              <w:spacing w:line="576" w:lineRule="atLeast"/>
              <w:rPr>
                <w:rFonts w:ascii="仿宋_GB2312" w:hAnsi="仿宋_GB2312" w:eastAsia="仿宋_GB2312"/>
                <w:color w:val="000000"/>
                <w:sz w:val="24"/>
              </w:rPr>
            </w:pPr>
          </w:p>
        </w:tc>
        <w:tc>
          <w:tcPr>
            <w:tcW w:w="136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时效指标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项目完成及时率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s="仿宋_GB2312"/>
                <w:color w:val="000000"/>
                <w:sz w:val="24"/>
              </w:rPr>
            </w:pPr>
            <w:r>
              <w:rPr>
                <w:rFonts w:ascii="仿宋_GB2312" w:hAnsi="仿宋_GB2312" w:eastAsia="仿宋_GB2312" w:cs="仿宋_GB2312"/>
                <w:color w:val="000000"/>
                <w:sz w:val="24"/>
              </w:rPr>
              <w:t>100%</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s="仿宋_GB2312"/>
                <w:color w:val="000000"/>
                <w:sz w:val="24"/>
              </w:rPr>
            </w:pPr>
            <w:r>
              <w:rPr>
                <w:rFonts w:ascii="仿宋_GB2312" w:hAnsi="仿宋_GB2312" w:eastAsia="仿宋_GB2312" w:cs="仿宋_GB2312"/>
                <w:color w:val="000000"/>
                <w:sz w:val="24"/>
              </w:rPr>
              <w:t>100%</w:t>
            </w:r>
          </w:p>
        </w:tc>
      </w:tr>
      <w:tr>
        <w:tblPrEx>
          <w:tblCellMar>
            <w:top w:w="0" w:type="dxa"/>
            <w:left w:w="0" w:type="dxa"/>
            <w:bottom w:w="0" w:type="dxa"/>
            <w:right w:w="0" w:type="dxa"/>
          </w:tblCellMar>
        </w:tblPrEx>
        <w:trPr>
          <w:trHeight w:val="1042" w:hRule="atLeast"/>
        </w:trPr>
        <w:tc>
          <w:tcPr>
            <w:tcW w:w="395" w:type="dxa"/>
            <w:vMerge w:val="continue"/>
            <w:tcBorders>
              <w:top w:val="single" w:color="000000" w:sz="4" w:space="0"/>
              <w:left w:val="single" w:color="000000" w:sz="4" w:space="0"/>
              <w:bottom w:val="single" w:color="000000" w:sz="4" w:space="0"/>
              <w:right w:val="single" w:color="000000" w:sz="4" w:space="0"/>
            </w:tcBorders>
            <w:vAlign w:val="center"/>
          </w:tcPr>
          <w:p>
            <w:pPr>
              <w:spacing w:line="576" w:lineRule="atLeast"/>
              <w:rPr>
                <w:rFonts w:ascii="仿宋_GB2312" w:hAnsi="仿宋_GB2312" w:eastAsia="仿宋_GB2312"/>
                <w:color w:val="000000"/>
                <w:sz w:val="24"/>
              </w:rPr>
            </w:pPr>
          </w:p>
        </w:tc>
        <w:tc>
          <w:tcPr>
            <w:tcW w:w="136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kern w:val="0"/>
                <w:sz w:val="24"/>
              </w:rPr>
            </w:pPr>
            <w:r>
              <w:rPr>
                <w:rFonts w:hint="eastAsia" w:ascii="仿宋_GB2312" w:hAnsi="仿宋_GB2312" w:eastAsia="仿宋_GB2312" w:cs="仿宋_GB2312"/>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成本指标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道路养护使用砂石、人工等</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4.928万元</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4.928万元</w:t>
            </w:r>
          </w:p>
        </w:tc>
      </w:tr>
      <w:tr>
        <w:tblPrEx>
          <w:tblCellMar>
            <w:top w:w="0" w:type="dxa"/>
            <w:left w:w="0" w:type="dxa"/>
            <w:bottom w:w="0" w:type="dxa"/>
            <w:right w:w="0" w:type="dxa"/>
          </w:tblCellMar>
        </w:tblPrEx>
        <w:trPr>
          <w:trHeight w:val="1042" w:hRule="atLeast"/>
        </w:trPr>
        <w:tc>
          <w:tcPr>
            <w:tcW w:w="395" w:type="dxa"/>
            <w:vMerge w:val="continue"/>
            <w:tcBorders>
              <w:top w:val="single" w:color="000000" w:sz="4" w:space="0"/>
              <w:left w:val="single" w:color="000000" w:sz="4" w:space="0"/>
              <w:bottom w:val="single" w:color="000000" w:sz="4" w:space="0"/>
              <w:right w:val="single" w:color="000000" w:sz="4" w:space="0"/>
            </w:tcBorders>
            <w:vAlign w:val="center"/>
          </w:tcPr>
          <w:p>
            <w:pPr>
              <w:spacing w:line="576" w:lineRule="atLeast"/>
              <w:rPr>
                <w:rFonts w:ascii="仿宋_GB2312" w:hAnsi="仿宋_GB2312" w:eastAsia="仿宋_GB2312"/>
                <w:color w:val="000000"/>
                <w:sz w:val="24"/>
              </w:rPr>
            </w:pPr>
          </w:p>
        </w:tc>
        <w:tc>
          <w:tcPr>
            <w:tcW w:w="136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p>
        </w:tc>
      </w:tr>
      <w:tr>
        <w:tblPrEx>
          <w:tblCellMar>
            <w:top w:w="0" w:type="dxa"/>
            <w:left w:w="0" w:type="dxa"/>
            <w:bottom w:w="0" w:type="dxa"/>
            <w:right w:w="0" w:type="dxa"/>
          </w:tblCellMar>
        </w:tblPrEx>
        <w:trPr>
          <w:trHeight w:val="1042" w:hRule="atLeast"/>
        </w:trPr>
        <w:tc>
          <w:tcPr>
            <w:tcW w:w="395" w:type="dxa"/>
            <w:vMerge w:val="continue"/>
            <w:tcBorders>
              <w:top w:val="single" w:color="000000" w:sz="4" w:space="0"/>
              <w:left w:val="single" w:color="000000" w:sz="4" w:space="0"/>
              <w:bottom w:val="single" w:color="000000" w:sz="4" w:space="0"/>
              <w:right w:val="single" w:color="000000" w:sz="4" w:space="0"/>
            </w:tcBorders>
            <w:vAlign w:val="center"/>
          </w:tcPr>
          <w:p>
            <w:pPr>
              <w:spacing w:line="576" w:lineRule="atLeast"/>
              <w:rPr>
                <w:rFonts w:ascii="仿宋_GB2312" w:hAnsi="仿宋_GB2312" w:eastAsia="仿宋_GB2312"/>
                <w:color w:val="000000"/>
                <w:sz w:val="24"/>
              </w:rPr>
            </w:pPr>
          </w:p>
        </w:tc>
        <w:tc>
          <w:tcPr>
            <w:tcW w:w="136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kern w:val="0"/>
                <w:sz w:val="24"/>
              </w:rPr>
              <w:t>效益指标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经济效益</w:t>
            </w:r>
          </w:p>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解决老百姓用出行问题</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p>
        </w:tc>
      </w:tr>
      <w:tr>
        <w:tblPrEx>
          <w:tblCellMar>
            <w:top w:w="0" w:type="dxa"/>
            <w:left w:w="0" w:type="dxa"/>
            <w:bottom w:w="0" w:type="dxa"/>
            <w:right w:w="0" w:type="dxa"/>
          </w:tblCellMar>
        </w:tblPrEx>
        <w:trPr>
          <w:trHeight w:val="1297" w:hRule="atLeast"/>
        </w:trPr>
        <w:tc>
          <w:tcPr>
            <w:tcW w:w="395" w:type="dxa"/>
            <w:vMerge w:val="continue"/>
            <w:tcBorders>
              <w:top w:val="single" w:color="000000" w:sz="4" w:space="0"/>
              <w:left w:val="single" w:color="000000" w:sz="4" w:space="0"/>
              <w:bottom w:val="single" w:color="000000" w:sz="4" w:space="0"/>
              <w:right w:val="single" w:color="000000" w:sz="4" w:space="0"/>
            </w:tcBorders>
            <w:vAlign w:val="center"/>
          </w:tcPr>
          <w:p>
            <w:pPr>
              <w:spacing w:line="576" w:lineRule="atLeast"/>
              <w:rPr>
                <w:rFonts w:ascii="仿宋_GB2312" w:hAnsi="仿宋_GB2312" w:eastAsia="仿宋_GB2312"/>
                <w:color w:val="000000"/>
                <w:sz w:val="24"/>
              </w:rPr>
            </w:pPr>
          </w:p>
        </w:tc>
        <w:tc>
          <w:tcPr>
            <w:tcW w:w="136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kern w:val="0"/>
                <w:sz w:val="24"/>
              </w:rPr>
              <w:t>效益指标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社会效益</w:t>
            </w:r>
          </w:p>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满足人民群众不断增长的生活需求，提高人居环境生活质量</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p>
        </w:tc>
      </w:tr>
      <w:tr>
        <w:tblPrEx>
          <w:tblCellMar>
            <w:top w:w="0" w:type="dxa"/>
            <w:left w:w="0" w:type="dxa"/>
            <w:bottom w:w="0" w:type="dxa"/>
            <w:right w:w="0" w:type="dxa"/>
          </w:tblCellMar>
        </w:tblPrEx>
        <w:trPr>
          <w:trHeight w:val="1297" w:hRule="atLeast"/>
        </w:trPr>
        <w:tc>
          <w:tcPr>
            <w:tcW w:w="395" w:type="dxa"/>
            <w:vMerge w:val="continue"/>
            <w:tcBorders>
              <w:top w:val="single" w:color="000000" w:sz="4" w:space="0"/>
              <w:left w:val="single" w:color="000000" w:sz="4" w:space="0"/>
              <w:bottom w:val="single" w:color="000000" w:sz="4" w:space="0"/>
              <w:right w:val="single" w:color="000000" w:sz="4" w:space="0"/>
            </w:tcBorders>
            <w:vAlign w:val="center"/>
          </w:tcPr>
          <w:p>
            <w:pPr>
              <w:spacing w:line="576" w:lineRule="atLeast"/>
              <w:rPr>
                <w:rFonts w:ascii="仿宋_GB2312" w:hAnsi="仿宋_GB2312" w:eastAsia="仿宋_GB2312"/>
                <w:color w:val="000000"/>
                <w:sz w:val="24"/>
              </w:rPr>
            </w:pPr>
          </w:p>
        </w:tc>
        <w:tc>
          <w:tcPr>
            <w:tcW w:w="136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kern w:val="0"/>
                <w:sz w:val="24"/>
              </w:rPr>
            </w:pPr>
            <w:r>
              <w:rPr>
                <w:rFonts w:hint="eastAsia" w:ascii="仿宋_GB2312" w:hAnsi="仿宋_GB2312" w:eastAsia="仿宋_GB2312" w:cs="仿宋_GB2312"/>
                <w:color w:val="000000"/>
                <w:kern w:val="0"/>
                <w:sz w:val="24"/>
              </w:rPr>
              <w:t>效益指标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生态效益</w:t>
            </w:r>
          </w:p>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p>
        </w:tc>
      </w:tr>
      <w:tr>
        <w:tblPrEx>
          <w:tblCellMar>
            <w:top w:w="0" w:type="dxa"/>
            <w:left w:w="0" w:type="dxa"/>
            <w:bottom w:w="0" w:type="dxa"/>
            <w:right w:w="0" w:type="dxa"/>
          </w:tblCellMar>
        </w:tblPrEx>
        <w:trPr>
          <w:trHeight w:val="1050" w:hRule="atLeast"/>
        </w:trPr>
        <w:tc>
          <w:tcPr>
            <w:tcW w:w="395" w:type="dxa"/>
            <w:vMerge w:val="continue"/>
            <w:tcBorders>
              <w:top w:val="single" w:color="000000" w:sz="4" w:space="0"/>
              <w:left w:val="single" w:color="000000" w:sz="4" w:space="0"/>
              <w:bottom w:val="single" w:color="000000" w:sz="4" w:space="0"/>
              <w:right w:val="single" w:color="000000" w:sz="4" w:space="0"/>
            </w:tcBorders>
            <w:vAlign w:val="center"/>
          </w:tcPr>
          <w:p>
            <w:pPr>
              <w:spacing w:line="576" w:lineRule="atLeast"/>
              <w:rPr>
                <w:rFonts w:ascii="仿宋_GB2312" w:hAnsi="仿宋_GB2312" w:eastAsia="仿宋_GB2312"/>
                <w:color w:val="000000"/>
                <w:sz w:val="24"/>
              </w:rPr>
            </w:pPr>
          </w:p>
        </w:tc>
        <w:tc>
          <w:tcPr>
            <w:tcW w:w="136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效益指标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可持续影响指标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为各村人居环境改善奠定了基础</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p>
        </w:tc>
      </w:tr>
      <w:tr>
        <w:tblPrEx>
          <w:tblCellMar>
            <w:top w:w="0" w:type="dxa"/>
            <w:left w:w="0" w:type="dxa"/>
            <w:bottom w:w="0" w:type="dxa"/>
            <w:right w:w="0" w:type="dxa"/>
          </w:tblCellMar>
        </w:tblPrEx>
        <w:trPr>
          <w:trHeight w:val="1050" w:hRule="atLeast"/>
        </w:trPr>
        <w:tc>
          <w:tcPr>
            <w:tcW w:w="395" w:type="dxa"/>
            <w:tcBorders>
              <w:top w:val="single" w:color="000000" w:sz="4" w:space="0"/>
              <w:left w:val="single" w:color="000000" w:sz="4" w:space="0"/>
              <w:bottom w:val="single" w:color="000000" w:sz="4" w:space="0"/>
              <w:right w:val="single" w:color="000000" w:sz="4" w:space="0"/>
            </w:tcBorders>
            <w:vAlign w:val="center"/>
          </w:tcPr>
          <w:p>
            <w:pPr>
              <w:spacing w:line="576" w:lineRule="atLeast"/>
              <w:rPr>
                <w:rFonts w:ascii="仿宋_GB2312" w:hAnsi="仿宋_GB2312" w:eastAsia="仿宋_GB2312"/>
                <w:color w:val="000000"/>
                <w:sz w:val="24"/>
              </w:rPr>
            </w:pPr>
          </w:p>
        </w:tc>
        <w:tc>
          <w:tcPr>
            <w:tcW w:w="136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kern w:val="0"/>
                <w:sz w:val="24"/>
              </w:rPr>
            </w:pPr>
            <w:r>
              <w:rPr>
                <w:rFonts w:hint="eastAsia" w:ascii="仿宋_GB2312" w:hAnsi="仿宋_GB2312" w:eastAsia="仿宋_GB2312" w:cs="仿宋_GB2312"/>
                <w:color w:val="000000"/>
                <w:kern w:val="0"/>
                <w:sz w:val="24"/>
              </w:rPr>
              <w:t>满意度指标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满意度指标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广大农民群众满意度</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ascii="仿宋_GB2312" w:hAnsi="仿宋_GB2312" w:eastAsia="仿宋_GB2312" w:cs="仿宋_GB2312"/>
                <w:color w:val="000000"/>
                <w:kern w:val="0"/>
                <w:sz w:val="22"/>
                <w:szCs w:val="22"/>
              </w:rPr>
              <w:t>100%</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ascii="仿宋_GB2312" w:hAnsi="仿宋_GB2312" w:eastAsia="仿宋_GB2312" w:cs="仿宋_GB2312"/>
                <w:color w:val="000000"/>
                <w:kern w:val="0"/>
                <w:sz w:val="22"/>
                <w:szCs w:val="22"/>
              </w:rPr>
              <w:t>100%</w:t>
            </w:r>
          </w:p>
        </w:tc>
      </w:tr>
    </w:tbl>
    <w:p>
      <w:pPr>
        <w:autoSpaceDE w:val="0"/>
        <w:autoSpaceDN w:val="0"/>
        <w:adjustRightInd w:val="0"/>
        <w:spacing w:line="576" w:lineRule="atLeast"/>
        <w:rPr>
          <w:rFonts w:ascii="仿宋_GB2312" w:eastAsia="仿宋_GB2312"/>
          <w:color w:val="000000"/>
          <w:sz w:val="32"/>
          <w:szCs w:val="32"/>
        </w:rPr>
      </w:pPr>
    </w:p>
    <w:p>
      <w:pPr>
        <w:autoSpaceDE w:val="0"/>
        <w:autoSpaceDN w:val="0"/>
        <w:adjustRightInd w:val="0"/>
        <w:spacing w:line="576" w:lineRule="atLeast"/>
        <w:rPr>
          <w:rFonts w:ascii="仿宋_GB2312" w:eastAsia="仿宋_GB2312"/>
          <w:color w:val="000000"/>
          <w:sz w:val="32"/>
          <w:szCs w:val="32"/>
        </w:rPr>
      </w:pPr>
    </w:p>
    <w:tbl>
      <w:tblPr>
        <w:tblStyle w:val="12"/>
        <w:tblpPr w:leftFromText="180" w:rightFromText="180" w:vertAnchor="text" w:horzAnchor="page" w:tblpXSpec="center" w:tblpY="423"/>
        <w:tblOverlap w:val="never"/>
        <w:tblW w:w="9960" w:type="dxa"/>
        <w:tblInd w:w="0" w:type="dxa"/>
        <w:tblLayout w:type="fixed"/>
        <w:tblCellMar>
          <w:top w:w="0" w:type="dxa"/>
          <w:left w:w="0" w:type="dxa"/>
          <w:bottom w:w="0" w:type="dxa"/>
          <w:right w:w="0" w:type="dxa"/>
        </w:tblCellMar>
      </w:tblPr>
      <w:tblGrid>
        <w:gridCol w:w="390"/>
        <w:gridCol w:w="1367"/>
        <w:gridCol w:w="1025"/>
        <w:gridCol w:w="2392"/>
        <w:gridCol w:w="2394"/>
        <w:gridCol w:w="2392"/>
      </w:tblGrid>
      <w:tr>
        <w:tblPrEx>
          <w:tblCellMar>
            <w:top w:w="0" w:type="dxa"/>
            <w:left w:w="0" w:type="dxa"/>
            <w:bottom w:w="0" w:type="dxa"/>
            <w:right w:w="0" w:type="dxa"/>
          </w:tblCellMar>
        </w:tblPrEx>
        <w:trPr>
          <w:trHeight w:val="1034" w:hRule="atLeast"/>
        </w:trPr>
        <w:tc>
          <w:tcPr>
            <w:tcW w:w="9960" w:type="dxa"/>
            <w:gridSpan w:val="6"/>
            <w:tcMar>
              <w:top w:w="15" w:type="dxa"/>
              <w:left w:w="15" w:type="dxa"/>
              <w:bottom w:w="0" w:type="dxa"/>
              <w:right w:w="15" w:type="dxa"/>
            </w:tcMar>
            <w:vAlign w:val="center"/>
          </w:tcPr>
          <w:p>
            <w:pPr>
              <w:pStyle w:val="23"/>
              <w:spacing w:line="576" w:lineRule="atLeast"/>
              <w:ind w:firstLine="0" w:firstLineChars="0"/>
              <w:jc w:val="center"/>
              <w:textAlignment w:val="center"/>
              <w:rPr>
                <w:rFonts w:ascii="宋体"/>
                <w:color w:val="000000"/>
                <w:sz w:val="36"/>
                <w:szCs w:val="36"/>
              </w:rPr>
            </w:pPr>
            <w:r>
              <w:rPr>
                <w:rFonts w:hint="eastAsia" w:ascii="黑体" w:hAnsi="黑体" w:eastAsia="黑体" w:cs="黑体"/>
                <w:color w:val="000000"/>
                <w:kern w:val="0"/>
                <w:sz w:val="36"/>
                <w:szCs w:val="36"/>
              </w:rPr>
              <w:t>项目支出绩效目标完成情况表</w:t>
            </w:r>
            <w:r>
              <w:rPr>
                <w:rFonts w:ascii="宋体"/>
                <w:b/>
                <w:bCs/>
                <w:color w:val="000000"/>
                <w:kern w:val="0"/>
                <w:sz w:val="36"/>
                <w:szCs w:val="36"/>
              </w:rPr>
              <w:br w:type="textWrapping"/>
            </w:r>
            <w:r>
              <w:rPr>
                <w:rFonts w:ascii="宋体" w:hAnsi="宋体" w:cs="宋体"/>
                <w:color w:val="000000"/>
                <w:kern w:val="0"/>
                <w:sz w:val="36"/>
                <w:szCs w:val="36"/>
              </w:rPr>
              <w:t>(201</w:t>
            </w:r>
            <w:r>
              <w:rPr>
                <w:rFonts w:hint="eastAsia" w:ascii="宋体" w:hAnsi="宋体" w:cs="宋体"/>
                <w:color w:val="000000"/>
                <w:kern w:val="0"/>
                <w:sz w:val="36"/>
                <w:szCs w:val="36"/>
              </w:rPr>
              <w:t>9年度</w:t>
            </w:r>
            <w:r>
              <w:rPr>
                <w:rFonts w:ascii="宋体" w:hAnsi="宋体" w:cs="宋体"/>
                <w:color w:val="000000"/>
                <w:kern w:val="0"/>
                <w:sz w:val="36"/>
                <w:szCs w:val="36"/>
              </w:rPr>
              <w:t>)</w:t>
            </w:r>
          </w:p>
        </w:tc>
      </w:tr>
      <w:tr>
        <w:tblPrEx>
          <w:tblCellMar>
            <w:top w:w="0" w:type="dxa"/>
            <w:left w:w="0" w:type="dxa"/>
            <w:bottom w:w="0" w:type="dxa"/>
            <w:right w:w="0" w:type="dxa"/>
          </w:tblCellMar>
        </w:tblPrEx>
        <w:trPr>
          <w:trHeight w:val="276" w:hRule="atLeast"/>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kern w:val="0"/>
                <w:sz w:val="24"/>
              </w:rPr>
              <w:t>项目名称</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autoSpaceDE w:val="0"/>
              <w:autoSpaceDN w:val="0"/>
              <w:adjustRightInd w:val="0"/>
              <w:spacing w:line="576" w:lineRule="atLeast"/>
              <w:rPr>
                <w:rFonts w:ascii="仿宋_GB2312" w:hAnsi="仿宋_GB2312" w:eastAsia="仿宋_GB2312"/>
                <w:color w:val="000000"/>
                <w:sz w:val="24"/>
              </w:rPr>
            </w:pPr>
            <w:r>
              <w:rPr>
                <w:rFonts w:ascii="仿宋_GB2312" w:eastAsia="仿宋_GB2312"/>
                <w:color w:val="000000"/>
                <w:sz w:val="24"/>
              </w:rPr>
              <w:t>201</w:t>
            </w:r>
            <w:r>
              <w:rPr>
                <w:rFonts w:hint="eastAsia" w:ascii="仿宋_GB2312" w:eastAsia="仿宋_GB2312"/>
                <w:color w:val="000000"/>
                <w:sz w:val="24"/>
              </w:rPr>
              <w:t>9年洋坪村安全饮水项目</w:t>
            </w:r>
          </w:p>
        </w:tc>
      </w:tr>
      <w:tr>
        <w:tblPrEx>
          <w:tblCellMar>
            <w:top w:w="0" w:type="dxa"/>
            <w:left w:w="0" w:type="dxa"/>
            <w:bottom w:w="0" w:type="dxa"/>
            <w:right w:w="0" w:type="dxa"/>
          </w:tblCellMar>
        </w:tblPrEx>
        <w:trPr>
          <w:trHeight w:val="276" w:hRule="atLeast"/>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kern w:val="0"/>
                <w:sz w:val="24"/>
              </w:rPr>
              <w:t>预算单位</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茂县土门镇人民政府</w:t>
            </w:r>
          </w:p>
        </w:tc>
      </w:tr>
      <w:tr>
        <w:tblPrEx>
          <w:tblCellMar>
            <w:top w:w="0" w:type="dxa"/>
            <w:left w:w="0" w:type="dxa"/>
            <w:bottom w:w="0" w:type="dxa"/>
            <w:right w:w="0" w:type="dxa"/>
          </w:tblCellMar>
        </w:tblPrEx>
        <w:trPr>
          <w:trHeight w:val="276" w:hRule="atLeast"/>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kern w:val="0"/>
                <w:sz w:val="24"/>
              </w:rPr>
              <w:t>预算执行情况</w:t>
            </w:r>
            <w:r>
              <w:rPr>
                <w:rFonts w:ascii="仿宋_GB2312" w:hAnsi="仿宋_GB2312" w:eastAsia="仿宋_GB2312" w:cs="仿宋_GB2312"/>
                <w:color w:val="000000"/>
                <w:kern w:val="0"/>
                <w:sz w:val="24"/>
              </w:rPr>
              <w:t>(</w:t>
            </w:r>
            <w:r>
              <w:rPr>
                <w:rFonts w:hint="eastAsia" w:ascii="仿宋_GB2312" w:hAnsi="仿宋_GB2312" w:eastAsia="仿宋_GB2312" w:cs="仿宋_GB2312"/>
                <w:color w:val="000000"/>
                <w:kern w:val="0"/>
                <w:sz w:val="24"/>
              </w:rPr>
              <w:t>万元</w:t>
            </w:r>
            <w:r>
              <w:rPr>
                <w:rFonts w:ascii="仿宋_GB2312" w:hAnsi="仿宋_GB2312" w:eastAsia="仿宋_GB2312" w:cs="仿宋_GB2312"/>
                <w:color w:val="000000"/>
                <w:kern w:val="0"/>
                <w:sz w:val="24"/>
              </w:rPr>
              <w:t>)</w:t>
            </w: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kern w:val="0"/>
                <w:sz w:val="24"/>
              </w:rPr>
              <w:t>预算数</w:t>
            </w:r>
            <w:r>
              <w:rPr>
                <w:rFonts w:ascii="仿宋_GB2312" w:hAnsi="仿宋_GB2312" w:eastAsia="仿宋_GB2312" w:cs="仿宋_GB2312"/>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24.3万元</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kern w:val="0"/>
                <w:sz w:val="24"/>
              </w:rPr>
              <w:t>执行数</w:t>
            </w:r>
            <w:r>
              <w:rPr>
                <w:rFonts w:ascii="仿宋_GB2312" w:hAnsi="仿宋_GB2312" w:eastAsia="仿宋_GB2312" w:cs="仿宋_GB2312"/>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24.3万元</w:t>
            </w:r>
          </w:p>
        </w:tc>
      </w:tr>
      <w:tr>
        <w:tblPrEx>
          <w:tblCellMar>
            <w:top w:w="0" w:type="dxa"/>
            <w:left w:w="0" w:type="dxa"/>
            <w:bottom w:w="0" w:type="dxa"/>
            <w:right w:w="0" w:type="dxa"/>
          </w:tblCellMar>
        </w:tblPrEx>
        <w:trPr>
          <w:trHeight w:val="276"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spacing w:line="576" w:lineRule="atLeast"/>
              <w:rPr>
                <w:rFonts w:ascii="仿宋_GB2312" w:hAnsi="仿宋_GB2312" w:eastAsia="仿宋_GB2312"/>
                <w:color w:val="000000"/>
                <w:sz w:val="24"/>
              </w:rPr>
            </w:p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kern w:val="0"/>
                <w:sz w:val="24"/>
              </w:rPr>
              <w:t>其中</w:t>
            </w:r>
            <w:r>
              <w:rPr>
                <w:rFonts w:ascii="仿宋_GB2312" w:hAnsi="仿宋_GB2312" w:eastAsia="仿宋_GB2312" w:cs="仿宋_GB2312"/>
                <w:color w:val="000000"/>
                <w:kern w:val="0"/>
                <w:sz w:val="24"/>
              </w:rPr>
              <w:t>-</w:t>
            </w:r>
            <w:r>
              <w:rPr>
                <w:rFonts w:hint="eastAsia" w:ascii="仿宋_GB2312" w:hAnsi="仿宋_GB2312" w:eastAsia="仿宋_GB2312" w:cs="仿宋_GB2312"/>
                <w:color w:val="000000"/>
                <w:kern w:val="0"/>
                <w:sz w:val="24"/>
              </w:rPr>
              <w:t>财政拨款</w:t>
            </w:r>
            <w:r>
              <w:rPr>
                <w:rFonts w:ascii="仿宋_GB2312" w:hAnsi="仿宋_GB2312" w:eastAsia="仿宋_GB2312" w:cs="仿宋_GB2312"/>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24.3万元</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kern w:val="0"/>
                <w:sz w:val="24"/>
              </w:rPr>
              <w:t>其中</w:t>
            </w:r>
            <w:r>
              <w:rPr>
                <w:rFonts w:ascii="仿宋_GB2312" w:hAnsi="仿宋_GB2312" w:eastAsia="仿宋_GB2312" w:cs="仿宋_GB2312"/>
                <w:color w:val="000000"/>
                <w:kern w:val="0"/>
                <w:sz w:val="24"/>
              </w:rPr>
              <w:t>-</w:t>
            </w:r>
            <w:r>
              <w:rPr>
                <w:rFonts w:hint="eastAsia" w:ascii="仿宋_GB2312" w:hAnsi="仿宋_GB2312" w:eastAsia="仿宋_GB2312" w:cs="仿宋_GB2312"/>
                <w:color w:val="000000"/>
                <w:kern w:val="0"/>
                <w:sz w:val="24"/>
              </w:rPr>
              <w:t>财政拨款</w:t>
            </w:r>
            <w:r>
              <w:rPr>
                <w:rFonts w:ascii="仿宋_GB2312" w:hAnsi="仿宋_GB2312" w:eastAsia="仿宋_GB2312" w:cs="仿宋_GB2312"/>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24.3万元</w:t>
            </w:r>
          </w:p>
        </w:tc>
      </w:tr>
      <w:tr>
        <w:tblPrEx>
          <w:tblCellMar>
            <w:top w:w="0" w:type="dxa"/>
            <w:left w:w="0" w:type="dxa"/>
            <w:bottom w:w="0" w:type="dxa"/>
            <w:right w:w="0" w:type="dxa"/>
          </w:tblCellMar>
        </w:tblPrEx>
        <w:trPr>
          <w:trHeight w:val="1511"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spacing w:line="576" w:lineRule="atLeast"/>
              <w:rPr>
                <w:rFonts w:ascii="仿宋_GB2312" w:hAnsi="仿宋_GB2312" w:eastAsia="仿宋_GB2312"/>
                <w:color w:val="000000"/>
                <w:sz w:val="24"/>
              </w:rPr>
            </w:p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kern w:val="0"/>
                <w:sz w:val="24"/>
              </w:rPr>
              <w:t>其它资金</w:t>
            </w:r>
            <w:r>
              <w:rPr>
                <w:rFonts w:ascii="仿宋_GB2312" w:hAnsi="仿宋_GB2312" w:eastAsia="仿宋_GB2312" w:cs="仿宋_GB2312"/>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ascii="仿宋_GB2312" w:hAnsi="仿宋_GB2312" w:eastAsia="仿宋_GB2312" w:cs="仿宋_GB2312"/>
                <w:color w:val="000000"/>
                <w:kern w:val="0"/>
                <w:sz w:val="24"/>
              </w:rPr>
              <w:t>0</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kern w:val="0"/>
                <w:sz w:val="24"/>
              </w:rPr>
              <w:t>其它资金</w:t>
            </w:r>
            <w:r>
              <w:rPr>
                <w:rFonts w:ascii="仿宋_GB2312" w:hAnsi="仿宋_GB2312" w:eastAsia="仿宋_GB2312" w:cs="仿宋_GB2312"/>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rPr>
                <w:rFonts w:ascii="仿宋_GB2312" w:hAnsi="仿宋_GB2312" w:eastAsia="仿宋_GB2312" w:cs="仿宋_GB2312"/>
                <w:color w:val="000000"/>
                <w:sz w:val="24"/>
              </w:rPr>
            </w:pPr>
            <w:r>
              <w:rPr>
                <w:rFonts w:ascii="仿宋_GB2312" w:hAnsi="仿宋_GB2312" w:eastAsia="仿宋_GB2312" w:cs="仿宋_GB2312"/>
                <w:color w:val="000000"/>
                <w:sz w:val="24"/>
              </w:rPr>
              <w:t>0</w:t>
            </w:r>
          </w:p>
        </w:tc>
      </w:tr>
      <w:tr>
        <w:tblPrEx>
          <w:tblCellMar>
            <w:top w:w="0" w:type="dxa"/>
            <w:left w:w="0" w:type="dxa"/>
            <w:bottom w:w="0" w:type="dxa"/>
            <w:right w:w="0" w:type="dxa"/>
          </w:tblCellMar>
        </w:tblPrEx>
        <w:trPr>
          <w:trHeight w:val="276" w:hRule="atLeast"/>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kern w:val="0"/>
                <w:sz w:val="24"/>
              </w:rPr>
              <w:t>年度目标完成情况</w:t>
            </w:r>
          </w:p>
        </w:tc>
        <w:tc>
          <w:tcPr>
            <w:tcW w:w="4784"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kern w:val="0"/>
                <w:sz w:val="24"/>
              </w:rPr>
              <w:t>预期目标</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kern w:val="0"/>
                <w:sz w:val="24"/>
              </w:rPr>
              <w:t>实际完成目标</w:t>
            </w:r>
          </w:p>
        </w:tc>
      </w:tr>
      <w:tr>
        <w:tblPrEx>
          <w:tblCellMar>
            <w:top w:w="0" w:type="dxa"/>
            <w:left w:w="0" w:type="dxa"/>
            <w:bottom w:w="0" w:type="dxa"/>
            <w:right w:w="0" w:type="dxa"/>
          </w:tblCellMar>
        </w:tblPrEx>
        <w:trPr>
          <w:trHeight w:val="1159"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spacing w:line="576" w:lineRule="atLeast"/>
              <w:rPr>
                <w:rFonts w:ascii="仿宋_GB2312" w:hAnsi="仿宋_GB2312" w:eastAsia="仿宋_GB2312"/>
                <w:color w:val="000000"/>
                <w:sz w:val="24"/>
              </w:rPr>
            </w:pPr>
          </w:p>
        </w:tc>
        <w:tc>
          <w:tcPr>
            <w:tcW w:w="4784"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改善</w:t>
            </w:r>
            <w:r>
              <w:rPr>
                <w:rFonts w:hint="eastAsia" w:ascii="仿宋_GB2312" w:eastAsia="仿宋_GB2312"/>
                <w:color w:val="000000"/>
                <w:sz w:val="24"/>
              </w:rPr>
              <w:t>洋坪村饮用水条件</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eastAsia="仿宋_GB2312"/>
                <w:color w:val="000000"/>
                <w:sz w:val="24"/>
              </w:rPr>
              <w:t>洋坪村饮用水</w:t>
            </w:r>
            <w:r>
              <w:rPr>
                <w:rFonts w:hint="eastAsia" w:ascii="仿宋_GB2312" w:hAnsi="仿宋_GB2312" w:eastAsia="仿宋_GB2312" w:cs="仿宋_GB2312"/>
                <w:color w:val="000000"/>
                <w:sz w:val="24"/>
              </w:rPr>
              <w:t>已全面改造完成</w:t>
            </w:r>
          </w:p>
        </w:tc>
      </w:tr>
      <w:tr>
        <w:tblPrEx>
          <w:tblCellMar>
            <w:top w:w="0" w:type="dxa"/>
            <w:left w:w="0" w:type="dxa"/>
            <w:bottom w:w="0" w:type="dxa"/>
            <w:right w:w="0" w:type="dxa"/>
          </w:tblCellMar>
        </w:tblPrEx>
        <w:trPr>
          <w:trHeight w:val="1042" w:hRule="atLeast"/>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绩效指标完成情况</w:t>
            </w: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kern w:val="0"/>
                <w:sz w:val="24"/>
              </w:rPr>
              <w:t>一级指标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kern w:val="0"/>
                <w:sz w:val="24"/>
              </w:rPr>
              <w:t>二级指标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kern w:val="0"/>
                <w:sz w:val="24"/>
              </w:rPr>
              <w:t>三级指标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kern w:val="0"/>
                <w:sz w:val="24"/>
              </w:rPr>
              <w:t>预期指标值</w:t>
            </w:r>
            <w:r>
              <w:rPr>
                <w:rFonts w:ascii="仿宋_GB2312" w:hAnsi="仿宋_GB2312" w:eastAsia="仿宋_GB2312" w:cs="仿宋_GB2312"/>
                <w:color w:val="000000"/>
                <w:kern w:val="0"/>
                <w:sz w:val="24"/>
              </w:rPr>
              <w:t>(</w:t>
            </w:r>
            <w:r>
              <w:rPr>
                <w:rFonts w:hint="eastAsia" w:ascii="仿宋_GB2312" w:hAnsi="仿宋_GB2312" w:eastAsia="仿宋_GB2312" w:cs="仿宋_GB2312"/>
                <w:color w:val="000000"/>
                <w:kern w:val="0"/>
                <w:sz w:val="24"/>
              </w:rPr>
              <w:t>包含数字及文字描述</w:t>
            </w:r>
            <w:r>
              <w:rPr>
                <w:rFonts w:ascii="仿宋_GB2312" w:hAnsi="仿宋_GB2312" w:eastAsia="仿宋_GB2312" w:cs="仿宋_GB2312"/>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kern w:val="0"/>
                <w:sz w:val="24"/>
              </w:rPr>
              <w:t>实际完成指标值</w:t>
            </w:r>
            <w:r>
              <w:rPr>
                <w:rFonts w:ascii="仿宋_GB2312" w:hAnsi="仿宋_GB2312" w:eastAsia="仿宋_GB2312" w:cs="仿宋_GB2312"/>
                <w:color w:val="000000"/>
                <w:kern w:val="0"/>
                <w:sz w:val="24"/>
              </w:rPr>
              <w:t>(</w:t>
            </w:r>
            <w:r>
              <w:rPr>
                <w:rFonts w:hint="eastAsia" w:ascii="仿宋_GB2312" w:hAnsi="仿宋_GB2312" w:eastAsia="仿宋_GB2312" w:cs="仿宋_GB2312"/>
                <w:color w:val="000000"/>
                <w:kern w:val="0"/>
                <w:sz w:val="24"/>
              </w:rPr>
              <w:t>包含数字及文字描述</w:t>
            </w:r>
            <w:r>
              <w:rPr>
                <w:rFonts w:ascii="仿宋_GB2312" w:hAnsi="仿宋_GB2312" w:eastAsia="仿宋_GB2312" w:cs="仿宋_GB2312"/>
                <w:color w:val="000000"/>
                <w:kern w:val="0"/>
                <w:sz w:val="24"/>
              </w:rPr>
              <w:t>)</w:t>
            </w:r>
          </w:p>
        </w:tc>
      </w:tr>
      <w:tr>
        <w:tblPrEx>
          <w:tblCellMar>
            <w:top w:w="0" w:type="dxa"/>
            <w:left w:w="0" w:type="dxa"/>
            <w:bottom w:w="0" w:type="dxa"/>
            <w:right w:w="0" w:type="dxa"/>
          </w:tblCellMar>
        </w:tblPrEx>
        <w:trPr>
          <w:trHeight w:val="953"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spacing w:line="576" w:lineRule="atLeast"/>
              <w:rPr>
                <w:rFonts w:ascii="仿宋_GB2312" w:hAnsi="仿宋_GB2312" w:eastAsia="仿宋_GB2312"/>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数量指标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改善</w:t>
            </w:r>
            <w:r>
              <w:rPr>
                <w:rFonts w:hint="eastAsia" w:ascii="仿宋_GB2312" w:eastAsia="仿宋_GB2312"/>
                <w:color w:val="000000"/>
                <w:sz w:val="24"/>
              </w:rPr>
              <w:t>洋坪村饮用水条件</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24.3万元</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24.3万元</w:t>
            </w:r>
          </w:p>
        </w:tc>
      </w:tr>
      <w:tr>
        <w:tblPrEx>
          <w:tblCellMar>
            <w:top w:w="0" w:type="dxa"/>
            <w:left w:w="0" w:type="dxa"/>
            <w:bottom w:w="0" w:type="dxa"/>
            <w:right w:w="0" w:type="dxa"/>
          </w:tblCellMar>
        </w:tblPrEx>
        <w:trPr>
          <w:trHeight w:val="932"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spacing w:line="576" w:lineRule="atLeast"/>
              <w:rPr>
                <w:rFonts w:ascii="仿宋_GB2312" w:hAnsi="仿宋_GB2312" w:eastAsia="仿宋_GB2312"/>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质量指标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项目验收合格率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s="仿宋_GB2312"/>
                <w:color w:val="000000"/>
                <w:sz w:val="24"/>
              </w:rPr>
            </w:pPr>
            <w:r>
              <w:rPr>
                <w:rFonts w:ascii="仿宋_GB2312" w:hAnsi="仿宋_GB2312" w:eastAsia="仿宋_GB2312" w:cs="仿宋_GB2312"/>
                <w:color w:val="000000"/>
                <w:sz w:val="24"/>
              </w:rPr>
              <w:t>100%</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s="仿宋_GB2312"/>
                <w:color w:val="000000"/>
                <w:sz w:val="24"/>
              </w:rPr>
            </w:pPr>
            <w:r>
              <w:rPr>
                <w:rFonts w:ascii="仿宋_GB2312" w:hAnsi="仿宋_GB2312" w:eastAsia="仿宋_GB2312" w:cs="仿宋_GB2312"/>
                <w:color w:val="000000"/>
                <w:sz w:val="24"/>
              </w:rPr>
              <w:t>100%</w:t>
            </w:r>
          </w:p>
        </w:tc>
      </w:tr>
      <w:tr>
        <w:tblPrEx>
          <w:tblCellMar>
            <w:top w:w="0" w:type="dxa"/>
            <w:left w:w="0" w:type="dxa"/>
            <w:bottom w:w="0" w:type="dxa"/>
            <w:right w:w="0" w:type="dxa"/>
          </w:tblCellMar>
        </w:tblPrEx>
        <w:trPr>
          <w:trHeight w:val="947"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spacing w:line="576" w:lineRule="atLeast"/>
              <w:rPr>
                <w:rFonts w:ascii="仿宋_GB2312" w:hAnsi="仿宋_GB2312" w:eastAsia="仿宋_GB2312"/>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时效指标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项目完成及时率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s="仿宋_GB2312"/>
                <w:color w:val="000000"/>
                <w:sz w:val="24"/>
              </w:rPr>
            </w:pPr>
            <w:r>
              <w:rPr>
                <w:rFonts w:ascii="仿宋_GB2312" w:hAnsi="仿宋_GB2312" w:eastAsia="仿宋_GB2312" w:cs="仿宋_GB2312"/>
                <w:color w:val="000000"/>
                <w:sz w:val="24"/>
              </w:rPr>
              <w:t>100%</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s="仿宋_GB2312"/>
                <w:color w:val="000000"/>
                <w:sz w:val="24"/>
              </w:rPr>
            </w:pPr>
            <w:r>
              <w:rPr>
                <w:rFonts w:ascii="仿宋_GB2312" w:hAnsi="仿宋_GB2312" w:eastAsia="仿宋_GB2312" w:cs="仿宋_GB2312"/>
                <w:color w:val="000000"/>
                <w:sz w:val="24"/>
              </w:rPr>
              <w:t>100%</w:t>
            </w:r>
          </w:p>
        </w:tc>
      </w:tr>
      <w:tr>
        <w:tblPrEx>
          <w:tblCellMar>
            <w:top w:w="0" w:type="dxa"/>
            <w:left w:w="0" w:type="dxa"/>
            <w:bottom w:w="0" w:type="dxa"/>
            <w:right w:w="0" w:type="dxa"/>
          </w:tblCellMar>
        </w:tblPrEx>
        <w:trPr>
          <w:trHeight w:val="1042"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spacing w:line="576" w:lineRule="atLeast"/>
              <w:rPr>
                <w:rFonts w:ascii="仿宋_GB2312" w:hAnsi="仿宋_GB2312" w:eastAsia="仿宋_GB2312"/>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kern w:val="0"/>
                <w:sz w:val="24"/>
              </w:rPr>
            </w:pPr>
            <w:r>
              <w:rPr>
                <w:rFonts w:hint="eastAsia" w:ascii="仿宋_GB2312" w:hAnsi="仿宋_GB2312" w:eastAsia="仿宋_GB2312" w:cs="仿宋_GB2312"/>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成本指标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购买水管、修建饮用水水池等</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24.3万元</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24.3万元</w:t>
            </w:r>
          </w:p>
        </w:tc>
      </w:tr>
      <w:tr>
        <w:tblPrEx>
          <w:tblCellMar>
            <w:top w:w="0" w:type="dxa"/>
            <w:left w:w="0" w:type="dxa"/>
            <w:bottom w:w="0" w:type="dxa"/>
            <w:right w:w="0" w:type="dxa"/>
          </w:tblCellMar>
        </w:tblPrEx>
        <w:trPr>
          <w:trHeight w:val="1042"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spacing w:line="576" w:lineRule="atLeast"/>
              <w:rPr>
                <w:rFonts w:ascii="仿宋_GB2312" w:hAnsi="仿宋_GB2312" w:eastAsia="仿宋_GB2312"/>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kern w:val="0"/>
                <w:sz w:val="24"/>
              </w:rPr>
              <w:t>效益指标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经济效益</w:t>
            </w:r>
          </w:p>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解决老百姓用水难问题</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p>
        </w:tc>
      </w:tr>
      <w:tr>
        <w:tblPrEx>
          <w:tblCellMar>
            <w:top w:w="0" w:type="dxa"/>
            <w:left w:w="0" w:type="dxa"/>
            <w:bottom w:w="0" w:type="dxa"/>
            <w:right w:w="0" w:type="dxa"/>
          </w:tblCellMar>
        </w:tblPrEx>
        <w:trPr>
          <w:trHeight w:val="1028"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spacing w:line="576" w:lineRule="atLeast"/>
              <w:rPr>
                <w:rFonts w:ascii="仿宋_GB2312" w:hAnsi="仿宋_GB2312" w:eastAsia="仿宋_GB2312"/>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kern w:val="0"/>
                <w:sz w:val="24"/>
              </w:rPr>
              <w:t>效益指标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社会效益</w:t>
            </w:r>
          </w:p>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满足人民群众不断增长的生活需求，提高老百姓生产、生活质量</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p>
        </w:tc>
      </w:tr>
      <w:tr>
        <w:tblPrEx>
          <w:tblCellMar>
            <w:top w:w="0" w:type="dxa"/>
            <w:left w:w="0" w:type="dxa"/>
            <w:bottom w:w="0" w:type="dxa"/>
            <w:right w:w="0" w:type="dxa"/>
          </w:tblCellMar>
        </w:tblPrEx>
        <w:trPr>
          <w:trHeight w:val="782"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spacing w:line="576" w:lineRule="atLeast"/>
              <w:rPr>
                <w:rFonts w:ascii="仿宋_GB2312" w:hAnsi="仿宋_GB2312" w:eastAsia="仿宋_GB2312"/>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kern w:val="0"/>
                <w:sz w:val="24"/>
              </w:rPr>
            </w:pPr>
            <w:r>
              <w:rPr>
                <w:rFonts w:hint="eastAsia" w:ascii="仿宋_GB2312" w:hAnsi="仿宋_GB2312" w:eastAsia="仿宋_GB2312" w:cs="仿宋_GB2312"/>
                <w:color w:val="000000"/>
                <w:kern w:val="0"/>
                <w:sz w:val="24"/>
              </w:rPr>
              <w:t>效益指标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生态效益</w:t>
            </w:r>
          </w:p>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p>
        </w:tc>
      </w:tr>
      <w:tr>
        <w:tblPrEx>
          <w:tblCellMar>
            <w:top w:w="0" w:type="dxa"/>
            <w:left w:w="0" w:type="dxa"/>
            <w:bottom w:w="0" w:type="dxa"/>
            <w:right w:w="0" w:type="dxa"/>
          </w:tblCellMar>
        </w:tblPrEx>
        <w:trPr>
          <w:trHeight w:val="1050"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spacing w:line="576" w:lineRule="atLeast"/>
              <w:rPr>
                <w:rFonts w:ascii="仿宋_GB2312" w:hAnsi="仿宋_GB2312" w:eastAsia="仿宋_GB2312"/>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效益指标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可持续影响指标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为全村经济发展奠定了基础</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p>
        </w:tc>
      </w:tr>
      <w:tr>
        <w:tblPrEx>
          <w:tblCellMar>
            <w:top w:w="0" w:type="dxa"/>
            <w:left w:w="0" w:type="dxa"/>
            <w:bottom w:w="0" w:type="dxa"/>
            <w:right w:w="0" w:type="dxa"/>
          </w:tblCellMar>
        </w:tblPrEx>
        <w:trPr>
          <w:trHeight w:val="1050" w:hRule="atLeast"/>
        </w:trPr>
        <w:tc>
          <w:tcPr>
            <w:tcW w:w="390" w:type="dxa"/>
            <w:tcBorders>
              <w:top w:val="single" w:color="000000" w:sz="4" w:space="0"/>
              <w:left w:val="single" w:color="000000" w:sz="4" w:space="0"/>
              <w:bottom w:val="single" w:color="000000" w:sz="4" w:space="0"/>
              <w:right w:val="single" w:color="000000" w:sz="4" w:space="0"/>
            </w:tcBorders>
            <w:vAlign w:val="center"/>
          </w:tcPr>
          <w:p>
            <w:pPr>
              <w:spacing w:line="576" w:lineRule="atLeast"/>
              <w:rPr>
                <w:rFonts w:ascii="仿宋_GB2312" w:hAnsi="仿宋_GB2312" w:eastAsia="仿宋_GB2312"/>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kern w:val="0"/>
                <w:sz w:val="24"/>
              </w:rPr>
            </w:pPr>
            <w:r>
              <w:rPr>
                <w:rFonts w:hint="eastAsia" w:ascii="仿宋_GB2312" w:hAnsi="仿宋_GB2312" w:eastAsia="仿宋_GB2312" w:cs="仿宋_GB2312"/>
                <w:color w:val="000000"/>
                <w:kern w:val="0"/>
                <w:sz w:val="24"/>
              </w:rPr>
              <w:t>满意度指标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满意度指标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广大农民群众满意度</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ascii="仿宋_GB2312" w:hAnsi="仿宋_GB2312" w:eastAsia="仿宋_GB2312" w:cs="仿宋_GB2312"/>
                <w:color w:val="000000"/>
                <w:kern w:val="0"/>
                <w:sz w:val="22"/>
                <w:szCs w:val="22"/>
              </w:rPr>
              <w:t>100%</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ascii="仿宋_GB2312" w:hAnsi="仿宋_GB2312" w:eastAsia="仿宋_GB2312" w:cs="仿宋_GB2312"/>
                <w:color w:val="000000"/>
                <w:kern w:val="0"/>
                <w:sz w:val="22"/>
                <w:szCs w:val="22"/>
              </w:rPr>
              <w:t>100%</w:t>
            </w:r>
          </w:p>
        </w:tc>
      </w:tr>
      <w:tr>
        <w:tblPrEx>
          <w:tblCellMar>
            <w:top w:w="0" w:type="dxa"/>
            <w:left w:w="0" w:type="dxa"/>
            <w:bottom w:w="0" w:type="dxa"/>
            <w:right w:w="0" w:type="dxa"/>
          </w:tblCellMar>
        </w:tblPrEx>
        <w:trPr>
          <w:trHeight w:val="1034" w:hRule="atLeast"/>
        </w:trPr>
        <w:tc>
          <w:tcPr>
            <w:tcW w:w="9960" w:type="dxa"/>
            <w:gridSpan w:val="6"/>
            <w:tcMar>
              <w:top w:w="15" w:type="dxa"/>
              <w:left w:w="15" w:type="dxa"/>
              <w:bottom w:w="0" w:type="dxa"/>
              <w:right w:w="15" w:type="dxa"/>
            </w:tcMar>
            <w:vAlign w:val="center"/>
          </w:tcPr>
          <w:p>
            <w:pPr>
              <w:pStyle w:val="23"/>
              <w:spacing w:line="576" w:lineRule="atLeast"/>
              <w:ind w:firstLine="0" w:firstLineChars="0"/>
              <w:jc w:val="center"/>
              <w:textAlignment w:val="center"/>
              <w:rPr>
                <w:rFonts w:ascii="黑体" w:hAnsi="黑体" w:eastAsia="黑体" w:cs="黑体"/>
                <w:color w:val="000000"/>
                <w:kern w:val="0"/>
                <w:sz w:val="36"/>
                <w:szCs w:val="36"/>
              </w:rPr>
            </w:pPr>
          </w:p>
          <w:p>
            <w:pPr>
              <w:pStyle w:val="23"/>
              <w:spacing w:line="576" w:lineRule="atLeast"/>
              <w:ind w:firstLine="0" w:firstLineChars="0"/>
              <w:jc w:val="center"/>
              <w:textAlignment w:val="center"/>
              <w:rPr>
                <w:rFonts w:ascii="黑体" w:hAnsi="黑体" w:eastAsia="黑体" w:cs="黑体"/>
                <w:color w:val="000000"/>
                <w:kern w:val="0"/>
                <w:sz w:val="36"/>
                <w:szCs w:val="36"/>
              </w:rPr>
            </w:pPr>
          </w:p>
          <w:p>
            <w:pPr>
              <w:pStyle w:val="23"/>
              <w:spacing w:line="576" w:lineRule="atLeast"/>
              <w:ind w:firstLine="0" w:firstLineChars="0"/>
              <w:jc w:val="center"/>
              <w:textAlignment w:val="center"/>
              <w:rPr>
                <w:rFonts w:ascii="黑体" w:hAnsi="黑体" w:eastAsia="黑体" w:cs="黑体"/>
                <w:color w:val="000000"/>
                <w:kern w:val="0"/>
                <w:sz w:val="36"/>
                <w:szCs w:val="36"/>
              </w:rPr>
            </w:pPr>
          </w:p>
          <w:p>
            <w:pPr>
              <w:pStyle w:val="23"/>
              <w:spacing w:line="576" w:lineRule="atLeast"/>
              <w:ind w:firstLine="0" w:firstLineChars="0"/>
              <w:jc w:val="center"/>
              <w:textAlignment w:val="center"/>
              <w:rPr>
                <w:rFonts w:ascii="黑体" w:hAnsi="黑体" w:eastAsia="黑体" w:cs="黑体"/>
                <w:color w:val="000000"/>
                <w:kern w:val="0"/>
                <w:sz w:val="36"/>
                <w:szCs w:val="36"/>
              </w:rPr>
            </w:pPr>
          </w:p>
          <w:p>
            <w:pPr>
              <w:pStyle w:val="23"/>
              <w:spacing w:line="576" w:lineRule="atLeast"/>
              <w:ind w:firstLine="0" w:firstLineChars="0"/>
              <w:jc w:val="center"/>
              <w:textAlignment w:val="center"/>
              <w:rPr>
                <w:rFonts w:ascii="宋体"/>
                <w:color w:val="000000"/>
                <w:sz w:val="36"/>
                <w:szCs w:val="36"/>
              </w:rPr>
            </w:pPr>
            <w:r>
              <w:rPr>
                <w:rFonts w:hint="eastAsia" w:ascii="黑体" w:hAnsi="黑体" w:eastAsia="黑体" w:cs="黑体"/>
                <w:color w:val="000000"/>
                <w:kern w:val="0"/>
                <w:sz w:val="36"/>
                <w:szCs w:val="36"/>
              </w:rPr>
              <w:t>项目支出绩效目标完成情况表</w:t>
            </w:r>
            <w:r>
              <w:rPr>
                <w:rFonts w:ascii="宋体"/>
                <w:b/>
                <w:bCs/>
                <w:color w:val="000000"/>
                <w:kern w:val="0"/>
                <w:sz w:val="36"/>
                <w:szCs w:val="36"/>
              </w:rPr>
              <w:br w:type="textWrapping"/>
            </w:r>
            <w:r>
              <w:rPr>
                <w:rFonts w:ascii="宋体" w:hAnsi="宋体" w:cs="宋体"/>
                <w:color w:val="000000"/>
                <w:kern w:val="0"/>
                <w:sz w:val="36"/>
                <w:szCs w:val="36"/>
              </w:rPr>
              <w:t>(201</w:t>
            </w:r>
            <w:r>
              <w:rPr>
                <w:rFonts w:hint="eastAsia" w:ascii="宋体" w:hAnsi="宋体" w:cs="宋体"/>
                <w:color w:val="000000"/>
                <w:kern w:val="0"/>
                <w:sz w:val="36"/>
                <w:szCs w:val="36"/>
              </w:rPr>
              <w:t>9年度</w:t>
            </w:r>
            <w:r>
              <w:rPr>
                <w:rFonts w:ascii="宋体" w:hAnsi="宋体" w:cs="宋体"/>
                <w:color w:val="000000"/>
                <w:kern w:val="0"/>
                <w:sz w:val="36"/>
                <w:szCs w:val="36"/>
              </w:rPr>
              <w:t>)</w:t>
            </w:r>
          </w:p>
        </w:tc>
      </w:tr>
      <w:tr>
        <w:tblPrEx>
          <w:tblCellMar>
            <w:top w:w="0" w:type="dxa"/>
            <w:left w:w="0" w:type="dxa"/>
            <w:bottom w:w="0" w:type="dxa"/>
            <w:right w:w="0" w:type="dxa"/>
          </w:tblCellMar>
        </w:tblPrEx>
        <w:trPr>
          <w:trHeight w:val="276" w:hRule="atLeast"/>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kern w:val="0"/>
                <w:sz w:val="24"/>
              </w:rPr>
              <w:t>项目名称</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ascii="仿宋_GB2312" w:hAnsi="仿宋_GB2312" w:eastAsia="仿宋_GB2312" w:cs="仿宋_GB2312"/>
                <w:color w:val="000000"/>
                <w:sz w:val="24"/>
              </w:rPr>
              <w:t>201</w:t>
            </w:r>
            <w:r>
              <w:rPr>
                <w:rFonts w:hint="eastAsia" w:ascii="仿宋_GB2312" w:hAnsi="仿宋_GB2312" w:eastAsia="仿宋_GB2312" w:cs="仿宋_GB2312"/>
                <w:color w:val="000000"/>
                <w:sz w:val="24"/>
              </w:rPr>
              <w:t>9年</w:t>
            </w:r>
            <w:r>
              <w:rPr>
                <w:rFonts w:hint="eastAsia" w:ascii="仿宋_GB2312" w:eastAsia="仿宋_GB2312" w:cs="仿宋_GB2312"/>
                <w:color w:val="000000"/>
                <w:sz w:val="24"/>
              </w:rPr>
              <w:t>新村猕猴桃基地项目</w:t>
            </w:r>
          </w:p>
        </w:tc>
      </w:tr>
      <w:tr>
        <w:tblPrEx>
          <w:tblCellMar>
            <w:top w:w="0" w:type="dxa"/>
            <w:left w:w="0" w:type="dxa"/>
            <w:bottom w:w="0" w:type="dxa"/>
            <w:right w:w="0" w:type="dxa"/>
          </w:tblCellMar>
        </w:tblPrEx>
        <w:trPr>
          <w:trHeight w:val="276" w:hRule="atLeast"/>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kern w:val="0"/>
                <w:sz w:val="24"/>
              </w:rPr>
              <w:t>预算单位</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茂县土门镇人民政府</w:t>
            </w:r>
          </w:p>
        </w:tc>
      </w:tr>
      <w:tr>
        <w:tblPrEx>
          <w:tblCellMar>
            <w:top w:w="0" w:type="dxa"/>
            <w:left w:w="0" w:type="dxa"/>
            <w:bottom w:w="0" w:type="dxa"/>
            <w:right w:w="0" w:type="dxa"/>
          </w:tblCellMar>
        </w:tblPrEx>
        <w:trPr>
          <w:trHeight w:val="276" w:hRule="atLeast"/>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kern w:val="0"/>
                <w:sz w:val="24"/>
              </w:rPr>
              <w:t>预算执行情况</w:t>
            </w:r>
            <w:r>
              <w:rPr>
                <w:rFonts w:ascii="仿宋_GB2312" w:hAnsi="仿宋_GB2312" w:eastAsia="仿宋_GB2312" w:cs="仿宋_GB2312"/>
                <w:color w:val="000000"/>
                <w:kern w:val="0"/>
                <w:sz w:val="24"/>
              </w:rPr>
              <w:t>(</w:t>
            </w:r>
            <w:r>
              <w:rPr>
                <w:rFonts w:hint="eastAsia" w:ascii="仿宋_GB2312" w:hAnsi="仿宋_GB2312" w:eastAsia="仿宋_GB2312" w:cs="仿宋_GB2312"/>
                <w:color w:val="000000"/>
                <w:kern w:val="0"/>
                <w:sz w:val="24"/>
              </w:rPr>
              <w:t>万元</w:t>
            </w:r>
            <w:r>
              <w:rPr>
                <w:rFonts w:ascii="仿宋_GB2312" w:hAnsi="仿宋_GB2312" w:eastAsia="仿宋_GB2312" w:cs="仿宋_GB2312"/>
                <w:color w:val="000000"/>
                <w:kern w:val="0"/>
                <w:sz w:val="24"/>
              </w:rPr>
              <w:t>)</w:t>
            </w: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kern w:val="0"/>
                <w:sz w:val="24"/>
              </w:rPr>
              <w:t>预算数</w:t>
            </w:r>
            <w:r>
              <w:rPr>
                <w:rFonts w:ascii="仿宋_GB2312" w:hAnsi="仿宋_GB2312" w:eastAsia="仿宋_GB2312" w:cs="仿宋_GB2312"/>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87.1</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kern w:val="0"/>
                <w:sz w:val="24"/>
              </w:rPr>
              <w:t>执行数</w:t>
            </w:r>
            <w:r>
              <w:rPr>
                <w:rFonts w:ascii="仿宋_GB2312" w:hAnsi="仿宋_GB2312" w:eastAsia="仿宋_GB2312" w:cs="仿宋_GB2312"/>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87.1</w:t>
            </w:r>
          </w:p>
        </w:tc>
      </w:tr>
      <w:tr>
        <w:tblPrEx>
          <w:tblCellMar>
            <w:top w:w="0" w:type="dxa"/>
            <w:left w:w="0" w:type="dxa"/>
            <w:bottom w:w="0" w:type="dxa"/>
            <w:right w:w="0" w:type="dxa"/>
          </w:tblCellMar>
        </w:tblPrEx>
        <w:trPr>
          <w:trHeight w:val="276"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spacing w:line="576" w:lineRule="atLeast"/>
              <w:rPr>
                <w:rFonts w:ascii="仿宋_GB2312" w:hAnsi="仿宋_GB2312" w:eastAsia="仿宋_GB2312"/>
                <w:color w:val="000000"/>
                <w:sz w:val="24"/>
              </w:rPr>
            </w:p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kern w:val="0"/>
                <w:sz w:val="24"/>
              </w:rPr>
              <w:t>其中</w:t>
            </w:r>
            <w:r>
              <w:rPr>
                <w:rFonts w:ascii="仿宋_GB2312" w:hAnsi="仿宋_GB2312" w:eastAsia="仿宋_GB2312" w:cs="仿宋_GB2312"/>
                <w:color w:val="000000"/>
                <w:kern w:val="0"/>
                <w:sz w:val="24"/>
              </w:rPr>
              <w:t>-</w:t>
            </w:r>
            <w:r>
              <w:rPr>
                <w:rFonts w:hint="eastAsia" w:ascii="仿宋_GB2312" w:hAnsi="仿宋_GB2312" w:eastAsia="仿宋_GB2312" w:cs="仿宋_GB2312"/>
                <w:color w:val="000000"/>
                <w:kern w:val="0"/>
                <w:sz w:val="24"/>
              </w:rPr>
              <w:t>财政拨款</w:t>
            </w:r>
            <w:r>
              <w:rPr>
                <w:rFonts w:ascii="仿宋_GB2312" w:hAnsi="仿宋_GB2312" w:eastAsia="仿宋_GB2312" w:cs="仿宋_GB2312"/>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87.1</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kern w:val="0"/>
                <w:sz w:val="24"/>
              </w:rPr>
              <w:t>其中</w:t>
            </w:r>
            <w:r>
              <w:rPr>
                <w:rFonts w:ascii="仿宋_GB2312" w:hAnsi="仿宋_GB2312" w:eastAsia="仿宋_GB2312" w:cs="仿宋_GB2312"/>
                <w:color w:val="000000"/>
                <w:kern w:val="0"/>
                <w:sz w:val="24"/>
              </w:rPr>
              <w:t>-</w:t>
            </w:r>
            <w:r>
              <w:rPr>
                <w:rFonts w:hint="eastAsia" w:ascii="仿宋_GB2312" w:hAnsi="仿宋_GB2312" w:eastAsia="仿宋_GB2312" w:cs="仿宋_GB2312"/>
                <w:color w:val="000000"/>
                <w:kern w:val="0"/>
                <w:sz w:val="24"/>
              </w:rPr>
              <w:t>财政拨款</w:t>
            </w:r>
            <w:r>
              <w:rPr>
                <w:rFonts w:ascii="仿宋_GB2312" w:hAnsi="仿宋_GB2312" w:eastAsia="仿宋_GB2312" w:cs="仿宋_GB2312"/>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87.1</w:t>
            </w:r>
          </w:p>
        </w:tc>
      </w:tr>
      <w:tr>
        <w:tblPrEx>
          <w:tblCellMar>
            <w:top w:w="0" w:type="dxa"/>
            <w:left w:w="0" w:type="dxa"/>
            <w:bottom w:w="0" w:type="dxa"/>
            <w:right w:w="0" w:type="dxa"/>
          </w:tblCellMar>
        </w:tblPrEx>
        <w:trPr>
          <w:trHeight w:val="1511"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spacing w:line="576" w:lineRule="atLeast"/>
              <w:rPr>
                <w:rFonts w:ascii="仿宋_GB2312" w:hAnsi="仿宋_GB2312" w:eastAsia="仿宋_GB2312"/>
                <w:color w:val="000000"/>
                <w:sz w:val="24"/>
              </w:rPr>
            </w:p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kern w:val="0"/>
                <w:sz w:val="24"/>
              </w:rPr>
              <w:t>其它资金</w:t>
            </w:r>
            <w:r>
              <w:rPr>
                <w:rFonts w:ascii="仿宋_GB2312" w:hAnsi="仿宋_GB2312" w:eastAsia="仿宋_GB2312" w:cs="仿宋_GB2312"/>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ascii="仿宋_GB2312" w:hAnsi="仿宋_GB2312" w:eastAsia="仿宋_GB2312" w:cs="仿宋_GB2312"/>
                <w:color w:val="000000"/>
                <w:kern w:val="0"/>
                <w:sz w:val="24"/>
              </w:rPr>
              <w:t>0</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kern w:val="0"/>
                <w:sz w:val="24"/>
              </w:rPr>
              <w:t>其它资金</w:t>
            </w:r>
            <w:r>
              <w:rPr>
                <w:rFonts w:ascii="仿宋_GB2312" w:hAnsi="仿宋_GB2312" w:eastAsia="仿宋_GB2312" w:cs="仿宋_GB2312"/>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rPr>
                <w:rFonts w:ascii="仿宋_GB2312" w:hAnsi="仿宋_GB2312" w:eastAsia="仿宋_GB2312" w:cs="仿宋_GB2312"/>
                <w:color w:val="000000"/>
                <w:sz w:val="24"/>
              </w:rPr>
            </w:pPr>
            <w:r>
              <w:rPr>
                <w:rFonts w:ascii="仿宋_GB2312" w:hAnsi="仿宋_GB2312" w:eastAsia="仿宋_GB2312" w:cs="仿宋_GB2312"/>
                <w:color w:val="000000"/>
                <w:sz w:val="24"/>
              </w:rPr>
              <w:t>0</w:t>
            </w:r>
          </w:p>
        </w:tc>
      </w:tr>
      <w:tr>
        <w:tblPrEx>
          <w:tblCellMar>
            <w:top w:w="0" w:type="dxa"/>
            <w:left w:w="0" w:type="dxa"/>
            <w:bottom w:w="0" w:type="dxa"/>
            <w:right w:w="0" w:type="dxa"/>
          </w:tblCellMar>
        </w:tblPrEx>
        <w:trPr>
          <w:trHeight w:val="283" w:hRule="atLeast"/>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p>
          <w:p>
            <w:pPr>
              <w:spacing w:line="576" w:lineRule="atLeast"/>
              <w:textAlignment w:val="center"/>
              <w:rPr>
                <w:rFonts w:ascii="仿宋_GB2312" w:hAnsi="仿宋_GB2312" w:eastAsia="仿宋_GB2312"/>
                <w:color w:val="000000"/>
                <w:sz w:val="24"/>
              </w:rPr>
            </w:pPr>
          </w:p>
        </w:tc>
        <w:tc>
          <w:tcPr>
            <w:tcW w:w="4784"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kern w:val="0"/>
                <w:sz w:val="24"/>
              </w:rPr>
              <w:t>预期目标</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kern w:val="0"/>
                <w:sz w:val="24"/>
              </w:rPr>
              <w:t>实际完成目标</w:t>
            </w:r>
          </w:p>
        </w:tc>
      </w:tr>
      <w:tr>
        <w:tblPrEx>
          <w:tblCellMar>
            <w:top w:w="0" w:type="dxa"/>
            <w:left w:w="0" w:type="dxa"/>
            <w:bottom w:w="0" w:type="dxa"/>
            <w:right w:w="0" w:type="dxa"/>
          </w:tblCellMar>
        </w:tblPrEx>
        <w:trPr>
          <w:trHeight w:val="283"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spacing w:line="576" w:lineRule="atLeast"/>
              <w:rPr>
                <w:rFonts w:ascii="仿宋_GB2312" w:hAnsi="仿宋_GB2312" w:eastAsia="仿宋_GB2312"/>
                <w:color w:val="000000"/>
                <w:sz w:val="24"/>
              </w:rPr>
            </w:pPr>
          </w:p>
        </w:tc>
        <w:tc>
          <w:tcPr>
            <w:tcW w:w="4784"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ascii="仿宋_GB2312" w:hAnsi="仿宋_GB2312" w:eastAsia="仿宋_GB2312" w:cs="仿宋_GB2312"/>
                <w:color w:val="000000"/>
                <w:sz w:val="24"/>
              </w:rPr>
              <w:t>201</w:t>
            </w:r>
            <w:r>
              <w:rPr>
                <w:rFonts w:hint="eastAsia" w:ascii="仿宋_GB2312" w:hAnsi="仿宋_GB2312" w:eastAsia="仿宋_GB2312" w:cs="仿宋_GB2312"/>
                <w:color w:val="000000"/>
                <w:sz w:val="24"/>
              </w:rPr>
              <w:t>9年</w:t>
            </w:r>
            <w:r>
              <w:rPr>
                <w:rFonts w:hint="eastAsia" w:ascii="仿宋_GB2312" w:eastAsia="仿宋_GB2312" w:cs="仿宋_GB2312"/>
                <w:color w:val="000000"/>
                <w:sz w:val="24"/>
              </w:rPr>
              <w:t>新村猕猴桃基地项目</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完成基地建设</w:t>
            </w:r>
          </w:p>
        </w:tc>
      </w:tr>
      <w:tr>
        <w:tblPrEx>
          <w:tblCellMar>
            <w:top w:w="0" w:type="dxa"/>
            <w:left w:w="0" w:type="dxa"/>
            <w:bottom w:w="0" w:type="dxa"/>
            <w:right w:w="0" w:type="dxa"/>
          </w:tblCellMar>
        </w:tblPrEx>
        <w:trPr>
          <w:trHeight w:val="1042" w:hRule="atLeast"/>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绩效指标完成情况</w:t>
            </w: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kern w:val="0"/>
                <w:sz w:val="24"/>
              </w:rPr>
              <w:t>一级指标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kern w:val="0"/>
                <w:sz w:val="24"/>
              </w:rPr>
              <w:t>二级指标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kern w:val="0"/>
                <w:sz w:val="24"/>
              </w:rPr>
              <w:t>三级指标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kern w:val="0"/>
                <w:sz w:val="24"/>
              </w:rPr>
              <w:t>预期指标值</w:t>
            </w:r>
            <w:r>
              <w:rPr>
                <w:rFonts w:ascii="仿宋_GB2312" w:hAnsi="仿宋_GB2312" w:eastAsia="仿宋_GB2312" w:cs="仿宋_GB2312"/>
                <w:color w:val="000000"/>
                <w:kern w:val="0"/>
                <w:sz w:val="24"/>
              </w:rPr>
              <w:t>(</w:t>
            </w:r>
            <w:r>
              <w:rPr>
                <w:rFonts w:hint="eastAsia" w:ascii="仿宋_GB2312" w:hAnsi="仿宋_GB2312" w:eastAsia="仿宋_GB2312" w:cs="仿宋_GB2312"/>
                <w:color w:val="000000"/>
                <w:kern w:val="0"/>
                <w:sz w:val="24"/>
              </w:rPr>
              <w:t>包含数字及文字描述</w:t>
            </w:r>
            <w:r>
              <w:rPr>
                <w:rFonts w:ascii="仿宋_GB2312" w:hAnsi="仿宋_GB2312" w:eastAsia="仿宋_GB2312" w:cs="仿宋_GB2312"/>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kern w:val="0"/>
                <w:sz w:val="24"/>
              </w:rPr>
              <w:t>实际完成指标值</w:t>
            </w:r>
            <w:r>
              <w:rPr>
                <w:rFonts w:ascii="仿宋_GB2312" w:hAnsi="仿宋_GB2312" w:eastAsia="仿宋_GB2312" w:cs="仿宋_GB2312"/>
                <w:color w:val="000000"/>
                <w:kern w:val="0"/>
                <w:sz w:val="24"/>
              </w:rPr>
              <w:t>(</w:t>
            </w:r>
            <w:r>
              <w:rPr>
                <w:rFonts w:hint="eastAsia" w:ascii="仿宋_GB2312" w:hAnsi="仿宋_GB2312" w:eastAsia="仿宋_GB2312" w:cs="仿宋_GB2312"/>
                <w:color w:val="000000"/>
                <w:kern w:val="0"/>
                <w:sz w:val="24"/>
              </w:rPr>
              <w:t>包含数字及文字描述</w:t>
            </w:r>
            <w:r>
              <w:rPr>
                <w:rFonts w:ascii="仿宋_GB2312" w:hAnsi="仿宋_GB2312" w:eastAsia="仿宋_GB2312" w:cs="仿宋_GB2312"/>
                <w:color w:val="000000"/>
                <w:kern w:val="0"/>
                <w:sz w:val="24"/>
              </w:rPr>
              <w:t>)</w:t>
            </w:r>
          </w:p>
        </w:tc>
      </w:tr>
      <w:tr>
        <w:tblPrEx>
          <w:tblCellMar>
            <w:top w:w="0" w:type="dxa"/>
            <w:left w:w="0" w:type="dxa"/>
            <w:bottom w:w="0" w:type="dxa"/>
            <w:right w:w="0" w:type="dxa"/>
          </w:tblCellMar>
        </w:tblPrEx>
        <w:trPr>
          <w:trHeight w:val="953"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spacing w:line="576" w:lineRule="atLeast"/>
              <w:rPr>
                <w:rFonts w:ascii="仿宋_GB2312" w:hAnsi="仿宋_GB2312" w:eastAsia="仿宋_GB2312"/>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数量指标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建设新村猕猴桃基地</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87.1万元</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87.1万元</w:t>
            </w:r>
          </w:p>
        </w:tc>
      </w:tr>
      <w:tr>
        <w:tblPrEx>
          <w:tblCellMar>
            <w:top w:w="0" w:type="dxa"/>
            <w:left w:w="0" w:type="dxa"/>
            <w:bottom w:w="0" w:type="dxa"/>
            <w:right w:w="0" w:type="dxa"/>
          </w:tblCellMar>
        </w:tblPrEx>
        <w:trPr>
          <w:trHeight w:val="1297"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spacing w:line="576" w:lineRule="atLeast"/>
              <w:rPr>
                <w:rFonts w:ascii="仿宋_GB2312" w:hAnsi="仿宋_GB2312" w:eastAsia="仿宋_GB2312"/>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质量指标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项目验收合格</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s="仿宋_GB2312"/>
                <w:color w:val="000000"/>
                <w:sz w:val="24"/>
              </w:rPr>
            </w:pPr>
            <w:r>
              <w:rPr>
                <w:rFonts w:ascii="仿宋_GB2312" w:hAnsi="仿宋_GB2312" w:eastAsia="仿宋_GB2312" w:cs="仿宋_GB2312"/>
                <w:color w:val="000000"/>
                <w:sz w:val="24"/>
              </w:rPr>
              <w:t>100%</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s="仿宋_GB2312"/>
                <w:color w:val="000000"/>
                <w:sz w:val="24"/>
              </w:rPr>
            </w:pPr>
            <w:r>
              <w:rPr>
                <w:rFonts w:ascii="仿宋_GB2312" w:hAnsi="仿宋_GB2312" w:eastAsia="仿宋_GB2312" w:cs="仿宋_GB2312"/>
                <w:color w:val="000000"/>
                <w:sz w:val="24"/>
              </w:rPr>
              <w:t>100%</w:t>
            </w:r>
          </w:p>
        </w:tc>
      </w:tr>
      <w:tr>
        <w:tblPrEx>
          <w:tblCellMar>
            <w:top w:w="0" w:type="dxa"/>
            <w:left w:w="0" w:type="dxa"/>
            <w:bottom w:w="0" w:type="dxa"/>
            <w:right w:w="0" w:type="dxa"/>
          </w:tblCellMar>
        </w:tblPrEx>
        <w:trPr>
          <w:trHeight w:val="1042"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spacing w:line="576" w:lineRule="atLeast"/>
              <w:rPr>
                <w:rFonts w:ascii="仿宋_GB2312" w:hAnsi="仿宋_GB2312" w:eastAsia="仿宋_GB2312"/>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时效指标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项目完成及时率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s="仿宋_GB2312"/>
                <w:color w:val="000000"/>
                <w:sz w:val="24"/>
              </w:rPr>
            </w:pPr>
            <w:r>
              <w:rPr>
                <w:rFonts w:ascii="仿宋_GB2312" w:hAnsi="仿宋_GB2312" w:eastAsia="仿宋_GB2312" w:cs="仿宋_GB2312"/>
                <w:color w:val="000000"/>
                <w:sz w:val="24"/>
              </w:rPr>
              <w:t>100%</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s="仿宋_GB2312"/>
                <w:color w:val="000000"/>
                <w:sz w:val="24"/>
              </w:rPr>
            </w:pPr>
            <w:r>
              <w:rPr>
                <w:rFonts w:ascii="仿宋_GB2312" w:hAnsi="仿宋_GB2312" w:eastAsia="仿宋_GB2312" w:cs="仿宋_GB2312"/>
                <w:color w:val="000000"/>
                <w:sz w:val="24"/>
              </w:rPr>
              <w:t>100%</w:t>
            </w:r>
          </w:p>
        </w:tc>
      </w:tr>
      <w:tr>
        <w:tblPrEx>
          <w:tblCellMar>
            <w:top w:w="0" w:type="dxa"/>
            <w:left w:w="0" w:type="dxa"/>
            <w:bottom w:w="0" w:type="dxa"/>
            <w:right w:w="0" w:type="dxa"/>
          </w:tblCellMar>
        </w:tblPrEx>
        <w:trPr>
          <w:trHeight w:val="1042"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spacing w:line="576" w:lineRule="atLeast"/>
              <w:rPr>
                <w:rFonts w:ascii="仿宋_GB2312" w:hAnsi="仿宋_GB2312" w:eastAsia="仿宋_GB2312"/>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kern w:val="0"/>
                <w:sz w:val="24"/>
              </w:rPr>
            </w:pPr>
            <w:r>
              <w:rPr>
                <w:rFonts w:hint="eastAsia" w:ascii="仿宋_GB2312" w:hAnsi="仿宋_GB2312" w:eastAsia="仿宋_GB2312" w:cs="仿宋_GB2312"/>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成本指标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购买种苗、建设基础设施</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87.1万元</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87.1万元</w:t>
            </w:r>
          </w:p>
        </w:tc>
      </w:tr>
      <w:tr>
        <w:tblPrEx>
          <w:tblCellMar>
            <w:top w:w="0" w:type="dxa"/>
            <w:left w:w="0" w:type="dxa"/>
            <w:bottom w:w="0" w:type="dxa"/>
            <w:right w:w="0" w:type="dxa"/>
          </w:tblCellMar>
        </w:tblPrEx>
        <w:trPr>
          <w:trHeight w:val="1042"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spacing w:line="576" w:lineRule="atLeast"/>
              <w:rPr>
                <w:rFonts w:ascii="仿宋_GB2312" w:hAnsi="仿宋_GB2312" w:eastAsia="仿宋_GB2312"/>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p>
        </w:tc>
      </w:tr>
      <w:tr>
        <w:tblPrEx>
          <w:tblCellMar>
            <w:top w:w="0" w:type="dxa"/>
            <w:left w:w="0" w:type="dxa"/>
            <w:bottom w:w="0" w:type="dxa"/>
            <w:right w:w="0" w:type="dxa"/>
          </w:tblCellMar>
        </w:tblPrEx>
        <w:trPr>
          <w:trHeight w:val="1042"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spacing w:line="576" w:lineRule="atLeast"/>
              <w:rPr>
                <w:rFonts w:ascii="仿宋_GB2312" w:hAnsi="仿宋_GB2312" w:eastAsia="仿宋_GB2312"/>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kern w:val="0"/>
                <w:sz w:val="24"/>
              </w:rPr>
              <w:t>效益指标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经济效益</w:t>
            </w:r>
          </w:p>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olor w:val="000000"/>
                <w:sz w:val="24"/>
              </w:rPr>
              <w:t>改善产业结构</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p>
        </w:tc>
      </w:tr>
      <w:tr>
        <w:tblPrEx>
          <w:tblCellMar>
            <w:top w:w="0" w:type="dxa"/>
            <w:left w:w="0" w:type="dxa"/>
            <w:bottom w:w="0" w:type="dxa"/>
            <w:right w:w="0" w:type="dxa"/>
          </w:tblCellMar>
        </w:tblPrEx>
        <w:trPr>
          <w:trHeight w:val="1297"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spacing w:line="576" w:lineRule="atLeast"/>
              <w:rPr>
                <w:rFonts w:ascii="仿宋_GB2312" w:hAnsi="仿宋_GB2312" w:eastAsia="仿宋_GB2312"/>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kern w:val="0"/>
                <w:sz w:val="24"/>
              </w:rPr>
              <w:t>效益指标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社会效益</w:t>
            </w:r>
          </w:p>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满足人民群众不断增长的生活需求，提高人居环境生活质量</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p>
        </w:tc>
      </w:tr>
      <w:tr>
        <w:tblPrEx>
          <w:tblCellMar>
            <w:top w:w="0" w:type="dxa"/>
            <w:left w:w="0" w:type="dxa"/>
            <w:bottom w:w="0" w:type="dxa"/>
            <w:right w:w="0" w:type="dxa"/>
          </w:tblCellMar>
        </w:tblPrEx>
        <w:trPr>
          <w:trHeight w:val="1297"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spacing w:line="576" w:lineRule="atLeast"/>
              <w:rPr>
                <w:rFonts w:ascii="仿宋_GB2312" w:hAnsi="仿宋_GB2312" w:eastAsia="仿宋_GB2312"/>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kern w:val="0"/>
                <w:sz w:val="24"/>
              </w:rPr>
            </w:pPr>
            <w:r>
              <w:rPr>
                <w:rFonts w:hint="eastAsia" w:ascii="仿宋_GB2312" w:hAnsi="仿宋_GB2312" w:eastAsia="仿宋_GB2312" w:cs="仿宋_GB2312"/>
                <w:color w:val="000000"/>
                <w:kern w:val="0"/>
                <w:sz w:val="24"/>
              </w:rPr>
              <w:t>效益指标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生态效益</w:t>
            </w:r>
          </w:p>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提高新村老百姓生活环境</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p>
        </w:tc>
      </w:tr>
      <w:tr>
        <w:tblPrEx>
          <w:tblCellMar>
            <w:top w:w="0" w:type="dxa"/>
            <w:left w:w="0" w:type="dxa"/>
            <w:bottom w:w="0" w:type="dxa"/>
            <w:right w:w="0" w:type="dxa"/>
          </w:tblCellMar>
        </w:tblPrEx>
        <w:trPr>
          <w:trHeight w:val="1050"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spacing w:line="576" w:lineRule="atLeast"/>
              <w:rPr>
                <w:rFonts w:ascii="仿宋_GB2312" w:hAnsi="仿宋_GB2312" w:eastAsia="仿宋_GB2312"/>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效益指标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可持续影响指标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为全村老百姓脱贫致富奠定了基础</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p>
        </w:tc>
      </w:tr>
      <w:tr>
        <w:tblPrEx>
          <w:tblCellMar>
            <w:top w:w="0" w:type="dxa"/>
            <w:left w:w="0" w:type="dxa"/>
            <w:bottom w:w="0" w:type="dxa"/>
            <w:right w:w="0" w:type="dxa"/>
          </w:tblCellMar>
        </w:tblPrEx>
        <w:trPr>
          <w:trHeight w:val="1050" w:hRule="atLeast"/>
        </w:trPr>
        <w:tc>
          <w:tcPr>
            <w:tcW w:w="390" w:type="dxa"/>
            <w:tcBorders>
              <w:top w:val="single" w:color="000000" w:sz="4" w:space="0"/>
              <w:left w:val="single" w:color="000000" w:sz="4" w:space="0"/>
              <w:bottom w:val="single" w:color="000000" w:sz="4" w:space="0"/>
              <w:right w:val="single" w:color="000000" w:sz="4" w:space="0"/>
            </w:tcBorders>
            <w:vAlign w:val="center"/>
          </w:tcPr>
          <w:p>
            <w:pPr>
              <w:spacing w:line="576" w:lineRule="atLeast"/>
              <w:rPr>
                <w:rFonts w:ascii="仿宋_GB2312" w:hAnsi="仿宋_GB2312" w:eastAsia="仿宋_GB2312"/>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kern w:val="0"/>
                <w:sz w:val="24"/>
              </w:rPr>
            </w:pPr>
            <w:r>
              <w:rPr>
                <w:rFonts w:hint="eastAsia" w:ascii="仿宋_GB2312" w:hAnsi="仿宋_GB2312" w:eastAsia="仿宋_GB2312" w:cs="仿宋_GB2312"/>
                <w:color w:val="000000"/>
                <w:kern w:val="0"/>
                <w:sz w:val="24"/>
              </w:rPr>
              <w:t>满意度指标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满意度指标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广大农民群众满意度</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ascii="仿宋_GB2312" w:hAnsi="仿宋_GB2312" w:eastAsia="仿宋_GB2312" w:cs="仿宋_GB2312"/>
                <w:color w:val="000000"/>
                <w:kern w:val="0"/>
                <w:sz w:val="22"/>
                <w:szCs w:val="22"/>
              </w:rPr>
              <w:t>100%</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ascii="仿宋_GB2312" w:hAnsi="仿宋_GB2312" w:eastAsia="仿宋_GB2312" w:cs="仿宋_GB2312"/>
                <w:color w:val="000000"/>
                <w:kern w:val="0"/>
                <w:sz w:val="22"/>
                <w:szCs w:val="22"/>
              </w:rPr>
              <w:t>100%</w:t>
            </w:r>
          </w:p>
        </w:tc>
      </w:tr>
    </w:tbl>
    <w:p>
      <w:pPr>
        <w:spacing w:line="576" w:lineRule="atLeast"/>
        <w:rPr>
          <w:rFonts w:ascii="仿宋_GB2312" w:hAnsi="仿宋_GB2312" w:eastAsia="仿宋_GB2312"/>
          <w:sz w:val="32"/>
          <w:szCs w:val="32"/>
        </w:rPr>
      </w:pPr>
    </w:p>
    <w:p>
      <w:pPr>
        <w:spacing w:line="576" w:lineRule="atLeast"/>
        <w:rPr>
          <w:rFonts w:ascii="仿宋_GB2312" w:hAnsi="仿宋_GB2312" w:eastAsia="仿宋_GB2312"/>
          <w:sz w:val="32"/>
          <w:szCs w:val="32"/>
        </w:rPr>
      </w:pPr>
    </w:p>
    <w:p>
      <w:pPr>
        <w:spacing w:line="576" w:lineRule="atLeast"/>
        <w:rPr>
          <w:rFonts w:ascii="仿宋_GB2312" w:hAnsi="仿宋_GB2312" w:eastAsia="仿宋_GB2312"/>
          <w:sz w:val="32"/>
          <w:szCs w:val="32"/>
        </w:rPr>
      </w:pPr>
    </w:p>
    <w:p>
      <w:pPr>
        <w:spacing w:line="576" w:lineRule="atLeast"/>
        <w:rPr>
          <w:rFonts w:ascii="仿宋_GB2312" w:hAnsi="仿宋_GB2312" w:eastAsia="仿宋_GB2312"/>
          <w:sz w:val="32"/>
          <w:szCs w:val="32"/>
        </w:rPr>
      </w:pPr>
    </w:p>
    <w:p>
      <w:pPr>
        <w:spacing w:line="576" w:lineRule="atLeast"/>
        <w:rPr>
          <w:rFonts w:ascii="仿宋_GB2312" w:hAnsi="仿宋_GB2312" w:eastAsia="仿宋_GB2312"/>
          <w:sz w:val="32"/>
          <w:szCs w:val="32"/>
        </w:rPr>
      </w:pPr>
    </w:p>
    <w:p>
      <w:pPr>
        <w:spacing w:line="576" w:lineRule="atLeast"/>
        <w:rPr>
          <w:rFonts w:ascii="仿宋_GB2312" w:hAnsi="仿宋_GB2312" w:eastAsia="仿宋_GB2312"/>
          <w:sz w:val="32"/>
          <w:szCs w:val="32"/>
        </w:rPr>
      </w:pPr>
    </w:p>
    <w:p>
      <w:pPr>
        <w:spacing w:line="576" w:lineRule="atLeast"/>
        <w:rPr>
          <w:rFonts w:ascii="仿宋_GB2312" w:hAnsi="仿宋_GB2312" w:eastAsia="仿宋_GB2312"/>
          <w:sz w:val="32"/>
          <w:szCs w:val="32"/>
        </w:rPr>
      </w:pPr>
    </w:p>
    <w:tbl>
      <w:tblPr>
        <w:tblStyle w:val="12"/>
        <w:tblpPr w:leftFromText="180" w:rightFromText="180" w:vertAnchor="text" w:horzAnchor="page" w:tblpXSpec="center" w:tblpY="423"/>
        <w:tblOverlap w:val="never"/>
        <w:tblW w:w="9960" w:type="dxa"/>
        <w:tblInd w:w="0" w:type="dxa"/>
        <w:tblLayout w:type="fixed"/>
        <w:tblCellMar>
          <w:top w:w="0" w:type="dxa"/>
          <w:left w:w="0" w:type="dxa"/>
          <w:bottom w:w="0" w:type="dxa"/>
          <w:right w:w="0" w:type="dxa"/>
        </w:tblCellMar>
      </w:tblPr>
      <w:tblGrid>
        <w:gridCol w:w="390"/>
        <w:gridCol w:w="1367"/>
        <w:gridCol w:w="1025"/>
        <w:gridCol w:w="2392"/>
        <w:gridCol w:w="2394"/>
        <w:gridCol w:w="2392"/>
      </w:tblGrid>
      <w:tr>
        <w:tblPrEx>
          <w:tblCellMar>
            <w:top w:w="0" w:type="dxa"/>
            <w:left w:w="0" w:type="dxa"/>
            <w:bottom w:w="0" w:type="dxa"/>
            <w:right w:w="0" w:type="dxa"/>
          </w:tblCellMar>
        </w:tblPrEx>
        <w:trPr>
          <w:trHeight w:val="1034" w:hRule="atLeast"/>
        </w:trPr>
        <w:tc>
          <w:tcPr>
            <w:tcW w:w="9960" w:type="dxa"/>
            <w:gridSpan w:val="6"/>
            <w:tcMar>
              <w:top w:w="15" w:type="dxa"/>
              <w:left w:w="15" w:type="dxa"/>
              <w:bottom w:w="0" w:type="dxa"/>
              <w:right w:w="15" w:type="dxa"/>
            </w:tcMar>
            <w:vAlign w:val="center"/>
          </w:tcPr>
          <w:p>
            <w:pPr>
              <w:pStyle w:val="23"/>
              <w:spacing w:line="576" w:lineRule="atLeast"/>
              <w:ind w:firstLine="0" w:firstLineChars="0"/>
              <w:jc w:val="center"/>
              <w:textAlignment w:val="center"/>
              <w:rPr>
                <w:rFonts w:ascii="宋体"/>
                <w:color w:val="000000"/>
                <w:sz w:val="36"/>
                <w:szCs w:val="36"/>
              </w:rPr>
            </w:pPr>
            <w:r>
              <w:rPr>
                <w:rFonts w:hint="eastAsia" w:ascii="黑体" w:hAnsi="黑体" w:eastAsia="黑体" w:cs="黑体"/>
                <w:color w:val="000000"/>
                <w:kern w:val="0"/>
                <w:sz w:val="36"/>
                <w:szCs w:val="36"/>
              </w:rPr>
              <w:t>项目支出绩效目标完成情况表</w:t>
            </w:r>
            <w:r>
              <w:rPr>
                <w:rFonts w:ascii="宋体"/>
                <w:b/>
                <w:bCs/>
                <w:color w:val="000000"/>
                <w:kern w:val="0"/>
                <w:sz w:val="36"/>
                <w:szCs w:val="36"/>
              </w:rPr>
              <w:br w:type="textWrapping"/>
            </w:r>
            <w:r>
              <w:rPr>
                <w:rFonts w:ascii="宋体" w:hAnsi="宋体" w:cs="宋体"/>
                <w:color w:val="000000"/>
                <w:kern w:val="0"/>
                <w:sz w:val="36"/>
                <w:szCs w:val="36"/>
              </w:rPr>
              <w:t>(201</w:t>
            </w:r>
            <w:r>
              <w:rPr>
                <w:rFonts w:hint="eastAsia" w:ascii="宋体" w:hAnsi="宋体" w:cs="宋体"/>
                <w:color w:val="000000"/>
                <w:kern w:val="0"/>
                <w:sz w:val="36"/>
                <w:szCs w:val="36"/>
              </w:rPr>
              <w:t>9年度</w:t>
            </w:r>
            <w:r>
              <w:rPr>
                <w:rFonts w:ascii="宋体" w:hAnsi="宋体" w:cs="宋体"/>
                <w:color w:val="000000"/>
                <w:kern w:val="0"/>
                <w:sz w:val="36"/>
                <w:szCs w:val="36"/>
              </w:rPr>
              <w:t>)</w:t>
            </w:r>
          </w:p>
        </w:tc>
      </w:tr>
      <w:tr>
        <w:tblPrEx>
          <w:tblCellMar>
            <w:top w:w="0" w:type="dxa"/>
            <w:left w:w="0" w:type="dxa"/>
            <w:bottom w:w="0" w:type="dxa"/>
            <w:right w:w="0" w:type="dxa"/>
          </w:tblCellMar>
        </w:tblPrEx>
        <w:trPr>
          <w:trHeight w:val="276" w:hRule="atLeast"/>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kern w:val="0"/>
                <w:sz w:val="24"/>
              </w:rPr>
              <w:t>项目名称</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ascii="仿宋_GB2312" w:hAnsi="仿宋_GB2312" w:eastAsia="仿宋_GB2312" w:cs="仿宋_GB2312"/>
                <w:color w:val="000000"/>
                <w:sz w:val="24"/>
              </w:rPr>
              <w:t>201</w:t>
            </w:r>
            <w:r>
              <w:rPr>
                <w:rFonts w:hint="eastAsia" w:ascii="仿宋_GB2312" w:hAnsi="仿宋_GB2312" w:eastAsia="仿宋_GB2312" w:cs="仿宋_GB2312"/>
                <w:color w:val="000000"/>
                <w:sz w:val="24"/>
              </w:rPr>
              <w:t>9年</w:t>
            </w:r>
            <w:r>
              <w:rPr>
                <w:rFonts w:hint="eastAsia" w:ascii="仿宋_GB2312" w:eastAsia="仿宋_GB2312" w:cs="仿宋_GB2312"/>
                <w:color w:val="000000"/>
                <w:sz w:val="24"/>
              </w:rPr>
              <w:t>万安村桥梁建设及堡坎建设项目</w:t>
            </w:r>
          </w:p>
        </w:tc>
      </w:tr>
      <w:tr>
        <w:tblPrEx>
          <w:tblCellMar>
            <w:top w:w="0" w:type="dxa"/>
            <w:left w:w="0" w:type="dxa"/>
            <w:bottom w:w="0" w:type="dxa"/>
            <w:right w:w="0" w:type="dxa"/>
          </w:tblCellMar>
        </w:tblPrEx>
        <w:trPr>
          <w:trHeight w:val="276" w:hRule="atLeast"/>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kern w:val="0"/>
                <w:sz w:val="24"/>
              </w:rPr>
              <w:t>预算单位</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茂县土门镇人民政府</w:t>
            </w:r>
          </w:p>
        </w:tc>
      </w:tr>
      <w:tr>
        <w:tblPrEx>
          <w:tblCellMar>
            <w:top w:w="0" w:type="dxa"/>
            <w:left w:w="0" w:type="dxa"/>
            <w:bottom w:w="0" w:type="dxa"/>
            <w:right w:w="0" w:type="dxa"/>
          </w:tblCellMar>
        </w:tblPrEx>
        <w:trPr>
          <w:trHeight w:val="57" w:hRule="atLeast"/>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p>
          <w:p>
            <w:pPr>
              <w:spacing w:line="576" w:lineRule="atLeast"/>
              <w:textAlignment w:val="center"/>
              <w:rPr>
                <w:rFonts w:ascii="仿宋_GB2312" w:hAnsi="仿宋_GB2312" w:eastAsia="仿宋_GB2312"/>
                <w:color w:val="000000"/>
                <w:sz w:val="24"/>
              </w:rPr>
            </w:p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kern w:val="0"/>
                <w:sz w:val="24"/>
              </w:rPr>
              <w:t>预算数</w:t>
            </w:r>
            <w:r>
              <w:rPr>
                <w:rFonts w:ascii="仿宋_GB2312" w:hAnsi="仿宋_GB2312" w:eastAsia="仿宋_GB2312" w:cs="仿宋_GB2312"/>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4.74万元</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kern w:val="0"/>
                <w:sz w:val="24"/>
              </w:rPr>
              <w:t>执行数</w:t>
            </w:r>
            <w:r>
              <w:rPr>
                <w:rFonts w:ascii="仿宋_GB2312" w:hAnsi="仿宋_GB2312" w:eastAsia="仿宋_GB2312" w:cs="仿宋_GB2312"/>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4.74万元</w:t>
            </w:r>
          </w:p>
        </w:tc>
      </w:tr>
      <w:tr>
        <w:tblPrEx>
          <w:tblCellMar>
            <w:top w:w="0" w:type="dxa"/>
            <w:left w:w="0" w:type="dxa"/>
            <w:bottom w:w="0" w:type="dxa"/>
            <w:right w:w="0" w:type="dxa"/>
          </w:tblCellMar>
        </w:tblPrEx>
        <w:trPr>
          <w:trHeight w:val="57"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spacing w:line="576" w:lineRule="atLeast"/>
              <w:rPr>
                <w:rFonts w:ascii="仿宋_GB2312" w:hAnsi="仿宋_GB2312" w:eastAsia="仿宋_GB2312"/>
                <w:color w:val="000000"/>
                <w:sz w:val="24"/>
              </w:rPr>
            </w:p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kern w:val="0"/>
                <w:sz w:val="24"/>
              </w:rPr>
              <w:t>其中</w:t>
            </w:r>
            <w:r>
              <w:rPr>
                <w:rFonts w:ascii="仿宋_GB2312" w:hAnsi="仿宋_GB2312" w:eastAsia="仿宋_GB2312" w:cs="仿宋_GB2312"/>
                <w:color w:val="000000"/>
                <w:kern w:val="0"/>
                <w:sz w:val="24"/>
              </w:rPr>
              <w:t>-</w:t>
            </w:r>
            <w:r>
              <w:rPr>
                <w:rFonts w:hint="eastAsia" w:ascii="仿宋_GB2312" w:hAnsi="仿宋_GB2312" w:eastAsia="仿宋_GB2312" w:cs="仿宋_GB2312"/>
                <w:color w:val="000000"/>
                <w:kern w:val="0"/>
                <w:sz w:val="24"/>
              </w:rPr>
              <w:t>财政拨款</w:t>
            </w:r>
            <w:r>
              <w:rPr>
                <w:rFonts w:ascii="仿宋_GB2312" w:hAnsi="仿宋_GB2312" w:eastAsia="仿宋_GB2312" w:cs="仿宋_GB2312"/>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4.74万元</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kern w:val="0"/>
                <w:sz w:val="24"/>
              </w:rPr>
              <w:t>其中</w:t>
            </w:r>
            <w:r>
              <w:rPr>
                <w:rFonts w:ascii="仿宋_GB2312" w:hAnsi="仿宋_GB2312" w:eastAsia="仿宋_GB2312" w:cs="仿宋_GB2312"/>
                <w:color w:val="000000"/>
                <w:kern w:val="0"/>
                <w:sz w:val="24"/>
              </w:rPr>
              <w:t>-</w:t>
            </w:r>
            <w:r>
              <w:rPr>
                <w:rFonts w:hint="eastAsia" w:ascii="仿宋_GB2312" w:hAnsi="仿宋_GB2312" w:eastAsia="仿宋_GB2312" w:cs="仿宋_GB2312"/>
                <w:color w:val="000000"/>
                <w:kern w:val="0"/>
                <w:sz w:val="24"/>
              </w:rPr>
              <w:t>财政拨款</w:t>
            </w:r>
            <w:r>
              <w:rPr>
                <w:rFonts w:ascii="仿宋_GB2312" w:hAnsi="仿宋_GB2312" w:eastAsia="仿宋_GB2312" w:cs="仿宋_GB2312"/>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4.74万元</w:t>
            </w:r>
          </w:p>
        </w:tc>
      </w:tr>
      <w:tr>
        <w:tblPrEx>
          <w:tblCellMar>
            <w:top w:w="0" w:type="dxa"/>
            <w:left w:w="0" w:type="dxa"/>
            <w:bottom w:w="0" w:type="dxa"/>
            <w:right w:w="0" w:type="dxa"/>
          </w:tblCellMar>
        </w:tblPrEx>
        <w:trPr>
          <w:trHeight w:val="57"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spacing w:line="576" w:lineRule="atLeast"/>
              <w:rPr>
                <w:rFonts w:ascii="仿宋_GB2312" w:hAnsi="仿宋_GB2312" w:eastAsia="仿宋_GB2312"/>
                <w:color w:val="000000"/>
                <w:sz w:val="24"/>
              </w:rPr>
            </w:p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kern w:val="0"/>
                <w:sz w:val="24"/>
              </w:rPr>
              <w:t>其它资金</w:t>
            </w:r>
            <w:r>
              <w:rPr>
                <w:rFonts w:ascii="仿宋_GB2312" w:hAnsi="仿宋_GB2312" w:eastAsia="仿宋_GB2312" w:cs="仿宋_GB2312"/>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ascii="仿宋_GB2312" w:hAnsi="仿宋_GB2312" w:eastAsia="仿宋_GB2312" w:cs="仿宋_GB2312"/>
                <w:color w:val="000000"/>
                <w:kern w:val="0"/>
                <w:sz w:val="24"/>
              </w:rPr>
              <w:t>0</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kern w:val="0"/>
                <w:sz w:val="24"/>
              </w:rPr>
              <w:t>其它资金</w:t>
            </w:r>
            <w:r>
              <w:rPr>
                <w:rFonts w:ascii="仿宋_GB2312" w:hAnsi="仿宋_GB2312" w:eastAsia="仿宋_GB2312" w:cs="仿宋_GB2312"/>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rPr>
                <w:rFonts w:ascii="仿宋_GB2312" w:hAnsi="仿宋_GB2312" w:eastAsia="仿宋_GB2312" w:cs="仿宋_GB2312"/>
                <w:color w:val="000000"/>
                <w:sz w:val="24"/>
              </w:rPr>
            </w:pPr>
            <w:r>
              <w:rPr>
                <w:rFonts w:ascii="仿宋_GB2312" w:hAnsi="仿宋_GB2312" w:eastAsia="仿宋_GB2312" w:cs="仿宋_GB2312"/>
                <w:color w:val="000000"/>
                <w:sz w:val="24"/>
              </w:rPr>
              <w:t>0</w:t>
            </w:r>
          </w:p>
        </w:tc>
      </w:tr>
      <w:tr>
        <w:tblPrEx>
          <w:tblCellMar>
            <w:top w:w="0" w:type="dxa"/>
            <w:left w:w="0" w:type="dxa"/>
            <w:bottom w:w="0" w:type="dxa"/>
            <w:right w:w="0" w:type="dxa"/>
          </w:tblCellMar>
        </w:tblPrEx>
        <w:trPr>
          <w:trHeight w:val="283" w:hRule="atLeast"/>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p>
          <w:p>
            <w:pPr>
              <w:spacing w:line="576" w:lineRule="atLeast"/>
              <w:textAlignment w:val="center"/>
              <w:rPr>
                <w:rFonts w:ascii="仿宋_GB2312" w:hAnsi="仿宋_GB2312" w:eastAsia="仿宋_GB2312"/>
                <w:color w:val="000000"/>
                <w:sz w:val="24"/>
              </w:rPr>
            </w:pPr>
          </w:p>
        </w:tc>
        <w:tc>
          <w:tcPr>
            <w:tcW w:w="4784"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kern w:val="0"/>
                <w:sz w:val="24"/>
              </w:rPr>
              <w:t>预期目标</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kern w:val="0"/>
                <w:sz w:val="24"/>
              </w:rPr>
              <w:t>实际完成目标</w:t>
            </w:r>
          </w:p>
        </w:tc>
      </w:tr>
      <w:tr>
        <w:tblPrEx>
          <w:tblCellMar>
            <w:top w:w="0" w:type="dxa"/>
            <w:left w:w="0" w:type="dxa"/>
            <w:bottom w:w="0" w:type="dxa"/>
            <w:right w:w="0" w:type="dxa"/>
          </w:tblCellMar>
        </w:tblPrEx>
        <w:trPr>
          <w:trHeight w:val="283"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spacing w:line="576" w:lineRule="atLeast"/>
              <w:rPr>
                <w:rFonts w:ascii="仿宋_GB2312" w:hAnsi="仿宋_GB2312" w:eastAsia="仿宋_GB2312"/>
                <w:color w:val="000000"/>
                <w:sz w:val="24"/>
              </w:rPr>
            </w:pPr>
          </w:p>
        </w:tc>
        <w:tc>
          <w:tcPr>
            <w:tcW w:w="4784"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ascii="仿宋_GB2312" w:hAnsi="仿宋_GB2312" w:eastAsia="仿宋_GB2312" w:cs="仿宋_GB2312"/>
                <w:color w:val="000000"/>
                <w:sz w:val="24"/>
              </w:rPr>
              <w:t>201</w:t>
            </w:r>
            <w:r>
              <w:rPr>
                <w:rFonts w:hint="eastAsia" w:ascii="仿宋_GB2312" w:hAnsi="仿宋_GB2312" w:eastAsia="仿宋_GB2312" w:cs="仿宋_GB2312"/>
                <w:color w:val="000000"/>
                <w:sz w:val="24"/>
              </w:rPr>
              <w:t>9年</w:t>
            </w:r>
            <w:r>
              <w:rPr>
                <w:rFonts w:hint="eastAsia" w:ascii="仿宋_GB2312" w:eastAsia="仿宋_GB2312" w:cs="仿宋_GB2312"/>
                <w:color w:val="000000"/>
                <w:sz w:val="24"/>
              </w:rPr>
              <w:t>万安村桥梁建设及堡坎建设项目</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olor w:val="000000"/>
                <w:sz w:val="24"/>
              </w:rPr>
              <w:t>修建便桥一座、堡坎建设</w:t>
            </w:r>
          </w:p>
        </w:tc>
      </w:tr>
      <w:tr>
        <w:tblPrEx>
          <w:tblCellMar>
            <w:top w:w="0" w:type="dxa"/>
            <w:left w:w="0" w:type="dxa"/>
            <w:bottom w:w="0" w:type="dxa"/>
            <w:right w:w="0" w:type="dxa"/>
          </w:tblCellMar>
        </w:tblPrEx>
        <w:trPr>
          <w:trHeight w:val="1042" w:hRule="atLeast"/>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绩效指标完成情况</w:t>
            </w: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kern w:val="0"/>
                <w:sz w:val="24"/>
              </w:rPr>
              <w:t>一级指标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kern w:val="0"/>
                <w:sz w:val="24"/>
              </w:rPr>
              <w:t>二级指标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kern w:val="0"/>
                <w:sz w:val="24"/>
              </w:rPr>
              <w:t>三级指标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kern w:val="0"/>
                <w:sz w:val="24"/>
              </w:rPr>
              <w:t>预期指标值</w:t>
            </w:r>
            <w:r>
              <w:rPr>
                <w:rFonts w:ascii="仿宋_GB2312" w:hAnsi="仿宋_GB2312" w:eastAsia="仿宋_GB2312" w:cs="仿宋_GB2312"/>
                <w:color w:val="000000"/>
                <w:kern w:val="0"/>
                <w:sz w:val="24"/>
              </w:rPr>
              <w:t>(</w:t>
            </w:r>
            <w:r>
              <w:rPr>
                <w:rFonts w:hint="eastAsia" w:ascii="仿宋_GB2312" w:hAnsi="仿宋_GB2312" w:eastAsia="仿宋_GB2312" w:cs="仿宋_GB2312"/>
                <w:color w:val="000000"/>
                <w:kern w:val="0"/>
                <w:sz w:val="24"/>
              </w:rPr>
              <w:t>包含数字及文字描述</w:t>
            </w:r>
            <w:r>
              <w:rPr>
                <w:rFonts w:ascii="仿宋_GB2312" w:hAnsi="仿宋_GB2312" w:eastAsia="仿宋_GB2312" w:cs="仿宋_GB2312"/>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kern w:val="0"/>
                <w:sz w:val="24"/>
              </w:rPr>
              <w:t>实际完成指标值</w:t>
            </w:r>
            <w:r>
              <w:rPr>
                <w:rFonts w:ascii="仿宋_GB2312" w:hAnsi="仿宋_GB2312" w:eastAsia="仿宋_GB2312" w:cs="仿宋_GB2312"/>
                <w:color w:val="000000"/>
                <w:kern w:val="0"/>
                <w:sz w:val="24"/>
              </w:rPr>
              <w:t>(</w:t>
            </w:r>
            <w:r>
              <w:rPr>
                <w:rFonts w:hint="eastAsia" w:ascii="仿宋_GB2312" w:hAnsi="仿宋_GB2312" w:eastAsia="仿宋_GB2312" w:cs="仿宋_GB2312"/>
                <w:color w:val="000000"/>
                <w:kern w:val="0"/>
                <w:sz w:val="24"/>
              </w:rPr>
              <w:t>包含数字及文字描述</w:t>
            </w:r>
            <w:r>
              <w:rPr>
                <w:rFonts w:ascii="仿宋_GB2312" w:hAnsi="仿宋_GB2312" w:eastAsia="仿宋_GB2312" w:cs="仿宋_GB2312"/>
                <w:color w:val="000000"/>
                <w:kern w:val="0"/>
                <w:sz w:val="24"/>
              </w:rPr>
              <w:t>)</w:t>
            </w:r>
          </w:p>
        </w:tc>
      </w:tr>
      <w:tr>
        <w:tblPrEx>
          <w:tblCellMar>
            <w:top w:w="0" w:type="dxa"/>
            <w:left w:w="0" w:type="dxa"/>
            <w:bottom w:w="0" w:type="dxa"/>
            <w:right w:w="0" w:type="dxa"/>
          </w:tblCellMar>
        </w:tblPrEx>
        <w:trPr>
          <w:trHeight w:val="953"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spacing w:line="576" w:lineRule="atLeast"/>
              <w:rPr>
                <w:rFonts w:ascii="仿宋_GB2312" w:hAnsi="仿宋_GB2312" w:eastAsia="仿宋_GB2312"/>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数量指标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修建便桥、堡坎</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4.74万元</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4.74万元</w:t>
            </w:r>
          </w:p>
        </w:tc>
      </w:tr>
      <w:tr>
        <w:tblPrEx>
          <w:tblCellMar>
            <w:top w:w="0" w:type="dxa"/>
            <w:left w:w="0" w:type="dxa"/>
            <w:bottom w:w="0" w:type="dxa"/>
            <w:right w:w="0" w:type="dxa"/>
          </w:tblCellMar>
        </w:tblPrEx>
        <w:trPr>
          <w:trHeight w:val="1297"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spacing w:line="576" w:lineRule="atLeast"/>
              <w:rPr>
                <w:rFonts w:ascii="仿宋_GB2312" w:hAnsi="仿宋_GB2312" w:eastAsia="仿宋_GB2312"/>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质量指标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项目验收合格率，保障万安村道路畅通</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s="仿宋_GB2312"/>
                <w:color w:val="000000"/>
                <w:sz w:val="24"/>
              </w:rPr>
            </w:pPr>
            <w:r>
              <w:rPr>
                <w:rFonts w:ascii="仿宋_GB2312" w:hAnsi="仿宋_GB2312" w:eastAsia="仿宋_GB2312" w:cs="仿宋_GB2312"/>
                <w:color w:val="000000"/>
                <w:sz w:val="24"/>
              </w:rPr>
              <w:t>100%</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s="仿宋_GB2312"/>
                <w:color w:val="000000"/>
                <w:sz w:val="24"/>
              </w:rPr>
            </w:pPr>
            <w:r>
              <w:rPr>
                <w:rFonts w:ascii="仿宋_GB2312" w:hAnsi="仿宋_GB2312" w:eastAsia="仿宋_GB2312" w:cs="仿宋_GB2312"/>
                <w:color w:val="000000"/>
                <w:sz w:val="24"/>
              </w:rPr>
              <w:t>100%</w:t>
            </w:r>
          </w:p>
        </w:tc>
      </w:tr>
      <w:tr>
        <w:tblPrEx>
          <w:tblCellMar>
            <w:top w:w="0" w:type="dxa"/>
            <w:left w:w="0" w:type="dxa"/>
            <w:bottom w:w="0" w:type="dxa"/>
            <w:right w:w="0" w:type="dxa"/>
          </w:tblCellMar>
        </w:tblPrEx>
        <w:trPr>
          <w:trHeight w:val="1042"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spacing w:line="576" w:lineRule="atLeast"/>
              <w:rPr>
                <w:rFonts w:ascii="仿宋_GB2312" w:hAnsi="仿宋_GB2312" w:eastAsia="仿宋_GB2312"/>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时效指标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项目完成及时率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s="仿宋_GB2312"/>
                <w:color w:val="000000"/>
                <w:sz w:val="24"/>
              </w:rPr>
            </w:pPr>
            <w:r>
              <w:rPr>
                <w:rFonts w:ascii="仿宋_GB2312" w:hAnsi="仿宋_GB2312" w:eastAsia="仿宋_GB2312" w:cs="仿宋_GB2312"/>
                <w:color w:val="000000"/>
                <w:sz w:val="24"/>
              </w:rPr>
              <w:t>100%</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s="仿宋_GB2312"/>
                <w:color w:val="000000"/>
                <w:sz w:val="24"/>
              </w:rPr>
            </w:pPr>
            <w:r>
              <w:rPr>
                <w:rFonts w:ascii="仿宋_GB2312" w:hAnsi="仿宋_GB2312" w:eastAsia="仿宋_GB2312" w:cs="仿宋_GB2312"/>
                <w:color w:val="000000"/>
                <w:sz w:val="24"/>
              </w:rPr>
              <w:t>100%</w:t>
            </w:r>
          </w:p>
        </w:tc>
      </w:tr>
      <w:tr>
        <w:tblPrEx>
          <w:tblCellMar>
            <w:top w:w="0" w:type="dxa"/>
            <w:left w:w="0" w:type="dxa"/>
            <w:bottom w:w="0" w:type="dxa"/>
            <w:right w:w="0" w:type="dxa"/>
          </w:tblCellMar>
        </w:tblPrEx>
        <w:trPr>
          <w:trHeight w:val="1042"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spacing w:line="576" w:lineRule="atLeast"/>
              <w:rPr>
                <w:rFonts w:ascii="仿宋_GB2312" w:hAnsi="仿宋_GB2312" w:eastAsia="仿宋_GB2312"/>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kern w:val="0"/>
                <w:sz w:val="24"/>
              </w:rPr>
            </w:pPr>
            <w:r>
              <w:rPr>
                <w:rFonts w:hint="eastAsia" w:ascii="仿宋_GB2312" w:hAnsi="仿宋_GB2312" w:eastAsia="仿宋_GB2312" w:cs="仿宋_GB2312"/>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成本指标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项目验收合格率，保障万安村村道路畅通</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4.74万元</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4.74万元</w:t>
            </w:r>
          </w:p>
        </w:tc>
      </w:tr>
      <w:tr>
        <w:tblPrEx>
          <w:tblCellMar>
            <w:top w:w="0" w:type="dxa"/>
            <w:left w:w="0" w:type="dxa"/>
            <w:bottom w:w="0" w:type="dxa"/>
            <w:right w:w="0" w:type="dxa"/>
          </w:tblCellMar>
        </w:tblPrEx>
        <w:trPr>
          <w:trHeight w:val="1042"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spacing w:line="576" w:lineRule="atLeast"/>
              <w:rPr>
                <w:rFonts w:ascii="仿宋_GB2312" w:hAnsi="仿宋_GB2312" w:eastAsia="仿宋_GB2312"/>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p>
        </w:tc>
      </w:tr>
      <w:tr>
        <w:tblPrEx>
          <w:tblCellMar>
            <w:top w:w="0" w:type="dxa"/>
            <w:left w:w="0" w:type="dxa"/>
            <w:bottom w:w="0" w:type="dxa"/>
            <w:right w:w="0" w:type="dxa"/>
          </w:tblCellMar>
        </w:tblPrEx>
        <w:trPr>
          <w:trHeight w:val="1042"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spacing w:line="576" w:lineRule="atLeast"/>
              <w:rPr>
                <w:rFonts w:ascii="仿宋_GB2312" w:hAnsi="仿宋_GB2312" w:eastAsia="仿宋_GB2312"/>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kern w:val="0"/>
                <w:sz w:val="24"/>
              </w:rPr>
              <w:t>效益指标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经济效益</w:t>
            </w:r>
          </w:p>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p>
        </w:tc>
      </w:tr>
      <w:tr>
        <w:tblPrEx>
          <w:tblCellMar>
            <w:top w:w="0" w:type="dxa"/>
            <w:left w:w="0" w:type="dxa"/>
            <w:bottom w:w="0" w:type="dxa"/>
            <w:right w:w="0" w:type="dxa"/>
          </w:tblCellMar>
        </w:tblPrEx>
        <w:trPr>
          <w:trHeight w:val="1297"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spacing w:line="576" w:lineRule="atLeast"/>
              <w:rPr>
                <w:rFonts w:ascii="仿宋_GB2312" w:hAnsi="仿宋_GB2312" w:eastAsia="仿宋_GB2312"/>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kern w:val="0"/>
                <w:sz w:val="24"/>
              </w:rPr>
              <w:t>效益指标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社会效益</w:t>
            </w:r>
          </w:p>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项目验收合格率，保障万安村村道路畅通</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p>
        </w:tc>
      </w:tr>
      <w:tr>
        <w:tblPrEx>
          <w:tblCellMar>
            <w:top w:w="0" w:type="dxa"/>
            <w:left w:w="0" w:type="dxa"/>
            <w:bottom w:w="0" w:type="dxa"/>
            <w:right w:w="0" w:type="dxa"/>
          </w:tblCellMar>
        </w:tblPrEx>
        <w:trPr>
          <w:trHeight w:val="1297"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spacing w:line="576" w:lineRule="atLeast"/>
              <w:rPr>
                <w:rFonts w:ascii="仿宋_GB2312" w:hAnsi="仿宋_GB2312" w:eastAsia="仿宋_GB2312"/>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kern w:val="0"/>
                <w:sz w:val="24"/>
              </w:rPr>
            </w:pPr>
            <w:r>
              <w:rPr>
                <w:rFonts w:hint="eastAsia" w:ascii="仿宋_GB2312" w:hAnsi="仿宋_GB2312" w:eastAsia="仿宋_GB2312" w:cs="仿宋_GB2312"/>
                <w:color w:val="000000"/>
                <w:kern w:val="0"/>
                <w:sz w:val="24"/>
              </w:rPr>
              <w:t>效益指标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生态效益</w:t>
            </w:r>
          </w:p>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优化村道路建设</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p>
        </w:tc>
      </w:tr>
      <w:tr>
        <w:tblPrEx>
          <w:tblCellMar>
            <w:top w:w="0" w:type="dxa"/>
            <w:left w:w="0" w:type="dxa"/>
            <w:bottom w:w="0" w:type="dxa"/>
            <w:right w:w="0" w:type="dxa"/>
          </w:tblCellMar>
        </w:tblPrEx>
        <w:trPr>
          <w:trHeight w:val="1050"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spacing w:line="576" w:lineRule="atLeast"/>
              <w:rPr>
                <w:rFonts w:ascii="仿宋_GB2312" w:hAnsi="仿宋_GB2312" w:eastAsia="仿宋_GB2312"/>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效益指标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可持续影响指标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项目验收合格率，保障万安村村道路畅通</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p>
        </w:tc>
      </w:tr>
      <w:tr>
        <w:tblPrEx>
          <w:tblCellMar>
            <w:top w:w="0" w:type="dxa"/>
            <w:left w:w="0" w:type="dxa"/>
            <w:bottom w:w="0" w:type="dxa"/>
            <w:right w:w="0" w:type="dxa"/>
          </w:tblCellMar>
        </w:tblPrEx>
        <w:trPr>
          <w:trHeight w:val="1050" w:hRule="atLeast"/>
        </w:trPr>
        <w:tc>
          <w:tcPr>
            <w:tcW w:w="390" w:type="dxa"/>
            <w:tcBorders>
              <w:top w:val="single" w:color="000000" w:sz="4" w:space="0"/>
              <w:left w:val="single" w:color="000000" w:sz="4" w:space="0"/>
              <w:bottom w:val="single" w:color="000000" w:sz="4" w:space="0"/>
              <w:right w:val="single" w:color="000000" w:sz="4" w:space="0"/>
            </w:tcBorders>
            <w:vAlign w:val="center"/>
          </w:tcPr>
          <w:p>
            <w:pPr>
              <w:spacing w:line="576" w:lineRule="atLeast"/>
              <w:rPr>
                <w:rFonts w:ascii="仿宋_GB2312" w:hAnsi="仿宋_GB2312" w:eastAsia="仿宋_GB2312"/>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kern w:val="0"/>
                <w:sz w:val="24"/>
              </w:rPr>
            </w:pPr>
            <w:r>
              <w:rPr>
                <w:rFonts w:hint="eastAsia" w:ascii="仿宋_GB2312" w:hAnsi="仿宋_GB2312" w:eastAsia="仿宋_GB2312" w:cs="仿宋_GB2312"/>
                <w:color w:val="000000"/>
                <w:kern w:val="0"/>
                <w:sz w:val="24"/>
              </w:rPr>
              <w:t>满意度指标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满意度指标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广大农民群众满意度</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ascii="仿宋_GB2312" w:hAnsi="仿宋_GB2312" w:eastAsia="仿宋_GB2312" w:cs="仿宋_GB2312"/>
                <w:color w:val="000000"/>
                <w:kern w:val="0"/>
                <w:sz w:val="22"/>
                <w:szCs w:val="22"/>
              </w:rPr>
              <w:t>100%</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ascii="仿宋_GB2312" w:hAnsi="仿宋_GB2312" w:eastAsia="仿宋_GB2312" w:cs="仿宋_GB2312"/>
                <w:color w:val="000000"/>
                <w:kern w:val="0"/>
                <w:sz w:val="22"/>
                <w:szCs w:val="22"/>
              </w:rPr>
              <w:t>100%</w:t>
            </w:r>
          </w:p>
        </w:tc>
      </w:tr>
      <w:tr>
        <w:tblPrEx>
          <w:tblCellMar>
            <w:top w:w="0" w:type="dxa"/>
            <w:left w:w="0" w:type="dxa"/>
            <w:bottom w:w="0" w:type="dxa"/>
            <w:right w:w="0" w:type="dxa"/>
          </w:tblCellMar>
        </w:tblPrEx>
        <w:trPr>
          <w:trHeight w:val="1034" w:hRule="atLeast"/>
        </w:trPr>
        <w:tc>
          <w:tcPr>
            <w:tcW w:w="9960" w:type="dxa"/>
            <w:gridSpan w:val="6"/>
            <w:tcMar>
              <w:top w:w="15" w:type="dxa"/>
              <w:left w:w="15" w:type="dxa"/>
              <w:bottom w:w="0" w:type="dxa"/>
              <w:right w:w="15" w:type="dxa"/>
            </w:tcMar>
            <w:vAlign w:val="center"/>
          </w:tcPr>
          <w:p>
            <w:pPr>
              <w:pStyle w:val="23"/>
              <w:spacing w:line="576" w:lineRule="atLeast"/>
              <w:ind w:left="2751" w:leftChars="1310" w:firstLine="0" w:firstLineChars="0"/>
              <w:textAlignment w:val="center"/>
              <w:rPr>
                <w:rFonts w:ascii="黑体" w:hAnsi="黑体" w:eastAsia="黑体"/>
                <w:color w:val="000000"/>
                <w:kern w:val="0"/>
                <w:sz w:val="36"/>
                <w:szCs w:val="36"/>
              </w:rPr>
            </w:pPr>
          </w:p>
          <w:p>
            <w:pPr>
              <w:pStyle w:val="23"/>
              <w:spacing w:line="576" w:lineRule="atLeast"/>
              <w:ind w:left="2751" w:leftChars="1310" w:firstLine="0" w:firstLineChars="0"/>
              <w:textAlignment w:val="center"/>
              <w:rPr>
                <w:rFonts w:ascii="黑体" w:hAnsi="黑体" w:eastAsia="黑体"/>
                <w:color w:val="000000"/>
                <w:kern w:val="0"/>
                <w:sz w:val="36"/>
                <w:szCs w:val="36"/>
              </w:rPr>
            </w:pPr>
          </w:p>
          <w:p>
            <w:pPr>
              <w:pStyle w:val="23"/>
              <w:spacing w:line="576" w:lineRule="atLeast"/>
              <w:ind w:left="2751" w:leftChars="1310" w:firstLine="0" w:firstLineChars="0"/>
              <w:textAlignment w:val="center"/>
              <w:rPr>
                <w:rFonts w:ascii="黑体" w:hAnsi="黑体" w:eastAsia="黑体"/>
                <w:color w:val="000000"/>
                <w:kern w:val="0"/>
                <w:sz w:val="36"/>
                <w:szCs w:val="36"/>
              </w:rPr>
            </w:pPr>
          </w:p>
          <w:p>
            <w:pPr>
              <w:pStyle w:val="23"/>
              <w:spacing w:line="576" w:lineRule="atLeast"/>
              <w:ind w:firstLine="0" w:firstLineChars="0"/>
              <w:textAlignment w:val="center"/>
              <w:rPr>
                <w:rFonts w:ascii="黑体" w:hAnsi="黑体" w:eastAsia="黑体"/>
                <w:color w:val="000000"/>
                <w:kern w:val="0"/>
                <w:sz w:val="36"/>
                <w:szCs w:val="36"/>
              </w:rPr>
            </w:pPr>
          </w:p>
          <w:p>
            <w:pPr>
              <w:pStyle w:val="23"/>
              <w:spacing w:line="576" w:lineRule="atLeast"/>
              <w:ind w:firstLine="0" w:firstLineChars="0"/>
              <w:textAlignment w:val="center"/>
              <w:rPr>
                <w:rFonts w:ascii="黑体" w:hAnsi="黑体" w:eastAsia="黑体"/>
                <w:color w:val="000000"/>
                <w:kern w:val="0"/>
                <w:sz w:val="36"/>
                <w:szCs w:val="36"/>
              </w:rPr>
            </w:pPr>
          </w:p>
          <w:p>
            <w:pPr>
              <w:pStyle w:val="23"/>
              <w:spacing w:line="576" w:lineRule="atLeast"/>
              <w:ind w:firstLine="0" w:firstLineChars="0"/>
              <w:textAlignment w:val="center"/>
              <w:rPr>
                <w:rFonts w:ascii="黑体" w:hAnsi="黑体" w:eastAsia="黑体"/>
                <w:color w:val="000000"/>
                <w:kern w:val="0"/>
                <w:sz w:val="36"/>
                <w:szCs w:val="36"/>
              </w:rPr>
            </w:pPr>
          </w:p>
          <w:p>
            <w:pPr>
              <w:pStyle w:val="23"/>
              <w:spacing w:line="576" w:lineRule="atLeast"/>
              <w:ind w:firstLine="0" w:firstLineChars="0"/>
              <w:textAlignment w:val="center"/>
              <w:rPr>
                <w:rFonts w:ascii="黑体" w:hAnsi="黑体" w:eastAsia="黑体"/>
                <w:color w:val="000000"/>
                <w:kern w:val="0"/>
                <w:sz w:val="36"/>
                <w:szCs w:val="36"/>
              </w:rPr>
            </w:pPr>
          </w:p>
          <w:p>
            <w:pPr>
              <w:pStyle w:val="23"/>
              <w:spacing w:line="576" w:lineRule="atLeast"/>
              <w:ind w:firstLine="0" w:firstLineChars="0"/>
              <w:textAlignment w:val="center"/>
              <w:rPr>
                <w:rFonts w:ascii="黑体" w:hAnsi="黑体" w:eastAsia="黑体"/>
                <w:color w:val="000000"/>
                <w:kern w:val="0"/>
                <w:sz w:val="36"/>
                <w:szCs w:val="36"/>
              </w:rPr>
            </w:pPr>
          </w:p>
          <w:p>
            <w:pPr>
              <w:pStyle w:val="23"/>
              <w:spacing w:line="576" w:lineRule="atLeast"/>
              <w:ind w:firstLine="0" w:firstLineChars="0"/>
              <w:textAlignment w:val="center"/>
              <w:rPr>
                <w:rFonts w:ascii="黑体" w:hAnsi="黑体" w:eastAsia="黑体"/>
                <w:color w:val="000000"/>
                <w:kern w:val="0"/>
                <w:sz w:val="36"/>
                <w:szCs w:val="36"/>
              </w:rPr>
            </w:pPr>
          </w:p>
          <w:p>
            <w:pPr>
              <w:pStyle w:val="23"/>
              <w:spacing w:line="576" w:lineRule="atLeast"/>
              <w:ind w:firstLine="0" w:firstLineChars="0"/>
              <w:textAlignment w:val="center"/>
              <w:rPr>
                <w:rFonts w:ascii="黑体" w:hAnsi="黑体" w:eastAsia="黑体"/>
                <w:color w:val="000000"/>
                <w:kern w:val="0"/>
                <w:sz w:val="36"/>
                <w:szCs w:val="36"/>
              </w:rPr>
            </w:pPr>
          </w:p>
          <w:p>
            <w:pPr>
              <w:pStyle w:val="23"/>
              <w:spacing w:line="576" w:lineRule="atLeast"/>
              <w:ind w:firstLine="0" w:firstLineChars="0"/>
              <w:textAlignment w:val="center"/>
              <w:rPr>
                <w:rFonts w:ascii="黑体" w:hAnsi="黑体" w:eastAsia="黑体"/>
                <w:color w:val="000000"/>
                <w:kern w:val="0"/>
                <w:sz w:val="36"/>
                <w:szCs w:val="36"/>
              </w:rPr>
            </w:pPr>
          </w:p>
          <w:p>
            <w:pPr>
              <w:pStyle w:val="23"/>
              <w:spacing w:line="576" w:lineRule="atLeast"/>
              <w:ind w:firstLine="0" w:firstLineChars="0"/>
              <w:textAlignment w:val="center"/>
              <w:rPr>
                <w:rFonts w:ascii="黑体" w:hAnsi="黑体" w:eastAsia="黑体"/>
                <w:color w:val="000000"/>
                <w:kern w:val="0"/>
                <w:sz w:val="36"/>
                <w:szCs w:val="36"/>
              </w:rPr>
            </w:pPr>
          </w:p>
          <w:p>
            <w:pPr>
              <w:pStyle w:val="23"/>
              <w:spacing w:line="576" w:lineRule="atLeast"/>
              <w:ind w:firstLine="0" w:firstLineChars="0"/>
              <w:jc w:val="center"/>
              <w:textAlignment w:val="center"/>
              <w:rPr>
                <w:rFonts w:ascii="宋体"/>
                <w:color w:val="000000"/>
                <w:sz w:val="36"/>
                <w:szCs w:val="36"/>
              </w:rPr>
            </w:pPr>
            <w:r>
              <w:rPr>
                <w:rFonts w:hint="eastAsia" w:ascii="黑体" w:hAnsi="黑体" w:eastAsia="黑体" w:cs="黑体"/>
                <w:color w:val="000000"/>
                <w:kern w:val="0"/>
                <w:sz w:val="36"/>
                <w:szCs w:val="36"/>
              </w:rPr>
              <w:t>项目支出绩效目标完成情况表</w:t>
            </w:r>
            <w:r>
              <w:rPr>
                <w:rFonts w:ascii="宋体"/>
                <w:b/>
                <w:bCs/>
                <w:color w:val="000000"/>
                <w:kern w:val="0"/>
                <w:sz w:val="36"/>
                <w:szCs w:val="36"/>
              </w:rPr>
              <w:br w:type="textWrapping"/>
            </w:r>
            <w:r>
              <w:rPr>
                <w:rFonts w:ascii="宋体" w:hAnsi="宋体" w:cs="宋体"/>
                <w:color w:val="000000"/>
                <w:kern w:val="0"/>
                <w:sz w:val="36"/>
                <w:szCs w:val="36"/>
              </w:rPr>
              <w:t>(201</w:t>
            </w:r>
            <w:r>
              <w:rPr>
                <w:rFonts w:hint="eastAsia" w:ascii="宋体" w:hAnsi="宋体" w:cs="宋体"/>
                <w:color w:val="000000"/>
                <w:kern w:val="0"/>
                <w:sz w:val="36"/>
                <w:szCs w:val="36"/>
              </w:rPr>
              <w:t>9年度</w:t>
            </w:r>
            <w:r>
              <w:rPr>
                <w:rFonts w:ascii="宋体" w:hAnsi="宋体" w:cs="宋体"/>
                <w:color w:val="000000"/>
                <w:kern w:val="0"/>
                <w:sz w:val="36"/>
                <w:szCs w:val="36"/>
              </w:rPr>
              <w:t>)</w:t>
            </w:r>
          </w:p>
        </w:tc>
      </w:tr>
      <w:tr>
        <w:tblPrEx>
          <w:tblCellMar>
            <w:top w:w="0" w:type="dxa"/>
            <w:left w:w="0" w:type="dxa"/>
            <w:bottom w:w="0" w:type="dxa"/>
            <w:right w:w="0" w:type="dxa"/>
          </w:tblCellMar>
        </w:tblPrEx>
        <w:trPr>
          <w:trHeight w:val="276" w:hRule="atLeast"/>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kern w:val="0"/>
                <w:sz w:val="24"/>
              </w:rPr>
              <w:t>项目名称</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ascii="仿宋_GB2312" w:hAnsi="仿宋_GB2312" w:eastAsia="仿宋_GB2312" w:cs="仿宋_GB2312"/>
                <w:color w:val="000000"/>
                <w:kern w:val="0"/>
                <w:sz w:val="24"/>
              </w:rPr>
              <w:t>201</w:t>
            </w:r>
            <w:r>
              <w:rPr>
                <w:rFonts w:hint="eastAsia" w:ascii="仿宋_GB2312" w:hAnsi="仿宋_GB2312" w:eastAsia="仿宋_GB2312" w:cs="仿宋_GB2312"/>
                <w:color w:val="000000"/>
                <w:kern w:val="0"/>
                <w:sz w:val="24"/>
              </w:rPr>
              <w:t>9年基层组织活动和公共服务运行经费</w:t>
            </w:r>
          </w:p>
        </w:tc>
      </w:tr>
      <w:tr>
        <w:tblPrEx>
          <w:tblCellMar>
            <w:top w:w="0" w:type="dxa"/>
            <w:left w:w="0" w:type="dxa"/>
            <w:bottom w:w="0" w:type="dxa"/>
            <w:right w:w="0" w:type="dxa"/>
          </w:tblCellMar>
        </w:tblPrEx>
        <w:trPr>
          <w:trHeight w:val="276" w:hRule="atLeast"/>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kern w:val="0"/>
                <w:sz w:val="24"/>
              </w:rPr>
              <w:t>预算单位</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茂县土门镇人民政府</w:t>
            </w:r>
          </w:p>
        </w:tc>
      </w:tr>
      <w:tr>
        <w:tblPrEx>
          <w:tblCellMar>
            <w:top w:w="0" w:type="dxa"/>
            <w:left w:w="0" w:type="dxa"/>
            <w:bottom w:w="0" w:type="dxa"/>
            <w:right w:w="0" w:type="dxa"/>
          </w:tblCellMar>
        </w:tblPrEx>
        <w:trPr>
          <w:trHeight w:val="283" w:hRule="atLeast"/>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p>
          <w:p>
            <w:pPr>
              <w:spacing w:line="576" w:lineRule="atLeast"/>
              <w:textAlignment w:val="center"/>
              <w:rPr>
                <w:rFonts w:ascii="仿宋_GB2312" w:hAnsi="仿宋_GB2312" w:eastAsia="仿宋_GB2312"/>
                <w:color w:val="000000"/>
                <w:sz w:val="24"/>
              </w:rPr>
            </w:p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kern w:val="0"/>
                <w:sz w:val="24"/>
              </w:rPr>
              <w:t>预算数</w:t>
            </w:r>
            <w:r>
              <w:rPr>
                <w:rFonts w:ascii="仿宋_GB2312" w:hAnsi="仿宋_GB2312" w:eastAsia="仿宋_GB2312" w:cs="仿宋_GB2312"/>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154万元</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kern w:val="0"/>
                <w:sz w:val="24"/>
              </w:rPr>
              <w:t>执行数</w:t>
            </w:r>
            <w:r>
              <w:rPr>
                <w:rFonts w:ascii="仿宋_GB2312" w:hAnsi="仿宋_GB2312" w:eastAsia="仿宋_GB2312" w:cs="仿宋_GB2312"/>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s="仿宋_GB2312"/>
                <w:color w:val="000000"/>
                <w:sz w:val="24"/>
              </w:rPr>
            </w:pPr>
            <w:r>
              <w:rPr>
                <w:rFonts w:hint="eastAsia" w:ascii="仿宋_GB2312" w:eastAsia="仿宋_GB2312" w:cs="仿宋_GB2312"/>
                <w:color w:val="000000"/>
                <w:sz w:val="24"/>
              </w:rPr>
              <w:t>126.86万元</w:t>
            </w:r>
          </w:p>
        </w:tc>
      </w:tr>
      <w:tr>
        <w:tblPrEx>
          <w:tblCellMar>
            <w:top w:w="0" w:type="dxa"/>
            <w:left w:w="0" w:type="dxa"/>
            <w:bottom w:w="0" w:type="dxa"/>
            <w:right w:w="0" w:type="dxa"/>
          </w:tblCellMar>
        </w:tblPrEx>
        <w:trPr>
          <w:trHeight w:val="283"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spacing w:line="576" w:lineRule="atLeast"/>
              <w:rPr>
                <w:rFonts w:ascii="仿宋_GB2312" w:hAnsi="仿宋_GB2312" w:eastAsia="仿宋_GB2312"/>
                <w:color w:val="000000"/>
                <w:sz w:val="24"/>
              </w:rPr>
            </w:p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kern w:val="0"/>
                <w:sz w:val="24"/>
              </w:rPr>
              <w:t>其中</w:t>
            </w:r>
            <w:r>
              <w:rPr>
                <w:rFonts w:ascii="仿宋_GB2312" w:hAnsi="仿宋_GB2312" w:eastAsia="仿宋_GB2312" w:cs="仿宋_GB2312"/>
                <w:color w:val="000000"/>
                <w:kern w:val="0"/>
                <w:sz w:val="24"/>
              </w:rPr>
              <w:t>-</w:t>
            </w:r>
            <w:r>
              <w:rPr>
                <w:rFonts w:hint="eastAsia" w:ascii="仿宋_GB2312" w:hAnsi="仿宋_GB2312" w:eastAsia="仿宋_GB2312" w:cs="仿宋_GB2312"/>
                <w:color w:val="000000"/>
                <w:kern w:val="0"/>
                <w:sz w:val="24"/>
              </w:rPr>
              <w:t>财政拨款</w:t>
            </w:r>
            <w:r>
              <w:rPr>
                <w:rFonts w:ascii="仿宋_GB2312" w:hAnsi="仿宋_GB2312" w:eastAsia="仿宋_GB2312" w:cs="仿宋_GB2312"/>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154万元</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kern w:val="0"/>
                <w:sz w:val="24"/>
              </w:rPr>
              <w:t>其中</w:t>
            </w:r>
            <w:r>
              <w:rPr>
                <w:rFonts w:ascii="仿宋_GB2312" w:hAnsi="仿宋_GB2312" w:eastAsia="仿宋_GB2312" w:cs="仿宋_GB2312"/>
                <w:color w:val="000000"/>
                <w:kern w:val="0"/>
                <w:sz w:val="24"/>
              </w:rPr>
              <w:t>-</w:t>
            </w:r>
            <w:r>
              <w:rPr>
                <w:rFonts w:hint="eastAsia" w:ascii="仿宋_GB2312" w:hAnsi="仿宋_GB2312" w:eastAsia="仿宋_GB2312" w:cs="仿宋_GB2312"/>
                <w:color w:val="000000"/>
                <w:kern w:val="0"/>
                <w:sz w:val="24"/>
              </w:rPr>
              <w:t>财政拨款</w:t>
            </w:r>
            <w:r>
              <w:rPr>
                <w:rFonts w:ascii="仿宋_GB2312" w:hAnsi="仿宋_GB2312" w:eastAsia="仿宋_GB2312" w:cs="仿宋_GB2312"/>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s="仿宋_GB2312"/>
                <w:color w:val="000000"/>
                <w:sz w:val="24"/>
              </w:rPr>
            </w:pPr>
            <w:r>
              <w:rPr>
                <w:rFonts w:hint="eastAsia" w:ascii="仿宋_GB2312" w:eastAsia="仿宋_GB2312" w:cs="仿宋_GB2312"/>
                <w:color w:val="000000"/>
                <w:sz w:val="24"/>
              </w:rPr>
              <w:t>126.86万元</w:t>
            </w:r>
          </w:p>
        </w:tc>
      </w:tr>
      <w:tr>
        <w:tblPrEx>
          <w:tblCellMar>
            <w:top w:w="0" w:type="dxa"/>
            <w:left w:w="0" w:type="dxa"/>
            <w:bottom w:w="0" w:type="dxa"/>
            <w:right w:w="0" w:type="dxa"/>
          </w:tblCellMar>
        </w:tblPrEx>
        <w:trPr>
          <w:trHeight w:val="283"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spacing w:line="576" w:lineRule="atLeast"/>
              <w:rPr>
                <w:rFonts w:ascii="仿宋_GB2312" w:hAnsi="仿宋_GB2312" w:eastAsia="仿宋_GB2312"/>
                <w:color w:val="000000"/>
                <w:sz w:val="24"/>
              </w:rPr>
            </w:p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kern w:val="0"/>
                <w:sz w:val="24"/>
              </w:rPr>
              <w:t>其它资金</w:t>
            </w:r>
            <w:r>
              <w:rPr>
                <w:rFonts w:ascii="仿宋_GB2312" w:hAnsi="仿宋_GB2312" w:eastAsia="仿宋_GB2312" w:cs="仿宋_GB2312"/>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ascii="仿宋_GB2312" w:hAnsi="仿宋_GB2312" w:eastAsia="仿宋_GB2312" w:cs="仿宋_GB2312"/>
                <w:color w:val="000000"/>
                <w:kern w:val="0"/>
                <w:sz w:val="24"/>
              </w:rPr>
              <w:t>0</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kern w:val="0"/>
                <w:sz w:val="24"/>
              </w:rPr>
              <w:t>其它资金</w:t>
            </w:r>
            <w:r>
              <w:rPr>
                <w:rFonts w:ascii="仿宋_GB2312" w:hAnsi="仿宋_GB2312" w:eastAsia="仿宋_GB2312" w:cs="仿宋_GB2312"/>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rPr>
                <w:rFonts w:ascii="仿宋_GB2312" w:hAnsi="仿宋_GB2312" w:eastAsia="仿宋_GB2312" w:cs="仿宋_GB2312"/>
                <w:color w:val="000000"/>
                <w:sz w:val="24"/>
              </w:rPr>
            </w:pPr>
            <w:r>
              <w:rPr>
                <w:rFonts w:ascii="仿宋_GB2312" w:hAnsi="仿宋_GB2312" w:eastAsia="仿宋_GB2312" w:cs="仿宋_GB2312"/>
                <w:color w:val="000000"/>
                <w:sz w:val="24"/>
              </w:rPr>
              <w:t>0</w:t>
            </w:r>
          </w:p>
        </w:tc>
      </w:tr>
      <w:tr>
        <w:tblPrEx>
          <w:tblCellMar>
            <w:top w:w="0" w:type="dxa"/>
            <w:left w:w="0" w:type="dxa"/>
            <w:bottom w:w="0" w:type="dxa"/>
            <w:right w:w="0" w:type="dxa"/>
          </w:tblCellMar>
        </w:tblPrEx>
        <w:trPr>
          <w:trHeight w:val="283" w:hRule="atLeast"/>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kern w:val="0"/>
                <w:sz w:val="24"/>
              </w:rPr>
              <w:t>年度目标完成情况</w:t>
            </w:r>
          </w:p>
        </w:tc>
        <w:tc>
          <w:tcPr>
            <w:tcW w:w="4784"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kern w:val="0"/>
                <w:sz w:val="24"/>
              </w:rPr>
              <w:t>预期目标</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kern w:val="0"/>
                <w:sz w:val="24"/>
              </w:rPr>
              <w:t>实际完成目标</w:t>
            </w:r>
          </w:p>
        </w:tc>
      </w:tr>
      <w:tr>
        <w:tblPrEx>
          <w:tblCellMar>
            <w:top w:w="0" w:type="dxa"/>
            <w:left w:w="0" w:type="dxa"/>
            <w:bottom w:w="0" w:type="dxa"/>
            <w:right w:w="0" w:type="dxa"/>
          </w:tblCellMar>
        </w:tblPrEx>
        <w:trPr>
          <w:trHeight w:val="283"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spacing w:line="576" w:lineRule="atLeast"/>
              <w:rPr>
                <w:rFonts w:ascii="仿宋_GB2312" w:hAnsi="仿宋_GB2312" w:eastAsia="仿宋_GB2312"/>
                <w:color w:val="000000"/>
                <w:sz w:val="24"/>
              </w:rPr>
            </w:pPr>
          </w:p>
        </w:tc>
        <w:tc>
          <w:tcPr>
            <w:tcW w:w="4784"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14个行政村的日常办公及村内道路的环境卫生及管水管电的日常开支</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实现了14个行政村的日常办公及村内道路的环境卫生及管水管电的日常开支</w:t>
            </w:r>
          </w:p>
        </w:tc>
      </w:tr>
      <w:tr>
        <w:tblPrEx>
          <w:tblCellMar>
            <w:top w:w="0" w:type="dxa"/>
            <w:left w:w="0" w:type="dxa"/>
            <w:bottom w:w="0" w:type="dxa"/>
            <w:right w:w="0" w:type="dxa"/>
          </w:tblCellMar>
        </w:tblPrEx>
        <w:trPr>
          <w:trHeight w:val="1042" w:hRule="atLeast"/>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绩效指标完成情况</w:t>
            </w: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kern w:val="0"/>
                <w:sz w:val="24"/>
              </w:rPr>
              <w:t>一级指标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kern w:val="0"/>
                <w:sz w:val="24"/>
              </w:rPr>
              <w:t>二级指标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kern w:val="0"/>
                <w:sz w:val="24"/>
              </w:rPr>
              <w:t>三级指标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kern w:val="0"/>
                <w:sz w:val="24"/>
              </w:rPr>
              <w:t>预期指标值</w:t>
            </w:r>
            <w:r>
              <w:rPr>
                <w:rFonts w:ascii="仿宋_GB2312" w:hAnsi="仿宋_GB2312" w:eastAsia="仿宋_GB2312" w:cs="仿宋_GB2312"/>
                <w:color w:val="000000"/>
                <w:kern w:val="0"/>
                <w:sz w:val="24"/>
              </w:rPr>
              <w:t>(</w:t>
            </w:r>
            <w:r>
              <w:rPr>
                <w:rFonts w:hint="eastAsia" w:ascii="仿宋_GB2312" w:hAnsi="仿宋_GB2312" w:eastAsia="仿宋_GB2312" w:cs="仿宋_GB2312"/>
                <w:color w:val="000000"/>
                <w:kern w:val="0"/>
                <w:sz w:val="24"/>
              </w:rPr>
              <w:t>包含数字及文字描述</w:t>
            </w:r>
            <w:r>
              <w:rPr>
                <w:rFonts w:ascii="仿宋_GB2312" w:hAnsi="仿宋_GB2312" w:eastAsia="仿宋_GB2312" w:cs="仿宋_GB2312"/>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kern w:val="0"/>
                <w:sz w:val="24"/>
              </w:rPr>
              <w:t>实际完成指标值</w:t>
            </w:r>
            <w:r>
              <w:rPr>
                <w:rFonts w:ascii="仿宋_GB2312" w:hAnsi="仿宋_GB2312" w:eastAsia="仿宋_GB2312" w:cs="仿宋_GB2312"/>
                <w:color w:val="000000"/>
                <w:kern w:val="0"/>
                <w:sz w:val="24"/>
              </w:rPr>
              <w:t>(</w:t>
            </w:r>
            <w:r>
              <w:rPr>
                <w:rFonts w:hint="eastAsia" w:ascii="仿宋_GB2312" w:hAnsi="仿宋_GB2312" w:eastAsia="仿宋_GB2312" w:cs="仿宋_GB2312"/>
                <w:color w:val="000000"/>
                <w:kern w:val="0"/>
                <w:sz w:val="24"/>
              </w:rPr>
              <w:t>包含数字及文字描述</w:t>
            </w:r>
            <w:r>
              <w:rPr>
                <w:rFonts w:ascii="仿宋_GB2312" w:hAnsi="仿宋_GB2312" w:eastAsia="仿宋_GB2312" w:cs="仿宋_GB2312"/>
                <w:color w:val="000000"/>
                <w:kern w:val="0"/>
                <w:sz w:val="24"/>
              </w:rPr>
              <w:t>)</w:t>
            </w:r>
          </w:p>
        </w:tc>
      </w:tr>
      <w:tr>
        <w:tblPrEx>
          <w:tblCellMar>
            <w:top w:w="0" w:type="dxa"/>
            <w:left w:w="0" w:type="dxa"/>
            <w:bottom w:w="0" w:type="dxa"/>
            <w:right w:w="0" w:type="dxa"/>
          </w:tblCellMar>
        </w:tblPrEx>
        <w:trPr>
          <w:trHeight w:val="953"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spacing w:line="576" w:lineRule="atLeast"/>
              <w:rPr>
                <w:rFonts w:ascii="仿宋_GB2312" w:hAnsi="仿宋_GB2312" w:eastAsia="仿宋_GB2312"/>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数量指标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日常办公及村内道路的环境卫生及管水管电的日常开支</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154万元</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eastAsia="仿宋_GB2312" w:cs="仿宋_GB2312"/>
                <w:color w:val="000000"/>
                <w:sz w:val="24"/>
              </w:rPr>
              <w:t>126.86万元</w:t>
            </w:r>
          </w:p>
        </w:tc>
      </w:tr>
      <w:tr>
        <w:tblPrEx>
          <w:tblCellMar>
            <w:top w:w="0" w:type="dxa"/>
            <w:left w:w="0" w:type="dxa"/>
            <w:bottom w:w="0" w:type="dxa"/>
            <w:right w:w="0" w:type="dxa"/>
          </w:tblCellMar>
        </w:tblPrEx>
        <w:trPr>
          <w:trHeight w:val="1297"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spacing w:line="576" w:lineRule="atLeast"/>
              <w:rPr>
                <w:rFonts w:ascii="仿宋_GB2312" w:hAnsi="仿宋_GB2312" w:eastAsia="仿宋_GB2312"/>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质量指标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项目验收合格</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s="仿宋_GB2312"/>
                <w:color w:val="000000"/>
                <w:sz w:val="24"/>
              </w:rPr>
            </w:pPr>
            <w:r>
              <w:rPr>
                <w:rFonts w:ascii="仿宋_GB2312" w:hAnsi="仿宋_GB2312" w:eastAsia="仿宋_GB2312" w:cs="仿宋_GB2312"/>
                <w:color w:val="000000"/>
                <w:sz w:val="24"/>
              </w:rPr>
              <w:t>100%</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s="仿宋_GB2312"/>
                <w:color w:val="000000"/>
                <w:sz w:val="24"/>
              </w:rPr>
            </w:pPr>
            <w:r>
              <w:rPr>
                <w:rFonts w:ascii="仿宋_GB2312" w:hAnsi="仿宋_GB2312" w:eastAsia="仿宋_GB2312" w:cs="仿宋_GB2312"/>
                <w:color w:val="000000"/>
                <w:sz w:val="24"/>
              </w:rPr>
              <w:t>100%</w:t>
            </w:r>
          </w:p>
        </w:tc>
      </w:tr>
      <w:tr>
        <w:tblPrEx>
          <w:tblCellMar>
            <w:top w:w="0" w:type="dxa"/>
            <w:left w:w="0" w:type="dxa"/>
            <w:bottom w:w="0" w:type="dxa"/>
            <w:right w:w="0" w:type="dxa"/>
          </w:tblCellMar>
        </w:tblPrEx>
        <w:trPr>
          <w:trHeight w:val="1042"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spacing w:line="576" w:lineRule="atLeast"/>
              <w:rPr>
                <w:rFonts w:ascii="仿宋_GB2312" w:hAnsi="仿宋_GB2312" w:eastAsia="仿宋_GB2312"/>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时效指标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项目完成及时</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s="仿宋_GB2312"/>
                <w:color w:val="000000"/>
                <w:sz w:val="24"/>
              </w:rPr>
            </w:pPr>
            <w:r>
              <w:rPr>
                <w:rFonts w:ascii="仿宋_GB2312" w:hAnsi="仿宋_GB2312" w:eastAsia="仿宋_GB2312" w:cs="仿宋_GB2312"/>
                <w:color w:val="000000"/>
                <w:sz w:val="24"/>
              </w:rPr>
              <w:t>100%</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s="仿宋_GB2312"/>
                <w:color w:val="000000"/>
                <w:sz w:val="24"/>
              </w:rPr>
            </w:pPr>
            <w:r>
              <w:rPr>
                <w:rFonts w:ascii="仿宋_GB2312" w:hAnsi="仿宋_GB2312" w:eastAsia="仿宋_GB2312" w:cs="仿宋_GB2312"/>
                <w:color w:val="000000"/>
                <w:sz w:val="24"/>
              </w:rPr>
              <w:t>100%</w:t>
            </w:r>
          </w:p>
        </w:tc>
      </w:tr>
      <w:tr>
        <w:tblPrEx>
          <w:tblCellMar>
            <w:top w:w="0" w:type="dxa"/>
            <w:left w:w="0" w:type="dxa"/>
            <w:bottom w:w="0" w:type="dxa"/>
            <w:right w:w="0" w:type="dxa"/>
          </w:tblCellMar>
        </w:tblPrEx>
        <w:trPr>
          <w:trHeight w:val="1042"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spacing w:line="576" w:lineRule="atLeast"/>
              <w:rPr>
                <w:rFonts w:ascii="仿宋_GB2312" w:hAnsi="仿宋_GB2312" w:eastAsia="仿宋_GB2312"/>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kern w:val="0"/>
                <w:sz w:val="24"/>
              </w:rPr>
            </w:pPr>
            <w:r>
              <w:rPr>
                <w:rFonts w:hint="eastAsia" w:ascii="仿宋_GB2312" w:hAnsi="仿宋_GB2312" w:eastAsia="仿宋_GB2312" w:cs="仿宋_GB2312"/>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成本指标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日常办公及村内道路和环境卫生及管水管电的日常开支</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154万元</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eastAsia="仿宋_GB2312" w:cs="仿宋_GB2312"/>
                <w:color w:val="000000"/>
                <w:sz w:val="24"/>
              </w:rPr>
              <w:t>126.86万元</w:t>
            </w:r>
          </w:p>
        </w:tc>
      </w:tr>
      <w:tr>
        <w:tblPrEx>
          <w:tblCellMar>
            <w:top w:w="0" w:type="dxa"/>
            <w:left w:w="0" w:type="dxa"/>
            <w:bottom w:w="0" w:type="dxa"/>
            <w:right w:w="0" w:type="dxa"/>
          </w:tblCellMar>
        </w:tblPrEx>
        <w:trPr>
          <w:trHeight w:val="614"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spacing w:line="576" w:lineRule="atLeast"/>
              <w:rPr>
                <w:rFonts w:ascii="仿宋_GB2312" w:hAnsi="仿宋_GB2312" w:eastAsia="仿宋_GB2312"/>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p>
        </w:tc>
      </w:tr>
      <w:tr>
        <w:tblPrEx>
          <w:tblCellMar>
            <w:top w:w="0" w:type="dxa"/>
            <w:left w:w="0" w:type="dxa"/>
            <w:bottom w:w="0" w:type="dxa"/>
            <w:right w:w="0" w:type="dxa"/>
          </w:tblCellMar>
        </w:tblPrEx>
        <w:trPr>
          <w:trHeight w:val="830"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spacing w:line="576" w:lineRule="atLeast"/>
              <w:rPr>
                <w:rFonts w:ascii="仿宋_GB2312" w:hAnsi="仿宋_GB2312" w:eastAsia="仿宋_GB2312"/>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kern w:val="0"/>
                <w:sz w:val="24"/>
              </w:rPr>
              <w:t>效益指标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经济效益</w:t>
            </w:r>
          </w:p>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推动各村的基础设施维护</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p>
        </w:tc>
      </w:tr>
      <w:tr>
        <w:tblPrEx>
          <w:tblCellMar>
            <w:top w:w="0" w:type="dxa"/>
            <w:left w:w="0" w:type="dxa"/>
            <w:bottom w:w="0" w:type="dxa"/>
            <w:right w:w="0" w:type="dxa"/>
          </w:tblCellMar>
        </w:tblPrEx>
        <w:trPr>
          <w:trHeight w:val="1043"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spacing w:line="576" w:lineRule="atLeast"/>
              <w:rPr>
                <w:rFonts w:ascii="仿宋_GB2312" w:hAnsi="仿宋_GB2312" w:eastAsia="仿宋_GB2312"/>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kern w:val="0"/>
                <w:sz w:val="24"/>
              </w:rPr>
              <w:t>效益指标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社会效益</w:t>
            </w:r>
          </w:p>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满足人民群众不断增长的生活需求，提高人居生活质量</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p>
        </w:tc>
      </w:tr>
      <w:tr>
        <w:tblPrEx>
          <w:tblCellMar>
            <w:top w:w="0" w:type="dxa"/>
            <w:left w:w="0" w:type="dxa"/>
            <w:bottom w:w="0" w:type="dxa"/>
            <w:right w:w="0" w:type="dxa"/>
          </w:tblCellMar>
        </w:tblPrEx>
        <w:trPr>
          <w:trHeight w:val="883"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spacing w:line="576" w:lineRule="atLeast"/>
              <w:rPr>
                <w:rFonts w:ascii="仿宋_GB2312" w:hAnsi="仿宋_GB2312" w:eastAsia="仿宋_GB2312"/>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kern w:val="0"/>
                <w:sz w:val="24"/>
              </w:rPr>
            </w:pPr>
            <w:r>
              <w:rPr>
                <w:rFonts w:hint="eastAsia" w:ascii="仿宋_GB2312" w:hAnsi="仿宋_GB2312" w:eastAsia="仿宋_GB2312" w:cs="仿宋_GB2312"/>
                <w:color w:val="000000"/>
                <w:kern w:val="0"/>
                <w:sz w:val="24"/>
              </w:rPr>
              <w:t>效益指标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生态效益</w:t>
            </w:r>
          </w:p>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优化生态环境建设</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p>
        </w:tc>
      </w:tr>
      <w:tr>
        <w:tblPrEx>
          <w:tblCellMar>
            <w:top w:w="0" w:type="dxa"/>
            <w:left w:w="0" w:type="dxa"/>
            <w:bottom w:w="0" w:type="dxa"/>
            <w:right w:w="0" w:type="dxa"/>
          </w:tblCellMar>
        </w:tblPrEx>
        <w:trPr>
          <w:trHeight w:val="853"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spacing w:line="576" w:lineRule="atLeast"/>
              <w:rPr>
                <w:rFonts w:ascii="仿宋_GB2312" w:hAnsi="仿宋_GB2312" w:eastAsia="仿宋_GB2312"/>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效益指标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可持续影响指标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为达到“镇村振兴”奠定了基础</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p>
        </w:tc>
      </w:tr>
      <w:tr>
        <w:tblPrEx>
          <w:tblCellMar>
            <w:top w:w="0" w:type="dxa"/>
            <w:left w:w="0" w:type="dxa"/>
            <w:bottom w:w="0" w:type="dxa"/>
            <w:right w:w="0" w:type="dxa"/>
          </w:tblCellMar>
        </w:tblPrEx>
        <w:trPr>
          <w:trHeight w:val="1050" w:hRule="atLeast"/>
        </w:trPr>
        <w:tc>
          <w:tcPr>
            <w:tcW w:w="390" w:type="dxa"/>
            <w:tcBorders>
              <w:top w:val="single" w:color="000000" w:sz="4" w:space="0"/>
              <w:left w:val="single" w:color="000000" w:sz="4" w:space="0"/>
              <w:bottom w:val="single" w:color="000000" w:sz="4" w:space="0"/>
              <w:right w:val="single" w:color="000000" w:sz="4" w:space="0"/>
            </w:tcBorders>
            <w:vAlign w:val="center"/>
          </w:tcPr>
          <w:p>
            <w:pPr>
              <w:spacing w:line="576" w:lineRule="atLeast"/>
              <w:rPr>
                <w:rFonts w:ascii="仿宋_GB2312" w:hAnsi="仿宋_GB2312" w:eastAsia="仿宋_GB2312"/>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kern w:val="0"/>
                <w:sz w:val="24"/>
              </w:rPr>
            </w:pPr>
            <w:r>
              <w:rPr>
                <w:rFonts w:hint="eastAsia" w:ascii="仿宋_GB2312" w:hAnsi="仿宋_GB2312" w:eastAsia="仿宋_GB2312" w:cs="仿宋_GB2312"/>
                <w:color w:val="000000"/>
                <w:kern w:val="0"/>
                <w:sz w:val="24"/>
              </w:rPr>
              <w:t>满意度指标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满意度指标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广大农民群众满意度</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ascii="仿宋_GB2312" w:hAnsi="仿宋_GB2312" w:eastAsia="仿宋_GB2312" w:cs="仿宋_GB2312"/>
                <w:color w:val="000000"/>
                <w:kern w:val="0"/>
                <w:sz w:val="22"/>
                <w:szCs w:val="22"/>
              </w:rPr>
              <w:t>100%</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ascii="仿宋_GB2312" w:hAnsi="仿宋_GB2312" w:eastAsia="仿宋_GB2312" w:cs="仿宋_GB2312"/>
                <w:color w:val="000000"/>
                <w:kern w:val="0"/>
                <w:sz w:val="22"/>
                <w:szCs w:val="22"/>
              </w:rPr>
              <w:t>100%</w:t>
            </w:r>
          </w:p>
        </w:tc>
      </w:tr>
    </w:tbl>
    <w:p>
      <w:pPr>
        <w:spacing w:line="580" w:lineRule="exact"/>
        <w:ind w:left="630"/>
        <w:rPr>
          <w:rFonts w:ascii="仿宋_GB2312" w:hAnsi="仿宋_GB2312" w:eastAsia="仿宋_GB2312" w:cs="仿宋_GB2312"/>
          <w:sz w:val="32"/>
          <w:szCs w:val="32"/>
        </w:rPr>
      </w:pPr>
      <w:r>
        <w:rPr>
          <w:rFonts w:hint="eastAsia" w:ascii="楷体_GB2312" w:hAnsi="楷体_GB2312" w:eastAsia="楷体_GB2312" w:cs="楷体_GB2312"/>
          <w:sz w:val="32"/>
          <w:szCs w:val="32"/>
        </w:rPr>
        <w:t>2.部门绩效评价结果。</w:t>
      </w:r>
    </w:p>
    <w:p>
      <w:pPr>
        <w:autoSpaceDE w:val="0"/>
        <w:autoSpaceDN w:val="0"/>
        <w:adjustRightInd w:val="0"/>
        <w:spacing w:line="576" w:lineRule="atLeast"/>
        <w:ind w:firstLine="640" w:firstLineChars="200"/>
        <w:rPr>
          <w:rFonts w:ascii="仿宋_GB2312" w:hAnsi="仿宋_GB2312" w:eastAsia="仿宋_GB2312" w:cs="仿宋_GB2312"/>
          <w:sz w:val="32"/>
          <w:szCs w:val="32"/>
        </w:rPr>
      </w:pPr>
      <w:r>
        <w:rPr>
          <w:rFonts w:hint="eastAsia" w:ascii="仿宋_GB2312" w:hAnsi="仿宋_GB2312" w:eastAsia="仿宋_GB2312" w:cs="仿宋_GB2312"/>
          <w:color w:val="000000"/>
          <w:sz w:val="32"/>
          <w:szCs w:val="32"/>
        </w:rPr>
        <w:t>本单位按要求对2019年部门整体支出绩效评价情况开展自评，《茂县土门镇人民政府2019年部门整体支出绩效评价报告》。</w:t>
      </w:r>
    </w:p>
    <w:p>
      <w:pPr>
        <w:spacing w:line="580" w:lineRule="exact"/>
        <w:ind w:firstLine="640" w:firstLineChars="200"/>
        <w:rPr>
          <w:rFonts w:ascii="仿宋_GB2312" w:eastAsia="仿宋_GB2312"/>
          <w:b/>
          <w:color w:val="000000"/>
          <w:sz w:val="32"/>
          <w:szCs w:val="32"/>
        </w:rPr>
      </w:pPr>
      <w:r>
        <w:rPr>
          <w:rFonts w:hint="eastAsia" w:ascii="仿宋_GB2312" w:hAnsi="仿宋_GB2312" w:eastAsia="仿宋_GB2312" w:cs="仿宋_GB2312"/>
          <w:sz w:val="32"/>
          <w:szCs w:val="32"/>
        </w:rPr>
        <w:t>本单位自行组织对</w:t>
      </w:r>
      <w:r>
        <w:rPr>
          <w:rFonts w:hint="eastAsia" w:ascii="仿宋_GB2312" w:eastAsia="仿宋_GB2312" w:cs="仿宋_GB2312"/>
          <w:color w:val="000000"/>
          <w:sz w:val="32"/>
          <w:szCs w:val="32"/>
        </w:rPr>
        <w:t>“村道养护”“基层组织活动和公共服务运行经费”“万安村桥梁建设及堡坎建设项目”“洋坪村安全饮水项目”“新村猕猴桃基地”等</w:t>
      </w:r>
      <w:r>
        <w:rPr>
          <w:rFonts w:ascii="仿宋_GB2312" w:eastAsia="仿宋_GB2312" w:cs="仿宋_GB2312"/>
          <w:color w:val="000000"/>
          <w:sz w:val="32"/>
          <w:szCs w:val="32"/>
        </w:rPr>
        <w:t>5</w:t>
      </w:r>
      <w:r>
        <w:rPr>
          <w:rFonts w:hint="eastAsia" w:ascii="仿宋_GB2312" w:eastAsia="仿宋_GB2312" w:cs="仿宋_GB2312"/>
          <w:color w:val="000000"/>
          <w:sz w:val="32"/>
          <w:szCs w:val="32"/>
        </w:rPr>
        <w:t>个项目。</w:t>
      </w:r>
    </w:p>
    <w:p>
      <w:pPr>
        <w:widowControl/>
        <w:jc w:val="left"/>
        <w:rPr>
          <w:rFonts w:ascii="仿宋_GB2312" w:eastAsia="仿宋_GB2312"/>
          <w:b/>
          <w:color w:val="000000"/>
          <w:sz w:val="32"/>
          <w:szCs w:val="32"/>
        </w:rPr>
      </w:pPr>
      <w:r>
        <w:rPr>
          <w:rFonts w:ascii="仿宋_GB2312" w:eastAsia="仿宋_GB2312"/>
          <w:b/>
          <w:color w:val="000000"/>
          <w:sz w:val="32"/>
          <w:szCs w:val="32"/>
        </w:rPr>
        <w:br w:type="page"/>
      </w:r>
    </w:p>
    <w:p>
      <w:pPr>
        <w:spacing w:line="576" w:lineRule="atLeast"/>
        <w:jc w:val="center"/>
        <w:outlineLvl w:val="0"/>
        <w:rPr>
          <w:rStyle w:val="30"/>
          <w:rFonts w:ascii="方正小标宋简体" w:hAnsi="方正小标宋简体" w:eastAsia="方正小标宋简体"/>
          <w:b w:val="0"/>
          <w:bCs w:val="0"/>
        </w:rPr>
      </w:pPr>
      <w:bookmarkStart w:id="51" w:name="_Toc15396613"/>
      <w:bookmarkStart w:id="52" w:name="_Toc15377225"/>
      <w:bookmarkStart w:id="53" w:name="_Toc15396614"/>
      <w:bookmarkStart w:id="54" w:name="_Toc15377226"/>
      <w:r>
        <w:rPr>
          <w:rFonts w:hint="eastAsia" w:ascii="方正小标宋简体" w:hAnsi="方正小标宋简体" w:eastAsia="方正小标宋简体" w:cs="方正小标宋简体"/>
          <w:color w:val="000000"/>
          <w:sz w:val="44"/>
          <w:szCs w:val="44"/>
        </w:rPr>
        <w:t>第三部分 名</w:t>
      </w:r>
      <w:r>
        <w:rPr>
          <w:rStyle w:val="30"/>
          <w:rFonts w:hint="eastAsia" w:ascii="方正小标宋简体" w:hAnsi="方正小标宋简体" w:eastAsia="方正小标宋简体" w:cs="方正小标宋简体"/>
          <w:b w:val="0"/>
          <w:bCs w:val="0"/>
        </w:rPr>
        <w:t>词解释</w:t>
      </w:r>
      <w:bookmarkEnd w:id="51"/>
      <w:bookmarkEnd w:id="52"/>
    </w:p>
    <w:p>
      <w:pPr>
        <w:spacing w:line="576" w:lineRule="atLeast"/>
        <w:rPr>
          <w:rFonts w:ascii="仿宋_GB2312" w:eastAsia="仿宋_GB2312"/>
          <w:b/>
          <w:bCs/>
          <w:color w:val="000000"/>
          <w:sz w:val="32"/>
          <w:szCs w:val="32"/>
        </w:rPr>
      </w:pPr>
    </w:p>
    <w:p>
      <w:pPr>
        <w:pStyle w:val="22"/>
        <w:spacing w:line="576" w:lineRule="atLeast"/>
        <w:ind w:firstLine="640" w:firstLineChars="200"/>
        <w:jc w:val="both"/>
        <w:rPr>
          <w:rFonts w:ascii="仿宋_GB2312" w:eastAsia="仿宋_GB2312" w:cs="Times New Roman"/>
          <w:sz w:val="32"/>
          <w:szCs w:val="32"/>
        </w:rPr>
      </w:pPr>
      <w:r>
        <w:rPr>
          <w:rFonts w:ascii="仿宋_GB2312" w:eastAsia="仿宋_GB2312" w:cs="仿宋_GB2312"/>
          <w:sz w:val="32"/>
          <w:szCs w:val="32"/>
        </w:rPr>
        <w:t>1.</w:t>
      </w:r>
      <w:r>
        <w:rPr>
          <w:rFonts w:hint="eastAsia" w:ascii="仿宋_GB2312" w:eastAsia="仿宋_GB2312" w:cs="仿宋_GB2312"/>
          <w:sz w:val="32"/>
          <w:szCs w:val="32"/>
        </w:rPr>
        <w:t>财政拨款收入：指单位从同级财政部门取得的财政预算资金。</w:t>
      </w:r>
    </w:p>
    <w:p>
      <w:pPr>
        <w:pStyle w:val="22"/>
        <w:spacing w:line="576" w:lineRule="atLeast"/>
        <w:ind w:firstLine="640" w:firstLineChars="200"/>
        <w:jc w:val="both"/>
        <w:rPr>
          <w:rFonts w:ascii="仿宋_GB2312" w:eastAsia="仿宋_GB2312" w:cs="Times New Roman"/>
          <w:sz w:val="32"/>
          <w:szCs w:val="32"/>
        </w:rPr>
      </w:pPr>
      <w:r>
        <w:rPr>
          <w:rFonts w:ascii="仿宋_GB2312" w:eastAsia="仿宋_GB2312" w:cs="仿宋_GB2312"/>
          <w:sz w:val="32"/>
          <w:szCs w:val="32"/>
        </w:rPr>
        <w:t>2.</w:t>
      </w:r>
      <w:r>
        <w:rPr>
          <w:rFonts w:hint="eastAsia" w:ascii="仿宋_GB2312" w:eastAsia="仿宋_GB2312" w:cs="仿宋_GB2312"/>
          <w:sz w:val="32"/>
          <w:szCs w:val="32"/>
        </w:rPr>
        <w:t>事业收入：指事业单位开展专业业务活动及辅助活动取得的收入。</w:t>
      </w:r>
    </w:p>
    <w:p>
      <w:pPr>
        <w:pStyle w:val="22"/>
        <w:spacing w:line="576" w:lineRule="atLeast"/>
        <w:ind w:firstLine="640" w:firstLineChars="200"/>
        <w:jc w:val="both"/>
        <w:rPr>
          <w:rFonts w:ascii="仿宋_GB2312" w:eastAsia="仿宋_GB2312" w:cs="Times New Roman"/>
          <w:sz w:val="32"/>
          <w:szCs w:val="32"/>
        </w:rPr>
      </w:pPr>
      <w:r>
        <w:rPr>
          <w:rFonts w:ascii="仿宋_GB2312" w:eastAsia="仿宋_GB2312" w:cs="仿宋_GB2312"/>
          <w:sz w:val="32"/>
          <w:szCs w:val="32"/>
        </w:rPr>
        <w:t>3.</w:t>
      </w:r>
      <w:r>
        <w:rPr>
          <w:rFonts w:hint="eastAsia" w:ascii="仿宋_GB2312" w:eastAsia="仿宋_GB2312" w:cs="仿宋_GB2312"/>
          <w:sz w:val="32"/>
          <w:szCs w:val="32"/>
        </w:rPr>
        <w:t>经营收入：指事业单位在专业业务活动及其辅助活动之外开展非独立核算经营活动取得的收入。</w:t>
      </w:r>
    </w:p>
    <w:p>
      <w:pPr>
        <w:pStyle w:val="22"/>
        <w:spacing w:line="576" w:lineRule="atLeast"/>
        <w:ind w:firstLine="640" w:firstLineChars="200"/>
        <w:jc w:val="both"/>
        <w:rPr>
          <w:rFonts w:ascii="仿宋_GB2312" w:eastAsia="仿宋_GB2312" w:cs="Times New Roman"/>
          <w:sz w:val="32"/>
          <w:szCs w:val="32"/>
        </w:rPr>
      </w:pPr>
      <w:r>
        <w:rPr>
          <w:rFonts w:ascii="仿宋_GB2312" w:eastAsia="仿宋_GB2312" w:cs="仿宋_GB2312"/>
          <w:sz w:val="32"/>
          <w:szCs w:val="32"/>
        </w:rPr>
        <w:t>4.</w:t>
      </w:r>
      <w:r>
        <w:rPr>
          <w:rFonts w:hint="eastAsia" w:ascii="仿宋_GB2312" w:eastAsia="仿宋_GB2312" w:cs="仿宋_GB2312"/>
          <w:sz w:val="32"/>
          <w:szCs w:val="32"/>
        </w:rPr>
        <w:t>其他收入：指单位取得的除上述收入以外的各项收入。</w:t>
      </w:r>
    </w:p>
    <w:p>
      <w:pPr>
        <w:pStyle w:val="22"/>
        <w:spacing w:line="576" w:lineRule="atLeast"/>
        <w:ind w:firstLine="640" w:firstLineChars="200"/>
        <w:jc w:val="both"/>
        <w:rPr>
          <w:rFonts w:ascii="仿宋_GB2312" w:eastAsia="仿宋_GB2312" w:cs="Times New Roman"/>
          <w:sz w:val="32"/>
          <w:szCs w:val="32"/>
        </w:rPr>
      </w:pPr>
      <w:r>
        <w:rPr>
          <w:rFonts w:ascii="仿宋_GB2312" w:eastAsia="仿宋_GB2312" w:cs="仿宋_GB2312"/>
          <w:sz w:val="32"/>
          <w:szCs w:val="32"/>
        </w:rPr>
        <w:t>5.</w:t>
      </w:r>
      <w:r>
        <w:rPr>
          <w:rFonts w:hint="eastAsia" w:ascii="仿宋_GB2312" w:eastAsia="仿宋_GB2312" w:cs="仿宋_GB2312"/>
          <w:sz w:val="32"/>
          <w:szCs w:val="32"/>
        </w:rPr>
        <w:t>用事业基金弥补收支差额：指事业单位在当年的财政拨款收入、事业收入、经营收入、其他收入不足以安排当年支出的情况下，使用以前年度积累的事业基金（事业单位当年收支相抵后按国家规定提取、用于弥补以后年度收支差额的基金）弥补本年度收支缺口的资金。</w:t>
      </w:r>
    </w:p>
    <w:p>
      <w:pPr>
        <w:pStyle w:val="22"/>
        <w:spacing w:line="576" w:lineRule="atLeast"/>
        <w:ind w:firstLine="640" w:firstLineChars="200"/>
        <w:jc w:val="both"/>
        <w:rPr>
          <w:rFonts w:ascii="仿宋_GB2312" w:eastAsia="仿宋_GB2312" w:cs="Times New Roman"/>
          <w:sz w:val="32"/>
          <w:szCs w:val="32"/>
        </w:rPr>
      </w:pPr>
      <w:r>
        <w:rPr>
          <w:rFonts w:ascii="仿宋_GB2312" w:eastAsia="仿宋_GB2312" w:cs="仿宋_GB2312"/>
          <w:sz w:val="32"/>
          <w:szCs w:val="32"/>
        </w:rPr>
        <w:t>6.</w:t>
      </w:r>
      <w:r>
        <w:rPr>
          <w:rFonts w:hint="eastAsia" w:ascii="仿宋_GB2312" w:eastAsia="仿宋_GB2312" w:cs="仿宋_GB2312"/>
          <w:sz w:val="32"/>
          <w:szCs w:val="32"/>
        </w:rPr>
        <w:t>年初结转和结余：指以前年度尚未完成、结转到本年按有关规定继续使用的资金。</w:t>
      </w:r>
    </w:p>
    <w:p>
      <w:pPr>
        <w:pStyle w:val="22"/>
        <w:spacing w:line="576" w:lineRule="atLeast"/>
        <w:ind w:firstLine="640" w:firstLineChars="200"/>
        <w:jc w:val="both"/>
        <w:rPr>
          <w:rFonts w:ascii="仿宋_GB2312" w:eastAsia="仿宋_GB2312" w:cs="Times New Roman"/>
          <w:sz w:val="32"/>
          <w:szCs w:val="32"/>
        </w:rPr>
      </w:pPr>
      <w:r>
        <w:rPr>
          <w:rFonts w:ascii="仿宋_GB2312" w:eastAsia="仿宋_GB2312" w:cs="仿宋_GB2312"/>
          <w:sz w:val="32"/>
          <w:szCs w:val="32"/>
        </w:rPr>
        <w:t>7.</w:t>
      </w:r>
      <w:r>
        <w:rPr>
          <w:rFonts w:hint="eastAsia" w:ascii="仿宋_GB2312" w:eastAsia="仿宋_GB2312" w:cs="仿宋_GB2312"/>
          <w:sz w:val="32"/>
          <w:szCs w:val="32"/>
        </w:rPr>
        <w:t>结余分配：指事业单位按照事业单位会计制度的规定从非财政补助结余中分配的事业基金和职工福利基金等。</w:t>
      </w:r>
    </w:p>
    <w:p>
      <w:pPr>
        <w:pStyle w:val="22"/>
        <w:spacing w:line="576" w:lineRule="atLeast"/>
        <w:ind w:firstLine="640" w:firstLineChars="200"/>
        <w:jc w:val="both"/>
        <w:rPr>
          <w:rFonts w:ascii="仿宋_GB2312" w:eastAsia="仿宋_GB2312" w:cs="Times New Roman"/>
          <w:sz w:val="32"/>
          <w:szCs w:val="32"/>
        </w:rPr>
      </w:pPr>
      <w:r>
        <w:rPr>
          <w:rFonts w:ascii="仿宋_GB2312" w:eastAsia="仿宋_GB2312" w:cs="仿宋_GB2312"/>
          <w:sz w:val="32"/>
          <w:szCs w:val="32"/>
        </w:rPr>
        <w:t>8.</w:t>
      </w:r>
      <w:r>
        <w:rPr>
          <w:rFonts w:hint="eastAsia" w:ascii="仿宋_GB2312" w:eastAsia="仿宋_GB2312" w:cs="仿宋_GB2312"/>
          <w:sz w:val="32"/>
          <w:szCs w:val="32"/>
        </w:rPr>
        <w:t>年末结转和结余：指单位按有关规定结转到下年或以后年度继续使用的资金。</w:t>
      </w:r>
    </w:p>
    <w:p>
      <w:pPr>
        <w:spacing w:line="576" w:lineRule="atLeast"/>
        <w:ind w:firstLine="640" w:firstLineChars="200"/>
        <w:rPr>
          <w:rStyle w:val="14"/>
          <w:rFonts w:ascii="仿宋_GB2312" w:hAnsi="仿宋_GB2312" w:eastAsia="仿宋_GB2312"/>
          <w:b w:val="0"/>
          <w:color w:val="0000FF"/>
          <w:sz w:val="32"/>
          <w:szCs w:val="32"/>
        </w:rPr>
      </w:pPr>
      <w:r>
        <w:rPr>
          <w:rStyle w:val="14"/>
          <w:rFonts w:ascii="仿宋_GB2312" w:hAnsi="仿宋_GB2312" w:eastAsia="仿宋_GB2312" w:cs="仿宋_GB2312"/>
          <w:b w:val="0"/>
          <w:color w:val="000000"/>
          <w:sz w:val="32"/>
          <w:szCs w:val="32"/>
        </w:rPr>
        <w:t>9.</w:t>
      </w:r>
      <w:r>
        <w:rPr>
          <w:rStyle w:val="14"/>
          <w:rFonts w:hint="eastAsia" w:ascii="仿宋_GB2312" w:hAnsi="仿宋_GB2312" w:eastAsia="仿宋_GB2312" w:cs="仿宋_GB2312"/>
          <w:b w:val="0"/>
          <w:color w:val="000000"/>
          <w:sz w:val="32"/>
          <w:szCs w:val="32"/>
        </w:rPr>
        <w:t>一般公共服务（类）人大事务（款）人大会议（项）</w:t>
      </w:r>
      <w:r>
        <w:rPr>
          <w:rStyle w:val="14"/>
          <w:rFonts w:ascii="仿宋_GB2312" w:hAnsi="仿宋_GB2312" w:eastAsia="仿宋_GB2312" w:cs="仿宋_GB2312"/>
          <w:b w:val="0"/>
          <w:color w:val="000000"/>
          <w:sz w:val="32"/>
          <w:szCs w:val="32"/>
        </w:rPr>
        <w:t xml:space="preserve">: </w:t>
      </w:r>
      <w:r>
        <w:rPr>
          <w:rStyle w:val="14"/>
          <w:rFonts w:hint="eastAsia" w:ascii="仿宋_GB2312" w:hAnsi="仿宋_GB2312" w:eastAsia="仿宋_GB2312" w:cs="仿宋_GB2312"/>
          <w:b w:val="0"/>
          <w:color w:val="000000"/>
          <w:sz w:val="32"/>
          <w:szCs w:val="32"/>
        </w:rPr>
        <w:t>指</w:t>
      </w:r>
      <w:r>
        <w:rPr>
          <w:rFonts w:hint="eastAsia" w:ascii="仿宋_GB2312" w:eastAsia="仿宋_GB2312" w:cs="仿宋_GB2312"/>
          <w:color w:val="000000"/>
          <w:sz w:val="32"/>
          <w:szCs w:val="32"/>
        </w:rPr>
        <w:t>单位人大召开人民代表大会等专门会议的支出</w:t>
      </w:r>
      <w:r>
        <w:rPr>
          <w:rStyle w:val="14"/>
          <w:rFonts w:hint="eastAsia" w:ascii="仿宋_GB2312" w:hAnsi="仿宋_GB2312" w:eastAsia="仿宋_GB2312" w:cs="仿宋_GB2312"/>
          <w:b w:val="0"/>
          <w:color w:val="0000FF"/>
          <w:sz w:val="32"/>
          <w:szCs w:val="32"/>
        </w:rPr>
        <w:t>。</w:t>
      </w:r>
    </w:p>
    <w:p>
      <w:pPr>
        <w:spacing w:line="576" w:lineRule="atLeast"/>
        <w:ind w:firstLine="640" w:firstLineChars="200"/>
        <w:rPr>
          <w:rStyle w:val="14"/>
          <w:rFonts w:ascii="仿宋_GB2312" w:hAnsi="仿宋_GB2312" w:eastAsia="仿宋_GB2312"/>
          <w:b w:val="0"/>
          <w:color w:val="000000"/>
          <w:sz w:val="32"/>
          <w:szCs w:val="32"/>
        </w:rPr>
      </w:pPr>
      <w:r>
        <w:rPr>
          <w:rStyle w:val="14"/>
          <w:rFonts w:ascii="仿宋_GB2312" w:hAnsi="仿宋_GB2312" w:eastAsia="仿宋_GB2312" w:cs="仿宋_GB2312"/>
          <w:b w:val="0"/>
          <w:color w:val="000000"/>
          <w:sz w:val="32"/>
          <w:szCs w:val="32"/>
        </w:rPr>
        <w:t>10.</w:t>
      </w:r>
      <w:r>
        <w:rPr>
          <w:rStyle w:val="14"/>
          <w:rFonts w:hint="eastAsia" w:ascii="仿宋_GB2312" w:hAnsi="仿宋_GB2312" w:eastAsia="仿宋_GB2312" w:cs="仿宋_GB2312"/>
          <w:b w:val="0"/>
          <w:color w:val="000000"/>
          <w:sz w:val="32"/>
          <w:szCs w:val="32"/>
        </w:rPr>
        <w:t>一般公共服务（类）政府办公厅（室）及相关机构事务（款）行政运行（项）</w:t>
      </w:r>
      <w:r>
        <w:rPr>
          <w:rStyle w:val="14"/>
          <w:rFonts w:ascii="仿宋_GB2312" w:hAnsi="仿宋_GB2312" w:eastAsia="仿宋_GB2312" w:cs="仿宋_GB2312"/>
          <w:b w:val="0"/>
          <w:color w:val="000000"/>
          <w:sz w:val="32"/>
          <w:szCs w:val="32"/>
        </w:rPr>
        <w:t xml:space="preserve">: </w:t>
      </w:r>
      <w:r>
        <w:rPr>
          <w:rStyle w:val="14"/>
          <w:rFonts w:hint="eastAsia" w:ascii="仿宋_GB2312" w:hAnsi="仿宋_GB2312" w:eastAsia="仿宋_GB2312" w:cs="仿宋_GB2312"/>
          <w:b w:val="0"/>
          <w:color w:val="000000"/>
          <w:sz w:val="32"/>
          <w:szCs w:val="32"/>
        </w:rPr>
        <w:t>指单位（包括实行公务员管理的事业单位）的基本支出。</w:t>
      </w:r>
    </w:p>
    <w:p>
      <w:pPr>
        <w:spacing w:line="576" w:lineRule="atLeast"/>
        <w:ind w:firstLine="640" w:firstLineChars="200"/>
        <w:rPr>
          <w:rStyle w:val="14"/>
          <w:rFonts w:ascii="仿宋_GB2312" w:hAnsi="仿宋_GB2312" w:eastAsia="仿宋_GB2312"/>
          <w:b w:val="0"/>
          <w:color w:val="000000"/>
          <w:sz w:val="32"/>
          <w:szCs w:val="32"/>
        </w:rPr>
      </w:pPr>
      <w:r>
        <w:rPr>
          <w:rStyle w:val="14"/>
          <w:rFonts w:ascii="仿宋_GB2312" w:hAnsi="仿宋_GB2312" w:eastAsia="仿宋_GB2312" w:cs="仿宋_GB2312"/>
          <w:b w:val="0"/>
          <w:color w:val="000000"/>
          <w:sz w:val="32"/>
          <w:szCs w:val="32"/>
        </w:rPr>
        <w:t>11.</w:t>
      </w:r>
      <w:r>
        <w:rPr>
          <w:rStyle w:val="14"/>
          <w:rFonts w:hint="eastAsia" w:ascii="仿宋_GB2312" w:hAnsi="仿宋_GB2312" w:eastAsia="仿宋_GB2312" w:cs="仿宋_GB2312"/>
          <w:b w:val="0"/>
          <w:color w:val="000000"/>
          <w:sz w:val="32"/>
          <w:szCs w:val="32"/>
        </w:rPr>
        <w:t>一般公共服务（类）财政事务（款）事业运行（项）</w:t>
      </w:r>
      <w:r>
        <w:rPr>
          <w:rStyle w:val="14"/>
          <w:rFonts w:ascii="仿宋_GB2312" w:hAnsi="仿宋_GB2312" w:eastAsia="仿宋_GB2312" w:cs="仿宋_GB2312"/>
          <w:b w:val="0"/>
          <w:color w:val="000000"/>
          <w:sz w:val="32"/>
          <w:szCs w:val="32"/>
        </w:rPr>
        <w:t xml:space="preserve">: </w:t>
      </w:r>
      <w:r>
        <w:rPr>
          <w:rStyle w:val="14"/>
          <w:rFonts w:hint="eastAsia" w:ascii="仿宋_GB2312" w:hAnsi="仿宋_GB2312" w:eastAsia="仿宋_GB2312" w:cs="仿宋_GB2312"/>
          <w:b w:val="0"/>
          <w:color w:val="000000"/>
          <w:sz w:val="32"/>
          <w:szCs w:val="32"/>
        </w:rPr>
        <w:t>指</w:t>
      </w:r>
      <w:r>
        <w:rPr>
          <w:rFonts w:hint="eastAsia" w:ascii="仿宋_GB2312" w:hAnsi="仿宋_GB2312" w:eastAsia="仿宋_GB2312" w:cs="仿宋_GB2312"/>
          <w:color w:val="000000"/>
          <w:kern w:val="0"/>
          <w:sz w:val="32"/>
          <w:szCs w:val="32"/>
        </w:rPr>
        <w:t>单位机关及参公管理事业单位用于保障机构正常运行、开展日常工作的基本支出</w:t>
      </w:r>
      <w:r>
        <w:rPr>
          <w:rStyle w:val="14"/>
          <w:rFonts w:hint="eastAsia" w:ascii="仿宋_GB2312" w:hAnsi="仿宋_GB2312" w:eastAsia="仿宋_GB2312" w:cs="仿宋_GB2312"/>
          <w:b w:val="0"/>
          <w:color w:val="000000"/>
          <w:sz w:val="32"/>
          <w:szCs w:val="32"/>
        </w:rPr>
        <w:t>。</w:t>
      </w:r>
    </w:p>
    <w:p>
      <w:pPr>
        <w:spacing w:line="576" w:lineRule="atLeast"/>
        <w:ind w:firstLine="640" w:firstLineChars="200"/>
        <w:rPr>
          <w:rStyle w:val="14"/>
          <w:rFonts w:ascii="仿宋_GB2312" w:hAnsi="仿宋_GB2312" w:eastAsia="仿宋_GB2312"/>
          <w:b w:val="0"/>
          <w:color w:val="000000"/>
          <w:sz w:val="32"/>
          <w:szCs w:val="32"/>
        </w:rPr>
      </w:pPr>
      <w:r>
        <w:rPr>
          <w:rStyle w:val="14"/>
          <w:rFonts w:ascii="仿宋_GB2312" w:hAnsi="仿宋_GB2312" w:eastAsia="仿宋_GB2312" w:cs="仿宋_GB2312"/>
          <w:b w:val="0"/>
          <w:color w:val="000000"/>
          <w:sz w:val="32"/>
          <w:szCs w:val="32"/>
        </w:rPr>
        <w:t>12.</w:t>
      </w:r>
      <w:r>
        <w:rPr>
          <w:rStyle w:val="14"/>
          <w:rFonts w:hint="eastAsia" w:ascii="仿宋_GB2312" w:hAnsi="仿宋_GB2312" w:eastAsia="仿宋_GB2312" w:cs="仿宋_GB2312"/>
          <w:b w:val="0"/>
          <w:color w:val="000000"/>
          <w:sz w:val="32"/>
          <w:szCs w:val="32"/>
        </w:rPr>
        <w:t>一般公共服务（类）民族事务（款）其他民族事务支出（项）</w:t>
      </w:r>
      <w:r>
        <w:rPr>
          <w:rStyle w:val="14"/>
          <w:rFonts w:ascii="仿宋_GB2312" w:hAnsi="仿宋_GB2312" w:eastAsia="仿宋_GB2312" w:cs="仿宋_GB2312"/>
          <w:b w:val="0"/>
          <w:color w:val="000000"/>
          <w:sz w:val="32"/>
          <w:szCs w:val="32"/>
        </w:rPr>
        <w:t xml:space="preserve">: </w:t>
      </w:r>
      <w:r>
        <w:rPr>
          <w:rStyle w:val="14"/>
          <w:rFonts w:hint="eastAsia" w:ascii="仿宋_GB2312" w:hAnsi="仿宋_GB2312" w:eastAsia="仿宋_GB2312" w:cs="仿宋_GB2312"/>
          <w:b w:val="0"/>
          <w:color w:val="000000"/>
          <w:sz w:val="32"/>
          <w:szCs w:val="32"/>
        </w:rPr>
        <w:t>指单位除上述项目以外其他用于民族事务方面的支出。</w:t>
      </w:r>
    </w:p>
    <w:p>
      <w:pPr>
        <w:spacing w:line="576" w:lineRule="atLeast"/>
        <w:ind w:firstLine="640" w:firstLineChars="200"/>
        <w:rPr>
          <w:rStyle w:val="14"/>
          <w:rFonts w:ascii="仿宋_GB2312" w:hAnsi="仿宋_GB2312" w:eastAsia="仿宋_GB2312"/>
          <w:b w:val="0"/>
          <w:color w:val="000000"/>
          <w:sz w:val="32"/>
          <w:szCs w:val="32"/>
        </w:rPr>
      </w:pPr>
      <w:r>
        <w:rPr>
          <w:rStyle w:val="14"/>
          <w:rFonts w:ascii="仿宋_GB2312" w:hAnsi="仿宋_GB2312" w:eastAsia="仿宋_GB2312" w:cs="仿宋_GB2312"/>
          <w:b w:val="0"/>
          <w:color w:val="000000"/>
          <w:sz w:val="32"/>
          <w:szCs w:val="32"/>
        </w:rPr>
        <w:t>13.</w:t>
      </w:r>
      <w:r>
        <w:rPr>
          <w:rStyle w:val="14"/>
          <w:rFonts w:hint="eastAsia" w:ascii="仿宋_GB2312" w:hAnsi="仿宋_GB2312" w:eastAsia="仿宋_GB2312" w:cs="仿宋_GB2312"/>
          <w:b w:val="0"/>
          <w:color w:val="000000"/>
          <w:sz w:val="32"/>
          <w:szCs w:val="32"/>
        </w:rPr>
        <w:t>一般公共服务（类）党委办公厅（室）及相关机构事务（款）行政运行（项）</w:t>
      </w:r>
      <w:r>
        <w:rPr>
          <w:rStyle w:val="14"/>
          <w:rFonts w:ascii="仿宋_GB2312" w:hAnsi="仿宋_GB2312" w:eastAsia="仿宋_GB2312" w:cs="仿宋_GB2312"/>
          <w:b w:val="0"/>
          <w:color w:val="000000"/>
          <w:sz w:val="32"/>
          <w:szCs w:val="32"/>
        </w:rPr>
        <w:t xml:space="preserve">: </w:t>
      </w:r>
      <w:r>
        <w:rPr>
          <w:rStyle w:val="14"/>
          <w:rFonts w:hint="eastAsia" w:ascii="仿宋_GB2312" w:hAnsi="仿宋_GB2312" w:eastAsia="仿宋_GB2312" w:cs="仿宋_GB2312"/>
          <w:b w:val="0"/>
          <w:color w:val="000000"/>
          <w:sz w:val="32"/>
          <w:szCs w:val="32"/>
        </w:rPr>
        <w:t>指单位</w:t>
      </w:r>
      <w:r>
        <w:rPr>
          <w:rFonts w:hint="eastAsia" w:ascii="仿宋_GB2312" w:hAnsi="仿宋_GB2312" w:eastAsia="仿宋_GB2312" w:cs="仿宋_GB2312"/>
          <w:color w:val="000000"/>
          <w:kern w:val="0"/>
          <w:sz w:val="32"/>
          <w:szCs w:val="32"/>
        </w:rPr>
        <w:t>用于保障机构正常运行、开展日常工作的基本支出</w:t>
      </w:r>
      <w:r>
        <w:rPr>
          <w:rStyle w:val="14"/>
          <w:rFonts w:hint="eastAsia" w:ascii="仿宋_GB2312" w:hAnsi="仿宋_GB2312" w:eastAsia="仿宋_GB2312" w:cs="仿宋_GB2312"/>
          <w:b w:val="0"/>
          <w:color w:val="000000"/>
          <w:sz w:val="32"/>
          <w:szCs w:val="32"/>
        </w:rPr>
        <w:t>。</w:t>
      </w:r>
    </w:p>
    <w:p>
      <w:pPr>
        <w:spacing w:line="576" w:lineRule="atLeast"/>
        <w:ind w:firstLine="640" w:firstLineChars="200"/>
        <w:rPr>
          <w:rStyle w:val="14"/>
          <w:rFonts w:ascii="仿宋_GB2312" w:hAnsi="仿宋_GB2312" w:eastAsia="仿宋_GB2312"/>
          <w:b w:val="0"/>
          <w:color w:val="000000"/>
          <w:sz w:val="32"/>
          <w:szCs w:val="32"/>
        </w:rPr>
      </w:pPr>
      <w:r>
        <w:rPr>
          <w:rStyle w:val="14"/>
          <w:rFonts w:ascii="仿宋_GB2312" w:hAnsi="仿宋_GB2312" w:eastAsia="仿宋_GB2312" w:cs="仿宋_GB2312"/>
          <w:b w:val="0"/>
          <w:color w:val="000000"/>
          <w:sz w:val="32"/>
          <w:szCs w:val="32"/>
        </w:rPr>
        <w:t>14.</w:t>
      </w:r>
      <w:r>
        <w:rPr>
          <w:rStyle w:val="14"/>
          <w:rFonts w:hint="eastAsia" w:ascii="仿宋_GB2312" w:hAnsi="仿宋_GB2312" w:eastAsia="仿宋_GB2312" w:cs="仿宋_GB2312"/>
          <w:b w:val="0"/>
          <w:color w:val="000000"/>
          <w:sz w:val="32"/>
          <w:szCs w:val="32"/>
        </w:rPr>
        <w:t>国防支出（类）其他国防支出（款）其他国防支出（项）</w:t>
      </w:r>
      <w:r>
        <w:rPr>
          <w:rStyle w:val="14"/>
          <w:rFonts w:ascii="仿宋_GB2312" w:hAnsi="仿宋_GB2312" w:eastAsia="仿宋_GB2312" w:cs="仿宋_GB2312"/>
          <w:b w:val="0"/>
          <w:color w:val="000000"/>
          <w:sz w:val="32"/>
          <w:szCs w:val="32"/>
        </w:rPr>
        <w:t xml:space="preserve">: </w:t>
      </w:r>
      <w:r>
        <w:rPr>
          <w:rStyle w:val="14"/>
          <w:rFonts w:hint="eastAsia" w:ascii="仿宋_GB2312" w:hAnsi="仿宋_GB2312" w:eastAsia="仿宋_GB2312" w:cs="仿宋_GB2312"/>
          <w:b w:val="0"/>
          <w:color w:val="000000"/>
          <w:sz w:val="32"/>
          <w:szCs w:val="32"/>
        </w:rPr>
        <w:t>指单位其他用于国防方面的支出。</w:t>
      </w:r>
    </w:p>
    <w:p>
      <w:pPr>
        <w:spacing w:line="576" w:lineRule="atLeast"/>
        <w:ind w:firstLine="640" w:firstLineChars="200"/>
        <w:rPr>
          <w:rStyle w:val="14"/>
          <w:rFonts w:ascii="仿宋_GB2312" w:hAnsi="仿宋_GB2312" w:eastAsia="仿宋_GB2312"/>
          <w:b w:val="0"/>
          <w:color w:val="000000"/>
          <w:sz w:val="32"/>
          <w:szCs w:val="32"/>
        </w:rPr>
      </w:pPr>
      <w:r>
        <w:rPr>
          <w:rStyle w:val="14"/>
          <w:rFonts w:ascii="仿宋_GB2312" w:hAnsi="仿宋_GB2312" w:eastAsia="仿宋_GB2312" w:cs="仿宋_GB2312"/>
          <w:b w:val="0"/>
          <w:color w:val="000000"/>
          <w:sz w:val="32"/>
          <w:szCs w:val="32"/>
        </w:rPr>
        <w:t>1</w:t>
      </w:r>
      <w:r>
        <w:rPr>
          <w:rStyle w:val="14"/>
          <w:rFonts w:hint="eastAsia" w:ascii="仿宋_GB2312" w:hAnsi="仿宋_GB2312" w:eastAsia="仿宋_GB2312" w:cs="仿宋_GB2312"/>
          <w:b w:val="0"/>
          <w:color w:val="000000"/>
          <w:sz w:val="32"/>
          <w:szCs w:val="32"/>
        </w:rPr>
        <w:t>5</w:t>
      </w:r>
      <w:r>
        <w:rPr>
          <w:rStyle w:val="14"/>
          <w:rFonts w:ascii="仿宋_GB2312" w:hAnsi="仿宋_GB2312" w:eastAsia="仿宋_GB2312" w:cs="仿宋_GB2312"/>
          <w:b w:val="0"/>
          <w:color w:val="000000"/>
          <w:sz w:val="32"/>
          <w:szCs w:val="32"/>
        </w:rPr>
        <w:t>.</w:t>
      </w:r>
      <w:r>
        <w:rPr>
          <w:rStyle w:val="14"/>
          <w:rFonts w:hint="eastAsia" w:ascii="仿宋_GB2312" w:hAnsi="仿宋_GB2312" w:eastAsia="仿宋_GB2312" w:cs="仿宋_GB2312"/>
          <w:b w:val="0"/>
          <w:color w:val="000000"/>
          <w:sz w:val="32"/>
          <w:szCs w:val="32"/>
        </w:rPr>
        <w:t>社会保障和就业（类）行政事业单位离退休（款）机关事业单位基本养老保险缴费支出（项）</w:t>
      </w:r>
      <w:r>
        <w:rPr>
          <w:rStyle w:val="14"/>
          <w:rFonts w:ascii="仿宋_GB2312" w:hAnsi="仿宋_GB2312" w:eastAsia="仿宋_GB2312" w:cs="仿宋_GB2312"/>
          <w:b w:val="0"/>
          <w:color w:val="000000"/>
          <w:sz w:val="32"/>
          <w:szCs w:val="32"/>
        </w:rPr>
        <w:t xml:space="preserve">: </w:t>
      </w:r>
      <w:r>
        <w:rPr>
          <w:rStyle w:val="14"/>
          <w:rFonts w:hint="eastAsia" w:ascii="仿宋_GB2312" w:hAnsi="仿宋_GB2312" w:eastAsia="仿宋_GB2312" w:cs="仿宋_GB2312"/>
          <w:b w:val="0"/>
          <w:color w:val="000000"/>
          <w:sz w:val="32"/>
          <w:szCs w:val="32"/>
        </w:rPr>
        <w:t>指</w:t>
      </w:r>
      <w:r>
        <w:rPr>
          <w:rFonts w:hint="eastAsia" w:ascii="仿宋_GB2312" w:hAnsi="仿宋_GB2312" w:eastAsia="仿宋_GB2312" w:cs="仿宋_GB2312"/>
          <w:color w:val="000000"/>
          <w:kern w:val="0"/>
          <w:sz w:val="32"/>
          <w:szCs w:val="32"/>
        </w:rPr>
        <w:t>单位实施养老保险制度由单位缴纳的养老保险费的支出</w:t>
      </w:r>
      <w:r>
        <w:rPr>
          <w:rStyle w:val="14"/>
          <w:rFonts w:hint="eastAsia" w:ascii="仿宋_GB2312" w:hAnsi="仿宋_GB2312" w:eastAsia="仿宋_GB2312" w:cs="仿宋_GB2312"/>
          <w:b w:val="0"/>
          <w:color w:val="000000"/>
          <w:sz w:val="32"/>
          <w:szCs w:val="32"/>
        </w:rPr>
        <w:t>。</w:t>
      </w:r>
    </w:p>
    <w:p>
      <w:pPr>
        <w:spacing w:line="576" w:lineRule="atLeast"/>
        <w:ind w:firstLine="640" w:firstLineChars="200"/>
        <w:rPr>
          <w:rStyle w:val="14"/>
          <w:rFonts w:ascii="仿宋_GB2312" w:hAnsi="仿宋_GB2312" w:eastAsia="仿宋_GB2312"/>
          <w:b w:val="0"/>
          <w:color w:val="000000"/>
          <w:sz w:val="32"/>
          <w:szCs w:val="32"/>
        </w:rPr>
      </w:pPr>
      <w:r>
        <w:rPr>
          <w:rStyle w:val="14"/>
          <w:rFonts w:hint="eastAsia" w:ascii="仿宋_GB2312" w:hAnsi="仿宋_GB2312" w:eastAsia="仿宋_GB2312" w:cs="仿宋_GB2312"/>
          <w:b w:val="0"/>
          <w:color w:val="000000"/>
          <w:sz w:val="32"/>
          <w:szCs w:val="32"/>
        </w:rPr>
        <w:t>16</w:t>
      </w:r>
      <w:r>
        <w:rPr>
          <w:rStyle w:val="14"/>
          <w:rFonts w:ascii="仿宋_GB2312" w:hAnsi="仿宋_GB2312" w:eastAsia="仿宋_GB2312" w:cs="仿宋_GB2312"/>
          <w:b w:val="0"/>
          <w:color w:val="000000"/>
          <w:sz w:val="32"/>
          <w:szCs w:val="32"/>
        </w:rPr>
        <w:t>.</w:t>
      </w:r>
      <w:r>
        <w:rPr>
          <w:rStyle w:val="14"/>
          <w:rFonts w:hint="eastAsia" w:ascii="仿宋_GB2312" w:hAnsi="仿宋_GB2312" w:eastAsia="仿宋_GB2312" w:cs="仿宋_GB2312"/>
          <w:b w:val="0"/>
          <w:color w:val="000000"/>
          <w:sz w:val="32"/>
          <w:szCs w:val="32"/>
        </w:rPr>
        <w:t>社会保障和就业（类）行政事业单位离退休（款）机关事业单位职业年金缴费支出（项）</w:t>
      </w:r>
      <w:r>
        <w:rPr>
          <w:rStyle w:val="14"/>
          <w:rFonts w:ascii="仿宋_GB2312" w:hAnsi="仿宋_GB2312" w:eastAsia="仿宋_GB2312" w:cs="仿宋_GB2312"/>
          <w:b w:val="0"/>
          <w:color w:val="000000"/>
          <w:sz w:val="32"/>
          <w:szCs w:val="32"/>
        </w:rPr>
        <w:t xml:space="preserve">: </w:t>
      </w:r>
      <w:r>
        <w:rPr>
          <w:rStyle w:val="14"/>
          <w:rFonts w:hint="eastAsia" w:ascii="仿宋_GB2312" w:hAnsi="仿宋_GB2312" w:eastAsia="仿宋_GB2312" w:cs="仿宋_GB2312"/>
          <w:b w:val="0"/>
          <w:color w:val="000000"/>
          <w:sz w:val="32"/>
          <w:szCs w:val="32"/>
        </w:rPr>
        <w:t>指</w:t>
      </w:r>
      <w:r>
        <w:rPr>
          <w:rFonts w:hint="eastAsia" w:ascii="仿宋_GB2312" w:hAnsi="仿宋_GB2312" w:eastAsia="仿宋_GB2312" w:cs="仿宋_GB2312"/>
          <w:color w:val="000000"/>
          <w:kern w:val="0"/>
          <w:sz w:val="32"/>
          <w:szCs w:val="32"/>
        </w:rPr>
        <w:t>单位实施养老保险制度由单位缴纳的职业年金的支出</w:t>
      </w:r>
      <w:r>
        <w:rPr>
          <w:rStyle w:val="14"/>
          <w:rFonts w:hint="eastAsia" w:ascii="仿宋_GB2312" w:hAnsi="仿宋_GB2312" w:eastAsia="仿宋_GB2312" w:cs="仿宋_GB2312"/>
          <w:b w:val="0"/>
          <w:color w:val="000000"/>
          <w:sz w:val="32"/>
          <w:szCs w:val="32"/>
        </w:rPr>
        <w:t>。</w:t>
      </w:r>
    </w:p>
    <w:p>
      <w:pPr>
        <w:spacing w:line="576" w:lineRule="atLeast"/>
        <w:ind w:firstLine="640" w:firstLineChars="200"/>
        <w:rPr>
          <w:rStyle w:val="14"/>
          <w:rFonts w:ascii="仿宋_GB2312" w:hAnsi="仿宋_GB2312" w:eastAsia="仿宋_GB2312"/>
          <w:b w:val="0"/>
          <w:color w:val="000000"/>
          <w:sz w:val="32"/>
          <w:szCs w:val="32"/>
        </w:rPr>
      </w:pPr>
      <w:r>
        <w:rPr>
          <w:rStyle w:val="14"/>
          <w:rFonts w:hint="eastAsia" w:ascii="仿宋_GB2312" w:hAnsi="仿宋_GB2312" w:eastAsia="仿宋_GB2312" w:cs="仿宋_GB2312"/>
          <w:b w:val="0"/>
          <w:color w:val="000000"/>
          <w:sz w:val="32"/>
          <w:szCs w:val="32"/>
        </w:rPr>
        <w:t>17</w:t>
      </w:r>
      <w:r>
        <w:rPr>
          <w:rStyle w:val="14"/>
          <w:rFonts w:ascii="仿宋_GB2312" w:hAnsi="仿宋_GB2312" w:eastAsia="仿宋_GB2312" w:cs="仿宋_GB2312"/>
          <w:b w:val="0"/>
          <w:color w:val="000000"/>
          <w:sz w:val="32"/>
          <w:szCs w:val="32"/>
        </w:rPr>
        <w:t>.</w:t>
      </w:r>
      <w:r>
        <w:rPr>
          <w:rStyle w:val="14"/>
          <w:rFonts w:hint="eastAsia" w:ascii="仿宋_GB2312" w:hAnsi="仿宋_GB2312" w:eastAsia="仿宋_GB2312" w:cs="仿宋_GB2312"/>
          <w:b w:val="0"/>
          <w:color w:val="000000"/>
          <w:sz w:val="32"/>
          <w:szCs w:val="32"/>
        </w:rPr>
        <w:t>社会保障和就业（类）社会福利（款）老年福利（项）</w:t>
      </w:r>
      <w:r>
        <w:rPr>
          <w:rStyle w:val="14"/>
          <w:rFonts w:ascii="仿宋_GB2312" w:hAnsi="仿宋_GB2312" w:eastAsia="仿宋_GB2312" w:cs="仿宋_GB2312"/>
          <w:b w:val="0"/>
          <w:color w:val="000000"/>
          <w:sz w:val="32"/>
          <w:szCs w:val="32"/>
        </w:rPr>
        <w:t xml:space="preserve">: </w:t>
      </w:r>
      <w:r>
        <w:rPr>
          <w:rStyle w:val="14"/>
          <w:rFonts w:hint="eastAsia" w:ascii="仿宋_GB2312" w:hAnsi="仿宋_GB2312" w:eastAsia="仿宋_GB2312" w:cs="仿宋_GB2312"/>
          <w:b w:val="0"/>
          <w:color w:val="000000"/>
          <w:sz w:val="32"/>
          <w:szCs w:val="32"/>
        </w:rPr>
        <w:t>指对老年人提供福利服务方面的支出。</w:t>
      </w:r>
    </w:p>
    <w:p>
      <w:pPr>
        <w:spacing w:line="576" w:lineRule="atLeast"/>
        <w:ind w:firstLine="640" w:firstLineChars="200"/>
        <w:rPr>
          <w:rStyle w:val="14"/>
          <w:rFonts w:ascii="仿宋_GB2312" w:hAnsi="仿宋_GB2312" w:eastAsia="仿宋_GB2312"/>
          <w:b w:val="0"/>
          <w:color w:val="000000"/>
          <w:sz w:val="32"/>
          <w:szCs w:val="32"/>
        </w:rPr>
      </w:pPr>
      <w:r>
        <w:rPr>
          <w:rStyle w:val="14"/>
          <w:rFonts w:hint="eastAsia" w:ascii="仿宋_GB2312" w:hAnsi="仿宋_GB2312" w:eastAsia="仿宋_GB2312" w:cs="仿宋_GB2312"/>
          <w:b w:val="0"/>
          <w:color w:val="000000"/>
          <w:sz w:val="32"/>
          <w:szCs w:val="32"/>
        </w:rPr>
        <w:t>18</w:t>
      </w:r>
      <w:r>
        <w:rPr>
          <w:rStyle w:val="14"/>
          <w:rFonts w:ascii="仿宋_GB2312" w:hAnsi="仿宋_GB2312" w:eastAsia="仿宋_GB2312" w:cs="仿宋_GB2312"/>
          <w:b w:val="0"/>
          <w:color w:val="000000"/>
          <w:sz w:val="32"/>
          <w:szCs w:val="32"/>
        </w:rPr>
        <w:t>.</w:t>
      </w:r>
      <w:r>
        <w:rPr>
          <w:rStyle w:val="14"/>
          <w:rFonts w:hint="eastAsia" w:ascii="仿宋_GB2312" w:hAnsi="仿宋_GB2312" w:eastAsia="仿宋_GB2312" w:cs="仿宋_GB2312"/>
          <w:b w:val="0"/>
          <w:color w:val="000000"/>
          <w:sz w:val="32"/>
          <w:szCs w:val="32"/>
        </w:rPr>
        <w:t>社会保障和就业（类）社会福利（款）其他社会福利支出（项）</w:t>
      </w:r>
      <w:r>
        <w:rPr>
          <w:rStyle w:val="14"/>
          <w:rFonts w:ascii="仿宋_GB2312" w:hAnsi="仿宋_GB2312" w:eastAsia="仿宋_GB2312" w:cs="仿宋_GB2312"/>
          <w:b w:val="0"/>
          <w:color w:val="000000"/>
          <w:sz w:val="32"/>
          <w:szCs w:val="32"/>
        </w:rPr>
        <w:t xml:space="preserve">: </w:t>
      </w:r>
      <w:r>
        <w:rPr>
          <w:rStyle w:val="14"/>
          <w:rFonts w:hint="eastAsia" w:ascii="仿宋_GB2312" w:hAnsi="仿宋_GB2312" w:eastAsia="仿宋_GB2312" w:cs="仿宋_GB2312"/>
          <w:b w:val="0"/>
          <w:color w:val="000000"/>
          <w:sz w:val="32"/>
          <w:szCs w:val="32"/>
        </w:rPr>
        <w:t>指除上述项目以外其他用于社会福利方面的支出。</w:t>
      </w:r>
    </w:p>
    <w:p>
      <w:pPr>
        <w:spacing w:line="576" w:lineRule="atLeast"/>
        <w:ind w:firstLine="640" w:firstLineChars="200"/>
        <w:rPr>
          <w:rStyle w:val="14"/>
          <w:rFonts w:ascii="仿宋_GB2312" w:hAnsi="仿宋_GB2312" w:eastAsia="仿宋_GB2312"/>
          <w:b w:val="0"/>
          <w:color w:val="000000"/>
          <w:sz w:val="32"/>
          <w:szCs w:val="32"/>
        </w:rPr>
      </w:pPr>
      <w:r>
        <w:rPr>
          <w:rStyle w:val="14"/>
          <w:rFonts w:hint="eastAsia" w:ascii="仿宋_GB2312" w:hAnsi="仿宋_GB2312" w:eastAsia="仿宋_GB2312" w:cs="仿宋_GB2312"/>
          <w:b w:val="0"/>
          <w:color w:val="000000"/>
          <w:sz w:val="32"/>
          <w:szCs w:val="32"/>
        </w:rPr>
        <w:t>19</w:t>
      </w:r>
      <w:r>
        <w:rPr>
          <w:rStyle w:val="14"/>
          <w:rFonts w:ascii="仿宋_GB2312" w:hAnsi="仿宋_GB2312" w:eastAsia="仿宋_GB2312" w:cs="仿宋_GB2312"/>
          <w:b w:val="0"/>
          <w:color w:val="000000"/>
          <w:sz w:val="32"/>
          <w:szCs w:val="32"/>
        </w:rPr>
        <w:t>.</w:t>
      </w:r>
      <w:r>
        <w:rPr>
          <w:rStyle w:val="14"/>
          <w:rFonts w:hint="eastAsia" w:ascii="仿宋_GB2312" w:hAnsi="仿宋_GB2312" w:eastAsia="仿宋_GB2312" w:cs="仿宋_GB2312"/>
          <w:b w:val="0"/>
          <w:color w:val="000000"/>
          <w:sz w:val="32"/>
          <w:szCs w:val="32"/>
        </w:rPr>
        <w:t>医疗卫生与计划生育（类）基层医疗卫生机构（款）镇镇卫生院（项）</w:t>
      </w:r>
      <w:r>
        <w:rPr>
          <w:rStyle w:val="14"/>
          <w:rFonts w:ascii="仿宋_GB2312" w:hAnsi="仿宋_GB2312" w:eastAsia="仿宋_GB2312" w:cs="仿宋_GB2312"/>
          <w:b w:val="0"/>
          <w:color w:val="000000"/>
          <w:sz w:val="32"/>
          <w:szCs w:val="32"/>
        </w:rPr>
        <w:t>:</w:t>
      </w:r>
      <w:r>
        <w:rPr>
          <w:rStyle w:val="14"/>
          <w:rFonts w:hint="eastAsia" w:ascii="仿宋_GB2312" w:hAnsi="仿宋_GB2312" w:eastAsia="仿宋_GB2312" w:cs="仿宋_GB2312"/>
          <w:b w:val="0"/>
          <w:color w:val="000000"/>
          <w:sz w:val="32"/>
          <w:szCs w:val="32"/>
        </w:rPr>
        <w:t>指用于镇镇卫生院支出。</w:t>
      </w:r>
    </w:p>
    <w:p>
      <w:pPr>
        <w:spacing w:line="576" w:lineRule="atLeast"/>
        <w:ind w:firstLine="640" w:firstLineChars="200"/>
        <w:rPr>
          <w:rStyle w:val="14"/>
          <w:rFonts w:ascii="仿宋_GB2312" w:hAnsi="仿宋_GB2312" w:eastAsia="仿宋_GB2312"/>
          <w:b w:val="0"/>
          <w:color w:val="000000"/>
          <w:sz w:val="32"/>
          <w:szCs w:val="32"/>
        </w:rPr>
      </w:pPr>
      <w:r>
        <w:rPr>
          <w:rStyle w:val="14"/>
          <w:rFonts w:hint="eastAsia" w:ascii="仿宋_GB2312" w:hAnsi="仿宋_GB2312" w:eastAsia="仿宋_GB2312" w:cs="仿宋_GB2312"/>
          <w:b w:val="0"/>
          <w:color w:val="000000"/>
          <w:sz w:val="32"/>
          <w:szCs w:val="32"/>
        </w:rPr>
        <w:t>20</w:t>
      </w:r>
      <w:r>
        <w:rPr>
          <w:rStyle w:val="14"/>
          <w:rFonts w:ascii="仿宋_GB2312" w:hAnsi="仿宋_GB2312" w:eastAsia="仿宋_GB2312" w:cs="仿宋_GB2312"/>
          <w:b w:val="0"/>
          <w:color w:val="000000"/>
          <w:sz w:val="32"/>
          <w:szCs w:val="32"/>
        </w:rPr>
        <w:t>.</w:t>
      </w:r>
      <w:r>
        <w:rPr>
          <w:rStyle w:val="14"/>
          <w:rFonts w:hint="eastAsia" w:ascii="仿宋_GB2312" w:hAnsi="仿宋_GB2312" w:eastAsia="仿宋_GB2312" w:cs="仿宋_GB2312"/>
          <w:b w:val="0"/>
          <w:color w:val="000000"/>
          <w:sz w:val="32"/>
          <w:szCs w:val="32"/>
        </w:rPr>
        <w:t>医疗卫生与计划生育（类）行政事业单位医疗（款）行政单位医疗（项）</w:t>
      </w:r>
      <w:r>
        <w:rPr>
          <w:rStyle w:val="14"/>
          <w:rFonts w:ascii="仿宋_GB2312" w:hAnsi="仿宋_GB2312" w:eastAsia="仿宋_GB2312" w:cs="仿宋_GB2312"/>
          <w:b w:val="0"/>
          <w:color w:val="000000"/>
          <w:sz w:val="32"/>
          <w:szCs w:val="32"/>
        </w:rPr>
        <w:t>:</w:t>
      </w:r>
      <w:r>
        <w:rPr>
          <w:rStyle w:val="14"/>
          <w:rFonts w:hint="eastAsia" w:ascii="仿宋_GB2312" w:hAnsi="仿宋_GB2312" w:eastAsia="仿宋_GB2312" w:cs="仿宋_GB2312"/>
          <w:b w:val="0"/>
          <w:color w:val="000000"/>
          <w:sz w:val="32"/>
          <w:szCs w:val="32"/>
        </w:rPr>
        <w:t>指</w:t>
      </w:r>
      <w:r>
        <w:rPr>
          <w:rFonts w:hint="eastAsia" w:ascii="仿宋_GB2312" w:hAnsi="仿宋_GB2312" w:eastAsia="仿宋_GB2312" w:cs="仿宋_GB2312"/>
          <w:color w:val="000000"/>
          <w:kern w:val="0"/>
          <w:sz w:val="32"/>
          <w:szCs w:val="32"/>
        </w:rPr>
        <w:t>行政单位用于缴纳单位基本医疗保险支出</w:t>
      </w:r>
      <w:r>
        <w:rPr>
          <w:rStyle w:val="14"/>
          <w:rFonts w:hint="eastAsia" w:ascii="仿宋_GB2312" w:hAnsi="仿宋_GB2312" w:eastAsia="仿宋_GB2312" w:cs="仿宋_GB2312"/>
          <w:b w:val="0"/>
          <w:color w:val="000000"/>
          <w:sz w:val="32"/>
          <w:szCs w:val="32"/>
        </w:rPr>
        <w:t>。</w:t>
      </w:r>
    </w:p>
    <w:p>
      <w:pPr>
        <w:spacing w:line="576" w:lineRule="atLeast"/>
        <w:ind w:firstLine="640" w:firstLineChars="200"/>
        <w:rPr>
          <w:rStyle w:val="14"/>
          <w:rFonts w:ascii="仿宋_GB2312" w:hAnsi="仿宋_GB2312" w:eastAsia="仿宋_GB2312"/>
          <w:b w:val="0"/>
          <w:color w:val="000000"/>
          <w:sz w:val="32"/>
          <w:szCs w:val="32"/>
        </w:rPr>
      </w:pPr>
      <w:r>
        <w:rPr>
          <w:rStyle w:val="14"/>
          <w:rFonts w:hint="eastAsia" w:ascii="仿宋_GB2312" w:hAnsi="仿宋_GB2312" w:eastAsia="仿宋_GB2312" w:cs="仿宋_GB2312"/>
          <w:b w:val="0"/>
          <w:color w:val="000000"/>
          <w:sz w:val="32"/>
          <w:szCs w:val="32"/>
        </w:rPr>
        <w:t>21</w:t>
      </w:r>
      <w:r>
        <w:rPr>
          <w:rStyle w:val="14"/>
          <w:rFonts w:ascii="仿宋_GB2312" w:hAnsi="仿宋_GB2312" w:eastAsia="仿宋_GB2312" w:cs="仿宋_GB2312"/>
          <w:b w:val="0"/>
          <w:color w:val="000000"/>
          <w:sz w:val="32"/>
          <w:szCs w:val="32"/>
        </w:rPr>
        <w:t>.</w:t>
      </w:r>
      <w:r>
        <w:rPr>
          <w:rStyle w:val="14"/>
          <w:rFonts w:hint="eastAsia" w:ascii="仿宋_GB2312" w:hAnsi="仿宋_GB2312" w:eastAsia="仿宋_GB2312" w:cs="仿宋_GB2312"/>
          <w:b w:val="0"/>
          <w:color w:val="000000"/>
          <w:sz w:val="32"/>
          <w:szCs w:val="32"/>
        </w:rPr>
        <w:t>医疗卫生与计划生育（类）行政事业单位医疗（款）事业单位医疗（项）</w:t>
      </w:r>
      <w:r>
        <w:rPr>
          <w:rStyle w:val="14"/>
          <w:rFonts w:ascii="仿宋_GB2312" w:hAnsi="仿宋_GB2312" w:eastAsia="仿宋_GB2312" w:cs="仿宋_GB2312"/>
          <w:b w:val="0"/>
          <w:color w:val="000000"/>
          <w:sz w:val="32"/>
          <w:szCs w:val="32"/>
        </w:rPr>
        <w:t>:</w:t>
      </w:r>
      <w:r>
        <w:rPr>
          <w:rStyle w:val="14"/>
          <w:rFonts w:hint="eastAsia" w:ascii="仿宋_GB2312" w:hAnsi="仿宋_GB2312" w:eastAsia="仿宋_GB2312" w:cs="仿宋_GB2312"/>
          <w:b w:val="0"/>
          <w:color w:val="000000"/>
          <w:sz w:val="32"/>
          <w:szCs w:val="32"/>
        </w:rPr>
        <w:t>指</w:t>
      </w:r>
      <w:r>
        <w:rPr>
          <w:rFonts w:hint="eastAsia" w:ascii="仿宋_GB2312" w:hAnsi="仿宋_GB2312" w:eastAsia="仿宋_GB2312" w:cs="仿宋_GB2312"/>
          <w:color w:val="000000"/>
          <w:kern w:val="0"/>
          <w:sz w:val="32"/>
          <w:szCs w:val="32"/>
        </w:rPr>
        <w:t>事业单位用于缴纳单位基本医疗保险支出</w:t>
      </w:r>
      <w:r>
        <w:rPr>
          <w:rStyle w:val="14"/>
          <w:rFonts w:hint="eastAsia" w:ascii="仿宋_GB2312" w:hAnsi="仿宋_GB2312" w:eastAsia="仿宋_GB2312" w:cs="仿宋_GB2312"/>
          <w:b w:val="0"/>
          <w:color w:val="000000"/>
          <w:sz w:val="32"/>
          <w:szCs w:val="32"/>
        </w:rPr>
        <w:t>。</w:t>
      </w:r>
    </w:p>
    <w:p>
      <w:pPr>
        <w:spacing w:line="576" w:lineRule="atLeast"/>
        <w:ind w:firstLine="640" w:firstLineChars="200"/>
        <w:rPr>
          <w:rStyle w:val="14"/>
          <w:rFonts w:ascii="仿宋_GB2312" w:hAnsi="仿宋_GB2312" w:eastAsia="仿宋_GB2312"/>
          <w:b w:val="0"/>
          <w:color w:val="000000"/>
          <w:sz w:val="32"/>
          <w:szCs w:val="32"/>
        </w:rPr>
      </w:pPr>
      <w:r>
        <w:rPr>
          <w:rStyle w:val="14"/>
          <w:rFonts w:hint="eastAsia" w:ascii="仿宋_GB2312" w:hAnsi="仿宋_GB2312" w:eastAsia="仿宋_GB2312" w:cs="仿宋_GB2312"/>
          <w:b w:val="0"/>
          <w:color w:val="000000"/>
          <w:sz w:val="32"/>
          <w:szCs w:val="32"/>
        </w:rPr>
        <w:t>22</w:t>
      </w:r>
      <w:r>
        <w:rPr>
          <w:rStyle w:val="14"/>
          <w:rFonts w:ascii="仿宋_GB2312" w:hAnsi="仿宋_GB2312" w:eastAsia="仿宋_GB2312" w:cs="仿宋_GB2312"/>
          <w:b w:val="0"/>
          <w:color w:val="000000"/>
          <w:sz w:val="32"/>
          <w:szCs w:val="32"/>
        </w:rPr>
        <w:t>.</w:t>
      </w:r>
      <w:r>
        <w:rPr>
          <w:rStyle w:val="14"/>
          <w:rFonts w:hint="eastAsia" w:ascii="仿宋_GB2312" w:hAnsi="仿宋_GB2312" w:eastAsia="仿宋_GB2312" w:cs="仿宋_GB2312"/>
          <w:b w:val="0"/>
          <w:color w:val="000000"/>
          <w:sz w:val="32"/>
          <w:szCs w:val="32"/>
        </w:rPr>
        <w:t>农林水支出（类）农业（款）事业运行（项）</w:t>
      </w:r>
      <w:r>
        <w:rPr>
          <w:rStyle w:val="14"/>
          <w:rFonts w:ascii="仿宋_GB2312" w:hAnsi="仿宋_GB2312" w:eastAsia="仿宋_GB2312" w:cs="仿宋_GB2312"/>
          <w:b w:val="0"/>
          <w:color w:val="000000"/>
          <w:sz w:val="32"/>
          <w:szCs w:val="32"/>
        </w:rPr>
        <w:t xml:space="preserve">: </w:t>
      </w:r>
      <w:r>
        <w:rPr>
          <w:rStyle w:val="14"/>
          <w:rFonts w:hint="eastAsia" w:ascii="仿宋_GB2312" w:hAnsi="仿宋_GB2312" w:eastAsia="仿宋_GB2312" w:cs="仿宋_GB2312"/>
          <w:b w:val="0"/>
          <w:color w:val="000000"/>
          <w:sz w:val="32"/>
          <w:szCs w:val="32"/>
        </w:rPr>
        <w:t>指用于农业事业单位基本支出，事业单位设施、系统运行与资产维护等方面的支出。</w:t>
      </w:r>
    </w:p>
    <w:p>
      <w:pPr>
        <w:spacing w:line="576" w:lineRule="atLeast"/>
        <w:ind w:firstLine="640" w:firstLineChars="200"/>
        <w:rPr>
          <w:rStyle w:val="14"/>
          <w:rFonts w:ascii="仿宋_GB2312" w:hAnsi="仿宋_GB2312" w:eastAsia="仿宋_GB2312"/>
          <w:b w:val="0"/>
          <w:color w:val="000000"/>
          <w:sz w:val="32"/>
          <w:szCs w:val="32"/>
        </w:rPr>
      </w:pPr>
      <w:r>
        <w:rPr>
          <w:rStyle w:val="14"/>
          <w:rFonts w:hint="eastAsia" w:ascii="仿宋_GB2312" w:hAnsi="仿宋_GB2312" w:eastAsia="仿宋_GB2312" w:cs="仿宋_GB2312"/>
          <w:b w:val="0"/>
          <w:color w:val="000000"/>
          <w:sz w:val="32"/>
          <w:szCs w:val="32"/>
        </w:rPr>
        <w:t>23</w:t>
      </w:r>
      <w:r>
        <w:rPr>
          <w:rStyle w:val="14"/>
          <w:rFonts w:ascii="仿宋_GB2312" w:hAnsi="仿宋_GB2312" w:eastAsia="仿宋_GB2312" w:cs="仿宋_GB2312"/>
          <w:b w:val="0"/>
          <w:color w:val="000000"/>
          <w:sz w:val="32"/>
          <w:szCs w:val="32"/>
        </w:rPr>
        <w:t>.</w:t>
      </w:r>
      <w:r>
        <w:rPr>
          <w:rStyle w:val="14"/>
          <w:rFonts w:hint="eastAsia" w:ascii="仿宋_GB2312" w:hAnsi="仿宋_GB2312" w:eastAsia="仿宋_GB2312" w:cs="仿宋_GB2312"/>
          <w:b w:val="0"/>
          <w:color w:val="000000"/>
          <w:sz w:val="32"/>
          <w:szCs w:val="32"/>
        </w:rPr>
        <w:t>农林水支出（类）农业（款）农业资源保护修复与利用（项）</w:t>
      </w:r>
      <w:r>
        <w:rPr>
          <w:rStyle w:val="14"/>
          <w:rFonts w:ascii="仿宋_GB2312" w:hAnsi="仿宋_GB2312" w:eastAsia="仿宋_GB2312" w:cs="仿宋_GB2312"/>
          <w:b w:val="0"/>
          <w:color w:val="000000"/>
          <w:sz w:val="32"/>
          <w:szCs w:val="32"/>
        </w:rPr>
        <w:t xml:space="preserve">: </w:t>
      </w:r>
      <w:r>
        <w:rPr>
          <w:rStyle w:val="14"/>
          <w:rFonts w:hint="eastAsia" w:ascii="仿宋_GB2312" w:hAnsi="仿宋_GB2312" w:eastAsia="仿宋_GB2312" w:cs="仿宋_GB2312"/>
          <w:b w:val="0"/>
          <w:color w:val="000000"/>
          <w:sz w:val="32"/>
          <w:szCs w:val="32"/>
        </w:rPr>
        <w:t>指用于农业耕地保护、修复与建设，草原草场生态保护、改良、利用及建设，渔业水产及水生生物资源保护与利用等方面的支出。</w:t>
      </w:r>
    </w:p>
    <w:p>
      <w:pPr>
        <w:spacing w:line="576" w:lineRule="atLeast"/>
        <w:ind w:firstLine="640" w:firstLineChars="200"/>
        <w:rPr>
          <w:rStyle w:val="14"/>
          <w:rFonts w:ascii="仿宋_GB2312" w:hAnsi="仿宋_GB2312" w:eastAsia="仿宋_GB2312"/>
          <w:b w:val="0"/>
          <w:color w:val="000000"/>
          <w:sz w:val="32"/>
          <w:szCs w:val="32"/>
        </w:rPr>
      </w:pPr>
      <w:r>
        <w:rPr>
          <w:rStyle w:val="14"/>
          <w:rFonts w:hint="eastAsia" w:ascii="仿宋_GB2312" w:hAnsi="仿宋_GB2312" w:eastAsia="仿宋_GB2312" w:cs="仿宋_GB2312"/>
          <w:b w:val="0"/>
          <w:color w:val="000000"/>
          <w:sz w:val="32"/>
          <w:szCs w:val="32"/>
        </w:rPr>
        <w:t>24</w:t>
      </w:r>
      <w:r>
        <w:rPr>
          <w:rStyle w:val="14"/>
          <w:rFonts w:ascii="仿宋_GB2312" w:hAnsi="仿宋_GB2312" w:eastAsia="仿宋_GB2312" w:cs="仿宋_GB2312"/>
          <w:b w:val="0"/>
          <w:color w:val="000000"/>
          <w:sz w:val="32"/>
          <w:szCs w:val="32"/>
        </w:rPr>
        <w:t>.</w:t>
      </w:r>
      <w:r>
        <w:rPr>
          <w:rStyle w:val="14"/>
          <w:rFonts w:hint="eastAsia" w:ascii="仿宋_GB2312" w:hAnsi="仿宋_GB2312" w:eastAsia="仿宋_GB2312" w:cs="仿宋_GB2312"/>
          <w:b w:val="0"/>
          <w:color w:val="000000"/>
          <w:sz w:val="32"/>
          <w:szCs w:val="32"/>
        </w:rPr>
        <w:t>农林水支出（类）农业（款）其他农业支出（项）</w:t>
      </w:r>
      <w:r>
        <w:rPr>
          <w:rStyle w:val="14"/>
          <w:rFonts w:ascii="仿宋_GB2312" w:hAnsi="仿宋_GB2312" w:eastAsia="仿宋_GB2312" w:cs="仿宋_GB2312"/>
          <w:b w:val="0"/>
          <w:color w:val="000000"/>
          <w:sz w:val="32"/>
          <w:szCs w:val="32"/>
        </w:rPr>
        <w:t xml:space="preserve">: </w:t>
      </w:r>
      <w:r>
        <w:rPr>
          <w:rStyle w:val="14"/>
          <w:rFonts w:hint="eastAsia" w:ascii="仿宋_GB2312" w:hAnsi="仿宋_GB2312" w:eastAsia="仿宋_GB2312" w:cs="仿宋_GB2312"/>
          <w:b w:val="0"/>
          <w:color w:val="000000"/>
          <w:sz w:val="32"/>
          <w:szCs w:val="32"/>
        </w:rPr>
        <w:t>指除上述项目以外其他用于农业方面的支出。</w:t>
      </w:r>
    </w:p>
    <w:p>
      <w:pPr>
        <w:spacing w:line="576" w:lineRule="atLeast"/>
        <w:ind w:firstLine="640" w:firstLineChars="200"/>
        <w:rPr>
          <w:rStyle w:val="14"/>
          <w:rFonts w:ascii="仿宋_GB2312" w:hAnsi="仿宋_GB2312" w:eastAsia="仿宋_GB2312"/>
          <w:b w:val="0"/>
          <w:color w:val="000000"/>
          <w:sz w:val="32"/>
          <w:szCs w:val="32"/>
        </w:rPr>
      </w:pPr>
      <w:r>
        <w:rPr>
          <w:rStyle w:val="14"/>
          <w:rFonts w:hint="eastAsia" w:ascii="仿宋_GB2312" w:hAnsi="仿宋_GB2312" w:eastAsia="仿宋_GB2312" w:cs="仿宋_GB2312"/>
          <w:b w:val="0"/>
          <w:color w:val="000000"/>
          <w:sz w:val="32"/>
          <w:szCs w:val="32"/>
        </w:rPr>
        <w:t>25</w:t>
      </w:r>
      <w:r>
        <w:rPr>
          <w:rStyle w:val="14"/>
          <w:rFonts w:ascii="仿宋_GB2312" w:hAnsi="仿宋_GB2312" w:eastAsia="仿宋_GB2312" w:cs="仿宋_GB2312"/>
          <w:b w:val="0"/>
          <w:color w:val="000000"/>
          <w:sz w:val="32"/>
          <w:szCs w:val="32"/>
        </w:rPr>
        <w:t>.</w:t>
      </w:r>
      <w:r>
        <w:rPr>
          <w:rStyle w:val="14"/>
          <w:rFonts w:hint="eastAsia" w:ascii="仿宋_GB2312" w:hAnsi="仿宋_GB2312" w:eastAsia="仿宋_GB2312" w:cs="仿宋_GB2312"/>
          <w:b w:val="0"/>
          <w:color w:val="000000"/>
          <w:sz w:val="32"/>
          <w:szCs w:val="32"/>
        </w:rPr>
        <w:t>农林水支出（类）扶贫（款）农村基础设施建设（项）</w:t>
      </w:r>
      <w:r>
        <w:rPr>
          <w:rStyle w:val="14"/>
          <w:rFonts w:ascii="仿宋_GB2312" w:hAnsi="仿宋_GB2312" w:eastAsia="仿宋_GB2312" w:cs="仿宋_GB2312"/>
          <w:b w:val="0"/>
          <w:color w:val="000000"/>
          <w:sz w:val="32"/>
          <w:szCs w:val="32"/>
        </w:rPr>
        <w:t xml:space="preserve">: </w:t>
      </w:r>
      <w:r>
        <w:rPr>
          <w:rStyle w:val="14"/>
          <w:rFonts w:hint="eastAsia" w:ascii="仿宋_GB2312" w:hAnsi="仿宋_GB2312" w:eastAsia="仿宋_GB2312" w:cs="仿宋_GB2312"/>
          <w:b w:val="0"/>
          <w:color w:val="000000"/>
          <w:sz w:val="32"/>
          <w:szCs w:val="32"/>
        </w:rPr>
        <w:t>指用于农村贫困地区镇村道路、住房、基本农田、水利设施、</w:t>
      </w:r>
      <w:r>
        <w:rPr>
          <w:rStyle w:val="14"/>
          <w:rFonts w:hint="eastAsia" w:ascii="仿宋_GB2312" w:hAnsi="仿宋_GB2312" w:eastAsia="仿宋_GB2312" w:cs="仿宋_GB2312"/>
          <w:b w:val="0"/>
          <w:color w:val="000000"/>
          <w:sz w:val="32"/>
          <w:szCs w:val="32"/>
          <w:lang w:eastAsia="zh-CN"/>
        </w:rPr>
        <w:t>人畜饮水</w:t>
      </w:r>
      <w:r>
        <w:rPr>
          <w:rStyle w:val="14"/>
          <w:rFonts w:hint="eastAsia" w:ascii="仿宋_GB2312" w:hAnsi="仿宋_GB2312" w:eastAsia="仿宋_GB2312" w:cs="仿宋_GB2312"/>
          <w:b w:val="0"/>
          <w:color w:val="000000"/>
          <w:sz w:val="32"/>
          <w:szCs w:val="32"/>
        </w:rPr>
        <w:t>、生态环境保护等生产生活条件改善方面的支出。</w:t>
      </w:r>
    </w:p>
    <w:p>
      <w:pPr>
        <w:spacing w:line="576" w:lineRule="atLeast"/>
        <w:ind w:firstLine="640" w:firstLineChars="200"/>
        <w:rPr>
          <w:rStyle w:val="14"/>
          <w:rFonts w:ascii="仿宋_GB2312" w:hAnsi="仿宋_GB2312" w:eastAsia="仿宋_GB2312"/>
          <w:b w:val="0"/>
          <w:color w:val="000000"/>
          <w:sz w:val="32"/>
          <w:szCs w:val="32"/>
        </w:rPr>
      </w:pPr>
      <w:r>
        <w:rPr>
          <w:rStyle w:val="14"/>
          <w:rFonts w:hint="eastAsia" w:ascii="仿宋_GB2312" w:hAnsi="仿宋_GB2312" w:eastAsia="仿宋_GB2312" w:cs="仿宋_GB2312"/>
          <w:b w:val="0"/>
          <w:color w:val="000000"/>
          <w:sz w:val="32"/>
          <w:szCs w:val="32"/>
        </w:rPr>
        <w:t>26</w:t>
      </w:r>
      <w:r>
        <w:rPr>
          <w:rStyle w:val="14"/>
          <w:rFonts w:ascii="仿宋_GB2312" w:hAnsi="仿宋_GB2312" w:eastAsia="仿宋_GB2312" w:cs="仿宋_GB2312"/>
          <w:b w:val="0"/>
          <w:color w:val="000000"/>
          <w:sz w:val="32"/>
          <w:szCs w:val="32"/>
        </w:rPr>
        <w:t>.</w:t>
      </w:r>
      <w:r>
        <w:rPr>
          <w:rStyle w:val="14"/>
          <w:rFonts w:hint="eastAsia" w:ascii="仿宋_GB2312" w:hAnsi="仿宋_GB2312" w:eastAsia="仿宋_GB2312" w:cs="仿宋_GB2312"/>
          <w:b w:val="0"/>
          <w:color w:val="000000"/>
          <w:sz w:val="32"/>
          <w:szCs w:val="32"/>
        </w:rPr>
        <w:t>农林水支出（类）扶贫（款）其他扶贫支出（项）</w:t>
      </w:r>
      <w:r>
        <w:rPr>
          <w:rStyle w:val="14"/>
          <w:rFonts w:ascii="仿宋_GB2312" w:hAnsi="仿宋_GB2312" w:eastAsia="仿宋_GB2312" w:cs="仿宋_GB2312"/>
          <w:b w:val="0"/>
          <w:color w:val="000000"/>
          <w:sz w:val="32"/>
          <w:szCs w:val="32"/>
        </w:rPr>
        <w:t xml:space="preserve">: </w:t>
      </w:r>
      <w:r>
        <w:rPr>
          <w:rStyle w:val="14"/>
          <w:rFonts w:hint="eastAsia" w:ascii="仿宋_GB2312" w:hAnsi="仿宋_GB2312" w:eastAsia="仿宋_GB2312" w:cs="仿宋_GB2312"/>
          <w:b w:val="0"/>
          <w:color w:val="000000"/>
          <w:sz w:val="32"/>
          <w:szCs w:val="32"/>
        </w:rPr>
        <w:t>指农业综合开发部门的其他支出。</w:t>
      </w:r>
    </w:p>
    <w:p>
      <w:pPr>
        <w:spacing w:line="576" w:lineRule="atLeast"/>
        <w:ind w:firstLine="640" w:firstLineChars="200"/>
        <w:rPr>
          <w:rStyle w:val="14"/>
          <w:rFonts w:ascii="仿宋_GB2312" w:hAnsi="仿宋_GB2312" w:eastAsia="仿宋_GB2312"/>
          <w:b w:val="0"/>
          <w:color w:val="000000"/>
          <w:sz w:val="32"/>
          <w:szCs w:val="32"/>
        </w:rPr>
      </w:pPr>
      <w:r>
        <w:rPr>
          <w:rStyle w:val="14"/>
          <w:rFonts w:hint="eastAsia" w:ascii="仿宋_GB2312" w:hAnsi="仿宋_GB2312" w:eastAsia="仿宋_GB2312" w:cs="仿宋_GB2312"/>
          <w:b w:val="0"/>
          <w:color w:val="000000"/>
          <w:sz w:val="32"/>
          <w:szCs w:val="32"/>
        </w:rPr>
        <w:t>27</w:t>
      </w:r>
      <w:r>
        <w:rPr>
          <w:rStyle w:val="14"/>
          <w:rFonts w:ascii="仿宋_GB2312" w:hAnsi="仿宋_GB2312" w:eastAsia="仿宋_GB2312" w:cs="仿宋_GB2312"/>
          <w:b w:val="0"/>
          <w:color w:val="000000"/>
          <w:sz w:val="32"/>
          <w:szCs w:val="32"/>
        </w:rPr>
        <w:t>.</w:t>
      </w:r>
      <w:r>
        <w:rPr>
          <w:rStyle w:val="14"/>
          <w:rFonts w:hint="eastAsia" w:ascii="仿宋_GB2312" w:hAnsi="仿宋_GB2312" w:eastAsia="仿宋_GB2312" w:cs="仿宋_GB2312"/>
          <w:b w:val="0"/>
          <w:color w:val="000000"/>
          <w:sz w:val="32"/>
          <w:szCs w:val="32"/>
        </w:rPr>
        <w:t>农林水支出（类）农村综合改革（款）对村委会和村党支部的补助（项）</w:t>
      </w:r>
      <w:r>
        <w:rPr>
          <w:rStyle w:val="14"/>
          <w:rFonts w:ascii="仿宋_GB2312" w:hAnsi="仿宋_GB2312" w:eastAsia="仿宋_GB2312" w:cs="仿宋_GB2312"/>
          <w:b w:val="0"/>
          <w:color w:val="000000"/>
          <w:sz w:val="32"/>
          <w:szCs w:val="32"/>
        </w:rPr>
        <w:t xml:space="preserve">: </w:t>
      </w:r>
      <w:r>
        <w:rPr>
          <w:rStyle w:val="14"/>
          <w:rFonts w:hint="eastAsia" w:ascii="仿宋_GB2312" w:hAnsi="仿宋_GB2312" w:eastAsia="仿宋_GB2312" w:cs="仿宋_GB2312"/>
          <w:b w:val="0"/>
          <w:color w:val="000000"/>
          <w:sz w:val="32"/>
          <w:szCs w:val="32"/>
        </w:rPr>
        <w:t>指对村民委员会和对村党支部的补助支出，以及支持建立县级基本财力保障机制安排的村级组织运转奖补资金。</w:t>
      </w:r>
    </w:p>
    <w:p>
      <w:pPr>
        <w:spacing w:line="576" w:lineRule="atLeast"/>
        <w:ind w:firstLine="640" w:firstLineChars="200"/>
        <w:rPr>
          <w:rStyle w:val="14"/>
          <w:rFonts w:ascii="仿宋_GB2312" w:hAnsi="仿宋_GB2312" w:eastAsia="仿宋_GB2312"/>
          <w:b w:val="0"/>
          <w:color w:val="000000"/>
          <w:sz w:val="32"/>
          <w:szCs w:val="32"/>
        </w:rPr>
      </w:pPr>
      <w:r>
        <w:rPr>
          <w:rStyle w:val="14"/>
          <w:rFonts w:hint="eastAsia" w:ascii="仿宋_GB2312" w:hAnsi="仿宋_GB2312" w:eastAsia="仿宋_GB2312" w:cs="仿宋_GB2312"/>
          <w:b w:val="0"/>
          <w:color w:val="000000"/>
          <w:sz w:val="32"/>
          <w:szCs w:val="32"/>
        </w:rPr>
        <w:t>28</w:t>
      </w:r>
      <w:r>
        <w:rPr>
          <w:rStyle w:val="14"/>
          <w:rFonts w:ascii="仿宋_GB2312" w:hAnsi="仿宋_GB2312" w:eastAsia="仿宋_GB2312" w:cs="仿宋_GB2312"/>
          <w:b w:val="0"/>
          <w:color w:val="000000"/>
          <w:sz w:val="32"/>
          <w:szCs w:val="32"/>
        </w:rPr>
        <w:t>.</w:t>
      </w:r>
      <w:r>
        <w:rPr>
          <w:rStyle w:val="14"/>
          <w:rFonts w:hint="eastAsia" w:ascii="仿宋_GB2312" w:hAnsi="仿宋_GB2312" w:eastAsia="仿宋_GB2312" w:cs="仿宋_GB2312"/>
          <w:b w:val="0"/>
          <w:color w:val="000000"/>
          <w:sz w:val="32"/>
          <w:szCs w:val="32"/>
        </w:rPr>
        <w:t>农林水支出（类）其他农林水支出（款）其他农林水支出（项）</w:t>
      </w:r>
      <w:r>
        <w:rPr>
          <w:rStyle w:val="14"/>
          <w:rFonts w:ascii="仿宋_GB2312" w:hAnsi="仿宋_GB2312" w:eastAsia="仿宋_GB2312" w:cs="仿宋_GB2312"/>
          <w:b w:val="0"/>
          <w:color w:val="000000"/>
          <w:sz w:val="32"/>
          <w:szCs w:val="32"/>
        </w:rPr>
        <w:t xml:space="preserve">: </w:t>
      </w:r>
      <w:r>
        <w:rPr>
          <w:rStyle w:val="14"/>
          <w:rFonts w:hint="eastAsia" w:ascii="仿宋_GB2312" w:hAnsi="仿宋_GB2312" w:eastAsia="仿宋_GB2312" w:cs="仿宋_GB2312"/>
          <w:b w:val="0"/>
          <w:color w:val="000000"/>
          <w:sz w:val="32"/>
          <w:szCs w:val="32"/>
        </w:rPr>
        <w:t>指除上述项目以外其他用于农林水方面的支出。</w:t>
      </w:r>
    </w:p>
    <w:p>
      <w:pPr>
        <w:spacing w:line="576" w:lineRule="atLeast"/>
        <w:ind w:firstLine="640" w:firstLineChars="200"/>
        <w:rPr>
          <w:rFonts w:ascii="仿宋_GB2312" w:hAnsi="仿宋_GB2312" w:eastAsia="仿宋_GB2312"/>
          <w:color w:val="000000"/>
          <w:sz w:val="32"/>
          <w:szCs w:val="32"/>
        </w:rPr>
      </w:pPr>
      <w:r>
        <w:rPr>
          <w:rStyle w:val="14"/>
          <w:rFonts w:hint="eastAsia" w:ascii="仿宋_GB2312" w:hAnsi="仿宋_GB2312" w:eastAsia="仿宋_GB2312" w:cs="仿宋_GB2312"/>
          <w:b w:val="0"/>
          <w:color w:val="000000"/>
          <w:sz w:val="32"/>
          <w:szCs w:val="32"/>
        </w:rPr>
        <w:t>29</w:t>
      </w:r>
      <w:r>
        <w:rPr>
          <w:rStyle w:val="14"/>
          <w:rFonts w:ascii="仿宋_GB2312" w:hAnsi="仿宋_GB2312" w:eastAsia="仿宋_GB2312" w:cs="仿宋_GB2312"/>
          <w:b w:val="0"/>
          <w:color w:val="000000"/>
          <w:sz w:val="32"/>
          <w:szCs w:val="32"/>
        </w:rPr>
        <w:t>.</w:t>
      </w:r>
      <w:r>
        <w:rPr>
          <w:rStyle w:val="14"/>
          <w:rFonts w:hint="eastAsia" w:ascii="仿宋_GB2312" w:hAnsi="仿宋_GB2312" w:eastAsia="仿宋_GB2312" w:cs="仿宋_GB2312"/>
          <w:b w:val="0"/>
          <w:color w:val="000000"/>
          <w:sz w:val="32"/>
          <w:szCs w:val="32"/>
        </w:rPr>
        <w:t>住房保障支出（类）住房改革支出（款）住房公积金（</w:t>
      </w:r>
      <w:r>
        <w:rPr>
          <w:rStyle w:val="14"/>
          <w:rFonts w:ascii="仿宋_GB2312" w:hAnsi="仿宋_GB2312" w:eastAsia="仿宋_GB2312" w:cs="仿宋_GB2312"/>
          <w:b w:val="0"/>
          <w:color w:val="000000"/>
          <w:sz w:val="32"/>
          <w:szCs w:val="32"/>
        </w:rPr>
        <w:t>01</w:t>
      </w:r>
      <w:r>
        <w:rPr>
          <w:rStyle w:val="14"/>
          <w:rFonts w:hint="eastAsia" w:ascii="仿宋_GB2312" w:hAnsi="仿宋_GB2312" w:eastAsia="仿宋_GB2312" w:cs="仿宋_GB2312"/>
          <w:b w:val="0"/>
          <w:color w:val="000000"/>
          <w:sz w:val="32"/>
          <w:szCs w:val="32"/>
        </w:rPr>
        <w:t>）</w:t>
      </w:r>
      <w:r>
        <w:rPr>
          <w:rStyle w:val="14"/>
          <w:rFonts w:ascii="仿宋_GB2312" w:hAnsi="仿宋_GB2312" w:eastAsia="仿宋_GB2312" w:cs="仿宋_GB2312"/>
          <w:b w:val="0"/>
          <w:color w:val="000000"/>
          <w:sz w:val="32"/>
          <w:szCs w:val="32"/>
        </w:rPr>
        <w:t xml:space="preserve">: </w:t>
      </w:r>
      <w:r>
        <w:rPr>
          <w:rStyle w:val="14"/>
          <w:rFonts w:hint="eastAsia" w:ascii="仿宋_GB2312" w:hAnsi="仿宋_GB2312" w:eastAsia="仿宋_GB2312" w:cs="仿宋_GB2312"/>
          <w:b w:val="0"/>
          <w:color w:val="000000"/>
          <w:sz w:val="32"/>
          <w:szCs w:val="32"/>
        </w:rPr>
        <w:t>指</w:t>
      </w:r>
      <w:r>
        <w:rPr>
          <w:rFonts w:hint="eastAsia" w:ascii="仿宋_GB2312" w:hAnsi="仿宋_GB2312" w:eastAsia="仿宋_GB2312" w:cs="仿宋_GB2312"/>
          <w:color w:val="000000"/>
          <w:kern w:val="0"/>
          <w:sz w:val="32"/>
          <w:szCs w:val="32"/>
        </w:rPr>
        <w:t>反映行政事业单位按规定为职工缴纳的住房公积金</w:t>
      </w:r>
      <w:r>
        <w:rPr>
          <w:rStyle w:val="14"/>
          <w:rFonts w:hint="eastAsia" w:ascii="仿宋_GB2312" w:hAnsi="仿宋_GB2312" w:eastAsia="仿宋_GB2312" w:cs="仿宋_GB2312"/>
          <w:b w:val="0"/>
          <w:color w:val="000000"/>
          <w:sz w:val="32"/>
          <w:szCs w:val="32"/>
        </w:rPr>
        <w:t>。</w:t>
      </w:r>
    </w:p>
    <w:p>
      <w:pPr>
        <w:spacing w:line="576" w:lineRule="atLeast"/>
        <w:ind w:firstLine="640" w:firstLineChars="200"/>
        <w:rPr>
          <w:rFonts w:ascii="仿宋_GB2312" w:eastAsia="仿宋_GB2312"/>
          <w:color w:val="000000"/>
          <w:sz w:val="32"/>
          <w:szCs w:val="32"/>
        </w:rPr>
      </w:pPr>
      <w:r>
        <w:rPr>
          <w:rFonts w:hint="eastAsia" w:ascii="仿宋_GB2312" w:eastAsia="仿宋_GB2312" w:cs="仿宋_GB2312"/>
          <w:color w:val="000000"/>
          <w:sz w:val="32"/>
          <w:szCs w:val="32"/>
        </w:rPr>
        <w:t>30</w:t>
      </w:r>
      <w:r>
        <w:rPr>
          <w:rFonts w:ascii="仿宋_GB2312" w:eastAsia="仿宋_GB2312" w:cs="仿宋_GB2312"/>
          <w:color w:val="000000"/>
          <w:sz w:val="32"/>
          <w:szCs w:val="32"/>
        </w:rPr>
        <w:t>.</w:t>
      </w:r>
      <w:r>
        <w:rPr>
          <w:rFonts w:hint="eastAsia" w:ascii="仿宋_GB2312" w:eastAsia="仿宋_GB2312" w:cs="仿宋_GB2312"/>
          <w:color w:val="000000"/>
          <w:sz w:val="32"/>
          <w:szCs w:val="32"/>
        </w:rPr>
        <w:t>基本支出：指为保障机构正常运转、完成日常工作任务而发生的人员支出和公用支出。</w:t>
      </w:r>
    </w:p>
    <w:p>
      <w:pPr>
        <w:spacing w:line="576" w:lineRule="atLeast"/>
        <w:ind w:firstLine="640" w:firstLineChars="200"/>
        <w:rPr>
          <w:rFonts w:ascii="仿宋_GB2312" w:eastAsia="仿宋_GB2312"/>
          <w:color w:val="000000"/>
          <w:sz w:val="32"/>
          <w:szCs w:val="32"/>
        </w:rPr>
      </w:pPr>
      <w:r>
        <w:rPr>
          <w:rFonts w:hint="eastAsia" w:ascii="仿宋_GB2312" w:eastAsia="仿宋_GB2312" w:cs="仿宋_GB2312"/>
          <w:color w:val="000000"/>
          <w:sz w:val="32"/>
          <w:szCs w:val="32"/>
        </w:rPr>
        <w:t>31</w:t>
      </w:r>
      <w:r>
        <w:rPr>
          <w:rFonts w:ascii="仿宋_GB2312" w:eastAsia="仿宋_GB2312" w:cs="仿宋_GB2312"/>
          <w:color w:val="000000"/>
          <w:sz w:val="32"/>
          <w:szCs w:val="32"/>
        </w:rPr>
        <w:t>.</w:t>
      </w:r>
      <w:r>
        <w:rPr>
          <w:rFonts w:hint="eastAsia" w:ascii="仿宋_GB2312" w:eastAsia="仿宋_GB2312" w:cs="仿宋_GB2312"/>
          <w:color w:val="000000"/>
          <w:sz w:val="32"/>
          <w:szCs w:val="32"/>
        </w:rPr>
        <w:t>项目支出：指在基本支出之外为完成特定行政任务和事业发展目标所发生的支出。</w:t>
      </w:r>
    </w:p>
    <w:p>
      <w:pPr>
        <w:spacing w:line="576" w:lineRule="atLeast"/>
        <w:ind w:firstLine="640" w:firstLineChars="200"/>
        <w:rPr>
          <w:rFonts w:ascii="仿宋_GB2312" w:eastAsia="仿宋_GB2312"/>
          <w:color w:val="000000"/>
          <w:sz w:val="32"/>
          <w:szCs w:val="32"/>
        </w:rPr>
      </w:pPr>
      <w:r>
        <w:rPr>
          <w:rFonts w:hint="eastAsia" w:ascii="仿宋_GB2312" w:eastAsia="仿宋_GB2312" w:cs="仿宋_GB2312"/>
          <w:color w:val="000000"/>
          <w:sz w:val="32"/>
          <w:szCs w:val="32"/>
        </w:rPr>
        <w:t>32</w:t>
      </w:r>
      <w:r>
        <w:rPr>
          <w:rFonts w:ascii="仿宋_GB2312" w:eastAsia="仿宋_GB2312" w:cs="仿宋_GB2312"/>
          <w:color w:val="000000"/>
          <w:sz w:val="32"/>
          <w:szCs w:val="32"/>
        </w:rPr>
        <w:t>.</w:t>
      </w:r>
      <w:r>
        <w:rPr>
          <w:rFonts w:hint="eastAsia" w:ascii="仿宋_GB2312" w:eastAsia="仿宋_GB2312" w:cs="仿宋_GB2312"/>
          <w:color w:val="000000"/>
          <w:sz w:val="32"/>
          <w:szCs w:val="32"/>
        </w:rPr>
        <w:t>经营支出：指事业单位在专业业务活动及其辅助活动之外开展非独立核算经营活动发生的支出。</w:t>
      </w:r>
    </w:p>
    <w:p>
      <w:pPr>
        <w:pStyle w:val="22"/>
        <w:spacing w:line="576" w:lineRule="atLeast"/>
        <w:ind w:firstLine="640" w:firstLineChars="200"/>
        <w:jc w:val="both"/>
        <w:rPr>
          <w:rFonts w:ascii="仿宋_GB2312" w:eastAsia="仿宋_GB2312" w:cs="Times New Roman"/>
          <w:sz w:val="32"/>
          <w:szCs w:val="32"/>
        </w:rPr>
      </w:pPr>
      <w:r>
        <w:rPr>
          <w:rFonts w:ascii="仿宋_GB2312" w:eastAsia="仿宋_GB2312" w:cs="仿宋_GB2312"/>
          <w:sz w:val="32"/>
          <w:szCs w:val="32"/>
        </w:rPr>
        <w:t>41.</w:t>
      </w:r>
      <w:r>
        <w:rPr>
          <w:rFonts w:hint="eastAsia" w:ascii="仿宋_GB2312" w:eastAsia="仿宋_GB2312" w:cs="仿宋_GB2312"/>
          <w:sz w:val="32"/>
          <w:szCs w:val="32"/>
        </w:rPr>
        <w:t>“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pPr>
        <w:pStyle w:val="22"/>
        <w:spacing w:line="576" w:lineRule="atLeast"/>
        <w:ind w:firstLine="640" w:firstLineChars="200"/>
        <w:jc w:val="both"/>
        <w:rPr>
          <w:rFonts w:ascii="仿宋_GB2312" w:eastAsia="仿宋_GB2312" w:cs="Times New Roman"/>
          <w:sz w:val="32"/>
          <w:szCs w:val="32"/>
        </w:rPr>
      </w:pPr>
      <w:r>
        <w:rPr>
          <w:rFonts w:hint="eastAsia" w:ascii="仿宋_GB2312" w:eastAsia="仿宋_GB2312" w:cs="仿宋_GB2312"/>
          <w:sz w:val="32"/>
          <w:szCs w:val="32"/>
        </w:rPr>
        <w:t>33</w:t>
      </w:r>
      <w:r>
        <w:rPr>
          <w:rFonts w:ascii="仿宋_GB2312" w:eastAsia="仿宋_GB2312" w:cs="仿宋_GB2312"/>
          <w:sz w:val="32"/>
          <w:szCs w:val="32"/>
        </w:rPr>
        <w:t>.</w:t>
      </w:r>
      <w:r>
        <w:rPr>
          <w:rFonts w:hint="eastAsia" w:ascii="仿宋_GB2312" w:eastAsia="仿宋_GB2312" w:cs="仿宋_GB2312"/>
          <w:sz w:val="32"/>
          <w:szCs w:val="32"/>
        </w:rPr>
        <w:t>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pPr>
        <w:spacing w:line="600" w:lineRule="exact"/>
        <w:jc w:val="center"/>
        <w:outlineLvl w:val="0"/>
        <w:rPr>
          <w:rFonts w:ascii="黑体" w:hAnsi="黑体" w:eastAsia="黑体"/>
          <w:color w:val="000000"/>
          <w:sz w:val="44"/>
          <w:szCs w:val="44"/>
        </w:rPr>
      </w:pPr>
    </w:p>
    <w:p>
      <w:pPr>
        <w:spacing w:line="600" w:lineRule="exact"/>
        <w:jc w:val="center"/>
        <w:outlineLvl w:val="0"/>
        <w:rPr>
          <w:rFonts w:ascii="黑体" w:hAnsi="黑体" w:eastAsia="黑体"/>
          <w:color w:val="000000"/>
          <w:sz w:val="44"/>
          <w:szCs w:val="44"/>
        </w:rPr>
      </w:pPr>
    </w:p>
    <w:p>
      <w:pPr>
        <w:spacing w:line="600" w:lineRule="exact"/>
        <w:jc w:val="center"/>
        <w:outlineLvl w:val="0"/>
        <w:rPr>
          <w:rFonts w:ascii="黑体" w:hAnsi="黑体" w:eastAsia="黑体"/>
          <w:color w:val="000000"/>
          <w:sz w:val="44"/>
          <w:szCs w:val="44"/>
        </w:rPr>
      </w:pPr>
    </w:p>
    <w:p>
      <w:pPr>
        <w:spacing w:line="600" w:lineRule="exact"/>
        <w:jc w:val="center"/>
        <w:outlineLvl w:val="0"/>
        <w:rPr>
          <w:rFonts w:ascii="黑体" w:hAnsi="黑体" w:eastAsia="黑体"/>
          <w:color w:val="000000"/>
          <w:sz w:val="44"/>
          <w:szCs w:val="44"/>
        </w:rPr>
      </w:pPr>
    </w:p>
    <w:p>
      <w:pPr>
        <w:spacing w:line="600" w:lineRule="exact"/>
        <w:jc w:val="center"/>
        <w:outlineLvl w:val="0"/>
        <w:rPr>
          <w:rFonts w:ascii="黑体" w:hAnsi="黑体" w:eastAsia="黑体"/>
          <w:color w:val="000000"/>
          <w:sz w:val="44"/>
          <w:szCs w:val="44"/>
        </w:rPr>
      </w:pPr>
    </w:p>
    <w:p>
      <w:pPr>
        <w:spacing w:line="600" w:lineRule="exact"/>
        <w:jc w:val="center"/>
        <w:outlineLvl w:val="0"/>
        <w:rPr>
          <w:rFonts w:ascii="黑体" w:hAnsi="黑体" w:eastAsia="黑体"/>
          <w:color w:val="000000"/>
          <w:sz w:val="44"/>
          <w:szCs w:val="44"/>
        </w:rPr>
      </w:pPr>
    </w:p>
    <w:p>
      <w:pPr>
        <w:spacing w:line="600" w:lineRule="exact"/>
        <w:jc w:val="center"/>
        <w:outlineLvl w:val="0"/>
        <w:rPr>
          <w:rFonts w:ascii="黑体" w:hAnsi="黑体" w:eastAsia="黑体"/>
          <w:color w:val="000000"/>
          <w:sz w:val="44"/>
          <w:szCs w:val="44"/>
        </w:rPr>
      </w:pPr>
    </w:p>
    <w:p>
      <w:pPr>
        <w:spacing w:line="600" w:lineRule="exact"/>
        <w:jc w:val="center"/>
        <w:outlineLvl w:val="0"/>
        <w:rPr>
          <w:rFonts w:ascii="黑体" w:hAnsi="黑体" w:eastAsia="黑体"/>
          <w:color w:val="000000"/>
          <w:sz w:val="44"/>
          <w:szCs w:val="44"/>
        </w:rPr>
      </w:pPr>
    </w:p>
    <w:p>
      <w:pPr>
        <w:spacing w:line="600" w:lineRule="exact"/>
        <w:jc w:val="center"/>
        <w:outlineLvl w:val="0"/>
        <w:rPr>
          <w:rFonts w:ascii="黑体" w:hAnsi="黑体" w:eastAsia="黑体"/>
          <w:color w:val="000000"/>
          <w:sz w:val="44"/>
          <w:szCs w:val="44"/>
        </w:rPr>
      </w:pPr>
    </w:p>
    <w:p>
      <w:pPr>
        <w:spacing w:line="600" w:lineRule="exact"/>
        <w:jc w:val="center"/>
        <w:outlineLvl w:val="0"/>
        <w:rPr>
          <w:rFonts w:ascii="黑体" w:hAnsi="黑体" w:eastAsia="黑体"/>
          <w:color w:val="000000"/>
          <w:sz w:val="44"/>
          <w:szCs w:val="44"/>
        </w:rPr>
      </w:pPr>
    </w:p>
    <w:p>
      <w:pPr>
        <w:spacing w:line="600" w:lineRule="exact"/>
        <w:outlineLvl w:val="0"/>
        <w:rPr>
          <w:rFonts w:ascii="黑体" w:hAnsi="黑体" w:eastAsia="黑体"/>
          <w:color w:val="000000"/>
          <w:sz w:val="44"/>
          <w:szCs w:val="44"/>
        </w:rPr>
      </w:pPr>
    </w:p>
    <w:bookmarkEnd w:id="53"/>
    <w:p>
      <w:pPr>
        <w:spacing w:line="576" w:lineRule="atLeast"/>
        <w:jc w:val="center"/>
        <w:rPr>
          <w:rStyle w:val="30"/>
          <w:b w:val="0"/>
          <w:bCs w:val="0"/>
        </w:rPr>
      </w:pPr>
      <w:r>
        <w:rPr>
          <w:rFonts w:hint="eastAsia" w:ascii="方正小标宋简体" w:hAnsi="方正小标宋简体" w:eastAsia="方正小标宋简体" w:cs="方正小标宋简体"/>
          <w:color w:val="000000"/>
          <w:sz w:val="44"/>
          <w:szCs w:val="44"/>
        </w:rPr>
        <w:t xml:space="preserve">第四部分 </w:t>
      </w:r>
      <w:r>
        <w:rPr>
          <w:rStyle w:val="30"/>
          <w:rFonts w:hint="eastAsia" w:ascii="方正小标宋简体" w:hAnsi="方正小标宋简体" w:eastAsia="方正小标宋简体" w:cs="方正小标宋简体"/>
          <w:b w:val="0"/>
          <w:bCs w:val="0"/>
        </w:rPr>
        <w:t>附件</w:t>
      </w:r>
    </w:p>
    <w:p>
      <w:pPr>
        <w:pStyle w:val="3"/>
        <w:keepNext w:val="0"/>
        <w:keepLines w:val="0"/>
        <w:spacing w:before="0" w:after="0" w:line="576" w:lineRule="atLeast"/>
        <w:rPr>
          <w:rStyle w:val="30"/>
          <w:rFonts w:ascii="黑体" w:hAnsi="黑体" w:eastAsia="黑体" w:cs="黑体"/>
          <w:b w:val="0"/>
          <w:bCs w:val="0"/>
          <w:sz w:val="28"/>
          <w:szCs w:val="28"/>
        </w:rPr>
      </w:pPr>
    </w:p>
    <w:p>
      <w:pPr>
        <w:spacing w:line="576" w:lineRule="atLeast"/>
        <w:jc w:val="center"/>
        <w:outlineLvl w:val="0"/>
        <w:rPr>
          <w:rFonts w:ascii="方正小标宋简体" w:hAnsi="方正小标宋简体" w:eastAsia="方正小标宋简体"/>
          <w:sz w:val="44"/>
          <w:szCs w:val="44"/>
        </w:rPr>
      </w:pPr>
      <w:bookmarkStart w:id="55" w:name="_Toc15396616"/>
      <w:r>
        <w:rPr>
          <w:rFonts w:hint="eastAsia" w:ascii="方正小标宋简体" w:hAnsi="方正小标宋简体" w:eastAsia="方正小标宋简体" w:cs="方正小标宋简体"/>
          <w:sz w:val="44"/>
          <w:szCs w:val="44"/>
        </w:rPr>
        <w:t>茂县土门镇人民政府</w:t>
      </w:r>
    </w:p>
    <w:p>
      <w:pPr>
        <w:spacing w:line="576" w:lineRule="atLeast"/>
        <w:jc w:val="center"/>
        <w:outlineLvl w:val="0"/>
        <w:rPr>
          <w:rFonts w:ascii="黑体" w:hAnsi="黑体" w:eastAsia="黑体"/>
          <w:sz w:val="32"/>
          <w:szCs w:val="32"/>
        </w:rPr>
      </w:pPr>
      <w:r>
        <w:rPr>
          <w:rFonts w:ascii="方正小标宋简体" w:hAnsi="方正小标宋简体" w:eastAsia="方正小标宋简体" w:cs="方正小标宋简体"/>
          <w:sz w:val="44"/>
          <w:szCs w:val="44"/>
        </w:rPr>
        <w:t>201</w:t>
      </w:r>
      <w:r>
        <w:rPr>
          <w:rFonts w:hint="eastAsia" w:ascii="方正小标宋简体" w:hAnsi="方正小标宋简体" w:eastAsia="方正小标宋简体" w:cs="方正小标宋简体"/>
          <w:sz w:val="44"/>
          <w:szCs w:val="44"/>
        </w:rPr>
        <w:t>9年部门整体支出绩效评价报告</w:t>
      </w:r>
      <w:bookmarkEnd w:id="55"/>
    </w:p>
    <w:p>
      <w:pPr>
        <w:pStyle w:val="3"/>
        <w:keepNext w:val="0"/>
        <w:keepLines w:val="0"/>
        <w:spacing w:before="0" w:after="0" w:line="576" w:lineRule="atLeast"/>
        <w:ind w:firstLine="642" w:firstLineChars="200"/>
        <w:rPr>
          <w:rFonts w:ascii="黑体" w:hAnsi="黑体" w:eastAsia="黑体" w:cs="Times New Roman"/>
        </w:rPr>
      </w:pPr>
    </w:p>
    <w:p>
      <w:pPr>
        <w:pStyle w:val="3"/>
        <w:keepNext w:val="0"/>
        <w:keepLines w:val="0"/>
        <w:spacing w:before="0" w:after="0" w:line="576" w:lineRule="atLeast"/>
        <w:ind w:firstLine="642" w:firstLineChars="200"/>
        <w:rPr>
          <w:rFonts w:ascii="仿宋" w:hAnsi="仿宋" w:eastAsia="仿宋" w:cs="Times New Roman"/>
          <w:color w:val="000000"/>
        </w:rPr>
      </w:pPr>
      <w:r>
        <w:rPr>
          <w:rFonts w:hint="eastAsia" w:ascii="黑体" w:hAnsi="黑体" w:eastAsia="黑体" w:cs="黑体"/>
        </w:rPr>
        <w:t>一、部门（单位）概况</w:t>
      </w:r>
    </w:p>
    <w:p>
      <w:pPr>
        <w:spacing w:line="576" w:lineRule="atLeast"/>
        <w:ind w:firstLine="642" w:firstLineChars="200"/>
        <w:rPr>
          <w:rFonts w:ascii="楷体_GB2312" w:hAnsi="楷体_GB2312" w:eastAsia="楷体_GB2312" w:cs="楷体_GB2312"/>
          <w:sz w:val="32"/>
          <w:szCs w:val="32"/>
        </w:rPr>
      </w:pPr>
      <w:r>
        <w:rPr>
          <w:rFonts w:hint="eastAsia" w:ascii="楷体_GB2312" w:hAnsi="楷体_GB2312" w:eastAsia="楷体_GB2312" w:cs="楷体_GB2312"/>
          <w:b/>
          <w:bCs/>
          <w:sz w:val="32"/>
          <w:szCs w:val="32"/>
        </w:rPr>
        <w:t>（一）机构组成</w:t>
      </w:r>
    </w:p>
    <w:p>
      <w:pPr>
        <w:spacing w:line="576" w:lineRule="atLeast"/>
        <w:ind w:firstLine="640" w:firstLineChars="200"/>
        <w:rPr>
          <w:rFonts w:ascii="仿宋_GB2312" w:hAnsi="仿宋_GB2312" w:eastAsia="仿宋_GB2312"/>
          <w:sz w:val="32"/>
          <w:szCs w:val="32"/>
          <w:lang w:val="zh-CN"/>
        </w:rPr>
      </w:pPr>
      <w:r>
        <w:rPr>
          <w:rFonts w:hint="eastAsia" w:ascii="仿宋_GB2312" w:hAnsi="仿宋_GB2312" w:eastAsia="仿宋_GB2312" w:cs="仿宋_GB2312"/>
          <w:sz w:val="32"/>
          <w:szCs w:val="32"/>
          <w:lang w:val="zh-CN"/>
        </w:rPr>
        <w:t>土门镇内设行政办公室</w:t>
      </w:r>
      <w:r>
        <w:rPr>
          <w:rFonts w:ascii="仿宋_GB2312" w:hAnsi="仿宋_GB2312" w:eastAsia="仿宋_GB2312" w:cs="仿宋_GB2312"/>
          <w:sz w:val="32"/>
          <w:szCs w:val="32"/>
          <w:lang w:val="zh-CN"/>
        </w:rPr>
        <w:t>2</w:t>
      </w:r>
      <w:r>
        <w:rPr>
          <w:rFonts w:hint="eastAsia" w:ascii="仿宋_GB2312" w:hAnsi="仿宋_GB2312" w:eastAsia="仿宋_GB2312" w:cs="仿宋_GB2312"/>
          <w:sz w:val="32"/>
          <w:szCs w:val="32"/>
          <w:lang w:val="zh-CN"/>
        </w:rPr>
        <w:t>个、财政所</w:t>
      </w:r>
      <w:r>
        <w:rPr>
          <w:rFonts w:ascii="仿宋_GB2312" w:hAnsi="仿宋_GB2312" w:eastAsia="仿宋_GB2312" w:cs="仿宋_GB2312"/>
          <w:sz w:val="32"/>
          <w:szCs w:val="32"/>
          <w:lang w:val="zh-CN"/>
        </w:rPr>
        <w:t>1</w:t>
      </w:r>
      <w:r>
        <w:rPr>
          <w:rFonts w:hint="eastAsia" w:ascii="仿宋_GB2312" w:hAnsi="仿宋_GB2312" w:eastAsia="仿宋_GB2312" w:cs="仿宋_GB2312"/>
          <w:sz w:val="32"/>
          <w:szCs w:val="32"/>
          <w:lang w:val="zh-CN"/>
        </w:rPr>
        <w:t>个、事业机构</w:t>
      </w:r>
      <w:r>
        <w:rPr>
          <w:rFonts w:ascii="仿宋_GB2312" w:hAnsi="仿宋_GB2312" w:eastAsia="仿宋_GB2312" w:cs="仿宋_GB2312"/>
          <w:sz w:val="32"/>
          <w:szCs w:val="32"/>
          <w:lang w:val="zh-CN"/>
        </w:rPr>
        <w:t>6</w:t>
      </w:r>
      <w:r>
        <w:rPr>
          <w:rFonts w:hint="eastAsia" w:ascii="仿宋_GB2312" w:hAnsi="仿宋_GB2312" w:eastAsia="仿宋_GB2312" w:cs="仿宋_GB2312"/>
          <w:sz w:val="32"/>
          <w:szCs w:val="32"/>
          <w:lang w:val="zh-CN"/>
        </w:rPr>
        <w:t>个，分别是：党政办公室、综合发展办公室、财政所、经济发展中心、社会事业服务中心、就业社会保障服务中心、综合文化服务中心、农技站、兽防站。</w:t>
      </w:r>
    </w:p>
    <w:p>
      <w:pPr>
        <w:spacing w:line="576" w:lineRule="atLeast"/>
        <w:ind w:firstLine="642" w:firstLineChars="200"/>
        <w:rPr>
          <w:rFonts w:ascii="楷体_GB2312" w:hAnsi="楷体_GB2312" w:eastAsia="楷体_GB2312" w:cs="楷体_GB2312"/>
          <w:b/>
          <w:bCs/>
          <w:sz w:val="32"/>
          <w:szCs w:val="32"/>
        </w:rPr>
      </w:pPr>
      <w:r>
        <w:rPr>
          <w:rFonts w:hint="eastAsia" w:ascii="楷体_GB2312" w:hAnsi="楷体_GB2312" w:eastAsia="楷体_GB2312" w:cs="楷体_GB2312"/>
          <w:b/>
          <w:bCs/>
          <w:sz w:val="32"/>
          <w:szCs w:val="32"/>
        </w:rPr>
        <w:t>（二）机构职能</w:t>
      </w:r>
    </w:p>
    <w:p>
      <w:pPr>
        <w:spacing w:line="576" w:lineRule="atLeast"/>
        <w:ind w:firstLine="640" w:firstLineChars="200"/>
        <w:rPr>
          <w:rFonts w:ascii="仿宋_GB2312" w:hAnsi="仿宋_GB2312" w:eastAsia="仿宋_GB2312"/>
          <w:sz w:val="32"/>
          <w:szCs w:val="32"/>
        </w:rPr>
      </w:pPr>
      <w:r>
        <w:rPr>
          <w:rFonts w:hint="eastAsia" w:ascii="仿宋_GB2312" w:hAnsi="仿宋_GB2312" w:eastAsia="仿宋_GB2312" w:cs="仿宋_GB2312"/>
          <w:sz w:val="32"/>
          <w:szCs w:val="32"/>
          <w:lang w:val="zh-CN"/>
        </w:rPr>
        <w:t>主要职能为：</w:t>
      </w:r>
      <w:r>
        <w:rPr>
          <w:rFonts w:hint="eastAsia" w:ascii="仿宋_GB2312" w:hAnsi="仿宋_GB2312" w:eastAsia="仿宋_GB2312" w:cs="仿宋_GB2312"/>
          <w:sz w:val="32"/>
          <w:szCs w:val="32"/>
        </w:rPr>
        <w:t>负责调查了解农业产业结构状况及市场走向，及时提供农业结构调整参考信息；做好计划生育宣传教育工作，落实国家计划生育政策，努力提高人口素质；负责组织军烈属慰问、民政救灾救济工作；宣传贯彻国土管理、城建规划的法律法规，拟定全镇国土、城建管理规划措施；宣传教育、文化、科技、卫生等方面的政策、知识；严格按规定做好财务管理工作。</w:t>
      </w:r>
    </w:p>
    <w:p>
      <w:pPr>
        <w:spacing w:line="576" w:lineRule="atLeast"/>
        <w:ind w:firstLine="642" w:firstLineChars="200"/>
        <w:rPr>
          <w:rFonts w:ascii="楷体_GB2312" w:hAnsi="楷体_GB2312" w:eastAsia="楷体_GB2312" w:cs="楷体_GB2312"/>
          <w:b/>
          <w:bCs/>
          <w:sz w:val="32"/>
          <w:szCs w:val="32"/>
        </w:rPr>
      </w:pPr>
      <w:r>
        <w:rPr>
          <w:rFonts w:hint="eastAsia" w:ascii="楷体_GB2312" w:hAnsi="楷体_GB2312" w:eastAsia="楷体_GB2312" w:cs="楷体_GB2312"/>
          <w:b/>
          <w:bCs/>
          <w:sz w:val="32"/>
          <w:szCs w:val="32"/>
        </w:rPr>
        <w:t>（三）人员概况</w:t>
      </w:r>
    </w:p>
    <w:p>
      <w:pPr>
        <w:spacing w:line="576" w:lineRule="atLeast"/>
        <w:ind w:firstLine="640" w:firstLineChars="200"/>
        <w:rPr>
          <w:rFonts w:ascii="仿宋_GB2312" w:hAnsi="仿宋_GB2312" w:eastAsia="仿宋_GB2312"/>
          <w:sz w:val="32"/>
          <w:szCs w:val="32"/>
        </w:rPr>
      </w:pPr>
      <w:r>
        <w:rPr>
          <w:rFonts w:hint="eastAsia" w:ascii="仿宋_GB2312" w:hAnsi="仿宋_GB2312" w:eastAsia="仿宋_GB2312" w:cs="仿宋_GB2312"/>
          <w:sz w:val="32"/>
          <w:szCs w:val="32"/>
        </w:rPr>
        <w:t>土门镇总编制</w:t>
      </w:r>
      <w:r>
        <w:rPr>
          <w:rFonts w:ascii="仿宋_GB2312" w:hAnsi="仿宋_GB2312" w:eastAsia="仿宋_GB2312" w:cs="仿宋_GB2312"/>
          <w:sz w:val="32"/>
          <w:szCs w:val="32"/>
        </w:rPr>
        <w:t>3</w:t>
      </w:r>
      <w:r>
        <w:rPr>
          <w:rFonts w:hint="eastAsia" w:ascii="仿宋_GB2312" w:hAnsi="仿宋_GB2312" w:eastAsia="仿宋_GB2312" w:cs="仿宋_GB2312"/>
          <w:sz w:val="32"/>
          <w:szCs w:val="32"/>
        </w:rPr>
        <w:t>3名</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其中</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行政编制</w:t>
      </w:r>
      <w:r>
        <w:rPr>
          <w:rFonts w:ascii="仿宋_GB2312" w:hAnsi="仿宋_GB2312" w:eastAsia="仿宋_GB2312" w:cs="仿宋_GB2312"/>
          <w:sz w:val="32"/>
          <w:szCs w:val="32"/>
        </w:rPr>
        <w:t>1</w:t>
      </w:r>
      <w:r>
        <w:rPr>
          <w:rFonts w:hint="eastAsia" w:ascii="仿宋_GB2312" w:hAnsi="仿宋_GB2312" w:eastAsia="仿宋_GB2312" w:cs="仿宋_GB2312"/>
          <w:sz w:val="32"/>
          <w:szCs w:val="32"/>
        </w:rPr>
        <w:t>8名</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其中行政工勤编制</w:t>
      </w:r>
      <w:r>
        <w:rPr>
          <w:rFonts w:ascii="仿宋_GB2312" w:hAnsi="仿宋_GB2312" w:eastAsia="仿宋_GB2312" w:cs="仿宋_GB2312"/>
          <w:sz w:val="32"/>
          <w:szCs w:val="32"/>
        </w:rPr>
        <w:t>2</w:t>
      </w:r>
      <w:r>
        <w:rPr>
          <w:rFonts w:hint="eastAsia" w:ascii="仿宋_GB2312" w:hAnsi="仿宋_GB2312" w:eastAsia="仿宋_GB2312" w:cs="仿宋_GB2312"/>
          <w:sz w:val="32"/>
          <w:szCs w:val="32"/>
        </w:rPr>
        <w:t>名，事业编制</w:t>
      </w:r>
      <w:r>
        <w:rPr>
          <w:rFonts w:ascii="仿宋_GB2312" w:hAnsi="仿宋_GB2312" w:eastAsia="仿宋_GB2312" w:cs="仿宋_GB2312"/>
          <w:sz w:val="32"/>
          <w:szCs w:val="32"/>
        </w:rPr>
        <w:t>1</w:t>
      </w:r>
      <w:r>
        <w:rPr>
          <w:rFonts w:hint="eastAsia" w:ascii="仿宋_GB2312" w:hAnsi="仿宋_GB2312" w:eastAsia="仿宋_GB2312" w:cs="仿宋_GB2312"/>
          <w:sz w:val="32"/>
          <w:szCs w:val="32"/>
        </w:rPr>
        <w:t>3名，其中事业工勤编制3名。现有在职人员</w:t>
      </w:r>
      <w:r>
        <w:rPr>
          <w:rFonts w:ascii="仿宋_GB2312" w:hAnsi="仿宋_GB2312" w:eastAsia="仿宋_GB2312" w:cs="仿宋_GB2312"/>
          <w:sz w:val="32"/>
          <w:szCs w:val="32"/>
        </w:rPr>
        <w:t>25</w:t>
      </w:r>
      <w:r>
        <w:rPr>
          <w:rFonts w:hint="eastAsia" w:ascii="仿宋_GB2312" w:hAnsi="仿宋_GB2312" w:eastAsia="仿宋_GB2312" w:cs="仿宋_GB2312"/>
          <w:sz w:val="32"/>
          <w:szCs w:val="32"/>
        </w:rPr>
        <w:t>人，（其中公务员</w:t>
      </w:r>
      <w:r>
        <w:rPr>
          <w:rFonts w:ascii="仿宋_GB2312" w:hAnsi="仿宋_GB2312" w:eastAsia="仿宋_GB2312" w:cs="仿宋_GB2312"/>
          <w:sz w:val="32"/>
          <w:szCs w:val="32"/>
        </w:rPr>
        <w:t>1</w:t>
      </w:r>
      <w:r>
        <w:rPr>
          <w:rFonts w:hint="eastAsia" w:ascii="仿宋_GB2312" w:hAnsi="仿宋_GB2312" w:eastAsia="仿宋_GB2312" w:cs="仿宋_GB2312"/>
          <w:sz w:val="32"/>
          <w:szCs w:val="32"/>
        </w:rPr>
        <w:t>1人，机关</w:t>
      </w:r>
      <w:r>
        <w:rPr>
          <w:rFonts w:hint="eastAsia" w:ascii="仿宋_GB2312" w:hAnsi="仿宋_GB2312" w:eastAsia="仿宋_GB2312" w:cs="仿宋_GB2312"/>
          <w:sz w:val="32"/>
          <w:szCs w:val="32"/>
          <w:lang w:val="zh-CN"/>
        </w:rPr>
        <w:t>工勤人员</w:t>
      </w:r>
      <w:r>
        <w:rPr>
          <w:rFonts w:ascii="仿宋_GB2312" w:hAnsi="仿宋_GB2312" w:eastAsia="仿宋_GB2312" w:cs="仿宋_GB2312"/>
          <w:sz w:val="32"/>
          <w:szCs w:val="32"/>
        </w:rPr>
        <w:t>1</w:t>
      </w:r>
      <w:r>
        <w:rPr>
          <w:rFonts w:hint="eastAsia" w:ascii="仿宋_GB2312" w:hAnsi="仿宋_GB2312" w:eastAsia="仿宋_GB2312" w:cs="仿宋_GB2312"/>
          <w:sz w:val="32"/>
          <w:szCs w:val="32"/>
        </w:rPr>
        <w:t>人，事业人员</w:t>
      </w:r>
      <w:r>
        <w:rPr>
          <w:rFonts w:ascii="仿宋_GB2312" w:hAnsi="仿宋_GB2312" w:eastAsia="仿宋_GB2312" w:cs="仿宋_GB2312"/>
          <w:sz w:val="32"/>
          <w:szCs w:val="32"/>
        </w:rPr>
        <w:t>1</w:t>
      </w:r>
      <w:r>
        <w:rPr>
          <w:rFonts w:hint="eastAsia" w:ascii="仿宋_GB2312" w:hAnsi="仿宋_GB2312" w:eastAsia="仿宋_GB2312" w:cs="仿宋_GB2312"/>
          <w:sz w:val="32"/>
          <w:szCs w:val="32"/>
        </w:rPr>
        <w:t>3人）；退休人员</w:t>
      </w:r>
      <w:r>
        <w:rPr>
          <w:rFonts w:ascii="仿宋_GB2312" w:hAnsi="仿宋_GB2312" w:eastAsia="仿宋_GB2312" w:cs="仿宋_GB2312"/>
          <w:sz w:val="32"/>
          <w:szCs w:val="32"/>
        </w:rPr>
        <w:t>4</w:t>
      </w:r>
      <w:r>
        <w:rPr>
          <w:rFonts w:hint="eastAsia" w:ascii="仿宋_GB2312" w:hAnsi="仿宋_GB2312" w:eastAsia="仿宋_GB2312" w:cs="仿宋_GB2312"/>
          <w:sz w:val="32"/>
          <w:szCs w:val="32"/>
        </w:rPr>
        <w:t>人（行政退休3人，事业退休1人）；遗属3人。</w:t>
      </w:r>
    </w:p>
    <w:p>
      <w:pPr>
        <w:pStyle w:val="3"/>
        <w:keepNext w:val="0"/>
        <w:keepLines w:val="0"/>
        <w:spacing w:before="0" w:after="0" w:line="576" w:lineRule="atLeast"/>
        <w:ind w:firstLine="640" w:firstLineChars="200"/>
        <w:rPr>
          <w:rFonts w:ascii="仿宋" w:hAnsi="仿宋" w:eastAsia="仿宋" w:cs="Times New Roman"/>
          <w:b w:val="0"/>
          <w:bCs w:val="0"/>
          <w:color w:val="000000"/>
        </w:rPr>
      </w:pPr>
      <w:r>
        <w:rPr>
          <w:rFonts w:hint="eastAsia" w:ascii="黑体" w:hAnsi="黑体" w:eastAsia="黑体" w:cs="黑体"/>
          <w:b w:val="0"/>
          <w:bCs w:val="0"/>
        </w:rPr>
        <w:t>二、部门财政资金收支情况</w:t>
      </w:r>
    </w:p>
    <w:p>
      <w:pPr>
        <w:spacing w:line="576" w:lineRule="atLeast"/>
        <w:ind w:firstLine="642" w:firstLineChars="200"/>
        <w:rPr>
          <w:rFonts w:ascii="楷体_GB2312" w:hAnsi="楷体_GB2312" w:eastAsia="楷体_GB2312" w:cs="楷体_GB2312"/>
          <w:b/>
          <w:bCs/>
          <w:sz w:val="32"/>
          <w:szCs w:val="32"/>
        </w:rPr>
      </w:pPr>
      <w:r>
        <w:rPr>
          <w:rFonts w:hint="eastAsia" w:ascii="楷体_GB2312" w:hAnsi="楷体_GB2312" w:eastAsia="楷体_GB2312" w:cs="楷体_GB2312"/>
          <w:b/>
          <w:bCs/>
          <w:sz w:val="32"/>
          <w:szCs w:val="32"/>
        </w:rPr>
        <w:t>（一）部门财政资金收入情况</w:t>
      </w:r>
    </w:p>
    <w:p>
      <w:pPr>
        <w:spacing w:line="576" w:lineRule="atLeast"/>
        <w:ind w:firstLine="640" w:firstLineChars="200"/>
        <w:rPr>
          <w:rFonts w:ascii="仿宋_GB2312" w:hAnsi="仿宋_GB2312" w:eastAsia="仿宋_GB2312"/>
          <w:sz w:val="32"/>
          <w:szCs w:val="32"/>
        </w:rPr>
      </w:pPr>
      <w:r>
        <w:rPr>
          <w:rFonts w:ascii="仿宋_GB2312" w:hAnsi="仿宋_GB2312" w:eastAsia="仿宋_GB2312" w:cs="仿宋_GB2312"/>
          <w:sz w:val="32"/>
          <w:szCs w:val="32"/>
        </w:rPr>
        <w:t>201</w:t>
      </w:r>
      <w:r>
        <w:rPr>
          <w:rFonts w:hint="eastAsia" w:ascii="仿宋_GB2312" w:hAnsi="仿宋_GB2312" w:eastAsia="仿宋_GB2312" w:cs="仿宋_GB2312"/>
          <w:sz w:val="32"/>
          <w:szCs w:val="32"/>
        </w:rPr>
        <w:t>9年本部门财政拨款收入决算总额为1810.77万元，其中：当年财政拨款收入</w:t>
      </w:r>
      <w:r>
        <w:rPr>
          <w:rFonts w:ascii="仿宋_GB2312" w:hAnsi="仿宋_GB2312" w:eastAsia="仿宋_GB2312" w:cs="仿宋_GB2312"/>
          <w:sz w:val="32"/>
          <w:szCs w:val="32"/>
        </w:rPr>
        <w:t xml:space="preserve"> </w:t>
      </w:r>
      <w:r>
        <w:rPr>
          <w:rFonts w:hint="eastAsia" w:ascii="仿宋_GB2312" w:hAnsi="仿宋_GB2312" w:eastAsia="仿宋_GB2312" w:cs="仿宋_GB2312"/>
          <w:sz w:val="32"/>
          <w:szCs w:val="32"/>
        </w:rPr>
        <w:t>1810.77万元</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其中1805.93万元为一般公共预算财政拨款，4.84万元为政府性基金财政拨款收入。</w:t>
      </w:r>
    </w:p>
    <w:p>
      <w:pPr>
        <w:numPr>
          <w:ilvl w:val="0"/>
          <w:numId w:val="3"/>
        </w:numPr>
        <w:spacing w:line="576" w:lineRule="atLeast"/>
        <w:ind w:firstLine="642" w:firstLineChars="200"/>
        <w:rPr>
          <w:rFonts w:ascii="楷体_GB2312" w:hAnsi="楷体_GB2312" w:eastAsia="楷体_GB2312" w:cs="楷体_GB2312"/>
          <w:sz w:val="32"/>
          <w:szCs w:val="32"/>
        </w:rPr>
      </w:pPr>
      <w:r>
        <w:rPr>
          <w:rFonts w:hint="eastAsia" w:ascii="楷体_GB2312" w:hAnsi="楷体_GB2312" w:eastAsia="楷体_GB2312" w:cs="楷体_GB2312"/>
          <w:b/>
          <w:bCs/>
          <w:sz w:val="32"/>
          <w:szCs w:val="32"/>
        </w:rPr>
        <w:t>部门财政资金支出情况</w:t>
      </w:r>
    </w:p>
    <w:p>
      <w:pPr>
        <w:spacing w:line="576" w:lineRule="atLeast"/>
        <w:ind w:firstLine="640" w:firstLineChars="200"/>
        <w:rPr>
          <w:rFonts w:ascii="仿宋_GB2312" w:hAnsi="仿宋_GB2312" w:eastAsia="仿宋_GB2312" w:cs="仿宋_GB2312"/>
          <w:sz w:val="32"/>
          <w:szCs w:val="32"/>
        </w:rPr>
      </w:pPr>
      <w:r>
        <w:rPr>
          <w:rFonts w:hint="eastAsia" w:ascii="仿宋_GB2312" w:hAnsi="仿宋_GB2312" w:eastAsia="仿宋_GB2312" w:cs="仿宋_GB2312"/>
          <w:color w:val="000000"/>
          <w:sz w:val="32"/>
          <w:szCs w:val="32"/>
        </w:rPr>
        <w:t>茂县土门镇人民政府2019年支出决算总数1451.69万元。主要用于以下方面:一般公共服务支</w:t>
      </w:r>
      <w:r>
        <w:rPr>
          <w:rFonts w:hint="eastAsia" w:ascii="仿宋_GB2312" w:hAnsi="仿宋_GB2312" w:eastAsia="仿宋_GB2312" w:cs="仿宋_GB2312"/>
          <w:sz w:val="32"/>
          <w:szCs w:val="32"/>
        </w:rPr>
        <w:t>出468.07万元，占本年支出合计的32.2%；公共安全支出3.5万占本年支出0.02%；国防支出0.71万元，占本年支出0.04%；社会保障和就业支出102.17万元，占本年支出合计的7.03%；卫生健康支出46.77万元，占本年支出合计的3.2%；城乡社区支出4.84万元，占本年支出合计的0.3%；农林水支出663.56万元，占本年支出合计的45.7%；住房保障支出66.34万元，占本年支出合计的4.5%；其他支出95.73万元，占本年支出合计的7.01%。</w:t>
      </w:r>
    </w:p>
    <w:p>
      <w:pPr>
        <w:pStyle w:val="3"/>
        <w:keepNext w:val="0"/>
        <w:keepLines w:val="0"/>
        <w:spacing w:before="0" w:after="0" w:line="576" w:lineRule="atLeast"/>
        <w:ind w:firstLine="640" w:firstLineChars="200"/>
        <w:rPr>
          <w:rFonts w:ascii="黑体" w:hAnsi="黑体" w:eastAsia="黑体" w:cs="Times New Roman"/>
          <w:b w:val="0"/>
          <w:bCs w:val="0"/>
        </w:rPr>
      </w:pPr>
      <w:r>
        <w:rPr>
          <w:rFonts w:hint="eastAsia" w:ascii="黑体" w:hAnsi="黑体" w:eastAsia="黑体" w:cs="黑体"/>
          <w:b w:val="0"/>
          <w:bCs w:val="0"/>
        </w:rPr>
        <w:t>三、部门整体预算绩效管理情况</w:t>
      </w:r>
    </w:p>
    <w:p>
      <w:pPr>
        <w:spacing w:line="576" w:lineRule="atLeast"/>
        <w:ind w:firstLine="642" w:firstLineChars="200"/>
        <w:rPr>
          <w:rFonts w:ascii="楷体_GB2312" w:hAnsi="楷体_GB2312" w:eastAsia="楷体_GB2312" w:cs="楷体_GB2312"/>
          <w:b/>
          <w:bCs/>
          <w:sz w:val="32"/>
          <w:szCs w:val="32"/>
        </w:rPr>
      </w:pPr>
      <w:r>
        <w:rPr>
          <w:rFonts w:hint="eastAsia" w:ascii="楷体_GB2312" w:hAnsi="楷体_GB2312" w:eastAsia="楷体_GB2312" w:cs="楷体_GB2312"/>
          <w:b/>
          <w:bCs/>
          <w:sz w:val="32"/>
          <w:szCs w:val="32"/>
        </w:rPr>
        <w:t>（一）部门预算管理</w:t>
      </w:r>
    </w:p>
    <w:p>
      <w:pPr>
        <w:adjustRightInd w:val="0"/>
        <w:snapToGrid w:val="0"/>
        <w:spacing w:line="576" w:lineRule="atLeast"/>
        <w:ind w:firstLine="640" w:firstLineChars="200"/>
        <w:rPr>
          <w:rFonts w:ascii="仿宋_GB2312" w:hAnsi="仿宋_GB2312" w:eastAsia="仿宋_GB2312"/>
          <w:color w:val="000000"/>
          <w:kern w:val="0"/>
          <w:sz w:val="32"/>
          <w:szCs w:val="32"/>
          <w:shd w:val="clear" w:color="auto" w:fill="FFFFFF"/>
          <w:lang w:val="zh-CN"/>
        </w:rPr>
      </w:pPr>
      <w:r>
        <w:rPr>
          <w:rFonts w:hint="eastAsia" w:ascii="仿宋_GB2312" w:hAnsi="仿宋_GB2312" w:eastAsia="仿宋_GB2312" w:cs="仿宋_GB2312"/>
          <w:color w:val="000000"/>
          <w:kern w:val="0"/>
          <w:sz w:val="32"/>
          <w:szCs w:val="32"/>
          <w:shd w:val="clear" w:color="auto" w:fill="FFFFFF"/>
          <w:lang w:val="zh-CN"/>
        </w:rPr>
        <w:t>我镇严格按照县级部门预算编制通知和有关要求，按时完成基础库、项目库报送工作，按时完成</w:t>
      </w:r>
      <w:r>
        <w:rPr>
          <w:rFonts w:ascii="仿宋_GB2312" w:hAnsi="仿宋_GB2312" w:eastAsia="仿宋_GB2312" w:cs="仿宋_GB2312"/>
          <w:color w:val="000000"/>
          <w:kern w:val="0"/>
          <w:sz w:val="32"/>
          <w:szCs w:val="32"/>
          <w:shd w:val="clear" w:color="auto" w:fill="FFFFFF"/>
          <w:lang w:val="zh-CN"/>
        </w:rPr>
        <w:t>201</w:t>
      </w:r>
      <w:r>
        <w:rPr>
          <w:rFonts w:hint="eastAsia" w:ascii="仿宋_GB2312" w:hAnsi="仿宋_GB2312" w:eastAsia="仿宋_GB2312" w:cs="仿宋_GB2312"/>
          <w:color w:val="000000"/>
          <w:kern w:val="0"/>
          <w:sz w:val="32"/>
          <w:szCs w:val="32"/>
          <w:shd w:val="clear" w:color="auto" w:fill="FFFFFF"/>
        </w:rPr>
        <w:t>9</w:t>
      </w:r>
      <w:r>
        <w:rPr>
          <w:rFonts w:hint="eastAsia" w:ascii="仿宋_GB2312" w:hAnsi="仿宋_GB2312" w:eastAsia="仿宋_GB2312" w:cs="仿宋_GB2312"/>
          <w:color w:val="000000"/>
          <w:kern w:val="0"/>
          <w:sz w:val="32"/>
          <w:szCs w:val="32"/>
          <w:shd w:val="clear" w:color="auto" w:fill="FFFFFF"/>
          <w:lang w:val="zh-CN"/>
        </w:rPr>
        <w:t>年预算编制工作，并按时提交部门预算草案。按规定编制政府采购预算，预算编制全面、科学。</w:t>
      </w:r>
      <w:r>
        <w:rPr>
          <w:rFonts w:ascii="仿宋_GB2312" w:hAnsi="仿宋_GB2312" w:eastAsia="仿宋_GB2312" w:cs="仿宋_GB2312"/>
          <w:color w:val="000000"/>
          <w:kern w:val="0"/>
          <w:sz w:val="32"/>
          <w:szCs w:val="32"/>
          <w:shd w:val="clear" w:color="auto" w:fill="FFFFFF"/>
          <w:lang w:val="zh-CN"/>
        </w:rPr>
        <w:t>201</w:t>
      </w:r>
      <w:r>
        <w:rPr>
          <w:rFonts w:hint="eastAsia" w:ascii="仿宋_GB2312" w:hAnsi="仿宋_GB2312" w:eastAsia="仿宋_GB2312" w:cs="仿宋_GB2312"/>
          <w:color w:val="000000"/>
          <w:kern w:val="0"/>
          <w:sz w:val="32"/>
          <w:szCs w:val="32"/>
          <w:shd w:val="clear" w:color="auto" w:fill="FFFFFF"/>
        </w:rPr>
        <w:t>9</w:t>
      </w:r>
      <w:r>
        <w:rPr>
          <w:rFonts w:hint="eastAsia" w:ascii="仿宋_GB2312" w:hAnsi="仿宋_GB2312" w:eastAsia="仿宋_GB2312" w:cs="仿宋_GB2312"/>
          <w:color w:val="000000"/>
          <w:kern w:val="0"/>
          <w:sz w:val="32"/>
          <w:szCs w:val="32"/>
          <w:shd w:val="clear" w:color="auto" w:fill="FFFFFF"/>
          <w:lang w:val="zh-CN"/>
        </w:rPr>
        <w:t>年部门决算、绩效目标填报及年末结余结转都是严格按照县财政局的要求认真完成。</w:t>
      </w:r>
      <w:r>
        <w:rPr>
          <w:rFonts w:ascii="仿宋_GB2312" w:hAnsi="仿宋_GB2312" w:eastAsia="仿宋_GB2312"/>
          <w:color w:val="000000"/>
          <w:kern w:val="0"/>
          <w:sz w:val="32"/>
          <w:szCs w:val="32"/>
          <w:shd w:val="clear" w:color="auto" w:fill="FFFFFF"/>
          <w:lang w:val="zh-CN"/>
        </w:rPr>
        <w:t> </w:t>
      </w:r>
    </w:p>
    <w:p>
      <w:pPr>
        <w:shd w:val="clear" w:color="auto" w:fill="FFFFFF"/>
        <w:spacing w:line="576" w:lineRule="atLeast"/>
        <w:ind w:firstLine="640" w:firstLineChars="200"/>
        <w:rPr>
          <w:rFonts w:ascii="仿宋_GB2312" w:hAnsi="仿宋_GB2312" w:eastAsia="仿宋_GB2312"/>
          <w:color w:val="000000"/>
          <w:kern w:val="0"/>
          <w:sz w:val="32"/>
          <w:szCs w:val="32"/>
          <w:shd w:val="clear" w:color="auto" w:fill="FFFFFF"/>
        </w:rPr>
      </w:pPr>
      <w:r>
        <w:rPr>
          <w:rFonts w:hint="eastAsia" w:ascii="仿宋_GB2312" w:hAnsi="仿宋_GB2312" w:eastAsia="仿宋_GB2312" w:cs="仿宋_GB2312"/>
          <w:color w:val="000000"/>
          <w:kern w:val="0"/>
          <w:sz w:val="32"/>
          <w:szCs w:val="32"/>
          <w:shd w:val="clear" w:color="auto" w:fill="FFFFFF"/>
        </w:rPr>
        <w:t>预算编制：我镇对</w:t>
      </w:r>
      <w:r>
        <w:rPr>
          <w:rFonts w:ascii="仿宋_GB2312" w:hAnsi="仿宋_GB2312" w:eastAsia="仿宋_GB2312" w:cs="仿宋_GB2312"/>
          <w:color w:val="000000"/>
          <w:kern w:val="0"/>
          <w:sz w:val="32"/>
          <w:szCs w:val="32"/>
          <w:shd w:val="clear" w:color="auto" w:fill="FFFFFF"/>
        </w:rPr>
        <w:t>201</w:t>
      </w:r>
      <w:r>
        <w:rPr>
          <w:rFonts w:hint="eastAsia" w:ascii="仿宋_GB2312" w:hAnsi="仿宋_GB2312" w:eastAsia="仿宋_GB2312" w:cs="仿宋_GB2312"/>
          <w:color w:val="000000"/>
          <w:kern w:val="0"/>
          <w:sz w:val="32"/>
          <w:szCs w:val="32"/>
          <w:shd w:val="clear" w:color="auto" w:fill="FFFFFF"/>
        </w:rPr>
        <w:t>9年部门支出进行预算，支出合计</w:t>
      </w:r>
      <w:r>
        <w:rPr>
          <w:rFonts w:hint="eastAsia" w:ascii="仿宋_GB2312" w:hAnsi="仿宋_GB2312" w:eastAsia="仿宋_GB2312" w:cs="仿宋_GB2312"/>
          <w:sz w:val="32"/>
          <w:szCs w:val="32"/>
          <w:shd w:val="clear" w:color="auto" w:fill="FFFFFF"/>
        </w:rPr>
        <w:t>1451.69万</w:t>
      </w:r>
      <w:r>
        <w:rPr>
          <w:rFonts w:hint="eastAsia" w:ascii="仿宋_GB2312" w:hAnsi="仿宋_GB2312" w:eastAsia="仿宋_GB2312" w:cs="仿宋_GB2312"/>
          <w:color w:val="000000"/>
          <w:kern w:val="0"/>
          <w:sz w:val="32"/>
          <w:szCs w:val="32"/>
          <w:shd w:val="clear" w:color="auto" w:fill="FFFFFF"/>
        </w:rPr>
        <w:t>元。其中：</w:t>
      </w:r>
    </w:p>
    <w:p>
      <w:pPr>
        <w:shd w:val="clear" w:color="auto" w:fill="FFFFFF"/>
        <w:spacing w:line="576" w:lineRule="atLeast"/>
        <w:ind w:firstLine="640" w:firstLineChars="200"/>
        <w:rPr>
          <w:rFonts w:ascii="仿宋_GB2312" w:hAnsi="仿宋_GB2312" w:eastAsia="仿宋_GB2312"/>
          <w:color w:val="000000"/>
          <w:kern w:val="0"/>
          <w:sz w:val="32"/>
          <w:szCs w:val="32"/>
          <w:shd w:val="clear" w:color="auto" w:fill="FFFFFF"/>
        </w:rPr>
      </w:pPr>
      <w:r>
        <w:rPr>
          <w:rFonts w:ascii="仿宋_GB2312" w:hAnsi="仿宋_GB2312" w:eastAsia="仿宋_GB2312" w:cs="仿宋_GB2312"/>
          <w:color w:val="000000"/>
          <w:kern w:val="0"/>
          <w:sz w:val="32"/>
          <w:szCs w:val="32"/>
          <w:shd w:val="clear" w:color="auto" w:fill="FFFFFF"/>
        </w:rPr>
        <w:t>1.</w:t>
      </w:r>
      <w:r>
        <w:rPr>
          <w:rFonts w:hint="eastAsia" w:ascii="仿宋_GB2312" w:hAnsi="仿宋_GB2312" w:eastAsia="仿宋_GB2312" w:cs="仿宋_GB2312"/>
          <w:color w:val="000000"/>
          <w:kern w:val="0"/>
          <w:sz w:val="32"/>
          <w:szCs w:val="32"/>
          <w:shd w:val="clear" w:color="auto" w:fill="FFFFFF"/>
        </w:rPr>
        <w:t>基本支出847.27万元</w:t>
      </w:r>
    </w:p>
    <w:p>
      <w:pPr>
        <w:shd w:val="clear" w:color="auto" w:fill="FFFFFF"/>
        <w:spacing w:line="576" w:lineRule="atLeast"/>
        <w:ind w:firstLine="640" w:firstLineChars="200"/>
        <w:rPr>
          <w:rFonts w:ascii="仿宋_GB2312" w:hAnsi="仿宋_GB2312" w:eastAsia="仿宋_GB2312"/>
          <w:color w:val="000000"/>
          <w:kern w:val="0"/>
          <w:sz w:val="32"/>
          <w:szCs w:val="32"/>
          <w:shd w:val="clear" w:color="auto" w:fill="FFFFFF"/>
        </w:rPr>
      </w:pPr>
      <w:r>
        <w:rPr>
          <w:rFonts w:hint="eastAsia" w:ascii="仿宋_GB2312" w:hAnsi="仿宋_GB2312" w:eastAsia="仿宋_GB2312" w:cs="仿宋_GB2312"/>
          <w:color w:val="000000"/>
          <w:kern w:val="0"/>
          <w:sz w:val="32"/>
          <w:szCs w:val="32"/>
          <w:shd w:val="clear" w:color="auto" w:fill="FFFFFF"/>
        </w:rPr>
        <w:t>（</w:t>
      </w:r>
      <w:r>
        <w:rPr>
          <w:rFonts w:ascii="仿宋_GB2312" w:hAnsi="仿宋_GB2312" w:eastAsia="仿宋_GB2312" w:cs="仿宋_GB2312"/>
          <w:color w:val="000000"/>
          <w:kern w:val="0"/>
          <w:sz w:val="32"/>
          <w:szCs w:val="32"/>
          <w:shd w:val="clear" w:color="auto" w:fill="FFFFFF"/>
        </w:rPr>
        <w:t>1</w:t>
      </w:r>
      <w:r>
        <w:rPr>
          <w:rFonts w:hint="eastAsia" w:ascii="仿宋_GB2312" w:hAnsi="仿宋_GB2312" w:eastAsia="仿宋_GB2312" w:cs="仿宋_GB2312"/>
          <w:color w:val="000000"/>
          <w:kern w:val="0"/>
          <w:sz w:val="32"/>
          <w:szCs w:val="32"/>
          <w:shd w:val="clear" w:color="auto" w:fill="FFFFFF"/>
        </w:rPr>
        <w:t>）工资福利性支出：783.82万元。</w:t>
      </w:r>
    </w:p>
    <w:p>
      <w:pPr>
        <w:shd w:val="clear" w:color="auto" w:fill="FFFFFF"/>
        <w:spacing w:line="576" w:lineRule="atLeast"/>
        <w:ind w:firstLine="640" w:firstLineChars="200"/>
        <w:rPr>
          <w:rFonts w:ascii="仿宋_GB2312" w:hAnsi="仿宋_GB2312" w:eastAsia="仿宋_GB2312"/>
          <w:color w:val="000000"/>
          <w:kern w:val="0"/>
          <w:sz w:val="32"/>
          <w:szCs w:val="32"/>
          <w:shd w:val="clear" w:color="auto" w:fill="FFFFFF"/>
        </w:rPr>
      </w:pPr>
      <w:r>
        <w:rPr>
          <w:rFonts w:hint="eastAsia" w:ascii="仿宋_GB2312" w:hAnsi="仿宋_GB2312" w:eastAsia="仿宋_GB2312" w:cs="仿宋_GB2312"/>
          <w:color w:val="000000"/>
          <w:kern w:val="0"/>
          <w:sz w:val="32"/>
          <w:szCs w:val="32"/>
          <w:shd w:val="clear" w:color="auto" w:fill="FFFFFF"/>
        </w:rPr>
        <w:t>（</w:t>
      </w:r>
      <w:r>
        <w:rPr>
          <w:rFonts w:ascii="仿宋_GB2312" w:hAnsi="仿宋_GB2312" w:eastAsia="仿宋_GB2312" w:cs="仿宋_GB2312"/>
          <w:color w:val="000000"/>
          <w:kern w:val="0"/>
          <w:sz w:val="32"/>
          <w:szCs w:val="32"/>
          <w:shd w:val="clear" w:color="auto" w:fill="FFFFFF"/>
        </w:rPr>
        <w:t>2</w:t>
      </w:r>
      <w:r>
        <w:rPr>
          <w:rFonts w:hint="eastAsia" w:ascii="仿宋_GB2312" w:hAnsi="仿宋_GB2312" w:eastAsia="仿宋_GB2312" w:cs="仿宋_GB2312"/>
          <w:color w:val="000000"/>
          <w:kern w:val="0"/>
          <w:sz w:val="32"/>
          <w:szCs w:val="32"/>
          <w:shd w:val="clear" w:color="auto" w:fill="FFFFFF"/>
        </w:rPr>
        <w:t>）商品和服务支出49.72万元，其中：公务接待费</w:t>
      </w:r>
      <w:r>
        <w:rPr>
          <w:rFonts w:ascii="仿宋_GB2312" w:hAnsi="仿宋_GB2312" w:eastAsia="仿宋_GB2312" w:cs="仿宋_GB2312"/>
          <w:color w:val="000000"/>
          <w:kern w:val="0"/>
          <w:sz w:val="32"/>
          <w:szCs w:val="32"/>
          <w:shd w:val="clear" w:color="auto" w:fill="FFFFFF"/>
        </w:rPr>
        <w:t>0</w:t>
      </w:r>
      <w:r>
        <w:rPr>
          <w:rFonts w:hint="eastAsia" w:ascii="仿宋_GB2312" w:hAnsi="仿宋_GB2312" w:eastAsia="仿宋_GB2312" w:cs="仿宋_GB2312"/>
          <w:color w:val="000000"/>
          <w:kern w:val="0"/>
          <w:sz w:val="32"/>
          <w:szCs w:val="32"/>
          <w:shd w:val="clear" w:color="auto" w:fill="FFFFFF"/>
        </w:rPr>
        <w:t>万元；公务用车运行维护费0万元。</w:t>
      </w:r>
    </w:p>
    <w:p>
      <w:pPr>
        <w:shd w:val="clear" w:color="auto" w:fill="FFFFFF"/>
        <w:spacing w:line="576" w:lineRule="atLeast"/>
        <w:ind w:firstLine="640" w:firstLineChars="200"/>
        <w:rPr>
          <w:rFonts w:ascii="仿宋_GB2312" w:hAnsi="仿宋_GB2312" w:eastAsia="仿宋_GB2312"/>
          <w:color w:val="000000"/>
          <w:kern w:val="0"/>
          <w:sz w:val="32"/>
          <w:szCs w:val="32"/>
          <w:shd w:val="clear" w:color="auto" w:fill="FFFFFF"/>
        </w:rPr>
      </w:pPr>
      <w:r>
        <w:rPr>
          <w:rFonts w:hint="eastAsia" w:ascii="仿宋_GB2312" w:hAnsi="仿宋_GB2312" w:eastAsia="仿宋_GB2312" w:cs="仿宋_GB2312"/>
          <w:color w:val="000000"/>
          <w:kern w:val="0"/>
          <w:sz w:val="32"/>
          <w:szCs w:val="32"/>
          <w:shd w:val="clear" w:color="auto" w:fill="FFFFFF"/>
        </w:rPr>
        <w:t>（</w:t>
      </w:r>
      <w:r>
        <w:rPr>
          <w:rFonts w:ascii="仿宋_GB2312" w:hAnsi="仿宋_GB2312" w:eastAsia="仿宋_GB2312" w:cs="仿宋_GB2312"/>
          <w:color w:val="000000"/>
          <w:kern w:val="0"/>
          <w:sz w:val="32"/>
          <w:szCs w:val="32"/>
          <w:shd w:val="clear" w:color="auto" w:fill="FFFFFF"/>
        </w:rPr>
        <w:t>3</w:t>
      </w:r>
      <w:r>
        <w:rPr>
          <w:rFonts w:hint="eastAsia" w:ascii="仿宋_GB2312" w:hAnsi="仿宋_GB2312" w:eastAsia="仿宋_GB2312" w:cs="仿宋_GB2312"/>
          <w:color w:val="000000"/>
          <w:kern w:val="0"/>
          <w:sz w:val="32"/>
          <w:szCs w:val="32"/>
          <w:shd w:val="clear" w:color="auto" w:fill="FFFFFF"/>
        </w:rPr>
        <w:t>）对个人和家庭的补助支出：13.73万元。</w:t>
      </w:r>
    </w:p>
    <w:p>
      <w:pPr>
        <w:shd w:val="clear" w:color="auto" w:fill="FFFFFF"/>
        <w:spacing w:line="576" w:lineRule="atLeast"/>
        <w:ind w:firstLine="640" w:firstLineChars="200"/>
        <w:rPr>
          <w:rFonts w:ascii="仿宋_GB2312" w:hAnsi="仿宋_GB2312" w:eastAsia="仿宋_GB2312"/>
          <w:color w:val="000000"/>
          <w:kern w:val="0"/>
          <w:sz w:val="32"/>
          <w:szCs w:val="32"/>
          <w:shd w:val="clear" w:color="auto" w:fill="FFFFFF"/>
        </w:rPr>
      </w:pPr>
      <w:r>
        <w:rPr>
          <w:rFonts w:ascii="仿宋_GB2312" w:hAnsi="仿宋_GB2312" w:eastAsia="仿宋_GB2312" w:cs="仿宋_GB2312"/>
          <w:color w:val="000000"/>
          <w:kern w:val="0"/>
          <w:sz w:val="32"/>
          <w:szCs w:val="32"/>
          <w:shd w:val="clear" w:color="auto" w:fill="FFFFFF"/>
        </w:rPr>
        <w:t>2.</w:t>
      </w:r>
      <w:r>
        <w:rPr>
          <w:rFonts w:hint="eastAsia" w:ascii="仿宋_GB2312" w:hAnsi="仿宋_GB2312" w:eastAsia="仿宋_GB2312" w:cs="仿宋_GB2312"/>
          <w:color w:val="000000"/>
          <w:kern w:val="0"/>
          <w:sz w:val="32"/>
          <w:szCs w:val="32"/>
          <w:shd w:val="clear" w:color="auto" w:fill="FFFFFF"/>
        </w:rPr>
        <w:t>项目支出604.42万元</w:t>
      </w:r>
    </w:p>
    <w:p>
      <w:pPr>
        <w:shd w:val="clear" w:color="auto" w:fill="FFFFFF"/>
        <w:spacing w:line="576" w:lineRule="atLeast"/>
        <w:ind w:firstLine="640" w:firstLineChars="200"/>
        <w:rPr>
          <w:rFonts w:ascii="仿宋_GB2312" w:hAnsi="仿宋_GB2312" w:eastAsia="仿宋_GB2312" w:cs="仿宋_GB2312"/>
          <w:color w:val="000000"/>
          <w:kern w:val="0"/>
          <w:sz w:val="32"/>
          <w:szCs w:val="32"/>
          <w:shd w:val="clear" w:color="auto" w:fill="FFFFFF"/>
        </w:rPr>
      </w:pPr>
      <w:r>
        <w:rPr>
          <w:rFonts w:hint="eastAsia" w:ascii="仿宋_GB2312" w:hAnsi="仿宋_GB2312" w:eastAsia="仿宋_GB2312" w:cs="仿宋_GB2312"/>
          <w:color w:val="000000"/>
          <w:kern w:val="0"/>
          <w:sz w:val="32"/>
          <w:szCs w:val="32"/>
          <w:shd w:val="clear" w:color="auto" w:fill="FFFFFF"/>
        </w:rPr>
        <w:t>（</w:t>
      </w:r>
      <w:r>
        <w:rPr>
          <w:rFonts w:ascii="仿宋_GB2312" w:hAnsi="仿宋_GB2312" w:eastAsia="仿宋_GB2312" w:cs="仿宋_GB2312"/>
          <w:color w:val="000000"/>
          <w:kern w:val="0"/>
          <w:sz w:val="32"/>
          <w:szCs w:val="32"/>
          <w:shd w:val="clear" w:color="auto" w:fill="FFFFFF"/>
        </w:rPr>
        <w:t>1</w:t>
      </w:r>
      <w:r>
        <w:rPr>
          <w:rFonts w:hint="eastAsia" w:ascii="仿宋_GB2312" w:hAnsi="仿宋_GB2312" w:eastAsia="仿宋_GB2312" w:cs="仿宋_GB2312"/>
          <w:color w:val="000000"/>
          <w:kern w:val="0"/>
          <w:sz w:val="32"/>
          <w:szCs w:val="32"/>
          <w:shd w:val="clear" w:color="auto" w:fill="FFFFFF"/>
        </w:rPr>
        <w:t>）商品和服务支出222.62万元。</w:t>
      </w:r>
    </w:p>
    <w:p>
      <w:pPr>
        <w:shd w:val="clear" w:color="auto" w:fill="FFFFFF"/>
        <w:spacing w:line="576" w:lineRule="atLeast"/>
        <w:ind w:firstLine="640" w:firstLineChars="200"/>
        <w:rPr>
          <w:rFonts w:ascii="仿宋_GB2312" w:hAnsi="仿宋_GB2312" w:eastAsia="仿宋_GB2312" w:cs="仿宋_GB2312"/>
          <w:color w:val="000000"/>
          <w:kern w:val="0"/>
          <w:sz w:val="32"/>
          <w:szCs w:val="32"/>
          <w:shd w:val="clear" w:color="auto" w:fill="FFFFFF"/>
        </w:rPr>
      </w:pPr>
      <w:r>
        <w:rPr>
          <w:rFonts w:hint="eastAsia" w:ascii="仿宋_GB2312" w:hAnsi="仿宋_GB2312" w:eastAsia="仿宋_GB2312" w:cs="仿宋_GB2312"/>
          <w:color w:val="000000"/>
          <w:kern w:val="0"/>
          <w:sz w:val="32"/>
          <w:szCs w:val="32"/>
          <w:shd w:val="clear" w:color="auto" w:fill="FFFFFF"/>
        </w:rPr>
        <w:t>（2）对个人和家庭的补助148.2万元，主要用于村干部生活补助。</w:t>
      </w:r>
    </w:p>
    <w:p>
      <w:pPr>
        <w:shd w:val="clear" w:color="auto" w:fill="FFFFFF"/>
        <w:spacing w:line="576" w:lineRule="atLeast"/>
        <w:ind w:firstLine="640" w:firstLineChars="200"/>
        <w:rPr>
          <w:rFonts w:ascii="仿宋_GB2312" w:hAnsi="仿宋_GB2312" w:eastAsia="仿宋_GB2312" w:cs="仿宋_GB2312"/>
          <w:color w:val="000000"/>
          <w:kern w:val="0"/>
          <w:sz w:val="32"/>
          <w:szCs w:val="32"/>
          <w:shd w:val="clear" w:color="auto" w:fill="FFFFFF"/>
        </w:rPr>
      </w:pPr>
      <w:r>
        <w:rPr>
          <w:rFonts w:hint="eastAsia" w:ascii="仿宋_GB2312" w:hAnsi="仿宋_GB2312" w:eastAsia="仿宋_GB2312" w:cs="仿宋_GB2312"/>
          <w:color w:val="000000"/>
          <w:kern w:val="0"/>
          <w:sz w:val="32"/>
          <w:szCs w:val="32"/>
          <w:shd w:val="clear" w:color="auto" w:fill="FFFFFF"/>
        </w:rPr>
        <w:t>（3）资本性支出133.6万元。</w:t>
      </w:r>
    </w:p>
    <w:p>
      <w:pPr>
        <w:shd w:val="clear" w:color="auto" w:fill="FFFFFF"/>
        <w:spacing w:line="576" w:lineRule="atLeast"/>
        <w:ind w:firstLine="640" w:firstLineChars="200"/>
        <w:rPr>
          <w:rFonts w:ascii="仿宋_GB2312" w:hAnsi="仿宋_GB2312" w:eastAsia="仿宋_GB2312" w:cs="仿宋_GB2312"/>
          <w:color w:val="000000"/>
          <w:kern w:val="0"/>
          <w:sz w:val="32"/>
          <w:szCs w:val="32"/>
          <w:shd w:val="clear" w:color="auto" w:fill="FFFFFF"/>
        </w:rPr>
      </w:pPr>
      <w:r>
        <w:rPr>
          <w:rFonts w:hint="eastAsia" w:ascii="仿宋_GB2312" w:hAnsi="仿宋_GB2312" w:eastAsia="仿宋_GB2312" w:cs="仿宋_GB2312"/>
          <w:color w:val="000000"/>
          <w:kern w:val="0"/>
          <w:sz w:val="32"/>
          <w:szCs w:val="32"/>
          <w:shd w:val="clear" w:color="auto" w:fill="FFFFFF"/>
        </w:rPr>
        <w:t>（4）对企业的补助支出100万元。</w:t>
      </w:r>
    </w:p>
    <w:p>
      <w:pPr>
        <w:pStyle w:val="3"/>
        <w:keepNext w:val="0"/>
        <w:keepLines w:val="0"/>
        <w:spacing w:before="0" w:after="0" w:line="576" w:lineRule="atLeast"/>
        <w:ind w:firstLine="642" w:firstLineChars="200"/>
        <w:rPr>
          <w:rFonts w:ascii="楷体_GB2312" w:hAnsi="楷体_GB2312" w:eastAsia="楷体_GB2312" w:cs="楷体_GB2312"/>
        </w:rPr>
      </w:pPr>
      <w:r>
        <w:rPr>
          <w:rFonts w:hint="eastAsia" w:ascii="楷体_GB2312" w:hAnsi="楷体_GB2312" w:eastAsia="楷体_GB2312" w:cs="楷体_GB2312"/>
        </w:rPr>
        <w:t>（二）专项预算管理</w:t>
      </w:r>
    </w:p>
    <w:p>
      <w:pPr>
        <w:spacing w:line="576" w:lineRule="atLeast"/>
        <w:ind w:firstLine="640" w:firstLineChars="200"/>
        <w:rPr>
          <w:rFonts w:ascii="仿宋_GB2312" w:hAnsi="仿宋_GB2312" w:eastAsia="仿宋_GB2312"/>
          <w:sz w:val="32"/>
          <w:szCs w:val="32"/>
        </w:rPr>
      </w:pPr>
      <w:r>
        <w:rPr>
          <w:rFonts w:ascii="仿宋_GB2312" w:hAnsi="仿宋_GB2312" w:eastAsia="仿宋_GB2312" w:cs="仿宋_GB2312"/>
          <w:sz w:val="32"/>
          <w:szCs w:val="32"/>
        </w:rPr>
        <w:t>201</w:t>
      </w:r>
      <w:r>
        <w:rPr>
          <w:rFonts w:hint="eastAsia" w:ascii="仿宋_GB2312" w:hAnsi="仿宋_GB2312" w:eastAsia="仿宋_GB2312" w:cs="仿宋_GB2312"/>
          <w:sz w:val="32"/>
          <w:szCs w:val="32"/>
        </w:rPr>
        <w:t>9年，土门镇人民政府无专项预算。</w:t>
      </w:r>
    </w:p>
    <w:p>
      <w:pPr>
        <w:pStyle w:val="3"/>
        <w:keepNext w:val="0"/>
        <w:keepLines w:val="0"/>
        <w:spacing w:before="0" w:after="0" w:line="576" w:lineRule="atLeast"/>
        <w:ind w:firstLine="642" w:firstLineChars="200"/>
        <w:rPr>
          <w:rFonts w:ascii="楷体_GB2312" w:hAnsi="楷体_GB2312" w:eastAsia="楷体_GB2312" w:cs="楷体_GB2312"/>
        </w:rPr>
      </w:pPr>
      <w:r>
        <w:rPr>
          <w:rFonts w:hint="eastAsia" w:ascii="楷体_GB2312" w:hAnsi="楷体_GB2312" w:eastAsia="楷体_GB2312" w:cs="楷体_GB2312"/>
        </w:rPr>
        <w:t xml:space="preserve">（三）结果应用情况  </w:t>
      </w:r>
    </w:p>
    <w:p>
      <w:pPr>
        <w:spacing w:line="576" w:lineRule="atLeast"/>
        <w:ind w:firstLine="640" w:firstLineChars="200"/>
        <w:rPr>
          <w:rFonts w:ascii="仿宋_GB2312" w:hAnsi="仿宋_GB2312" w:eastAsia="仿宋_GB2312"/>
          <w:sz w:val="32"/>
          <w:szCs w:val="32"/>
        </w:rPr>
      </w:pPr>
      <w:r>
        <w:rPr>
          <w:rFonts w:hint="eastAsia" w:ascii="仿宋_GB2312" w:hAnsi="仿宋_GB2312" w:eastAsia="仿宋_GB2312" w:cs="仿宋_GB2312"/>
          <w:sz w:val="32"/>
          <w:szCs w:val="32"/>
        </w:rPr>
        <w:t>我镇对部门预算绩效管理工作开展情况认真进行了自查自评。绩效评价自查开展覆盖下属单位及重点支出，将评价结果作为预算安排的重要依据，参照项目年度预算执行情况、“三年滚动规划”执行情况统筹项目支出需求，保障重点支出，调整支出结构，优化财政资金配置，不断强化绩效理念，推动我镇整体绩效管理水平不断提升。</w:t>
      </w:r>
    </w:p>
    <w:p>
      <w:pPr>
        <w:pStyle w:val="3"/>
        <w:keepNext w:val="0"/>
        <w:keepLines w:val="0"/>
        <w:spacing w:before="0" w:after="0" w:line="576" w:lineRule="atLeast"/>
        <w:ind w:firstLine="640" w:firstLineChars="200"/>
        <w:rPr>
          <w:rFonts w:ascii="黑体" w:hAnsi="黑体" w:eastAsia="黑体" w:cs="Times New Roman"/>
          <w:b w:val="0"/>
          <w:bCs w:val="0"/>
        </w:rPr>
      </w:pPr>
      <w:r>
        <w:rPr>
          <w:rFonts w:hint="eastAsia" w:ascii="黑体" w:hAnsi="黑体" w:eastAsia="黑体" w:cs="黑体"/>
          <w:b w:val="0"/>
          <w:bCs w:val="0"/>
        </w:rPr>
        <w:t>四、评价结论及建议</w:t>
      </w:r>
    </w:p>
    <w:p>
      <w:pPr>
        <w:pStyle w:val="3"/>
        <w:keepNext w:val="0"/>
        <w:keepLines w:val="0"/>
        <w:spacing w:before="0" w:after="0" w:line="576" w:lineRule="atLeast"/>
        <w:ind w:firstLine="642" w:firstLineChars="200"/>
        <w:rPr>
          <w:rFonts w:ascii="楷体_GB2312" w:hAnsi="楷体_GB2312" w:eastAsia="楷体_GB2312" w:cs="楷体_GB2312"/>
        </w:rPr>
      </w:pPr>
      <w:r>
        <w:rPr>
          <w:rFonts w:hint="eastAsia" w:ascii="楷体_GB2312" w:hAnsi="楷体_GB2312" w:eastAsia="楷体_GB2312" w:cs="楷体_GB2312"/>
        </w:rPr>
        <w:t>（一）评价结论</w:t>
      </w:r>
    </w:p>
    <w:p>
      <w:pPr>
        <w:spacing w:line="576" w:lineRule="atLeast"/>
        <w:ind w:firstLine="640" w:firstLineChars="200"/>
        <w:rPr>
          <w:rFonts w:ascii="仿宋_GB2312" w:hAnsi="仿宋_GB2312" w:eastAsia="仿宋_GB2312"/>
          <w:sz w:val="32"/>
          <w:szCs w:val="32"/>
        </w:rPr>
      </w:pPr>
      <w:r>
        <w:rPr>
          <w:rFonts w:ascii="仿宋_GB2312" w:hAnsi="仿宋_GB2312" w:eastAsia="仿宋_GB2312" w:cs="仿宋_GB2312"/>
          <w:color w:val="000000"/>
          <w:kern w:val="0"/>
          <w:sz w:val="32"/>
          <w:szCs w:val="32"/>
        </w:rPr>
        <w:t>201</w:t>
      </w:r>
      <w:r>
        <w:rPr>
          <w:rFonts w:hint="eastAsia" w:ascii="仿宋_GB2312" w:hAnsi="仿宋_GB2312" w:eastAsia="仿宋_GB2312" w:cs="仿宋_GB2312"/>
          <w:color w:val="000000"/>
          <w:kern w:val="0"/>
          <w:sz w:val="32"/>
          <w:szCs w:val="32"/>
        </w:rPr>
        <w:t>9年我单位部门整体支出绩效评价自查自评结果良好，全年基本支出保证了部门的正常运行和日常工作的正常开展，项目支出保障了重点工作的开展，达到预期绩效目标。</w:t>
      </w:r>
    </w:p>
    <w:p>
      <w:pPr>
        <w:pStyle w:val="3"/>
        <w:keepNext w:val="0"/>
        <w:keepLines w:val="0"/>
        <w:spacing w:before="0" w:after="0" w:line="576" w:lineRule="atLeast"/>
        <w:ind w:firstLine="640" w:firstLineChars="200"/>
        <w:rPr>
          <w:rFonts w:ascii="仿宋_GB2312" w:hAnsi="仿宋_GB2312" w:eastAsia="仿宋_GB2312" w:cs="仿宋_GB2312"/>
          <w:b w:val="0"/>
          <w:bCs w:val="0"/>
          <w:color w:val="000000"/>
          <w:kern w:val="0"/>
        </w:rPr>
      </w:pPr>
      <w:r>
        <w:rPr>
          <w:rFonts w:hint="eastAsia" w:ascii="仿宋_GB2312" w:hAnsi="仿宋_GB2312" w:eastAsia="仿宋_GB2312" w:cs="仿宋_GB2312"/>
          <w:b w:val="0"/>
          <w:bCs w:val="0"/>
          <w:color w:val="000000"/>
          <w:kern w:val="0"/>
        </w:rPr>
        <w:t>按照《茂县财政局关于开展</w:t>
      </w:r>
      <w:r>
        <w:rPr>
          <w:rFonts w:ascii="仿宋_GB2312" w:hAnsi="仿宋_GB2312" w:eastAsia="仿宋_GB2312" w:cs="仿宋_GB2312"/>
          <w:b w:val="0"/>
          <w:bCs w:val="0"/>
          <w:color w:val="000000"/>
          <w:kern w:val="0"/>
        </w:rPr>
        <w:t>201</w:t>
      </w:r>
      <w:r>
        <w:rPr>
          <w:rFonts w:hint="eastAsia" w:ascii="仿宋_GB2312" w:hAnsi="仿宋_GB2312" w:eastAsia="仿宋_GB2312" w:cs="仿宋_GB2312"/>
          <w:b w:val="0"/>
          <w:bCs w:val="0"/>
          <w:color w:val="000000"/>
          <w:kern w:val="0"/>
        </w:rPr>
        <w:t>9年财政支出绩效评价工作的通知》（茂财发</w:t>
      </w:r>
      <w:r>
        <w:rPr>
          <w:rFonts w:ascii="仿宋_GB2312" w:hAnsi="仿宋_GB2312" w:eastAsia="仿宋_GB2312" w:cs="仿宋_GB2312"/>
          <w:b w:val="0"/>
          <w:bCs w:val="0"/>
          <w:color w:val="000000"/>
          <w:kern w:val="0"/>
        </w:rPr>
        <w:t>[2019]38</w:t>
      </w:r>
      <w:r>
        <w:rPr>
          <w:rFonts w:hint="eastAsia" w:ascii="仿宋_GB2312" w:hAnsi="仿宋_GB2312" w:eastAsia="仿宋_GB2312" w:cs="仿宋_GB2312"/>
          <w:b w:val="0"/>
          <w:bCs w:val="0"/>
          <w:color w:val="000000"/>
          <w:kern w:val="0"/>
        </w:rPr>
        <w:t>号）</w:t>
      </w:r>
      <w:r>
        <w:rPr>
          <w:rFonts w:ascii="仿宋_GB2312" w:hAnsi="仿宋_GB2312" w:eastAsia="仿宋_GB2312" w:cs="仿宋_GB2312"/>
          <w:b w:val="0"/>
          <w:bCs w:val="0"/>
          <w:color w:val="000000"/>
          <w:kern w:val="0"/>
        </w:rPr>
        <w:t>201</w:t>
      </w:r>
      <w:r>
        <w:rPr>
          <w:rFonts w:hint="eastAsia" w:ascii="仿宋_GB2312" w:hAnsi="仿宋_GB2312" w:eastAsia="仿宋_GB2312" w:cs="仿宋_GB2312"/>
          <w:b w:val="0"/>
          <w:bCs w:val="0"/>
          <w:color w:val="000000"/>
          <w:kern w:val="0"/>
        </w:rPr>
        <w:t>9年土门镇人民部门整体支出绩效评价指标体系自评得分92分。</w:t>
      </w:r>
    </w:p>
    <w:p>
      <w:pPr>
        <w:pStyle w:val="3"/>
        <w:keepNext w:val="0"/>
        <w:keepLines w:val="0"/>
        <w:spacing w:before="0" w:after="0" w:line="576" w:lineRule="atLeast"/>
        <w:ind w:firstLine="642" w:firstLineChars="200"/>
        <w:rPr>
          <w:rFonts w:ascii="楷体_GB2312" w:hAnsi="楷体_GB2312" w:eastAsia="楷体_GB2312" w:cs="楷体_GB2312"/>
        </w:rPr>
      </w:pPr>
      <w:r>
        <w:rPr>
          <w:rFonts w:hint="eastAsia" w:ascii="楷体_GB2312" w:hAnsi="楷体_GB2312" w:eastAsia="楷体_GB2312" w:cs="楷体_GB2312"/>
        </w:rPr>
        <w:t>（二）存在问题</w:t>
      </w:r>
    </w:p>
    <w:p>
      <w:pPr>
        <w:spacing w:line="576" w:lineRule="atLeast"/>
        <w:ind w:firstLine="640" w:firstLineChars="200"/>
        <w:rPr>
          <w:rFonts w:ascii="仿宋_GB2312" w:hAnsi="仿宋_GB2312" w:eastAsia="仿宋_GB2312"/>
          <w:sz w:val="32"/>
          <w:szCs w:val="32"/>
        </w:rPr>
      </w:pPr>
      <w:r>
        <w:rPr>
          <w:rFonts w:ascii="仿宋_GB2312" w:hAnsi="仿宋_GB2312" w:eastAsia="仿宋_GB2312" w:cs="仿宋_GB2312"/>
          <w:sz w:val="32"/>
          <w:szCs w:val="32"/>
        </w:rPr>
        <w:t>1.</w:t>
      </w:r>
      <w:r>
        <w:rPr>
          <w:rFonts w:hint="eastAsia" w:ascii="仿宋_GB2312" w:hAnsi="仿宋_GB2312" w:eastAsia="仿宋_GB2312" w:cs="仿宋_GB2312"/>
          <w:sz w:val="32"/>
          <w:szCs w:val="32"/>
        </w:rPr>
        <w:t>需更进一步规范财务报账资料。</w:t>
      </w:r>
    </w:p>
    <w:p>
      <w:pPr>
        <w:spacing w:line="576" w:lineRule="atLeast"/>
        <w:ind w:firstLine="640" w:firstLineChars="200"/>
        <w:rPr>
          <w:rFonts w:ascii="仿宋_GB2312" w:hAnsi="仿宋_GB2312" w:eastAsia="仿宋_GB2312"/>
          <w:sz w:val="32"/>
          <w:szCs w:val="32"/>
        </w:rPr>
      </w:pPr>
      <w:r>
        <w:rPr>
          <w:rFonts w:ascii="仿宋_GB2312" w:hAnsi="仿宋_GB2312" w:eastAsia="仿宋_GB2312" w:cs="仿宋_GB2312"/>
          <w:sz w:val="32"/>
          <w:szCs w:val="32"/>
        </w:rPr>
        <w:t>2.</w:t>
      </w:r>
      <w:r>
        <w:rPr>
          <w:rFonts w:hint="eastAsia" w:ascii="仿宋_GB2312" w:hAnsi="仿宋_GB2312" w:eastAsia="仿宋_GB2312" w:cs="仿宋_GB2312"/>
          <w:sz w:val="32"/>
          <w:szCs w:val="32"/>
        </w:rPr>
        <w:t>属于公务卡结算目录内的费用</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应加大使用公务卡结算比例。</w:t>
      </w:r>
    </w:p>
    <w:p>
      <w:pPr>
        <w:spacing w:line="576" w:lineRule="atLeast"/>
        <w:ind w:firstLine="640" w:firstLineChars="200"/>
        <w:rPr>
          <w:rFonts w:ascii="仿宋_GB2312" w:hAnsi="仿宋_GB2312" w:eastAsia="仿宋_GB2312"/>
          <w:sz w:val="32"/>
          <w:szCs w:val="32"/>
        </w:rPr>
      </w:pPr>
      <w:r>
        <w:rPr>
          <w:rFonts w:ascii="仿宋_GB2312" w:hAnsi="仿宋_GB2312" w:eastAsia="仿宋_GB2312" w:cs="仿宋_GB2312"/>
          <w:sz w:val="32"/>
          <w:szCs w:val="32"/>
        </w:rPr>
        <w:t>3.</w:t>
      </w:r>
      <w:r>
        <w:rPr>
          <w:rFonts w:hint="eastAsia" w:ascii="仿宋_GB2312" w:hAnsi="仿宋_GB2312" w:eastAsia="仿宋_GB2312" w:cs="仿宋_GB2312"/>
          <w:sz w:val="32"/>
          <w:szCs w:val="32"/>
        </w:rPr>
        <w:t>需严格报账审批，切实履行各自职能职责，保障会计资料的真实性、完整性。</w:t>
      </w:r>
    </w:p>
    <w:p>
      <w:pPr>
        <w:spacing w:line="576" w:lineRule="atLeast"/>
        <w:ind w:firstLine="640" w:firstLineChars="200"/>
        <w:rPr>
          <w:rFonts w:ascii="仿宋_GB2312" w:hAnsi="仿宋_GB2312" w:eastAsia="仿宋_GB2312"/>
          <w:sz w:val="32"/>
          <w:szCs w:val="32"/>
        </w:rPr>
      </w:pPr>
      <w:r>
        <w:rPr>
          <w:rFonts w:ascii="仿宋_GB2312" w:hAnsi="仿宋_GB2312" w:eastAsia="仿宋_GB2312" w:cs="仿宋_GB2312"/>
          <w:sz w:val="32"/>
          <w:szCs w:val="32"/>
        </w:rPr>
        <w:t>4.</w:t>
      </w:r>
      <w:r>
        <w:rPr>
          <w:rFonts w:hint="eastAsia" w:ascii="仿宋_GB2312" w:hAnsi="仿宋_GB2312" w:eastAsia="仿宋_GB2312" w:cs="仿宋_GB2312"/>
          <w:sz w:val="32"/>
          <w:szCs w:val="32"/>
        </w:rPr>
        <w:t>财务核算和档案管理需进一步规范。</w:t>
      </w:r>
    </w:p>
    <w:p>
      <w:pPr>
        <w:spacing w:line="576" w:lineRule="atLeast"/>
        <w:ind w:firstLine="640" w:firstLineChars="200"/>
      </w:pPr>
      <w:r>
        <w:rPr>
          <w:rFonts w:ascii="仿宋_GB2312" w:hAnsi="仿宋_GB2312" w:eastAsia="仿宋_GB2312" w:cs="仿宋_GB2312"/>
          <w:sz w:val="32"/>
          <w:szCs w:val="32"/>
        </w:rPr>
        <w:t>5.</w:t>
      </w:r>
      <w:r>
        <w:rPr>
          <w:rFonts w:hint="eastAsia" w:ascii="仿宋_GB2312" w:hAnsi="仿宋_GB2312" w:eastAsia="仿宋_GB2312" w:cs="仿宋_GB2312"/>
          <w:sz w:val="32"/>
          <w:szCs w:val="32"/>
        </w:rPr>
        <w:t>财务人员工作量大、业务水平要求更高，需要进一步提高会计业务水平。</w:t>
      </w:r>
    </w:p>
    <w:p>
      <w:pPr>
        <w:pStyle w:val="3"/>
        <w:keepNext w:val="0"/>
        <w:keepLines w:val="0"/>
        <w:spacing w:before="0" w:after="0" w:line="576" w:lineRule="atLeast"/>
        <w:ind w:firstLine="642" w:firstLineChars="200"/>
        <w:rPr>
          <w:rFonts w:ascii="楷体_GB2312" w:hAnsi="楷体_GB2312" w:eastAsia="楷体_GB2312" w:cs="楷体_GB2312"/>
        </w:rPr>
      </w:pPr>
      <w:r>
        <w:rPr>
          <w:rFonts w:hint="eastAsia" w:ascii="楷体_GB2312" w:hAnsi="楷体_GB2312" w:eastAsia="楷体_GB2312" w:cs="楷体_GB2312"/>
        </w:rPr>
        <w:t>（三）改进建议</w:t>
      </w:r>
    </w:p>
    <w:p>
      <w:pPr>
        <w:spacing w:line="576" w:lineRule="atLeast"/>
        <w:ind w:firstLine="640" w:firstLineChars="200"/>
        <w:rPr>
          <w:rFonts w:ascii="仿宋_GB2312" w:hAnsi="仿宋_GB2312" w:eastAsia="仿宋_GB2312"/>
          <w:sz w:val="32"/>
          <w:szCs w:val="32"/>
        </w:rPr>
      </w:pPr>
      <w:r>
        <w:rPr>
          <w:rFonts w:ascii="仿宋_GB2312" w:hAnsi="仿宋_GB2312" w:eastAsia="仿宋_GB2312" w:cs="仿宋_GB2312"/>
          <w:sz w:val="32"/>
          <w:szCs w:val="32"/>
        </w:rPr>
        <w:t>1.</w:t>
      </w:r>
      <w:r>
        <w:rPr>
          <w:rFonts w:hint="eastAsia" w:ascii="仿宋_GB2312" w:hAnsi="仿宋_GB2312" w:eastAsia="仿宋_GB2312" w:cs="仿宋_GB2312"/>
          <w:sz w:val="32"/>
          <w:szCs w:val="32"/>
        </w:rPr>
        <w:t>进一步加强单位预算编制、支出执行、决算编制等工作的管理，特别是应加快专项资金的预算执行进度。</w:t>
      </w:r>
    </w:p>
    <w:p>
      <w:pPr>
        <w:spacing w:line="576" w:lineRule="atLeast"/>
        <w:ind w:firstLine="640" w:firstLineChars="200"/>
        <w:rPr>
          <w:rFonts w:ascii="仿宋_GB2312" w:hAnsi="仿宋_GB2312" w:eastAsia="仿宋_GB2312"/>
          <w:sz w:val="32"/>
          <w:szCs w:val="32"/>
        </w:rPr>
      </w:pPr>
      <w:r>
        <w:rPr>
          <w:rFonts w:ascii="仿宋_GB2312" w:hAnsi="仿宋_GB2312" w:eastAsia="仿宋_GB2312" w:cs="仿宋_GB2312"/>
          <w:sz w:val="32"/>
          <w:szCs w:val="32"/>
        </w:rPr>
        <w:t>2.</w:t>
      </w:r>
      <w:r>
        <w:rPr>
          <w:rFonts w:hint="eastAsia" w:ascii="仿宋_GB2312" w:hAnsi="仿宋_GB2312" w:eastAsia="仿宋_GB2312" w:cs="仿宋_GB2312"/>
          <w:sz w:val="32"/>
          <w:szCs w:val="32"/>
        </w:rPr>
        <w:t>在会计核算过程中，严格按照单位内控制度、财务管理制度，加强票据审核，报销凭证应为真实、合法、有效的票据；严禁超范围、超标准、进行报销。</w:t>
      </w:r>
      <w:r>
        <w:rPr>
          <w:rFonts w:ascii="仿宋_GB2312" w:hAnsi="仿宋_GB2312" w:eastAsia="仿宋_GB2312"/>
          <w:sz w:val="32"/>
          <w:szCs w:val="32"/>
        </w:rPr>
        <w:tab/>
      </w:r>
    </w:p>
    <w:p>
      <w:pPr>
        <w:spacing w:line="580" w:lineRule="exact"/>
        <w:rPr>
          <w:rFonts w:ascii="黑体" w:hAnsi="黑体" w:eastAsia="黑体" w:cs="黑体"/>
          <w:sz w:val="32"/>
          <w:szCs w:val="32"/>
        </w:rPr>
      </w:pPr>
    </w:p>
    <w:p>
      <w:pPr>
        <w:spacing w:line="580" w:lineRule="exact"/>
        <w:rPr>
          <w:rFonts w:ascii="黑体" w:hAnsi="黑体" w:eastAsia="黑体" w:cs="黑体"/>
          <w:sz w:val="32"/>
          <w:szCs w:val="32"/>
        </w:rPr>
      </w:pPr>
    </w:p>
    <w:p>
      <w:pPr>
        <w:spacing w:line="580" w:lineRule="exact"/>
        <w:rPr>
          <w:rFonts w:ascii="黑体" w:hAnsi="黑体" w:eastAsia="黑体" w:cs="黑体"/>
          <w:sz w:val="32"/>
          <w:szCs w:val="32"/>
        </w:rPr>
      </w:pPr>
    </w:p>
    <w:p>
      <w:pPr>
        <w:spacing w:line="580" w:lineRule="exact"/>
        <w:rPr>
          <w:rFonts w:ascii="黑体" w:hAnsi="黑体" w:eastAsia="黑体" w:cs="黑体"/>
          <w:sz w:val="32"/>
          <w:szCs w:val="32"/>
        </w:rPr>
      </w:pPr>
    </w:p>
    <w:p>
      <w:pPr>
        <w:spacing w:line="580" w:lineRule="exact"/>
        <w:rPr>
          <w:rFonts w:ascii="黑体" w:hAnsi="黑体" w:eastAsia="黑体" w:cs="黑体"/>
          <w:sz w:val="32"/>
          <w:szCs w:val="32"/>
        </w:rPr>
      </w:pPr>
    </w:p>
    <w:p>
      <w:pPr>
        <w:spacing w:line="580" w:lineRule="exact"/>
        <w:rPr>
          <w:rFonts w:ascii="黑体" w:hAnsi="黑体" w:eastAsia="黑体" w:cs="黑体"/>
          <w:sz w:val="32"/>
          <w:szCs w:val="32"/>
        </w:rPr>
      </w:pPr>
    </w:p>
    <w:p>
      <w:pPr>
        <w:spacing w:line="580" w:lineRule="exact"/>
        <w:rPr>
          <w:rFonts w:ascii="黑体" w:hAnsi="黑体" w:eastAsia="黑体" w:cs="黑体"/>
          <w:sz w:val="32"/>
          <w:szCs w:val="32"/>
        </w:rPr>
      </w:pPr>
    </w:p>
    <w:p>
      <w:pPr>
        <w:spacing w:line="580" w:lineRule="exact"/>
        <w:rPr>
          <w:rFonts w:ascii="黑体" w:hAnsi="黑体" w:eastAsia="黑体" w:cs="黑体"/>
          <w:sz w:val="32"/>
          <w:szCs w:val="32"/>
        </w:rPr>
      </w:pPr>
    </w:p>
    <w:p>
      <w:pPr>
        <w:spacing w:line="580" w:lineRule="exact"/>
        <w:rPr>
          <w:rFonts w:ascii="黑体" w:hAnsi="黑体" w:eastAsia="黑体" w:cs="黑体"/>
          <w:sz w:val="32"/>
          <w:szCs w:val="32"/>
        </w:rPr>
      </w:pPr>
    </w:p>
    <w:p>
      <w:pPr>
        <w:spacing w:line="580" w:lineRule="exact"/>
        <w:rPr>
          <w:rFonts w:ascii="黑体" w:hAnsi="黑体" w:eastAsia="黑体" w:cs="黑体"/>
          <w:sz w:val="32"/>
          <w:szCs w:val="32"/>
        </w:rPr>
      </w:pPr>
    </w:p>
    <w:p>
      <w:pPr>
        <w:spacing w:line="580" w:lineRule="exact"/>
        <w:rPr>
          <w:rFonts w:ascii="黑体" w:hAnsi="黑体" w:eastAsia="黑体" w:cs="黑体"/>
          <w:sz w:val="32"/>
          <w:szCs w:val="32"/>
        </w:rPr>
      </w:pPr>
    </w:p>
    <w:p>
      <w:pPr>
        <w:spacing w:line="580" w:lineRule="exact"/>
        <w:rPr>
          <w:rFonts w:ascii="黑体" w:hAnsi="黑体" w:eastAsia="黑体" w:cs="黑体"/>
          <w:sz w:val="32"/>
          <w:szCs w:val="32"/>
        </w:rPr>
      </w:pPr>
    </w:p>
    <w:p>
      <w:pPr>
        <w:spacing w:line="580" w:lineRule="exact"/>
        <w:rPr>
          <w:rFonts w:ascii="黑体" w:hAnsi="黑体" w:eastAsia="黑体" w:cs="黑体"/>
          <w:sz w:val="32"/>
          <w:szCs w:val="32"/>
        </w:rPr>
      </w:pPr>
    </w:p>
    <w:p>
      <w:pPr>
        <w:spacing w:line="580" w:lineRule="exact"/>
        <w:rPr>
          <w:rFonts w:ascii="黑体" w:hAnsi="黑体" w:eastAsia="黑体" w:cs="黑体"/>
          <w:sz w:val="32"/>
          <w:szCs w:val="32"/>
        </w:rPr>
      </w:pPr>
    </w:p>
    <w:p>
      <w:pPr>
        <w:spacing w:line="580" w:lineRule="exact"/>
        <w:rPr>
          <w:rFonts w:ascii="黑体" w:hAnsi="黑体" w:eastAsia="黑体" w:cs="黑体"/>
          <w:sz w:val="32"/>
          <w:szCs w:val="32"/>
        </w:rPr>
      </w:pPr>
    </w:p>
    <w:p>
      <w:pPr>
        <w:spacing w:line="580" w:lineRule="exact"/>
        <w:rPr>
          <w:rFonts w:ascii="黑体" w:hAnsi="黑体" w:eastAsia="黑体" w:cs="黑体"/>
          <w:sz w:val="32"/>
          <w:szCs w:val="32"/>
        </w:rPr>
      </w:pPr>
    </w:p>
    <w:p>
      <w:pPr>
        <w:spacing w:line="600" w:lineRule="exact"/>
        <w:jc w:val="center"/>
        <w:outlineLvl w:val="0"/>
        <w:rPr>
          <w:rStyle w:val="24"/>
          <w:rFonts w:ascii="黑体" w:hAnsi="黑体" w:eastAsia="黑体"/>
          <w:b w:val="0"/>
        </w:rPr>
      </w:pPr>
      <w:bookmarkStart w:id="56" w:name="_Toc15396618"/>
      <w:r>
        <w:rPr>
          <w:rFonts w:hint="eastAsia" w:ascii="黑体" w:hAnsi="黑体" w:eastAsia="黑体"/>
          <w:color w:val="000000"/>
          <w:sz w:val="44"/>
          <w:szCs w:val="44"/>
        </w:rPr>
        <w:t>第</w:t>
      </w:r>
      <w:r>
        <w:rPr>
          <w:rStyle w:val="24"/>
          <w:rFonts w:hint="eastAsia" w:ascii="黑体" w:hAnsi="黑体" w:eastAsia="黑体"/>
          <w:b w:val="0"/>
        </w:rPr>
        <w:t>五部分 附表</w:t>
      </w:r>
      <w:bookmarkEnd w:id="54"/>
      <w:bookmarkEnd w:id="56"/>
    </w:p>
    <w:p>
      <w:pPr>
        <w:spacing w:line="600" w:lineRule="exact"/>
        <w:jc w:val="center"/>
        <w:outlineLvl w:val="0"/>
        <w:rPr>
          <w:rFonts w:ascii="仿宋" w:hAnsi="仿宋" w:eastAsia="仿宋"/>
          <w:b/>
          <w:color w:val="000000"/>
          <w:sz w:val="44"/>
          <w:szCs w:val="44"/>
        </w:rPr>
      </w:pPr>
    </w:p>
    <w:p>
      <w:pPr>
        <w:pStyle w:val="3"/>
        <w:rPr>
          <w:rFonts w:ascii="仿宋" w:hAnsi="仿宋" w:eastAsia="仿宋"/>
          <w:color w:val="000000"/>
        </w:rPr>
      </w:pPr>
      <w:bookmarkStart w:id="57" w:name="_Toc15396619"/>
      <w:r>
        <w:rPr>
          <w:rFonts w:hint="eastAsia" w:ascii="仿宋" w:hAnsi="仿宋" w:eastAsia="仿宋"/>
          <w:b w:val="0"/>
          <w:color w:val="000000"/>
        </w:rPr>
        <w:t>一、收</w:t>
      </w:r>
      <w:r>
        <w:rPr>
          <w:rStyle w:val="25"/>
          <w:rFonts w:hint="eastAsia" w:ascii="仿宋" w:hAnsi="仿宋" w:eastAsia="仿宋"/>
          <w:b w:val="0"/>
          <w:bCs w:val="0"/>
        </w:rPr>
        <w:t>入支出决算总表</w:t>
      </w:r>
      <w:bookmarkEnd w:id="57"/>
    </w:p>
    <w:p>
      <w:pPr>
        <w:pStyle w:val="3"/>
        <w:rPr>
          <w:rFonts w:ascii="仿宋" w:hAnsi="仿宋" w:eastAsia="仿宋"/>
          <w:color w:val="000000"/>
        </w:rPr>
      </w:pPr>
      <w:bookmarkStart w:id="58" w:name="_Toc15396620"/>
      <w:r>
        <w:rPr>
          <w:rFonts w:hint="eastAsia" w:ascii="仿宋" w:hAnsi="仿宋" w:eastAsia="仿宋"/>
          <w:b w:val="0"/>
          <w:color w:val="000000"/>
        </w:rPr>
        <w:t>二、收</w:t>
      </w:r>
      <w:r>
        <w:rPr>
          <w:rStyle w:val="25"/>
          <w:rFonts w:hint="eastAsia" w:ascii="仿宋" w:hAnsi="仿宋" w:eastAsia="仿宋"/>
          <w:b w:val="0"/>
          <w:bCs w:val="0"/>
        </w:rPr>
        <w:t>入决算表</w:t>
      </w:r>
      <w:bookmarkEnd w:id="58"/>
    </w:p>
    <w:p>
      <w:pPr>
        <w:pStyle w:val="3"/>
        <w:rPr>
          <w:rFonts w:ascii="仿宋" w:hAnsi="仿宋" w:eastAsia="仿宋"/>
          <w:color w:val="000000"/>
        </w:rPr>
      </w:pPr>
      <w:bookmarkStart w:id="59" w:name="_Toc15396621"/>
      <w:r>
        <w:rPr>
          <w:rStyle w:val="25"/>
          <w:rFonts w:hint="eastAsia" w:ascii="仿宋" w:hAnsi="仿宋" w:eastAsia="仿宋"/>
          <w:b w:val="0"/>
          <w:bCs w:val="0"/>
        </w:rPr>
        <w:t>三、</w:t>
      </w:r>
      <w:r>
        <w:rPr>
          <w:rFonts w:hint="eastAsia" w:ascii="仿宋" w:hAnsi="仿宋" w:eastAsia="仿宋"/>
          <w:b w:val="0"/>
          <w:color w:val="000000"/>
        </w:rPr>
        <w:t>支</w:t>
      </w:r>
      <w:r>
        <w:rPr>
          <w:rStyle w:val="25"/>
          <w:rFonts w:hint="eastAsia" w:ascii="仿宋" w:hAnsi="仿宋" w:eastAsia="仿宋"/>
          <w:b w:val="0"/>
          <w:bCs w:val="0"/>
        </w:rPr>
        <w:t>出决算表</w:t>
      </w:r>
      <w:bookmarkEnd w:id="59"/>
    </w:p>
    <w:p>
      <w:pPr>
        <w:pStyle w:val="3"/>
        <w:rPr>
          <w:rFonts w:ascii="仿宋" w:hAnsi="仿宋" w:eastAsia="仿宋"/>
          <w:b w:val="0"/>
          <w:color w:val="000000"/>
        </w:rPr>
      </w:pPr>
      <w:bookmarkStart w:id="60" w:name="_Toc15396622"/>
      <w:r>
        <w:rPr>
          <w:rStyle w:val="25"/>
          <w:rFonts w:hint="eastAsia" w:ascii="仿宋" w:hAnsi="仿宋" w:eastAsia="仿宋"/>
          <w:b w:val="0"/>
          <w:bCs w:val="0"/>
        </w:rPr>
        <w:t>四、</w:t>
      </w:r>
      <w:r>
        <w:rPr>
          <w:rFonts w:hint="eastAsia" w:ascii="仿宋" w:hAnsi="仿宋" w:eastAsia="仿宋"/>
          <w:b w:val="0"/>
          <w:color w:val="000000"/>
        </w:rPr>
        <w:t>财</w:t>
      </w:r>
      <w:r>
        <w:rPr>
          <w:rStyle w:val="25"/>
          <w:rFonts w:hint="eastAsia" w:ascii="仿宋" w:hAnsi="仿宋" w:eastAsia="仿宋"/>
          <w:b w:val="0"/>
          <w:bCs w:val="0"/>
        </w:rPr>
        <w:t>政拨款收入支出决算总表</w:t>
      </w:r>
      <w:bookmarkEnd w:id="60"/>
    </w:p>
    <w:p>
      <w:pPr>
        <w:pStyle w:val="3"/>
        <w:rPr>
          <w:rStyle w:val="25"/>
          <w:rFonts w:ascii="仿宋" w:hAnsi="仿宋" w:eastAsia="仿宋"/>
          <w:b w:val="0"/>
          <w:bCs w:val="0"/>
        </w:rPr>
      </w:pPr>
      <w:bookmarkStart w:id="61" w:name="_Toc15396623"/>
      <w:r>
        <w:rPr>
          <w:rStyle w:val="25"/>
          <w:rFonts w:hint="eastAsia" w:ascii="仿宋" w:hAnsi="仿宋" w:eastAsia="仿宋"/>
          <w:b w:val="0"/>
          <w:bCs w:val="0"/>
        </w:rPr>
        <w:t>五、</w:t>
      </w:r>
      <w:r>
        <w:rPr>
          <w:rFonts w:hint="eastAsia" w:ascii="仿宋" w:hAnsi="仿宋" w:eastAsia="仿宋"/>
          <w:b w:val="0"/>
          <w:color w:val="000000"/>
        </w:rPr>
        <w:t>财</w:t>
      </w:r>
      <w:r>
        <w:rPr>
          <w:rStyle w:val="25"/>
          <w:rFonts w:hint="eastAsia" w:ascii="仿宋" w:hAnsi="仿宋" w:eastAsia="仿宋"/>
          <w:b w:val="0"/>
          <w:bCs w:val="0"/>
        </w:rPr>
        <w:t>政拨款支出决算明细表</w:t>
      </w:r>
      <w:bookmarkEnd w:id="61"/>
      <w:bookmarkStart w:id="62" w:name="_Toc15396624"/>
    </w:p>
    <w:p>
      <w:pPr>
        <w:pStyle w:val="3"/>
        <w:rPr>
          <w:rFonts w:ascii="仿宋" w:hAnsi="仿宋" w:eastAsia="仿宋"/>
          <w:color w:val="000000"/>
        </w:rPr>
      </w:pPr>
      <w:r>
        <w:rPr>
          <w:rStyle w:val="25"/>
          <w:rFonts w:hint="eastAsia" w:ascii="仿宋" w:hAnsi="仿宋" w:eastAsia="仿宋"/>
          <w:b w:val="0"/>
          <w:bCs w:val="0"/>
        </w:rPr>
        <w:t>六、</w:t>
      </w:r>
      <w:r>
        <w:rPr>
          <w:rFonts w:hint="eastAsia" w:ascii="仿宋" w:hAnsi="仿宋" w:eastAsia="仿宋"/>
          <w:b w:val="0"/>
          <w:color w:val="000000"/>
        </w:rPr>
        <w:t>一</w:t>
      </w:r>
      <w:r>
        <w:rPr>
          <w:rStyle w:val="25"/>
          <w:rFonts w:hint="eastAsia" w:ascii="仿宋" w:hAnsi="仿宋" w:eastAsia="仿宋"/>
          <w:b w:val="0"/>
          <w:bCs w:val="0"/>
        </w:rPr>
        <w:t>般公共预算财政拨款支出决算表</w:t>
      </w:r>
      <w:bookmarkEnd w:id="62"/>
    </w:p>
    <w:p>
      <w:pPr>
        <w:pStyle w:val="3"/>
        <w:rPr>
          <w:rFonts w:ascii="仿宋" w:hAnsi="仿宋" w:eastAsia="仿宋"/>
          <w:color w:val="000000"/>
        </w:rPr>
      </w:pPr>
      <w:bookmarkStart w:id="63" w:name="_Toc15396625"/>
      <w:r>
        <w:rPr>
          <w:rStyle w:val="25"/>
          <w:rFonts w:hint="eastAsia" w:ascii="仿宋" w:hAnsi="仿宋" w:eastAsia="仿宋"/>
          <w:b w:val="0"/>
          <w:bCs w:val="0"/>
        </w:rPr>
        <w:t>七、</w:t>
      </w:r>
      <w:r>
        <w:rPr>
          <w:rFonts w:hint="eastAsia" w:ascii="仿宋" w:hAnsi="仿宋" w:eastAsia="仿宋"/>
          <w:b w:val="0"/>
          <w:color w:val="000000"/>
        </w:rPr>
        <w:t>一</w:t>
      </w:r>
      <w:r>
        <w:rPr>
          <w:rStyle w:val="25"/>
          <w:rFonts w:hint="eastAsia" w:ascii="仿宋" w:hAnsi="仿宋" w:eastAsia="仿宋"/>
          <w:b w:val="0"/>
          <w:bCs w:val="0"/>
        </w:rPr>
        <w:t>般公共预算财政拨款支出决算明细表</w:t>
      </w:r>
      <w:bookmarkEnd w:id="63"/>
    </w:p>
    <w:p>
      <w:pPr>
        <w:pStyle w:val="3"/>
        <w:rPr>
          <w:rFonts w:ascii="仿宋" w:hAnsi="仿宋" w:eastAsia="仿宋"/>
          <w:color w:val="000000"/>
        </w:rPr>
      </w:pPr>
      <w:bookmarkStart w:id="64" w:name="_Toc15396626"/>
      <w:r>
        <w:rPr>
          <w:rStyle w:val="25"/>
          <w:rFonts w:hint="eastAsia" w:ascii="仿宋" w:hAnsi="仿宋" w:eastAsia="仿宋"/>
          <w:b w:val="0"/>
          <w:bCs w:val="0"/>
        </w:rPr>
        <w:t>八、</w:t>
      </w:r>
      <w:r>
        <w:rPr>
          <w:rFonts w:hint="eastAsia" w:ascii="仿宋" w:hAnsi="仿宋" w:eastAsia="仿宋"/>
          <w:b w:val="0"/>
          <w:color w:val="000000"/>
        </w:rPr>
        <w:t>一</w:t>
      </w:r>
      <w:r>
        <w:rPr>
          <w:rStyle w:val="25"/>
          <w:rFonts w:hint="eastAsia" w:ascii="仿宋" w:hAnsi="仿宋" w:eastAsia="仿宋"/>
          <w:b w:val="0"/>
          <w:bCs w:val="0"/>
        </w:rPr>
        <w:t>般公共预算财政拨款基本支出决算表</w:t>
      </w:r>
      <w:bookmarkEnd w:id="64"/>
    </w:p>
    <w:p>
      <w:pPr>
        <w:pStyle w:val="3"/>
        <w:rPr>
          <w:rFonts w:ascii="仿宋" w:hAnsi="仿宋" w:eastAsia="仿宋"/>
          <w:color w:val="000000"/>
        </w:rPr>
      </w:pPr>
      <w:bookmarkStart w:id="65" w:name="_Toc15396627"/>
      <w:r>
        <w:rPr>
          <w:rStyle w:val="25"/>
          <w:rFonts w:hint="eastAsia" w:ascii="仿宋" w:hAnsi="仿宋" w:eastAsia="仿宋"/>
          <w:b w:val="0"/>
          <w:bCs w:val="0"/>
        </w:rPr>
        <w:t>九、</w:t>
      </w:r>
      <w:r>
        <w:rPr>
          <w:rFonts w:hint="eastAsia" w:ascii="仿宋" w:hAnsi="仿宋" w:eastAsia="仿宋"/>
          <w:b w:val="0"/>
          <w:color w:val="000000"/>
        </w:rPr>
        <w:t>一</w:t>
      </w:r>
      <w:r>
        <w:rPr>
          <w:rStyle w:val="25"/>
          <w:rFonts w:hint="eastAsia" w:ascii="仿宋" w:hAnsi="仿宋" w:eastAsia="仿宋"/>
          <w:b w:val="0"/>
          <w:bCs w:val="0"/>
        </w:rPr>
        <w:t>般公共预算财政拨款项目支出决算表</w:t>
      </w:r>
      <w:bookmarkEnd w:id="65"/>
    </w:p>
    <w:p>
      <w:pPr>
        <w:pStyle w:val="3"/>
        <w:rPr>
          <w:rFonts w:ascii="仿宋" w:hAnsi="仿宋" w:eastAsia="仿宋"/>
          <w:color w:val="000000"/>
        </w:rPr>
      </w:pPr>
      <w:bookmarkStart w:id="66" w:name="_Toc15396628"/>
      <w:r>
        <w:rPr>
          <w:rStyle w:val="25"/>
          <w:rFonts w:hint="eastAsia" w:ascii="仿宋" w:hAnsi="仿宋" w:eastAsia="仿宋"/>
          <w:b w:val="0"/>
          <w:bCs w:val="0"/>
        </w:rPr>
        <w:t>十、</w:t>
      </w:r>
      <w:r>
        <w:rPr>
          <w:rFonts w:hint="eastAsia" w:ascii="仿宋" w:hAnsi="仿宋" w:eastAsia="仿宋"/>
          <w:b w:val="0"/>
          <w:color w:val="000000"/>
        </w:rPr>
        <w:t>一</w:t>
      </w:r>
      <w:r>
        <w:rPr>
          <w:rStyle w:val="25"/>
          <w:rFonts w:hint="eastAsia" w:ascii="仿宋" w:hAnsi="仿宋" w:eastAsia="仿宋"/>
          <w:b w:val="0"/>
          <w:bCs w:val="0"/>
        </w:rPr>
        <w:t>般公共预算财政拨款“三公”经费支出决算表</w:t>
      </w:r>
      <w:bookmarkEnd w:id="66"/>
    </w:p>
    <w:p>
      <w:pPr>
        <w:pStyle w:val="3"/>
        <w:rPr>
          <w:rFonts w:ascii="仿宋" w:hAnsi="仿宋" w:eastAsia="仿宋"/>
          <w:color w:val="000000"/>
        </w:rPr>
      </w:pPr>
      <w:bookmarkStart w:id="67" w:name="_Toc15396629"/>
      <w:r>
        <w:rPr>
          <w:rStyle w:val="25"/>
          <w:rFonts w:hint="eastAsia" w:ascii="仿宋" w:hAnsi="仿宋" w:eastAsia="仿宋"/>
          <w:b w:val="0"/>
          <w:bCs w:val="0"/>
        </w:rPr>
        <w:t>十一、</w:t>
      </w:r>
      <w:r>
        <w:rPr>
          <w:rFonts w:hint="eastAsia" w:ascii="仿宋" w:hAnsi="仿宋" w:eastAsia="仿宋"/>
          <w:b w:val="0"/>
          <w:color w:val="000000"/>
        </w:rPr>
        <w:t>政</w:t>
      </w:r>
      <w:r>
        <w:rPr>
          <w:rStyle w:val="25"/>
          <w:rFonts w:hint="eastAsia" w:ascii="仿宋" w:hAnsi="仿宋" w:eastAsia="仿宋"/>
          <w:b w:val="0"/>
          <w:bCs w:val="0"/>
        </w:rPr>
        <w:t>府性基金预算财政拨款收入支出决算表</w:t>
      </w:r>
      <w:bookmarkEnd w:id="67"/>
    </w:p>
    <w:p>
      <w:pPr>
        <w:pStyle w:val="3"/>
        <w:rPr>
          <w:rFonts w:ascii="仿宋" w:hAnsi="仿宋" w:eastAsia="仿宋"/>
          <w:color w:val="000000"/>
        </w:rPr>
      </w:pPr>
      <w:bookmarkStart w:id="68" w:name="_Toc15396630"/>
      <w:r>
        <w:rPr>
          <w:rStyle w:val="25"/>
          <w:rFonts w:hint="eastAsia" w:ascii="仿宋" w:hAnsi="仿宋" w:eastAsia="仿宋"/>
          <w:b w:val="0"/>
          <w:bCs w:val="0"/>
        </w:rPr>
        <w:t>十二、</w:t>
      </w:r>
      <w:r>
        <w:rPr>
          <w:rFonts w:hint="eastAsia" w:ascii="仿宋" w:hAnsi="仿宋" w:eastAsia="仿宋"/>
          <w:b w:val="0"/>
          <w:color w:val="000000"/>
        </w:rPr>
        <w:t>政</w:t>
      </w:r>
      <w:r>
        <w:rPr>
          <w:rStyle w:val="25"/>
          <w:rFonts w:hint="eastAsia" w:ascii="仿宋" w:hAnsi="仿宋" w:eastAsia="仿宋"/>
          <w:b w:val="0"/>
          <w:bCs w:val="0"/>
        </w:rPr>
        <w:t>府性基金预算财政拨款“三公”经费支出决算表</w:t>
      </w:r>
      <w:bookmarkEnd w:id="68"/>
    </w:p>
    <w:p>
      <w:pPr>
        <w:pStyle w:val="3"/>
        <w:rPr>
          <w:rFonts w:ascii="仿宋" w:hAnsi="仿宋" w:eastAsia="仿宋"/>
          <w:color w:val="000000" w:themeColor="text1"/>
        </w:rPr>
      </w:pPr>
      <w:bookmarkStart w:id="69" w:name="_Toc15396631"/>
      <w:r>
        <w:rPr>
          <w:rStyle w:val="25"/>
          <w:rFonts w:hint="eastAsia" w:ascii="仿宋" w:hAnsi="仿宋" w:eastAsia="仿宋"/>
          <w:b w:val="0"/>
          <w:bCs w:val="0"/>
        </w:rPr>
        <w:t>十三、</w:t>
      </w:r>
      <w:r>
        <w:rPr>
          <w:rFonts w:hint="eastAsia" w:ascii="仿宋" w:hAnsi="仿宋" w:eastAsia="仿宋"/>
          <w:b w:val="0"/>
          <w:color w:val="000000"/>
        </w:rPr>
        <w:t>国</w:t>
      </w:r>
      <w:r>
        <w:rPr>
          <w:rStyle w:val="25"/>
          <w:rFonts w:hint="eastAsia" w:ascii="仿宋" w:hAnsi="仿宋" w:eastAsia="仿宋"/>
          <w:b w:val="0"/>
          <w:bCs w:val="0"/>
        </w:rPr>
        <w:t>有资本经营预算支出决算表</w:t>
      </w:r>
      <w:bookmarkEnd w:id="69"/>
    </w:p>
    <w:sectPr>
      <w:headerReference r:id="rId3" w:type="default"/>
      <w:footerReference r:id="rId4" w:type="default"/>
      <w:pgSz w:w="11906" w:h="16838"/>
      <w:pgMar w:top="1440" w:right="1800" w:bottom="1440" w:left="1800" w:header="851" w:footer="992" w:gutter="0"/>
      <w:pgNumType w:start="1"/>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DejaVu Sans">
    <w:panose1 w:val="020B0603030804020204"/>
    <w:charset w:val="00"/>
    <w:family w:val="auto"/>
    <w:pitch w:val="default"/>
    <w:sig w:usb0="E7006EFF" w:usb1="D200FDFF" w:usb2="0A246029" w:usb3="0400200C" w:csb0="600001FF" w:csb1="DFFF0000"/>
  </w:font>
  <w:font w:name="Cambria">
    <w:altName w:val="Noto Sans Syriac Eastern"/>
    <w:panose1 w:val="02040503050406030204"/>
    <w:charset w:val="00"/>
    <w:family w:val="roman"/>
    <w:pitch w:val="default"/>
    <w:sig w:usb0="00000000" w:usb1="00000000" w:usb2="00000000" w:usb3="00000000" w:csb0="2000019F" w:csb1="00000000"/>
  </w:font>
  <w:font w:name="Noto Sans Syriac Eastern">
    <w:panose1 w:val="02040503050306020203"/>
    <w:charset w:val="86"/>
    <w:family w:val="auto"/>
    <w:pitch w:val="default"/>
    <w:sig w:usb0="00000000" w:usb1="00000000" w:usb2="00000080" w:usb3="00000000" w:csb0="203E0161" w:csb1="D7FF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方正小标宋简体">
    <w:panose1 w:val="02000000000000000000"/>
    <w:charset w:val="86"/>
    <w:family w:val="script"/>
    <w:pitch w:val="default"/>
    <w:sig w:usb0="A00002BF" w:usb1="184F6CFA" w:usb2="00000012" w:usb3="00000000" w:csb0="00040001" w:csb1="00000000"/>
  </w:font>
  <w:font w:name="楷体">
    <w:panose1 w:val="02010609060101010101"/>
    <w:charset w:val="86"/>
    <w:family w:val="modern"/>
    <w:pitch w:val="default"/>
    <w:sig w:usb0="800002BF" w:usb1="38CF7CFA" w:usb2="00000016" w:usb3="00000000" w:csb0="00040001" w:csb1="00000000"/>
  </w:font>
  <w:font w:name="楷体_GB2312">
    <w:panose1 w:val="02010609030101010101"/>
    <w:charset w:val="86"/>
    <w:family w:val="modern"/>
    <w:pitch w:val="default"/>
    <w:sig w:usb0="00000001" w:usb1="080E0000" w:usb2="00000000" w:usb3="00000000" w:csb0="00040000" w:csb1="00000000"/>
  </w:font>
  <w:font w:name="文泉驿正黑">
    <w:panose1 w:val="02000603000000000000"/>
    <w:charset w:val="86"/>
    <w:family w:val="auto"/>
    <w:pitch w:val="default"/>
    <w:sig w:usb0="900002BF" w:usb1="2BDF7DFB" w:usb2="00000036" w:usb3="00000000" w:csb0="603E000D" w:csb1="D2D70000"/>
  </w:font>
  <w:font w:name="方正仿宋_GBK">
    <w:panose1 w:val="02000000000000000000"/>
    <w:charset w:val="86"/>
    <w:family w:val="auto"/>
    <w:pitch w:val="default"/>
    <w:sig w:usb0="00000001" w:usb1="08000000" w:usb2="00000000" w:usb3="00000000" w:csb0="00040000" w:csb1="00000000"/>
  </w:font>
  <w:font w:name="文泉驿微米黑">
    <w:panose1 w:val="020B0606030804020204"/>
    <w:charset w:val="86"/>
    <w:family w:val="auto"/>
    <w:pitch w:val="default"/>
    <w:sig w:usb0="E10002EF" w:usb1="6BDFFCFB" w:usb2="00800036" w:usb3="00000000" w:csb0="603E01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994781956"/>
    </w:sdtPr>
    <w:sdtContent>
      <w:p>
        <w:pPr>
          <w:pStyle w:val="8"/>
          <w:jc w:val="center"/>
        </w:pPr>
        <w:r>
          <w:fldChar w:fldCharType="begin"/>
        </w:r>
        <w:r>
          <w:instrText xml:space="preserve">PAGE   \* MERGEFORMAT</w:instrText>
        </w:r>
        <w:r>
          <w:fldChar w:fldCharType="separate"/>
        </w:r>
        <w:r>
          <w:rPr>
            <w:lang w:val="zh-CN"/>
          </w:rPr>
          <w:t>41</w:t>
        </w:r>
        <w:r>
          <w:fldChar w:fldCharType="end"/>
        </w:r>
      </w:p>
    </w:sdtContent>
  </w:sdt>
  <w:p>
    <w:pPr>
      <w:pStyle w:val="8"/>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F652CEC"/>
    <w:multiLevelType w:val="singleLevel"/>
    <w:tmpl w:val="CF652CEC"/>
    <w:lvl w:ilvl="0" w:tentative="0">
      <w:start w:val="9"/>
      <w:numFmt w:val="chineseCounting"/>
      <w:suff w:val="nothing"/>
      <w:lvlText w:val="%1、"/>
      <w:lvlJc w:val="left"/>
      <w:rPr>
        <w:rFonts w:hint="eastAsia"/>
      </w:rPr>
    </w:lvl>
  </w:abstractNum>
  <w:abstractNum w:abstractNumId="1">
    <w:nsid w:val="FB5C9670"/>
    <w:multiLevelType w:val="singleLevel"/>
    <w:tmpl w:val="FB5C9670"/>
    <w:lvl w:ilvl="0" w:tentative="0">
      <w:start w:val="2"/>
      <w:numFmt w:val="chineseCounting"/>
      <w:suff w:val="nothing"/>
      <w:lvlText w:val="（%1）"/>
      <w:lvlJc w:val="left"/>
      <w:rPr>
        <w:rFonts w:hint="eastAsia"/>
      </w:rPr>
    </w:lvl>
  </w:abstractNum>
  <w:abstractNum w:abstractNumId="2">
    <w:nsid w:val="1272550B"/>
    <w:multiLevelType w:val="multilevel"/>
    <w:tmpl w:val="1272550B"/>
    <w:lvl w:ilvl="0" w:tentative="0">
      <w:start w:val="1"/>
      <w:numFmt w:val="japaneseCounting"/>
      <w:lvlText w:val="%1、"/>
      <w:lvlJc w:val="left"/>
      <w:pPr>
        <w:ind w:left="1360" w:hanging="720"/>
      </w:pPr>
      <w:rPr>
        <w:rFonts w:hint="default"/>
        <w:b w:val="0"/>
      </w:rPr>
    </w:lvl>
    <w:lvl w:ilvl="1" w:tentative="0">
      <w:start w:val="1"/>
      <w:numFmt w:val="lowerLetter"/>
      <w:lvlText w:val="%2)"/>
      <w:lvlJc w:val="left"/>
      <w:pPr>
        <w:ind w:left="1480" w:hanging="420"/>
      </w:pPr>
    </w:lvl>
    <w:lvl w:ilvl="2" w:tentative="0">
      <w:start w:val="1"/>
      <w:numFmt w:val="lowerRoman"/>
      <w:lvlText w:val="%3."/>
      <w:lvlJc w:val="right"/>
      <w:pPr>
        <w:ind w:left="1900" w:hanging="420"/>
      </w:pPr>
    </w:lvl>
    <w:lvl w:ilvl="3" w:tentative="0">
      <w:start w:val="1"/>
      <w:numFmt w:val="decimal"/>
      <w:lvlText w:val="%4."/>
      <w:lvlJc w:val="left"/>
      <w:pPr>
        <w:ind w:left="2320" w:hanging="420"/>
      </w:pPr>
    </w:lvl>
    <w:lvl w:ilvl="4" w:tentative="0">
      <w:start w:val="1"/>
      <w:numFmt w:val="lowerLetter"/>
      <w:lvlText w:val="%5)"/>
      <w:lvlJc w:val="left"/>
      <w:pPr>
        <w:ind w:left="2740" w:hanging="420"/>
      </w:pPr>
    </w:lvl>
    <w:lvl w:ilvl="5" w:tentative="0">
      <w:start w:val="1"/>
      <w:numFmt w:val="lowerRoman"/>
      <w:lvlText w:val="%6."/>
      <w:lvlJc w:val="right"/>
      <w:pPr>
        <w:ind w:left="3160" w:hanging="420"/>
      </w:pPr>
    </w:lvl>
    <w:lvl w:ilvl="6" w:tentative="0">
      <w:start w:val="1"/>
      <w:numFmt w:val="decimal"/>
      <w:lvlText w:val="%7."/>
      <w:lvlJc w:val="left"/>
      <w:pPr>
        <w:ind w:left="3580" w:hanging="420"/>
      </w:pPr>
    </w:lvl>
    <w:lvl w:ilvl="7" w:tentative="0">
      <w:start w:val="1"/>
      <w:numFmt w:val="lowerLetter"/>
      <w:lvlText w:val="%8)"/>
      <w:lvlJc w:val="left"/>
      <w:pPr>
        <w:ind w:left="4000" w:hanging="420"/>
      </w:pPr>
    </w:lvl>
    <w:lvl w:ilvl="8" w:tentative="0">
      <w:start w:val="1"/>
      <w:numFmt w:val="lowerRoman"/>
      <w:lvlText w:val="%9."/>
      <w:lvlJc w:val="right"/>
      <w:pPr>
        <w:ind w:left="4420" w:hanging="42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F1361C"/>
    <w:rsid w:val="000222C6"/>
    <w:rsid w:val="0002549F"/>
    <w:rsid w:val="000468DB"/>
    <w:rsid w:val="0006487A"/>
    <w:rsid w:val="00065F8F"/>
    <w:rsid w:val="00070A43"/>
    <w:rsid w:val="000768F2"/>
    <w:rsid w:val="0009184B"/>
    <w:rsid w:val="00094236"/>
    <w:rsid w:val="0009593C"/>
    <w:rsid w:val="00097322"/>
    <w:rsid w:val="000A6A92"/>
    <w:rsid w:val="000B047F"/>
    <w:rsid w:val="000B5923"/>
    <w:rsid w:val="000B5A48"/>
    <w:rsid w:val="000B6FF3"/>
    <w:rsid w:val="000C3467"/>
    <w:rsid w:val="000C3CA6"/>
    <w:rsid w:val="000D1267"/>
    <w:rsid w:val="000D1D50"/>
    <w:rsid w:val="000D5782"/>
    <w:rsid w:val="000E6613"/>
    <w:rsid w:val="000E7119"/>
    <w:rsid w:val="00114E9B"/>
    <w:rsid w:val="00142216"/>
    <w:rsid w:val="00144D6A"/>
    <w:rsid w:val="0014729F"/>
    <w:rsid w:val="00157BAB"/>
    <w:rsid w:val="001654D1"/>
    <w:rsid w:val="00174518"/>
    <w:rsid w:val="0018106D"/>
    <w:rsid w:val="001877A7"/>
    <w:rsid w:val="00191536"/>
    <w:rsid w:val="00196687"/>
    <w:rsid w:val="001C0962"/>
    <w:rsid w:val="001D7531"/>
    <w:rsid w:val="001E737D"/>
    <w:rsid w:val="001F0592"/>
    <w:rsid w:val="001F7506"/>
    <w:rsid w:val="002006CD"/>
    <w:rsid w:val="00202B36"/>
    <w:rsid w:val="00204B7A"/>
    <w:rsid w:val="00204CDE"/>
    <w:rsid w:val="0021101A"/>
    <w:rsid w:val="00220536"/>
    <w:rsid w:val="00235629"/>
    <w:rsid w:val="00260C38"/>
    <w:rsid w:val="002616C0"/>
    <w:rsid w:val="00265372"/>
    <w:rsid w:val="002662AA"/>
    <w:rsid w:val="00280496"/>
    <w:rsid w:val="00294DC9"/>
    <w:rsid w:val="00295495"/>
    <w:rsid w:val="002A31DE"/>
    <w:rsid w:val="002B2613"/>
    <w:rsid w:val="002D19B0"/>
    <w:rsid w:val="002D6D05"/>
    <w:rsid w:val="002F1818"/>
    <w:rsid w:val="002F567B"/>
    <w:rsid w:val="003216A9"/>
    <w:rsid w:val="00335A74"/>
    <w:rsid w:val="0036561B"/>
    <w:rsid w:val="0037013F"/>
    <w:rsid w:val="00380C92"/>
    <w:rsid w:val="003A484F"/>
    <w:rsid w:val="003A4883"/>
    <w:rsid w:val="003B0BE0"/>
    <w:rsid w:val="003B0C1B"/>
    <w:rsid w:val="003B688C"/>
    <w:rsid w:val="003B6A86"/>
    <w:rsid w:val="003C0291"/>
    <w:rsid w:val="003C39AE"/>
    <w:rsid w:val="003C7B60"/>
    <w:rsid w:val="003D0C0F"/>
    <w:rsid w:val="003D1FB2"/>
    <w:rsid w:val="003D66DA"/>
    <w:rsid w:val="003E1310"/>
    <w:rsid w:val="003E6F55"/>
    <w:rsid w:val="003F6619"/>
    <w:rsid w:val="00406254"/>
    <w:rsid w:val="004160F4"/>
    <w:rsid w:val="00416CD4"/>
    <w:rsid w:val="004223DE"/>
    <w:rsid w:val="00434489"/>
    <w:rsid w:val="00437085"/>
    <w:rsid w:val="00443880"/>
    <w:rsid w:val="004464F4"/>
    <w:rsid w:val="00471401"/>
    <w:rsid w:val="00473F31"/>
    <w:rsid w:val="0048263A"/>
    <w:rsid w:val="00487E5D"/>
    <w:rsid w:val="004A711F"/>
    <w:rsid w:val="004B199D"/>
    <w:rsid w:val="004B4690"/>
    <w:rsid w:val="004E0A2D"/>
    <w:rsid w:val="004E206B"/>
    <w:rsid w:val="004E6DF7"/>
    <w:rsid w:val="004F0FBD"/>
    <w:rsid w:val="004F403E"/>
    <w:rsid w:val="00505A47"/>
    <w:rsid w:val="00512FDA"/>
    <w:rsid w:val="00520DA0"/>
    <w:rsid w:val="005664BB"/>
    <w:rsid w:val="00566FFA"/>
    <w:rsid w:val="0057481D"/>
    <w:rsid w:val="00575F0B"/>
    <w:rsid w:val="0058486E"/>
    <w:rsid w:val="00585B33"/>
    <w:rsid w:val="0059014D"/>
    <w:rsid w:val="005B5C64"/>
    <w:rsid w:val="005C6BD0"/>
    <w:rsid w:val="005C6C4C"/>
    <w:rsid w:val="005D1C8B"/>
    <w:rsid w:val="005D468D"/>
    <w:rsid w:val="005D5CED"/>
    <w:rsid w:val="005F1A4C"/>
    <w:rsid w:val="00605688"/>
    <w:rsid w:val="006070AF"/>
    <w:rsid w:val="00607E6C"/>
    <w:rsid w:val="006101B1"/>
    <w:rsid w:val="00614E44"/>
    <w:rsid w:val="0062270A"/>
    <w:rsid w:val="00622830"/>
    <w:rsid w:val="00623DA0"/>
    <w:rsid w:val="00630AEF"/>
    <w:rsid w:val="006325F8"/>
    <w:rsid w:val="00633463"/>
    <w:rsid w:val="00634C9A"/>
    <w:rsid w:val="006440E4"/>
    <w:rsid w:val="0066343B"/>
    <w:rsid w:val="00664777"/>
    <w:rsid w:val="006748A4"/>
    <w:rsid w:val="00681A31"/>
    <w:rsid w:val="00683E73"/>
    <w:rsid w:val="006A3141"/>
    <w:rsid w:val="006A5E34"/>
    <w:rsid w:val="006B2422"/>
    <w:rsid w:val="006B2B9A"/>
    <w:rsid w:val="006C1937"/>
    <w:rsid w:val="006F020C"/>
    <w:rsid w:val="007127B7"/>
    <w:rsid w:val="0071798E"/>
    <w:rsid w:val="00727533"/>
    <w:rsid w:val="007416B6"/>
    <w:rsid w:val="00746F48"/>
    <w:rsid w:val="0075404D"/>
    <w:rsid w:val="0076182A"/>
    <w:rsid w:val="00767B7E"/>
    <w:rsid w:val="007770C3"/>
    <w:rsid w:val="00784D24"/>
    <w:rsid w:val="00785FBA"/>
    <w:rsid w:val="00786E4A"/>
    <w:rsid w:val="007875EB"/>
    <w:rsid w:val="0079426B"/>
    <w:rsid w:val="007D1682"/>
    <w:rsid w:val="007D312A"/>
    <w:rsid w:val="007D3F19"/>
    <w:rsid w:val="007E23B0"/>
    <w:rsid w:val="007F1991"/>
    <w:rsid w:val="007F2C2F"/>
    <w:rsid w:val="007F55FC"/>
    <w:rsid w:val="007F5665"/>
    <w:rsid w:val="00800112"/>
    <w:rsid w:val="00813348"/>
    <w:rsid w:val="008253BB"/>
    <w:rsid w:val="00833962"/>
    <w:rsid w:val="0083706E"/>
    <w:rsid w:val="008408F6"/>
    <w:rsid w:val="008423A5"/>
    <w:rsid w:val="00850625"/>
    <w:rsid w:val="00853718"/>
    <w:rsid w:val="00855221"/>
    <w:rsid w:val="00860645"/>
    <w:rsid w:val="00871F71"/>
    <w:rsid w:val="00872FD8"/>
    <w:rsid w:val="00885AF4"/>
    <w:rsid w:val="008939CD"/>
    <w:rsid w:val="008B768C"/>
    <w:rsid w:val="008C4DB1"/>
    <w:rsid w:val="008C4EAF"/>
    <w:rsid w:val="008C5176"/>
    <w:rsid w:val="008C7FD0"/>
    <w:rsid w:val="008E1DE7"/>
    <w:rsid w:val="008E707C"/>
    <w:rsid w:val="00900B08"/>
    <w:rsid w:val="00902155"/>
    <w:rsid w:val="00902FA3"/>
    <w:rsid w:val="00923564"/>
    <w:rsid w:val="0092392E"/>
    <w:rsid w:val="009315F9"/>
    <w:rsid w:val="00933499"/>
    <w:rsid w:val="00935C98"/>
    <w:rsid w:val="00946945"/>
    <w:rsid w:val="00951248"/>
    <w:rsid w:val="0095152F"/>
    <w:rsid w:val="00954C49"/>
    <w:rsid w:val="00955E37"/>
    <w:rsid w:val="0097099F"/>
    <w:rsid w:val="00971997"/>
    <w:rsid w:val="00971FFC"/>
    <w:rsid w:val="0098660A"/>
    <w:rsid w:val="009931C3"/>
    <w:rsid w:val="009B2C43"/>
    <w:rsid w:val="009B4EAE"/>
    <w:rsid w:val="009B7573"/>
    <w:rsid w:val="009C22F4"/>
    <w:rsid w:val="009C2E98"/>
    <w:rsid w:val="009C37FB"/>
    <w:rsid w:val="009D3447"/>
    <w:rsid w:val="009D4711"/>
    <w:rsid w:val="009F1185"/>
    <w:rsid w:val="009F18CD"/>
    <w:rsid w:val="009F2A13"/>
    <w:rsid w:val="009F7527"/>
    <w:rsid w:val="00A039ED"/>
    <w:rsid w:val="00A04EB0"/>
    <w:rsid w:val="00A13CC1"/>
    <w:rsid w:val="00A16847"/>
    <w:rsid w:val="00A237D8"/>
    <w:rsid w:val="00A268C4"/>
    <w:rsid w:val="00A307CD"/>
    <w:rsid w:val="00A331C8"/>
    <w:rsid w:val="00A35117"/>
    <w:rsid w:val="00A40A00"/>
    <w:rsid w:val="00A4142F"/>
    <w:rsid w:val="00A422EB"/>
    <w:rsid w:val="00A45BB7"/>
    <w:rsid w:val="00A56DF2"/>
    <w:rsid w:val="00A56E6E"/>
    <w:rsid w:val="00A67AB5"/>
    <w:rsid w:val="00A733B2"/>
    <w:rsid w:val="00A741C2"/>
    <w:rsid w:val="00A91760"/>
    <w:rsid w:val="00A93B00"/>
    <w:rsid w:val="00A93C21"/>
    <w:rsid w:val="00AB64C9"/>
    <w:rsid w:val="00AC3C6A"/>
    <w:rsid w:val="00AD0F83"/>
    <w:rsid w:val="00AD5620"/>
    <w:rsid w:val="00AD656B"/>
    <w:rsid w:val="00AD7C1B"/>
    <w:rsid w:val="00AE16BA"/>
    <w:rsid w:val="00AE1EBE"/>
    <w:rsid w:val="00AF37A0"/>
    <w:rsid w:val="00B03C9D"/>
    <w:rsid w:val="00B060AE"/>
    <w:rsid w:val="00B10517"/>
    <w:rsid w:val="00B14E76"/>
    <w:rsid w:val="00B161B8"/>
    <w:rsid w:val="00B2048C"/>
    <w:rsid w:val="00B310B9"/>
    <w:rsid w:val="00B35F3F"/>
    <w:rsid w:val="00B36CBB"/>
    <w:rsid w:val="00B425E0"/>
    <w:rsid w:val="00B440AA"/>
    <w:rsid w:val="00B44B70"/>
    <w:rsid w:val="00B53C56"/>
    <w:rsid w:val="00B57DAF"/>
    <w:rsid w:val="00B77EA6"/>
    <w:rsid w:val="00B81598"/>
    <w:rsid w:val="00B841F1"/>
    <w:rsid w:val="00B944D6"/>
    <w:rsid w:val="00BB4DF0"/>
    <w:rsid w:val="00BC289F"/>
    <w:rsid w:val="00BC2D50"/>
    <w:rsid w:val="00BC5361"/>
    <w:rsid w:val="00BC5460"/>
    <w:rsid w:val="00BC6B50"/>
    <w:rsid w:val="00BD0E25"/>
    <w:rsid w:val="00BF5BD6"/>
    <w:rsid w:val="00C03E31"/>
    <w:rsid w:val="00C30E69"/>
    <w:rsid w:val="00C33E72"/>
    <w:rsid w:val="00C354B2"/>
    <w:rsid w:val="00C35554"/>
    <w:rsid w:val="00C42709"/>
    <w:rsid w:val="00C533CC"/>
    <w:rsid w:val="00C5751C"/>
    <w:rsid w:val="00C61BFC"/>
    <w:rsid w:val="00C62B85"/>
    <w:rsid w:val="00C65438"/>
    <w:rsid w:val="00C91CBB"/>
    <w:rsid w:val="00CB4E70"/>
    <w:rsid w:val="00CC09B6"/>
    <w:rsid w:val="00CC666F"/>
    <w:rsid w:val="00CD1E3F"/>
    <w:rsid w:val="00CE44F6"/>
    <w:rsid w:val="00CE49DA"/>
    <w:rsid w:val="00CE7B61"/>
    <w:rsid w:val="00D00095"/>
    <w:rsid w:val="00D114F0"/>
    <w:rsid w:val="00D179F5"/>
    <w:rsid w:val="00D20620"/>
    <w:rsid w:val="00D2207C"/>
    <w:rsid w:val="00D254F7"/>
    <w:rsid w:val="00D26091"/>
    <w:rsid w:val="00D2685C"/>
    <w:rsid w:val="00D34E7C"/>
    <w:rsid w:val="00D35489"/>
    <w:rsid w:val="00D36AFE"/>
    <w:rsid w:val="00D51276"/>
    <w:rsid w:val="00D7035F"/>
    <w:rsid w:val="00DA634F"/>
    <w:rsid w:val="00DA65AC"/>
    <w:rsid w:val="00DB1913"/>
    <w:rsid w:val="00DC410D"/>
    <w:rsid w:val="00DC5A81"/>
    <w:rsid w:val="00DC68CA"/>
    <w:rsid w:val="00DC7CBA"/>
    <w:rsid w:val="00DD73B7"/>
    <w:rsid w:val="00DF28BC"/>
    <w:rsid w:val="00DF34B9"/>
    <w:rsid w:val="00DF7548"/>
    <w:rsid w:val="00E01053"/>
    <w:rsid w:val="00E07ACF"/>
    <w:rsid w:val="00E331A1"/>
    <w:rsid w:val="00E33202"/>
    <w:rsid w:val="00E336A9"/>
    <w:rsid w:val="00E472B1"/>
    <w:rsid w:val="00E50624"/>
    <w:rsid w:val="00E568DF"/>
    <w:rsid w:val="00E64269"/>
    <w:rsid w:val="00E66797"/>
    <w:rsid w:val="00E82267"/>
    <w:rsid w:val="00E853CE"/>
    <w:rsid w:val="00E867B6"/>
    <w:rsid w:val="00E87F08"/>
    <w:rsid w:val="00EA010F"/>
    <w:rsid w:val="00ED1B63"/>
    <w:rsid w:val="00ED3C1F"/>
    <w:rsid w:val="00ED4085"/>
    <w:rsid w:val="00ED420E"/>
    <w:rsid w:val="00ED6FBE"/>
    <w:rsid w:val="00EE2F57"/>
    <w:rsid w:val="00EF4C34"/>
    <w:rsid w:val="00EF77C6"/>
    <w:rsid w:val="00F05438"/>
    <w:rsid w:val="00F1361C"/>
    <w:rsid w:val="00F156F0"/>
    <w:rsid w:val="00F160C7"/>
    <w:rsid w:val="00F2408F"/>
    <w:rsid w:val="00F240E9"/>
    <w:rsid w:val="00F36D8F"/>
    <w:rsid w:val="00F417B1"/>
    <w:rsid w:val="00F45853"/>
    <w:rsid w:val="00F602DF"/>
    <w:rsid w:val="00F754A1"/>
    <w:rsid w:val="00F81FD9"/>
    <w:rsid w:val="00F841AA"/>
    <w:rsid w:val="00F84A94"/>
    <w:rsid w:val="00F87E96"/>
    <w:rsid w:val="00FA23E8"/>
    <w:rsid w:val="00FD3CC1"/>
    <w:rsid w:val="00FF1E02"/>
    <w:rsid w:val="00FF30B4"/>
    <w:rsid w:val="039151BE"/>
    <w:rsid w:val="05E619BF"/>
    <w:rsid w:val="07630777"/>
    <w:rsid w:val="080B3CDE"/>
    <w:rsid w:val="0A8F0F43"/>
    <w:rsid w:val="0B1A6678"/>
    <w:rsid w:val="0DD50D77"/>
    <w:rsid w:val="0EA25332"/>
    <w:rsid w:val="10033D0A"/>
    <w:rsid w:val="10C055FF"/>
    <w:rsid w:val="130C6946"/>
    <w:rsid w:val="146B02E2"/>
    <w:rsid w:val="162E02AA"/>
    <w:rsid w:val="16BB723D"/>
    <w:rsid w:val="17AF18A7"/>
    <w:rsid w:val="1ACA00FF"/>
    <w:rsid w:val="1E5F412C"/>
    <w:rsid w:val="23BE1522"/>
    <w:rsid w:val="240371BF"/>
    <w:rsid w:val="242D3BD4"/>
    <w:rsid w:val="262A0B94"/>
    <w:rsid w:val="26B0031E"/>
    <w:rsid w:val="29FD04D3"/>
    <w:rsid w:val="2AB36692"/>
    <w:rsid w:val="2BB8722B"/>
    <w:rsid w:val="2C607CA3"/>
    <w:rsid w:val="2CCA3A0A"/>
    <w:rsid w:val="2EE24C8F"/>
    <w:rsid w:val="31283159"/>
    <w:rsid w:val="319F7F4E"/>
    <w:rsid w:val="342A796E"/>
    <w:rsid w:val="367A396C"/>
    <w:rsid w:val="36820914"/>
    <w:rsid w:val="36987AC3"/>
    <w:rsid w:val="3AD7160C"/>
    <w:rsid w:val="3CB00E64"/>
    <w:rsid w:val="3D96077E"/>
    <w:rsid w:val="3E0B6141"/>
    <w:rsid w:val="41932C39"/>
    <w:rsid w:val="41D46721"/>
    <w:rsid w:val="4BFD7203"/>
    <w:rsid w:val="4CC85D59"/>
    <w:rsid w:val="4ECE2238"/>
    <w:rsid w:val="571F3FC3"/>
    <w:rsid w:val="59C43BBE"/>
    <w:rsid w:val="5CF239FE"/>
    <w:rsid w:val="5DAD2020"/>
    <w:rsid w:val="5EB4003F"/>
    <w:rsid w:val="5F234285"/>
    <w:rsid w:val="5F342BF8"/>
    <w:rsid w:val="619767E1"/>
    <w:rsid w:val="626C5C87"/>
    <w:rsid w:val="63B55785"/>
    <w:rsid w:val="63CE4746"/>
    <w:rsid w:val="67B61286"/>
    <w:rsid w:val="6BDA2126"/>
    <w:rsid w:val="72734D90"/>
    <w:rsid w:val="734B066E"/>
    <w:rsid w:val="754F5E77"/>
    <w:rsid w:val="75796673"/>
    <w:rsid w:val="7A977363"/>
    <w:rsid w:val="7C4E00FF"/>
    <w:rsid w:val="7CB521B4"/>
    <w:rsid w:val="7D230CA0"/>
    <w:rsid w:val="7DC56FEA"/>
    <w:rsid w:val="7E301CD0"/>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nhideWhenUsed="0" w:uiPriority="99"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99"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99"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30"/>
    <w:qFormat/>
    <w:uiPriority w:val="9"/>
    <w:pPr>
      <w:keepNext/>
      <w:keepLines/>
      <w:spacing w:before="340" w:after="330" w:line="578" w:lineRule="auto"/>
      <w:outlineLvl w:val="0"/>
    </w:pPr>
    <w:rPr>
      <w:b/>
      <w:bCs/>
      <w:kern w:val="44"/>
      <w:sz w:val="44"/>
      <w:szCs w:val="44"/>
    </w:rPr>
  </w:style>
  <w:style w:type="paragraph" w:styleId="3">
    <w:name w:val="heading 2"/>
    <w:basedOn w:val="1"/>
    <w:next w:val="1"/>
    <w:link w:val="31"/>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4">
    <w:name w:val="heading 3"/>
    <w:basedOn w:val="1"/>
    <w:next w:val="1"/>
    <w:link w:val="28"/>
    <w:unhideWhenUsed/>
    <w:qFormat/>
    <w:uiPriority w:val="9"/>
    <w:pPr>
      <w:keepNext/>
      <w:keepLines/>
      <w:spacing w:before="260" w:after="260" w:line="416" w:lineRule="auto"/>
      <w:outlineLvl w:val="2"/>
    </w:pPr>
    <w:rPr>
      <w:b/>
      <w:bCs/>
      <w:sz w:val="32"/>
      <w:szCs w:val="32"/>
    </w:rPr>
  </w:style>
  <w:style w:type="character" w:default="1" w:styleId="13">
    <w:name w:val="Default Paragraph Font"/>
    <w:semiHidden/>
    <w:unhideWhenUsed/>
    <w:qFormat/>
    <w:uiPriority w:val="1"/>
  </w:style>
  <w:style w:type="table" w:default="1" w:styleId="12">
    <w:name w:val="Normal Table"/>
    <w:semiHidden/>
    <w:unhideWhenUsed/>
    <w:qFormat/>
    <w:uiPriority w:val="99"/>
    <w:tblPr>
      <w:tblCellMar>
        <w:top w:w="0" w:type="dxa"/>
        <w:left w:w="108" w:type="dxa"/>
        <w:bottom w:w="0" w:type="dxa"/>
        <w:right w:w="108" w:type="dxa"/>
      </w:tblCellMar>
    </w:tblPr>
  </w:style>
  <w:style w:type="paragraph" w:styleId="5">
    <w:name w:val="Body Text"/>
    <w:basedOn w:val="1"/>
    <w:link w:val="21"/>
    <w:qFormat/>
    <w:uiPriority w:val="99"/>
    <w:pPr>
      <w:spacing w:beforeLines="30"/>
    </w:pPr>
    <w:rPr>
      <w:rFonts w:ascii="仿宋_GB2312" w:eastAsia="仿宋_GB2312"/>
      <w:kern w:val="0"/>
      <w:sz w:val="30"/>
    </w:rPr>
  </w:style>
  <w:style w:type="paragraph" w:styleId="6">
    <w:name w:val="toc 3"/>
    <w:basedOn w:val="1"/>
    <w:next w:val="1"/>
    <w:unhideWhenUsed/>
    <w:qFormat/>
    <w:uiPriority w:val="39"/>
    <w:pPr>
      <w:tabs>
        <w:tab w:val="right" w:leader="dot" w:pos="8296"/>
      </w:tabs>
      <w:ind w:left="840" w:leftChars="400"/>
    </w:pPr>
  </w:style>
  <w:style w:type="paragraph" w:styleId="7">
    <w:name w:val="Balloon Text"/>
    <w:basedOn w:val="1"/>
    <w:link w:val="27"/>
    <w:semiHidden/>
    <w:unhideWhenUsed/>
    <w:qFormat/>
    <w:uiPriority w:val="99"/>
    <w:rPr>
      <w:sz w:val="18"/>
      <w:szCs w:val="18"/>
    </w:rPr>
  </w:style>
  <w:style w:type="paragraph" w:styleId="8">
    <w:name w:val="footer"/>
    <w:basedOn w:val="1"/>
    <w:link w:val="19"/>
    <w:qFormat/>
    <w:uiPriority w:val="99"/>
    <w:pPr>
      <w:tabs>
        <w:tab w:val="center" w:pos="4153"/>
        <w:tab w:val="right" w:pos="8306"/>
      </w:tabs>
      <w:snapToGrid w:val="0"/>
      <w:jc w:val="left"/>
    </w:pPr>
    <w:rPr>
      <w:rFonts w:ascii="Calibri" w:hAnsi="Calibri"/>
      <w:kern w:val="0"/>
      <w:sz w:val="18"/>
      <w:szCs w:val="18"/>
    </w:rPr>
  </w:style>
  <w:style w:type="paragraph" w:styleId="9">
    <w:name w:val="header"/>
    <w:basedOn w:val="1"/>
    <w:link w:val="17"/>
    <w:semiHidden/>
    <w:qFormat/>
    <w:uiPriority w:val="99"/>
    <w:pPr>
      <w:pBdr>
        <w:bottom w:val="single" w:color="auto" w:sz="6" w:space="1"/>
      </w:pBdr>
      <w:tabs>
        <w:tab w:val="center" w:pos="4153"/>
        <w:tab w:val="right" w:pos="8306"/>
      </w:tabs>
      <w:snapToGrid w:val="0"/>
      <w:jc w:val="center"/>
    </w:pPr>
    <w:rPr>
      <w:rFonts w:ascii="Calibri" w:hAnsi="Calibri"/>
      <w:kern w:val="0"/>
      <w:sz w:val="18"/>
      <w:szCs w:val="18"/>
    </w:rPr>
  </w:style>
  <w:style w:type="paragraph" w:styleId="10">
    <w:name w:val="toc 1"/>
    <w:basedOn w:val="1"/>
    <w:next w:val="1"/>
    <w:unhideWhenUsed/>
    <w:qFormat/>
    <w:uiPriority w:val="39"/>
    <w:pPr>
      <w:tabs>
        <w:tab w:val="right" w:leader="dot" w:pos="8296"/>
      </w:tabs>
      <w:spacing w:before="93"/>
      <w:jc w:val="center"/>
    </w:pPr>
    <w:rPr>
      <w:rFonts w:ascii="仿宋" w:hAnsi="仿宋" w:eastAsia="仿宋"/>
      <w:sz w:val="28"/>
      <w:szCs w:val="28"/>
    </w:rPr>
  </w:style>
  <w:style w:type="paragraph" w:styleId="11">
    <w:name w:val="toc 2"/>
    <w:basedOn w:val="1"/>
    <w:next w:val="1"/>
    <w:unhideWhenUsed/>
    <w:qFormat/>
    <w:uiPriority w:val="39"/>
    <w:pPr>
      <w:tabs>
        <w:tab w:val="right" w:leader="dot" w:pos="8296"/>
      </w:tabs>
      <w:ind w:left="420" w:leftChars="200"/>
    </w:pPr>
  </w:style>
  <w:style w:type="character" w:styleId="14">
    <w:name w:val="Strong"/>
    <w:basedOn w:val="13"/>
    <w:qFormat/>
    <w:uiPriority w:val="99"/>
    <w:rPr>
      <w:b/>
    </w:rPr>
  </w:style>
  <w:style w:type="character" w:styleId="15">
    <w:name w:val="Hyperlink"/>
    <w:basedOn w:val="13"/>
    <w:unhideWhenUsed/>
    <w:qFormat/>
    <w:uiPriority w:val="99"/>
    <w:rPr>
      <w:color w:val="0000FF" w:themeColor="hyperlink"/>
      <w:u w:val="single"/>
    </w:rPr>
  </w:style>
  <w:style w:type="character" w:customStyle="1" w:styleId="16">
    <w:name w:val="Header Char"/>
    <w:basedOn w:val="13"/>
    <w:semiHidden/>
    <w:qFormat/>
    <w:uiPriority w:val="99"/>
    <w:rPr>
      <w:rFonts w:ascii="Times New Roman" w:hAnsi="Times New Roman"/>
      <w:sz w:val="18"/>
      <w:szCs w:val="18"/>
    </w:rPr>
  </w:style>
  <w:style w:type="character" w:customStyle="1" w:styleId="17">
    <w:name w:val="页眉 Char"/>
    <w:link w:val="9"/>
    <w:semiHidden/>
    <w:qFormat/>
    <w:locked/>
    <w:uiPriority w:val="99"/>
    <w:rPr>
      <w:sz w:val="18"/>
    </w:rPr>
  </w:style>
  <w:style w:type="character" w:customStyle="1" w:styleId="18">
    <w:name w:val="Footer Char"/>
    <w:basedOn w:val="13"/>
    <w:semiHidden/>
    <w:qFormat/>
    <w:uiPriority w:val="99"/>
    <w:rPr>
      <w:rFonts w:ascii="Times New Roman" w:hAnsi="Times New Roman"/>
      <w:sz w:val="18"/>
      <w:szCs w:val="18"/>
    </w:rPr>
  </w:style>
  <w:style w:type="character" w:customStyle="1" w:styleId="19">
    <w:name w:val="页脚 Char"/>
    <w:link w:val="8"/>
    <w:qFormat/>
    <w:locked/>
    <w:uiPriority w:val="99"/>
    <w:rPr>
      <w:sz w:val="18"/>
    </w:rPr>
  </w:style>
  <w:style w:type="character" w:customStyle="1" w:styleId="20">
    <w:name w:val="Body Text Char"/>
    <w:basedOn w:val="13"/>
    <w:semiHidden/>
    <w:qFormat/>
    <w:uiPriority w:val="99"/>
    <w:rPr>
      <w:rFonts w:ascii="Times New Roman" w:hAnsi="Times New Roman"/>
      <w:szCs w:val="24"/>
    </w:rPr>
  </w:style>
  <w:style w:type="character" w:customStyle="1" w:styleId="21">
    <w:name w:val="正文文本 Char"/>
    <w:link w:val="5"/>
    <w:qFormat/>
    <w:locked/>
    <w:uiPriority w:val="99"/>
    <w:rPr>
      <w:rFonts w:ascii="仿宋_GB2312" w:hAnsi="Times New Roman" w:eastAsia="仿宋_GB2312"/>
      <w:sz w:val="24"/>
    </w:rPr>
  </w:style>
  <w:style w:type="paragraph" w:customStyle="1" w:styleId="22">
    <w:name w:val="Default"/>
    <w:qFormat/>
    <w:uiPriority w:val="99"/>
    <w:pPr>
      <w:widowControl w:val="0"/>
      <w:autoSpaceDE w:val="0"/>
      <w:autoSpaceDN w:val="0"/>
      <w:adjustRightInd w:val="0"/>
    </w:pPr>
    <w:rPr>
      <w:rFonts w:ascii="仿宋" w:hAnsi="Calibri" w:eastAsia="仿宋" w:cs="仿宋"/>
      <w:color w:val="000000"/>
      <w:sz w:val="24"/>
      <w:szCs w:val="24"/>
      <w:lang w:val="en-US" w:eastAsia="zh-CN" w:bidi="ar-SA"/>
    </w:rPr>
  </w:style>
  <w:style w:type="paragraph" w:styleId="23">
    <w:name w:val="List Paragraph"/>
    <w:basedOn w:val="1"/>
    <w:qFormat/>
    <w:uiPriority w:val="34"/>
    <w:pPr>
      <w:ind w:firstLine="420" w:firstLineChars="200"/>
    </w:pPr>
  </w:style>
  <w:style w:type="character" w:customStyle="1" w:styleId="24">
    <w:name w:val="标题 1 字符"/>
    <w:basedOn w:val="13"/>
    <w:link w:val="2"/>
    <w:qFormat/>
    <w:uiPriority w:val="9"/>
    <w:rPr>
      <w:rFonts w:ascii="Times New Roman" w:hAnsi="Times New Roman"/>
      <w:b/>
      <w:bCs/>
      <w:kern w:val="44"/>
      <w:sz w:val="44"/>
      <w:szCs w:val="44"/>
    </w:rPr>
  </w:style>
  <w:style w:type="character" w:customStyle="1" w:styleId="25">
    <w:name w:val="标题 2 字符"/>
    <w:basedOn w:val="13"/>
    <w:link w:val="3"/>
    <w:qFormat/>
    <w:uiPriority w:val="9"/>
    <w:rPr>
      <w:rFonts w:asciiTheme="majorHAnsi" w:hAnsiTheme="majorHAnsi" w:eastAsiaTheme="majorEastAsia" w:cstheme="majorBidi"/>
      <w:b/>
      <w:bCs/>
      <w:kern w:val="2"/>
      <w:sz w:val="32"/>
      <w:szCs w:val="32"/>
    </w:rPr>
  </w:style>
  <w:style w:type="paragraph" w:customStyle="1" w:styleId="26">
    <w:name w:val="TOC 标题1"/>
    <w:basedOn w:val="2"/>
    <w:next w:val="1"/>
    <w:unhideWhenUsed/>
    <w:qFormat/>
    <w:uiPriority w:val="39"/>
    <w:pPr>
      <w:widowControl/>
      <w:spacing w:before="480" w:after="0" w:line="276" w:lineRule="auto"/>
      <w:jc w:val="left"/>
      <w:outlineLvl w:val="9"/>
    </w:pPr>
    <w:rPr>
      <w:rFonts w:asciiTheme="majorHAnsi" w:hAnsiTheme="majorHAnsi" w:eastAsiaTheme="majorEastAsia" w:cstheme="majorBidi"/>
      <w:color w:val="366091" w:themeColor="accent1" w:themeShade="BF"/>
      <w:kern w:val="0"/>
      <w:sz w:val="28"/>
      <w:szCs w:val="28"/>
    </w:rPr>
  </w:style>
  <w:style w:type="character" w:customStyle="1" w:styleId="27">
    <w:name w:val="批注框文本 Char"/>
    <w:basedOn w:val="13"/>
    <w:link w:val="7"/>
    <w:semiHidden/>
    <w:qFormat/>
    <w:uiPriority w:val="99"/>
    <w:rPr>
      <w:rFonts w:ascii="Times New Roman" w:hAnsi="Times New Roman"/>
      <w:kern w:val="2"/>
      <w:sz w:val="18"/>
      <w:szCs w:val="18"/>
    </w:rPr>
  </w:style>
  <w:style w:type="character" w:customStyle="1" w:styleId="28">
    <w:name w:val="标题 3 Char"/>
    <w:basedOn w:val="13"/>
    <w:link w:val="4"/>
    <w:qFormat/>
    <w:uiPriority w:val="9"/>
    <w:rPr>
      <w:rFonts w:ascii="Times New Roman" w:hAnsi="Times New Roman"/>
      <w:b/>
      <w:bCs/>
      <w:kern w:val="2"/>
      <w:sz w:val="32"/>
      <w:szCs w:val="32"/>
    </w:rPr>
  </w:style>
  <w:style w:type="paragraph" w:customStyle="1" w:styleId="29">
    <w:name w:val="TOC 标题2"/>
    <w:basedOn w:val="2"/>
    <w:next w:val="1"/>
    <w:unhideWhenUsed/>
    <w:qFormat/>
    <w:uiPriority w:val="39"/>
    <w:pPr>
      <w:widowControl/>
      <w:spacing w:before="480" w:after="0" w:line="276" w:lineRule="auto"/>
      <w:jc w:val="left"/>
      <w:outlineLvl w:val="9"/>
    </w:pPr>
    <w:rPr>
      <w:rFonts w:asciiTheme="majorHAnsi" w:hAnsiTheme="majorHAnsi" w:eastAsiaTheme="majorEastAsia" w:cstheme="majorBidi"/>
      <w:color w:val="366091" w:themeColor="accent1" w:themeShade="BF"/>
      <w:kern w:val="0"/>
      <w:sz w:val="28"/>
      <w:szCs w:val="28"/>
    </w:rPr>
  </w:style>
  <w:style w:type="character" w:customStyle="1" w:styleId="30">
    <w:name w:val="标题 1 Char"/>
    <w:basedOn w:val="13"/>
    <w:link w:val="2"/>
    <w:qFormat/>
    <w:locked/>
    <w:uiPriority w:val="99"/>
    <w:rPr>
      <w:rFonts w:ascii="Times New Roman" w:hAnsi="Times New Roman" w:cs="Times New Roman"/>
      <w:b/>
      <w:bCs/>
      <w:kern w:val="44"/>
      <w:sz w:val="44"/>
      <w:szCs w:val="44"/>
    </w:rPr>
  </w:style>
  <w:style w:type="character" w:customStyle="1" w:styleId="31">
    <w:name w:val="标题 2 Char"/>
    <w:basedOn w:val="13"/>
    <w:link w:val="3"/>
    <w:qFormat/>
    <w:locked/>
    <w:uiPriority w:val="99"/>
    <w:rPr>
      <w:rFonts w:ascii="Cambria" w:hAnsi="Cambria" w:eastAsia="宋体" w:cs="Cambria"/>
      <w:b/>
      <w:bCs/>
      <w:kern w:val="2"/>
      <w:sz w:val="32"/>
      <w:szCs w:val="32"/>
    </w:rPr>
  </w:style>
</w:styles>
</file>

<file path=word/_rels/document.xml.rels><?xml version="1.0" encoding="UTF-8" standalone="yes"?>
<Relationships xmlns="http://schemas.openxmlformats.org/package/2006/relationships"><Relationship Id="rId9" Type="http://schemas.openxmlformats.org/officeDocument/2006/relationships/chart" Target="charts/chart4.xml"/><Relationship Id="rId8" Type="http://schemas.openxmlformats.org/officeDocument/2006/relationships/chart" Target="charts/chart3.xml"/><Relationship Id="rId7" Type="http://schemas.openxmlformats.org/officeDocument/2006/relationships/chart" Target="charts/chart2.xml"/><Relationship Id="rId6" Type="http://schemas.openxmlformats.org/officeDocument/2006/relationships/chart" Target="charts/chart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numbering" Target="numbering.xml"/><Relationship Id="rId11" Type="http://schemas.openxmlformats.org/officeDocument/2006/relationships/chart" Target="charts/chart6.xml"/><Relationship Id="rId10" Type="http://schemas.openxmlformats.org/officeDocument/2006/relationships/chart" Target="charts/chart5.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3" Type="http://schemas.microsoft.com/office/2011/relationships/chartColorStyle" Target="colors5.xml"/><Relationship Id="rId2" Type="http://schemas.microsoft.com/office/2011/relationships/chartStyle" Target="style5.xml"/><Relationship Id="rId1" Type="http://schemas.openxmlformats.org/officeDocument/2006/relationships/package" Target="../embeddings/Workbook5.xlsx"/></Relationships>
</file>

<file path=word/charts/_rels/chart2.xml.rels><?xml version="1.0" encoding="UTF-8" standalone="yes"?>
<Relationships xmlns="http://schemas.openxmlformats.org/package/2006/relationships"><Relationship Id="rId3" Type="http://schemas.microsoft.com/office/2011/relationships/chartColorStyle" Target="colors1.xml"/><Relationship Id="rId2" Type="http://schemas.microsoft.com/office/2011/relationships/chartStyle" Target="style1.xml"/><Relationship Id="rId1" Type="http://schemas.openxmlformats.org/officeDocument/2006/relationships/package" Target="../embeddings/Workbook1.xlsx"/></Relationships>
</file>

<file path=word/charts/_rels/chart3.xml.rels><?xml version="1.0" encoding="UTF-8" standalone="yes"?>
<Relationships xmlns="http://schemas.openxmlformats.org/package/2006/relationships"><Relationship Id="rId3" Type="http://schemas.microsoft.com/office/2011/relationships/chartColorStyle" Target="colors4.xml"/><Relationship Id="rId2" Type="http://schemas.microsoft.com/office/2011/relationships/chartStyle" Target="style4.xml"/><Relationship Id="rId1" Type="http://schemas.openxmlformats.org/officeDocument/2006/relationships/package" Target="../embeddings/Workbook4.xlsx"/></Relationships>
</file>

<file path=word/charts/_rels/chart4.xml.rels><?xml version="1.0" encoding="UTF-8" standalone="yes"?>
<Relationships xmlns="http://schemas.openxmlformats.org/package/2006/relationships"><Relationship Id="rId3" Type="http://schemas.microsoft.com/office/2011/relationships/chartColorStyle" Target="colors6.xml"/><Relationship Id="rId2" Type="http://schemas.microsoft.com/office/2011/relationships/chartStyle" Target="style6.xml"/><Relationship Id="rId1" Type="http://schemas.openxmlformats.org/officeDocument/2006/relationships/package" Target="../embeddings/Workbook6.xlsx"/></Relationships>
</file>

<file path=word/charts/_rels/chart5.xml.rels><?xml version="1.0" encoding="UTF-8" standalone="yes"?>
<Relationships xmlns="http://schemas.openxmlformats.org/package/2006/relationships"><Relationship Id="rId3" Type="http://schemas.microsoft.com/office/2011/relationships/chartColorStyle" Target="colors2.xml"/><Relationship Id="rId2" Type="http://schemas.microsoft.com/office/2011/relationships/chartStyle" Target="style2.xml"/><Relationship Id="rId1" Type="http://schemas.openxmlformats.org/officeDocument/2006/relationships/package" Target="../embeddings/Workbook2.xlsx"/></Relationships>
</file>

<file path=word/charts/_rels/chart6.xml.rels><?xml version="1.0" encoding="UTF-8" standalone="yes"?>
<Relationships xmlns="http://schemas.openxmlformats.org/package/2006/relationships"><Relationship Id="rId3" Type="http://schemas.microsoft.com/office/2011/relationships/chartColorStyle" Target="colors3.xml"/><Relationship Id="rId2" Type="http://schemas.microsoft.com/office/2011/relationships/chartStyle" Target="style3.xml"/><Relationship Id="rId1" Type="http://schemas.openxmlformats.org/officeDocument/2006/relationships/package" Target="../embeddings/Workbook3.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spPr>
        <a:noFill/>
        <a:ln>
          <a:noFill/>
        </a:ln>
        <a:effectLst/>
      </c:spPr>
      <c:txPr>
        <a:bodyPr rot="0" spcFirstLastPara="0" vertOverflow="ellipsis" vert="horz" wrap="square" anchor="ctr" anchorCtr="1"/>
        <a:lstStyle/>
        <a:p>
          <a:pPr>
            <a:defRPr lang="zh-CN" sz="1400" b="0" i="0" u="none" strike="noStrike" kern="1200" spc="0" baseline="0">
              <a:solidFill>
                <a:schemeClr val="tx1">
                  <a:lumMod val="65000"/>
                  <a:lumOff val="35000"/>
                </a:schemeClr>
              </a:solidFill>
              <a:latin typeface="+mn-lt"/>
              <a:ea typeface="+mn-ea"/>
              <a:cs typeface="+mn-cs"/>
            </a:defRPr>
          </a:pPr>
        </a:p>
      </c:txPr>
    </c:title>
    <c:autoTitleDeleted val="0"/>
    <c:plotArea>
      <c:layout>
        <c:manualLayout>
          <c:layoutTarget val="inner"/>
          <c:xMode val="edge"/>
          <c:yMode val="edge"/>
          <c:x val="0.0787"/>
          <c:y val="0.125333333333333"/>
          <c:w val="0.8938"/>
          <c:h val="0.716566666666667"/>
        </c:manualLayout>
      </c:layout>
      <c:barChart>
        <c:barDir val="col"/>
        <c:grouping val="stacked"/>
        <c:varyColors val="0"/>
        <c:ser>
          <c:idx val="0"/>
          <c:order val="0"/>
          <c:tx>
            <c:strRef>
              <c:f>Sheet1!$B$1</c:f>
              <c:strCache>
                <c:ptCount val="1"/>
                <c:pt idx="0">
                  <c:v>金额</c:v>
                </c:pt>
              </c:strCache>
            </c:strRef>
          </c:tx>
          <c:spPr>
            <a:solidFill>
              <a:schemeClr val="accent1"/>
            </a:solidFill>
            <a:ln>
              <a:noFill/>
            </a:ln>
            <a:effectLst/>
          </c:spPr>
          <c:invertIfNegative val="0"/>
          <c:dLbls>
            <c:delete val="1"/>
          </c:dLbls>
          <c:cat>
            <c:strRef>
              <c:f>Sheet1!$A$2:$A$3</c:f>
              <c:strCache>
                <c:ptCount val="2"/>
                <c:pt idx="0">
                  <c:v>2018年</c:v>
                </c:pt>
                <c:pt idx="1">
                  <c:v>2019年</c:v>
                </c:pt>
              </c:strCache>
            </c:strRef>
          </c:cat>
          <c:val>
            <c:numRef>
              <c:f>Sheet1!$B$2:$B$3</c:f>
              <c:numCache>
                <c:formatCode>General</c:formatCode>
                <c:ptCount val="2"/>
                <c:pt idx="0">
                  <c:v>2398.91</c:v>
                </c:pt>
                <c:pt idx="1">
                  <c:v>1810.77</c:v>
                </c:pt>
              </c:numCache>
            </c:numRef>
          </c:val>
        </c:ser>
        <c:ser>
          <c:idx val="1"/>
          <c:order val="1"/>
          <c:tx>
            <c:strRef>
              <c:f>Sheet1!#REF!</c:f>
              <c:strCache>
                <c:ptCount val="1"/>
                <c:pt idx="0">
                  <c:v/>
                </c:pt>
              </c:strCache>
            </c:strRef>
          </c:tx>
          <c:spPr>
            <a:solidFill>
              <a:schemeClr val="accent2"/>
            </a:solidFill>
            <a:ln>
              <a:noFill/>
            </a:ln>
            <a:effectLst/>
          </c:spPr>
          <c:invertIfNegative val="0"/>
          <c:dLbls>
            <c:delete val="1"/>
          </c:dLbls>
          <c:cat>
            <c:strRef>
              <c:f>Sheet1!$A$2:$A$3</c:f>
              <c:strCache>
                <c:ptCount val="2"/>
                <c:pt idx="0">
                  <c:v>2018年</c:v>
                </c:pt>
                <c:pt idx="1">
                  <c:v>2019年</c:v>
                </c:pt>
              </c:strCache>
            </c:strRef>
          </c:cat>
          <c:val>
            <c:numRef>
              <c:f>Sheet1!#REF!</c:f>
              <c:numCache>
                <c:formatCode>General</c:formatCode>
                <c:ptCount val="1"/>
                <c:pt idx="0">
                  <c:v>1</c:v>
                </c:pt>
              </c:numCache>
            </c:numRef>
          </c:val>
        </c:ser>
        <c:ser>
          <c:idx val="2"/>
          <c:order val="2"/>
          <c:tx>
            <c:strRef>
              <c:f>Sheet1!#REF!</c:f>
              <c:strCache>
                <c:ptCount val="1"/>
                <c:pt idx="0">
                  <c:v/>
                </c:pt>
              </c:strCache>
            </c:strRef>
          </c:tx>
          <c:spPr>
            <a:solidFill>
              <a:schemeClr val="accent3"/>
            </a:solidFill>
            <a:ln>
              <a:noFill/>
            </a:ln>
            <a:effectLst/>
          </c:spPr>
          <c:invertIfNegative val="0"/>
          <c:dLbls>
            <c:delete val="1"/>
          </c:dLbls>
          <c:cat>
            <c:strRef>
              <c:f>Sheet1!$A$2:$A$3</c:f>
              <c:strCache>
                <c:ptCount val="2"/>
                <c:pt idx="0">
                  <c:v>2018年</c:v>
                </c:pt>
                <c:pt idx="1">
                  <c:v>2019年</c:v>
                </c:pt>
              </c:strCache>
            </c:strRef>
          </c:cat>
          <c:val>
            <c:numRef>
              <c:f>Sheet1!#REF!</c:f>
              <c:numCache>
                <c:formatCode>General</c:formatCode>
                <c:ptCount val="1"/>
                <c:pt idx="0">
                  <c:v>1</c:v>
                </c:pt>
              </c:numCache>
            </c:numRef>
          </c:val>
        </c:ser>
        <c:dLbls>
          <c:showLegendKey val="0"/>
          <c:showVal val="0"/>
          <c:showCatName val="0"/>
          <c:showSerName val="0"/>
          <c:showPercent val="0"/>
          <c:showBubbleSize val="0"/>
        </c:dLbls>
        <c:gapWidth val="150"/>
        <c:overlap val="100"/>
        <c:axId val="38080896"/>
        <c:axId val="38082432"/>
      </c:barChart>
      <c:catAx>
        <c:axId val="38080896"/>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38082432"/>
        <c:crosses val="autoZero"/>
        <c:auto val="1"/>
        <c:lblAlgn val="ctr"/>
        <c:lblOffset val="100"/>
        <c:noMultiLvlLbl val="0"/>
      </c:catAx>
      <c:valAx>
        <c:axId val="3808243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38080896"/>
        <c:crosses val="autoZero"/>
        <c:crossBetween val="between"/>
      </c:valAx>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spPr>
        <a:noFill/>
        <a:ln>
          <a:noFill/>
        </a:ln>
        <a:effectLst/>
      </c:spPr>
      <c:txPr>
        <a:bodyPr rot="0" spcFirstLastPara="0" vertOverflow="ellipsis" vert="horz" wrap="square" anchor="ctr" anchorCtr="1"/>
        <a:lstStyle/>
        <a:p>
          <a:pPr>
            <a:defRPr lang="zh-CN" sz="1400" b="0" i="0" u="none" strike="noStrike" kern="1200" spc="0" baseline="0">
              <a:solidFill>
                <a:schemeClr val="tx1">
                  <a:lumMod val="65000"/>
                  <a:lumOff val="35000"/>
                </a:schemeClr>
              </a:solidFill>
              <a:latin typeface="+mn-lt"/>
              <a:ea typeface="+mn-ea"/>
              <a:cs typeface="+mn-cs"/>
            </a:defRPr>
          </a:pPr>
        </a:p>
      </c:txPr>
    </c:title>
    <c:autoTitleDeleted val="0"/>
    <c:plotArea>
      <c:layout/>
      <c:pieChart>
        <c:varyColors val="1"/>
        <c:ser>
          <c:idx val="0"/>
          <c:order val="0"/>
          <c:tx>
            <c:strRef>
              <c:f>Sheet1!$B$1</c:f>
              <c:strCache>
                <c:ptCount val="1"/>
                <c:pt idx="0">
                  <c:v>金额</c:v>
                </c:pt>
              </c:strCache>
            </c:strRef>
          </c:tx>
          <c:spPr/>
          <c:explosion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Lbls>
            <c:delete val="1"/>
          </c:dLbls>
          <c:cat>
            <c:strRef>
              <c:f>Sheet1!$A$2:$A$3</c:f>
              <c:strCache>
                <c:ptCount val="2"/>
                <c:pt idx="0">
                  <c:v>一般公共预算收入</c:v>
                </c:pt>
                <c:pt idx="1">
                  <c:v>基金收入</c:v>
                </c:pt>
              </c:strCache>
            </c:strRef>
          </c:cat>
          <c:val>
            <c:numRef>
              <c:f>Sheet1!$B$2:$B$3</c:f>
              <c:numCache>
                <c:formatCode>General</c:formatCode>
                <c:ptCount val="2"/>
                <c:pt idx="0">
                  <c:v>1620.7</c:v>
                </c:pt>
                <c:pt idx="1">
                  <c:v>4.84</c:v>
                </c:pt>
              </c:numCache>
            </c:numRef>
          </c:val>
        </c:ser>
        <c:dLbls>
          <c:showLegendKey val="0"/>
          <c:showVal val="0"/>
          <c:showCatName val="0"/>
          <c:showSerName val="0"/>
          <c:showPercent val="0"/>
          <c:showBubbleSize val="0"/>
          <c:showLeaderLines val="1"/>
        </c:dLbls>
        <c:firstSliceAng val="0"/>
      </c:pieChart>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zero"/>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spPr>
        <a:noFill/>
        <a:ln>
          <a:noFill/>
        </a:ln>
        <a:effectLst/>
      </c:spPr>
      <c:txPr>
        <a:bodyPr rot="0" spcFirstLastPara="0" vertOverflow="ellipsis" vert="horz" wrap="square" anchor="ctr" anchorCtr="1"/>
        <a:lstStyle/>
        <a:p>
          <a:pPr>
            <a:defRPr lang="zh-CN" sz="1400" b="0" i="0" u="none" strike="noStrike" kern="1200" spc="0" baseline="0">
              <a:solidFill>
                <a:schemeClr val="tx1">
                  <a:lumMod val="65000"/>
                  <a:lumOff val="35000"/>
                </a:schemeClr>
              </a:solidFill>
              <a:latin typeface="+mn-lt"/>
              <a:ea typeface="+mn-ea"/>
              <a:cs typeface="+mn-cs"/>
            </a:defRPr>
          </a:pPr>
        </a:p>
      </c:txPr>
    </c:title>
    <c:autoTitleDeleted val="0"/>
    <c:plotArea>
      <c:layout/>
      <c:pieChart>
        <c:varyColors val="1"/>
        <c:ser>
          <c:idx val="0"/>
          <c:order val="0"/>
          <c:tx>
            <c:strRef>
              <c:f>Sheet1!$B$1</c:f>
              <c:strCache>
                <c:ptCount val="1"/>
                <c:pt idx="0">
                  <c:v>金额</c:v>
                </c:pt>
              </c:strCache>
            </c:strRef>
          </c:tx>
          <c:spPr/>
          <c:explosion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Lbls>
            <c:delete val="1"/>
          </c:dLbls>
          <c:cat>
            <c:strRef>
              <c:f>Sheet1!$A$2:$A$3</c:f>
              <c:strCache>
                <c:ptCount val="2"/>
                <c:pt idx="0">
                  <c:v>项目支出</c:v>
                </c:pt>
                <c:pt idx="1">
                  <c:v>基本支出</c:v>
                </c:pt>
              </c:strCache>
            </c:strRef>
          </c:cat>
          <c:val>
            <c:numRef>
              <c:f>Sheet1!$B$2:$B$3</c:f>
              <c:numCache>
                <c:formatCode>General</c:formatCode>
                <c:ptCount val="2"/>
                <c:pt idx="0">
                  <c:v>599.58</c:v>
                </c:pt>
                <c:pt idx="1">
                  <c:v>847.27</c:v>
                </c:pt>
              </c:numCache>
            </c:numRef>
          </c:val>
        </c:ser>
        <c:dLbls>
          <c:showLegendKey val="0"/>
          <c:showVal val="0"/>
          <c:showCatName val="0"/>
          <c:showSerName val="0"/>
          <c:showPercent val="0"/>
          <c:showBubbleSize val="0"/>
          <c:showLeaderLines val="1"/>
        </c:dLbls>
        <c:firstSliceAng val="0"/>
      </c:pieChart>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zero"/>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spPr>
        <a:noFill/>
        <a:ln>
          <a:noFill/>
        </a:ln>
        <a:effectLst/>
      </c:spPr>
      <c:txPr>
        <a:bodyPr rot="0" spcFirstLastPara="0" vertOverflow="ellipsis" vert="horz" wrap="square" anchor="ctr" anchorCtr="1"/>
        <a:lstStyle/>
        <a:p>
          <a:pPr>
            <a:defRPr lang="zh-CN" sz="1400" b="0" i="0" u="none" strike="noStrike" kern="1200" spc="0" baseline="0">
              <a:solidFill>
                <a:schemeClr val="tx1">
                  <a:lumMod val="65000"/>
                  <a:lumOff val="35000"/>
                </a:schemeClr>
              </a:solidFill>
              <a:latin typeface="+mn-lt"/>
              <a:ea typeface="+mn-ea"/>
              <a:cs typeface="+mn-cs"/>
            </a:defRPr>
          </a:pPr>
        </a:p>
      </c:txPr>
    </c:title>
    <c:autoTitleDeleted val="0"/>
    <c:plotArea>
      <c:layout/>
      <c:barChart>
        <c:barDir val="col"/>
        <c:grouping val="stacked"/>
        <c:varyColors val="0"/>
        <c:ser>
          <c:idx val="0"/>
          <c:order val="0"/>
          <c:tx>
            <c:strRef>
              <c:f>Sheet1!$B$1</c:f>
              <c:strCache>
                <c:ptCount val="1"/>
                <c:pt idx="0">
                  <c:v>金额</c:v>
                </c:pt>
              </c:strCache>
            </c:strRef>
          </c:tx>
          <c:spPr>
            <a:solidFill>
              <a:schemeClr val="accent1"/>
            </a:solidFill>
            <a:ln>
              <a:noFill/>
            </a:ln>
            <a:effectLst/>
          </c:spPr>
          <c:invertIfNegative val="0"/>
          <c:dLbls>
            <c:delete val="1"/>
          </c:dLbls>
          <c:cat>
            <c:strRef>
              <c:f>Sheet1!$A$2:$A$3</c:f>
              <c:strCache>
                <c:ptCount val="2"/>
                <c:pt idx="0">
                  <c:v>2018年</c:v>
                </c:pt>
                <c:pt idx="1">
                  <c:v>2019年</c:v>
                </c:pt>
              </c:strCache>
            </c:strRef>
          </c:cat>
          <c:val>
            <c:numRef>
              <c:f>Sheet1!$B$2:$B$3</c:f>
              <c:numCache>
                <c:formatCode>General</c:formatCode>
                <c:ptCount val="2"/>
                <c:pt idx="0">
                  <c:v>2398.91</c:v>
                </c:pt>
                <c:pt idx="1">
                  <c:v>1810</c:v>
                </c:pt>
              </c:numCache>
            </c:numRef>
          </c:val>
        </c:ser>
        <c:ser>
          <c:idx val="1"/>
          <c:order val="1"/>
          <c:tx>
            <c:strRef>
              <c:f>Sheet1!#REF!</c:f>
              <c:strCache>
                <c:ptCount val="1"/>
                <c:pt idx="0">
                  <c:v/>
                </c:pt>
              </c:strCache>
            </c:strRef>
          </c:tx>
          <c:spPr>
            <a:solidFill>
              <a:schemeClr val="accent2"/>
            </a:solidFill>
            <a:ln>
              <a:noFill/>
            </a:ln>
            <a:effectLst/>
          </c:spPr>
          <c:invertIfNegative val="0"/>
          <c:dLbls>
            <c:delete val="1"/>
          </c:dLbls>
          <c:cat>
            <c:strRef>
              <c:f>Sheet1!$A$2:$A$3</c:f>
              <c:strCache>
                <c:ptCount val="2"/>
                <c:pt idx="0">
                  <c:v>2018年</c:v>
                </c:pt>
                <c:pt idx="1">
                  <c:v>2019年</c:v>
                </c:pt>
              </c:strCache>
            </c:strRef>
          </c:cat>
          <c:val>
            <c:numRef>
              <c:f>Sheet1!#REF!</c:f>
              <c:numCache>
                <c:formatCode>General</c:formatCode>
                <c:ptCount val="1"/>
                <c:pt idx="0">
                  <c:v>1</c:v>
                </c:pt>
              </c:numCache>
            </c:numRef>
          </c:val>
        </c:ser>
        <c:ser>
          <c:idx val="2"/>
          <c:order val="2"/>
          <c:tx>
            <c:strRef>
              <c:f>Sheet1!#REF!</c:f>
              <c:strCache>
                <c:ptCount val="1"/>
                <c:pt idx="0">
                  <c:v/>
                </c:pt>
              </c:strCache>
            </c:strRef>
          </c:tx>
          <c:spPr>
            <a:solidFill>
              <a:schemeClr val="accent3"/>
            </a:solidFill>
            <a:ln>
              <a:noFill/>
            </a:ln>
            <a:effectLst/>
          </c:spPr>
          <c:invertIfNegative val="0"/>
          <c:dLbls>
            <c:delete val="1"/>
          </c:dLbls>
          <c:cat>
            <c:strRef>
              <c:f>Sheet1!$A$2:$A$3</c:f>
              <c:strCache>
                <c:ptCount val="2"/>
                <c:pt idx="0">
                  <c:v>2018年</c:v>
                </c:pt>
                <c:pt idx="1">
                  <c:v>2019年</c:v>
                </c:pt>
              </c:strCache>
            </c:strRef>
          </c:cat>
          <c:val>
            <c:numRef>
              <c:f>Sheet1!#REF!</c:f>
              <c:numCache>
                <c:formatCode>General</c:formatCode>
                <c:ptCount val="1"/>
                <c:pt idx="0">
                  <c:v>1</c:v>
                </c:pt>
              </c:numCache>
            </c:numRef>
          </c:val>
        </c:ser>
        <c:dLbls>
          <c:showLegendKey val="0"/>
          <c:showVal val="0"/>
          <c:showCatName val="0"/>
          <c:showSerName val="0"/>
          <c:showPercent val="0"/>
          <c:showBubbleSize val="0"/>
        </c:dLbls>
        <c:gapWidth val="150"/>
        <c:overlap val="100"/>
        <c:axId val="83490688"/>
        <c:axId val="83492224"/>
      </c:barChart>
      <c:catAx>
        <c:axId val="83490688"/>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83492224"/>
        <c:crosses val="autoZero"/>
        <c:auto val="1"/>
        <c:lblAlgn val="ctr"/>
        <c:lblOffset val="100"/>
        <c:noMultiLvlLbl val="0"/>
      </c:catAx>
      <c:valAx>
        <c:axId val="8349222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83490688"/>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spPr>
        <a:noFill/>
        <a:ln>
          <a:noFill/>
        </a:ln>
        <a:effectLst/>
      </c:spPr>
      <c:txPr>
        <a:bodyPr rot="0" spcFirstLastPara="0" vertOverflow="ellipsis" vert="horz" wrap="square" anchor="ctr" anchorCtr="1"/>
        <a:lstStyle/>
        <a:p>
          <a:pPr>
            <a:defRPr lang="zh-CN" sz="1400" b="0" i="0" u="none" strike="noStrike" kern="1200" spc="0" baseline="0">
              <a:solidFill>
                <a:schemeClr val="tx1">
                  <a:lumMod val="65000"/>
                  <a:lumOff val="35000"/>
                </a:schemeClr>
              </a:solidFill>
              <a:latin typeface="+mn-lt"/>
              <a:ea typeface="+mn-ea"/>
              <a:cs typeface="+mn-cs"/>
            </a:defRPr>
          </a:pPr>
        </a:p>
      </c:txPr>
    </c:title>
    <c:autoTitleDeleted val="0"/>
    <c:plotArea>
      <c:layout/>
      <c:pieChart>
        <c:varyColors val="1"/>
        <c:ser>
          <c:idx val="0"/>
          <c:order val="0"/>
          <c:tx>
            <c:strRef>
              <c:f>Sheet1!$B$1</c:f>
              <c:strCache>
                <c:ptCount val="1"/>
                <c:pt idx="0">
                  <c:v>金额</c:v>
                </c:pt>
              </c:strCache>
            </c:strRef>
          </c:tx>
          <c:spPr/>
          <c:explosion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Lbls>
            <c:delete val="1"/>
          </c:dLbls>
          <c:cat>
            <c:strRef>
              <c:f>Sheet1!$A$2:$A$3</c:f>
              <c:strCache>
                <c:ptCount val="2"/>
                <c:pt idx="0">
                  <c:v>2018年</c:v>
                </c:pt>
                <c:pt idx="1">
                  <c:v>2019年</c:v>
                </c:pt>
              </c:strCache>
            </c:strRef>
          </c:cat>
          <c:val>
            <c:numRef>
              <c:f>Sheet1!$B$2:$B$3</c:f>
              <c:numCache>
                <c:formatCode>General</c:formatCode>
                <c:ptCount val="2"/>
                <c:pt idx="0">
                  <c:v>2295.34</c:v>
                </c:pt>
                <c:pt idx="1">
                  <c:v>1451.69</c:v>
                </c:pt>
              </c:numCache>
            </c:numRef>
          </c:val>
        </c:ser>
        <c:dLbls>
          <c:showLegendKey val="0"/>
          <c:showVal val="0"/>
          <c:showCatName val="0"/>
          <c:showSerName val="0"/>
          <c:showPercent val="0"/>
          <c:showBubbleSize val="0"/>
          <c:showLeaderLines val="1"/>
        </c:dLbls>
        <c:firstSliceAng val="0"/>
      </c:pieChart>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zero"/>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spPr>
        <a:noFill/>
        <a:ln>
          <a:noFill/>
        </a:ln>
        <a:effectLst/>
      </c:spPr>
      <c:txPr>
        <a:bodyPr rot="0" spcFirstLastPara="0" vertOverflow="ellipsis" vert="horz" wrap="square" anchor="ctr" anchorCtr="1"/>
        <a:lstStyle/>
        <a:p>
          <a:pPr>
            <a:defRPr lang="zh-CN" sz="1400" b="0" i="0" u="none" strike="noStrike" kern="1200" spc="0" baseline="0">
              <a:solidFill>
                <a:schemeClr val="tx1">
                  <a:lumMod val="65000"/>
                  <a:lumOff val="35000"/>
                </a:schemeClr>
              </a:solidFill>
              <a:latin typeface="+mn-lt"/>
              <a:ea typeface="+mn-ea"/>
              <a:cs typeface="+mn-cs"/>
            </a:defRPr>
          </a:pPr>
        </a:p>
      </c:txPr>
    </c:title>
    <c:autoTitleDeleted val="0"/>
    <c:plotArea>
      <c:layout/>
      <c:pieChart>
        <c:varyColors val="1"/>
        <c:ser>
          <c:idx val="0"/>
          <c:order val="0"/>
          <c:tx>
            <c:strRef>
              <c:f>Sheet1!$B$1</c:f>
              <c:strCache>
                <c:ptCount val="1"/>
                <c:pt idx="0">
                  <c:v>金额</c:v>
                </c:pt>
              </c:strCache>
            </c:strRef>
          </c:tx>
          <c:spPr/>
          <c:explosion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Pt>
            <c:idx val="2"/>
            <c:bubble3D val="0"/>
            <c:spPr>
              <a:solidFill>
                <a:schemeClr val="accent3"/>
              </a:solidFill>
              <a:ln w="19050">
                <a:solidFill>
                  <a:schemeClr val="lt1"/>
                </a:solidFill>
              </a:ln>
              <a:effectLst/>
            </c:spPr>
          </c:dPt>
          <c:dPt>
            <c:idx val="3"/>
            <c:bubble3D val="0"/>
            <c:spPr>
              <a:solidFill>
                <a:schemeClr val="accent4"/>
              </a:solidFill>
              <a:ln w="19050">
                <a:solidFill>
                  <a:schemeClr val="lt1"/>
                </a:solidFill>
              </a:ln>
              <a:effectLst/>
            </c:spPr>
          </c:dPt>
          <c:dPt>
            <c:idx val="4"/>
            <c:bubble3D val="0"/>
            <c:spPr>
              <a:solidFill>
                <a:schemeClr val="accent5"/>
              </a:solidFill>
              <a:ln w="19050">
                <a:solidFill>
                  <a:schemeClr val="lt1"/>
                </a:solidFill>
              </a:ln>
              <a:effectLst/>
            </c:spPr>
          </c:dPt>
          <c:dPt>
            <c:idx val="5"/>
            <c:bubble3D val="0"/>
            <c:spPr>
              <a:solidFill>
                <a:schemeClr val="accent6"/>
              </a:solidFill>
              <a:ln w="19050">
                <a:solidFill>
                  <a:schemeClr val="lt1"/>
                </a:solidFill>
              </a:ln>
              <a:effectLst/>
            </c:spPr>
          </c:dPt>
          <c:dPt>
            <c:idx val="6"/>
            <c:bubble3D val="0"/>
            <c:spPr>
              <a:solidFill>
                <a:schemeClr val="accent1">
                  <a:lumMod val="60000"/>
                </a:schemeClr>
              </a:solidFill>
              <a:ln w="19050">
                <a:solidFill>
                  <a:schemeClr val="lt1"/>
                </a:solidFill>
              </a:ln>
              <a:effectLst/>
            </c:spPr>
          </c:dPt>
          <c:dPt>
            <c:idx val="7"/>
            <c:bubble3D val="0"/>
            <c:spPr>
              <a:solidFill>
                <a:schemeClr val="accent2">
                  <a:lumMod val="60000"/>
                </a:schemeClr>
              </a:solidFill>
              <a:ln w="19050">
                <a:solidFill>
                  <a:schemeClr val="lt1"/>
                </a:solidFill>
              </a:ln>
              <a:effectLst/>
            </c:spPr>
          </c:dPt>
          <c:dLbls>
            <c:delete val="1"/>
          </c:dLbls>
          <c:cat>
            <c:strRef>
              <c:f>Sheet1!$A$2:$A$9</c:f>
              <c:strCache>
                <c:ptCount val="8"/>
                <c:pt idx="0">
                  <c:v>一般公共服务支出</c:v>
                </c:pt>
                <c:pt idx="1">
                  <c:v>国防支出</c:v>
                </c:pt>
                <c:pt idx="2">
                  <c:v>公共安全支出</c:v>
                </c:pt>
                <c:pt idx="3">
                  <c:v>社会保障和就业支出</c:v>
                </c:pt>
                <c:pt idx="4">
                  <c:v>卫生健康支出</c:v>
                </c:pt>
                <c:pt idx="5">
                  <c:v>农林水支出</c:v>
                </c:pt>
                <c:pt idx="6">
                  <c:v>住房保障支出</c:v>
                </c:pt>
                <c:pt idx="7">
                  <c:v>其他支出</c:v>
                </c:pt>
              </c:strCache>
            </c:strRef>
          </c:cat>
          <c:val>
            <c:numRef>
              <c:f>Sheet1!$B$2:$B$9</c:f>
              <c:numCache>
                <c:formatCode>General</c:formatCode>
                <c:ptCount val="8"/>
                <c:pt idx="0">
                  <c:v>468.07</c:v>
                </c:pt>
                <c:pt idx="1">
                  <c:v>0.71</c:v>
                </c:pt>
                <c:pt idx="2">
                  <c:v>3.5</c:v>
                </c:pt>
                <c:pt idx="3">
                  <c:v>102.17</c:v>
                </c:pt>
                <c:pt idx="4">
                  <c:v>46.77</c:v>
                </c:pt>
                <c:pt idx="5">
                  <c:v>663.56</c:v>
                </c:pt>
                <c:pt idx="6">
                  <c:v>1.4</c:v>
                </c:pt>
                <c:pt idx="7">
                  <c:v>1.2</c:v>
                </c:pt>
              </c:numCache>
            </c:numRef>
          </c:val>
        </c:ser>
        <c:dLbls>
          <c:showLegendKey val="0"/>
          <c:showVal val="0"/>
          <c:showCatName val="0"/>
          <c:showSerName val="0"/>
          <c:showPercent val="0"/>
          <c:showBubbleSize val="0"/>
          <c:showLeaderLines val="1"/>
        </c:dLbls>
        <c:firstSliceAng val="0"/>
      </c:pieChart>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zero"/>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四川省财政厅</Company>
  <Pages>41</Pages>
  <Words>12641</Words>
  <Characters>3790</Characters>
  <Lines>31</Lines>
  <Paragraphs>32</Paragraphs>
  <TotalTime>11</TotalTime>
  <ScaleCrop>false</ScaleCrop>
  <LinksUpToDate>false</LinksUpToDate>
  <CharactersWithSpaces>16399</CharactersWithSpaces>
  <Application>WPS Office_11.8.2.1116_F1E327BC-269C-435d-A152-05C5408002CA</Application>
  <DocSecurity>4</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2021-06-04T15:32:00Z</dcterms:created>
  <dc:creator>曹颖</dc:creator>
  <cp:lastModifiedBy>user</cp:lastModifiedBy>
  <cp:lastPrinted>2020-09-21T17:24:00Z</cp:lastPrinted>
  <dcterms:modified xsi:type="dcterms:W3CDTF">2023-07-13T18:42:29Z</dcterms:modified>
  <dc:title>四川省***</dc:title>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2052-11.8.2.1116</vt:lpwstr>
  </property>
  <property fmtid="{D5CDD505-2E9C-101B-9397-08002B2CF9AE}" pid="3" name="ICV">
    <vt:lpwstr>64176AD047BA4BC2B87324857E7F31AD</vt:lpwstr>
  </property>
</Properties>
</file>