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1" w:name="_GoBack"/>
      <w:bookmarkEnd w:id="71"/>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6"/>
          <w:szCs w:val="56"/>
        </w:rPr>
      </w:pPr>
      <w:bookmarkStart w:id="1" w:name="_Toc15377425"/>
      <w:bookmarkStart w:id="2" w:name="_Toc15378441"/>
      <w:bookmarkStart w:id="3" w:name="_Toc15396597"/>
      <w:bookmarkStart w:id="4" w:name="_Toc15396475"/>
      <w:bookmarkStart w:id="5" w:name="_Toc15377193"/>
      <w:r>
        <w:rPr>
          <w:rFonts w:ascii="黑体" w:hAnsi="黑体" w:eastAsia="黑体"/>
          <w:color w:val="000000"/>
          <w:sz w:val="56"/>
          <w:szCs w:val="56"/>
        </w:rPr>
        <w:t>201</w:t>
      </w:r>
      <w:r>
        <w:rPr>
          <w:rFonts w:hint="eastAsia" w:ascii="黑体" w:hAnsi="黑体" w:eastAsia="黑体"/>
          <w:color w:val="000000"/>
          <w:sz w:val="56"/>
          <w:szCs w:val="56"/>
        </w:rPr>
        <w:t>9</w:t>
      </w:r>
      <w:r>
        <w:rPr>
          <w:rFonts w:hint="eastAsia" w:ascii="方正小标宋简体" w:hAnsi="宋体" w:eastAsia="方正小标宋简体"/>
          <w:color w:val="000000"/>
          <w:sz w:val="56"/>
          <w:szCs w:val="56"/>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6"/>
          <w:szCs w:val="56"/>
        </w:rPr>
      </w:pPr>
      <w:bookmarkStart w:id="6" w:name="_Toc15377194"/>
      <w:bookmarkStart w:id="7" w:name="_Toc15377426"/>
      <w:bookmarkStart w:id="8" w:name="_Toc15378442"/>
      <w:bookmarkStart w:id="9" w:name="_Toc15396598"/>
      <w:bookmarkStart w:id="10" w:name="_Toc15396476"/>
      <w:r>
        <w:rPr>
          <w:rFonts w:hint="eastAsia" w:ascii="方正小标宋简体" w:hAnsi="宋体" w:eastAsia="方正小标宋简体"/>
          <w:color w:val="000000"/>
          <w:sz w:val="56"/>
          <w:szCs w:val="56"/>
        </w:rPr>
        <w:t>四川省阿坝州</w:t>
      </w:r>
      <w:bookmarkEnd w:id="0"/>
      <w:bookmarkStart w:id="11" w:name="_Toc15306268"/>
      <w:r>
        <w:rPr>
          <w:rFonts w:hint="eastAsia" w:ascii="方正小标宋简体" w:hAnsi="宋体" w:eastAsia="方正小标宋简体"/>
          <w:color w:val="000000"/>
          <w:sz w:val="56"/>
          <w:szCs w:val="56"/>
        </w:rPr>
        <w:t>茂县渭门镇人民</w:t>
      </w:r>
    </w:p>
    <w:p>
      <w:pPr>
        <w:adjustRightInd w:val="0"/>
        <w:snapToGrid w:val="0"/>
        <w:spacing w:line="360" w:lineRule="auto"/>
        <w:jc w:val="center"/>
        <w:outlineLvl w:val="0"/>
        <w:rPr>
          <w:rFonts w:ascii="方正小标宋简体" w:hAnsi="宋体" w:eastAsia="方正小标宋简体"/>
          <w:color w:val="000000"/>
          <w:sz w:val="56"/>
          <w:szCs w:val="56"/>
        </w:rPr>
      </w:pPr>
      <w:r>
        <w:rPr>
          <w:rFonts w:hint="eastAsia" w:ascii="方正小标宋简体" w:hAnsi="宋体" w:eastAsia="方正小标宋简体"/>
          <w:color w:val="000000"/>
          <w:sz w:val="56"/>
          <w:szCs w:val="56"/>
        </w:rPr>
        <w:t>政府部门决算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keepNext w:val="0"/>
        <w:keepLines w:val="0"/>
        <w:pageBreakBefore w:val="0"/>
        <w:widowControl/>
        <w:kinsoku/>
        <w:wordWrap/>
        <w:overflowPunct/>
        <w:topLinePunct w:val="0"/>
        <w:autoSpaceDE/>
        <w:autoSpaceDN/>
        <w:bidi w:val="0"/>
        <w:spacing w:line="576" w:lineRule="exact"/>
        <w:jc w:val="center"/>
        <w:textAlignment w:val="auto"/>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keepNext w:val="0"/>
        <w:keepLines w:val="0"/>
        <w:pageBreakBefore w:val="0"/>
        <w:kinsoku/>
        <w:wordWrap/>
        <w:overflowPunct/>
        <w:topLinePunct w:val="0"/>
        <w:autoSpaceDE/>
        <w:autoSpaceDN/>
        <w:bidi w:val="0"/>
        <w:spacing w:line="576" w:lineRule="exact"/>
        <w:textAlignment w:val="auto"/>
      </w:pP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rFonts w:cstheme="minorBidi"/>
          <w:sz w:val="24"/>
          <w:szCs w:val="24"/>
        </w:rPr>
      </w:pPr>
      <w:r>
        <w:rPr>
          <w:rFonts w:hint="eastAsia" w:ascii="仿宋_GB2312" w:hAnsi="仿宋_GB2312" w:eastAsia="仿宋_GB2312" w:cs="仿宋_GB2312"/>
          <w:sz w:val="32"/>
          <w:szCs w:val="32"/>
        </w:rPr>
        <w:t>第一部分 部门概况.</w:t>
      </w:r>
      <w:r>
        <w:rPr>
          <w:rFonts w:hint="eastAsia"/>
          <w:sz w:val="24"/>
        </w:rPr>
        <w:t>.............</w:t>
      </w:r>
      <w:r>
        <w:rPr>
          <w:rFonts w:hint="eastAsia"/>
          <w:sz w:val="24"/>
          <w:lang w:val="en-US" w:eastAsia="zh-CN"/>
        </w:rPr>
        <w:t>..............</w:t>
      </w:r>
      <w:r>
        <w:rPr>
          <w:rFonts w:hint="eastAsia"/>
          <w:b w:val="0"/>
          <w:bCs w:val="0"/>
          <w:sz w:val="24"/>
          <w:lang w:val="en-US" w:eastAsia="zh-CN"/>
        </w:rPr>
        <w:t>.........</w:t>
      </w:r>
      <w:r>
        <w:rPr>
          <w:rFonts w:hint="eastAsia"/>
          <w:b w:val="0"/>
          <w:bCs w:val="0"/>
          <w:sz w:val="24"/>
        </w:rPr>
        <w:t>.....4</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sz w:val="24"/>
        </w:rPr>
      </w:pPr>
      <w:r>
        <w:rPr>
          <w:rFonts w:hint="eastAsia"/>
          <w:sz w:val="24"/>
        </w:rPr>
        <w:t>一、基本职能及主要工作...............................................................................4</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二、机构设置..................................................................................................</w:t>
      </w:r>
      <w:r>
        <w:rPr>
          <w:rFonts w:hint="eastAsia" w:ascii="仿宋" w:hAnsi="仿宋" w:eastAsia="仿宋" w:cs="Times New Roman"/>
          <w:kern w:val="2"/>
          <w:sz w:val="24"/>
          <w:szCs w:val="28"/>
          <w:lang w:val="en-US" w:eastAsia="zh-CN" w:bidi="ar-SA"/>
        </w:rPr>
        <w:t>.5</w:t>
      </w: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sz w:val="24"/>
          <w:szCs w:val="24"/>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度部门决算情况说明......</w:t>
      </w:r>
      <w:r>
        <w:rPr>
          <w:rFonts w:hint="eastAsia"/>
          <w:b w:val="0"/>
          <w:bCs w:val="0"/>
          <w:sz w:val="24"/>
          <w:lang w:val="en-US" w:eastAsia="zh-CN"/>
        </w:rPr>
        <w:t xml:space="preserve">................6 </w:t>
      </w:r>
      <w:r>
        <w:rPr>
          <w:rFonts w:hint="eastAsia" w:ascii="仿宋_GB2312" w:hAnsi="仿宋_GB2312" w:eastAsia="仿宋_GB2312" w:cs="仿宋_GB2312"/>
          <w:sz w:val="32"/>
          <w:szCs w:val="32"/>
          <w:lang w:val="en-US" w:eastAsia="zh-CN"/>
        </w:rPr>
        <w:t xml:space="preserve"> </w:t>
      </w:r>
      <w:r>
        <w:rPr>
          <w:rFonts w:hint="eastAsia"/>
          <w:sz w:val="24"/>
          <w:lang w:val="en-US" w:eastAsia="zh-CN"/>
        </w:rPr>
        <w:t xml:space="preserve">              </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一、收入支出决算总体情况说明...................................................................6</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二、收入决算情况说明..................................................................................6</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三、支出决算情况说明..................................................................................7</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四、财政拨款收入支出决算总体情况说明...................................................7</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五、一般公共预算财政拨款支出决算情况说明..........................................8</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六、一般公共预算财政拨款基本支出决算情况说明..................................13</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七、</w:t>
      </w:r>
      <w:r>
        <w:rPr>
          <w:sz w:val="24"/>
        </w:rPr>
        <w:t>“</w:t>
      </w:r>
      <w:r>
        <w:rPr>
          <w:rFonts w:hint="eastAsia"/>
          <w:sz w:val="24"/>
        </w:rPr>
        <w:t>三公”经费财政拨款支出决算情况说明............................................13</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八、政府性基金预算支出决算情况说明......................................................15</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九、</w:t>
      </w:r>
      <w:r>
        <w:rPr>
          <w:sz w:val="24"/>
        </w:rPr>
        <w:t xml:space="preserve"> 国</w:t>
      </w:r>
      <w:r>
        <w:rPr>
          <w:rFonts w:hint="eastAsia"/>
          <w:sz w:val="24"/>
        </w:rPr>
        <w:t>有资本经营预算支出决算情况说明................................................15</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rPr>
        <w:t>十、</w:t>
      </w:r>
      <w:r>
        <w:rPr>
          <w:rFonts w:hint="eastAsia"/>
          <w:sz w:val="24"/>
        </w:rPr>
        <w:t>其他重要事项的情</w:t>
      </w:r>
      <w:r>
        <w:rPr>
          <w:rFonts w:hint="eastAsia"/>
          <w:sz w:val="24"/>
          <w:lang w:val="en-US" w:eastAsia="zh-CN"/>
        </w:rPr>
        <w:t xml:space="preserve"> </w:t>
      </w:r>
      <w:r>
        <w:rPr>
          <w:rFonts w:hint="eastAsia" w:ascii="仿宋" w:hAnsi="仿宋" w:eastAsia="仿宋"/>
          <w:sz w:val="24"/>
        </w:rPr>
        <w:t>.........................................15</w:t>
      </w: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30</w:t>
      </w: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lang w:eastAsia="zh-CN"/>
        </w:rPr>
        <w:t>：茂县渭门镇人民政府</w:t>
      </w:r>
      <w:r>
        <w:rPr>
          <w:rFonts w:hint="eastAsia" w:ascii="仿宋_GB2312" w:hAnsi="仿宋_GB2312" w:eastAsia="仿宋_GB2312" w:cs="仿宋_GB2312"/>
          <w:sz w:val="32"/>
          <w:szCs w:val="32"/>
          <w:lang w:val="en-US" w:eastAsia="zh-CN"/>
        </w:rPr>
        <w:t>2019年度部门整体支出绩效评价报告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.35</w:t>
      </w: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第五部分 附表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ascii="仿宋" w:hAnsi="仿宋" w:eastAsia="仿宋"/>
          <w:sz w:val="24"/>
        </w:rPr>
        <w:t>三</w:t>
      </w:r>
      <w:r>
        <w:rPr>
          <w:rFonts w:hint="eastAsia"/>
          <w:sz w:val="24"/>
        </w:rPr>
        <w:t>、支出决算表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四、财政拨款收入支出决算总表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五、财政拨款支出决算明细表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六、一般公共预算财政拨款支出决算表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七、一般公共预算财政拨款支出决算明细表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八、一般公共预算财政拨款基本支出决算表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九、一般公共预算财政拨款项目支出决算表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十、一般公共预算财政拨款“三公”经费支出决算表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pStyle w:val="24"/>
        <w:widowControl/>
        <w:spacing w:line="440" w:lineRule="exact"/>
        <w:ind w:left="420" w:firstLine="0" w:firstLineChars="0"/>
        <w:jc w:val="center"/>
        <w:rPr>
          <w:rStyle w:val="25"/>
          <w:rFonts w:ascii="黑体" w:hAnsi="黑体" w:eastAsia="黑体"/>
          <w:b w:val="0"/>
        </w:rPr>
      </w:pPr>
      <w:bookmarkStart w:id="12" w:name="_Toc15396599"/>
      <w:bookmarkStart w:id="13" w:name="_Toc15377196"/>
      <w:r>
        <w:rPr>
          <w:rFonts w:ascii="仿宋" w:hAnsi="仿宋" w:eastAsia="仿宋"/>
          <w:b/>
          <w:sz w:val="24"/>
        </w:rPr>
        <w:br w:type="page"/>
      </w:r>
      <w:r>
        <w:rPr>
          <w:rFonts w:hint="eastAsia" w:ascii="黑体" w:hAnsi="黑体" w:eastAsia="黑体"/>
          <w:b/>
          <w:sz w:val="44"/>
          <w:szCs w:val="44"/>
        </w:rPr>
        <w:t xml:space="preserve">第一部分 </w:t>
      </w:r>
      <w:r>
        <w:rPr>
          <w:rStyle w:val="25"/>
          <w:rFonts w:hint="eastAsia" w:ascii="黑体" w:hAnsi="黑体" w:eastAsia="黑体"/>
          <w:b w:val="0"/>
        </w:rPr>
        <w:t>部门概况</w:t>
      </w:r>
      <w:bookmarkEnd w:id="12"/>
      <w:bookmarkEnd w:id="13"/>
      <w:bookmarkStart w:id="14" w:name="_Toc15396600"/>
      <w:bookmarkStart w:id="15" w:name="_Toc15377197"/>
    </w:p>
    <w:p>
      <w:pPr>
        <w:pStyle w:val="24"/>
        <w:widowControl/>
        <w:spacing w:line="440" w:lineRule="exact"/>
        <w:ind w:left="420" w:firstLine="0" w:firstLineChars="0"/>
        <w:jc w:val="center"/>
        <w:rPr>
          <w:rStyle w:val="25"/>
          <w:rFonts w:ascii="黑体" w:hAnsi="黑体" w:eastAsia="黑体"/>
          <w:b w:val="0"/>
        </w:rPr>
      </w:pPr>
    </w:p>
    <w:p>
      <w:pPr>
        <w:pStyle w:val="24"/>
        <w:widowControl/>
        <w:spacing w:line="440" w:lineRule="exact"/>
        <w:ind w:left="420" w:firstLine="0" w:firstLineChars="0"/>
        <w:jc w:val="left"/>
        <w:rPr>
          <w:rStyle w:val="26"/>
          <w:rFonts w:ascii="黑体" w:hAnsi="黑体" w:eastAsia="黑体" w:cs="Times New Roman"/>
          <w:kern w:val="44"/>
        </w:rPr>
      </w:pPr>
      <w:r>
        <w:rPr>
          <w:rFonts w:hint="eastAsia" w:ascii="黑体" w:hAnsi="黑体" w:eastAsia="黑体"/>
          <w:b/>
          <w:color w:val="000000"/>
          <w:sz w:val="32"/>
          <w:szCs w:val="32"/>
        </w:rPr>
        <w:t>一、基</w:t>
      </w:r>
      <w:r>
        <w:rPr>
          <w:rStyle w:val="26"/>
          <w:rFonts w:hint="eastAsia" w:ascii="黑体" w:hAnsi="黑体" w:eastAsia="黑体"/>
        </w:rPr>
        <w:t>本职能及主要工作</w:t>
      </w:r>
      <w:bookmarkEnd w:id="14"/>
      <w:bookmarkEnd w:id="15"/>
    </w:p>
    <w:p>
      <w:pPr>
        <w:spacing w:line="576" w:lineRule="atLeast"/>
        <w:ind w:firstLine="642" w:firstLineChars="200"/>
        <w:outlineLvl w:val="1"/>
        <w:rPr>
          <w:rFonts w:ascii="楷体" w:hAnsi="楷体" w:eastAsia="楷体"/>
          <w:b/>
          <w:sz w:val="32"/>
          <w:szCs w:val="32"/>
        </w:rPr>
      </w:pPr>
      <w:bookmarkStart w:id="16" w:name="_Toc15396601"/>
      <w:bookmarkStart w:id="17" w:name="_Toc15377200"/>
      <w:r>
        <w:rPr>
          <w:rFonts w:hint="eastAsia" w:ascii="楷体" w:hAnsi="楷体" w:eastAsia="楷体" w:cs="楷体"/>
          <w:b/>
          <w:color w:val="000000"/>
          <w:sz w:val="32"/>
          <w:szCs w:val="32"/>
        </w:rPr>
        <w:t>（一）基本职能</w:t>
      </w:r>
      <w:bookmarkStart w:id="18" w:name="_Toc15377199"/>
      <w:bookmarkStart w:id="19" w:name="_Toc15378446"/>
    </w:p>
    <w:p>
      <w:pPr>
        <w:spacing w:line="576" w:lineRule="exact"/>
        <w:ind w:left="315" w:leftChars="150" w:firstLine="627" w:firstLineChars="196"/>
        <w:outlineLvl w:val="1"/>
        <w:rPr>
          <w:rStyle w:val="32"/>
          <w:rFonts w:ascii="楷体" w:hAnsi="楷体" w:eastAsia="楷体" w:cs="楷体"/>
          <w:b w:val="0"/>
          <w:bCs w:val="0"/>
        </w:rPr>
      </w:pPr>
      <w:r>
        <w:rPr>
          <w:rStyle w:val="32"/>
          <w:rFonts w:hint="eastAsia" w:ascii="仿宋_GB2312" w:hAnsi="仿宋_GB2312" w:eastAsia="仿宋_GB2312" w:cs="仿宋_GB2312"/>
          <w:b w:val="0"/>
        </w:rPr>
        <w:t>负责草拟本乡农业产业结构调整规划,建立健全合作组织的组织制度、民主管理制度、利益分配制度等;负责调查了解农业,落实国家计划生育政策,努力提高人口素质;宣传贯彻国土管产业结构状况及市场走向,及时提供农业结构调整参考信息;做好计划生育宣传教育工作理、城建规划的法律法规,拟定全镇国土、城建管理规划措施;宣传教育、文化、科技、卫生等方面的政策、知识;严格按规定做好财务管理工作。</w:t>
      </w:r>
    </w:p>
    <w:p>
      <w:pPr>
        <w:spacing w:line="576" w:lineRule="atLeast"/>
        <w:ind w:firstLine="642" w:firstLineChars="200"/>
        <w:outlineLvl w:val="1"/>
        <w:rPr>
          <w:rFonts w:ascii="楷体" w:hAnsi="楷体" w:eastAsia="楷体" w:cs="楷体"/>
          <w:b/>
          <w:color w:val="000000"/>
          <w:sz w:val="32"/>
          <w:szCs w:val="32"/>
        </w:rPr>
      </w:pPr>
      <w:r>
        <w:rPr>
          <w:rFonts w:hint="eastAsia" w:ascii="楷体" w:hAnsi="楷体" w:eastAsia="楷体" w:cs="楷体"/>
          <w:b/>
          <w:color w:val="000000"/>
          <w:sz w:val="32"/>
          <w:szCs w:val="32"/>
        </w:rPr>
        <w:t>（二）</w:t>
      </w:r>
      <w:r>
        <w:rPr>
          <w:rFonts w:ascii="楷体" w:hAnsi="楷体" w:eastAsia="楷体" w:cs="楷体"/>
          <w:b/>
          <w:color w:val="000000"/>
          <w:sz w:val="32"/>
          <w:szCs w:val="32"/>
        </w:rPr>
        <w:t>201</w:t>
      </w:r>
      <w:r>
        <w:rPr>
          <w:rFonts w:hint="eastAsia" w:ascii="楷体" w:hAnsi="楷体" w:eastAsia="楷体" w:cs="楷体"/>
          <w:b/>
          <w:color w:val="000000"/>
          <w:sz w:val="32"/>
          <w:szCs w:val="32"/>
        </w:rPr>
        <w:t>9年重点工作完成情况</w:t>
      </w:r>
      <w:bookmarkEnd w:id="18"/>
      <w:bookmarkEnd w:id="19"/>
    </w:p>
    <w:p>
      <w:pPr>
        <w:spacing w:line="576" w:lineRule="exact"/>
        <w:ind w:firstLine="963" w:firstLineChars="300"/>
        <w:jc w:val="left"/>
        <w:rPr>
          <w:rFonts w:ascii="仿宋_GB2312" w:hAnsi="黑体" w:eastAsia="仿宋_GB2312" w:cs="黑体"/>
          <w:b/>
          <w:sz w:val="32"/>
          <w:szCs w:val="32"/>
        </w:rPr>
      </w:pPr>
      <w:r>
        <w:rPr>
          <w:rFonts w:hint="eastAsia" w:ascii="仿宋_GB2312" w:hAnsi="黑体" w:eastAsia="仿宋_GB2312" w:cs="黑体"/>
          <w:b/>
          <w:sz w:val="32"/>
          <w:szCs w:val="32"/>
        </w:rPr>
        <w:t>1.党建工作</w:t>
      </w:r>
    </w:p>
    <w:p>
      <w:pPr>
        <w:spacing w:line="576" w:lineRule="exact"/>
        <w:ind w:firstLine="642" w:firstLineChars="200"/>
        <w:jc w:val="left"/>
        <w:rPr>
          <w:rFonts w:ascii="仿宋_GB2312" w:hAnsi="仿宋" w:eastAsia="仿宋_GB2312" w:cs="仿宋_GB2312"/>
          <w:sz w:val="32"/>
          <w:szCs w:val="32"/>
        </w:rPr>
      </w:pPr>
      <w:r>
        <w:rPr>
          <w:rFonts w:hint="eastAsia" w:ascii="仿宋_GB2312" w:hAnsi="仿宋" w:eastAsia="仿宋_GB2312" w:cs="仿宋_GB2312"/>
          <w:b/>
          <w:bCs/>
          <w:sz w:val="32"/>
          <w:szCs w:val="32"/>
        </w:rPr>
        <w:t>一是实施干部驻村精准帮扶。</w:t>
      </w:r>
      <w:r>
        <w:rPr>
          <w:rFonts w:hint="eastAsia" w:ascii="仿宋_GB2312" w:hAnsi="仿宋" w:eastAsia="仿宋_GB2312" w:cs="仿宋_GB2312"/>
          <w:sz w:val="32"/>
          <w:szCs w:val="32"/>
        </w:rPr>
        <w:t>及时调整完善贫困村“五个一”、非贫困村“三个一”帮扶力量，明确联系领导、帮扶单位、“第一书记”工作职责，确保坚决完成扶贫攻坚各项工作任务。</w:t>
      </w:r>
      <w:r>
        <w:rPr>
          <w:rFonts w:hint="eastAsia" w:ascii="仿宋_GB2312" w:hAnsi="仿宋" w:eastAsia="仿宋_GB2312" w:cs="仿宋_GB2312"/>
          <w:b/>
          <w:bCs/>
          <w:sz w:val="32"/>
          <w:szCs w:val="32"/>
        </w:rPr>
        <w:t>二是组织动员社会力量扶贫。</w:t>
      </w:r>
      <w:r>
        <w:rPr>
          <w:rFonts w:hint="eastAsia" w:ascii="仿宋_GB2312" w:hAnsi="仿宋" w:eastAsia="仿宋_GB2312" w:cs="仿宋_GB2312"/>
          <w:sz w:val="32"/>
          <w:szCs w:val="32"/>
        </w:rPr>
        <w:t>结合“脱贫攻坚、人大代表在行动”工作，积极开展入户走访，倾听群众意愿诉求，帮助联系致贫户找准发展路子。对群众反映强烈的问题，做好政策解释。</w:t>
      </w:r>
      <w:r>
        <w:rPr>
          <w:rFonts w:hint="eastAsia" w:ascii="仿宋_GB2312" w:hAnsi="楷体" w:eastAsia="仿宋_GB2312" w:cs="楷体"/>
          <w:b/>
          <w:bCs/>
          <w:sz w:val="32"/>
          <w:szCs w:val="32"/>
        </w:rPr>
        <w:t>三是以政策宣传为核心，努力夯实群众基础。</w:t>
      </w:r>
      <w:r>
        <w:rPr>
          <w:rFonts w:hint="eastAsia" w:ascii="仿宋_GB2312" w:hAnsi="仿宋" w:eastAsia="仿宋_GB2312" w:cs="仿宋_GB2312"/>
          <w:sz w:val="32"/>
          <w:szCs w:val="32"/>
        </w:rPr>
        <w:t>多措施多渠道开展政策宣传解释工作，帮助群众正确认识、深刻理解脱贫攻坚工作，鼓励群众依靠勤劳和努力走上小康道路。充分发挥党员先进性，成立党员义务服务队，对贫困户积极主动进行义务劳作、办理医疗报销手续、争取救助基金等帮扶，大力宣传脱贫攻坚政策知识。积极利用微信、短信等网络新兴媒体平台，全覆盖宣传提高群众对扶贫政策的知晓度。举办农民夜校培训班及开展主题党日活动，以集中开会的形式向群众宣传脱贫攻坚的目的意义和政策知识，全方位引导群众转变“扶贫就是给钱给物”的错误观念。</w:t>
      </w:r>
    </w:p>
    <w:p>
      <w:pPr>
        <w:spacing w:line="576" w:lineRule="exact"/>
        <w:ind w:firstLine="642" w:firstLineChars="200"/>
        <w:jc w:val="left"/>
        <w:rPr>
          <w:rFonts w:ascii="黑体" w:hAnsi="黑体" w:eastAsia="黑体" w:cs="黑体"/>
          <w:sz w:val="32"/>
          <w:szCs w:val="32"/>
        </w:rPr>
      </w:pPr>
      <w:r>
        <w:rPr>
          <w:rFonts w:hint="eastAsia" w:ascii="仿宋_GB2312" w:hAnsi="黑体" w:eastAsia="仿宋_GB2312" w:cs="黑体"/>
          <w:b/>
          <w:sz w:val="32"/>
          <w:szCs w:val="32"/>
        </w:rPr>
        <w:t>2.脱贫攻坚工作</w:t>
      </w:r>
    </w:p>
    <w:p>
      <w:pPr>
        <w:spacing w:line="576" w:lineRule="exact"/>
        <w:ind w:firstLine="800" w:firstLineChars="250"/>
        <w:jc w:val="left"/>
        <w:rPr>
          <w:rFonts w:ascii="仿宋_GB2312" w:hAnsi="仿宋" w:eastAsia="仿宋_GB2312" w:cs="仿宋_GB2312"/>
          <w:sz w:val="32"/>
          <w:szCs w:val="32"/>
        </w:rPr>
      </w:pPr>
      <w:r>
        <w:rPr>
          <w:rFonts w:hint="eastAsia" w:ascii="仿宋_GB2312" w:hAnsi="仿宋" w:eastAsia="仿宋_GB2312" w:cs="仿宋_GB2312"/>
          <w:sz w:val="32"/>
          <w:szCs w:val="32"/>
        </w:rPr>
        <w:t>对照建档立卡贫困户的致贫原因，落实好回头看、回头帮，大排查，严格按照因户施策、一户一策的帮扶措施，宣传和贯彻好健康扶贫、教育扶贫、低保兜底等一系列帮扶政策，为低保贫困户兑现了最低生活保障资金，贫困户医保、养老保险全覆盖，切实解决了因病、缺乏劳动力致贫群众的实际困难。解决贫困户就近就业问题，依托公益性岗位等政策增加贫困户工资性收入。</w:t>
      </w:r>
    </w:p>
    <w:p>
      <w:pPr>
        <w:spacing w:line="576" w:lineRule="exact"/>
        <w:ind w:firstLine="642" w:firstLineChars="200"/>
        <w:jc w:val="left"/>
        <w:rPr>
          <w:rFonts w:ascii="仿宋_GB2312" w:hAnsi="黑体" w:eastAsia="仿宋_GB2312" w:cs="黑体"/>
          <w:b/>
          <w:sz w:val="32"/>
          <w:szCs w:val="32"/>
        </w:rPr>
      </w:pPr>
      <w:r>
        <w:rPr>
          <w:rFonts w:hint="eastAsia" w:ascii="仿宋_GB2312" w:hAnsi="黑体" w:eastAsia="仿宋_GB2312" w:cs="黑体"/>
          <w:b/>
          <w:sz w:val="32"/>
          <w:szCs w:val="32"/>
        </w:rPr>
        <w:t>3.农、林、牧工作</w:t>
      </w:r>
    </w:p>
    <w:p>
      <w:pPr>
        <w:spacing w:line="576" w:lineRule="exact"/>
        <w:ind w:firstLine="642" w:firstLineChars="200"/>
        <w:jc w:val="left"/>
        <w:rPr>
          <w:rFonts w:ascii="楷体" w:hAnsi="楷体" w:eastAsia="楷体" w:cs="楷体"/>
          <w:b/>
          <w:bCs/>
          <w:sz w:val="32"/>
          <w:szCs w:val="32"/>
        </w:rPr>
      </w:pPr>
      <w:r>
        <w:rPr>
          <w:rFonts w:hint="eastAsia" w:ascii="楷体" w:hAnsi="楷体" w:eastAsia="楷体" w:cs="楷体"/>
          <w:b/>
          <w:bCs/>
          <w:sz w:val="32"/>
          <w:szCs w:val="32"/>
        </w:rPr>
        <w:t>农业：</w:t>
      </w:r>
      <w:r>
        <w:rPr>
          <w:rFonts w:hint="eastAsia" w:ascii="仿宋_GB2312" w:hAnsi="仿宋" w:eastAsia="仿宋_GB2312" w:cs="仿宋_GB2312"/>
          <w:sz w:val="32"/>
          <w:szCs w:val="32"/>
        </w:rPr>
        <w:t>全镇粮食播面8337亩（其中：玉米面积3447亩，土豆4890亩）。种植各类蔬菜 6269亩（其中莴笋590亩，产量1977吨；种植花菜450亩，产量907吨；种植辣椒402亩，番茄965亩，无筋豆187亩），种植水果5242亩，产量3342 吨 。</w:t>
      </w:r>
    </w:p>
    <w:p>
      <w:pPr>
        <w:spacing w:line="576" w:lineRule="exact"/>
        <w:ind w:firstLine="642" w:firstLineChars="200"/>
        <w:jc w:val="left"/>
        <w:rPr>
          <w:rFonts w:ascii="楷体" w:hAnsi="楷体" w:eastAsia="楷体" w:cs="楷体"/>
          <w:b/>
          <w:bCs/>
          <w:sz w:val="32"/>
          <w:szCs w:val="32"/>
        </w:rPr>
      </w:pPr>
      <w:r>
        <w:rPr>
          <w:rFonts w:hint="eastAsia" w:ascii="楷体" w:hAnsi="楷体" w:eastAsia="楷体" w:cs="楷体"/>
          <w:b/>
          <w:bCs/>
          <w:sz w:val="32"/>
          <w:szCs w:val="32"/>
        </w:rPr>
        <w:t>林业：</w:t>
      </w:r>
      <w:r>
        <w:rPr>
          <w:rFonts w:hint="eastAsia" w:ascii="仿宋_GB2312" w:hAnsi="仿宋" w:eastAsia="仿宋_GB2312" w:cs="仿宋_GB2312"/>
          <w:sz w:val="32"/>
          <w:szCs w:val="32"/>
        </w:rPr>
        <w:t xml:space="preserve">对各村村委会主任和村会计进行培训，确保提留资金合理合规使用。义务植树8990余株，大力宣传《森林法》、《四川省天然林保护条列》、《退耕还林管理条例》等法律法规， </w:t>
      </w:r>
    </w:p>
    <w:p>
      <w:pPr>
        <w:spacing w:line="576" w:lineRule="exact"/>
        <w:ind w:firstLine="642" w:firstLineChars="200"/>
        <w:jc w:val="left"/>
        <w:rPr>
          <w:rFonts w:ascii="楷体" w:hAnsi="楷体" w:eastAsia="楷体" w:cs="楷体"/>
          <w:b/>
          <w:bCs/>
          <w:sz w:val="32"/>
          <w:szCs w:val="32"/>
        </w:rPr>
      </w:pPr>
      <w:r>
        <w:rPr>
          <w:rFonts w:hint="eastAsia" w:ascii="楷体" w:hAnsi="楷体" w:eastAsia="楷体" w:cs="楷体"/>
          <w:b/>
          <w:bCs/>
          <w:sz w:val="32"/>
          <w:szCs w:val="32"/>
        </w:rPr>
        <w:t>畜牧业：</w:t>
      </w:r>
      <w:r>
        <w:rPr>
          <w:rFonts w:hint="eastAsia" w:ascii="仿宋_GB2312" w:hAnsi="仿宋" w:eastAsia="仿宋_GB2312" w:cs="仿宋_GB2312"/>
          <w:sz w:val="32"/>
          <w:szCs w:val="32"/>
        </w:rPr>
        <w:t xml:space="preserve">抓实动物疫病防控工作，扎实开展春秋两季集中免疫及后续补免工作。目前，猪口蹄疫的免疫率达98.5%，牛羊口蹄疫的免疫率均达98.5%并及时做好了补免工作，发放猪口蹄疫疫苗、牛羊口蹄疫疫苗、小反雏兽疫苗等共计2796份。截止目前，各类畜禽存栏数 17475（头、匹、只）。 </w:t>
      </w:r>
    </w:p>
    <w:p>
      <w:pPr>
        <w:spacing w:line="576" w:lineRule="exact"/>
        <w:ind w:firstLine="642" w:firstLineChars="200"/>
        <w:jc w:val="left"/>
        <w:rPr>
          <w:rFonts w:ascii="仿宋_GB2312" w:hAnsi="黑体" w:eastAsia="仿宋_GB2312" w:cs="黑体"/>
          <w:b/>
          <w:sz w:val="32"/>
          <w:szCs w:val="32"/>
        </w:rPr>
      </w:pPr>
      <w:r>
        <w:rPr>
          <w:rFonts w:hint="eastAsia" w:ascii="仿宋_GB2312" w:hAnsi="黑体" w:eastAsia="仿宋_GB2312" w:cs="黑体"/>
          <w:b/>
          <w:sz w:val="32"/>
          <w:szCs w:val="32"/>
        </w:rPr>
        <w:t>4.社会管理工作</w:t>
      </w:r>
    </w:p>
    <w:p>
      <w:pPr>
        <w:spacing w:line="576" w:lineRule="exact"/>
        <w:ind w:firstLine="642" w:firstLineChars="200"/>
        <w:jc w:val="left"/>
        <w:rPr>
          <w:rFonts w:ascii="楷体" w:hAnsi="楷体" w:eastAsia="楷体" w:cs="楷体"/>
          <w:b/>
          <w:bCs/>
          <w:sz w:val="32"/>
          <w:szCs w:val="32"/>
        </w:rPr>
      </w:pPr>
      <w:r>
        <w:rPr>
          <w:rFonts w:hint="eastAsia" w:ascii="楷体" w:hAnsi="楷体" w:eastAsia="楷体" w:cs="楷体"/>
          <w:b/>
          <w:bCs/>
          <w:sz w:val="32"/>
          <w:szCs w:val="32"/>
        </w:rPr>
        <w:t>民政、残联:</w:t>
      </w:r>
      <w:r>
        <w:rPr>
          <w:rFonts w:hint="eastAsia" w:ascii="仿宋_GB2312" w:hAnsi="仿宋" w:eastAsia="仿宋_GB2312" w:cs="仿宋_GB2312"/>
          <w:sz w:val="32"/>
          <w:szCs w:val="32"/>
        </w:rPr>
        <w:t>顺利完成全镇建档立卡残疾人各项民生工程精准落实，其中无障碍改造1人，残疾人居家灵活就业工作2名、残疾人扶持发展生产3名、帮助2名言语残疾人安装助听器、发放电动轮椅3台。完成重度护理补贴发放</w:t>
      </w:r>
      <w:r>
        <w:rPr>
          <w:rFonts w:hint="eastAsia" w:ascii="仿宋" w:hAnsi="仿宋" w:eastAsia="仿宋_GB2312" w:cs="仿宋_GB2312"/>
          <w:sz w:val="32"/>
          <w:szCs w:val="32"/>
        </w:rPr>
        <w:t> </w:t>
      </w:r>
      <w:r>
        <w:rPr>
          <w:rFonts w:hint="eastAsia" w:ascii="仿宋_GB2312" w:hAnsi="仿宋" w:eastAsia="仿宋_GB2312" w:cs="仿宋_GB2312"/>
          <w:sz w:val="32"/>
          <w:szCs w:val="32"/>
        </w:rPr>
        <w:t>27人，困难残疾人生活补贴6人，走访慰问老干部、空巢老人和五保户。</w:t>
      </w:r>
    </w:p>
    <w:p>
      <w:pPr>
        <w:spacing w:line="576" w:lineRule="exact"/>
        <w:ind w:firstLine="642" w:firstLineChars="200"/>
        <w:jc w:val="left"/>
        <w:rPr>
          <w:rFonts w:ascii="楷体" w:hAnsi="楷体" w:eastAsia="楷体" w:cs="楷体"/>
          <w:b/>
          <w:bCs/>
          <w:sz w:val="32"/>
          <w:szCs w:val="32"/>
        </w:rPr>
      </w:pPr>
      <w:r>
        <w:rPr>
          <w:rFonts w:hint="eastAsia" w:ascii="楷体" w:hAnsi="楷体" w:eastAsia="楷体" w:cs="楷体"/>
          <w:b/>
          <w:bCs/>
          <w:sz w:val="32"/>
          <w:szCs w:val="32"/>
        </w:rPr>
        <w:t>国土:</w:t>
      </w:r>
      <w:r>
        <w:rPr>
          <w:rFonts w:hint="eastAsia" w:ascii="仿宋_GB2312" w:hAnsi="仿宋" w:eastAsia="仿宋_GB2312" w:cs="仿宋_GB2312"/>
          <w:sz w:val="32"/>
          <w:szCs w:val="32"/>
        </w:rPr>
        <w:t>进入汛期后，加强24小时值班制度，并加强对地质灾害监测员的抽查，并多次在各村开展应急演练，参与人数达200余人，达到了预期的演练目的。加大对国土法律法规政策宣传教育力度，认真贯彻执行法规政策</w:t>
      </w:r>
    </w:p>
    <w:p>
      <w:pPr>
        <w:spacing w:line="576" w:lineRule="exact"/>
        <w:ind w:firstLine="642" w:firstLineChars="200"/>
        <w:jc w:val="left"/>
        <w:rPr>
          <w:rFonts w:ascii="楷体" w:hAnsi="楷体" w:eastAsia="楷体" w:cs="楷体"/>
          <w:b/>
          <w:bCs/>
          <w:sz w:val="32"/>
          <w:szCs w:val="32"/>
        </w:rPr>
      </w:pPr>
      <w:r>
        <w:rPr>
          <w:rFonts w:hint="eastAsia" w:ascii="楷体" w:hAnsi="楷体" w:eastAsia="楷体" w:cs="楷体"/>
          <w:b/>
          <w:bCs/>
          <w:sz w:val="32"/>
          <w:szCs w:val="32"/>
        </w:rPr>
        <w:t>人口与计划生育:</w:t>
      </w:r>
      <w:r>
        <w:rPr>
          <w:rFonts w:hint="eastAsia" w:ascii="仿宋_GB2312" w:hAnsi="仿宋" w:eastAsia="仿宋_GB2312" w:cs="仿宋_GB2312"/>
          <w:sz w:val="32"/>
          <w:szCs w:val="32"/>
        </w:rPr>
        <w:t>深入贯彻落实《四川省计划生育条例》和《计划生育技术服务管理条例》，强化领导责任，不断改革创新，严格依法行政，加强班子和队伍建设，夯实基础，科学管理，创造特色，稳步发展。</w:t>
      </w:r>
    </w:p>
    <w:p>
      <w:pPr>
        <w:spacing w:line="576" w:lineRule="exact"/>
        <w:ind w:firstLine="642" w:firstLineChars="200"/>
        <w:jc w:val="left"/>
        <w:rPr>
          <w:rFonts w:ascii="楷体" w:hAnsi="楷体" w:eastAsia="楷体" w:cs="楷体"/>
          <w:b/>
          <w:bCs/>
          <w:sz w:val="32"/>
          <w:szCs w:val="32"/>
        </w:rPr>
      </w:pPr>
      <w:r>
        <w:rPr>
          <w:rFonts w:hint="eastAsia" w:ascii="楷体" w:hAnsi="楷体" w:eastAsia="楷体" w:cs="楷体"/>
          <w:b/>
          <w:bCs/>
          <w:sz w:val="32"/>
          <w:szCs w:val="32"/>
        </w:rPr>
        <w:t>道路交通与安全生产:</w:t>
      </w:r>
      <w:r>
        <w:rPr>
          <w:rFonts w:hint="eastAsia" w:ascii="仿宋_GB2312" w:hAnsi="仿宋" w:eastAsia="仿宋_GB2312" w:cs="仿宋_GB2312"/>
          <w:sz w:val="32"/>
          <w:szCs w:val="32"/>
        </w:rPr>
        <w:t>落实交通安全责任,与各村分别签订安全生产责任书、渭门镇农村公路养护协议书、渭门镇2019年度农村客运安全管理目标责任书、渭门镇镇村道路交通安全与车辆安全责任书40余份，与渭门镇小学分别签订2019年安全生产目标管理责任书。开展宣传教育活动，做好交通安全法律法规的宣传和普及。</w:t>
      </w:r>
    </w:p>
    <w:p>
      <w:pPr>
        <w:spacing w:line="576" w:lineRule="exact"/>
        <w:ind w:firstLine="642" w:firstLineChars="200"/>
        <w:jc w:val="left"/>
        <w:rPr>
          <w:rFonts w:ascii="仿宋_GB2312" w:hAnsi="仿宋" w:eastAsia="仿宋_GB2312" w:cs="仿宋_GB2312"/>
          <w:sz w:val="32"/>
          <w:szCs w:val="32"/>
        </w:rPr>
      </w:pPr>
      <w:r>
        <w:rPr>
          <w:rFonts w:hint="eastAsia" w:ascii="楷体" w:hAnsi="楷体" w:eastAsia="楷体" w:cs="楷体"/>
          <w:b/>
          <w:bCs/>
          <w:sz w:val="32"/>
          <w:szCs w:val="32"/>
        </w:rPr>
        <w:t>教育和卫生:</w:t>
      </w:r>
      <w:r>
        <w:rPr>
          <w:rFonts w:hint="eastAsia" w:ascii="仿宋_GB2312" w:hAnsi="仿宋" w:eastAsia="仿宋_GB2312" w:cs="仿宋_GB2312"/>
          <w:sz w:val="32"/>
          <w:szCs w:val="32"/>
        </w:rPr>
        <w:t>抓好“普九”教育，巩固提高“普九”成果。全镇适龄学生入学率达100％。加强住校生食品卫生安全的落实，对学校食品安全检查4次。积极开展农村卫生工作，大力宣传农村合作医疗。认真做好常见病、多发病的宣传预防工作，成立组织机构，发放宣传画报300余张，真正从思想上提高了群众防范意识。</w:t>
      </w:r>
    </w:p>
    <w:p>
      <w:pPr>
        <w:spacing w:line="576" w:lineRule="exact"/>
        <w:ind w:firstLine="640" w:firstLineChars="200"/>
        <w:jc w:val="left"/>
        <w:rPr>
          <w:rStyle w:val="26"/>
          <w:rFonts w:ascii="黑体" w:hAnsi="黑体" w:eastAsia="黑体" w:cs="楷体"/>
        </w:rPr>
      </w:pPr>
      <w:r>
        <w:rPr>
          <w:rFonts w:hint="eastAsia" w:ascii="黑体" w:hAnsi="黑体" w:eastAsia="黑体"/>
          <w:color w:val="000000"/>
          <w:sz w:val="32"/>
          <w:szCs w:val="32"/>
        </w:rPr>
        <w:t>二、机</w:t>
      </w:r>
      <w:r>
        <w:rPr>
          <w:rStyle w:val="26"/>
          <w:rFonts w:hint="eastAsia" w:ascii="黑体" w:hAnsi="黑体" w:eastAsia="黑体"/>
        </w:rPr>
        <w:t>构设置</w:t>
      </w:r>
      <w:bookmarkEnd w:id="16"/>
      <w:bookmarkEnd w:id="17"/>
    </w:p>
    <w:p>
      <w:pPr>
        <w:pStyle w:val="5"/>
        <w:adjustRightInd w:val="0"/>
        <w:snapToGrid w:val="0"/>
        <w:spacing w:beforeLines="0" w:line="576" w:lineRule="atLeast"/>
        <w:ind w:firstLine="640" w:firstLineChars="200"/>
        <w:outlineLvl w:val="2"/>
        <w:rPr>
          <w:rFonts w:hAnsi="仿宋"/>
          <w:color w:val="000000"/>
          <w:sz w:val="32"/>
          <w:szCs w:val="32"/>
        </w:rPr>
      </w:pPr>
      <w:r>
        <w:rPr>
          <w:rFonts w:hint="eastAsia" w:hAnsi="仿宋"/>
          <w:color w:val="000000"/>
          <w:sz w:val="32"/>
          <w:szCs w:val="32"/>
        </w:rPr>
        <w:t>茂县渭门镇人民政府属于行政单位，下设行政单位0个，其中内设机构2个（党政办公室</w:t>
      </w:r>
      <w:r>
        <w:rPr>
          <w:rFonts w:hint="eastAsia" w:hAnsi="仿宋"/>
          <w:color w:val="000000"/>
          <w:sz w:val="32"/>
          <w:szCs w:val="32"/>
          <w:lang w:eastAsia="zh-CN"/>
        </w:rPr>
        <w:t>和</w:t>
      </w:r>
      <w:r>
        <w:rPr>
          <w:rFonts w:hint="eastAsia" w:hAnsi="仿宋"/>
          <w:color w:val="000000"/>
          <w:sz w:val="32"/>
          <w:szCs w:val="32"/>
        </w:rPr>
        <w:t>综合发展办公室）。</w:t>
      </w:r>
      <w:bookmarkStart w:id="20" w:name="_Toc15396602"/>
      <w:bookmarkStart w:id="21" w:name="_Toc15377204"/>
    </w:p>
    <w:p>
      <w:pPr>
        <w:pStyle w:val="5"/>
        <w:adjustRightInd w:val="0"/>
        <w:snapToGrid w:val="0"/>
        <w:spacing w:beforeLines="0" w:line="576" w:lineRule="atLeast"/>
        <w:ind w:firstLine="640" w:firstLineChars="200"/>
        <w:outlineLvl w:val="2"/>
        <w:rPr>
          <w:rFonts w:hAnsi="仿宋"/>
          <w:color w:val="000000"/>
          <w:sz w:val="32"/>
          <w:szCs w:val="32"/>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ascii="黑体" w:hAnsi="黑体" w:eastAsia="黑体"/>
        </w:rPr>
      </w:pPr>
      <w:r>
        <w:rPr>
          <w:rStyle w:val="25"/>
          <w:rFonts w:hint="eastAsia" w:ascii="黑体" w:hAnsi="黑体" w:eastAsia="黑体"/>
        </w:rPr>
        <w:t>第二部分</w:t>
      </w:r>
      <w:r>
        <w:rPr>
          <w:rStyle w:val="25"/>
          <w:rFonts w:hint="eastAsia" w:ascii="黑体" w:hAnsi="黑体"/>
        </w:rPr>
        <w:t xml:space="preserve">  </w:t>
      </w:r>
      <w:r>
        <w:rPr>
          <w:rStyle w:val="25"/>
          <w:rFonts w:hint="eastAsia" w:ascii="黑体" w:hAnsi="黑体" w:eastAsia="黑体"/>
        </w:rPr>
        <w:t>2019年度部门决算情况说明</w:t>
      </w:r>
      <w:bookmarkEnd w:id="20"/>
      <w:bookmarkEnd w:id="21"/>
    </w:p>
    <w:p>
      <w:pPr>
        <w:pStyle w:val="5"/>
        <w:adjustRightInd w:val="0"/>
        <w:snapToGrid w:val="0"/>
        <w:spacing w:beforeLines="0" w:line="576" w:lineRule="atLeast"/>
        <w:ind w:firstLine="880" w:firstLineChars="200"/>
        <w:outlineLvl w:val="2"/>
        <w:rPr>
          <w:rFonts w:hAnsi="方正小标宋简体" w:cs="方正小标宋简体"/>
          <w:kern w:val="44"/>
          <w:sz w:val="44"/>
          <w:szCs w:val="44"/>
        </w:rPr>
      </w:pPr>
    </w:p>
    <w:p>
      <w:pPr>
        <w:pStyle w:val="24"/>
        <w:numPr>
          <w:ilvl w:val="0"/>
          <w:numId w:val="1"/>
        </w:numPr>
        <w:spacing w:line="600" w:lineRule="exact"/>
        <w:ind w:firstLineChars="0"/>
        <w:outlineLvl w:val="1"/>
        <w:rPr>
          <w:rStyle w:val="26"/>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2"/>
      <w:bookmarkEnd w:id="23"/>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茂县渭门镇人民政府2019年度</w:t>
      </w:r>
      <w:r>
        <w:rPr>
          <w:rFonts w:hint="eastAsia" w:ascii="仿宋_GB2312" w:hAnsi="仿宋_GB2312" w:eastAsia="仿宋_GB2312" w:cs="仿宋_GB2312"/>
          <w:color w:val="000000"/>
          <w:sz w:val="32"/>
          <w:szCs w:val="32"/>
          <w:lang w:eastAsia="zh-CN"/>
        </w:rPr>
        <w:t>收支</w:t>
      </w:r>
      <w:r>
        <w:rPr>
          <w:rFonts w:hint="eastAsia" w:ascii="仿宋_GB2312" w:hAnsi="仿宋_GB2312" w:eastAsia="仿宋_GB2312" w:cs="仿宋_GB2312"/>
          <w:color w:val="000000"/>
          <w:sz w:val="32"/>
          <w:szCs w:val="32"/>
        </w:rPr>
        <w:t>决算总计</w:t>
      </w:r>
      <w:r>
        <w:rPr>
          <w:rFonts w:hint="eastAsia" w:ascii="仿宋_GB2312" w:hAnsi="仿宋_GB2312" w:eastAsia="仿宋_GB2312" w:cs="仿宋_GB2312"/>
          <w:color w:val="000000"/>
          <w:sz w:val="32"/>
          <w:szCs w:val="32"/>
          <w:lang w:val="en-US" w:eastAsia="zh-CN"/>
        </w:rPr>
        <w:t>1322.28</w:t>
      </w:r>
      <w:r>
        <w:rPr>
          <w:rFonts w:hint="eastAsia" w:ascii="仿宋_GB2312" w:hAnsi="仿宋_GB2312" w:eastAsia="仿宋_GB2312" w:cs="仿宋_GB2312"/>
          <w:color w:val="000000"/>
          <w:sz w:val="32"/>
          <w:szCs w:val="32"/>
        </w:rPr>
        <w:t>万元。与2018年相比，</w:t>
      </w:r>
      <w:r>
        <w:rPr>
          <w:rFonts w:hint="eastAsia" w:ascii="仿宋_GB2312" w:hAnsi="仿宋_GB2312" w:eastAsia="仿宋_GB2312" w:cs="仿宋_GB2312"/>
          <w:color w:val="000000"/>
          <w:sz w:val="32"/>
          <w:szCs w:val="32"/>
          <w:lang w:eastAsia="zh-CN"/>
        </w:rPr>
        <w:t>收支决算</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882.89</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40.04</w:t>
      </w:r>
      <w:r>
        <w:rPr>
          <w:rFonts w:hint="eastAsia" w:ascii="仿宋_GB2312" w:hAnsi="仿宋_GB2312" w:eastAsia="仿宋_GB2312" w:cs="仿宋_GB2312"/>
          <w:color w:val="000000"/>
          <w:sz w:val="32"/>
          <w:szCs w:val="32"/>
        </w:rPr>
        <w:t>%。主要变动原因是财返数减少。</w:t>
      </w:r>
    </w:p>
    <w:p>
      <w:pPr>
        <w:pStyle w:val="24"/>
        <w:spacing w:line="576" w:lineRule="atLeast"/>
        <w:ind w:firstLine="0" w:firstLineChars="0"/>
        <w:jc w:val="center"/>
        <w:outlineLvl w:val="1"/>
      </w:pPr>
      <w:r>
        <w:rPr>
          <w:rFonts w:hint="eastAsia"/>
        </w:rPr>
        <w:drawing>
          <wp:inline distT="0" distB="0" distL="114300" distR="114300">
            <wp:extent cx="4910455" cy="3538855"/>
            <wp:effectExtent l="19050" t="0" r="23495" b="444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4"/>
        <w:numPr>
          <w:ilvl w:val="0"/>
          <w:numId w:val="1"/>
        </w:numPr>
        <w:spacing w:line="600" w:lineRule="exact"/>
        <w:ind w:firstLineChars="0"/>
        <w:outlineLvl w:val="1"/>
        <w:rPr>
          <w:rStyle w:val="26"/>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4"/>
      <w:bookmarkEnd w:id="25"/>
    </w:p>
    <w:p>
      <w:pPr>
        <w:spacing w:line="576" w:lineRule="atLeast"/>
        <w:ind w:firstLine="640" w:firstLineChars="200"/>
        <w:jc w:val="left"/>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2019年本年收入合计1253.32万元，其中：一般公共预算财政拨款收入1249.3</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万元，占99.68%；政府性基金预算财政拨款收入3.98万元，占0.32%。</w:t>
      </w:r>
      <w:r>
        <w:rPr>
          <w:rFonts w:hint="eastAsia" w:ascii="仿宋_GB2312" w:hAnsi="仿宋_GB2312" w:eastAsia="仿宋_GB2312" w:cs="仿宋_GB2312"/>
          <w:color w:val="000000"/>
          <w:sz w:val="32"/>
          <w:szCs w:val="32"/>
        </w:rPr>
        <w:drawing>
          <wp:inline distT="0" distB="0" distL="114300" distR="114300">
            <wp:extent cx="5076825" cy="2733675"/>
            <wp:effectExtent l="19050" t="0" r="9525"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rPr>
        <w:t>图2：收入决算结构图（单位：万元）</w:t>
      </w:r>
    </w:p>
    <w:p>
      <w:pPr>
        <w:pStyle w:val="24"/>
        <w:numPr>
          <w:ilvl w:val="0"/>
          <w:numId w:val="1"/>
        </w:numPr>
        <w:spacing w:line="600" w:lineRule="exact"/>
        <w:ind w:firstLineChars="0"/>
        <w:outlineLvl w:val="1"/>
        <w:rPr>
          <w:rStyle w:val="26"/>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6"/>
      <w:bookmarkEnd w:id="27"/>
    </w:p>
    <w:p>
      <w:pPr>
        <w:spacing w:line="576" w:lineRule="atLeast"/>
        <w:ind w:firstLine="640" w:firstLineChars="200"/>
        <w:jc w:val="left"/>
        <w:rPr>
          <w:rFonts w:ascii="仿宋_GB2312" w:hAnsi="仿宋_GB2312" w:eastAsia="仿宋_GB2312" w:cs="仿宋_GB2312"/>
          <w:color w:val="000000"/>
          <w:sz w:val="32"/>
          <w:szCs w:val="32"/>
        </w:rPr>
      </w:pPr>
      <w:bookmarkStart w:id="28" w:name="_Toc15396606"/>
      <w:bookmarkStart w:id="29" w:name="_Toc15377208"/>
      <w:r>
        <w:rPr>
          <w:rFonts w:hint="eastAsia" w:ascii="仿宋_GB2312" w:hAnsi="仿宋_GB2312" w:eastAsia="仿宋_GB2312" w:cs="仿宋_GB2312"/>
          <w:color w:val="000000"/>
          <w:sz w:val="32"/>
          <w:szCs w:val="32"/>
        </w:rPr>
        <w:t>2019年本年支出合计1201.45万元，其中：基本支出778.24万元，占64.77%；项目支出423.21万元，占35.22%。</w:t>
      </w:r>
    </w:p>
    <w:p>
      <w:pPr>
        <w:spacing w:line="576" w:lineRule="atLeast"/>
        <w:jc w:val="center"/>
      </w:pPr>
      <w:r>
        <w:drawing>
          <wp:inline distT="0" distB="0" distL="0" distR="0">
            <wp:extent cx="4229100" cy="2333625"/>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76" w:lineRule="atLeast"/>
        <w:jc w:val="center"/>
        <w:rPr>
          <w:rFonts w:ascii="仿宋_GB2312" w:hAnsi="仿宋" w:eastAsia="仿宋_GB2312"/>
          <w:color w:val="000000"/>
          <w:sz w:val="32"/>
          <w:szCs w:val="32"/>
        </w:rPr>
      </w:pPr>
      <w:r>
        <w:rPr>
          <w:rFonts w:hint="eastAsia" w:ascii="仿宋_GB2312" w:hAnsi="仿宋" w:eastAsia="仿宋_GB2312" w:cs="仿宋"/>
          <w:color w:val="000000"/>
          <w:sz w:val="32"/>
          <w:szCs w:val="32"/>
        </w:rPr>
        <w:t>图3：支出决算结构图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8"/>
      <w:bookmarkEnd w:id="29"/>
    </w:p>
    <w:p>
      <w:pPr>
        <w:spacing w:line="576" w:lineRule="atLeast"/>
        <w:ind w:firstLine="640" w:firstLineChars="200"/>
        <w:rPr>
          <w:rFonts w:ascii="仿宋_GB2312" w:hAnsi="仿宋_GB2312" w:eastAsia="仿宋_GB2312" w:cs="仿宋_GB2312"/>
          <w:color w:val="000000"/>
          <w:sz w:val="32"/>
          <w:szCs w:val="32"/>
        </w:rPr>
      </w:pPr>
      <w:bookmarkStart w:id="30" w:name="_Toc15396607"/>
      <w:bookmarkStart w:id="31" w:name="_Toc15377209"/>
      <w:r>
        <w:rPr>
          <w:rFonts w:hint="eastAsia" w:ascii="仿宋_GB2312" w:hAnsi="仿宋_GB2312" w:eastAsia="仿宋_GB2312" w:cs="仿宋_GB2312"/>
          <w:color w:val="000000"/>
          <w:sz w:val="32"/>
          <w:szCs w:val="32"/>
        </w:rPr>
        <w:t>茂县渭门镇人民政府2019年度</w:t>
      </w:r>
      <w:r>
        <w:rPr>
          <w:rFonts w:hint="eastAsia" w:ascii="仿宋_GB2312" w:hAnsi="仿宋_GB2312" w:eastAsia="仿宋_GB2312" w:cs="仿宋_GB2312"/>
          <w:color w:val="000000"/>
          <w:sz w:val="32"/>
          <w:szCs w:val="32"/>
          <w:lang w:eastAsia="zh-CN"/>
        </w:rPr>
        <w:t>收支</w:t>
      </w:r>
      <w:r>
        <w:rPr>
          <w:rFonts w:hint="eastAsia" w:ascii="仿宋_GB2312" w:hAnsi="仿宋_GB2312" w:eastAsia="仿宋_GB2312" w:cs="仿宋_GB2312"/>
          <w:color w:val="000000"/>
          <w:sz w:val="32"/>
          <w:szCs w:val="32"/>
        </w:rPr>
        <w:t>决算总计</w:t>
      </w:r>
      <w:r>
        <w:rPr>
          <w:rFonts w:hint="eastAsia" w:ascii="仿宋_GB2312" w:hAnsi="仿宋_GB2312" w:eastAsia="仿宋_GB2312" w:cs="仿宋_GB2312"/>
          <w:color w:val="000000"/>
          <w:sz w:val="32"/>
          <w:szCs w:val="32"/>
          <w:lang w:val="en-US" w:eastAsia="zh-CN"/>
        </w:rPr>
        <w:t>1322.28</w:t>
      </w:r>
      <w:r>
        <w:rPr>
          <w:rFonts w:hint="eastAsia" w:ascii="仿宋_GB2312" w:hAnsi="仿宋_GB2312" w:eastAsia="仿宋_GB2312" w:cs="仿宋_GB2312"/>
          <w:color w:val="000000"/>
          <w:sz w:val="32"/>
          <w:szCs w:val="32"/>
        </w:rPr>
        <w:t>万元。与2018年相比，</w:t>
      </w:r>
      <w:r>
        <w:rPr>
          <w:rFonts w:hint="eastAsia" w:ascii="仿宋_GB2312" w:hAnsi="仿宋_GB2312" w:eastAsia="仿宋_GB2312" w:cs="仿宋_GB2312"/>
          <w:color w:val="000000"/>
          <w:sz w:val="32"/>
          <w:szCs w:val="32"/>
          <w:lang w:eastAsia="zh-CN"/>
        </w:rPr>
        <w:t>收支决算</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882.89</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40.04</w:t>
      </w:r>
      <w:r>
        <w:rPr>
          <w:rFonts w:hint="eastAsia" w:ascii="仿宋_GB2312" w:hAnsi="仿宋_GB2312" w:eastAsia="仿宋_GB2312" w:cs="仿宋_GB2312"/>
          <w:color w:val="000000"/>
          <w:sz w:val="32"/>
          <w:szCs w:val="32"/>
        </w:rPr>
        <w:t>%。主要变动原因是财返数减少。</w:t>
      </w:r>
    </w:p>
    <w:p>
      <w:pPr>
        <w:spacing w:line="576" w:lineRule="atLeast"/>
        <w:ind w:firstLine="420" w:firstLineChars="200"/>
        <w:rPr>
          <w:rFonts w:ascii="仿宋_GB2312" w:hAnsi="仿宋_GB2312" w:eastAsia="仿宋_GB2312" w:cs="仿宋_GB2312"/>
          <w:color w:val="000000"/>
          <w:sz w:val="32"/>
          <w:szCs w:val="32"/>
        </w:rPr>
      </w:pPr>
      <w:r>
        <w:rPr>
          <w:rFonts w:hint="eastAsia"/>
        </w:rPr>
        <w:drawing>
          <wp:inline distT="0" distB="0" distL="114300" distR="114300">
            <wp:extent cx="4944745" cy="2458720"/>
            <wp:effectExtent l="4445" t="4445" r="22860" b="1333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76" w:lineRule="atLeast"/>
        <w:jc w:val="center"/>
        <w:rPr>
          <w:rFonts w:ascii="黑体" w:hAnsi="黑体" w:eastAsia="黑体"/>
          <w:color w:val="000000"/>
          <w:sz w:val="32"/>
          <w:szCs w:val="32"/>
        </w:rPr>
      </w:pPr>
      <w:r>
        <w:rPr>
          <w:rFonts w:hint="eastAsia"/>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0"/>
      <w:bookmarkEnd w:id="31"/>
    </w:p>
    <w:p>
      <w:pPr>
        <w:spacing w:line="600" w:lineRule="exact"/>
        <w:ind w:firstLine="642" w:firstLineChars="200"/>
        <w:outlineLvl w:val="2"/>
        <w:rPr>
          <w:rFonts w:ascii="楷体" w:hAnsi="楷体" w:eastAsia="楷体"/>
          <w:b/>
          <w:color w:val="000000"/>
          <w:sz w:val="32"/>
          <w:szCs w:val="32"/>
        </w:rPr>
      </w:pPr>
      <w:bookmarkStart w:id="32" w:name="_Toc15377210"/>
      <w:r>
        <w:rPr>
          <w:rFonts w:hint="eastAsia" w:ascii="楷体" w:hAnsi="楷体" w:eastAsia="楷体"/>
          <w:b/>
          <w:color w:val="000000"/>
          <w:sz w:val="32"/>
          <w:szCs w:val="32"/>
        </w:rPr>
        <w:t>（一）一般公共预算财政拨款支出决算总体情况</w:t>
      </w:r>
      <w:bookmarkEnd w:id="32"/>
    </w:p>
    <w:p>
      <w:pPr>
        <w:spacing w:line="576" w:lineRule="atLeast"/>
        <w:ind w:firstLine="640" w:firstLineChars="200"/>
        <w:rPr>
          <w:rFonts w:ascii="仿宋_GB2312" w:hAnsi="仿宋_GB2312" w:eastAsia="仿宋_GB2312" w:cs="仿宋_GB2312"/>
          <w:color w:val="000000"/>
          <w:w w:val="95"/>
          <w:sz w:val="32"/>
          <w:szCs w:val="32"/>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1165.91</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97.04</w:t>
      </w:r>
      <w:r>
        <w:rPr>
          <w:rFonts w:hint="eastAsia" w:ascii="仿宋_GB2312" w:hAnsi="仿宋_GB2312" w:eastAsia="仿宋_GB2312" w:cs="仿宋_GB2312"/>
          <w:color w:val="000000"/>
          <w:sz w:val="32"/>
          <w:szCs w:val="32"/>
        </w:rPr>
        <w:t>%。与2018年相比，一般公共预算财政拨款减少</w:t>
      </w:r>
      <w:r>
        <w:rPr>
          <w:rFonts w:hint="eastAsia" w:ascii="仿宋_GB2312" w:hAnsi="仿宋_GB2312" w:eastAsia="仿宋_GB2312" w:cs="仿宋_GB2312"/>
          <w:color w:val="000000"/>
          <w:sz w:val="32"/>
          <w:szCs w:val="32"/>
          <w:lang w:val="en-US" w:eastAsia="zh-CN"/>
        </w:rPr>
        <w:t>565.87</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32.66</w:t>
      </w:r>
      <w:r>
        <w:rPr>
          <w:rFonts w:hint="eastAsia" w:ascii="仿宋_GB2312" w:hAnsi="仿宋_GB2312" w:eastAsia="仿宋_GB2312" w:cs="仿宋_GB2312"/>
          <w:color w:val="000000"/>
          <w:sz w:val="32"/>
          <w:szCs w:val="32"/>
        </w:rPr>
        <w:t>%。主要减少原因是财返数减少。</w:t>
      </w:r>
    </w:p>
    <w:p>
      <w:pPr>
        <w:spacing w:line="576" w:lineRule="atLeast"/>
        <w:jc w:val="center"/>
      </w:pPr>
      <w:r>
        <w:drawing>
          <wp:inline distT="0" distB="0" distL="0" distR="0">
            <wp:extent cx="4086225" cy="1590675"/>
            <wp:effectExtent l="19050" t="0" r="952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atLeast"/>
        <w:jc w:val="center"/>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s="仿宋"/>
          <w:color w:val="000000"/>
          <w:w w:val="95"/>
          <w:sz w:val="32"/>
          <w:szCs w:val="32"/>
        </w:rPr>
        <w:t>图5 ：一般公共预算财政拨款支出决算变动情况（单位：万元）</w:t>
      </w:r>
    </w:p>
    <w:p>
      <w:pPr>
        <w:spacing w:line="600" w:lineRule="exact"/>
        <w:ind w:firstLine="642" w:firstLineChars="200"/>
        <w:outlineLvl w:val="2"/>
        <w:rPr>
          <w:rFonts w:ascii="楷体" w:hAnsi="楷体" w:eastAsia="楷体"/>
          <w:b/>
          <w:color w:val="000000"/>
          <w:sz w:val="32"/>
          <w:szCs w:val="32"/>
        </w:rPr>
      </w:pPr>
      <w:bookmarkStart w:id="33" w:name="_Toc15377211"/>
      <w:r>
        <w:rPr>
          <w:rFonts w:hint="eastAsia" w:ascii="楷体" w:hAnsi="楷体" w:eastAsia="楷体"/>
          <w:b/>
          <w:color w:val="000000"/>
          <w:sz w:val="32"/>
          <w:szCs w:val="32"/>
        </w:rPr>
        <w:t>（二）一般公共预算财政拨款支出决算结构情况</w:t>
      </w:r>
      <w:bookmarkEnd w:id="33"/>
    </w:p>
    <w:p>
      <w:pPr>
        <w:spacing w:line="576" w:lineRule="exact"/>
        <w:ind w:firstLine="640" w:firstLineChars="200"/>
        <w:rPr>
          <w:rFonts w:ascii="仿宋_GB2312" w:hAnsi="仿宋_GB2312" w:eastAsia="仿宋_GB2312" w:cs="仿宋_GB2312"/>
          <w:sz w:val="32"/>
          <w:szCs w:val="32"/>
        </w:rPr>
      </w:pPr>
      <w:bookmarkStart w:id="34" w:name="_Toc15377212"/>
      <w:r>
        <w:rPr>
          <w:rFonts w:hint="eastAsia" w:ascii="仿宋_GB2312" w:hAnsi="仿宋_GB2312" w:eastAsia="仿宋_GB2312" w:cs="仿宋_GB2312"/>
          <w:color w:val="000000"/>
          <w:sz w:val="32"/>
          <w:szCs w:val="32"/>
        </w:rPr>
        <w:t>茂县渭门镇人民政府2019年支出决算总数</w:t>
      </w:r>
      <w:r>
        <w:rPr>
          <w:rFonts w:hint="eastAsia" w:ascii="仿宋_GB2312" w:hAnsi="仿宋_GB2312" w:eastAsia="仿宋_GB2312" w:cs="仿宋_GB2312"/>
          <w:color w:val="000000"/>
          <w:sz w:val="32"/>
          <w:szCs w:val="32"/>
          <w:lang w:val="en-US" w:eastAsia="zh-CN"/>
        </w:rPr>
        <w:t>1165.91</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394.2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万元，占</w:t>
      </w:r>
      <w:bookmarkStart w:id="35" w:name="OLE_LINK1"/>
      <w:r>
        <w:rPr>
          <w:rFonts w:hint="eastAsia" w:ascii="仿宋_GB2312" w:hAnsi="仿宋_GB2312" w:eastAsia="仿宋_GB2312" w:cs="仿宋_GB2312"/>
          <w:sz w:val="32"/>
          <w:szCs w:val="32"/>
        </w:rPr>
        <w:t>本年支出合计的</w:t>
      </w:r>
      <w:bookmarkEnd w:id="35"/>
      <w:r>
        <w:rPr>
          <w:rFonts w:hint="eastAsia" w:ascii="仿宋_GB2312" w:hAnsi="仿宋_GB2312" w:eastAsia="仿宋_GB2312" w:cs="仿宋_GB2312"/>
          <w:sz w:val="32"/>
          <w:szCs w:val="32"/>
          <w:lang w:val="en-US" w:eastAsia="zh-CN"/>
        </w:rPr>
        <w:t>33.81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2.99万元，占本年支出0.2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86.43万元，占本年支出合计的7.</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42.39万元，占本年支出合计的3.5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569.7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48.87</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60.92万元，占本年支出合计的5.</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lang w:val="en-US" w:eastAsia="zh-CN"/>
        </w:rPr>
        <w:t>9.18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0.79</w:t>
      </w:r>
      <w:r>
        <w:rPr>
          <w:rFonts w:hint="eastAsia" w:ascii="仿宋_GB2312" w:hAnsi="仿宋_GB2312" w:eastAsia="仿宋_GB2312" w:cs="仿宋_GB2312"/>
          <w:sz w:val="32"/>
          <w:szCs w:val="32"/>
        </w:rPr>
        <w:t>%。</w:t>
      </w:r>
    </w:p>
    <w:p>
      <w:pPr>
        <w:spacing w:line="576" w:lineRule="atLeast"/>
        <w:rPr>
          <w:rFonts w:ascii="仿宋_GB2312" w:hAnsi="仿宋_GB2312" w:eastAsia="仿宋_GB2312" w:cs="仿宋_GB2312"/>
          <w:sz w:val="32"/>
          <w:szCs w:val="32"/>
        </w:rPr>
      </w:pPr>
    </w:p>
    <w:p>
      <w:pPr>
        <w:spacing w:line="576" w:lineRule="atLeast"/>
        <w:ind w:firstLine="420" w:firstLineChars="200"/>
        <w:jc w:val="center"/>
      </w:pPr>
      <w:r>
        <w:drawing>
          <wp:inline distT="0" distB="0" distL="0" distR="0">
            <wp:extent cx="5274310" cy="3076575"/>
            <wp:effectExtent l="19050" t="0" r="2159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atLeast"/>
        <w:ind w:firstLine="640" w:firstLineChars="200"/>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spacing w:line="600" w:lineRule="exact"/>
        <w:ind w:firstLine="642" w:firstLineChars="200"/>
        <w:outlineLvl w:val="2"/>
        <w:rPr>
          <w:rFonts w:ascii="楷体" w:hAnsi="楷体" w:eastAsia="楷体"/>
          <w:b/>
          <w:color w:val="000000"/>
          <w:sz w:val="32"/>
          <w:szCs w:val="32"/>
        </w:rPr>
      </w:pPr>
      <w:r>
        <w:rPr>
          <w:rFonts w:hint="eastAsia" w:ascii="楷体" w:hAnsi="楷体" w:eastAsia="楷体"/>
          <w:b/>
          <w:color w:val="000000"/>
          <w:sz w:val="32"/>
          <w:szCs w:val="32"/>
        </w:rPr>
        <w:t>（三）一般公共预算财政拨款支出决算具体情况</w:t>
      </w:r>
      <w:bookmarkEnd w:id="34"/>
    </w:p>
    <w:p>
      <w:pPr>
        <w:spacing w:line="576" w:lineRule="atLeast"/>
        <w:ind w:firstLine="642" w:firstLineChars="200"/>
        <w:outlineLvl w:val="2"/>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2019年一般公共预算支出决算数为</w:t>
      </w:r>
      <w:r>
        <w:rPr>
          <w:rFonts w:hint="eastAsia" w:ascii="仿宋_GB2312" w:hAnsi="仿宋_GB2312" w:eastAsia="仿宋_GB2312" w:cs="仿宋_GB2312"/>
          <w:b/>
          <w:bCs/>
          <w:color w:val="000000"/>
          <w:sz w:val="32"/>
          <w:szCs w:val="32"/>
          <w:lang w:val="en-US" w:eastAsia="zh-CN"/>
        </w:rPr>
        <w:t>1165.91</w:t>
      </w:r>
      <w:r>
        <w:rPr>
          <w:rFonts w:hint="eastAsia" w:ascii="仿宋_GB2312" w:hAnsi="仿宋_GB2312" w:eastAsia="仿宋_GB2312" w:cs="仿宋_GB2312"/>
          <w:b/>
          <w:bCs/>
          <w:color w:val="000000"/>
          <w:sz w:val="32"/>
          <w:szCs w:val="32"/>
        </w:rPr>
        <w:t>万元。</w:t>
      </w:r>
    </w:p>
    <w:p>
      <w:pPr>
        <w:spacing w:line="576" w:lineRule="atLeast"/>
        <w:ind w:firstLine="642" w:firstLineChars="200"/>
        <w:outlineLvl w:val="2"/>
        <w:rPr>
          <w:rStyle w:val="15"/>
          <w:rFonts w:ascii="仿宋_GB2312" w:hAnsi="仿宋_GB2312" w:eastAsia="仿宋_GB2312" w:cs="仿宋_GB2312"/>
          <w:bCs/>
          <w:color w:val="000000"/>
          <w:sz w:val="32"/>
          <w:szCs w:val="32"/>
        </w:rPr>
      </w:pPr>
      <w:r>
        <w:rPr>
          <w:rStyle w:val="15"/>
          <w:rFonts w:hint="eastAsia" w:ascii="仿宋_GB2312" w:hAnsi="仿宋_GB2312" w:eastAsia="仿宋_GB2312" w:cs="仿宋_GB2312"/>
          <w:bCs/>
          <w:color w:val="000000"/>
          <w:sz w:val="32"/>
          <w:szCs w:val="32"/>
        </w:rPr>
        <w:t>其中：</w:t>
      </w:r>
    </w:p>
    <w:p>
      <w:pPr>
        <w:numPr>
          <w:ilvl w:val="0"/>
          <w:numId w:val="2"/>
        </w:num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 xml:space="preserve">一般公共服务（类）人大事务（款）行政运行（项）: </w:t>
      </w:r>
      <w:r>
        <w:rPr>
          <w:rStyle w:val="15"/>
          <w:rFonts w:hint="eastAsia" w:ascii="仿宋_GB2312" w:hAnsi="仿宋_GB2312" w:eastAsia="仿宋_GB2312" w:cs="仿宋_GB2312"/>
          <w:b w:val="0"/>
          <w:color w:val="000000"/>
          <w:sz w:val="32"/>
          <w:szCs w:val="32"/>
        </w:rPr>
        <w:t>支出决算为0.45万元，完成预算100%，</w:t>
      </w:r>
      <w:r>
        <w:rPr>
          <w:rStyle w:val="15"/>
          <w:rFonts w:hint="eastAsia" w:ascii="仿宋_GB2312" w:hAnsi="仿宋_GB2312" w:eastAsia="仿宋_GB2312" w:cs="仿宋_GB2312"/>
          <w:b w:val="0"/>
          <w:color w:val="000000"/>
          <w:sz w:val="32"/>
          <w:szCs w:val="32"/>
          <w:lang w:eastAsia="zh-CN"/>
        </w:rPr>
        <w:t>决算数等于预算数。</w:t>
      </w:r>
    </w:p>
    <w:p>
      <w:pPr>
        <w:numPr>
          <w:ilvl w:val="0"/>
          <w:numId w:val="0"/>
        </w:num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Style w:val="15"/>
          <w:rFonts w:hint="eastAsia" w:ascii="仿宋_GB2312" w:hAnsi="仿宋_GB2312" w:eastAsia="仿宋_GB2312" w:cs="仿宋_GB2312"/>
          <w:bCs/>
          <w:color w:val="000000" w:themeColor="text1"/>
          <w:sz w:val="32"/>
          <w:szCs w:val="32"/>
          <w14:textFill>
            <w14:solidFill>
              <w14:schemeClr w14:val="tx1"/>
            </w14:solidFill>
          </w14:textFill>
        </w:rPr>
        <w:t>一般公</w:t>
      </w:r>
      <w:r>
        <w:rPr>
          <w:rStyle w:val="15"/>
          <w:rFonts w:hint="eastAsia" w:ascii="仿宋_GB2312" w:hAnsi="仿宋_GB2312" w:eastAsia="仿宋_GB2312" w:cs="仿宋_GB2312"/>
          <w:bCs/>
          <w:color w:val="000000"/>
          <w:sz w:val="32"/>
          <w:szCs w:val="32"/>
        </w:rPr>
        <w:t xml:space="preserve">共服务（类）人大事务（款）人大会议（项）: </w:t>
      </w:r>
      <w:r>
        <w:rPr>
          <w:rStyle w:val="15"/>
          <w:rFonts w:hint="eastAsia" w:ascii="仿宋_GB2312" w:hAnsi="仿宋_GB2312" w:eastAsia="仿宋_GB2312" w:cs="仿宋_GB2312"/>
          <w:b w:val="0"/>
          <w:color w:val="000000"/>
          <w:sz w:val="32"/>
          <w:szCs w:val="32"/>
        </w:rPr>
        <w:t>支出决算为0.71万元，完成预算100%，</w:t>
      </w:r>
      <w:r>
        <w:rPr>
          <w:rStyle w:val="15"/>
          <w:rFonts w:hint="eastAsia" w:ascii="仿宋_GB2312" w:hAnsi="仿宋_GB2312" w:eastAsia="仿宋_GB2312" w:cs="仿宋_GB2312"/>
          <w:b w:val="0"/>
          <w:color w:val="000000"/>
          <w:sz w:val="32"/>
          <w:szCs w:val="32"/>
          <w:lang w:eastAsia="zh-CN"/>
        </w:rPr>
        <w:t>决算数等于预算数。</w:t>
      </w:r>
    </w:p>
    <w:p>
      <w:pPr>
        <w:numPr>
          <w:ilvl w:val="0"/>
          <w:numId w:val="0"/>
        </w:numPr>
        <w:spacing w:line="576" w:lineRule="atLeast"/>
        <w:ind w:firstLine="642" w:firstLineChars="200"/>
        <w:outlineLvl w:val="2"/>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Cs/>
          <w:color w:val="000000"/>
          <w:sz w:val="32"/>
          <w:szCs w:val="32"/>
        </w:rPr>
        <w:t xml:space="preserve">3.一般公共服务（类）人大事务（款）代表工作（项）: </w:t>
      </w:r>
      <w:r>
        <w:rPr>
          <w:rStyle w:val="15"/>
          <w:rFonts w:hint="eastAsia" w:ascii="仿宋_GB2312" w:hAnsi="仿宋_GB2312" w:eastAsia="仿宋_GB2312" w:cs="仿宋_GB2312"/>
          <w:b w:val="0"/>
          <w:color w:val="000000"/>
          <w:sz w:val="32"/>
          <w:szCs w:val="32"/>
        </w:rPr>
        <w:t>支出决算为1.02万元，完成预算100%，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Cs/>
          <w:color w:val="000000"/>
          <w:sz w:val="32"/>
          <w:szCs w:val="32"/>
        </w:rPr>
        <w:t>4.一般公共服务（类）政府办公厅（室）及相关机构事务（款）行政运行（项）:</w:t>
      </w:r>
      <w:r>
        <w:rPr>
          <w:rStyle w:val="15"/>
          <w:rFonts w:hint="eastAsia" w:ascii="仿宋_GB2312" w:hAnsi="仿宋_GB2312" w:eastAsia="仿宋_GB2312" w:cs="仿宋_GB2312"/>
          <w:b w:val="0"/>
          <w:color w:val="000000"/>
          <w:sz w:val="32"/>
          <w:szCs w:val="32"/>
        </w:rPr>
        <w:t xml:space="preserve"> 支出决算为272.92万元，完成预算100%，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val="en-US" w:eastAsia="zh-CN"/>
        </w:rPr>
      </w:pPr>
      <w:r>
        <w:rPr>
          <w:rStyle w:val="15"/>
          <w:rFonts w:hint="eastAsia" w:ascii="仿宋_GB2312" w:hAnsi="仿宋_GB2312" w:eastAsia="仿宋_GB2312" w:cs="仿宋_GB2312"/>
          <w:bCs/>
          <w:color w:val="000000"/>
          <w:sz w:val="32"/>
          <w:szCs w:val="32"/>
        </w:rPr>
        <w:t xml:space="preserve">5.一般公共服务（类）政府办公厅（室）及相关机构事务（款）其他政府办公厅（室）及相关机构事务支出（项）: </w:t>
      </w:r>
      <w:r>
        <w:rPr>
          <w:rStyle w:val="15"/>
          <w:rFonts w:hint="eastAsia" w:ascii="仿宋_GB2312" w:hAnsi="仿宋_GB2312" w:eastAsia="仿宋_GB2312" w:cs="仿宋_GB2312"/>
          <w:b w:val="0"/>
          <w:color w:val="000000"/>
          <w:sz w:val="32"/>
          <w:szCs w:val="32"/>
        </w:rPr>
        <w:t>支出决算为1.3万元，完成预算100%，</w:t>
      </w:r>
      <w:r>
        <w:rPr>
          <w:rStyle w:val="15"/>
          <w:rFonts w:hint="eastAsia" w:ascii="仿宋_GB2312" w:hAnsi="仿宋_GB2312" w:eastAsia="仿宋_GB2312" w:cs="仿宋_GB2312"/>
          <w:b w:val="0"/>
          <w:color w:val="000000"/>
          <w:sz w:val="32"/>
          <w:szCs w:val="32"/>
          <w:lang w:eastAsia="zh-CN"/>
        </w:rPr>
        <w:t>决算数等于预算数</w:t>
      </w:r>
      <w:r>
        <w:rPr>
          <w:rStyle w:val="15"/>
          <w:rFonts w:hint="eastAsia" w:ascii="仿宋_GB2312" w:hAnsi="仿宋_GB2312" w:eastAsia="仿宋_GB2312" w:cs="仿宋_GB2312"/>
          <w:b w:val="0"/>
          <w:color w:val="000000"/>
          <w:sz w:val="32"/>
          <w:szCs w:val="32"/>
          <w:lang w:val="en-US" w:eastAsia="zh-CN"/>
        </w:rPr>
        <w:t xml:space="preserve"> 。</w:t>
      </w:r>
    </w:p>
    <w:p>
      <w:pPr>
        <w:spacing w:line="576" w:lineRule="atLeast"/>
        <w:ind w:firstLine="642" w:firstLineChars="200"/>
        <w:outlineLvl w:val="2"/>
        <w:rPr>
          <w:rStyle w:val="15"/>
          <w:rFonts w:hint="eastAsia" w:ascii="仿宋_GB2312" w:hAnsi="仿宋_GB2312" w:eastAsia="仿宋_GB2312" w:cs="仿宋_GB2312"/>
          <w:b w:val="0"/>
          <w:color w:val="000000" w:themeColor="text1"/>
          <w:sz w:val="32"/>
          <w:szCs w:val="32"/>
          <w:lang w:eastAsia="zh-CN"/>
          <w14:textFill>
            <w14:solidFill>
              <w14:schemeClr w14:val="tx1"/>
            </w14:solidFill>
          </w14:textFill>
        </w:rPr>
      </w:pPr>
      <w:r>
        <w:rPr>
          <w:rStyle w:val="15"/>
          <w:rFonts w:hint="eastAsia" w:ascii="仿宋_GB2312" w:hAnsi="仿宋_GB2312" w:eastAsia="仿宋_GB2312" w:cs="仿宋_GB2312"/>
          <w:bCs/>
          <w:color w:val="000000" w:themeColor="text1"/>
          <w:sz w:val="32"/>
          <w:szCs w:val="32"/>
          <w:lang w:val="en-US" w:eastAsia="zh-CN"/>
          <w14:textFill>
            <w14:solidFill>
              <w14:schemeClr w14:val="tx1"/>
            </w14:solidFill>
          </w14:textFill>
        </w:rPr>
        <w:t>6.一般公共服务</w:t>
      </w:r>
      <w:r>
        <w:rPr>
          <w:rStyle w:val="15"/>
          <w:rFonts w:hint="eastAsia" w:ascii="仿宋_GB2312" w:hAnsi="仿宋_GB2312" w:eastAsia="仿宋_GB2312" w:cs="仿宋_GB2312"/>
          <w:bCs/>
          <w:color w:val="000000" w:themeColor="text1"/>
          <w:sz w:val="32"/>
          <w:szCs w:val="32"/>
          <w14:textFill>
            <w14:solidFill>
              <w14:schemeClr w14:val="tx1"/>
            </w14:solidFill>
          </w14:textFill>
        </w:rPr>
        <w:t xml:space="preserve">（类）财政事务（款）事业运行（项）: </w:t>
      </w:r>
      <w:r>
        <w:rPr>
          <w:rStyle w:val="15"/>
          <w:rFonts w:hint="eastAsia" w:ascii="仿宋_GB2312" w:hAnsi="仿宋_GB2312" w:eastAsia="仿宋_GB2312" w:cs="仿宋_GB2312"/>
          <w:b w:val="0"/>
          <w:color w:val="000000" w:themeColor="text1"/>
          <w:sz w:val="32"/>
          <w:szCs w:val="32"/>
          <w14:textFill>
            <w14:solidFill>
              <w14:schemeClr w14:val="tx1"/>
            </w14:solidFill>
          </w14:textFill>
        </w:rPr>
        <w:t>支出决算为15.68万元，完成预算100%，</w:t>
      </w:r>
      <w:r>
        <w:rPr>
          <w:rStyle w:val="15"/>
          <w:rFonts w:hint="eastAsia" w:ascii="仿宋_GB2312" w:hAnsi="仿宋_GB2312" w:eastAsia="仿宋_GB2312" w:cs="仿宋_GB2312"/>
          <w:b w:val="0"/>
          <w:color w:val="000000" w:themeColor="text1"/>
          <w:sz w:val="32"/>
          <w:szCs w:val="32"/>
          <w:lang w:eastAsia="zh-CN"/>
          <w14:textFill>
            <w14:solidFill>
              <w14:schemeClr w14:val="tx1"/>
            </w14:solidFill>
          </w14:textFill>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themeColor="text1"/>
          <w:sz w:val="32"/>
          <w:szCs w:val="32"/>
          <w:lang w:val="en-US" w:eastAsia="zh-CN"/>
          <w14:textFill>
            <w14:solidFill>
              <w14:schemeClr w14:val="tx1"/>
            </w14:solidFill>
          </w14:textFill>
        </w:rPr>
        <w:t>7.</w:t>
      </w:r>
      <w:r>
        <w:rPr>
          <w:rStyle w:val="15"/>
          <w:rFonts w:hint="eastAsia" w:ascii="仿宋_GB2312" w:hAnsi="仿宋_GB2312" w:eastAsia="仿宋_GB2312" w:cs="仿宋_GB2312"/>
          <w:bCs/>
          <w:color w:val="000000" w:themeColor="text1"/>
          <w:sz w:val="32"/>
          <w:szCs w:val="32"/>
          <w14:textFill>
            <w14:solidFill>
              <w14:schemeClr w14:val="tx1"/>
            </w14:solidFill>
          </w14:textFill>
        </w:rPr>
        <w:t>一般公共服务（类）党委办公厅（室）及相关机构事务（款）行政运</w:t>
      </w:r>
      <w:r>
        <w:rPr>
          <w:rStyle w:val="15"/>
          <w:rFonts w:hint="eastAsia" w:ascii="仿宋_GB2312" w:hAnsi="仿宋_GB2312" w:eastAsia="仿宋_GB2312" w:cs="仿宋_GB2312"/>
          <w:bCs/>
          <w:color w:val="000000"/>
          <w:sz w:val="32"/>
          <w:szCs w:val="32"/>
        </w:rPr>
        <w:t xml:space="preserve">行（项）: </w:t>
      </w:r>
      <w:r>
        <w:rPr>
          <w:rStyle w:val="15"/>
          <w:rFonts w:hint="eastAsia" w:ascii="仿宋_GB2312" w:hAnsi="仿宋_GB2312" w:eastAsia="仿宋_GB2312" w:cs="仿宋_GB2312"/>
          <w:b w:val="0"/>
          <w:color w:val="000000"/>
          <w:sz w:val="32"/>
          <w:szCs w:val="32"/>
        </w:rPr>
        <w:t>支出决算为102.16万元，完成预算100%，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8.国防支出（类）国防动员（款）民兵（项）:</w:t>
      </w:r>
      <w:r>
        <w:rPr>
          <w:rStyle w:val="15"/>
          <w:rFonts w:hint="eastAsia" w:ascii="仿宋_GB2312" w:hAnsi="仿宋_GB2312" w:eastAsia="仿宋_GB2312" w:cs="仿宋_GB2312"/>
          <w:b w:val="0"/>
          <w:color w:val="000000"/>
          <w:sz w:val="32"/>
          <w:szCs w:val="32"/>
        </w:rPr>
        <w:t xml:space="preserve"> 支出决算为2.99万元，完成预算100%，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 xml:space="preserve">9.社会保障和就业（类）行政事业单位离退休（款）机关事业单位基本养老保险缴费支出（项）: </w:t>
      </w:r>
      <w:r>
        <w:rPr>
          <w:rStyle w:val="15"/>
          <w:rFonts w:hint="eastAsia" w:ascii="仿宋_GB2312" w:hAnsi="仿宋_GB2312" w:eastAsia="仿宋_GB2312" w:cs="仿宋_GB2312"/>
          <w:b w:val="0"/>
          <w:color w:val="000000"/>
          <w:sz w:val="32"/>
          <w:szCs w:val="32"/>
        </w:rPr>
        <w:t>支出决算为54.92万元，完成预算100%，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10.社会保障和就业（类）行政事业单位离退休（款）机关事业单位职业年金缴费支出（项）:</w:t>
      </w:r>
      <w:r>
        <w:rPr>
          <w:rStyle w:val="15"/>
          <w:rFonts w:hint="eastAsia" w:ascii="仿宋_GB2312" w:hAnsi="仿宋_GB2312" w:eastAsia="仿宋_GB2312" w:cs="仿宋_GB2312"/>
          <w:b w:val="0"/>
          <w:color w:val="000000"/>
          <w:sz w:val="32"/>
          <w:szCs w:val="32"/>
        </w:rPr>
        <w:t xml:space="preserve"> 支出决算为25.4万元，完成预算100%，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val="en-US" w:eastAsia="zh-CN"/>
        </w:rPr>
      </w:pPr>
      <w:r>
        <w:rPr>
          <w:rStyle w:val="15"/>
          <w:rFonts w:hint="eastAsia" w:ascii="仿宋_GB2312" w:hAnsi="仿宋_GB2312" w:eastAsia="仿宋_GB2312" w:cs="仿宋_GB2312"/>
          <w:bCs/>
          <w:color w:val="000000"/>
          <w:sz w:val="32"/>
          <w:szCs w:val="32"/>
        </w:rPr>
        <w:t xml:space="preserve">11.社会保障和就业（类）社会福利（款）老年福利（项）: </w:t>
      </w:r>
      <w:r>
        <w:rPr>
          <w:rStyle w:val="15"/>
          <w:rFonts w:hint="eastAsia" w:ascii="仿宋_GB2312" w:hAnsi="仿宋_GB2312" w:eastAsia="仿宋_GB2312" w:cs="仿宋_GB2312"/>
          <w:b w:val="0"/>
          <w:color w:val="000000"/>
          <w:sz w:val="32"/>
          <w:szCs w:val="32"/>
        </w:rPr>
        <w:t>支出决算为1.96万元，完成预算100%，</w:t>
      </w:r>
      <w:r>
        <w:rPr>
          <w:rStyle w:val="15"/>
          <w:rFonts w:hint="eastAsia" w:ascii="仿宋_GB2312" w:hAnsi="仿宋_GB2312" w:eastAsia="仿宋_GB2312" w:cs="仿宋_GB2312"/>
          <w:b w:val="0"/>
          <w:color w:val="000000"/>
          <w:sz w:val="32"/>
          <w:szCs w:val="32"/>
          <w:lang w:eastAsia="zh-CN"/>
        </w:rPr>
        <w:t>决算数等于预算数</w:t>
      </w:r>
      <w:r>
        <w:rPr>
          <w:rStyle w:val="15"/>
          <w:rFonts w:hint="eastAsia" w:ascii="仿宋_GB2312" w:hAnsi="仿宋_GB2312" w:eastAsia="仿宋_GB2312" w:cs="仿宋_GB2312"/>
          <w:b w:val="0"/>
          <w:color w:val="000000"/>
          <w:sz w:val="32"/>
          <w:szCs w:val="32"/>
          <w:lang w:val="en-US" w:eastAsia="zh-CN"/>
        </w:rPr>
        <w:t xml:space="preserve"> 。</w:t>
      </w:r>
    </w:p>
    <w:p>
      <w:pPr>
        <w:spacing w:line="576" w:lineRule="atLeast"/>
        <w:ind w:firstLine="640"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 w:val="0"/>
          <w:color w:val="000000"/>
          <w:sz w:val="32"/>
          <w:szCs w:val="32"/>
          <w:lang w:val="en-US" w:eastAsia="zh-CN"/>
        </w:rPr>
        <w:t>12.</w:t>
      </w:r>
      <w:r>
        <w:rPr>
          <w:rStyle w:val="15"/>
          <w:rFonts w:hint="eastAsia" w:ascii="仿宋_GB2312" w:hAnsi="仿宋_GB2312" w:eastAsia="仿宋_GB2312" w:cs="仿宋_GB2312"/>
          <w:bCs/>
          <w:color w:val="000000" w:themeColor="text1"/>
          <w:sz w:val="32"/>
          <w:szCs w:val="32"/>
          <w14:textFill>
            <w14:solidFill>
              <w14:schemeClr w14:val="tx1"/>
            </w14:solidFill>
          </w14:textFill>
        </w:rPr>
        <w:t>社会</w:t>
      </w:r>
      <w:r>
        <w:rPr>
          <w:rStyle w:val="15"/>
          <w:rFonts w:hint="eastAsia" w:ascii="仿宋_GB2312" w:hAnsi="仿宋_GB2312" w:eastAsia="仿宋_GB2312" w:cs="仿宋_GB2312"/>
          <w:bCs/>
          <w:color w:val="000000"/>
          <w:sz w:val="32"/>
          <w:szCs w:val="32"/>
        </w:rPr>
        <w:t>保障和就业（类）社会福利（款）其他社会福利支出（项）:</w:t>
      </w:r>
      <w:r>
        <w:rPr>
          <w:rStyle w:val="15"/>
          <w:rFonts w:hint="eastAsia" w:ascii="仿宋_GB2312" w:hAnsi="仿宋_GB2312" w:eastAsia="仿宋_GB2312" w:cs="仿宋_GB2312"/>
          <w:b w:val="0"/>
          <w:color w:val="000000"/>
          <w:sz w:val="32"/>
          <w:szCs w:val="32"/>
        </w:rPr>
        <w:t xml:space="preserve"> 支出决算为3.65万元，完成预算100%，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13.社会保障和就业（类）退役军人管理事务（款）拥军优属（项）：</w:t>
      </w:r>
      <w:r>
        <w:rPr>
          <w:rStyle w:val="15"/>
          <w:rFonts w:hint="eastAsia" w:ascii="仿宋_GB2312" w:hAnsi="仿宋_GB2312" w:eastAsia="仿宋_GB2312" w:cs="仿宋_GB2312"/>
          <w:b w:val="0"/>
          <w:color w:val="000000"/>
          <w:sz w:val="32"/>
          <w:szCs w:val="32"/>
        </w:rPr>
        <w:t>支出决算为0.5万元，完成预算100%，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1</w:t>
      </w:r>
      <w:r>
        <w:rPr>
          <w:rStyle w:val="15"/>
          <w:rFonts w:hint="eastAsia" w:ascii="仿宋_GB2312" w:hAnsi="仿宋_GB2312" w:eastAsia="仿宋_GB2312" w:cs="仿宋_GB2312"/>
          <w:bCs/>
          <w:color w:val="000000"/>
          <w:sz w:val="32"/>
          <w:szCs w:val="32"/>
          <w:lang w:val="en-US" w:eastAsia="zh-CN"/>
        </w:rPr>
        <w:t>4</w:t>
      </w:r>
      <w:r>
        <w:rPr>
          <w:rStyle w:val="15"/>
          <w:rFonts w:hint="eastAsia" w:ascii="仿宋_GB2312" w:hAnsi="仿宋_GB2312" w:eastAsia="仿宋_GB2312" w:cs="仿宋_GB2312"/>
          <w:bCs/>
          <w:color w:val="000000"/>
          <w:sz w:val="32"/>
          <w:szCs w:val="32"/>
        </w:rPr>
        <w:t>.卫生健康（类）行政事业单位医疗（款）行政单位医疗（项）:</w:t>
      </w:r>
      <w:r>
        <w:rPr>
          <w:rStyle w:val="15"/>
          <w:rFonts w:hint="eastAsia" w:ascii="仿宋_GB2312" w:hAnsi="仿宋_GB2312" w:eastAsia="仿宋_GB2312" w:cs="仿宋_GB2312"/>
          <w:b w:val="0"/>
          <w:color w:val="000000"/>
          <w:sz w:val="32"/>
          <w:szCs w:val="32"/>
        </w:rPr>
        <w:t>支出决算为42.39万元，完成预算100%，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val="en-US" w:eastAsia="zh-CN"/>
        </w:rPr>
      </w:pPr>
      <w:r>
        <w:rPr>
          <w:rStyle w:val="15"/>
          <w:rFonts w:hint="eastAsia" w:ascii="仿宋_GB2312" w:hAnsi="仿宋_GB2312" w:eastAsia="仿宋_GB2312" w:cs="仿宋_GB2312"/>
          <w:bCs/>
          <w:color w:val="000000"/>
          <w:sz w:val="32"/>
          <w:szCs w:val="32"/>
        </w:rPr>
        <w:t>1</w:t>
      </w:r>
      <w:r>
        <w:rPr>
          <w:rStyle w:val="15"/>
          <w:rFonts w:hint="eastAsia" w:ascii="仿宋_GB2312" w:hAnsi="仿宋_GB2312" w:eastAsia="仿宋_GB2312" w:cs="仿宋_GB2312"/>
          <w:bCs/>
          <w:color w:val="000000"/>
          <w:sz w:val="32"/>
          <w:szCs w:val="32"/>
          <w:lang w:val="en-US" w:eastAsia="zh-CN"/>
        </w:rPr>
        <w:t>5</w:t>
      </w:r>
      <w:r>
        <w:rPr>
          <w:rStyle w:val="15"/>
          <w:rFonts w:hint="eastAsia" w:ascii="仿宋_GB2312" w:hAnsi="仿宋_GB2312" w:eastAsia="仿宋_GB2312" w:cs="仿宋_GB2312"/>
          <w:bCs/>
          <w:color w:val="000000"/>
          <w:sz w:val="32"/>
          <w:szCs w:val="32"/>
        </w:rPr>
        <w:t>.农林水支出（类）农业（款）事业运行（项）:</w:t>
      </w:r>
      <w:r>
        <w:rPr>
          <w:rStyle w:val="15"/>
          <w:rFonts w:hint="eastAsia" w:ascii="仿宋_GB2312" w:hAnsi="仿宋_GB2312" w:eastAsia="仿宋_GB2312" w:cs="仿宋_GB2312"/>
          <w:b w:val="0"/>
          <w:color w:val="000000"/>
          <w:sz w:val="32"/>
          <w:szCs w:val="32"/>
        </w:rPr>
        <w:t xml:space="preserve"> 支出决算为203.4万元，完成预算100%，</w:t>
      </w:r>
      <w:r>
        <w:rPr>
          <w:rStyle w:val="15"/>
          <w:rFonts w:hint="eastAsia" w:ascii="仿宋_GB2312" w:hAnsi="仿宋_GB2312" w:eastAsia="仿宋_GB2312" w:cs="仿宋_GB2312"/>
          <w:b w:val="0"/>
          <w:color w:val="000000"/>
          <w:sz w:val="32"/>
          <w:szCs w:val="32"/>
          <w:lang w:eastAsia="zh-CN"/>
        </w:rPr>
        <w:t>决算数等于预算数。</w:t>
      </w:r>
      <w:r>
        <w:rPr>
          <w:rStyle w:val="15"/>
          <w:rFonts w:hint="eastAsia" w:ascii="仿宋_GB2312" w:hAnsi="仿宋_GB2312" w:eastAsia="仿宋_GB2312" w:cs="仿宋_GB2312"/>
          <w:b w:val="0"/>
          <w:color w:val="000000"/>
          <w:sz w:val="32"/>
          <w:szCs w:val="32"/>
          <w:lang w:val="en-US" w:eastAsia="zh-CN"/>
        </w:rPr>
        <w:t xml:space="preserve"> </w:t>
      </w:r>
    </w:p>
    <w:p>
      <w:pPr>
        <w:spacing w:line="576" w:lineRule="atLeast"/>
        <w:ind w:firstLine="640"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 w:val="0"/>
          <w:color w:val="000000"/>
          <w:sz w:val="32"/>
          <w:szCs w:val="32"/>
          <w:lang w:val="en-US" w:eastAsia="zh-CN"/>
        </w:rPr>
        <w:t>16.</w:t>
      </w:r>
      <w:r>
        <w:rPr>
          <w:rStyle w:val="15"/>
          <w:rFonts w:hint="eastAsia" w:ascii="仿宋_GB2312" w:hAnsi="仿宋_GB2312" w:eastAsia="仿宋_GB2312" w:cs="仿宋_GB2312"/>
          <w:bCs/>
          <w:color w:val="000000" w:themeColor="text1"/>
          <w:sz w:val="32"/>
          <w:szCs w:val="32"/>
          <w14:textFill>
            <w14:solidFill>
              <w14:schemeClr w14:val="tx1"/>
            </w14:solidFill>
          </w14:textFill>
        </w:rPr>
        <w:t>农</w:t>
      </w:r>
      <w:r>
        <w:rPr>
          <w:rStyle w:val="15"/>
          <w:rFonts w:hint="eastAsia" w:ascii="仿宋_GB2312" w:hAnsi="仿宋_GB2312" w:eastAsia="仿宋_GB2312" w:cs="仿宋_GB2312"/>
          <w:bCs/>
          <w:color w:val="000000"/>
          <w:sz w:val="32"/>
          <w:szCs w:val="32"/>
        </w:rPr>
        <w:t xml:space="preserve">林水支出（类）农业（款）其他农业支出（项）: </w:t>
      </w:r>
      <w:r>
        <w:rPr>
          <w:rStyle w:val="15"/>
          <w:rFonts w:hint="eastAsia" w:ascii="仿宋_GB2312" w:hAnsi="仿宋_GB2312" w:eastAsia="仿宋_GB2312" w:cs="仿宋_GB2312"/>
          <w:b w:val="0"/>
          <w:color w:val="000000"/>
          <w:sz w:val="32"/>
          <w:szCs w:val="32"/>
        </w:rPr>
        <w:t>支出决算为4万元，完成预算100%，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Cs/>
          <w:color w:val="000000"/>
          <w:sz w:val="32"/>
          <w:szCs w:val="32"/>
        </w:rPr>
        <w:t>1</w:t>
      </w:r>
      <w:r>
        <w:rPr>
          <w:rStyle w:val="15"/>
          <w:rFonts w:hint="eastAsia" w:ascii="仿宋_GB2312" w:hAnsi="仿宋_GB2312" w:eastAsia="仿宋_GB2312" w:cs="仿宋_GB2312"/>
          <w:bCs/>
          <w:color w:val="000000"/>
          <w:sz w:val="32"/>
          <w:szCs w:val="32"/>
          <w:lang w:val="en-US" w:eastAsia="zh-CN"/>
        </w:rPr>
        <w:t>7</w:t>
      </w:r>
      <w:r>
        <w:rPr>
          <w:rStyle w:val="15"/>
          <w:rFonts w:hint="eastAsia" w:ascii="仿宋_GB2312" w:hAnsi="仿宋_GB2312" w:eastAsia="仿宋_GB2312" w:cs="仿宋_GB2312"/>
          <w:bCs/>
          <w:color w:val="000000"/>
          <w:sz w:val="32"/>
          <w:szCs w:val="32"/>
        </w:rPr>
        <w:t xml:space="preserve">.农林水支出（类）扶贫（款）其他扶贫支出（项）: </w:t>
      </w:r>
      <w:r>
        <w:rPr>
          <w:rStyle w:val="15"/>
          <w:rFonts w:hint="eastAsia" w:ascii="仿宋_GB2312" w:hAnsi="仿宋_GB2312" w:eastAsia="仿宋_GB2312" w:cs="仿宋_GB2312"/>
          <w:b w:val="0"/>
          <w:color w:val="000000"/>
          <w:sz w:val="32"/>
          <w:szCs w:val="32"/>
        </w:rPr>
        <w:t>支出决算为138.15万元，完成预算100%，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1</w:t>
      </w:r>
      <w:r>
        <w:rPr>
          <w:rStyle w:val="15"/>
          <w:rFonts w:hint="eastAsia" w:ascii="仿宋_GB2312" w:hAnsi="仿宋_GB2312" w:eastAsia="仿宋_GB2312" w:cs="仿宋_GB2312"/>
          <w:bCs/>
          <w:color w:val="000000"/>
          <w:sz w:val="32"/>
          <w:szCs w:val="32"/>
          <w:lang w:val="en-US" w:eastAsia="zh-CN"/>
        </w:rPr>
        <w:t>8</w:t>
      </w:r>
      <w:r>
        <w:rPr>
          <w:rStyle w:val="15"/>
          <w:rFonts w:hint="eastAsia" w:ascii="仿宋_GB2312" w:hAnsi="仿宋_GB2312" w:eastAsia="仿宋_GB2312" w:cs="仿宋_GB2312"/>
          <w:bCs/>
          <w:color w:val="000000"/>
          <w:sz w:val="32"/>
          <w:szCs w:val="32"/>
        </w:rPr>
        <w:t xml:space="preserve">.农林水支出（类）农村综合改革（款）对村民委员会和村党支部的支出（项）: </w:t>
      </w:r>
      <w:r>
        <w:rPr>
          <w:rStyle w:val="15"/>
          <w:rFonts w:hint="eastAsia" w:ascii="仿宋_GB2312" w:hAnsi="仿宋_GB2312" w:eastAsia="仿宋_GB2312" w:cs="仿宋_GB2312"/>
          <w:b w:val="0"/>
          <w:color w:val="000000"/>
          <w:sz w:val="32"/>
          <w:szCs w:val="32"/>
        </w:rPr>
        <w:t>支出决算为223.71万元，完成预算100%，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lang w:val="en-US" w:eastAsia="zh-CN"/>
        </w:rPr>
        <w:t>19</w:t>
      </w:r>
      <w:r>
        <w:rPr>
          <w:rStyle w:val="15"/>
          <w:rFonts w:hint="eastAsia" w:ascii="仿宋_GB2312" w:hAnsi="仿宋_GB2312" w:eastAsia="仿宋_GB2312" w:cs="仿宋_GB2312"/>
          <w:bCs/>
          <w:color w:val="000000"/>
          <w:sz w:val="32"/>
          <w:szCs w:val="32"/>
        </w:rPr>
        <w:t>.农林水支出（类）其他农林水支出（款）其他农林水支出（项）：</w:t>
      </w:r>
      <w:r>
        <w:rPr>
          <w:rStyle w:val="15"/>
          <w:rFonts w:hint="eastAsia" w:ascii="仿宋_GB2312" w:hAnsi="仿宋_GB2312" w:eastAsia="仿宋_GB2312" w:cs="仿宋_GB2312"/>
          <w:b w:val="0"/>
          <w:color w:val="000000"/>
          <w:sz w:val="32"/>
          <w:szCs w:val="32"/>
        </w:rPr>
        <w:t>支出决算为0.51万元，完成预算100%，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2</w:t>
      </w:r>
      <w:r>
        <w:rPr>
          <w:rStyle w:val="15"/>
          <w:rFonts w:hint="eastAsia" w:ascii="仿宋_GB2312" w:hAnsi="仿宋_GB2312" w:eastAsia="仿宋_GB2312" w:cs="仿宋_GB2312"/>
          <w:bCs/>
          <w:color w:val="000000"/>
          <w:sz w:val="32"/>
          <w:szCs w:val="32"/>
          <w:lang w:val="en-US" w:eastAsia="zh-CN"/>
        </w:rPr>
        <w:t>0</w:t>
      </w:r>
      <w:r>
        <w:rPr>
          <w:rStyle w:val="15"/>
          <w:rFonts w:hint="eastAsia" w:ascii="仿宋_GB2312" w:hAnsi="仿宋_GB2312" w:eastAsia="仿宋_GB2312" w:cs="仿宋_GB2312"/>
          <w:bCs/>
          <w:color w:val="000000"/>
          <w:sz w:val="32"/>
          <w:szCs w:val="32"/>
        </w:rPr>
        <w:t xml:space="preserve">.住房保障支出（类）住房改革支出（款）住房公积金（项）: </w:t>
      </w:r>
      <w:r>
        <w:rPr>
          <w:rStyle w:val="15"/>
          <w:rFonts w:hint="eastAsia" w:ascii="仿宋_GB2312" w:hAnsi="仿宋_GB2312" w:eastAsia="仿宋_GB2312" w:cs="仿宋_GB2312"/>
          <w:b w:val="0"/>
          <w:color w:val="000000"/>
          <w:sz w:val="32"/>
          <w:szCs w:val="32"/>
        </w:rPr>
        <w:t>支出决算为60.92万元，完成预算100%，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2" w:firstLineChars="200"/>
        <w:outlineLvl w:val="2"/>
        <w:rPr>
          <w:rStyle w:val="15"/>
          <w:rFonts w:ascii="仿宋_GB2312" w:hAnsi="仿宋_GB2312" w:eastAsia="仿宋_GB2312" w:cs="仿宋_GB2312"/>
          <w:b w:val="0"/>
          <w:color w:val="000000"/>
          <w:sz w:val="32"/>
          <w:szCs w:val="32"/>
        </w:rPr>
      </w:pPr>
      <w:bookmarkStart w:id="36" w:name="_Toc15377214"/>
      <w:bookmarkStart w:id="37" w:name="_Toc15396608"/>
      <w:r>
        <w:rPr>
          <w:rStyle w:val="15"/>
          <w:rFonts w:hint="eastAsia" w:ascii="仿宋_GB2312" w:hAnsi="仿宋_GB2312" w:eastAsia="仿宋_GB2312" w:cs="仿宋_GB2312"/>
          <w:bCs/>
          <w:color w:val="000000"/>
          <w:sz w:val="32"/>
          <w:szCs w:val="32"/>
        </w:rPr>
        <w:t>2</w:t>
      </w:r>
      <w:r>
        <w:rPr>
          <w:rStyle w:val="15"/>
          <w:rFonts w:hint="eastAsia" w:ascii="仿宋_GB2312" w:hAnsi="仿宋_GB2312" w:eastAsia="仿宋_GB2312" w:cs="仿宋_GB2312"/>
          <w:bCs/>
          <w:color w:val="000000"/>
          <w:sz w:val="32"/>
          <w:szCs w:val="32"/>
          <w:lang w:val="en-US" w:eastAsia="zh-CN"/>
        </w:rPr>
        <w:t>1</w:t>
      </w:r>
      <w:r>
        <w:rPr>
          <w:rStyle w:val="15"/>
          <w:rFonts w:hint="eastAsia" w:ascii="仿宋_GB2312" w:hAnsi="仿宋_GB2312" w:eastAsia="仿宋_GB2312" w:cs="仿宋_GB2312"/>
          <w:bCs/>
          <w:color w:val="000000"/>
          <w:sz w:val="32"/>
          <w:szCs w:val="32"/>
        </w:rPr>
        <w:t>. 其他支出（类）其他支出（款）其他支出（项）：</w:t>
      </w:r>
      <w:r>
        <w:rPr>
          <w:rStyle w:val="15"/>
          <w:rFonts w:hint="eastAsia" w:ascii="仿宋_GB2312" w:hAnsi="仿宋_GB2312" w:eastAsia="仿宋_GB2312" w:cs="仿宋_GB2312"/>
          <w:b w:val="0"/>
          <w:color w:val="000000"/>
          <w:sz w:val="32"/>
          <w:szCs w:val="32"/>
        </w:rPr>
        <w:t>支出决算为9.18万元，完成预算100%，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0" w:firstLineChars="200"/>
        <w:rPr>
          <w:rStyle w:val="26"/>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6"/>
      <w:bookmarkEnd w:id="37"/>
      <w:r>
        <w:rPr>
          <w:rStyle w:val="26"/>
          <w:rFonts w:ascii="黑体" w:hAnsi="黑体" w:eastAsia="黑体"/>
          <w:b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2019年一般公共预算财政拨款基本支出778.24万元，其中：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735.3万元，主要包括：基本工资、津贴补贴、奖金、伙食补助费、绩效工资、机关事业单位基本养老保险缴费、职业年金缴费、其他社会保障缴费、其他工资福利支出、抚恤金、生活补助、奖励金、住房公积金。</w:t>
      </w:r>
    </w:p>
    <w:p>
      <w:pPr>
        <w:spacing w:line="600" w:lineRule="exact"/>
        <w:ind w:firstLine="645"/>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日常公用经费42.94万元，主要包括：办公费、印刷费、水费、电费、邮电费、差旅费、维修（护）费、培训费、公务用车运行维护费、其他交通费</w:t>
      </w:r>
      <w:r>
        <w:rPr>
          <w:rFonts w:hint="eastAsia" w:ascii="仿宋_GB2312" w:hAnsi="仿宋" w:eastAsia="仿宋_GB2312"/>
          <w:color w:val="000000"/>
          <w:sz w:val="32"/>
          <w:szCs w:val="32"/>
          <w:lang w:eastAsia="zh-CN"/>
        </w:rPr>
        <w:t>。</w:t>
      </w:r>
    </w:p>
    <w:p>
      <w:pPr>
        <w:spacing w:line="600" w:lineRule="exact"/>
        <w:ind w:firstLine="640"/>
        <w:outlineLvl w:val="1"/>
        <w:rPr>
          <w:rStyle w:val="26"/>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8"/>
      <w:bookmarkEnd w:id="39"/>
    </w:p>
    <w:p>
      <w:pPr>
        <w:spacing w:line="600" w:lineRule="exact"/>
        <w:ind w:firstLine="640"/>
        <w:outlineLvl w:val="2"/>
        <w:rPr>
          <w:rFonts w:ascii="楷体" w:hAnsi="楷体" w:eastAsia="楷体"/>
          <w:b/>
          <w:color w:val="000000"/>
          <w:sz w:val="32"/>
          <w:szCs w:val="32"/>
        </w:rPr>
      </w:pPr>
      <w:bookmarkStart w:id="40" w:name="_Toc15377216"/>
      <w:r>
        <w:rPr>
          <w:rFonts w:hint="eastAsia" w:ascii="楷体" w:hAnsi="楷体" w:eastAsia="楷体"/>
          <w:b/>
          <w:color w:val="000000"/>
          <w:sz w:val="32"/>
          <w:szCs w:val="32"/>
        </w:rPr>
        <w:t>（一）“三公”经费财政拨款支出决算总体情况说明</w:t>
      </w:r>
      <w:bookmarkEnd w:id="40"/>
    </w:p>
    <w:p>
      <w:pPr>
        <w:spacing w:line="576" w:lineRule="atLeast"/>
        <w:ind w:firstLine="640" w:firstLineChars="200"/>
        <w:rPr>
          <w:rFonts w:ascii="仿宋" w:hAnsi="仿宋" w:eastAsia="仿宋"/>
          <w:sz w:val="32"/>
          <w:szCs w:val="32"/>
        </w:rPr>
      </w:pPr>
      <w:r>
        <w:rPr>
          <w:rFonts w:hint="eastAsia" w:ascii="仿宋_GB2312" w:hAnsi="仿宋_GB2312" w:eastAsia="仿宋_GB2312" w:cs="仿宋_GB2312"/>
          <w:sz w:val="32"/>
          <w:szCs w:val="32"/>
        </w:rPr>
        <w:t>2019年“三公”经费财政拨款支出决算为0万元。</w:t>
      </w:r>
    </w:p>
    <w:p>
      <w:pPr>
        <w:spacing w:line="600" w:lineRule="exact"/>
        <w:ind w:firstLine="640"/>
        <w:outlineLvl w:val="2"/>
        <w:rPr>
          <w:rFonts w:ascii="楷体" w:hAnsi="楷体" w:eastAsia="楷体"/>
          <w:b/>
          <w:color w:val="000000"/>
          <w:sz w:val="32"/>
          <w:szCs w:val="32"/>
        </w:rPr>
      </w:pPr>
      <w:bookmarkStart w:id="41" w:name="_Toc15377217"/>
      <w:r>
        <w:rPr>
          <w:rFonts w:hint="eastAsia" w:ascii="楷体" w:hAnsi="楷体" w:eastAsia="楷体"/>
          <w:b/>
          <w:color w:val="000000"/>
          <w:sz w:val="32"/>
          <w:szCs w:val="32"/>
        </w:rPr>
        <w:t>（二）“三公”经费财政拨款支出决算具体情况说明</w:t>
      </w:r>
      <w:bookmarkEnd w:id="41"/>
    </w:p>
    <w:p>
      <w:pPr>
        <w:spacing w:line="576" w:lineRule="atLeast"/>
        <w:ind w:firstLine="640" w:firstLineChars="200"/>
        <w:rPr>
          <w:rFonts w:hint="eastAsia" w:ascii="仿宋_GB2312" w:eastAsia="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2019年“三公”经费财政拨款支出决算中，因公出国（境）费支出决算0万元，占0%；公务用车购置及运行维护费支出决算0万元，占0%；公务接待费支出决算0万元，占0%。</w:t>
      </w:r>
      <w:bookmarkStart w:id="42" w:name="_Toc15396610"/>
      <w:bookmarkStart w:id="43" w:name="_Toc15377218"/>
    </w:p>
    <w:p>
      <w:pPr>
        <w:numPr>
          <w:ilvl w:val="0"/>
          <w:numId w:val="3"/>
        </w:numPr>
        <w:spacing w:line="600" w:lineRule="exact"/>
        <w:ind w:firstLine="642" w:firstLineChars="200"/>
        <w:rPr>
          <w:rFonts w:ascii="仿宋_GB2312" w:eastAsia="仿宋_GB2312"/>
          <w:b/>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p>
    <w:p>
      <w:pPr>
        <w:numPr>
          <w:ilvl w:val="0"/>
          <w:numId w:val="0"/>
        </w:numPr>
        <w:spacing w:line="600"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公务用车购置及运行维护费支出决算比减少4万元，下降100</w:t>
      </w:r>
      <w:r>
        <w:rPr>
          <w:rFonts w:ascii="仿宋_GB2312" w:eastAsia="仿宋_GB2312"/>
          <w:color w:val="000000"/>
          <w:sz w:val="32"/>
          <w:szCs w:val="32"/>
        </w:rPr>
        <w:t>%</w:t>
      </w:r>
      <w:r>
        <w:rPr>
          <w:rFonts w:hint="eastAsia" w:ascii="仿宋_GB2312" w:eastAsia="仿宋_GB2312"/>
          <w:color w:val="000000"/>
          <w:sz w:val="32"/>
          <w:szCs w:val="32"/>
        </w:rPr>
        <w:t>。主要原因是2017年底因我单位公车无法继续使用在年底进行了资产处置，我单位无公务用车，日常工作的开展只能由租赁车辆开展，故我单位车辆的费用不能在公务用车购置及运行维护费中列支。</w:t>
      </w:r>
    </w:p>
    <w:p>
      <w:pPr>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w:t>
      </w:r>
      <w:r>
        <w:rPr>
          <w:rFonts w:hint="eastAsia" w:ascii="仿宋_GB2312" w:hAnsi="仿宋_GB2312" w:eastAsia="仿宋_GB2312" w:cs="仿宋_GB2312"/>
          <w:color w:val="000000"/>
          <w:sz w:val="32"/>
          <w:szCs w:val="32"/>
        </w:rPr>
        <w:t>轿车0辆、金额0万元，越野车0辆、金额0万元，载客汽车0辆、金额0万元。</w:t>
      </w:r>
    </w:p>
    <w:p>
      <w:pPr>
        <w:spacing w:line="576" w:lineRule="atLeast"/>
        <w:ind w:firstLine="642" w:firstLineChars="200"/>
        <w:rPr>
          <w:rFonts w:ascii="仿宋_GB2312" w:hAnsi="仿宋_GB2312" w:eastAsia="仿宋_GB2312" w:cs="仿宋_GB2312"/>
          <w:color w:val="000000"/>
          <w:sz w:val="32"/>
          <w:szCs w:val="32"/>
        </w:rPr>
      </w:pPr>
      <w:r>
        <w:rPr>
          <w:rFonts w:hint="eastAsia" w:ascii="仿宋_GB2312" w:eastAsia="仿宋_GB2312"/>
          <w:b/>
          <w:color w:val="000000"/>
          <w:sz w:val="32"/>
          <w:szCs w:val="32"/>
        </w:rPr>
        <w:t>公务用车运行维护费支出0</w:t>
      </w:r>
      <w:r>
        <w:rPr>
          <w:rFonts w:hint="eastAsia" w:ascii="仿宋_GB2312" w:eastAsia="仿宋_GB2312"/>
          <w:color w:val="000000"/>
          <w:sz w:val="32"/>
          <w:szCs w:val="32"/>
        </w:rPr>
        <w:t>万元。</w:t>
      </w:r>
    </w:p>
    <w:p>
      <w:pPr>
        <w:spacing w:line="600" w:lineRule="exact"/>
        <w:ind w:left="640"/>
        <w:rPr>
          <w:rFonts w:ascii="仿宋_GB2312" w:eastAsia="仿宋_GB2312"/>
          <w:b/>
          <w:color w:val="000000"/>
          <w:sz w:val="32"/>
          <w:szCs w:val="32"/>
        </w:rPr>
      </w:pPr>
      <w:r>
        <w:rPr>
          <w:rFonts w:hint="eastAsia" w:ascii="仿宋_GB2312" w:eastAsia="仿宋_GB2312"/>
          <w:b/>
          <w:color w:val="000000"/>
          <w:sz w:val="32"/>
          <w:szCs w:val="32"/>
        </w:rPr>
        <w:t>3.公务接待费支出0万元。</w:t>
      </w:r>
    </w:p>
    <w:p>
      <w:pPr>
        <w:spacing w:line="600" w:lineRule="exact"/>
        <w:ind w:left="640"/>
        <w:rPr>
          <w:rFonts w:ascii="仿宋_GB2312" w:eastAsia="仿宋_GB2312"/>
          <w:b/>
          <w:color w:val="000000"/>
          <w:sz w:val="32"/>
          <w:szCs w:val="32"/>
        </w:rPr>
      </w:pPr>
      <w:r>
        <w:rPr>
          <w:rFonts w:hint="eastAsia" w:ascii="仿宋_GB2312" w:eastAsia="仿宋_GB2312"/>
          <w:b/>
          <w:color w:val="000000"/>
          <w:sz w:val="32"/>
          <w:szCs w:val="32"/>
        </w:rPr>
        <w:t>国内公务接待支出0万元。</w:t>
      </w:r>
    </w:p>
    <w:p>
      <w:pPr>
        <w:spacing w:line="600" w:lineRule="exact"/>
        <w:ind w:left="640"/>
        <w:rPr>
          <w:rFonts w:ascii="仿宋_GB2312" w:eastAsia="仿宋_GB2312"/>
          <w:b/>
          <w:color w:val="000000"/>
          <w:sz w:val="32"/>
          <w:szCs w:val="32"/>
        </w:rPr>
      </w:pPr>
      <w:r>
        <w:rPr>
          <w:rFonts w:hint="eastAsia" w:ascii="仿宋_GB2312" w:eastAsia="仿宋_GB2312"/>
          <w:b/>
          <w:color w:val="000000"/>
          <w:sz w:val="32"/>
          <w:szCs w:val="32"/>
        </w:rPr>
        <w:t>外事接待支出0万元。</w:t>
      </w:r>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9年政府性基金预算拨款支出35.54万元。</w:t>
      </w:r>
    </w:p>
    <w:p>
      <w:pPr>
        <w:numPr>
          <w:ilvl w:val="0"/>
          <w:numId w:val="4"/>
        </w:numPr>
        <w:spacing w:line="600" w:lineRule="exact"/>
        <w:ind w:firstLine="640"/>
        <w:outlineLvl w:val="1"/>
        <w:rPr>
          <w:rStyle w:val="26"/>
          <w:rFonts w:ascii="黑体" w:hAnsi="黑体" w:eastAsia="黑体"/>
          <w:b w:val="0"/>
        </w:rPr>
      </w:pPr>
      <w:bookmarkStart w:id="44" w:name="_Toc15396611"/>
      <w:bookmarkStart w:id="45" w:name="_Toc15377219"/>
      <w:r>
        <w:rPr>
          <w:rStyle w:val="26"/>
          <w:rFonts w:hint="eastAsia" w:ascii="黑体" w:hAnsi="黑体" w:eastAsia="黑体"/>
          <w:b w:val="0"/>
        </w:rPr>
        <w:t>国有资本经营预算支出决算情况说明</w:t>
      </w:r>
      <w:bookmarkEnd w:id="44"/>
      <w:bookmarkEnd w:id="4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640" w:firstLineChars="200"/>
        <w:outlineLvl w:val="1"/>
        <w:rPr>
          <w:rStyle w:val="26"/>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46"/>
      <w:bookmarkEnd w:id="47"/>
    </w:p>
    <w:p>
      <w:pPr>
        <w:spacing w:line="600" w:lineRule="exact"/>
        <w:ind w:firstLine="642" w:firstLineChars="200"/>
        <w:outlineLvl w:val="2"/>
        <w:rPr>
          <w:rFonts w:ascii="楷体" w:hAnsi="楷体" w:eastAsia="楷体"/>
          <w:color w:val="000000"/>
          <w:sz w:val="32"/>
          <w:szCs w:val="32"/>
        </w:rPr>
      </w:pPr>
      <w:bookmarkStart w:id="48" w:name="_Toc15377222"/>
      <w:r>
        <w:rPr>
          <w:rFonts w:hint="eastAsia" w:ascii="楷体" w:hAnsi="楷体" w:eastAsia="楷体"/>
          <w:b/>
          <w:color w:val="000000"/>
          <w:sz w:val="32"/>
          <w:szCs w:val="32"/>
        </w:rPr>
        <w:t>（一）机关运行经费支出情况</w:t>
      </w:r>
      <w:bookmarkEnd w:id="48"/>
    </w:p>
    <w:p>
      <w:pPr>
        <w:autoSpaceDE w:val="0"/>
        <w:autoSpaceDN w:val="0"/>
        <w:adjustRightInd w:val="0"/>
        <w:spacing w:line="576" w:lineRule="atLeast"/>
        <w:ind w:firstLine="640" w:firstLineChars="200"/>
        <w:rPr>
          <w:rFonts w:ascii="仿宋_GB2312" w:eastAsia="仿宋_GB2312" w:cs="仿宋_GB2312"/>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9年茂县渭门镇人民政府机关运行经费支出42.94万元，</w:t>
      </w:r>
      <w:r>
        <w:rPr>
          <w:rFonts w:hint="eastAsia" w:ascii="仿宋_GB2312" w:eastAsia="仿宋_GB2312" w:cs="仿宋_GB2312"/>
          <w:sz w:val="32"/>
          <w:szCs w:val="32"/>
        </w:rPr>
        <w:t>比</w:t>
      </w:r>
      <w:r>
        <w:rPr>
          <w:rFonts w:ascii="仿宋_GB2312" w:eastAsia="仿宋_GB2312" w:cs="仿宋_GB2312"/>
          <w:sz w:val="32"/>
          <w:szCs w:val="32"/>
        </w:rPr>
        <w:t>201</w:t>
      </w:r>
      <w:r>
        <w:rPr>
          <w:rFonts w:hint="eastAsia" w:ascii="仿宋_GB2312" w:eastAsia="仿宋_GB2312" w:cs="仿宋_GB2312"/>
          <w:sz w:val="32"/>
          <w:szCs w:val="32"/>
        </w:rPr>
        <w:t>8年增加6.84万元，原因为区划改革调整撤乡并镇，原永和乡数据合并至渭门乡。</w:t>
      </w:r>
      <w:bookmarkStart w:id="49" w:name="_Toc15377223"/>
    </w:p>
    <w:p>
      <w:pPr>
        <w:autoSpaceDE w:val="0"/>
        <w:autoSpaceDN w:val="0"/>
        <w:adjustRightInd w:val="0"/>
        <w:spacing w:line="576" w:lineRule="atLeast"/>
        <w:ind w:firstLine="642" w:firstLineChars="200"/>
        <w:rPr>
          <w:rFonts w:ascii="楷体" w:hAnsi="楷体" w:eastAsia="楷体"/>
          <w:b/>
          <w:color w:val="000000"/>
          <w:sz w:val="32"/>
          <w:szCs w:val="32"/>
        </w:rPr>
      </w:pPr>
      <w:r>
        <w:rPr>
          <w:rFonts w:hint="eastAsia" w:ascii="楷体" w:hAnsi="楷体" w:eastAsia="楷体"/>
          <w:b/>
          <w:color w:val="000000"/>
          <w:sz w:val="32"/>
          <w:szCs w:val="32"/>
        </w:rPr>
        <w:t>（二）政府采购支出情况</w:t>
      </w:r>
      <w:bookmarkEnd w:id="49"/>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9年，茂县渭门镇人民政府采购支出总额</w:t>
      </w:r>
      <w:r>
        <w:rPr>
          <w:rFonts w:hint="eastAsia" w:ascii="仿宋_GB2312" w:eastAsia="仿宋_GB2312" w:cs="仿宋_GB2312"/>
          <w:color w:val="000000"/>
          <w:sz w:val="32"/>
          <w:szCs w:val="32"/>
          <w:lang w:val="en-US" w:eastAsia="zh-CN"/>
        </w:rPr>
        <w:t>11.75</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11.75</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hint="eastAsia" w:ascii="仿宋_GB2312" w:eastAsia="仿宋_GB2312" w:cs="仿宋_GB2312"/>
          <w:color w:val="000000"/>
          <w:sz w:val="32"/>
          <w:szCs w:val="32"/>
          <w:lang w:val="en-US" w:eastAsia="zh-CN"/>
        </w:rPr>
        <w:t>2.23</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18.98</w:t>
      </w:r>
      <w:r>
        <w:rPr>
          <w:rFonts w:ascii="仿宋_GB2312" w:eastAsia="仿宋_GB2312" w:cs="仿宋_GB2312"/>
          <w:color w:val="000000"/>
          <w:sz w:val="32"/>
          <w:szCs w:val="32"/>
        </w:rPr>
        <w:t>%</w:t>
      </w:r>
      <w:r>
        <w:rPr>
          <w:rFonts w:hint="eastAsia" w:ascii="仿宋_GB2312" w:eastAsia="仿宋_GB2312" w:cs="仿宋_GB2312"/>
          <w:color w:val="000000"/>
          <w:sz w:val="32"/>
          <w:szCs w:val="32"/>
        </w:rPr>
        <w:t>，其中：授予小微企业合同金额</w:t>
      </w:r>
      <w:r>
        <w:rPr>
          <w:rFonts w:hint="eastAsia" w:ascii="仿宋_GB2312" w:eastAsia="仿宋_GB2312" w:cs="仿宋_GB2312"/>
          <w:color w:val="000000"/>
          <w:sz w:val="32"/>
          <w:szCs w:val="32"/>
          <w:lang w:val="en-US" w:eastAsia="zh-CN"/>
        </w:rPr>
        <w:t>2.23</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18.98</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autoSpaceDE w:val="0"/>
        <w:autoSpaceDN w:val="0"/>
        <w:adjustRightInd w:val="0"/>
        <w:spacing w:line="576" w:lineRule="atLeast"/>
        <w:ind w:firstLine="642" w:firstLineChars="200"/>
        <w:rPr>
          <w:rFonts w:ascii="楷体" w:hAnsi="楷体" w:eastAsia="楷体"/>
          <w:b/>
          <w:color w:val="000000"/>
          <w:sz w:val="32"/>
          <w:szCs w:val="32"/>
        </w:rPr>
      </w:pPr>
      <w:bookmarkStart w:id="50" w:name="_Toc15377224"/>
      <w:r>
        <w:rPr>
          <w:rFonts w:hint="eastAsia" w:ascii="楷体" w:hAnsi="楷体" w:eastAsia="楷体"/>
          <w:b/>
          <w:color w:val="000000"/>
          <w:sz w:val="32"/>
          <w:szCs w:val="32"/>
        </w:rPr>
        <w:t>（三）国有资产占有使用情况</w:t>
      </w:r>
      <w:bookmarkEnd w:id="50"/>
    </w:p>
    <w:p>
      <w:pPr>
        <w:pageBreakBefore w:val="0"/>
        <w:kinsoku/>
        <w:wordWrap/>
        <w:overflowPunct/>
        <w:topLinePunct w:val="0"/>
        <w:autoSpaceDE w:val="0"/>
        <w:autoSpaceDN w:val="0"/>
        <w:bidi w:val="0"/>
        <w:adjustRightInd w:val="0"/>
        <w:spacing w:line="576" w:lineRule="atLeast"/>
        <w:ind w:left="319" w:leftChars="152" w:firstLine="320" w:firstLineChars="100"/>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w:t>
      </w:r>
      <w:r>
        <w:rPr>
          <w:rFonts w:hint="eastAsia" w:ascii="仿宋_GB2312" w:eastAsia="仿宋_GB2312" w:cs="仿宋_GB2312"/>
          <w:color w:val="000000"/>
          <w:sz w:val="32"/>
          <w:szCs w:val="32"/>
          <w:lang w:eastAsia="zh-CN"/>
        </w:rPr>
        <w:t>渭门镇</w:t>
      </w:r>
      <w:r>
        <w:rPr>
          <w:rFonts w:hint="eastAsia" w:ascii="仿宋_GB2312" w:eastAsia="仿宋_GB2312" w:cs="仿宋_GB2312"/>
          <w:color w:val="000000"/>
          <w:sz w:val="32"/>
          <w:szCs w:val="32"/>
        </w:rPr>
        <w:t>人民政府共有车辆</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车</w:t>
      </w:r>
      <w:r>
        <w:rPr>
          <w:rFonts w:hint="eastAsia" w:ascii="仿宋_GB2312" w:eastAsia="仿宋_GB2312" w:cs="仿宋_GB2312"/>
          <w:color w:val="000000"/>
          <w:sz w:val="32"/>
          <w:szCs w:val="32"/>
          <w:lang w:eastAsia="zh-CN"/>
        </w:rPr>
        <w:t>两</w:t>
      </w:r>
      <w:r>
        <w:rPr>
          <w:rFonts w:hint="eastAsia" w:ascii="仿宋_GB2312" w:eastAsia="仿宋_GB2312" w:cs="仿宋_GB2312"/>
          <w:color w:val="000000"/>
          <w:sz w:val="32"/>
          <w:szCs w:val="32"/>
        </w:rPr>
        <w:t>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576" w:lineRule="atLeast"/>
        <w:ind w:firstLine="642" w:firstLineChars="200"/>
        <w:rPr>
          <w:rFonts w:ascii="仿宋" w:hAnsi="仿宋" w:eastAsia="仿宋"/>
          <w:b/>
          <w:color w:val="000000"/>
          <w:sz w:val="32"/>
          <w:szCs w:val="32"/>
        </w:rPr>
      </w:pPr>
      <w:r>
        <w:rPr>
          <w:rFonts w:hint="eastAsia" w:ascii="楷体" w:hAnsi="楷体" w:eastAsia="楷体"/>
          <w:b/>
          <w:color w:val="000000"/>
          <w:sz w:val="32"/>
          <w:szCs w:val="32"/>
        </w:rPr>
        <w:t>（四）预算绩效管理情况</w:t>
      </w:r>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渭门镇人民政府在年初预算编制阶段，组织对2019年一般公共预算项目开展了预算事前绩效评估，对2个项目编制了绩效目标，预算执行过程中，选取5个项目开展绩效监控，年终执行完毕后，对5个项目开展了绩效目标完成情况梳理填报。</w:t>
      </w:r>
    </w:p>
    <w:p>
      <w:pPr>
        <w:spacing w:line="576" w:lineRule="atLeas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茂县渭门镇人民政府按要求对2019年部门整体支出开展绩效自评，从评价情况来看</w:t>
      </w:r>
      <w:r>
        <w:rPr>
          <w:rFonts w:hint="eastAsia" w:ascii="仿宋_GB2312" w:hAnsi="仿宋_GB2312" w:eastAsia="仿宋_GB2312" w:cs="仿宋_GB2312"/>
          <w:color w:val="000000"/>
          <w:kern w:val="0"/>
          <w:sz w:val="32"/>
          <w:szCs w:val="32"/>
        </w:rPr>
        <w:t>，2019年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autoSpaceDE w:val="0"/>
        <w:autoSpaceDN w:val="0"/>
        <w:adjustRightInd w:val="0"/>
        <w:spacing w:line="576" w:lineRule="atLeast"/>
        <w:ind w:firstLine="642" w:firstLineChars="200"/>
        <w:rPr>
          <w:rFonts w:ascii="楷体" w:hAnsi="楷体" w:eastAsia="楷体" w:cs="楷体_GB2312"/>
          <w:b/>
          <w:color w:val="000000"/>
          <w:sz w:val="32"/>
          <w:szCs w:val="32"/>
        </w:rPr>
      </w:pPr>
      <w:r>
        <w:rPr>
          <w:rFonts w:hint="eastAsia" w:ascii="楷体" w:hAnsi="楷体" w:eastAsia="楷体" w:cs="楷体_GB2312"/>
          <w:b/>
          <w:color w:val="000000"/>
          <w:sz w:val="32"/>
          <w:szCs w:val="32"/>
        </w:rPr>
        <w:t>项目绩效目标完成情况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9年度部门决算中反映“农村道路养护”“基层组织活动和公共服务运行经费”“居家养老服务”“民兵预备役”“四好村建设”等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农村道路养护项目绩效目标完成情况综述。项目全年预算数1.824万元，执行数为1.824万元，完成预算的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。通过项目实施，保障了村道路畅通，</w:t>
      </w:r>
      <w:r>
        <w:rPr>
          <w:rFonts w:hint="eastAsia" w:ascii="仿宋_GB2312" w:eastAsia="仿宋_GB2312" w:cs="仿宋_GB2312"/>
          <w:color w:val="000000"/>
          <w:sz w:val="32"/>
          <w:szCs w:val="32"/>
          <w:lang w:val="zh-CN"/>
        </w:rPr>
        <w:t>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基层组织活动和公共服务运行经费项目绩效目标完成情况综述。项目全年预算数140.645852万元，执行数为112.879万元（包含上年结转资金），完成预算的80.26</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hAnsi="仿宋_GB2312" w:eastAsia="仿宋_GB2312" w:cs="仿宋_GB2312"/>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居家养老服务项目绩效目标完成情况综述。</w:t>
      </w:r>
      <w:r>
        <w:rPr>
          <w:rFonts w:hint="eastAsia" w:ascii="仿宋_GB2312" w:eastAsia="仿宋_GB2312"/>
          <w:color w:val="000000"/>
          <w:sz w:val="32"/>
          <w:szCs w:val="32"/>
        </w:rPr>
        <w:t>项目全年预算数1.9305万元，执行数为1.9305万元，完成预算的100%。通过项目实施，满足了老年人就近就便、多层次、多样化的居家养老服务需求，有效提高老年人生活质量，有助于解决社会老龄化问题，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进一步统一思想、加强领导，完善制度、强化责任，改进措施、提高水平，把养老服务工作做得更好。</w:t>
      </w:r>
    </w:p>
    <w:p>
      <w:pPr>
        <w:autoSpaceDE w:val="0"/>
        <w:autoSpaceDN w:val="0"/>
        <w:adjustRightInd w:val="0"/>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rPr>
        <w:t>民兵预备役项目绩效目标完成情况综述。项目全年预算数2.9998万元，执行数为2.2278万元，完成预算的74.26</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eastAsia="仿宋_GB2312"/>
          <w:color w:val="000000"/>
          <w:sz w:val="32"/>
          <w:szCs w:val="32"/>
        </w:rPr>
        <w:t>通过项目实施，保障我镇开展征兵工作情况的完成，</w:t>
      </w:r>
      <w:r>
        <w:rPr>
          <w:rFonts w:hint="eastAsia" w:ascii="仿宋_GB2312" w:eastAsia="仿宋_GB2312"/>
          <w:color w:val="000000"/>
          <w:sz w:val="32"/>
          <w:szCs w:val="32"/>
          <w:lang w:val="zh-CN"/>
        </w:rPr>
        <w:t>满足了人民群众不断增长的生活需求，</w:t>
      </w:r>
      <w:r>
        <w:rPr>
          <w:rFonts w:hint="eastAsia" w:ascii="仿宋_GB2312" w:eastAsia="仿宋_GB2312"/>
          <w:color w:val="000000"/>
          <w:sz w:val="32"/>
          <w:szCs w:val="32"/>
        </w:rPr>
        <w:t>为社会稳定提供了良好的条件，发现的主要问题是实施没有达到预期的计划。下一步改进措施：加强组织领导，强化督促检查，严格遵守预备役兵役制度，加快项目实施进度，确保各项工作任务的有序开展。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rPr>
        <w:t>“四好村”项目绩效目标完成情况综述。项目全年预算数4万元，执行数为4万元，完成预算的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。通过项目实施，提升了各村基础设施设备</w:t>
      </w:r>
      <w:r>
        <w:rPr>
          <w:rFonts w:hint="eastAsia" w:ascii="仿宋_GB2312" w:eastAsia="仿宋_GB2312" w:cs="仿宋_GB2312"/>
          <w:color w:val="000000"/>
          <w:sz w:val="32"/>
          <w:szCs w:val="32"/>
          <w:lang w:val="zh-CN"/>
        </w:rPr>
        <w:t>，改善了人民群众出行与生产生活条件，提高人居生活质量</w:t>
      </w:r>
      <w:r>
        <w:rPr>
          <w:rFonts w:hint="eastAsia" w:ascii="仿宋_GB2312" w:eastAsia="仿宋_GB2312" w:cs="仿宋_GB2312"/>
          <w:color w:val="000000"/>
          <w:sz w:val="32"/>
          <w:szCs w:val="32"/>
        </w:rPr>
        <w:t>。</w:t>
      </w:r>
    </w:p>
    <w:p>
      <w:pPr>
        <w:autoSpaceDE w:val="0"/>
        <w:autoSpaceDN w:val="0"/>
        <w:adjustRightInd w:val="0"/>
        <w:spacing w:line="576" w:lineRule="atLeast"/>
        <w:rPr>
          <w:rFonts w:ascii="仿宋_GB2312" w:eastAsia="仿宋_GB2312"/>
          <w:color w:val="000000"/>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147"/>
        <w:gridCol w:w="1020"/>
        <w:gridCol w:w="996"/>
        <w:gridCol w:w="2011"/>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spacing w:line="576" w:lineRule="atLeast"/>
              <w:ind w:firstLine="0" w:firstLineChars="0"/>
              <w:jc w:val="center"/>
              <w:textAlignment w:val="center"/>
              <w:rPr>
                <w:rFonts w:ascii="宋体"/>
                <w:b/>
                <w:bCs/>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316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679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9年农村组道公路项目</w:t>
            </w:r>
          </w:p>
        </w:tc>
      </w:tr>
      <w:tr>
        <w:tblPrEx>
          <w:tblCellMar>
            <w:top w:w="0" w:type="dxa"/>
            <w:left w:w="0" w:type="dxa"/>
            <w:bottom w:w="0" w:type="dxa"/>
            <w:right w:w="0" w:type="dxa"/>
          </w:tblCellMar>
        </w:tblPrEx>
        <w:trPr>
          <w:trHeight w:val="276" w:hRule="atLeast"/>
        </w:trPr>
        <w:tc>
          <w:tcPr>
            <w:tcW w:w="316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679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76" w:hRule="atLeast"/>
        </w:trPr>
        <w:tc>
          <w:tcPr>
            <w:tcW w:w="11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0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1.824万元</w:t>
            </w:r>
          </w:p>
        </w:tc>
      </w:tr>
      <w:tr>
        <w:tblPrEx>
          <w:tblCellMar>
            <w:top w:w="0" w:type="dxa"/>
            <w:left w:w="0" w:type="dxa"/>
            <w:bottom w:w="0" w:type="dxa"/>
            <w:right w:w="0" w:type="dxa"/>
          </w:tblCellMar>
        </w:tblPrEx>
        <w:trPr>
          <w:trHeight w:val="538"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0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1.824万元</w:t>
            </w:r>
          </w:p>
        </w:tc>
      </w:tr>
      <w:tr>
        <w:tblPrEx>
          <w:tblCellMar>
            <w:top w:w="0" w:type="dxa"/>
            <w:left w:w="0" w:type="dxa"/>
            <w:bottom w:w="0" w:type="dxa"/>
            <w:right w:w="0" w:type="dxa"/>
          </w:tblCellMar>
        </w:tblPrEx>
        <w:trPr>
          <w:trHeight w:val="580"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0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11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0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684"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0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改善各村组道路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村组道路得到，保障道路畅通</w:t>
            </w:r>
          </w:p>
        </w:tc>
      </w:tr>
      <w:tr>
        <w:tblPrEx>
          <w:tblCellMar>
            <w:top w:w="0" w:type="dxa"/>
            <w:left w:w="0" w:type="dxa"/>
            <w:bottom w:w="0" w:type="dxa"/>
            <w:right w:w="0" w:type="dxa"/>
          </w:tblCellMar>
        </w:tblPrEx>
        <w:trPr>
          <w:trHeight w:val="1042" w:hRule="atLeast"/>
        </w:trPr>
        <w:tc>
          <w:tcPr>
            <w:tcW w:w="11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1229"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养护各村组道路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1.824万元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1.824万元</w:t>
            </w:r>
          </w:p>
        </w:tc>
      </w:tr>
      <w:tr>
        <w:tblPrEx>
          <w:tblCellMar>
            <w:top w:w="0" w:type="dxa"/>
            <w:left w:w="0" w:type="dxa"/>
            <w:bottom w:w="0" w:type="dxa"/>
            <w:right w:w="0" w:type="dxa"/>
          </w:tblCellMar>
        </w:tblPrEx>
        <w:trPr>
          <w:trHeight w:val="1325"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道路养护使用水泥砂石等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1.824万元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1.824万元</w:t>
            </w:r>
          </w:p>
        </w:tc>
      </w:tr>
      <w:tr>
        <w:tblPrEx>
          <w:tblCellMar>
            <w:top w:w="0" w:type="dxa"/>
            <w:left w:w="0" w:type="dxa"/>
            <w:bottom w:w="0" w:type="dxa"/>
            <w:right w:w="0" w:type="dxa"/>
          </w:tblCellMar>
        </w:tblPrEx>
        <w:trPr>
          <w:trHeight w:val="1042"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337"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全村人员出行得到保障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147"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087"/>
        <w:gridCol w:w="670"/>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spacing w:line="576" w:lineRule="atLeast"/>
              <w:ind w:firstLine="0" w:firstLineChars="0"/>
              <w:jc w:val="center"/>
              <w:textAlignment w:val="center"/>
              <w:rPr>
                <w:rFonts w:ascii="宋体"/>
                <w:b/>
                <w:bCs/>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utoSpaceDE w:val="0"/>
              <w:autoSpaceDN w:val="0"/>
              <w:adjustRightInd w:val="0"/>
              <w:spacing w:line="576" w:lineRule="atLeast"/>
              <w:rPr>
                <w:rFonts w:ascii="仿宋_GB2312" w:hAnsi="仿宋_GB2312" w:eastAsia="仿宋_GB2312"/>
                <w:color w:val="000000"/>
                <w:sz w:val="24"/>
              </w:rPr>
            </w:pPr>
            <w:r>
              <w:rPr>
                <w:rFonts w:hint="eastAsia" w:ascii="仿宋_GB2312" w:eastAsia="仿宋_GB2312"/>
                <w:color w:val="000000"/>
                <w:sz w:val="24"/>
              </w:rPr>
              <w:t>基层组织和公共服务运行费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76"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140.645852万元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112.879万元</w:t>
            </w:r>
          </w:p>
        </w:tc>
      </w:tr>
      <w:tr>
        <w:tblPrEx>
          <w:tblCellMar>
            <w:top w:w="0" w:type="dxa"/>
            <w:left w:w="0" w:type="dxa"/>
            <w:bottom w:w="0" w:type="dxa"/>
            <w:right w:w="0" w:type="dxa"/>
          </w:tblCellMar>
        </w:tblPrEx>
        <w:trPr>
          <w:trHeight w:val="761"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140.645852万元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112.879万元</w:t>
            </w:r>
          </w:p>
        </w:tc>
      </w:tr>
      <w:tr>
        <w:tblPrEx>
          <w:tblCellMar>
            <w:top w:w="0" w:type="dxa"/>
            <w:left w:w="0" w:type="dxa"/>
            <w:bottom w:w="0" w:type="dxa"/>
            <w:right w:w="0" w:type="dxa"/>
          </w:tblCellMar>
        </w:tblPrEx>
        <w:trPr>
          <w:trHeight w:val="471"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0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215"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0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w:t>
            </w: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140.645852万元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112.879万元</w:t>
            </w:r>
          </w:p>
        </w:tc>
      </w:tr>
      <w:tr>
        <w:tblPrEx>
          <w:tblCellMar>
            <w:top w:w="0" w:type="dxa"/>
            <w:left w:w="0" w:type="dxa"/>
            <w:bottom w:w="0" w:type="dxa"/>
            <w:right w:w="0" w:type="dxa"/>
          </w:tblCellMar>
        </w:tblPrEx>
        <w:trPr>
          <w:trHeight w:val="881"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947"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140.645852万元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112.879万元</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保障了各村正常办公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28"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保障各村正常办公，提高工作效率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78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为全村经济发展奠定了基础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087"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spacing w:line="576" w:lineRule="atLeast"/>
              <w:ind w:firstLine="0" w:firstLineChars="0"/>
              <w:jc w:val="center"/>
              <w:textAlignment w:val="center"/>
              <w:rPr>
                <w:rFonts w:ascii="黑体" w:hAnsi="黑体" w:eastAsia="黑体" w:cs="黑体"/>
                <w:color w:val="000000"/>
                <w:kern w:val="0"/>
                <w:sz w:val="36"/>
                <w:szCs w:val="36"/>
              </w:rPr>
            </w:pPr>
          </w:p>
          <w:p>
            <w:pPr>
              <w:pStyle w:val="24"/>
              <w:spacing w:line="576" w:lineRule="atLeast"/>
              <w:ind w:firstLine="0" w:firstLineChars="0"/>
              <w:jc w:val="center"/>
              <w:textAlignment w:val="center"/>
              <w:rPr>
                <w:rFonts w:ascii="黑体" w:hAnsi="黑体" w:eastAsia="黑体" w:cs="黑体"/>
                <w:color w:val="000000"/>
                <w:kern w:val="0"/>
                <w:sz w:val="36"/>
                <w:szCs w:val="36"/>
              </w:rPr>
            </w:pPr>
          </w:p>
          <w:p>
            <w:pPr>
              <w:pStyle w:val="24"/>
              <w:spacing w:line="576" w:lineRule="atLeast"/>
              <w:ind w:firstLine="0" w:firstLineChars="0"/>
              <w:jc w:val="center"/>
              <w:textAlignment w:val="center"/>
              <w:rPr>
                <w:rFonts w:ascii="黑体" w:hAnsi="黑体" w:eastAsia="黑体" w:cs="黑体"/>
                <w:color w:val="000000"/>
                <w:kern w:val="0"/>
                <w:sz w:val="36"/>
                <w:szCs w:val="36"/>
              </w:rPr>
            </w:pPr>
          </w:p>
          <w:p>
            <w:pPr>
              <w:pStyle w:val="24"/>
              <w:spacing w:line="576" w:lineRule="atLeast"/>
              <w:ind w:firstLine="0" w:firstLineChars="0"/>
              <w:textAlignment w:val="center"/>
              <w:rPr>
                <w:rFonts w:ascii="黑体" w:hAnsi="黑体" w:eastAsia="黑体" w:cs="黑体"/>
                <w:color w:val="000000"/>
                <w:kern w:val="0"/>
                <w:sz w:val="36"/>
                <w:szCs w:val="36"/>
              </w:rPr>
            </w:pPr>
          </w:p>
          <w:p>
            <w:pPr>
              <w:pStyle w:val="24"/>
              <w:spacing w:line="576" w:lineRule="atLeast"/>
              <w:ind w:firstLine="0" w:firstLineChars="0"/>
              <w:textAlignment w:val="center"/>
              <w:rPr>
                <w:rFonts w:ascii="黑体" w:hAnsi="黑体" w:eastAsia="黑体" w:cs="黑体"/>
                <w:color w:val="000000"/>
                <w:kern w:val="0"/>
                <w:sz w:val="36"/>
                <w:szCs w:val="36"/>
              </w:rPr>
            </w:pPr>
          </w:p>
          <w:p>
            <w:pPr>
              <w:pStyle w:val="24"/>
              <w:spacing w:line="576" w:lineRule="atLeast"/>
              <w:ind w:firstLine="0" w:firstLineChars="0"/>
              <w:textAlignment w:val="center"/>
              <w:rPr>
                <w:rFonts w:ascii="黑体" w:hAnsi="黑体" w:eastAsia="黑体" w:cs="黑体"/>
                <w:color w:val="000000"/>
                <w:kern w:val="0"/>
                <w:sz w:val="36"/>
                <w:szCs w:val="36"/>
              </w:rPr>
            </w:pPr>
          </w:p>
          <w:p>
            <w:pPr>
              <w:pStyle w:val="24"/>
              <w:spacing w:line="576" w:lineRule="atLeast"/>
              <w:ind w:firstLine="0" w:firstLineChars="0"/>
              <w:jc w:val="center"/>
              <w:textAlignment w:val="center"/>
              <w:rPr>
                <w:rFonts w:hint="eastAsia" w:ascii="黑体" w:hAnsi="黑体" w:eastAsia="黑体" w:cs="黑体"/>
                <w:color w:val="000000"/>
                <w:kern w:val="0"/>
                <w:sz w:val="36"/>
                <w:szCs w:val="36"/>
              </w:rPr>
            </w:pPr>
          </w:p>
          <w:p>
            <w:pPr>
              <w:pStyle w:val="24"/>
              <w:spacing w:line="576" w:lineRule="atLeast"/>
              <w:ind w:firstLine="0" w:firstLineChars="0"/>
              <w:jc w:val="center"/>
              <w:textAlignment w:val="center"/>
              <w:rPr>
                <w:rFonts w:hint="eastAsia" w:ascii="黑体" w:hAnsi="黑体" w:eastAsia="黑体" w:cs="黑体"/>
                <w:color w:val="000000"/>
                <w:kern w:val="0"/>
                <w:sz w:val="36"/>
                <w:szCs w:val="36"/>
              </w:rPr>
            </w:pPr>
          </w:p>
          <w:p>
            <w:pPr>
              <w:pStyle w:val="24"/>
              <w:spacing w:line="576" w:lineRule="atLeast"/>
              <w:ind w:firstLine="0" w:firstLineChars="0"/>
              <w:jc w:val="center"/>
              <w:textAlignment w:val="center"/>
              <w:rPr>
                <w:rFonts w:hint="eastAsia" w:ascii="黑体" w:hAnsi="黑体" w:eastAsia="黑体" w:cs="黑体"/>
                <w:color w:val="000000"/>
                <w:kern w:val="0"/>
                <w:sz w:val="36"/>
                <w:szCs w:val="36"/>
              </w:rPr>
            </w:pPr>
          </w:p>
          <w:p>
            <w:pPr>
              <w:pStyle w:val="24"/>
              <w:spacing w:line="576" w:lineRule="atLeast"/>
              <w:ind w:firstLine="0" w:firstLineChars="0"/>
              <w:jc w:val="center"/>
              <w:textAlignment w:val="center"/>
              <w:rPr>
                <w:rFonts w:ascii="宋体"/>
                <w:b/>
                <w:bCs/>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居家养老服务</w:t>
            </w:r>
            <w:r>
              <w:rPr>
                <w:rFonts w:hint="eastAsia" w:ascii="仿宋_GB2312" w:eastAsia="仿宋_GB2312" w:cs="仿宋_GB2312"/>
                <w:color w:val="000000"/>
                <w:sz w:val="24"/>
              </w:rPr>
              <w:t>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684"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1.9305万元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1.9305万元</w:t>
            </w:r>
          </w:p>
        </w:tc>
      </w:tr>
      <w:tr>
        <w:tblPrEx>
          <w:tblCellMar>
            <w:top w:w="0" w:type="dxa"/>
            <w:left w:w="0" w:type="dxa"/>
            <w:bottom w:w="0" w:type="dxa"/>
            <w:right w:w="0" w:type="dxa"/>
          </w:tblCellMar>
        </w:tblPrEx>
        <w:trPr>
          <w:trHeight w:val="276"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1.9305万元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1.9305万元</w:t>
            </w:r>
          </w:p>
        </w:tc>
      </w:tr>
      <w:tr>
        <w:tblPrEx>
          <w:tblCellMar>
            <w:top w:w="0" w:type="dxa"/>
            <w:left w:w="0" w:type="dxa"/>
            <w:bottom w:w="0" w:type="dxa"/>
            <w:right w:w="0" w:type="dxa"/>
          </w:tblCellMar>
        </w:tblPrEx>
        <w:trPr>
          <w:trHeight w:val="102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0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0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满足老年人养老需求，提高生活质量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实现老年人养老需求，提高生活质量</w:t>
            </w:r>
          </w:p>
        </w:tc>
      </w:tr>
      <w:tr>
        <w:tblPrEx>
          <w:tblCellMar>
            <w:top w:w="0" w:type="dxa"/>
            <w:left w:w="0" w:type="dxa"/>
            <w:bottom w:w="0" w:type="dxa"/>
            <w:right w:w="0" w:type="dxa"/>
          </w:tblCellMar>
        </w:tblPrEx>
        <w:trPr>
          <w:trHeight w:val="1042"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1289"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满足老年人养老需求，提高生活质量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1.9305万元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1.9305万元</w:t>
            </w:r>
          </w:p>
        </w:tc>
      </w:tr>
      <w:tr>
        <w:tblPrEx>
          <w:tblCellMar>
            <w:top w:w="0" w:type="dxa"/>
            <w:left w:w="0" w:type="dxa"/>
            <w:bottom w:w="0" w:type="dxa"/>
            <w:right w:w="0" w:type="dxa"/>
          </w:tblCellMar>
        </w:tblPrEx>
        <w:trPr>
          <w:trHeight w:val="1297"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1.9305万元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1.9305万元</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满足老年人生活需求，提高生活质量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满足老年人生活需求，提高生活质量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087"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582"/>
        <w:gridCol w:w="142"/>
        <w:gridCol w:w="1033"/>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4"/>
              <w:spacing w:line="576" w:lineRule="atLeast"/>
              <w:ind w:firstLine="0" w:firstLineChars="0"/>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 xml:space="preserve"> (201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民兵预备役</w:t>
            </w:r>
            <w:r>
              <w:rPr>
                <w:rFonts w:hint="eastAsia" w:ascii="仿宋_GB2312" w:eastAsia="仿宋_GB2312" w:cs="仿宋_GB2312"/>
                <w:color w:val="000000"/>
                <w:sz w:val="24"/>
              </w:rPr>
              <w:t>项目</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57"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2.9998万元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2.2278万元</w:t>
            </w:r>
          </w:p>
        </w:tc>
      </w:tr>
      <w:tr>
        <w:tblPrEx>
          <w:tblCellMar>
            <w:top w:w="0" w:type="dxa"/>
            <w:left w:w="0" w:type="dxa"/>
            <w:bottom w:w="0" w:type="dxa"/>
            <w:right w:w="0" w:type="dxa"/>
          </w:tblCellMar>
        </w:tblPrEx>
        <w:trPr>
          <w:trHeight w:val="5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2.9998万元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2.2278万元</w:t>
            </w:r>
          </w:p>
        </w:tc>
      </w:tr>
      <w:tr>
        <w:tblPrEx>
          <w:tblCellMar>
            <w:top w:w="0" w:type="dxa"/>
            <w:left w:w="0" w:type="dxa"/>
            <w:bottom w:w="0" w:type="dxa"/>
            <w:right w:w="0" w:type="dxa"/>
          </w:tblCellMar>
        </w:tblPrEx>
        <w:trPr>
          <w:trHeight w:val="5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5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5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olor w:val="000000"/>
                <w:sz w:val="24"/>
              </w:rPr>
              <w:t>保障我镇开展征兵工作情况的完成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olor w:val="000000"/>
                <w:sz w:val="24"/>
              </w:rPr>
              <w:t>保障我镇开展征兵工作情况的完成</w:t>
            </w:r>
          </w:p>
        </w:tc>
      </w:tr>
      <w:tr>
        <w:tblPrEx>
          <w:tblCellMar>
            <w:top w:w="0" w:type="dxa"/>
            <w:left w:w="0" w:type="dxa"/>
            <w:bottom w:w="0" w:type="dxa"/>
            <w:right w:w="0" w:type="dxa"/>
          </w:tblCellMar>
        </w:tblPrEx>
        <w:trPr>
          <w:trHeight w:val="104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olor w:val="000000"/>
                <w:sz w:val="24"/>
              </w:rPr>
              <w:t>保障我镇开展征兵工作情况的完成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2.9998万元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2.2278万元</w:t>
            </w: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保障我镇征兵工作有序开展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保障我镇征兵工作有序开展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4"/>
              <w:spacing w:line="576" w:lineRule="atLeast"/>
              <w:ind w:left="2751" w:leftChars="1310"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jc w:val="center"/>
              <w:textAlignment w:val="center"/>
              <w:rPr>
                <w:rFonts w:ascii="宋体"/>
                <w:b/>
                <w:bCs/>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hAnsi="宋体" w:cs="宋体"/>
                <w:color w:val="000000"/>
                <w:kern w:val="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“四好村”建设</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trPr>
        <w:tc>
          <w:tcPr>
            <w:tcW w:w="72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4万元</w:t>
            </w:r>
          </w:p>
        </w:tc>
      </w:tr>
      <w:tr>
        <w:tblPrEx>
          <w:tblCellMar>
            <w:top w:w="0" w:type="dxa"/>
            <w:left w:w="0" w:type="dxa"/>
            <w:bottom w:w="0" w:type="dxa"/>
            <w:right w:w="0" w:type="dxa"/>
          </w:tblCellMar>
        </w:tblPrEx>
        <w:trPr>
          <w:trHeight w:val="28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4万元</w:t>
            </w:r>
          </w:p>
        </w:tc>
      </w:tr>
      <w:tr>
        <w:tblPrEx>
          <w:tblCellMar>
            <w:top w:w="0" w:type="dxa"/>
            <w:left w:w="0" w:type="dxa"/>
            <w:bottom w:w="0" w:type="dxa"/>
            <w:right w:w="0" w:type="dxa"/>
          </w:tblCellMar>
        </w:tblPrEx>
        <w:trPr>
          <w:trHeight w:val="28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72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060"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提高人民群众生产生活质量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提高人民群众生产生活质量</w:t>
            </w:r>
          </w:p>
        </w:tc>
      </w:tr>
      <w:tr>
        <w:tblPrEx>
          <w:tblCellMar>
            <w:top w:w="0" w:type="dxa"/>
            <w:left w:w="0" w:type="dxa"/>
            <w:bottom w:w="0" w:type="dxa"/>
            <w:right w:w="0" w:type="dxa"/>
          </w:tblCellMar>
        </w:tblPrEx>
        <w:trPr>
          <w:trHeight w:val="1042" w:hRule="atLeast"/>
        </w:trPr>
        <w:tc>
          <w:tcPr>
            <w:tcW w:w="72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4万元4</w:t>
            </w:r>
          </w:p>
        </w:tc>
      </w:tr>
      <w:tr>
        <w:tblPrEx>
          <w:tblCellMar>
            <w:top w:w="0" w:type="dxa"/>
            <w:left w:w="0" w:type="dxa"/>
            <w:bottom w:w="0" w:type="dxa"/>
            <w:right w:w="0" w:type="dxa"/>
          </w:tblCellMar>
        </w:tblPrEx>
        <w:trPr>
          <w:trHeight w:val="1297"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4万元</w:t>
            </w:r>
          </w:p>
        </w:tc>
      </w:tr>
      <w:tr>
        <w:tblPrEx>
          <w:tblCellMar>
            <w:top w:w="0" w:type="dxa"/>
            <w:left w:w="0" w:type="dxa"/>
            <w:bottom w:w="0" w:type="dxa"/>
            <w:right w:w="0" w:type="dxa"/>
          </w:tblCellMar>
        </w:tblPrEx>
        <w:trPr>
          <w:trHeight w:val="830"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提高各村的基础设施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为达到“乡村振兴”奠定了基础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724" w:type="dxa"/>
            <w:gridSpan w:val="2"/>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autoSpaceDE w:val="0"/>
        <w:autoSpaceDN w:val="0"/>
        <w:adjustRightInd w:val="0"/>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本单位按要求对2019年部门整体支出绩效评价情况开展自评，《茂县渭门镇人民政府2019年部门整体支出绩效评价报告》见附件。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spacing w:line="576" w:lineRule="atLeast"/>
        <w:jc w:val="center"/>
        <w:outlineLvl w:val="0"/>
        <w:rPr>
          <w:rStyle w:val="31"/>
          <w:rFonts w:ascii="方正小标宋简体" w:hAnsi="方正小标宋简体" w:eastAsia="方正小标宋简体"/>
          <w:b w:val="0"/>
          <w:bCs w:val="0"/>
        </w:rPr>
      </w:pPr>
      <w:bookmarkStart w:id="51" w:name="_Toc15396613"/>
      <w:bookmarkStart w:id="52" w:name="_Toc15377225"/>
      <w:bookmarkStart w:id="53" w:name="_Toc15396614"/>
      <w:bookmarkStart w:id="54" w:name="_Toc15377226"/>
      <w:r>
        <w:rPr>
          <w:rFonts w:hint="eastAsia" w:ascii="方正小标宋简体" w:hAnsi="方正小标宋简体" w:eastAsia="方正小标宋简体" w:cs="方正小标宋简体"/>
          <w:color w:val="000000"/>
          <w:sz w:val="44"/>
          <w:szCs w:val="44"/>
        </w:rPr>
        <w:t>第三部分 名</w:t>
      </w:r>
      <w:r>
        <w:rPr>
          <w:rStyle w:val="31"/>
          <w:rFonts w:hint="eastAsia" w:ascii="方正小标宋简体" w:hAnsi="方正小标宋简体" w:eastAsia="方正小标宋简体" w:cs="方正小标宋简体"/>
          <w:b w:val="0"/>
          <w:bCs w:val="0"/>
        </w:rPr>
        <w:t>词解释</w:t>
      </w:r>
      <w:bookmarkEnd w:id="51"/>
      <w:bookmarkEnd w:id="52"/>
    </w:p>
    <w:p>
      <w:pPr>
        <w:spacing w:line="576" w:lineRule="atLeast"/>
        <w:rPr>
          <w:rFonts w:ascii="仿宋_GB2312" w:eastAsia="仿宋_GB2312"/>
          <w:b/>
          <w:bCs/>
          <w:color w:val="000000"/>
          <w:sz w:val="32"/>
          <w:szCs w:val="32"/>
        </w:rPr>
      </w:pP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15"/>
          <w:rFonts w:ascii="仿宋_GB2312" w:hAnsi="仿宋_GB2312" w:eastAsia="仿宋_GB2312"/>
          <w:b w:val="0"/>
          <w:color w:val="0000FF"/>
          <w:sz w:val="32"/>
          <w:szCs w:val="32"/>
        </w:rPr>
      </w:pPr>
      <w:r>
        <w:rPr>
          <w:rStyle w:val="15"/>
          <w:rFonts w:ascii="仿宋_GB2312" w:hAnsi="仿宋_GB2312" w:eastAsia="仿宋_GB2312" w:cs="仿宋_GB2312"/>
          <w:b w:val="0"/>
          <w:color w:val="000000"/>
          <w:sz w:val="32"/>
          <w:szCs w:val="32"/>
        </w:rPr>
        <w:t>9.</w:t>
      </w:r>
      <w:r>
        <w:rPr>
          <w:rStyle w:val="15"/>
          <w:rFonts w:hint="eastAsia" w:ascii="仿宋_GB2312" w:hAnsi="仿宋_GB2312" w:eastAsia="仿宋_GB2312" w:cs="仿宋_GB2312"/>
          <w:b w:val="0"/>
          <w:color w:val="000000"/>
          <w:sz w:val="32"/>
          <w:szCs w:val="32"/>
        </w:rPr>
        <w:t>一般公共服务（</w:t>
      </w:r>
      <w:r>
        <w:rPr>
          <w:rStyle w:val="15"/>
          <w:rFonts w:hint="eastAsia" w:ascii="仿宋_GB2312" w:hAnsi="仿宋_GB2312" w:eastAsia="仿宋_GB2312" w:cs="仿宋_GB2312"/>
          <w:b w:val="0"/>
          <w:color w:val="000000"/>
          <w:sz w:val="32"/>
          <w:szCs w:val="32"/>
          <w:lang w:eastAsia="zh-CN"/>
        </w:rPr>
        <w:t>类</w:t>
      </w:r>
      <w:r>
        <w:rPr>
          <w:rStyle w:val="15"/>
          <w:rFonts w:hint="eastAsia" w:ascii="仿宋_GB2312" w:hAnsi="仿宋_GB2312" w:eastAsia="仿宋_GB2312" w:cs="仿宋_GB2312"/>
          <w:b w:val="0"/>
          <w:color w:val="000000"/>
          <w:sz w:val="32"/>
          <w:szCs w:val="32"/>
        </w:rPr>
        <w:t>）人大事务（</w:t>
      </w:r>
      <w:r>
        <w:rPr>
          <w:rStyle w:val="15"/>
          <w:rFonts w:hint="eastAsia" w:ascii="仿宋_GB2312" w:hAnsi="仿宋_GB2312" w:eastAsia="仿宋_GB2312" w:cs="仿宋_GB2312"/>
          <w:b w:val="0"/>
          <w:color w:val="000000"/>
          <w:sz w:val="32"/>
          <w:szCs w:val="32"/>
          <w:lang w:eastAsia="zh-CN"/>
        </w:rPr>
        <w:t>款</w:t>
      </w:r>
      <w:r>
        <w:rPr>
          <w:rStyle w:val="15"/>
          <w:rFonts w:hint="eastAsia" w:ascii="仿宋_GB2312" w:hAnsi="仿宋_GB2312" w:eastAsia="仿宋_GB2312" w:cs="仿宋_GB2312"/>
          <w:b w:val="0"/>
          <w:color w:val="000000"/>
          <w:sz w:val="32"/>
          <w:szCs w:val="32"/>
        </w:rPr>
        <w:t>）人大会议</w:t>
      </w:r>
      <w:r>
        <w:rPr>
          <w:rStyle w:val="15"/>
          <w:rFonts w:hint="eastAsia" w:ascii="仿宋_GB2312" w:hAnsi="仿宋_GB2312" w:eastAsia="仿宋_GB2312" w:cs="仿宋_GB2312"/>
          <w:b w:val="0"/>
          <w:color w:val="000000"/>
          <w:sz w:val="32"/>
          <w:szCs w:val="32"/>
          <w:lang w:eastAsia="zh-CN"/>
        </w:rPr>
        <w:t>项</w:t>
      </w:r>
      <w:r>
        <w:rPr>
          <w:rStyle w:val="15"/>
          <w:rFonts w:hint="eastAsia"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lang w:eastAsia="zh-CN"/>
        </w:rPr>
        <w:t>项</w:t>
      </w:r>
      <w:r>
        <w:rPr>
          <w:rStyle w:val="15"/>
          <w:rFonts w:hint="eastAsia" w:ascii="仿宋_GB2312" w:hAnsi="仿宋_GB2312" w:eastAsia="仿宋_GB2312" w:cs="仿宋_GB2312"/>
          <w:b w:val="0"/>
          <w:color w:val="000000"/>
          <w:sz w:val="32"/>
          <w:szCs w:val="32"/>
        </w:rPr>
        <w:t>）</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5"/>
          <w:rFonts w:hint="eastAsia" w:ascii="仿宋_GB2312" w:hAnsi="仿宋_GB2312" w:eastAsia="仿宋_GB2312" w:cs="仿宋_GB2312"/>
          <w:b w:val="0"/>
          <w:color w:val="0000FF"/>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10.</w:t>
      </w:r>
      <w:r>
        <w:rPr>
          <w:rStyle w:val="15"/>
          <w:rFonts w:hint="eastAsia" w:ascii="仿宋_GB2312" w:hAnsi="仿宋_GB2312" w:eastAsia="仿宋_GB2312" w:cs="仿宋_GB2312"/>
          <w:b w:val="0"/>
          <w:color w:val="000000"/>
          <w:sz w:val="32"/>
          <w:szCs w:val="32"/>
        </w:rPr>
        <w:t>一般公共服务（类）政府办公厅（室）及相关机构事务（款）行政运行（项）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11.</w:t>
      </w:r>
      <w:r>
        <w:rPr>
          <w:rStyle w:val="15"/>
          <w:rFonts w:hint="eastAsia" w:ascii="仿宋_GB2312" w:hAnsi="仿宋_GB2312" w:eastAsia="仿宋_GB2312" w:cs="仿宋_GB2312"/>
          <w:b w:val="0"/>
          <w:color w:val="000000"/>
          <w:sz w:val="32"/>
          <w:szCs w:val="32"/>
        </w:rPr>
        <w:t>一般公共服务（类）财政事务（款）事业运行（项）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12.</w:t>
      </w:r>
      <w:r>
        <w:rPr>
          <w:rStyle w:val="15"/>
          <w:rFonts w:hint="eastAsia" w:ascii="仿宋_GB2312" w:hAnsi="仿宋_GB2312" w:eastAsia="仿宋_GB2312" w:cs="仿宋_GB2312"/>
          <w:b w:val="0"/>
          <w:color w:val="000000"/>
          <w:sz w:val="32"/>
          <w:szCs w:val="32"/>
        </w:rPr>
        <w:t>一般公共服务（类）民族事务（款）其他民族事务支出（项）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13.</w:t>
      </w:r>
      <w:r>
        <w:rPr>
          <w:rStyle w:val="15"/>
          <w:rFonts w:hint="eastAsia" w:ascii="仿宋_GB2312" w:hAnsi="仿宋_GB2312" w:eastAsia="仿宋_GB2312" w:cs="仿宋_GB2312"/>
          <w:b w:val="0"/>
          <w:color w:val="000000"/>
          <w:sz w:val="32"/>
          <w:szCs w:val="32"/>
        </w:rPr>
        <w:t>一般公共服务（类）党委办公厅（室）及相关机构事务（款）行政运行（项）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14.</w:t>
      </w:r>
      <w:r>
        <w:rPr>
          <w:rStyle w:val="15"/>
          <w:rFonts w:hint="eastAsia" w:ascii="仿宋_GB2312" w:hAnsi="仿宋_GB2312" w:eastAsia="仿宋_GB2312" w:cs="仿宋_GB2312"/>
          <w:b w:val="0"/>
          <w:color w:val="000000"/>
          <w:sz w:val="32"/>
          <w:szCs w:val="32"/>
        </w:rPr>
        <w:t>国防支出（类）其他国防支出（款）其他国防支出（项）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w:t>
      </w:r>
      <w:r>
        <w:rPr>
          <w:rStyle w:val="15"/>
          <w:rFonts w:hint="eastAsia" w:ascii="仿宋_GB2312" w:hAnsi="仿宋_GB2312" w:eastAsia="仿宋_GB2312" w:cs="仿宋_GB2312"/>
          <w:b w:val="0"/>
          <w:color w:val="000000"/>
          <w:sz w:val="32"/>
          <w:szCs w:val="32"/>
        </w:rPr>
        <w:t>5</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16</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17</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社会保障和就业（类）社会福利（款）老年福利（项）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18</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社会保障和就业（类）社会福利（款）其他社会福利支出（项）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19</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医疗卫生与计划生育（类）基层医疗卫生机构（款）镇镇卫生院（项）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20</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医疗卫生与计划生育（类）行政事业单位医疗（款）行政单位医疗（项）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21</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医疗卫生与计划生育（类）行政事业单位医疗（款）事业单位医疗（项）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22</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农林水支出（类）农业（款）事业运行（项）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23</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农林水支出（类）农业（款）农业资源保护修复与利用（项）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24</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农林水支出（类）农业（款）其他农业支出（项）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25</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农林水支出（类）扶贫（款）农村基础设施建设（项）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指用于农村贫困地区镇村道路、住房、基本农田、水利设施、</w:t>
      </w:r>
      <w:r>
        <w:rPr>
          <w:rStyle w:val="15"/>
          <w:rFonts w:hint="eastAsia" w:ascii="仿宋_GB2312" w:hAnsi="仿宋_GB2312" w:eastAsia="仿宋_GB2312" w:cs="仿宋_GB2312"/>
          <w:b w:val="0"/>
          <w:color w:val="000000"/>
          <w:sz w:val="32"/>
          <w:szCs w:val="32"/>
          <w:lang w:eastAsia="zh-CN"/>
        </w:rPr>
        <w:t>人畜饮水</w:t>
      </w:r>
      <w:r>
        <w:rPr>
          <w:rStyle w:val="15"/>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26</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农林水支出（类）扶贫（款）其他扶贫支出（项）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27</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农林水支出（类）农村综合改革（款）对村委会和村党支部的补助（项）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28</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农林水支出（类）其他农林水支出（款）其他农林水支出（项）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15"/>
          <w:rFonts w:hint="eastAsia" w:ascii="仿宋_GB2312" w:hAnsi="仿宋_GB2312" w:eastAsia="仿宋_GB2312" w:cs="仿宋_GB2312"/>
          <w:b w:val="0"/>
          <w:color w:val="000000"/>
          <w:sz w:val="32"/>
          <w:szCs w:val="32"/>
        </w:rPr>
        <w:t>29</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住房保障支出（类）住房改革支出（款）住房公积金（</w:t>
      </w:r>
      <w:r>
        <w:rPr>
          <w:rStyle w:val="15"/>
          <w:rFonts w:ascii="仿宋_GB2312" w:hAnsi="仿宋_GB2312" w:eastAsia="仿宋_GB2312" w:cs="仿宋_GB2312"/>
          <w:b w:val="0"/>
          <w:color w:val="000000"/>
          <w:sz w:val="32"/>
          <w:szCs w:val="32"/>
        </w:rPr>
        <w:t>01</w:t>
      </w:r>
      <w:r>
        <w:rPr>
          <w:rStyle w:val="15"/>
          <w:rFonts w:hint="eastAsia" w:ascii="仿宋_GB2312" w:hAnsi="仿宋_GB2312" w:eastAsia="仿宋_GB2312" w:cs="仿宋_GB2312"/>
          <w:b w:val="0"/>
          <w:color w:val="000000"/>
          <w:sz w:val="32"/>
          <w:szCs w:val="32"/>
        </w:rPr>
        <w:t>）</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bookmarkEnd w:id="53"/>
    <w:p>
      <w:pPr>
        <w:spacing w:line="576" w:lineRule="atLeast"/>
        <w:jc w:val="center"/>
        <w:rPr>
          <w:rStyle w:val="31"/>
          <w:b w:val="0"/>
          <w:bCs w:val="0"/>
        </w:rPr>
      </w:pPr>
      <w:r>
        <w:rPr>
          <w:rFonts w:hint="eastAsia" w:ascii="方正小标宋简体" w:hAnsi="方正小标宋简体" w:eastAsia="方正小标宋简体" w:cs="方正小标宋简体"/>
          <w:color w:val="000000"/>
          <w:sz w:val="44"/>
          <w:szCs w:val="44"/>
        </w:rPr>
        <w:t xml:space="preserve">第四部分 </w:t>
      </w:r>
      <w:r>
        <w:rPr>
          <w:rStyle w:val="31"/>
          <w:rFonts w:hint="eastAsia" w:ascii="方正小标宋简体" w:hAnsi="方正小标宋简体" w:eastAsia="方正小标宋简体" w:cs="方正小标宋简体"/>
          <w:b w:val="0"/>
          <w:bCs w:val="0"/>
        </w:rPr>
        <w:t>附件</w:t>
      </w:r>
    </w:p>
    <w:p>
      <w:pPr>
        <w:pStyle w:val="3"/>
        <w:keepNext w:val="0"/>
        <w:keepLines w:val="0"/>
        <w:spacing w:before="0" w:after="0" w:line="576" w:lineRule="atLeast"/>
        <w:rPr>
          <w:rStyle w:val="31"/>
          <w:rFonts w:ascii="黑体" w:hAnsi="黑体" w:eastAsia="黑体" w:cs="黑体"/>
          <w:b w:val="0"/>
          <w:bCs w:val="0"/>
          <w:sz w:val="28"/>
          <w:szCs w:val="28"/>
        </w:rPr>
      </w:pPr>
      <w:bookmarkStart w:id="55" w:name="_Toc15396615"/>
      <w:r>
        <w:rPr>
          <w:rStyle w:val="31"/>
          <w:rFonts w:hint="eastAsia" w:ascii="黑体" w:hAnsi="黑体" w:eastAsia="黑体" w:cs="黑体"/>
          <w:b w:val="0"/>
          <w:bCs w:val="0"/>
          <w:sz w:val="28"/>
          <w:szCs w:val="28"/>
        </w:rPr>
        <w:t>附件</w:t>
      </w:r>
      <w:bookmarkEnd w:id="55"/>
    </w:p>
    <w:p>
      <w:pPr>
        <w:spacing w:line="576" w:lineRule="atLeast"/>
        <w:jc w:val="center"/>
        <w:outlineLvl w:val="0"/>
        <w:rPr>
          <w:rFonts w:ascii="方正小标宋简体" w:hAnsi="方正小标宋简体" w:eastAsia="方正小标宋简体"/>
          <w:sz w:val="44"/>
          <w:szCs w:val="44"/>
        </w:rPr>
      </w:pPr>
      <w:bookmarkStart w:id="56" w:name="_Toc15396616"/>
      <w:r>
        <w:rPr>
          <w:rFonts w:hint="eastAsia" w:ascii="方正小标宋简体" w:hAnsi="方正小标宋简体" w:eastAsia="方正小标宋简体" w:cs="方正小标宋简体"/>
          <w:sz w:val="44"/>
          <w:szCs w:val="44"/>
        </w:rPr>
        <w:t>茂县渭门镇人民政府</w:t>
      </w:r>
    </w:p>
    <w:p>
      <w:pPr>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rPr>
        <w:t>9年部门整体支出绩效评价报告</w:t>
      </w:r>
      <w:bookmarkEnd w:id="56"/>
    </w:p>
    <w:p>
      <w:pPr>
        <w:pStyle w:val="3"/>
        <w:keepNext w:val="0"/>
        <w:keepLines w:val="0"/>
        <w:spacing w:before="0" w:after="0" w:line="576" w:lineRule="atLeast"/>
        <w:ind w:firstLine="642" w:firstLineChars="200"/>
        <w:rPr>
          <w:rFonts w:ascii="黑体" w:hAnsi="黑体" w:eastAsia="黑体" w:cs="Times New Roman"/>
        </w:rPr>
      </w:pPr>
    </w:p>
    <w:p>
      <w:pPr>
        <w:pStyle w:val="3"/>
        <w:keepNext w:val="0"/>
        <w:keepLines w:val="0"/>
        <w:spacing w:before="0" w:after="0" w:line="576" w:lineRule="atLeast"/>
        <w:ind w:firstLine="640" w:firstLineChars="200"/>
        <w:rPr>
          <w:rFonts w:ascii="黑体" w:hAnsi="黑体" w:eastAsia="黑体" w:cs="Times New Roman"/>
          <w:b w:val="0"/>
          <w:color w:val="000000"/>
        </w:rPr>
      </w:pPr>
      <w:r>
        <w:rPr>
          <w:rFonts w:hint="eastAsia" w:ascii="黑体" w:hAnsi="黑体" w:eastAsia="黑体" w:cs="黑体"/>
          <w:b w:val="0"/>
        </w:rPr>
        <w:t>一、部门（单位）概况</w:t>
      </w:r>
    </w:p>
    <w:p>
      <w:pPr>
        <w:spacing w:line="576" w:lineRule="atLeas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渭门镇内设行政办公室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576" w:lineRule="atLeas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（二）机构职能</w:t>
      </w:r>
    </w:p>
    <w:p>
      <w:pPr>
        <w:spacing w:line="576" w:lineRule="atLeas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主要职能：落实政策、促进发展、维护稳定、加强管理、提供服务五个方面。贯彻执行党的路线、方针、政策，讨论决定本镇经济建设和社会发展的重大问题；领导各部门和群众组织，依照国家法律法规及各自章程行使职权；加强镇党委自身建设和村级组织建设；按照干部管理权限，负责对干部的教育、培养、选拔和监督工作；密切联系群众，为全镇农村经济和社会事业发展服好务。</w:t>
      </w:r>
    </w:p>
    <w:p>
      <w:pPr>
        <w:spacing w:line="576" w:lineRule="atLeas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渭门镇总编制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2名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9名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3名，其中事业工勤编制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2人，（其中公务员15人，事业人员12人）；退休人员5人（行政退休3人，事业退休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人）；遗属2人。</w:t>
      </w:r>
    </w:p>
    <w:p>
      <w:pPr>
        <w:pStyle w:val="3"/>
        <w:keepNext w:val="0"/>
        <w:keepLines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spacing w:line="576" w:lineRule="atLeas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（一）部门财政资金收入情况</w:t>
      </w:r>
    </w:p>
    <w:p>
      <w:pPr>
        <w:spacing w:line="576" w:lineRule="atLeast"/>
        <w:ind w:firstLine="640" w:firstLineChars="200"/>
        <w:rPr>
          <w:rFonts w:hint="default" w:ascii="仿宋_GB2312" w:hAnsi="仿宋_GB2312" w:eastAsia="仿宋_GB2312"/>
          <w:sz w:val="32"/>
          <w:szCs w:val="32"/>
          <w:lang w:val="en-US"/>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9年本部门财政拨款收入决算总额为</w:t>
      </w:r>
      <w:r>
        <w:rPr>
          <w:rFonts w:hint="eastAsia" w:ascii="仿宋_GB2312" w:hAnsi="仿宋_GB2312" w:eastAsia="仿宋_GB2312" w:cs="仿宋_GB2312"/>
          <w:sz w:val="32"/>
          <w:szCs w:val="32"/>
          <w:lang w:val="en-US" w:eastAsia="zh-CN"/>
        </w:rPr>
        <w:t>1322.28</w:t>
      </w:r>
      <w:r>
        <w:rPr>
          <w:rFonts w:hint="eastAsia" w:ascii="仿宋_GB2312" w:hAnsi="仿宋_GB2312" w:eastAsia="仿宋_GB2312" w:cs="仿宋_GB2312"/>
          <w:sz w:val="32"/>
          <w:szCs w:val="32"/>
        </w:rPr>
        <w:t>万元，其中：当年财政拨款收入</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1253.32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一般公共预算财政拨款</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lang w:val="en-US" w:eastAsia="zh-CN"/>
        </w:rPr>
        <w:t>1249.34万元，政府性基金预算财政拨款收入3.98万元），年初结转和结余68.96万元。</w:t>
      </w:r>
    </w:p>
    <w:p>
      <w:pPr>
        <w:numPr>
          <w:ilvl w:val="0"/>
          <w:numId w:val="5"/>
        </w:numPr>
        <w:spacing w:line="576" w:lineRule="atLeas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部门财政资金支出情况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一般公共预算财政拨款</w:t>
      </w:r>
      <w:r>
        <w:rPr>
          <w:rFonts w:hint="eastAsia" w:ascii="仿宋_GB2312" w:hAnsi="仿宋_GB2312" w:eastAsia="仿宋_GB2312" w:cs="仿宋_GB2312"/>
          <w:color w:val="000000"/>
          <w:sz w:val="32"/>
          <w:szCs w:val="32"/>
        </w:rPr>
        <w:t>支出决算总数</w:t>
      </w:r>
      <w:r>
        <w:rPr>
          <w:rFonts w:hint="eastAsia" w:ascii="仿宋_GB2312" w:hAnsi="仿宋_GB2312" w:eastAsia="仿宋_GB2312" w:cs="仿宋_GB2312"/>
          <w:color w:val="000000"/>
          <w:sz w:val="32"/>
          <w:szCs w:val="32"/>
          <w:lang w:val="en-US" w:eastAsia="zh-CN"/>
        </w:rPr>
        <w:t>1165.91</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394.2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33.81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2.99万元，占本年支出0.2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86.43万元，占本年支出合计的7.</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42.39万元，占本年支出合计的3.5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569.7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48.87</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60.92万元，占本年支出合计的5.</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lang w:val="en-US" w:eastAsia="zh-CN"/>
        </w:rPr>
        <w:t>9.18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0.79</w:t>
      </w:r>
      <w:r>
        <w:rPr>
          <w:rFonts w:hint="eastAsia" w:ascii="仿宋_GB2312" w:hAnsi="仿宋_GB2312" w:eastAsia="仿宋_GB2312" w:cs="仿宋_GB2312"/>
          <w:sz w:val="32"/>
          <w:szCs w:val="32"/>
        </w:rPr>
        <w:t>%。</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三、部门整体预算绩效管理情况</w:t>
      </w:r>
    </w:p>
    <w:p>
      <w:pPr>
        <w:adjustRightInd w:val="0"/>
        <w:snapToGrid w:val="0"/>
        <w:spacing w:line="576" w:lineRule="atLeas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201</w:t>
      </w:r>
      <w:r>
        <w:rPr>
          <w:rFonts w:hint="eastAsia" w:ascii="仿宋_GB2312" w:hAnsi="仿宋_GB2312" w:eastAsia="仿宋_GB2312" w:cs="仿宋_GB2312"/>
          <w:color w:val="000000"/>
          <w:kern w:val="0"/>
          <w:sz w:val="32"/>
          <w:szCs w:val="32"/>
          <w:shd w:val="clear" w:color="auto" w:fill="FFFFFF"/>
        </w:rPr>
        <w:t>9年部门支出进行预算，支出合计</w:t>
      </w:r>
      <w:r>
        <w:rPr>
          <w:rFonts w:hint="eastAsia" w:ascii="仿宋_GB2312" w:hAnsi="仿宋_GB2312" w:eastAsia="仿宋_GB2312" w:cs="仿宋_GB2312"/>
          <w:sz w:val="32"/>
          <w:szCs w:val="32"/>
          <w:shd w:val="clear" w:color="auto" w:fill="FFFFFF"/>
        </w:rPr>
        <w:t>399.25万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基本支出326.59万元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）工资福利性支出：300.3158万元。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）商品和服务支出24.7698万元，其中：公务接待费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万元；公务用车运行维护费4万元。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）对个人和家庭的补助支出：1.5036万元。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项目支出72.66万元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）商品和服务支出12万元，其中基层组织活动和公共服务运行经费项目支出6万元，村办公费6万元。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（2）对个人和家庭的补助60.66万元，主要用于村干部生活补助。</w:t>
      </w:r>
    </w:p>
    <w:p>
      <w:pPr>
        <w:pStyle w:val="3"/>
        <w:keepNext w:val="0"/>
        <w:keepLines w:val="0"/>
        <w:spacing w:before="0" w:after="0" w:line="576" w:lineRule="atLeast"/>
        <w:ind w:firstLine="642" w:firstLineChars="200"/>
        <w:rPr>
          <w:rFonts w:ascii="楷体_GB2312" w:hAnsi="楷体_GB2312" w:eastAsia="楷体_GB2312" w:cs="楷体_GB2312"/>
        </w:rPr>
      </w:pPr>
      <w:r>
        <w:rPr>
          <w:rFonts w:hint="eastAsia" w:ascii="楷体_GB2312" w:hAnsi="楷体_GB2312" w:eastAsia="楷体_GB2312" w:cs="楷体_GB2312"/>
          <w:bCs w:val="0"/>
        </w:rPr>
        <w:t>（二）专项预算管理</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9年，渭门镇人民政府无专项预算。</w:t>
      </w:r>
    </w:p>
    <w:p>
      <w:pPr>
        <w:pStyle w:val="3"/>
        <w:keepNext w:val="0"/>
        <w:keepLines w:val="0"/>
        <w:spacing w:before="0" w:after="0" w:line="576" w:lineRule="atLeast"/>
        <w:ind w:firstLine="642" w:firstLineChars="200"/>
        <w:rPr>
          <w:rFonts w:ascii="仿宋" w:hAnsi="仿宋" w:eastAsia="楷体_GB2312" w:cs="Times New Roman"/>
        </w:rPr>
      </w:pPr>
      <w:r>
        <w:rPr>
          <w:rFonts w:hint="eastAsia" w:ascii="楷体_GB2312" w:hAnsi="楷体_GB2312" w:eastAsia="楷体_GB2312" w:cs="楷体_GB2312"/>
          <w:bCs w:val="0"/>
        </w:rPr>
        <w:t xml:space="preserve">（三）结果应用情况  </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spacing w:before="0" w:after="0" w:line="576" w:lineRule="atLeast"/>
        <w:ind w:firstLine="642" w:firstLineChars="200"/>
        <w:rPr>
          <w:rStyle w:val="32"/>
          <w:rFonts w:ascii="楷体_GB2312" w:hAnsi="楷体_GB2312" w:eastAsia="楷体_GB2312" w:cs="楷体_GB2312"/>
          <w:b w:val="0"/>
          <w:bCs w:val="0"/>
        </w:rPr>
      </w:pPr>
      <w:r>
        <w:rPr>
          <w:rFonts w:hint="eastAsia" w:ascii="楷体_GB2312" w:hAnsi="楷体_GB2312" w:eastAsia="楷体_GB2312" w:cs="楷体_GB2312"/>
          <w:bCs w:val="0"/>
        </w:rPr>
        <w:t>（一）评价结论</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rPr>
        <w:t>9年我单位部门整体支出绩效评价自查自评结果良好，全年基本支出保证了部门的正常运行和日常工作的正常开展，项目支出保障了重点工作的开展，达到预期绩效目标。</w:t>
      </w:r>
    </w:p>
    <w:p>
      <w:pPr>
        <w:pStyle w:val="3"/>
        <w:keepNext w:val="0"/>
        <w:keepLines w:val="0"/>
        <w:spacing w:before="0" w:after="0" w:line="576" w:lineRule="atLeast"/>
        <w:ind w:firstLine="640" w:firstLineChars="200"/>
        <w:rPr>
          <w:rFonts w:ascii="仿宋_GB2312" w:hAnsi="仿宋_GB2312" w:eastAsia="仿宋_GB2312" w:cs="仿宋_GB2312"/>
          <w:b w:val="0"/>
          <w:bCs w:val="0"/>
          <w:color w:val="000000"/>
          <w:kern w:val="0"/>
        </w:rPr>
      </w:pPr>
      <w:r>
        <w:rPr>
          <w:rFonts w:hint="eastAsia" w:ascii="仿宋_GB2312" w:hAnsi="仿宋_GB2312" w:eastAsia="仿宋_GB2312" w:cs="仿宋_GB2312"/>
          <w:b w:val="0"/>
          <w:bCs w:val="0"/>
          <w:color w:val="000000"/>
          <w:kern w:val="0"/>
        </w:rPr>
        <w:t>按照《茂县财政局关于开展</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9年财政支出绩效评价工作的通知》（茂财发</w:t>
      </w:r>
      <w:r>
        <w:rPr>
          <w:rFonts w:hint="eastAsia" w:ascii="仿宋_GB2312" w:hAnsi="仿宋_GB2312" w:eastAsia="仿宋_GB2312" w:cs="仿宋_GB2312"/>
          <w:b w:val="0"/>
          <w:bCs w:val="0"/>
          <w:color w:val="000000"/>
          <w:kern w:val="0"/>
          <w:lang w:val="en-US" w:eastAsia="zh-CN"/>
        </w:rPr>
        <w:t>{</w:t>
      </w:r>
      <w:r>
        <w:rPr>
          <w:rFonts w:ascii="仿宋_GB2312" w:hAnsi="仿宋_GB2312" w:eastAsia="仿宋_GB2312" w:cs="仿宋_GB2312"/>
          <w:b w:val="0"/>
          <w:bCs w:val="0"/>
          <w:color w:val="000000"/>
          <w:kern w:val="0"/>
        </w:rPr>
        <w:t>2019</w:t>
      </w:r>
      <w:r>
        <w:rPr>
          <w:rFonts w:hint="eastAsia" w:ascii="仿宋_GB2312" w:hAnsi="仿宋_GB2312" w:eastAsia="仿宋_GB2312" w:cs="仿宋_GB2312"/>
          <w:b w:val="0"/>
          <w:bCs w:val="0"/>
          <w:color w:val="000000"/>
          <w:kern w:val="0"/>
          <w:lang w:val="en-US" w:eastAsia="zh-CN"/>
        </w:rPr>
        <w:t>}</w:t>
      </w:r>
      <w:r>
        <w:rPr>
          <w:rFonts w:ascii="仿宋_GB2312" w:hAnsi="仿宋_GB2312" w:eastAsia="仿宋_GB2312" w:cs="仿宋_GB2312"/>
          <w:b w:val="0"/>
          <w:bCs w:val="0"/>
          <w:color w:val="000000"/>
          <w:kern w:val="0"/>
        </w:rPr>
        <w:t>38</w:t>
      </w:r>
      <w:r>
        <w:rPr>
          <w:rFonts w:hint="eastAsia" w:ascii="仿宋_GB2312" w:hAnsi="仿宋_GB2312" w:eastAsia="仿宋_GB2312" w:cs="仿宋_GB2312"/>
          <w:b w:val="0"/>
          <w:bCs w:val="0"/>
          <w:color w:val="000000"/>
          <w:kern w:val="0"/>
        </w:rPr>
        <w:t>号）</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9年渭门镇人民部门整体支出绩效评价指标体系自评得分</w:t>
      </w:r>
      <w:r>
        <w:rPr>
          <w:rFonts w:hint="eastAsia" w:ascii="仿宋_GB2312" w:hAnsi="仿宋_GB2312" w:eastAsia="仿宋_GB2312" w:cs="仿宋_GB2312"/>
          <w:b w:val="0"/>
          <w:bCs w:val="0"/>
          <w:color w:val="000000"/>
          <w:kern w:val="0"/>
          <w:lang w:val="en-US" w:eastAsia="zh-CN"/>
        </w:rPr>
        <w:t>87.38</w:t>
      </w:r>
      <w:r>
        <w:rPr>
          <w:rFonts w:hint="eastAsia" w:ascii="仿宋_GB2312" w:hAnsi="仿宋_GB2312" w:eastAsia="仿宋_GB2312" w:cs="仿宋_GB2312"/>
          <w:b w:val="0"/>
          <w:bCs w:val="0"/>
          <w:color w:val="000000"/>
          <w:kern w:val="0"/>
        </w:rPr>
        <w:t>分。</w:t>
      </w:r>
    </w:p>
    <w:p>
      <w:pPr>
        <w:pStyle w:val="3"/>
        <w:keepNext w:val="0"/>
        <w:keepLines w:val="0"/>
        <w:spacing w:before="0" w:after="0" w:line="576" w:lineRule="atLeast"/>
        <w:ind w:firstLine="642" w:firstLineChars="200"/>
        <w:rPr>
          <w:rStyle w:val="32"/>
          <w:rFonts w:ascii="楷体_GB2312" w:hAnsi="楷体_GB2312" w:eastAsia="楷体_GB2312" w:cs="楷体_GB2312"/>
          <w:b w:val="0"/>
          <w:bCs w:val="0"/>
        </w:rPr>
      </w:pPr>
      <w:r>
        <w:rPr>
          <w:rFonts w:hint="eastAsia" w:ascii="楷体_GB2312" w:hAnsi="楷体_GB2312" w:eastAsia="楷体_GB2312" w:cs="楷体_GB2312"/>
          <w:bCs w:val="0"/>
        </w:rPr>
        <w:t>（二）存在问题</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spacing w:before="0" w:after="0" w:line="576" w:lineRule="atLeast"/>
        <w:ind w:firstLine="642" w:firstLineChars="200"/>
        <w:rPr>
          <w:rFonts w:ascii="楷体_GB2312" w:hAnsi="楷体_GB2312" w:eastAsia="楷体_GB2312" w:cs="楷体_GB2312"/>
          <w:bCs w:val="0"/>
        </w:rPr>
      </w:pPr>
      <w:r>
        <w:rPr>
          <w:rFonts w:hint="eastAsia" w:ascii="楷体_GB2312" w:hAnsi="楷体_GB2312" w:eastAsia="楷体_GB2312" w:cs="楷体_GB2312"/>
          <w:bCs w:val="0"/>
        </w:rPr>
        <w:t>（三）改进建议</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7"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4"/>
      <w:bookmarkEnd w:id="57"/>
      <w:bookmarkStart w:id="58" w:name="_Toc15396619"/>
    </w:p>
    <w:p>
      <w:pPr>
        <w:spacing w:line="600" w:lineRule="exact"/>
        <w:jc w:val="center"/>
        <w:outlineLvl w:val="0"/>
        <w:rPr>
          <w:rStyle w:val="25"/>
          <w:rFonts w:ascii="黑体" w:hAnsi="黑体" w:eastAsia="黑体"/>
          <w:b w:val="0"/>
        </w:rPr>
      </w:pPr>
    </w:p>
    <w:p>
      <w:pPr>
        <w:spacing w:line="600" w:lineRule="exact"/>
        <w:jc w:val="left"/>
        <w:outlineLvl w:val="0"/>
        <w:rPr>
          <w:rStyle w:val="26"/>
          <w:rFonts w:ascii="仿宋_GB2312" w:hAnsi="仿宋" w:eastAsia="仿宋_GB2312"/>
          <w:b w:val="0"/>
        </w:rPr>
      </w:pPr>
      <w:r>
        <w:rPr>
          <w:rFonts w:hint="eastAsia" w:ascii="仿宋_GB2312" w:hAnsi="仿宋" w:eastAsia="仿宋_GB2312"/>
          <w:color w:val="000000"/>
          <w:sz w:val="32"/>
          <w:szCs w:val="32"/>
        </w:rPr>
        <w:t>一、收</w:t>
      </w:r>
      <w:r>
        <w:rPr>
          <w:rStyle w:val="26"/>
          <w:rFonts w:hint="eastAsia" w:ascii="仿宋_GB2312" w:hAnsi="仿宋" w:eastAsia="仿宋_GB2312"/>
          <w:b w:val="0"/>
        </w:rPr>
        <w:t>入支出决算总表</w:t>
      </w:r>
      <w:bookmarkEnd w:id="58"/>
      <w:bookmarkStart w:id="59" w:name="_Toc15396620"/>
    </w:p>
    <w:p>
      <w:pPr>
        <w:spacing w:line="600" w:lineRule="exact"/>
        <w:jc w:val="left"/>
        <w:outlineLvl w:val="0"/>
        <w:rPr>
          <w:rStyle w:val="26"/>
          <w:rFonts w:ascii="仿宋_GB2312" w:hAnsi="仿宋" w:eastAsia="仿宋_GB2312"/>
          <w:b w:val="0"/>
        </w:rPr>
      </w:pPr>
      <w:r>
        <w:rPr>
          <w:rFonts w:hint="eastAsia" w:ascii="仿宋_GB2312" w:hAnsi="仿宋" w:eastAsia="仿宋_GB2312"/>
          <w:color w:val="000000"/>
          <w:sz w:val="32"/>
          <w:szCs w:val="32"/>
        </w:rPr>
        <w:t>二、收</w:t>
      </w:r>
      <w:r>
        <w:rPr>
          <w:rStyle w:val="26"/>
          <w:rFonts w:hint="eastAsia" w:ascii="仿宋_GB2312" w:hAnsi="仿宋" w:eastAsia="仿宋_GB2312"/>
          <w:b w:val="0"/>
        </w:rPr>
        <w:t>入决算表</w:t>
      </w:r>
      <w:bookmarkEnd w:id="59"/>
      <w:bookmarkStart w:id="60" w:name="_Toc15396621"/>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三、</w:t>
      </w:r>
      <w:r>
        <w:rPr>
          <w:rFonts w:hint="eastAsia" w:ascii="仿宋_GB2312" w:hAnsi="仿宋" w:eastAsia="仿宋_GB2312"/>
          <w:color w:val="000000"/>
          <w:sz w:val="32"/>
          <w:szCs w:val="32"/>
        </w:rPr>
        <w:t>支</w:t>
      </w:r>
      <w:r>
        <w:rPr>
          <w:rStyle w:val="26"/>
          <w:rFonts w:hint="eastAsia" w:ascii="仿宋_GB2312" w:hAnsi="仿宋" w:eastAsia="仿宋_GB2312"/>
          <w:b w:val="0"/>
        </w:rPr>
        <w:t>出决算表</w:t>
      </w:r>
      <w:bookmarkEnd w:id="60"/>
      <w:bookmarkStart w:id="61" w:name="_Toc15396622"/>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四、</w:t>
      </w:r>
      <w:r>
        <w:rPr>
          <w:rFonts w:hint="eastAsia" w:ascii="仿宋_GB2312" w:hAnsi="仿宋" w:eastAsia="仿宋_GB2312"/>
          <w:color w:val="000000"/>
          <w:sz w:val="32"/>
          <w:szCs w:val="32"/>
        </w:rPr>
        <w:t>财</w:t>
      </w:r>
      <w:r>
        <w:rPr>
          <w:rStyle w:val="26"/>
          <w:rFonts w:hint="eastAsia" w:ascii="仿宋_GB2312" w:hAnsi="仿宋" w:eastAsia="仿宋_GB2312"/>
          <w:b w:val="0"/>
        </w:rPr>
        <w:t>政拨款收入支出决算总表</w:t>
      </w:r>
      <w:bookmarkEnd w:id="61"/>
      <w:bookmarkStart w:id="62" w:name="_Toc15396623"/>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五、</w:t>
      </w:r>
      <w:r>
        <w:rPr>
          <w:rFonts w:hint="eastAsia" w:ascii="仿宋_GB2312" w:hAnsi="仿宋" w:eastAsia="仿宋_GB2312"/>
          <w:color w:val="000000"/>
          <w:sz w:val="32"/>
          <w:szCs w:val="32"/>
        </w:rPr>
        <w:t>财</w:t>
      </w:r>
      <w:r>
        <w:rPr>
          <w:rStyle w:val="26"/>
          <w:rFonts w:hint="eastAsia" w:ascii="仿宋_GB2312" w:hAnsi="仿宋" w:eastAsia="仿宋_GB2312"/>
          <w:b w:val="0"/>
        </w:rPr>
        <w:t>政拨款支出决算明细表</w:t>
      </w:r>
      <w:bookmarkEnd w:id="62"/>
      <w:bookmarkStart w:id="63" w:name="_Toc15396624"/>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六、</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般公共预算财政拨款支出决算表</w:t>
      </w:r>
      <w:bookmarkEnd w:id="63"/>
      <w:bookmarkStart w:id="64" w:name="_Toc15396625"/>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七、</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般公共预算财政拨款支出决算明细表</w:t>
      </w:r>
      <w:bookmarkEnd w:id="64"/>
      <w:bookmarkStart w:id="65" w:name="_Toc15396626"/>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八、</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般公共预算财政拨款基本支出决算表</w:t>
      </w:r>
      <w:bookmarkEnd w:id="65"/>
      <w:bookmarkStart w:id="66" w:name="_Toc15396627"/>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九、</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般公共预算财政拨款项目支出决算表</w:t>
      </w:r>
      <w:bookmarkEnd w:id="66"/>
      <w:bookmarkStart w:id="67" w:name="_Toc15396628"/>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十、</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般公共预算财政拨款“三公”经费支出决算表</w:t>
      </w:r>
      <w:bookmarkEnd w:id="67"/>
      <w:bookmarkStart w:id="68" w:name="_Toc15396629"/>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十一、</w:t>
      </w:r>
      <w:r>
        <w:rPr>
          <w:rFonts w:hint="eastAsia" w:ascii="仿宋_GB2312" w:hAnsi="仿宋" w:eastAsia="仿宋_GB2312"/>
          <w:color w:val="000000"/>
          <w:sz w:val="32"/>
          <w:szCs w:val="32"/>
        </w:rPr>
        <w:t>政</w:t>
      </w:r>
      <w:r>
        <w:rPr>
          <w:rStyle w:val="26"/>
          <w:rFonts w:hint="eastAsia" w:ascii="仿宋_GB2312" w:hAnsi="仿宋" w:eastAsia="仿宋_GB2312"/>
          <w:b w:val="0"/>
        </w:rPr>
        <w:t>府性基金预算财政拨款收入支出决算表</w:t>
      </w:r>
      <w:bookmarkEnd w:id="68"/>
      <w:bookmarkStart w:id="69" w:name="_Toc15396630"/>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十二、</w:t>
      </w:r>
      <w:r>
        <w:rPr>
          <w:rFonts w:hint="eastAsia" w:ascii="仿宋_GB2312" w:hAnsi="仿宋" w:eastAsia="仿宋_GB2312"/>
          <w:color w:val="000000"/>
          <w:sz w:val="32"/>
          <w:szCs w:val="32"/>
        </w:rPr>
        <w:t>政</w:t>
      </w:r>
      <w:r>
        <w:rPr>
          <w:rStyle w:val="26"/>
          <w:rFonts w:hint="eastAsia" w:ascii="仿宋_GB2312" w:hAnsi="仿宋" w:eastAsia="仿宋_GB2312"/>
          <w:b w:val="0"/>
        </w:rPr>
        <w:t>府性基金预算财政拨款“三公”经费支出决算表</w:t>
      </w:r>
      <w:bookmarkEnd w:id="69"/>
      <w:bookmarkStart w:id="70" w:name="_Toc15396631"/>
    </w:p>
    <w:p>
      <w:pPr>
        <w:spacing w:line="600" w:lineRule="exact"/>
        <w:jc w:val="left"/>
        <w:outlineLvl w:val="0"/>
        <w:rPr>
          <w:rFonts w:ascii="仿宋_GB2312" w:hAnsi="黑体" w:eastAsia="仿宋_GB2312"/>
          <w:bCs/>
          <w:kern w:val="44"/>
          <w:sz w:val="32"/>
          <w:szCs w:val="32"/>
        </w:rPr>
      </w:pPr>
      <w:r>
        <w:rPr>
          <w:rStyle w:val="26"/>
          <w:rFonts w:hint="eastAsia" w:ascii="仿宋_GB2312" w:hAnsi="仿宋" w:eastAsia="仿宋_GB2312"/>
          <w:b w:val="0"/>
        </w:rPr>
        <w:t>十三、</w:t>
      </w:r>
      <w:r>
        <w:rPr>
          <w:rFonts w:hint="eastAsia" w:ascii="仿宋_GB2312" w:hAnsi="仿宋" w:eastAsia="仿宋_GB2312"/>
          <w:color w:val="000000"/>
          <w:sz w:val="32"/>
          <w:szCs w:val="32"/>
        </w:rPr>
        <w:t>国</w:t>
      </w:r>
      <w:r>
        <w:rPr>
          <w:rStyle w:val="26"/>
          <w:rFonts w:hint="eastAsia" w:ascii="仿宋_GB2312" w:hAnsi="仿宋" w:eastAsia="仿宋_GB2312"/>
          <w:b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E8CA3"/>
    <w:multiLevelType w:val="singleLevel"/>
    <w:tmpl w:val="AA3E8CA3"/>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F177B5E"/>
    <w:multiLevelType w:val="singleLevel"/>
    <w:tmpl w:val="DF177B5E"/>
    <w:lvl w:ilvl="0" w:tentative="0">
      <w:start w:val="1"/>
      <w:numFmt w:val="decimal"/>
      <w:lvlText w:val="%1."/>
      <w:lvlJc w:val="left"/>
      <w:pPr>
        <w:tabs>
          <w:tab w:val="left" w:pos="312"/>
        </w:tabs>
      </w:pPr>
    </w:lvl>
  </w:abstractNum>
  <w:abstractNum w:abstractNumId="3">
    <w:nsid w:val="FB5C9670"/>
    <w:multiLevelType w:val="singleLevel"/>
    <w:tmpl w:val="FB5C9670"/>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4E51"/>
    <w:rsid w:val="000222C6"/>
    <w:rsid w:val="0002549F"/>
    <w:rsid w:val="00040890"/>
    <w:rsid w:val="000468DB"/>
    <w:rsid w:val="0006487A"/>
    <w:rsid w:val="00065F8F"/>
    <w:rsid w:val="00070A43"/>
    <w:rsid w:val="000768F2"/>
    <w:rsid w:val="0009184B"/>
    <w:rsid w:val="00094236"/>
    <w:rsid w:val="0009593C"/>
    <w:rsid w:val="00097322"/>
    <w:rsid w:val="000A6A92"/>
    <w:rsid w:val="000B047F"/>
    <w:rsid w:val="000B2748"/>
    <w:rsid w:val="000B5184"/>
    <w:rsid w:val="000B5923"/>
    <w:rsid w:val="000B5A48"/>
    <w:rsid w:val="000B6FF3"/>
    <w:rsid w:val="000C3467"/>
    <w:rsid w:val="000C3CA6"/>
    <w:rsid w:val="000D1267"/>
    <w:rsid w:val="000D1D50"/>
    <w:rsid w:val="000D2ACB"/>
    <w:rsid w:val="000D4E65"/>
    <w:rsid w:val="000D5782"/>
    <w:rsid w:val="000E39C2"/>
    <w:rsid w:val="000E6613"/>
    <w:rsid w:val="000E7119"/>
    <w:rsid w:val="000F2969"/>
    <w:rsid w:val="00114E9B"/>
    <w:rsid w:val="00142216"/>
    <w:rsid w:val="00144D6A"/>
    <w:rsid w:val="0014729F"/>
    <w:rsid w:val="00157BAB"/>
    <w:rsid w:val="001629A6"/>
    <w:rsid w:val="001649AA"/>
    <w:rsid w:val="001654D1"/>
    <w:rsid w:val="00174518"/>
    <w:rsid w:val="0018106D"/>
    <w:rsid w:val="00182E4E"/>
    <w:rsid w:val="00186E10"/>
    <w:rsid w:val="00187760"/>
    <w:rsid w:val="001877A7"/>
    <w:rsid w:val="00191536"/>
    <w:rsid w:val="00196687"/>
    <w:rsid w:val="00197A08"/>
    <w:rsid w:val="001B42AA"/>
    <w:rsid w:val="001B4A0C"/>
    <w:rsid w:val="001C0962"/>
    <w:rsid w:val="001C7EF0"/>
    <w:rsid w:val="001D7531"/>
    <w:rsid w:val="001E737D"/>
    <w:rsid w:val="001F0592"/>
    <w:rsid w:val="001F7506"/>
    <w:rsid w:val="002002E4"/>
    <w:rsid w:val="002006CD"/>
    <w:rsid w:val="00200B1E"/>
    <w:rsid w:val="00202B36"/>
    <w:rsid w:val="0020483F"/>
    <w:rsid w:val="00204B7A"/>
    <w:rsid w:val="00204CDE"/>
    <w:rsid w:val="0021101A"/>
    <w:rsid w:val="00215335"/>
    <w:rsid w:val="00220536"/>
    <w:rsid w:val="00235629"/>
    <w:rsid w:val="002414B9"/>
    <w:rsid w:val="00260C38"/>
    <w:rsid w:val="002616C0"/>
    <w:rsid w:val="00265372"/>
    <w:rsid w:val="002662AA"/>
    <w:rsid w:val="00280496"/>
    <w:rsid w:val="00294DC9"/>
    <w:rsid w:val="00295495"/>
    <w:rsid w:val="002A31DE"/>
    <w:rsid w:val="002B1793"/>
    <w:rsid w:val="002B2261"/>
    <w:rsid w:val="002B2613"/>
    <w:rsid w:val="002D19B0"/>
    <w:rsid w:val="002D6D05"/>
    <w:rsid w:val="002E235A"/>
    <w:rsid w:val="002F1818"/>
    <w:rsid w:val="002F567B"/>
    <w:rsid w:val="00301699"/>
    <w:rsid w:val="00307915"/>
    <w:rsid w:val="003216A9"/>
    <w:rsid w:val="00335A74"/>
    <w:rsid w:val="00340203"/>
    <w:rsid w:val="00343E87"/>
    <w:rsid w:val="0036561B"/>
    <w:rsid w:val="0037013F"/>
    <w:rsid w:val="00372C6D"/>
    <w:rsid w:val="00375369"/>
    <w:rsid w:val="00380C92"/>
    <w:rsid w:val="00387C59"/>
    <w:rsid w:val="003A484F"/>
    <w:rsid w:val="003A4883"/>
    <w:rsid w:val="003B0BE0"/>
    <w:rsid w:val="003B0C1B"/>
    <w:rsid w:val="003B688C"/>
    <w:rsid w:val="003C0291"/>
    <w:rsid w:val="003C39AE"/>
    <w:rsid w:val="003C7B60"/>
    <w:rsid w:val="003D0C0F"/>
    <w:rsid w:val="003D1FB2"/>
    <w:rsid w:val="003D66DA"/>
    <w:rsid w:val="003E1310"/>
    <w:rsid w:val="003E6F55"/>
    <w:rsid w:val="003F6619"/>
    <w:rsid w:val="003F72B2"/>
    <w:rsid w:val="00406254"/>
    <w:rsid w:val="004069AE"/>
    <w:rsid w:val="00416CD4"/>
    <w:rsid w:val="004223DE"/>
    <w:rsid w:val="0043186D"/>
    <w:rsid w:val="00434489"/>
    <w:rsid w:val="00436A2C"/>
    <w:rsid w:val="00437085"/>
    <w:rsid w:val="00442981"/>
    <w:rsid w:val="00443880"/>
    <w:rsid w:val="004464F4"/>
    <w:rsid w:val="00453AB9"/>
    <w:rsid w:val="00471401"/>
    <w:rsid w:val="00473F31"/>
    <w:rsid w:val="0048263A"/>
    <w:rsid w:val="00487E5D"/>
    <w:rsid w:val="0049107C"/>
    <w:rsid w:val="004967EA"/>
    <w:rsid w:val="004A4185"/>
    <w:rsid w:val="004A6AF2"/>
    <w:rsid w:val="004A711F"/>
    <w:rsid w:val="004B199D"/>
    <w:rsid w:val="004B4690"/>
    <w:rsid w:val="004B508E"/>
    <w:rsid w:val="004C649B"/>
    <w:rsid w:val="004D5220"/>
    <w:rsid w:val="004D5555"/>
    <w:rsid w:val="004E0A2D"/>
    <w:rsid w:val="004E206B"/>
    <w:rsid w:val="004E6DF7"/>
    <w:rsid w:val="004F0FBD"/>
    <w:rsid w:val="004F403E"/>
    <w:rsid w:val="00505A47"/>
    <w:rsid w:val="00512FDA"/>
    <w:rsid w:val="00520DA0"/>
    <w:rsid w:val="00534C7F"/>
    <w:rsid w:val="00555539"/>
    <w:rsid w:val="00562229"/>
    <w:rsid w:val="005664BB"/>
    <w:rsid w:val="00566FFA"/>
    <w:rsid w:val="005718A6"/>
    <w:rsid w:val="005744AF"/>
    <w:rsid w:val="0057481D"/>
    <w:rsid w:val="00575F0B"/>
    <w:rsid w:val="0058486E"/>
    <w:rsid w:val="00585B33"/>
    <w:rsid w:val="00585C5F"/>
    <w:rsid w:val="0059014D"/>
    <w:rsid w:val="005B5C64"/>
    <w:rsid w:val="005C0472"/>
    <w:rsid w:val="005C511E"/>
    <w:rsid w:val="005C6BD0"/>
    <w:rsid w:val="005C6C4C"/>
    <w:rsid w:val="005C75C1"/>
    <w:rsid w:val="005D0488"/>
    <w:rsid w:val="005D1C8B"/>
    <w:rsid w:val="005D397D"/>
    <w:rsid w:val="005D468D"/>
    <w:rsid w:val="005D5CED"/>
    <w:rsid w:val="005E2F87"/>
    <w:rsid w:val="005F1A4C"/>
    <w:rsid w:val="00605688"/>
    <w:rsid w:val="006070AF"/>
    <w:rsid w:val="00607E6C"/>
    <w:rsid w:val="006101B1"/>
    <w:rsid w:val="00614E44"/>
    <w:rsid w:val="0062270A"/>
    <w:rsid w:val="00622830"/>
    <w:rsid w:val="00623DA0"/>
    <w:rsid w:val="00630AEF"/>
    <w:rsid w:val="006325F8"/>
    <w:rsid w:val="00633463"/>
    <w:rsid w:val="00634C9A"/>
    <w:rsid w:val="00637752"/>
    <w:rsid w:val="006440E4"/>
    <w:rsid w:val="00650314"/>
    <w:rsid w:val="0066343B"/>
    <w:rsid w:val="00664777"/>
    <w:rsid w:val="006748A4"/>
    <w:rsid w:val="00681A31"/>
    <w:rsid w:val="00683E73"/>
    <w:rsid w:val="0069256D"/>
    <w:rsid w:val="006A07BC"/>
    <w:rsid w:val="006A15A1"/>
    <w:rsid w:val="006A3141"/>
    <w:rsid w:val="006A5E34"/>
    <w:rsid w:val="006B2422"/>
    <w:rsid w:val="006B2B9A"/>
    <w:rsid w:val="006C1937"/>
    <w:rsid w:val="006F020C"/>
    <w:rsid w:val="00710041"/>
    <w:rsid w:val="00712288"/>
    <w:rsid w:val="007127B7"/>
    <w:rsid w:val="0071798E"/>
    <w:rsid w:val="00723C33"/>
    <w:rsid w:val="00727533"/>
    <w:rsid w:val="007416B6"/>
    <w:rsid w:val="00746F48"/>
    <w:rsid w:val="00750BE2"/>
    <w:rsid w:val="0075404D"/>
    <w:rsid w:val="00761339"/>
    <w:rsid w:val="0076182A"/>
    <w:rsid w:val="00767B7E"/>
    <w:rsid w:val="007770C3"/>
    <w:rsid w:val="00784D24"/>
    <w:rsid w:val="00785FBA"/>
    <w:rsid w:val="00786E4A"/>
    <w:rsid w:val="007875EB"/>
    <w:rsid w:val="0079426B"/>
    <w:rsid w:val="007B54E7"/>
    <w:rsid w:val="007D1682"/>
    <w:rsid w:val="007D312A"/>
    <w:rsid w:val="007D3F19"/>
    <w:rsid w:val="007E23B0"/>
    <w:rsid w:val="007F1991"/>
    <w:rsid w:val="007F2C2F"/>
    <w:rsid w:val="007F55FC"/>
    <w:rsid w:val="007F5665"/>
    <w:rsid w:val="00800112"/>
    <w:rsid w:val="008031A0"/>
    <w:rsid w:val="008104F5"/>
    <w:rsid w:val="00813348"/>
    <w:rsid w:val="008253BB"/>
    <w:rsid w:val="00833962"/>
    <w:rsid w:val="0083706E"/>
    <w:rsid w:val="008408F6"/>
    <w:rsid w:val="00841B38"/>
    <w:rsid w:val="008423A5"/>
    <w:rsid w:val="00850625"/>
    <w:rsid w:val="00853718"/>
    <w:rsid w:val="00855221"/>
    <w:rsid w:val="00860645"/>
    <w:rsid w:val="00866F4C"/>
    <w:rsid w:val="00871F71"/>
    <w:rsid w:val="00872FD8"/>
    <w:rsid w:val="00885AF4"/>
    <w:rsid w:val="008939CD"/>
    <w:rsid w:val="008A1765"/>
    <w:rsid w:val="008A66E3"/>
    <w:rsid w:val="008B768C"/>
    <w:rsid w:val="008C4DB1"/>
    <w:rsid w:val="008C4EAF"/>
    <w:rsid w:val="008C5176"/>
    <w:rsid w:val="008C7FD0"/>
    <w:rsid w:val="008D2196"/>
    <w:rsid w:val="008D3A36"/>
    <w:rsid w:val="008D622C"/>
    <w:rsid w:val="008E1DE7"/>
    <w:rsid w:val="008E707C"/>
    <w:rsid w:val="00900B08"/>
    <w:rsid w:val="00902155"/>
    <w:rsid w:val="00902FA3"/>
    <w:rsid w:val="00923564"/>
    <w:rsid w:val="0092392E"/>
    <w:rsid w:val="009315F9"/>
    <w:rsid w:val="009323C8"/>
    <w:rsid w:val="00933499"/>
    <w:rsid w:val="00935C98"/>
    <w:rsid w:val="00946945"/>
    <w:rsid w:val="00951248"/>
    <w:rsid w:val="0095152F"/>
    <w:rsid w:val="00954C49"/>
    <w:rsid w:val="00955E37"/>
    <w:rsid w:val="0097099F"/>
    <w:rsid w:val="00971997"/>
    <w:rsid w:val="00971FFC"/>
    <w:rsid w:val="0098660A"/>
    <w:rsid w:val="009931C3"/>
    <w:rsid w:val="00993EF4"/>
    <w:rsid w:val="009961EC"/>
    <w:rsid w:val="009B2C43"/>
    <w:rsid w:val="009B4EAE"/>
    <w:rsid w:val="009B7573"/>
    <w:rsid w:val="009C22F4"/>
    <w:rsid w:val="009C2E98"/>
    <w:rsid w:val="009C37FB"/>
    <w:rsid w:val="009D3447"/>
    <w:rsid w:val="009D4711"/>
    <w:rsid w:val="009F1185"/>
    <w:rsid w:val="009F18CD"/>
    <w:rsid w:val="009F2A13"/>
    <w:rsid w:val="009F7527"/>
    <w:rsid w:val="00A039ED"/>
    <w:rsid w:val="00A044D2"/>
    <w:rsid w:val="00A04EB0"/>
    <w:rsid w:val="00A0784B"/>
    <w:rsid w:val="00A13CC1"/>
    <w:rsid w:val="00A16847"/>
    <w:rsid w:val="00A237D8"/>
    <w:rsid w:val="00A24BE8"/>
    <w:rsid w:val="00A268C4"/>
    <w:rsid w:val="00A307CD"/>
    <w:rsid w:val="00A32AF3"/>
    <w:rsid w:val="00A331C8"/>
    <w:rsid w:val="00A35117"/>
    <w:rsid w:val="00A40A00"/>
    <w:rsid w:val="00A4142F"/>
    <w:rsid w:val="00A422EB"/>
    <w:rsid w:val="00A45BB7"/>
    <w:rsid w:val="00A4701A"/>
    <w:rsid w:val="00A56DF2"/>
    <w:rsid w:val="00A56E6E"/>
    <w:rsid w:val="00A65401"/>
    <w:rsid w:val="00A67AB5"/>
    <w:rsid w:val="00A733B2"/>
    <w:rsid w:val="00A741C2"/>
    <w:rsid w:val="00A91760"/>
    <w:rsid w:val="00A93B00"/>
    <w:rsid w:val="00A93C21"/>
    <w:rsid w:val="00AB2EDF"/>
    <w:rsid w:val="00AB64C9"/>
    <w:rsid w:val="00AC3C6A"/>
    <w:rsid w:val="00AD0F83"/>
    <w:rsid w:val="00AD5620"/>
    <w:rsid w:val="00AD656B"/>
    <w:rsid w:val="00AD7C1B"/>
    <w:rsid w:val="00AE16BA"/>
    <w:rsid w:val="00AE1EBE"/>
    <w:rsid w:val="00AE5B50"/>
    <w:rsid w:val="00AF37A0"/>
    <w:rsid w:val="00AF3E63"/>
    <w:rsid w:val="00B0349B"/>
    <w:rsid w:val="00B03C9D"/>
    <w:rsid w:val="00B060AE"/>
    <w:rsid w:val="00B10517"/>
    <w:rsid w:val="00B14870"/>
    <w:rsid w:val="00B14E76"/>
    <w:rsid w:val="00B161B8"/>
    <w:rsid w:val="00B2048C"/>
    <w:rsid w:val="00B310B9"/>
    <w:rsid w:val="00B32C23"/>
    <w:rsid w:val="00B35F3F"/>
    <w:rsid w:val="00B36CBB"/>
    <w:rsid w:val="00B425E0"/>
    <w:rsid w:val="00B440AA"/>
    <w:rsid w:val="00B44B70"/>
    <w:rsid w:val="00B53C56"/>
    <w:rsid w:val="00B57DAF"/>
    <w:rsid w:val="00B77EA6"/>
    <w:rsid w:val="00B81598"/>
    <w:rsid w:val="00B841F1"/>
    <w:rsid w:val="00B944D6"/>
    <w:rsid w:val="00BB4DF0"/>
    <w:rsid w:val="00BB5886"/>
    <w:rsid w:val="00BC289F"/>
    <w:rsid w:val="00BC2D18"/>
    <w:rsid w:val="00BC2D50"/>
    <w:rsid w:val="00BC5361"/>
    <w:rsid w:val="00BC5460"/>
    <w:rsid w:val="00BC6B50"/>
    <w:rsid w:val="00BC71EB"/>
    <w:rsid w:val="00BD0E25"/>
    <w:rsid w:val="00BF5BD6"/>
    <w:rsid w:val="00C03E31"/>
    <w:rsid w:val="00C07E58"/>
    <w:rsid w:val="00C30E69"/>
    <w:rsid w:val="00C33E72"/>
    <w:rsid w:val="00C354B2"/>
    <w:rsid w:val="00C35554"/>
    <w:rsid w:val="00C42709"/>
    <w:rsid w:val="00C533CC"/>
    <w:rsid w:val="00C5751C"/>
    <w:rsid w:val="00C61BFC"/>
    <w:rsid w:val="00C62B85"/>
    <w:rsid w:val="00C65438"/>
    <w:rsid w:val="00C80D37"/>
    <w:rsid w:val="00C91CBB"/>
    <w:rsid w:val="00C97DE7"/>
    <w:rsid w:val="00CB1E08"/>
    <w:rsid w:val="00CB4E70"/>
    <w:rsid w:val="00CB66BE"/>
    <w:rsid w:val="00CC09B6"/>
    <w:rsid w:val="00CC666F"/>
    <w:rsid w:val="00CD1E3F"/>
    <w:rsid w:val="00CE3CE3"/>
    <w:rsid w:val="00CE44F6"/>
    <w:rsid w:val="00CE49DA"/>
    <w:rsid w:val="00CE7B61"/>
    <w:rsid w:val="00D00095"/>
    <w:rsid w:val="00D114F0"/>
    <w:rsid w:val="00D1482A"/>
    <w:rsid w:val="00D179F5"/>
    <w:rsid w:val="00D20620"/>
    <w:rsid w:val="00D2207C"/>
    <w:rsid w:val="00D254F7"/>
    <w:rsid w:val="00D25FFB"/>
    <w:rsid w:val="00D26049"/>
    <w:rsid w:val="00D26091"/>
    <w:rsid w:val="00D2685C"/>
    <w:rsid w:val="00D33111"/>
    <w:rsid w:val="00D3431E"/>
    <w:rsid w:val="00D34E7C"/>
    <w:rsid w:val="00D35489"/>
    <w:rsid w:val="00D36AFE"/>
    <w:rsid w:val="00D40371"/>
    <w:rsid w:val="00D50D4D"/>
    <w:rsid w:val="00D50F74"/>
    <w:rsid w:val="00D51276"/>
    <w:rsid w:val="00D54C61"/>
    <w:rsid w:val="00D7035F"/>
    <w:rsid w:val="00DA395C"/>
    <w:rsid w:val="00DA634F"/>
    <w:rsid w:val="00DA65AC"/>
    <w:rsid w:val="00DB1673"/>
    <w:rsid w:val="00DB1913"/>
    <w:rsid w:val="00DC095A"/>
    <w:rsid w:val="00DC410D"/>
    <w:rsid w:val="00DC5A81"/>
    <w:rsid w:val="00DC67BC"/>
    <w:rsid w:val="00DC68CA"/>
    <w:rsid w:val="00DC7CBA"/>
    <w:rsid w:val="00DD73B7"/>
    <w:rsid w:val="00DF28BC"/>
    <w:rsid w:val="00DF34B9"/>
    <w:rsid w:val="00DF7548"/>
    <w:rsid w:val="00E01053"/>
    <w:rsid w:val="00E07ACF"/>
    <w:rsid w:val="00E13C9E"/>
    <w:rsid w:val="00E202ED"/>
    <w:rsid w:val="00E2668E"/>
    <w:rsid w:val="00E331A1"/>
    <w:rsid w:val="00E33202"/>
    <w:rsid w:val="00E336A9"/>
    <w:rsid w:val="00E472B1"/>
    <w:rsid w:val="00E50624"/>
    <w:rsid w:val="00E568DF"/>
    <w:rsid w:val="00E64269"/>
    <w:rsid w:val="00E66797"/>
    <w:rsid w:val="00E71095"/>
    <w:rsid w:val="00E82267"/>
    <w:rsid w:val="00E853CE"/>
    <w:rsid w:val="00E867B6"/>
    <w:rsid w:val="00E87F08"/>
    <w:rsid w:val="00EA010F"/>
    <w:rsid w:val="00EB3A35"/>
    <w:rsid w:val="00ED1B63"/>
    <w:rsid w:val="00ED3109"/>
    <w:rsid w:val="00ED3C1F"/>
    <w:rsid w:val="00ED4085"/>
    <w:rsid w:val="00ED420E"/>
    <w:rsid w:val="00ED6FBE"/>
    <w:rsid w:val="00EE2F57"/>
    <w:rsid w:val="00EE5E38"/>
    <w:rsid w:val="00EF4C34"/>
    <w:rsid w:val="00EF77C6"/>
    <w:rsid w:val="00F05438"/>
    <w:rsid w:val="00F054DF"/>
    <w:rsid w:val="00F1361C"/>
    <w:rsid w:val="00F156F0"/>
    <w:rsid w:val="00F160C7"/>
    <w:rsid w:val="00F2408F"/>
    <w:rsid w:val="00F240E9"/>
    <w:rsid w:val="00F27A19"/>
    <w:rsid w:val="00F3335A"/>
    <w:rsid w:val="00F36D8F"/>
    <w:rsid w:val="00F407AA"/>
    <w:rsid w:val="00F417B1"/>
    <w:rsid w:val="00F44B44"/>
    <w:rsid w:val="00F45853"/>
    <w:rsid w:val="00F54439"/>
    <w:rsid w:val="00F573BB"/>
    <w:rsid w:val="00F602DF"/>
    <w:rsid w:val="00F7236E"/>
    <w:rsid w:val="00F754A1"/>
    <w:rsid w:val="00F81FD9"/>
    <w:rsid w:val="00F841AA"/>
    <w:rsid w:val="00F84A94"/>
    <w:rsid w:val="00F87E96"/>
    <w:rsid w:val="00FA23E8"/>
    <w:rsid w:val="00FB2D18"/>
    <w:rsid w:val="00FD3CC1"/>
    <w:rsid w:val="00FF1E02"/>
    <w:rsid w:val="00FF30B4"/>
    <w:rsid w:val="00FF44E5"/>
    <w:rsid w:val="00FF7FF9"/>
    <w:rsid w:val="01A55C87"/>
    <w:rsid w:val="022E1024"/>
    <w:rsid w:val="06BA31AA"/>
    <w:rsid w:val="07D77D6E"/>
    <w:rsid w:val="080B3CDE"/>
    <w:rsid w:val="0A8F0F43"/>
    <w:rsid w:val="0B1A6678"/>
    <w:rsid w:val="0E513C33"/>
    <w:rsid w:val="0E7776E1"/>
    <w:rsid w:val="10033D0A"/>
    <w:rsid w:val="10C055FF"/>
    <w:rsid w:val="12D252D0"/>
    <w:rsid w:val="130C6946"/>
    <w:rsid w:val="135B7560"/>
    <w:rsid w:val="16BB723D"/>
    <w:rsid w:val="182451F5"/>
    <w:rsid w:val="1F967C44"/>
    <w:rsid w:val="1FF7494C"/>
    <w:rsid w:val="213A0525"/>
    <w:rsid w:val="2337185A"/>
    <w:rsid w:val="240371BF"/>
    <w:rsid w:val="241A165E"/>
    <w:rsid w:val="25DF73B3"/>
    <w:rsid w:val="262A0B94"/>
    <w:rsid w:val="29FD04D3"/>
    <w:rsid w:val="2C1252B1"/>
    <w:rsid w:val="2C257D9C"/>
    <w:rsid w:val="2DEF7747"/>
    <w:rsid w:val="2EE24C8F"/>
    <w:rsid w:val="31283159"/>
    <w:rsid w:val="319F7F4E"/>
    <w:rsid w:val="31BA2543"/>
    <w:rsid w:val="342A796E"/>
    <w:rsid w:val="355D6E84"/>
    <w:rsid w:val="37BA369D"/>
    <w:rsid w:val="388E2420"/>
    <w:rsid w:val="38CE3465"/>
    <w:rsid w:val="39D071CD"/>
    <w:rsid w:val="3A36690A"/>
    <w:rsid w:val="3AD7160C"/>
    <w:rsid w:val="3E806AB7"/>
    <w:rsid w:val="401633DD"/>
    <w:rsid w:val="41932C39"/>
    <w:rsid w:val="42AD0646"/>
    <w:rsid w:val="44B85B77"/>
    <w:rsid w:val="48CF43E2"/>
    <w:rsid w:val="490655A9"/>
    <w:rsid w:val="4D512444"/>
    <w:rsid w:val="4ECE2238"/>
    <w:rsid w:val="4FB625C0"/>
    <w:rsid w:val="55CF02C7"/>
    <w:rsid w:val="5C4925E5"/>
    <w:rsid w:val="5CF239FE"/>
    <w:rsid w:val="5D4C0B03"/>
    <w:rsid w:val="5EB4003F"/>
    <w:rsid w:val="605D4DA4"/>
    <w:rsid w:val="62E919D2"/>
    <w:rsid w:val="63B374E9"/>
    <w:rsid w:val="63CE4746"/>
    <w:rsid w:val="640A15E5"/>
    <w:rsid w:val="676B05A2"/>
    <w:rsid w:val="67B61286"/>
    <w:rsid w:val="691D2861"/>
    <w:rsid w:val="6C7D5453"/>
    <w:rsid w:val="6DEF1039"/>
    <w:rsid w:val="6EB626B3"/>
    <w:rsid w:val="6F1B6A98"/>
    <w:rsid w:val="70A62583"/>
    <w:rsid w:val="71456ECF"/>
    <w:rsid w:val="72734D90"/>
    <w:rsid w:val="73AF79CD"/>
    <w:rsid w:val="73EB5AAA"/>
    <w:rsid w:val="77CA101B"/>
    <w:rsid w:val="78023483"/>
    <w:rsid w:val="79FF08AD"/>
    <w:rsid w:val="7C622F0B"/>
    <w:rsid w:val="7DC56FEA"/>
    <w:rsid w:val="7E195090"/>
    <w:rsid w:val="7E301CD0"/>
    <w:rsid w:val="7EA361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1 Char"/>
    <w:basedOn w:val="14"/>
    <w:link w:val="2"/>
    <w:qFormat/>
    <w:locked/>
    <w:uiPriority w:val="99"/>
    <w:rPr>
      <w:rFonts w:ascii="Times New Roman" w:hAnsi="Times New Roman" w:cs="Times New Roman"/>
      <w:b/>
      <w:bCs/>
      <w:kern w:val="44"/>
      <w:sz w:val="44"/>
      <w:szCs w:val="44"/>
    </w:rPr>
  </w:style>
  <w:style w:type="character" w:customStyle="1" w:styleId="32">
    <w:name w:val="标题 2 Char"/>
    <w:basedOn w:val="14"/>
    <w:link w:val="3"/>
    <w:qFormat/>
    <w:locked/>
    <w:uiPriority w:val="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2018年收支决算数</c:v>
                </c:pt>
                <c:pt idx="1">
                  <c:v>2019年收支决算数</c:v>
                </c:pt>
              </c:strCache>
            </c:strRef>
          </c:cat>
          <c:val>
            <c:numRef>
              <c:f>Sheet1!$B$2:$B$3</c:f>
              <c:numCache>
                <c:formatCode>General</c:formatCode>
                <c:ptCount val="2"/>
                <c:pt idx="0">
                  <c:v>2205.17</c:v>
                </c:pt>
                <c:pt idx="1">
                  <c:v>1322.28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Sheet1!$A$2:$A$3</c:f>
              <c:strCache>
                <c:ptCount val="2"/>
                <c:pt idx="0">
                  <c:v>2018年收支决算数</c:v>
                </c:pt>
                <c:pt idx="1">
                  <c:v>2019年收支决算数</c:v>
                </c:pt>
              </c:strCache>
            </c:strRef>
          </c:cat>
          <c:val>
            <c:numRef>
              <c:f>Sheet1!$C$2:$C$3</c:f>
              <c:numCache>
                <c:formatCode>General</c:formatCode>
                <c:ptCount val="2"/>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Sheet1!$A$2:$A$3</c:f>
              <c:strCache>
                <c:ptCount val="2"/>
                <c:pt idx="0">
                  <c:v>2018年收支决算数</c:v>
                </c:pt>
                <c:pt idx="1">
                  <c:v>2019年收支决算数</c:v>
                </c:pt>
              </c:strCache>
            </c:strRef>
          </c:cat>
          <c:val>
            <c:numRef>
              <c:f>Sheet1!$D$2:$D$3</c:f>
              <c:numCache>
                <c:formatCode>General</c:formatCode>
                <c:ptCount val="2"/>
              </c:numCache>
            </c:numRef>
          </c:val>
        </c:ser>
        <c:dLbls>
          <c:showLegendKey val="0"/>
          <c:showVal val="0"/>
          <c:showCatName val="0"/>
          <c:showSerName val="0"/>
          <c:showPercent val="0"/>
          <c:showBubbleSize val="0"/>
        </c:dLbls>
        <c:gapWidth val="219"/>
        <c:overlap val="-27"/>
        <c:axId val="82090624"/>
        <c:axId val="82108800"/>
      </c:barChart>
      <c:catAx>
        <c:axId val="820906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108800"/>
        <c:crosses val="autoZero"/>
        <c:auto val="1"/>
        <c:lblAlgn val="ctr"/>
        <c:lblOffset val="100"/>
        <c:noMultiLvlLbl val="0"/>
      </c:catAx>
      <c:valAx>
        <c:axId val="821088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0906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一般公共预算财政拨款收入</c:v>
                </c:pt>
                <c:pt idx="1">
                  <c:v>政府性基金预算财政拨款收入</c:v>
                </c:pt>
              </c:strCache>
            </c:strRef>
          </c:cat>
          <c:val>
            <c:numRef>
              <c:f>Sheet1!$B$2:$B$5</c:f>
              <c:numCache>
                <c:formatCode>General</c:formatCode>
                <c:ptCount val="4"/>
                <c:pt idx="0">
                  <c:v>1249.39</c:v>
                </c:pt>
                <c:pt idx="1">
                  <c:v>3.98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本年支出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2"/>
                <c:pt idx="0">
                  <c:v>基本支出</c:v>
                </c:pt>
                <c:pt idx="1">
                  <c:v>项目支出</c:v>
                </c:pt>
              </c:strCache>
            </c:strRef>
          </c:cat>
          <c:val>
            <c:numRef>
              <c:f>Sheet1!$B$2:$B$5</c:f>
              <c:numCache>
                <c:formatCode>General</c:formatCode>
                <c:ptCount val="4"/>
                <c:pt idx="0">
                  <c:v>778.24</c:v>
                </c:pt>
                <c:pt idx="1">
                  <c:v>423.21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2018年收支决算数</c:v>
                </c:pt>
                <c:pt idx="1">
                  <c:v>2019年收支决算数</c:v>
                </c:pt>
              </c:strCache>
            </c:strRef>
          </c:cat>
          <c:val>
            <c:numRef>
              <c:f>Sheet1!$B$2:$B$3</c:f>
              <c:numCache>
                <c:formatCode>General</c:formatCode>
                <c:ptCount val="2"/>
                <c:pt idx="0">
                  <c:v>2205.17</c:v>
                </c:pt>
                <c:pt idx="1">
                  <c:v>1322.28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Sheet1!$A$2:$A$3</c:f>
              <c:strCache>
                <c:ptCount val="2"/>
                <c:pt idx="0">
                  <c:v>2018年收支决算数</c:v>
                </c:pt>
                <c:pt idx="1">
                  <c:v>2019年收支决算数</c:v>
                </c:pt>
              </c:strCache>
            </c:strRef>
          </c:cat>
          <c:val>
            <c:numRef>
              <c:f>Sheet1!$C$2:$C$3</c:f>
              <c:numCache>
                <c:formatCode>General</c:formatCode>
                <c:ptCount val="2"/>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Sheet1!$A$2:$A$3</c:f>
              <c:strCache>
                <c:ptCount val="2"/>
                <c:pt idx="0">
                  <c:v>2018年收支决算数</c:v>
                </c:pt>
                <c:pt idx="1">
                  <c:v>2019年收支决算数</c:v>
                </c:pt>
              </c:strCache>
            </c:strRef>
          </c:cat>
          <c:val>
            <c:numRef>
              <c:f>Sheet1!$D$2:$D$3</c:f>
              <c:numCache>
                <c:formatCode>General</c:formatCode>
                <c:ptCount val="2"/>
              </c:numCache>
            </c:numRef>
          </c:val>
        </c:ser>
        <c:dLbls>
          <c:showLegendKey val="0"/>
          <c:showVal val="0"/>
          <c:showCatName val="0"/>
          <c:showSerName val="0"/>
          <c:showPercent val="0"/>
          <c:showBubbleSize val="0"/>
        </c:dLbls>
        <c:gapWidth val="219"/>
        <c:overlap val="-27"/>
        <c:axId val="82090624"/>
        <c:axId val="82108800"/>
      </c:barChart>
      <c:catAx>
        <c:axId val="820906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108800"/>
        <c:crosses val="autoZero"/>
        <c:auto val="1"/>
        <c:lblAlgn val="ctr"/>
        <c:lblOffset val="100"/>
        <c:noMultiLvlLbl val="0"/>
      </c:catAx>
      <c:valAx>
        <c:axId val="821088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0906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支出数</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本年支出合计</c:v>
                </c:pt>
                <c:pt idx="1">
                  <c:v>一般公共预算财政拨款支出</c:v>
                </c:pt>
              </c:strCache>
            </c:strRef>
          </c:cat>
          <c:val>
            <c:numRef>
              <c:f>Sheet1!$B$2:$B$5</c:f>
              <c:numCache>
                <c:formatCode>General</c:formatCode>
                <c:ptCount val="4"/>
                <c:pt idx="0">
                  <c:v>1201.45</c:v>
                </c:pt>
                <c:pt idx="1">
                  <c:v>1165.91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一般公共服务支出</c:v>
                </c:pt>
                <c:pt idx="1">
                  <c:v>国防支出</c:v>
                </c:pt>
                <c:pt idx="2">
                  <c:v>社会保障和就业支出</c:v>
                </c:pt>
                <c:pt idx="3">
                  <c:v>卫生健康支出</c:v>
                </c:pt>
                <c:pt idx="4">
                  <c:v>农林水支出</c:v>
                </c:pt>
                <c:pt idx="5">
                  <c:v>住房保障支出</c:v>
                </c:pt>
                <c:pt idx="6">
                  <c:v>其他支出</c:v>
                </c:pt>
              </c:strCache>
            </c:strRef>
          </c:cat>
          <c:val>
            <c:numRef>
              <c:f>Sheet1!$B$2:$B$8</c:f>
              <c:numCache>
                <c:formatCode>General</c:formatCode>
                <c:ptCount val="7"/>
                <c:pt idx="0">
                  <c:v>394.24</c:v>
                </c:pt>
                <c:pt idx="1">
                  <c:v>2.99</c:v>
                </c:pt>
                <c:pt idx="2">
                  <c:v>86.43</c:v>
                </c:pt>
                <c:pt idx="3">
                  <c:v>42.39</c:v>
                </c:pt>
                <c:pt idx="4">
                  <c:v>569.76</c:v>
                </c:pt>
                <c:pt idx="5">
                  <c:v>60.92</c:v>
                </c:pt>
                <c:pt idx="6">
                  <c:v>9.18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45</Pages>
  <Words>15650</Words>
  <Characters>3706</Characters>
  <Lines>30</Lines>
  <Paragraphs>38</Paragraphs>
  <TotalTime>5</TotalTime>
  <ScaleCrop>false</ScaleCrop>
  <LinksUpToDate>false</LinksUpToDate>
  <CharactersWithSpaces>19318</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2020-09-24T17:44:00Z</dcterms:created>
  <dc:creator>曹颖</dc:creator>
  <cp:lastModifiedBy>user</cp:lastModifiedBy>
  <cp:lastPrinted>2020-09-25T11:47:00Z</cp:lastPrinted>
  <dcterms:modified xsi:type="dcterms:W3CDTF">2023-07-13T19:02:24Z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3C8FE157364B8B11C0D9AF64445DBA2E</vt:lpwstr>
  </property>
</Properties>
</file>