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8442"/>
      <w:bookmarkStart w:id="9" w:name="_Toc15377194"/>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渭门镇人民政府部门决算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公开时间：2021年9月15日</w:t>
      </w:r>
    </w:p>
    <w:p>
      <w:pPr>
        <w:pStyle w:val="14"/>
        <w:tabs>
          <w:tab w:val="right" w:leader="dot" w:pos="8306"/>
        </w:tabs>
        <w:rPr>
          <w:rFonts w:hint="eastAsia" w:ascii="仿宋" w:hAnsi="仿宋" w:eastAsia="仿宋" w:cs="仿宋"/>
          <w:b w:val="0"/>
          <w:bCs w:val="0"/>
          <w:i w:val="0"/>
          <w:iCs w:val="0"/>
          <w:sz w:val="30"/>
          <w:szCs w:val="30"/>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hint="eastAsia" w:ascii="仿宋" w:hAnsi="仿宋" w:eastAsia="仿宋" w:cs="仿宋"/>
          <w:b w:val="0"/>
          <w:bCs w:val="0"/>
          <w:i w:val="0"/>
          <w:iCs w:val="0"/>
          <w:sz w:val="30"/>
          <w:szCs w:val="30"/>
        </w:rPr>
        <w:t>第一部分部门概况</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_Toc11844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5</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一、基</w:t>
      </w:r>
      <w:r>
        <w:rPr>
          <w:rFonts w:hint="eastAsia" w:ascii="仿宋" w:hAnsi="仿宋" w:eastAsia="仿宋" w:cs="仿宋"/>
          <w:i w:val="0"/>
          <w:iCs w:val="0"/>
          <w:sz w:val="30"/>
          <w:szCs w:val="30"/>
        </w:rPr>
        <w:t>本职能及主要工作</w:t>
      </w:r>
      <w:r>
        <w:rPr>
          <w:rFonts w:hint="eastAsia" w:ascii="仿宋" w:hAnsi="仿宋" w:eastAsia="仿宋" w:cs="仿宋"/>
          <w:i w:val="0"/>
          <w:iCs w:val="0"/>
          <w:sz w:val="30"/>
          <w:szCs w:val="30"/>
        </w:rPr>
        <w:tab/>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bCs/>
          <w:i w:val="0"/>
          <w:iCs w:val="0"/>
          <w:color w:val="000000"/>
          <w:sz w:val="30"/>
          <w:szCs w:val="30"/>
        </w:rPr>
        <w:t>（一）主要职能</w:t>
      </w:r>
      <w:r>
        <w:rPr>
          <w:rFonts w:hint="eastAsia" w:ascii="仿宋" w:hAnsi="仿宋" w:eastAsia="仿宋" w:cs="仿宋"/>
          <w:i w:val="0"/>
          <w:iCs w:val="0"/>
          <w:sz w:val="30"/>
          <w:szCs w:val="30"/>
        </w:rPr>
        <w:tab/>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bCs/>
          <w:i w:val="0"/>
          <w:iCs w:val="0"/>
          <w:color w:val="000000"/>
          <w:sz w:val="30"/>
          <w:szCs w:val="30"/>
        </w:rPr>
        <w:t>（二）2020年重点工作完成情况</w:t>
      </w:r>
      <w:r>
        <w:rPr>
          <w:rFonts w:hint="eastAsia" w:ascii="仿宋" w:hAnsi="仿宋" w:eastAsia="仿宋" w:cs="仿宋"/>
          <w:i w:val="0"/>
          <w:iCs w:val="0"/>
          <w:sz w:val="30"/>
          <w:szCs w:val="30"/>
        </w:rPr>
        <w:tab/>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二、机</w:t>
      </w:r>
      <w:r>
        <w:rPr>
          <w:rFonts w:hint="eastAsia" w:ascii="仿宋" w:hAnsi="仿宋" w:eastAsia="仿宋" w:cs="仿宋"/>
          <w:i w:val="0"/>
          <w:iCs w:val="0"/>
          <w:sz w:val="30"/>
          <w:szCs w:val="30"/>
        </w:rPr>
        <w:t>构设置</w:t>
      </w:r>
      <w:r>
        <w:rPr>
          <w:rFonts w:hint="eastAsia" w:ascii="仿宋" w:hAnsi="仿宋" w:eastAsia="仿宋" w:cs="仿宋"/>
          <w:i w:val="0"/>
          <w:iCs w:val="0"/>
          <w:sz w:val="30"/>
          <w:szCs w:val="30"/>
        </w:rPr>
        <w:tab/>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第二部分</w:t>
      </w:r>
      <w:r>
        <w:rPr>
          <w:rFonts w:hint="eastAsia" w:ascii="仿宋" w:hAnsi="仿宋" w:eastAsia="仿宋" w:cs="仿宋"/>
          <w:b w:val="0"/>
          <w:bCs w:val="0"/>
          <w:i w:val="0"/>
          <w:iCs w:val="0"/>
          <w:sz w:val="30"/>
          <w:szCs w:val="30"/>
        </w:rPr>
        <w:t>2020年度部门决算情况说明</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_Toc10125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8</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一、 </w:t>
      </w:r>
      <w:r>
        <w:rPr>
          <w:rFonts w:hint="eastAsia" w:ascii="仿宋" w:hAnsi="仿宋" w:eastAsia="仿宋" w:cs="仿宋"/>
          <w:i w:val="0"/>
          <w:iCs w:val="0"/>
          <w:color w:val="000000"/>
          <w:sz w:val="30"/>
          <w:szCs w:val="30"/>
        </w:rPr>
        <w:t>收</w:t>
      </w:r>
      <w:r>
        <w:rPr>
          <w:rFonts w:hint="eastAsia" w:ascii="仿宋" w:hAnsi="仿宋" w:eastAsia="仿宋" w:cs="仿宋"/>
          <w:i w:val="0"/>
          <w:iCs w:val="0"/>
          <w:sz w:val="30"/>
          <w:szCs w:val="30"/>
        </w:rPr>
        <w:t>入支出决算总体情况说明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_Toc27388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二、 </w:t>
      </w:r>
      <w:r>
        <w:rPr>
          <w:rFonts w:hint="eastAsia" w:ascii="仿宋" w:hAnsi="仿宋" w:eastAsia="仿宋" w:cs="仿宋"/>
          <w:i w:val="0"/>
          <w:iCs w:val="0"/>
          <w:color w:val="000000"/>
          <w:sz w:val="30"/>
          <w:szCs w:val="30"/>
        </w:rPr>
        <w:t>收</w:t>
      </w:r>
      <w:r>
        <w:rPr>
          <w:rFonts w:hint="eastAsia" w:ascii="仿宋" w:hAnsi="仿宋" w:eastAsia="仿宋" w:cs="仿宋"/>
          <w:i w:val="0"/>
          <w:iCs w:val="0"/>
          <w:sz w:val="30"/>
          <w:szCs w:val="30"/>
        </w:rPr>
        <w:t>入决算情况说明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_Toc3925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三、 </w:t>
      </w:r>
      <w:r>
        <w:rPr>
          <w:rFonts w:hint="eastAsia" w:ascii="仿宋" w:hAnsi="仿宋" w:eastAsia="仿宋" w:cs="仿宋"/>
          <w:i w:val="0"/>
          <w:iCs w:val="0"/>
          <w:color w:val="000000"/>
          <w:sz w:val="30"/>
          <w:szCs w:val="30"/>
        </w:rPr>
        <w:t>支</w:t>
      </w:r>
      <w:r>
        <w:rPr>
          <w:rFonts w:hint="eastAsia" w:ascii="仿宋" w:hAnsi="仿宋" w:eastAsia="仿宋" w:cs="仿宋"/>
          <w:i w:val="0"/>
          <w:iCs w:val="0"/>
          <w:sz w:val="30"/>
          <w:szCs w:val="30"/>
        </w:rPr>
        <w:t>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_Toc10185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9</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四、财</w:t>
      </w:r>
      <w:r>
        <w:rPr>
          <w:rFonts w:hint="eastAsia" w:ascii="仿宋" w:hAnsi="仿宋" w:eastAsia="仿宋" w:cs="仿宋"/>
          <w:i w:val="0"/>
          <w:iCs w:val="0"/>
          <w:sz w:val="30"/>
          <w:szCs w:val="30"/>
        </w:rPr>
        <w:t>政拨款收入支出决算总体情况说明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_Toc6560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五、一</w:t>
      </w:r>
      <w:r>
        <w:rPr>
          <w:rFonts w:hint="eastAsia" w:ascii="仿宋" w:hAnsi="仿宋" w:eastAsia="仿宋" w:cs="仿宋"/>
          <w:i w:val="0"/>
          <w:iCs w:val="0"/>
          <w:sz w:val="30"/>
          <w:szCs w:val="30"/>
        </w:rPr>
        <w:t>般公共预算财政拨款支出决算情况说明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_Toc28532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（一）一般公共预算财政拨款支出决算总体情况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_Toc5408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（二）一般公共预算财政拨款支出决算结构情况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_Toc29465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11</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（三）一般公共预算财政拨款支出决算具体情况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_Toc24294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12</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六、一</w:t>
      </w:r>
      <w:r>
        <w:rPr>
          <w:rFonts w:hint="eastAsia" w:ascii="仿宋" w:hAnsi="仿宋" w:eastAsia="仿宋" w:cs="仿宋"/>
          <w:i w:val="0"/>
          <w:iCs w:val="0"/>
          <w:sz w:val="30"/>
          <w:szCs w:val="30"/>
        </w:rPr>
        <w:t>般公共预算财政拨款基本支出决算情况说明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_Toc31339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七、</w:t>
      </w:r>
      <w:r>
        <w:rPr>
          <w:rFonts w:hint="eastAsia" w:ascii="仿宋" w:hAnsi="仿宋" w:eastAsia="仿宋" w:cs="仿宋"/>
          <w:i w:val="0"/>
          <w:iCs w:val="0"/>
          <w:sz w:val="30"/>
          <w:szCs w:val="30"/>
        </w:rPr>
        <w:t>“三公”经费财政拨款支出决算情况说明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_Toc13754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（一）“三公”经费财政拨款支出决算总体情况说明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_Toc936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（二）“三公”经费财政拨款支出决算具体情况说明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_Toc12666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八、</w:t>
      </w:r>
      <w:r>
        <w:rPr>
          <w:rFonts w:hint="eastAsia" w:ascii="仿宋" w:hAnsi="仿宋" w:eastAsia="仿宋" w:cs="仿宋"/>
          <w:i w:val="0"/>
          <w:iCs w:val="0"/>
          <w:sz w:val="30"/>
          <w:szCs w:val="30"/>
        </w:rPr>
        <w:t>政府性基金预算支出决算情况说明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_Toc23458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九、 国有资本经营预算支出决算情况说明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_Toc4869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十</w:t>
      </w:r>
      <w:r>
        <w:rPr>
          <w:rFonts w:hint="eastAsia" w:ascii="仿宋" w:hAnsi="仿宋" w:eastAsia="仿宋" w:cs="仿宋"/>
          <w:i w:val="0"/>
          <w:iCs w:val="0"/>
          <w:sz w:val="30"/>
          <w:szCs w:val="30"/>
        </w:rPr>
        <w:t>、其他重要事项的情况说明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_Toc6459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（一）机关运行经费支出情况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_Toc22441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（二）政府采购支出情况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_Toc26271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（三）国有资产占有使用情况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_Toc25265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（四）预算绩效管理情况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_Toc7306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17</w:t>
      </w:r>
      <w:r>
        <w:rPr>
          <w:rFonts w:hint="eastAsia" w:ascii="仿宋" w:hAnsi="仿宋" w:eastAsia="仿宋" w:cs="仿宋"/>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sz w:val="30"/>
          <w:szCs w:val="30"/>
        </w:rPr>
        <w:t xml:space="preserve">第三部分 </w:t>
      </w:r>
      <w:r>
        <w:rPr>
          <w:rFonts w:hint="eastAsia" w:ascii="仿宋" w:hAnsi="仿宋" w:eastAsia="仿宋" w:cs="仿宋"/>
          <w:b w:val="0"/>
          <w:bCs w:val="0"/>
          <w:i w:val="0"/>
          <w:iCs w:val="0"/>
          <w:color w:val="000000"/>
          <w:sz w:val="30"/>
          <w:szCs w:val="30"/>
        </w:rPr>
        <w:t>名</w:t>
      </w:r>
      <w:r>
        <w:rPr>
          <w:rFonts w:hint="eastAsia" w:ascii="仿宋" w:hAnsi="仿宋" w:eastAsia="仿宋" w:cs="仿宋"/>
          <w:b w:val="0"/>
          <w:bCs w:val="0"/>
          <w:i w:val="0"/>
          <w:iCs w:val="0"/>
          <w:sz w:val="30"/>
          <w:szCs w:val="30"/>
        </w:rPr>
        <w:t>词解释</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_Toc10753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30</w:t>
      </w:r>
      <w:r>
        <w:rPr>
          <w:rFonts w:hint="eastAsia" w:ascii="仿宋" w:hAnsi="仿宋" w:eastAsia="仿宋" w:cs="仿宋"/>
          <w:b w:val="0"/>
          <w:bCs w:val="0"/>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w:t>
      </w:r>
      <w:r>
        <w:rPr>
          <w:rFonts w:hint="eastAsia" w:ascii="仿宋" w:hAnsi="仿宋" w:eastAsia="仿宋" w:cs="仿宋"/>
          <w:b w:val="0"/>
          <w:bCs w:val="0"/>
          <w:i w:val="0"/>
          <w:iCs w:val="0"/>
          <w:sz w:val="30"/>
          <w:szCs w:val="30"/>
        </w:rPr>
        <w:t>四部分附件</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_Toc16647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35</w:t>
      </w:r>
      <w:r>
        <w:rPr>
          <w:rFonts w:hint="eastAsia" w:ascii="仿宋" w:hAnsi="仿宋" w:eastAsia="仿宋" w:cs="仿宋"/>
          <w:b w:val="0"/>
          <w:bCs w:val="0"/>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sz w:val="30"/>
          <w:szCs w:val="30"/>
        </w:rPr>
        <w:t>附件1</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_Toc11361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35</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一、部门（单位）概况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_Toc30535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二、部门财政资金收支情况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_Toc28767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三、部门整体预算绩效管理情况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_Toc30988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（二）专项预算管理</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_Toc13916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37</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（三）结果应用情况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_Toc7894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37</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四、评价结论及建议</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_Toc20693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（一）评价结论</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_Toc21118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（二）存在问题</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_Toc28090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（三）改进建议</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_Toc23361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w:t>
      </w:r>
      <w:r>
        <w:rPr>
          <w:rFonts w:hint="eastAsia" w:ascii="仿宋" w:hAnsi="仿宋" w:eastAsia="仿宋" w:cs="仿宋"/>
          <w:b w:val="0"/>
          <w:bCs w:val="0"/>
          <w:i w:val="0"/>
          <w:iCs w:val="0"/>
          <w:sz w:val="30"/>
          <w:szCs w:val="30"/>
        </w:rPr>
        <w:t>五部分附表</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_Toc25141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40</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一、收</w:t>
      </w:r>
      <w:r>
        <w:rPr>
          <w:rFonts w:hint="eastAsia" w:ascii="仿宋" w:hAnsi="仿宋" w:eastAsia="仿宋" w:cs="仿宋"/>
          <w:i w:val="0"/>
          <w:iCs w:val="0"/>
          <w:sz w:val="30"/>
          <w:szCs w:val="30"/>
        </w:rPr>
        <w:t>入支出决算总表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_Toc16373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二、收</w:t>
      </w:r>
      <w:r>
        <w:rPr>
          <w:rFonts w:hint="eastAsia" w:ascii="仿宋" w:hAnsi="仿宋" w:eastAsia="仿宋" w:cs="仿宋"/>
          <w:i w:val="0"/>
          <w:iCs w:val="0"/>
          <w:sz w:val="30"/>
          <w:szCs w:val="30"/>
        </w:rPr>
        <w:t>入决算表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_Toc27470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w:t>
      </w:r>
      <w:r>
        <w:rPr>
          <w:rFonts w:hint="eastAsia" w:ascii="仿宋" w:hAnsi="仿宋" w:eastAsia="仿宋" w:cs="仿宋"/>
          <w:i w:val="0"/>
          <w:iCs w:val="0"/>
          <w:color w:val="000000"/>
          <w:sz w:val="30"/>
          <w:szCs w:val="30"/>
        </w:rPr>
        <w:t>支</w:t>
      </w:r>
      <w:r>
        <w:rPr>
          <w:rFonts w:hint="eastAsia" w:ascii="仿宋" w:hAnsi="仿宋" w:eastAsia="仿宋" w:cs="仿宋"/>
          <w:i w:val="0"/>
          <w:iCs w:val="0"/>
          <w:sz w:val="30"/>
          <w:szCs w:val="30"/>
        </w:rPr>
        <w:t>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_Toc1571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四、</w:t>
      </w:r>
      <w:r>
        <w:rPr>
          <w:rFonts w:hint="eastAsia" w:ascii="仿宋" w:hAnsi="仿宋" w:eastAsia="仿宋" w:cs="仿宋"/>
          <w:i w:val="0"/>
          <w:iCs w:val="0"/>
          <w:color w:val="000000"/>
          <w:sz w:val="30"/>
          <w:szCs w:val="30"/>
        </w:rPr>
        <w:t>财</w:t>
      </w:r>
      <w:r>
        <w:rPr>
          <w:rFonts w:hint="eastAsia" w:ascii="仿宋" w:hAnsi="仿宋" w:eastAsia="仿宋" w:cs="仿宋"/>
          <w:i w:val="0"/>
          <w:iCs w:val="0"/>
          <w:sz w:val="30"/>
          <w:szCs w:val="30"/>
        </w:rPr>
        <w:t>政拨款收入支出决算总表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_Toc24311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五、</w:t>
      </w:r>
      <w:r>
        <w:rPr>
          <w:rFonts w:hint="eastAsia" w:ascii="仿宋" w:hAnsi="仿宋" w:eastAsia="仿宋" w:cs="仿宋"/>
          <w:i w:val="0"/>
          <w:iCs w:val="0"/>
          <w:color w:val="000000"/>
          <w:sz w:val="30"/>
          <w:szCs w:val="30"/>
        </w:rPr>
        <w:t>财</w:t>
      </w:r>
      <w:r>
        <w:rPr>
          <w:rFonts w:hint="eastAsia" w:ascii="仿宋" w:hAnsi="仿宋" w:eastAsia="仿宋" w:cs="仿宋"/>
          <w:i w:val="0"/>
          <w:iCs w:val="0"/>
          <w:sz w:val="30"/>
          <w:szCs w:val="30"/>
        </w:rPr>
        <w:t>政拨款支出决算明细表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_Toc6324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六、</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_Toc7746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七、</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般公共预算财政拨款支出决算明细表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_Toc14072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八、</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般公共预算财政拨款基本支出决算表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_Toc27552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九、</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般公共预算财政拨款项目支出决算表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_Toc8315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般公共预算财政拨款“三公”经费支出决算表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_Toc23523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十一、</w:t>
      </w:r>
      <w:r>
        <w:rPr>
          <w:rFonts w:hint="eastAsia" w:ascii="仿宋" w:hAnsi="仿宋" w:eastAsia="仿宋" w:cs="仿宋"/>
          <w:i w:val="0"/>
          <w:iCs w:val="0"/>
          <w:color w:val="000000"/>
          <w:sz w:val="30"/>
          <w:szCs w:val="30"/>
        </w:rPr>
        <w:t>政</w:t>
      </w:r>
      <w:r>
        <w:rPr>
          <w:rFonts w:hint="eastAsia" w:ascii="仿宋" w:hAnsi="仿宋" w:eastAsia="仿宋" w:cs="仿宋"/>
          <w:i w:val="0"/>
          <w:iCs w:val="0"/>
          <w:sz w:val="30"/>
          <w:szCs w:val="30"/>
        </w:rPr>
        <w:t>府性基金预算财政拨款收入支出决算表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_Toc25708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十二、</w:t>
      </w:r>
      <w:r>
        <w:rPr>
          <w:rFonts w:hint="eastAsia" w:ascii="仿宋" w:hAnsi="仿宋" w:eastAsia="仿宋" w:cs="仿宋"/>
          <w:i w:val="0"/>
          <w:iCs w:val="0"/>
          <w:color w:val="000000"/>
          <w:sz w:val="30"/>
          <w:szCs w:val="30"/>
        </w:rPr>
        <w:t>政</w:t>
      </w:r>
      <w:r>
        <w:rPr>
          <w:rFonts w:hint="eastAsia" w:ascii="仿宋" w:hAnsi="仿宋" w:eastAsia="仿宋" w:cs="仿宋"/>
          <w:i w:val="0"/>
          <w:iCs w:val="0"/>
          <w:sz w:val="30"/>
          <w:szCs w:val="30"/>
        </w:rPr>
        <w:t>府性基金预算财政拨款“三公”经费支出决算表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_Toc127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十三、</w:t>
      </w:r>
      <w:r>
        <w:rPr>
          <w:rFonts w:hint="eastAsia" w:ascii="仿宋" w:hAnsi="仿宋" w:eastAsia="仿宋" w:cs="仿宋"/>
          <w:i w:val="0"/>
          <w:iCs w:val="0"/>
          <w:color w:val="000000"/>
          <w:sz w:val="30"/>
          <w:szCs w:val="30"/>
        </w:rPr>
        <w:t>国</w:t>
      </w:r>
      <w:r>
        <w:rPr>
          <w:rFonts w:hint="eastAsia" w:ascii="仿宋" w:hAnsi="仿宋" w:eastAsia="仿宋" w:cs="仿宋"/>
          <w:i w:val="0"/>
          <w:iCs w:val="0"/>
          <w:sz w:val="30"/>
          <w:szCs w:val="30"/>
        </w:rPr>
        <w:t>有资本经营预算财政拨款支出决算表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_Toc6510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pPr>
      <w:r>
        <w:rPr>
          <w:rFonts w:hint="eastAsia" w:ascii="仿宋" w:hAnsi="仿宋" w:eastAsia="仿宋" w:cs="仿宋"/>
          <w:i w:val="0"/>
          <w:iCs w:val="0"/>
          <w:sz w:val="30"/>
          <w:szCs w:val="30"/>
        </w:rPr>
        <w:t>十四、国有资本经营预算财政拨款支出决算表</w:t>
      </w:r>
      <w:r>
        <w:rPr>
          <w:rFonts w:hint="eastAsia" w:ascii="仿宋" w:hAnsi="仿宋" w:eastAsia="仿宋" w:cs="仿宋"/>
          <w:sz w:val="30"/>
          <w:szCs w:val="30"/>
        </w:rPr>
        <w:tab/>
      </w:r>
      <w:r>
        <w:fldChar w:fldCharType="begin"/>
      </w:r>
      <w:r>
        <w:instrText xml:space="preserve"> PAGEREF _Toc7325 </w:instrText>
      </w:r>
      <w:r>
        <w:fldChar w:fldCharType="separate"/>
      </w:r>
      <w:r>
        <w:t>40</w:t>
      </w:r>
      <w:r>
        <w:fldChar w:fldCharType="end"/>
      </w:r>
    </w:p>
    <w:p>
      <w:r>
        <w:rPr>
          <w:rFonts w:ascii="仿宋" w:hAnsi="仿宋" w:eastAsia="仿宋"/>
          <w:small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4"/>
          <w:rFonts w:ascii="黑体" w:hAnsi="黑体" w:eastAsia="黑体"/>
          <w:b/>
          <w:bCs w:val="0"/>
        </w:rPr>
      </w:pPr>
      <w:bookmarkStart w:id="14" w:name="_Toc79163601"/>
      <w:bookmarkStart w:id="15" w:name="_Toc11844"/>
      <w:r>
        <w:rPr>
          <w:rFonts w:hint="eastAsia" w:ascii="黑体" w:hAnsi="黑体" w:eastAsia="黑体"/>
          <w:b w:val="0"/>
        </w:rPr>
        <w:t>第一部分</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9"/>
        <w:widowControl/>
        <w:spacing w:line="440" w:lineRule="exact"/>
        <w:ind w:left="420" w:firstLine="0" w:firstLineChars="0"/>
        <w:jc w:val="left"/>
        <w:rPr>
          <w:rStyle w:val="40"/>
          <w:rFonts w:ascii="黑体" w:hAnsi="黑体" w:eastAsia="黑体"/>
          <w:kern w:val="44"/>
        </w:rPr>
      </w:pPr>
      <w:r>
        <w:rPr>
          <w:rFonts w:hint="eastAsia" w:ascii="黑体" w:hAnsi="黑体" w:eastAsia="黑体"/>
          <w:b/>
          <w:color w:val="000000"/>
          <w:sz w:val="32"/>
          <w:szCs w:val="32"/>
        </w:rPr>
        <w:t>一、基</w:t>
      </w:r>
      <w:r>
        <w:rPr>
          <w:rStyle w:val="40"/>
          <w:rFonts w:hint="eastAsia" w:ascii="黑体" w:hAnsi="黑体" w:eastAsia="黑体"/>
        </w:rPr>
        <w:t>本职能及主要工作</w:t>
      </w:r>
    </w:p>
    <w:p>
      <w:pPr>
        <w:spacing w:line="576" w:lineRule="atLeast"/>
        <w:ind w:firstLine="642" w:firstLineChars="200"/>
        <w:outlineLvl w:val="1"/>
        <w:rPr>
          <w:rFonts w:ascii="楷体" w:hAnsi="楷体" w:eastAsia="楷体"/>
          <w:b/>
          <w:sz w:val="32"/>
          <w:szCs w:val="32"/>
        </w:rPr>
      </w:pPr>
      <w:bookmarkStart w:id="16" w:name="_Toc15377200"/>
      <w:bookmarkStart w:id="17" w:name="_Toc15396601"/>
      <w:r>
        <w:rPr>
          <w:rFonts w:hint="eastAsia" w:ascii="楷体" w:hAnsi="楷体" w:eastAsia="楷体" w:cs="楷体"/>
          <w:b/>
          <w:color w:val="000000"/>
          <w:sz w:val="32"/>
          <w:szCs w:val="32"/>
        </w:rPr>
        <w:t>（一）基本职能</w:t>
      </w:r>
      <w:bookmarkStart w:id="18" w:name="_Toc15377199"/>
      <w:bookmarkStart w:id="19" w:name="_Toc15378446"/>
    </w:p>
    <w:p>
      <w:pPr>
        <w:spacing w:line="576" w:lineRule="exact"/>
        <w:ind w:left="315" w:leftChars="150" w:firstLine="627" w:firstLineChars="196"/>
        <w:outlineLvl w:val="1"/>
        <w:rPr>
          <w:rFonts w:ascii="仿宋_GB2312" w:hAnsi="仿宋" w:eastAsia="仿宋_GB2312" w:cs="仿宋_GB2312"/>
          <w:sz w:val="32"/>
          <w:szCs w:val="32"/>
        </w:rPr>
      </w:pPr>
      <w:r>
        <w:rPr>
          <w:rFonts w:hint="eastAsia" w:ascii="仿宋_GB2312" w:hAnsi="仿宋" w:eastAsia="仿宋_GB2312" w:cs="仿宋_GB2312"/>
          <w:sz w:val="32"/>
          <w:szCs w:val="32"/>
        </w:rPr>
        <w:t>负责草拟本</w:t>
      </w:r>
      <w:r>
        <w:rPr>
          <w:rFonts w:hint="eastAsia" w:ascii="仿宋_GB2312" w:hAnsi="仿宋" w:eastAsia="仿宋_GB2312" w:cs="仿宋_GB2312"/>
          <w:sz w:val="32"/>
          <w:szCs w:val="32"/>
          <w:lang w:val="en-US" w:eastAsia="zh-CN"/>
        </w:rPr>
        <w:t>镇</w:t>
      </w:r>
      <w:r>
        <w:rPr>
          <w:rFonts w:hint="eastAsia" w:ascii="仿宋_GB2312" w:hAnsi="仿宋" w:eastAsia="仿宋_GB2312" w:cs="仿宋_GB2312"/>
          <w:sz w:val="32"/>
          <w:szCs w:val="32"/>
        </w:rPr>
        <w:t>农业产业结构调整规划,建立健全合作组织的组织制度、民主管理制度、利益分配制度等;负责调查了解农业,落实国家计划生育政策,努力提高人口素质;宣传贯彻国土管产业结构状况及市场走向,及时提供农业结构调整参考信息</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拟定全镇国土、城建管理规划措施;宣传教育、文化、科技、卫生等方面的政策、知识;严格按规定做好财务管理工作。</w:t>
      </w:r>
    </w:p>
    <w:p>
      <w:pPr>
        <w:spacing w:line="576" w:lineRule="atLeast"/>
        <w:ind w:firstLine="642" w:firstLineChars="200"/>
        <w:outlineLvl w:val="1"/>
        <w:rPr>
          <w:rFonts w:ascii="楷体" w:hAnsi="楷体" w:eastAsia="楷体" w:cs="楷体"/>
          <w:b/>
          <w:color w:val="000000"/>
          <w:sz w:val="32"/>
          <w:szCs w:val="32"/>
        </w:rPr>
      </w:pPr>
      <w:r>
        <w:rPr>
          <w:rFonts w:hint="eastAsia" w:ascii="楷体" w:hAnsi="楷体" w:eastAsia="楷体" w:cs="楷体"/>
          <w:b/>
          <w:color w:val="000000"/>
          <w:sz w:val="32"/>
          <w:szCs w:val="32"/>
        </w:rPr>
        <w:t>（二）2020年重点工作完成情况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lang w:eastAsia="zh-CN"/>
        </w:rPr>
        <w:t>疫情防控工作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取网格化包保管理、迅速排查返乡人员，落实包保到户、每天两次的走访监测的工作机制，确保村不漏组、组不漏户、户不漏人，设置卡点，安排镇村干部及民兵24小时轮流值守，各村组出口设置党员先锋岗，累计有</w:t>
      </w:r>
      <w:r>
        <w:rPr>
          <w:rFonts w:hint="eastAsia" w:ascii="仿宋_GB2312" w:hAnsi="仿宋_GB2312" w:eastAsia="仿宋_GB2312" w:cs="仿宋_GB2312"/>
          <w:color w:val="auto"/>
          <w:sz w:val="32"/>
          <w:szCs w:val="32"/>
          <w:lang w:val="en-US" w:eastAsia="zh-CN"/>
        </w:rPr>
        <w:t>3802人次民兵、志愿者和党员</w:t>
      </w:r>
      <w:r>
        <w:rPr>
          <w:rFonts w:hint="eastAsia" w:ascii="仿宋_GB2312" w:hAnsi="仿宋_GB2312" w:eastAsia="仿宋_GB2312" w:cs="仿宋_GB2312"/>
          <w:color w:val="auto"/>
          <w:sz w:val="32"/>
          <w:szCs w:val="32"/>
          <w:lang w:eastAsia="zh-CN"/>
        </w:rPr>
        <w:t>参加疫情防控值守工作。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hAnsi="仿宋_GB2312" w:eastAsia="仿宋_GB2312" w:cs="仿宋_GB2312"/>
          <w:b/>
          <w:color w:val="auto"/>
          <w:sz w:val="32"/>
          <w:szCs w:val="32"/>
        </w:rPr>
      </w:pP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创新经济发展模式，综合实力跃上新台阶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宋体" w:hAnsi="宋体" w:eastAsia="仿宋_GB2312" w:cs="宋体"/>
          <w:color w:val="auto"/>
          <w:sz w:val="24"/>
          <w:szCs w:val="24"/>
          <w:lang w:eastAsia="zh-CN"/>
        </w:rPr>
      </w:pPr>
      <w:r>
        <w:rPr>
          <w:rFonts w:hint="eastAsia" w:ascii="楷体_GB2312" w:hAnsi="楷体_GB2312" w:eastAsia="楷体_GB2312" w:cs="楷体_GB2312"/>
          <w:b/>
          <w:color w:val="auto"/>
          <w:sz w:val="32"/>
          <w:szCs w:val="32"/>
          <w:lang w:val="en-US" w:eastAsia="zh-CN"/>
        </w:rPr>
        <w:t>（1）农业</w:t>
      </w:r>
      <w:r>
        <w:rPr>
          <w:rFonts w:hint="eastAsia" w:ascii="楷体_GB2312" w:hAnsi="楷体_GB2312" w:eastAsia="楷体_GB2312" w:cs="楷体_GB2312"/>
          <w:b/>
          <w:color w:val="auto"/>
          <w:sz w:val="32"/>
          <w:szCs w:val="32"/>
        </w:rPr>
        <w:t>工作方面</w:t>
      </w:r>
      <w:r>
        <w:rPr>
          <w:rFonts w:hint="eastAsia" w:ascii="楷体_GB2312" w:hAnsi="楷体_GB2312" w:eastAsia="楷体_GB2312" w:cs="楷体_GB2312"/>
          <w:b/>
          <w:color w:val="auto"/>
          <w:sz w:val="32"/>
          <w:szCs w:val="32"/>
          <w:lang w:eastAsia="zh-CN"/>
        </w:rPr>
        <w:t>。</w:t>
      </w:r>
      <w:r>
        <w:rPr>
          <w:rFonts w:hint="eastAsia" w:ascii="仿宋_GB2312" w:hAnsi="仿宋_GB2312" w:eastAsia="仿宋_GB2312" w:cs="仿宋_GB2312"/>
          <w:color w:val="auto"/>
          <w:sz w:val="32"/>
          <w:szCs w:val="32"/>
        </w:rPr>
        <w:t>继续开展现代生态农业标准化生产管理、品牌创建、市场开拓和机制创新示范建设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积极扶持壮大集体经济，加快农业结构调整步伐，加强产业基地建设，大力改善农业基础条件，农业和农村经济全面发展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2" w:firstLineChars="200"/>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color w:val="auto"/>
          <w:sz w:val="32"/>
          <w:szCs w:val="32"/>
          <w:lang w:val="en-US" w:eastAsia="zh-CN"/>
        </w:rPr>
        <w:t>（2）畜牧工作方面。</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召开以会带训的动物防疫工作会议，认真安排部署，将工作细化到各村动物防疫员，责任到人。</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抓实动物疫病防控工作，扎实开展春季集中免疫及后续补免工作。目前，猪口蹄疫的免疫率达90%，牛羊口蹄疫的免疫率均达98.5%并及时做好了补免工作</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val="0"/>
        <w:kinsoku/>
        <w:wordWrap/>
        <w:overflowPunct/>
        <w:topLinePunct w:val="0"/>
        <w:autoSpaceDE/>
        <w:autoSpaceDN/>
        <w:bidi w:val="0"/>
        <w:spacing w:line="576" w:lineRule="exact"/>
        <w:ind w:firstLine="640" w:firstLineChars="200"/>
        <w:rPr>
          <w:rFonts w:hint="eastAsia" w:ascii="黑体" w:hAnsi="黑体" w:eastAsia="黑体" w:cs="黑体"/>
          <w:b w:val="0"/>
          <w:bCs w:val="0"/>
          <w:color w:val="auto"/>
          <w:lang w:eastAsia="zh-CN"/>
        </w:rPr>
      </w:pPr>
      <w:r>
        <w:rPr>
          <w:rFonts w:hint="eastAsia" w:ascii="黑体" w:hAnsi="黑体" w:eastAsia="黑体" w:cs="黑体"/>
          <w:b w:val="0"/>
          <w:bCs w:val="0"/>
          <w:color w:val="auto"/>
          <w:sz w:val="32"/>
          <w:szCs w:val="32"/>
          <w:lang w:val="en-US" w:eastAsia="zh-CN"/>
        </w:rPr>
        <w:t>3、</w:t>
      </w:r>
      <w:r>
        <w:rPr>
          <w:rFonts w:hint="eastAsia" w:ascii="黑体" w:hAnsi="黑体" w:eastAsia="黑体" w:cs="黑体"/>
          <w:b w:val="0"/>
          <w:bCs w:val="0"/>
          <w:color w:val="auto"/>
          <w:kern w:val="2"/>
          <w:sz w:val="32"/>
          <w:szCs w:val="32"/>
        </w:rPr>
        <w:t>协调发展社会事业，人民生活获得新改善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2" w:firstLineChars="200"/>
        <w:jc w:val="left"/>
        <w:textAlignment w:val="auto"/>
        <w:rPr>
          <w:rFonts w:hint="eastAsia"/>
          <w:color w:val="auto"/>
          <w:lang w:val="en-US" w:eastAsia="zh-CN"/>
        </w:rPr>
      </w:pPr>
      <w:r>
        <w:rPr>
          <w:rFonts w:hint="eastAsia" w:ascii="楷体_GB2312" w:hAnsi="楷体_GB2312" w:eastAsia="楷体_GB2312" w:cs="楷体_GB2312"/>
          <w:b/>
          <w:color w:val="auto"/>
          <w:sz w:val="32"/>
          <w:szCs w:val="32"/>
          <w:lang w:val="en-US" w:eastAsia="zh-CN"/>
        </w:rPr>
        <w:t>（1）村级建制调整改革。</w:t>
      </w:r>
      <w:r>
        <w:rPr>
          <w:rFonts w:hint="eastAsia" w:ascii="仿宋_GB2312" w:hAnsi="仿宋_GB2312" w:eastAsia="仿宋_GB2312" w:cs="仿宋_GB2312"/>
          <w:b w:val="0"/>
          <w:bCs/>
          <w:color w:val="auto"/>
          <w:sz w:val="32"/>
          <w:szCs w:val="32"/>
          <w:lang w:val="en-US" w:eastAsia="zh-CN"/>
        </w:rPr>
        <w:t>在零上访、零投诉的前提下，</w:t>
      </w:r>
      <w:r>
        <w:rPr>
          <w:rFonts w:hint="eastAsia" w:ascii="仿宋_GB2312" w:hAnsi="仿宋_GB2312" w:eastAsia="仿宋_GB2312" w:cs="仿宋_GB2312"/>
          <w:color w:val="auto"/>
          <w:sz w:val="32"/>
          <w:szCs w:val="32"/>
        </w:rPr>
        <w:t>我镇</w:t>
      </w:r>
      <w:r>
        <w:rPr>
          <w:rFonts w:hint="eastAsia" w:ascii="仿宋_GB2312" w:hAnsi="仿宋_GB2312" w:eastAsia="仿宋_GB2312" w:cs="仿宋_GB2312"/>
          <w:color w:val="auto"/>
          <w:sz w:val="32"/>
          <w:szCs w:val="32"/>
          <w:lang w:eastAsia="zh-CN"/>
        </w:rPr>
        <w:t>顺利完成</w:t>
      </w:r>
      <w:r>
        <w:rPr>
          <w:rFonts w:hint="eastAsia" w:ascii="仿宋_GB2312" w:hAnsi="仿宋_GB2312" w:eastAsia="仿宋_GB2312" w:cs="仿宋_GB2312"/>
          <w:color w:val="auto"/>
          <w:sz w:val="32"/>
          <w:szCs w:val="32"/>
        </w:rPr>
        <w:t>利里村和腊普村合并，设腊普村；榴桐村和德胜村合并，设德胜村；将渭门村小寨组划入十里村</w:t>
      </w:r>
      <w:r>
        <w:rPr>
          <w:rFonts w:hint="eastAsia" w:ascii="仿宋_GB2312" w:hAnsi="仿宋_GB2312" w:eastAsia="仿宋_GB2312" w:cs="仿宋_GB2312"/>
          <w:color w:val="auto"/>
          <w:sz w:val="32"/>
          <w:szCs w:val="32"/>
          <w:lang w:eastAsia="zh-CN"/>
        </w:rPr>
        <w:t>的调整工作。调整后</w:t>
      </w:r>
      <w:r>
        <w:rPr>
          <w:rFonts w:hint="eastAsia" w:ascii="仿宋_GB2312" w:hAnsi="仿宋_GB2312" w:eastAsia="仿宋_GB2312" w:cs="仿宋_GB2312"/>
          <w:b w:val="0"/>
          <w:bCs/>
          <w:color w:val="auto"/>
          <w:sz w:val="32"/>
          <w:szCs w:val="32"/>
          <w:lang w:val="en-US" w:eastAsia="zh-CN"/>
        </w:rPr>
        <w:t>渭门镇原有的11个行政村调整为9个行政村。</w:t>
      </w:r>
    </w:p>
    <w:p>
      <w:pPr>
        <w:keepNext w:val="0"/>
        <w:keepLines w:val="0"/>
        <w:pageBreakBefore w:val="0"/>
        <w:widowControl w:val="0"/>
        <w:kinsoku/>
        <w:wordWrap/>
        <w:overflowPunct/>
        <w:topLinePunct w:val="0"/>
        <w:autoSpaceDE/>
        <w:autoSpaceDN/>
        <w:bidi w:val="0"/>
        <w:spacing w:line="576" w:lineRule="exact"/>
        <w:ind w:firstLine="640"/>
        <w:jc w:val="both"/>
        <w:textAlignment w:val="baseline"/>
        <w:rPr>
          <w:rFonts w:hint="default" w:asci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（2）认真抓好武装工作。</w:t>
      </w:r>
      <w:r>
        <w:rPr>
          <w:rFonts w:hint="eastAsia" w:ascii="仿宋_GB2312" w:eastAsia="仿宋_GB2312" w:cs="仿宋_GB2312"/>
          <w:color w:val="auto"/>
          <w:sz w:val="32"/>
          <w:szCs w:val="32"/>
          <w:lang w:val="en-US" w:eastAsia="zh-CN"/>
        </w:rPr>
        <w:t>按照县人武部的要求，我镇高度重视全乡民兵整组工作，弥补和完善了所有“表”、“册”和民兵外出打工登记簿，以及民兵会议记录、国防教育记录等各种资料，健全完善了民兵工作各项制度。今年我镇共有16名青年踊跃报名，最终共有5人顺利入伍。</w:t>
      </w:r>
    </w:p>
    <w:p>
      <w:pPr>
        <w:keepNext w:val="0"/>
        <w:keepLines w:val="0"/>
        <w:pageBreakBefore w:val="0"/>
        <w:widowControl w:val="0"/>
        <w:kinsoku/>
        <w:wordWrap/>
        <w:overflowPunct/>
        <w:topLinePunct w:val="0"/>
        <w:autoSpaceDE/>
        <w:autoSpaceDN/>
        <w:bidi w:val="0"/>
        <w:adjustRightInd w:val="0"/>
        <w:snapToGrid w:val="0"/>
        <w:spacing w:line="576" w:lineRule="exact"/>
        <w:ind w:firstLine="470" w:firstLineChars="147"/>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4</w:t>
      </w:r>
      <w:r>
        <w:rPr>
          <w:rFonts w:hint="eastAsia" w:ascii="黑体" w:hAnsi="黑体" w:eastAsia="黑体" w:cs="黑体"/>
          <w:b w:val="0"/>
          <w:bCs/>
          <w:color w:val="auto"/>
          <w:sz w:val="32"/>
          <w:szCs w:val="32"/>
          <w:lang w:eastAsia="zh-CN"/>
        </w:rPr>
        <w:t>、</w:t>
      </w:r>
      <w:r>
        <w:rPr>
          <w:rFonts w:hint="eastAsia" w:ascii="黑体" w:hAnsi="黑体" w:eastAsia="黑体" w:cs="黑体"/>
          <w:b w:val="0"/>
          <w:bCs/>
          <w:color w:val="auto"/>
          <w:sz w:val="32"/>
          <w:szCs w:val="32"/>
        </w:rPr>
        <w:t>注重精细精准发力，脱贫攻坚取得新成效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color w:val="auto"/>
          <w:sz w:val="32"/>
          <w:szCs w:val="32"/>
          <w:lang w:val="en-US" w:eastAsia="zh-CN"/>
        </w:rPr>
        <w:t>（1）扎实开展基础工作。</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贫困户</w:t>
      </w:r>
      <w:r>
        <w:rPr>
          <w:rFonts w:hint="eastAsia" w:ascii="仿宋_GB2312" w:hAnsi="仿宋_GB2312" w:eastAsia="仿宋_GB2312" w:cs="仿宋_GB2312"/>
          <w:color w:val="auto"/>
          <w:sz w:val="32"/>
          <w:szCs w:val="32"/>
          <w:lang w:val="en-US" w:eastAsia="zh-CN"/>
        </w:rPr>
        <w:t>2020年收支调查工作，</w:t>
      </w:r>
      <w:r>
        <w:rPr>
          <w:rFonts w:hint="eastAsia" w:ascii="仿宋_GB2312" w:hAnsi="仿宋_GB2312" w:eastAsia="仿宋_GB2312" w:cs="仿宋_GB2312"/>
          <w:color w:val="auto"/>
          <w:sz w:val="32"/>
          <w:szCs w:val="32"/>
          <w:lang w:eastAsia="zh-CN"/>
        </w:rPr>
        <w:t>全面开展脱贫攻坚问题清零行动，逐一对照</w:t>
      </w:r>
      <w:r>
        <w:rPr>
          <w:rFonts w:hint="eastAsia" w:ascii="仿宋_GB2312" w:hAnsi="仿宋_GB2312" w:eastAsia="仿宋_GB2312" w:cs="仿宋_GB2312"/>
          <w:color w:val="auto"/>
          <w:sz w:val="32"/>
          <w:szCs w:val="32"/>
          <w:lang w:val="en-US" w:eastAsia="zh-CN"/>
        </w:rPr>
        <w:t>2020年以来脱贫攻坚各级检查问题清单和“大排查、大走访”问题清单，</w:t>
      </w:r>
      <w:r>
        <w:rPr>
          <w:rFonts w:hint="eastAsia" w:ascii="仿宋_GB2312" w:hAnsi="仿宋_GB2312" w:eastAsia="仿宋_GB2312" w:cs="仿宋_GB2312"/>
          <w:color w:val="auto"/>
          <w:sz w:val="32"/>
          <w:szCs w:val="32"/>
        </w:rPr>
        <w:t>严格按照“五定”工作法开展问题整改清零行动，现已完成</w:t>
      </w:r>
      <w:r>
        <w:rPr>
          <w:rFonts w:hint="eastAsia" w:ascii="仿宋_GB2312" w:hAnsi="仿宋_GB2312" w:eastAsia="仿宋_GB2312" w:cs="仿宋_GB2312"/>
          <w:color w:val="auto"/>
          <w:sz w:val="32"/>
          <w:szCs w:val="32"/>
          <w:lang w:eastAsia="zh-CN"/>
        </w:rPr>
        <w:t>问题整改清零工作。</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color w:val="auto"/>
          <w:sz w:val="32"/>
          <w:szCs w:val="32"/>
          <w:lang w:val="en-US" w:eastAsia="zh-CN"/>
        </w:rPr>
        <w:t>（2）加大产业扶持力度。</w:t>
      </w:r>
      <w:r>
        <w:rPr>
          <w:rFonts w:hint="eastAsia" w:ascii="仿宋" w:hAnsi="仿宋" w:eastAsia="仿宋" w:cs="仿宋"/>
          <w:b/>
          <w:bCs/>
          <w:color w:val="auto"/>
          <w:sz w:val="32"/>
          <w:szCs w:val="32"/>
          <w:lang w:eastAsia="zh-CN"/>
        </w:rPr>
        <w:t>一是保障贫困户产业发展。</w:t>
      </w:r>
      <w:r>
        <w:rPr>
          <w:rFonts w:hint="eastAsia" w:ascii="仿宋_GB2312" w:hAnsi="仿宋_GB2312" w:eastAsia="仿宋_GB2312" w:cs="仿宋_GB2312"/>
          <w:color w:val="auto"/>
          <w:sz w:val="32"/>
          <w:szCs w:val="32"/>
          <w:lang w:val="en-US" w:eastAsia="zh-CN"/>
        </w:rPr>
        <w:t>2020年受疫情影响，贫困户春耕备耕受到影响，镇党委政府开展春风行动，保障贫困户户春耕备耕。</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1.各驻村工作队、驻村工作组收集贫困户产业发展需求，集中购买农药、化肥等农资。</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2.开展贫困户农业技能培训。</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3.通过东西部协助、“一户一码”等形式帮助贫困户销售农产品。</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color w:val="auto"/>
          <w:sz w:val="32"/>
          <w:szCs w:val="32"/>
          <w:lang w:val="en-US" w:eastAsia="zh-CN"/>
        </w:rPr>
        <w:t>（3）加大就业扶持力度。</w:t>
      </w:r>
      <w:r>
        <w:rPr>
          <w:rFonts w:hint="eastAsia" w:ascii="仿宋_GB2312" w:hAnsi="仿宋_GB2312" w:eastAsia="仿宋_GB2312" w:cs="仿宋_GB2312"/>
          <w:color w:val="auto"/>
          <w:sz w:val="32"/>
          <w:szCs w:val="32"/>
          <w:lang w:val="en-US" w:eastAsia="zh-CN"/>
        </w:rPr>
        <w:t>2020年，受新冠疫情影响，贫困户外出务工就业难。按照县就业局、县扶贫开发局的工作要求，保障每一户至少一人有稳定务工收入。全面统计贫困户外出务工情况和务工需求。镇党委、政府组织贫困户进行务工技能培训2次，通知贫困户残疾县委县政府组织的招聘会2次。我镇外出务工贫困人员83人。</w:t>
      </w:r>
    </w:p>
    <w:p>
      <w:pPr>
        <w:spacing w:line="576" w:lineRule="exact"/>
        <w:ind w:firstLine="640" w:firstLineChars="200"/>
        <w:jc w:val="left"/>
        <w:rPr>
          <w:rStyle w:val="40"/>
          <w:rFonts w:ascii="黑体" w:hAnsi="黑体" w:eastAsia="黑体" w:cs="楷体"/>
        </w:rPr>
      </w:pPr>
      <w:r>
        <w:rPr>
          <w:rFonts w:hint="eastAsia" w:ascii="黑体" w:hAnsi="黑体" w:eastAsia="黑体"/>
          <w:color w:val="000000"/>
          <w:sz w:val="32"/>
          <w:szCs w:val="32"/>
        </w:rPr>
        <w:t>二、机</w:t>
      </w:r>
      <w:r>
        <w:rPr>
          <w:rStyle w:val="40"/>
          <w:rFonts w:hint="eastAsia" w:ascii="黑体" w:hAnsi="黑体" w:eastAsia="黑体"/>
        </w:rPr>
        <w:t>构设置</w:t>
      </w:r>
      <w:bookmarkEnd w:id="16"/>
      <w:bookmarkEnd w:id="17"/>
    </w:p>
    <w:p>
      <w:pPr>
        <w:pStyle w:val="7"/>
        <w:adjustRightInd w:val="0"/>
        <w:snapToGrid w:val="0"/>
        <w:spacing w:beforeLines="0" w:line="576" w:lineRule="atLeast"/>
        <w:ind w:firstLine="640" w:firstLineChars="200"/>
        <w:outlineLvl w:val="2"/>
        <w:rPr>
          <w:rFonts w:hAnsi="仿宋"/>
          <w:color w:val="000000"/>
          <w:sz w:val="32"/>
          <w:szCs w:val="32"/>
        </w:rPr>
      </w:pPr>
      <w:r>
        <w:rPr>
          <w:rFonts w:hint="eastAsia" w:hAnsi="仿宋"/>
          <w:color w:val="000000"/>
          <w:sz w:val="32"/>
          <w:szCs w:val="32"/>
        </w:rPr>
        <w:t>茂县渭门镇人民政府属于行政单位，下设行政单位0个，其中内设机构2个（党政办公室和综合发展办公室）。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4"/>
          <w:rFonts w:ascii="黑体" w:hAnsi="黑体" w:eastAsia="黑体"/>
          <w:b w:val="0"/>
          <w:bCs w:val="0"/>
        </w:rPr>
      </w:pPr>
      <w:bookmarkStart w:id="20" w:name="_Toc15396602"/>
      <w:bookmarkStart w:id="21" w:name="_Toc10125"/>
      <w:bookmarkStart w:id="22" w:name="_Toc79163609"/>
      <w:bookmarkStart w:id="23" w:name="_Toc15377204"/>
      <w:r>
        <w:rPr>
          <w:rFonts w:hint="eastAsia" w:ascii="黑体" w:hAnsi="黑体" w:eastAsia="黑体"/>
          <w:b w:val="0"/>
          <w:color w:val="000000"/>
        </w:rPr>
        <w:t>第二部分</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20"/>
      <w:bookmarkEnd w:id="21"/>
      <w:bookmarkEnd w:id="22"/>
      <w:bookmarkEnd w:id="23"/>
    </w:p>
    <w:p/>
    <w:p>
      <w:pPr>
        <w:pStyle w:val="35"/>
        <w:numPr>
          <w:ilvl w:val="0"/>
          <w:numId w:val="1"/>
        </w:numPr>
        <w:spacing w:line="600" w:lineRule="exact"/>
        <w:ind w:firstLineChars="0"/>
        <w:outlineLvl w:val="1"/>
        <w:rPr>
          <w:rStyle w:val="25"/>
          <w:rFonts w:ascii="黑体" w:hAnsi="黑体" w:eastAsia="黑体"/>
          <w:b w:val="0"/>
        </w:rPr>
      </w:pPr>
      <w:bookmarkStart w:id="24" w:name="_Toc79163610"/>
      <w:bookmarkStart w:id="25" w:name="_Toc27388"/>
      <w:bookmarkStart w:id="26" w:name="_Toc15377205"/>
      <w:bookmarkStart w:id="27"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年度收、支总计2114.93万元。与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年相比，收、支总计各增加792.65万元，增长</w:t>
      </w:r>
      <w:r>
        <w:rPr>
          <w:rFonts w:hint="default" w:ascii="仿宋" w:hAnsi="仿宋" w:eastAsia="仿宋"/>
          <w:color w:val="000000"/>
          <w:sz w:val="32"/>
          <w:szCs w:val="32"/>
        </w:rPr>
        <w:t>59.95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458470</wp:posOffset>
            </wp:positionH>
            <wp:positionV relativeFrom="paragraph">
              <wp:posOffset>406400</wp:posOffset>
            </wp:positionV>
            <wp:extent cx="4784725" cy="3219450"/>
            <wp:effectExtent l="4445" t="5080" r="11430"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：收、支决算总计变动情况图（单位：万元）</w:t>
      </w:r>
    </w:p>
    <w:p>
      <w:pPr>
        <w:pStyle w:val="35"/>
        <w:numPr>
          <w:ilvl w:val="0"/>
          <w:numId w:val="1"/>
        </w:numPr>
        <w:spacing w:line="600" w:lineRule="exact"/>
        <w:ind w:firstLineChars="0"/>
        <w:outlineLvl w:val="1"/>
        <w:rPr>
          <w:rStyle w:val="25"/>
          <w:rFonts w:ascii="黑体" w:hAnsi="黑体" w:eastAsia="黑体"/>
          <w:b w:val="0"/>
        </w:rPr>
      </w:pPr>
      <w:bookmarkStart w:id="28" w:name="_Toc79163611"/>
      <w:bookmarkStart w:id="29" w:name="_Toc15377206"/>
      <w:bookmarkStart w:id="30" w:name="_Toc3925"/>
      <w:bookmarkStart w:id="31"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年本年收入合计2024.54万元，其中：一般公共预算财政拨款收入1865.87万元，占92.16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；政府性基金预算财政拨款收入158.67万元，占7.84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248920</wp:posOffset>
            </wp:positionH>
            <wp:positionV relativeFrom="page">
              <wp:posOffset>194945</wp:posOffset>
            </wp:positionV>
            <wp:extent cx="4880610" cy="3543300"/>
            <wp:effectExtent l="5080" t="4445" r="1016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pStyle w:val="35"/>
        <w:numPr>
          <w:ilvl w:val="0"/>
          <w:numId w:val="1"/>
        </w:numPr>
        <w:spacing w:line="600" w:lineRule="exact"/>
        <w:ind w:firstLineChars="0"/>
        <w:outlineLvl w:val="1"/>
        <w:rPr>
          <w:rStyle w:val="25"/>
          <w:rFonts w:ascii="黑体" w:hAnsi="黑体" w:eastAsia="黑体"/>
          <w:b w:val="0"/>
        </w:rPr>
      </w:pPr>
      <w:bookmarkStart w:id="32" w:name="_Toc79163612"/>
      <w:bookmarkStart w:id="33" w:name="_Toc10185"/>
      <w:bookmarkStart w:id="34" w:name="_Toc15377207"/>
      <w:bookmarkStart w:id="35"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32"/>
      <w:bookmarkEnd w:id="33"/>
      <w:bookmarkEnd w:id="34"/>
      <w:bookmarkEnd w:id="35"/>
    </w:p>
    <w:p>
      <w:pPr>
        <w:spacing w:line="600" w:lineRule="exact"/>
        <w:ind w:firstLine="640" w:firstLineChars="200"/>
        <w:rPr>
          <w:rFonts w:ascii="仿宋" w:hAnsi="仿宋" w:eastAsia="仿宋"/>
          <w:color w:val="000000"/>
          <w:sz w:val="32"/>
          <w:szCs w:val="32"/>
          <w:shd w:val="pct10" w:color="auto" w:fill="FFFFFF"/>
        </w:rPr>
      </w:pPr>
      <w:r>
        <w:rPr>
          <w:rFonts w:ascii="仿宋_GB2312" w:eastAsia="仿宋_GB2312"/>
          <w:sz w:val="32"/>
          <w:szCs w:val="32"/>
        </w:rPr>
        <w:t>2020</w:t>
      </w:r>
      <w:r>
        <w:rPr>
          <w:rFonts w:hint="eastAsia" w:ascii="仿宋_GB2312" w:eastAsia="仿宋_GB2312"/>
          <w:sz w:val="32"/>
          <w:szCs w:val="32"/>
        </w:rPr>
        <w:t>年本年支出合计1826.93万元，其中：基本支出759.48万元，占41.57</w:t>
      </w:r>
      <w:r>
        <w:rPr>
          <w:rFonts w:ascii="仿宋_GB2312" w:eastAsia="仿宋_GB2312"/>
          <w:sz w:val="32"/>
          <w:szCs w:val="32"/>
        </w:rPr>
        <w:t>%</w:t>
      </w:r>
      <w:r>
        <w:rPr>
          <w:rFonts w:hint="eastAsia" w:ascii="仿宋_GB2312" w:eastAsia="仿宋_GB2312"/>
          <w:sz w:val="32"/>
          <w:szCs w:val="32"/>
        </w:rPr>
        <w:t>；项目支出1067.45万元，占58.43</w:t>
      </w:r>
      <w:r>
        <w:rPr>
          <w:rFonts w:ascii="仿宋_GB2312" w:eastAsia="仿宋_GB2312"/>
          <w:sz w:val="32"/>
          <w:szCs w:val="32"/>
        </w:rPr>
        <w:t>%</w:t>
      </w:r>
      <w:r>
        <w:rPr>
          <w:rFonts w:hint="eastAsia" w:ascii="仿宋_GB2312" w:eastAsia="仿宋_GB2312"/>
          <w:sz w:val="32"/>
          <w:szCs w:val="32"/>
        </w:rPr>
        <w:t>。</w:t>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130810</wp:posOffset>
            </wp:positionV>
            <wp:extent cx="4413885" cy="3258185"/>
            <wp:effectExtent l="4445" t="4445" r="20320" b="1397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36" w:name="_Toc15377208"/>
      <w:bookmarkStart w:id="37" w:name="_Toc79163613"/>
      <w:bookmarkStart w:id="38" w:name="_Toc6560"/>
      <w:bookmarkStart w:id="39"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年度收、支总计2114.93万元。与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年相比，收、支总计各增加792.65万元，增长</w:t>
      </w:r>
      <w:r>
        <w:rPr>
          <w:rFonts w:hint="default" w:ascii="仿宋" w:hAnsi="仿宋" w:eastAsia="仿宋"/>
          <w:color w:val="000000"/>
          <w:sz w:val="32"/>
          <w:szCs w:val="32"/>
        </w:rPr>
        <w:t>59.95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414020</wp:posOffset>
            </wp:positionH>
            <wp:positionV relativeFrom="paragraph">
              <wp:posOffset>205105</wp:posOffset>
            </wp:positionV>
            <wp:extent cx="4509135" cy="3039110"/>
            <wp:effectExtent l="4445" t="4445" r="20320" b="234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：财政拨款收、支决算总计变动情况（单位：万元）</w:t>
      </w:r>
    </w:p>
    <w:p>
      <w:pPr>
        <w:spacing w:line="600" w:lineRule="exact"/>
        <w:ind w:firstLine="640" w:firstLineChars="200"/>
        <w:outlineLvl w:val="1"/>
        <w:rPr>
          <w:rStyle w:val="25"/>
          <w:rFonts w:ascii="黑体" w:hAnsi="黑体" w:eastAsia="黑体"/>
          <w:b w:val="0"/>
        </w:rPr>
      </w:pPr>
      <w:bookmarkStart w:id="40" w:name="_Toc15377209"/>
      <w:bookmarkStart w:id="41" w:name="_Toc15396607"/>
      <w:bookmarkStart w:id="42" w:name="_Toc28532"/>
      <w:bookmarkStart w:id="43"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0"/>
      <w:bookmarkEnd w:id="41"/>
      <w:bookmarkEnd w:id="42"/>
      <w:bookmarkEnd w:id="43"/>
    </w:p>
    <w:p>
      <w:pPr>
        <w:spacing w:line="600" w:lineRule="exact"/>
        <w:ind w:firstLine="642" w:firstLineChars="200"/>
        <w:outlineLvl w:val="2"/>
        <w:rPr>
          <w:rFonts w:ascii="仿宋" w:hAnsi="仿宋" w:eastAsia="仿宋"/>
          <w:b/>
          <w:color w:val="000000"/>
          <w:sz w:val="32"/>
          <w:szCs w:val="32"/>
        </w:rPr>
      </w:pPr>
      <w:bookmarkStart w:id="44" w:name="_Toc5408"/>
      <w:bookmarkStart w:id="45" w:name="_Toc79163615"/>
      <w:bookmarkStart w:id="46" w:name="_Toc15377210"/>
      <w:r>
        <w:rPr>
          <w:rFonts w:hint="eastAsia" w:ascii="仿宋" w:hAnsi="仿宋" w:eastAsia="仿宋"/>
          <w:b/>
          <w:color w:val="000000"/>
          <w:sz w:val="32"/>
          <w:szCs w:val="32"/>
        </w:rPr>
        <w:t>（一）一般公共预算财政拨款支出决算总体情况</w:t>
      </w:r>
      <w:bookmarkEnd w:id="44"/>
      <w:bookmarkEnd w:id="45"/>
      <w:bookmarkEnd w:id="4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年一般公共预算财政拨款支出1826.93万元，占本年支出合计的92.24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年相比，一般公共预算财政拨款增加661.02万元，增长36.18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496570</wp:posOffset>
            </wp:positionH>
            <wp:positionV relativeFrom="page">
              <wp:posOffset>681355</wp:posOffset>
            </wp:positionV>
            <wp:extent cx="4613275" cy="3667125"/>
            <wp:effectExtent l="4445" t="5080" r="11430" b="44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：一般公共预算财政拨款支出决算变动情况（单位：万元）</w:t>
      </w:r>
    </w:p>
    <w:p>
      <w:pPr>
        <w:spacing w:line="600" w:lineRule="exact"/>
        <w:ind w:firstLine="642" w:firstLineChars="200"/>
        <w:outlineLvl w:val="2"/>
        <w:rPr>
          <w:rFonts w:ascii="仿宋" w:hAnsi="仿宋" w:eastAsia="仿宋"/>
          <w:b/>
          <w:color w:val="000000"/>
          <w:sz w:val="32"/>
          <w:szCs w:val="32"/>
        </w:rPr>
      </w:pPr>
      <w:bookmarkStart w:id="47" w:name="_Toc15377211"/>
      <w:bookmarkStart w:id="48" w:name="_Toc79163616"/>
      <w:bookmarkStart w:id="49" w:name="_Toc29465"/>
      <w:r>
        <w:rPr>
          <w:rFonts w:hint="eastAsia" w:ascii="仿宋" w:hAnsi="仿宋" w:eastAsia="仿宋"/>
          <w:b/>
          <w:color w:val="000000"/>
          <w:sz w:val="32"/>
          <w:szCs w:val="32"/>
        </w:rPr>
        <w:t>（二）一般公共预算财政拨款支出决算结构情况</w:t>
      </w:r>
      <w:bookmarkEnd w:id="47"/>
      <w:bookmarkEnd w:id="48"/>
      <w:bookmarkEnd w:id="49"/>
    </w:p>
    <w:p>
      <w:pPr>
        <w:spacing w:line="600" w:lineRule="exact"/>
        <w:ind w:firstLine="640"/>
        <w:rPr>
          <w:rFonts w:ascii="仿宋_GB2312" w:hAnsi="仿宋_GB2312" w:eastAsia="仿宋_GB2312" w:cs="仿宋_GB2312"/>
          <w:b/>
          <w:bCs/>
          <w:sz w:val="32"/>
          <w:szCs w:val="32"/>
        </w:rPr>
      </w:pPr>
      <w:r>
        <w:rPr>
          <w:rFonts w:hint="eastAsia" w:ascii="仿宋_GB2312" w:hAnsi="仿宋_GB2312" w:eastAsia="仿宋_GB2312" w:cs="仿宋_GB2312"/>
          <w:color w:val="000000"/>
          <w:sz w:val="32"/>
          <w:szCs w:val="32"/>
        </w:rPr>
        <w:t>茂县渭门镇人民政府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486.85万元，占</w:t>
      </w:r>
      <w:bookmarkStart w:id="50" w:name="OLE_LINK1"/>
      <w:r>
        <w:rPr>
          <w:rFonts w:hint="eastAsia" w:ascii="仿宋_GB2312" w:hAnsi="仿宋_GB2312" w:eastAsia="仿宋_GB2312" w:cs="仿宋_GB2312"/>
          <w:sz w:val="32"/>
          <w:szCs w:val="32"/>
        </w:rPr>
        <w:t>本年支出合计的</w:t>
      </w:r>
      <w:bookmarkEnd w:id="50"/>
      <w:r>
        <w:rPr>
          <w:rFonts w:hint="eastAsia" w:ascii="仿宋_GB2312" w:hAnsi="仿宋_GB2312" w:eastAsia="仿宋_GB2312" w:cs="仿宋_GB2312"/>
          <w:sz w:val="32"/>
          <w:szCs w:val="32"/>
        </w:rPr>
        <w:t>26.65%；</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5.77万元，占本年支出合计的0.32%；</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98.81万元，占本年支出合计的5.41%；</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42.27万元，占本年支出合计的2.31%；</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1134.54万元，占本年支出合计的62.1%；</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58.69万元，占本年支出合计的3.21%；</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pStyle w:val="23"/>
        <w:spacing w:before="93"/>
        <w:ind w:firstLine="240"/>
        <w:rPr>
          <w:lang w:val="en-US"/>
        </w:rPr>
      </w:pPr>
      <w:r>
        <w:rPr>
          <w:lang w:val="en-US"/>
        </w:rPr>
        <w:drawing>
          <wp:inline distT="0" distB="0" distL="0" distR="0">
            <wp:extent cx="5274310" cy="3076575"/>
            <wp:effectExtent l="19050" t="0" r="21590" b="0"/>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3"/>
        <w:spacing w:before="93"/>
        <w:ind w:firstLine="240"/>
        <w:rPr>
          <w:lang w:val="en-US"/>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：一般公共预算财政拨款支出决算结构（单位：万元）</w:t>
      </w:r>
    </w:p>
    <w:p>
      <w:pPr>
        <w:spacing w:line="600" w:lineRule="exact"/>
        <w:ind w:firstLine="642" w:firstLineChars="200"/>
        <w:outlineLvl w:val="2"/>
        <w:rPr>
          <w:rFonts w:ascii="仿宋" w:hAnsi="仿宋" w:eastAsia="仿宋"/>
          <w:b/>
          <w:color w:val="000000"/>
          <w:sz w:val="32"/>
          <w:szCs w:val="32"/>
        </w:rPr>
      </w:pPr>
      <w:bookmarkStart w:id="51" w:name="_Toc79163617"/>
      <w:bookmarkStart w:id="52" w:name="_Toc24294"/>
      <w:bookmarkStart w:id="53" w:name="_Toc15377212"/>
      <w:r>
        <w:rPr>
          <w:rFonts w:hint="eastAsia" w:ascii="仿宋" w:hAnsi="仿宋" w:eastAsia="仿宋"/>
          <w:b/>
          <w:color w:val="000000"/>
          <w:sz w:val="32"/>
          <w:szCs w:val="32"/>
        </w:rPr>
        <w:t>（三）一般公共预算财政拨款支出决算具体情况</w:t>
      </w:r>
      <w:bookmarkEnd w:id="51"/>
      <w:bookmarkEnd w:id="52"/>
      <w:bookmarkEnd w:id="53"/>
    </w:p>
    <w:p>
      <w:pPr>
        <w:spacing w:line="600" w:lineRule="exact"/>
        <w:ind w:firstLine="642" w:firstLineChars="200"/>
        <w:rPr>
          <w:rFonts w:ascii="仿宋_GB2312" w:eastAsia="仿宋_GB2312"/>
          <w:b/>
          <w:bCs/>
          <w:sz w:val="32"/>
          <w:szCs w:val="32"/>
        </w:rPr>
      </w:pPr>
      <w:bookmarkStart w:id="54" w:name="_Toc15378460"/>
      <w:bookmarkStart w:id="55" w:name="_Toc15377213"/>
      <w:bookmarkStart w:id="56" w:name="_Toc15377444"/>
      <w:r>
        <w:rPr>
          <w:rFonts w:ascii="仿宋_GB2312" w:eastAsia="仿宋_GB2312"/>
          <w:b/>
          <w:bCs/>
          <w:sz w:val="32"/>
          <w:szCs w:val="32"/>
        </w:rPr>
        <w:t>2020</w:t>
      </w:r>
      <w:r>
        <w:rPr>
          <w:rFonts w:hint="eastAsia" w:ascii="仿宋_GB2312" w:eastAsia="仿宋_GB2312"/>
          <w:b/>
          <w:bCs/>
          <w:sz w:val="32"/>
          <w:szCs w:val="32"/>
        </w:rPr>
        <w:t>年一般公共预算支出决算数为1826.93万元，完成预算100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pPr>
        <w:spacing w:line="576" w:lineRule="atLeast"/>
        <w:ind w:firstLine="642" w:firstLineChars="200"/>
        <w:outlineLvl w:val="2"/>
        <w:rPr>
          <w:rStyle w:val="21"/>
          <w:rFonts w:ascii="仿宋_GB2312" w:hAnsi="仿宋_GB2312" w:eastAsia="仿宋_GB2312" w:cs="仿宋_GB2312"/>
          <w:b w:val="0"/>
          <w:color w:val="000000"/>
          <w:sz w:val="32"/>
          <w:szCs w:val="32"/>
        </w:rPr>
      </w:pPr>
      <w:bookmarkStart w:id="57" w:name="_Toc29250"/>
      <w:r>
        <w:rPr>
          <w:rStyle w:val="21"/>
          <w:rFonts w:hint="eastAsia" w:ascii="仿宋_GB2312" w:hAnsi="仿宋_GB2312" w:eastAsia="仿宋_GB2312" w:cs="仿宋_GB2312"/>
          <w:bCs/>
          <w:color w:val="000000"/>
          <w:sz w:val="32"/>
          <w:szCs w:val="32"/>
        </w:rPr>
        <w:t>1．一般公共服务支出（类）人大事务（款）行政运行（项）:</w:t>
      </w:r>
      <w:r>
        <w:rPr>
          <w:rStyle w:val="21"/>
          <w:rFonts w:hint="eastAsia" w:ascii="仿宋_GB2312" w:hAnsi="仿宋_GB2312" w:eastAsia="仿宋_GB2312" w:cs="仿宋_GB2312"/>
          <w:b w:val="0"/>
          <w:color w:val="000000"/>
          <w:sz w:val="32"/>
          <w:szCs w:val="32"/>
        </w:rPr>
        <w:t>支出决算为0.35万元，完成预算100%，决算数等于预算数。</w:t>
      </w:r>
    </w:p>
    <w:p>
      <w:pPr>
        <w:spacing w:line="576" w:lineRule="atLeast"/>
        <w:ind w:firstLine="642" w:firstLineChars="200"/>
        <w:outlineLvl w:val="2"/>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2.一般公共服务支出（类）人大事务（款）人大会议（项）:</w:t>
      </w:r>
      <w:r>
        <w:rPr>
          <w:rStyle w:val="21"/>
          <w:rFonts w:hint="eastAsia" w:ascii="仿宋_GB2312" w:hAnsi="仿宋_GB2312" w:eastAsia="仿宋_GB2312" w:cs="仿宋_GB2312"/>
          <w:b w:val="0"/>
          <w:color w:val="000000"/>
          <w:sz w:val="32"/>
          <w:szCs w:val="32"/>
        </w:rPr>
        <w:t>支出决算为0.7万元，完成预算100%，决算数等于预算数。</w:t>
      </w:r>
      <w:bookmarkEnd w:id="57"/>
    </w:p>
    <w:p>
      <w:pPr>
        <w:spacing w:line="576" w:lineRule="atLeast"/>
        <w:ind w:firstLine="642" w:firstLineChars="200"/>
        <w:outlineLvl w:val="2"/>
        <w:rPr>
          <w:rStyle w:val="21"/>
          <w:rFonts w:ascii="仿宋_GB2312" w:hAnsi="仿宋_GB2312" w:eastAsia="仿宋_GB2312" w:cs="仿宋_GB2312"/>
          <w:b w:val="0"/>
          <w:color w:val="000000"/>
          <w:sz w:val="32"/>
          <w:szCs w:val="32"/>
        </w:rPr>
      </w:pPr>
      <w:bookmarkStart w:id="58" w:name="_Toc15377"/>
      <w:r>
        <w:rPr>
          <w:rStyle w:val="21"/>
          <w:rFonts w:hint="eastAsia" w:ascii="仿宋_GB2312" w:hAnsi="仿宋_GB2312" w:eastAsia="仿宋_GB2312" w:cs="仿宋_GB2312"/>
          <w:bCs/>
          <w:color w:val="000000"/>
          <w:sz w:val="32"/>
          <w:szCs w:val="32"/>
        </w:rPr>
        <w:t>3.一般公共服务支出（类）人大事务（款）代表工作（项）:</w:t>
      </w:r>
      <w:r>
        <w:rPr>
          <w:rStyle w:val="21"/>
          <w:rFonts w:hint="eastAsia" w:ascii="仿宋_GB2312" w:hAnsi="仿宋_GB2312" w:eastAsia="仿宋_GB2312" w:cs="仿宋_GB2312"/>
          <w:b w:val="0"/>
          <w:color w:val="000000"/>
          <w:sz w:val="32"/>
          <w:szCs w:val="32"/>
        </w:rPr>
        <w:t>支出决算为4.8万元，完成预算100%，决算数等于预算数。</w:t>
      </w:r>
      <w:bookmarkEnd w:id="58"/>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4.一般公共服务支出（类）政府办公厅（室）及相关机构事务（款）行政运行（项）:</w:t>
      </w:r>
      <w:r>
        <w:rPr>
          <w:rStyle w:val="21"/>
          <w:rFonts w:hint="eastAsia" w:ascii="仿宋_GB2312" w:hAnsi="仿宋_GB2312" w:eastAsia="仿宋_GB2312" w:cs="仿宋_GB2312"/>
          <w:b w:val="0"/>
          <w:color w:val="000000"/>
          <w:sz w:val="32"/>
          <w:szCs w:val="32"/>
        </w:rPr>
        <w:t>支出决算为263.47万元，完成预算100%，决算数等于预算数。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5.一般公共服务支出（类）政府办公厅（室）及相关机构事务（款）一般行政管理事务（项）:</w:t>
      </w:r>
      <w:r>
        <w:rPr>
          <w:rStyle w:val="21"/>
          <w:rFonts w:hint="eastAsia" w:ascii="仿宋_GB2312" w:hAnsi="仿宋_GB2312" w:eastAsia="仿宋_GB2312" w:cs="仿宋_GB2312"/>
          <w:b w:val="0"/>
          <w:color w:val="000000"/>
          <w:sz w:val="32"/>
          <w:szCs w:val="32"/>
        </w:rPr>
        <w:t>支出决算为42.13万元，完成预算100%，决算数等于预算数。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6.一般公共服务支出（类）财政事务（款）事业运行（项）:</w:t>
      </w:r>
      <w:r>
        <w:rPr>
          <w:rStyle w:val="21"/>
          <w:rFonts w:hint="eastAsia" w:ascii="仿宋_GB2312" w:hAnsi="仿宋_GB2312" w:eastAsia="仿宋_GB2312" w:cs="仿宋_GB2312"/>
          <w:b w:val="0"/>
          <w:color w:val="000000"/>
          <w:sz w:val="32"/>
          <w:szCs w:val="32"/>
        </w:rPr>
        <w:t>支出决算为69.58万元，完成预算100%，决算数等于预算数。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7.一般公共服务（类）党委办公厅（室）及相关机构事务（款）行政运行（项）:</w:t>
      </w:r>
      <w:r>
        <w:rPr>
          <w:rStyle w:val="21"/>
          <w:rFonts w:hint="eastAsia" w:ascii="仿宋_GB2312" w:hAnsi="仿宋_GB2312" w:eastAsia="仿宋_GB2312" w:cs="仿宋_GB2312"/>
          <w:b w:val="0"/>
          <w:color w:val="000000"/>
          <w:sz w:val="32"/>
          <w:szCs w:val="32"/>
        </w:rPr>
        <w:t>支出决算为105.82万元，完成预算100%，决算数等于预算数。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8.国防支出（类）国防动员（室）民兵（款）行政运行（项）:</w:t>
      </w:r>
      <w:r>
        <w:rPr>
          <w:rStyle w:val="21"/>
          <w:rFonts w:hint="eastAsia" w:ascii="仿宋_GB2312" w:hAnsi="仿宋_GB2312" w:eastAsia="仿宋_GB2312" w:cs="仿宋_GB2312"/>
          <w:b w:val="0"/>
          <w:color w:val="000000"/>
          <w:sz w:val="32"/>
          <w:szCs w:val="32"/>
        </w:rPr>
        <w:t>支出决算为5.77万元，完成预算100%，决算数等于预算数。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10.社会保障和就业支出（类）行政事业单位养老支出（款）机关事业单位基本养老保险缴费支出（项）:</w:t>
      </w:r>
      <w:r>
        <w:rPr>
          <w:rStyle w:val="21"/>
          <w:rFonts w:hint="eastAsia" w:ascii="仿宋_GB2312" w:hAnsi="仿宋_GB2312" w:eastAsia="仿宋_GB2312" w:cs="仿宋_GB2312"/>
          <w:b w:val="0"/>
          <w:color w:val="000000"/>
          <w:sz w:val="32"/>
          <w:szCs w:val="32"/>
        </w:rPr>
        <w:t>支出决算为50.28万元，完成预算100%，决算数等于预算数。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11.社会保障和就业支出（类）行政事业单位养老支出（款）机关事业单位职业年金缴费支出（项）:</w:t>
      </w:r>
      <w:r>
        <w:rPr>
          <w:rStyle w:val="21"/>
          <w:rFonts w:hint="eastAsia" w:ascii="仿宋_GB2312" w:hAnsi="仿宋_GB2312" w:eastAsia="仿宋_GB2312" w:cs="仿宋_GB2312"/>
          <w:b w:val="0"/>
          <w:color w:val="000000"/>
          <w:sz w:val="32"/>
          <w:szCs w:val="32"/>
        </w:rPr>
        <w:t>支出决算为25.14万元，完成预算100%，决算数等于预算数。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12.社会保障和就业支出（类）社会福利（款）老年福利（项）:</w:t>
      </w:r>
      <w:r>
        <w:rPr>
          <w:rStyle w:val="21"/>
          <w:rFonts w:hint="eastAsia" w:ascii="仿宋_GB2312" w:hAnsi="仿宋_GB2312" w:eastAsia="仿宋_GB2312" w:cs="仿宋_GB2312"/>
          <w:b w:val="0"/>
          <w:color w:val="000000"/>
          <w:sz w:val="32"/>
          <w:szCs w:val="32"/>
        </w:rPr>
        <w:t>支出决算为1.96万元，完成预算100%，决算数等于预算数。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13.社会保障和就业支出（类）社会福利（款）其他社会福利支出（项）：</w:t>
      </w:r>
      <w:r>
        <w:rPr>
          <w:rStyle w:val="21"/>
          <w:rFonts w:hint="eastAsia" w:ascii="仿宋_GB2312" w:hAnsi="仿宋_GB2312" w:eastAsia="仿宋_GB2312" w:cs="仿宋_GB2312"/>
          <w:b w:val="0"/>
          <w:color w:val="000000"/>
          <w:sz w:val="32"/>
          <w:szCs w:val="32"/>
        </w:rPr>
        <w:t>支出决算为20.78万元，完成预算100%，决算数等于预算数。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14.社会保障和就业支出（类）其他生活救助（款）其他农村生活救助（项）:</w:t>
      </w:r>
      <w:r>
        <w:rPr>
          <w:rStyle w:val="21"/>
          <w:rFonts w:hint="eastAsia" w:ascii="仿宋_GB2312" w:hAnsi="仿宋_GB2312" w:eastAsia="仿宋_GB2312" w:cs="仿宋_GB2312"/>
          <w:b w:val="0"/>
          <w:color w:val="000000"/>
          <w:sz w:val="32"/>
          <w:szCs w:val="32"/>
        </w:rPr>
        <w:t>支出决算为0.65万元，完成预算100%，决算数等于预算数。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17.卫生健康支出（类）行政事业单位医疗（款）行政单位医疗（项）:</w:t>
      </w:r>
      <w:r>
        <w:rPr>
          <w:rStyle w:val="21"/>
          <w:rFonts w:hint="eastAsia" w:ascii="仿宋_GB2312" w:hAnsi="仿宋_GB2312" w:eastAsia="仿宋_GB2312" w:cs="仿宋_GB2312"/>
          <w:b w:val="0"/>
          <w:color w:val="000000"/>
          <w:sz w:val="32"/>
          <w:szCs w:val="32"/>
        </w:rPr>
        <w:t>支出决算为42.27万元，完成预算100%，决算数等于预算数。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18.农林水支出（类）农业农村（款）事业运行（项）:</w:t>
      </w:r>
      <w:r>
        <w:rPr>
          <w:rStyle w:val="21"/>
          <w:rFonts w:hint="eastAsia" w:ascii="仿宋_GB2312" w:hAnsi="仿宋_GB2312" w:eastAsia="仿宋_GB2312" w:cs="仿宋_GB2312"/>
          <w:b w:val="0"/>
          <w:color w:val="000000"/>
          <w:sz w:val="32"/>
          <w:szCs w:val="32"/>
        </w:rPr>
        <w:t>支出决算为143.88万元，完成预算100%，决算数等于预算数。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20.农林水支出（类）扶贫（款）其他扶贫支出（项）:</w:t>
      </w:r>
      <w:r>
        <w:rPr>
          <w:rStyle w:val="21"/>
          <w:rFonts w:hint="eastAsia" w:ascii="仿宋_GB2312" w:hAnsi="仿宋_GB2312" w:eastAsia="仿宋_GB2312" w:cs="仿宋_GB2312"/>
          <w:b w:val="0"/>
          <w:color w:val="000000"/>
          <w:sz w:val="32"/>
          <w:szCs w:val="32"/>
        </w:rPr>
        <w:t>支出决算为768.87万元，完成预算100%，决算数等于预算数。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21.农林水支出（类）农村综合改革（款）对村民委员会和村党支部的补助（项）:</w:t>
      </w:r>
      <w:r>
        <w:rPr>
          <w:rStyle w:val="21"/>
          <w:rFonts w:hint="eastAsia" w:ascii="仿宋_GB2312" w:hAnsi="仿宋_GB2312" w:eastAsia="仿宋_GB2312" w:cs="仿宋_GB2312"/>
          <w:b w:val="0"/>
          <w:color w:val="000000"/>
          <w:sz w:val="32"/>
          <w:szCs w:val="32"/>
        </w:rPr>
        <w:t>支出决算为221.79万元，完成预算100%，决算数等于预算数。</w:t>
      </w:r>
    </w:p>
    <w:p>
      <w:pPr>
        <w:spacing w:line="576" w:lineRule="atLeast"/>
        <w:ind w:firstLine="642"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22.住房保障支出（类）住房改革支出（款）住房公积金（项）：</w:t>
      </w:r>
      <w:r>
        <w:rPr>
          <w:rStyle w:val="21"/>
          <w:rFonts w:hint="eastAsia" w:ascii="仿宋_GB2312" w:hAnsi="仿宋_GB2312" w:eastAsia="仿宋_GB2312" w:cs="仿宋_GB2312"/>
          <w:b w:val="0"/>
          <w:color w:val="000000"/>
          <w:sz w:val="32"/>
          <w:szCs w:val="32"/>
        </w:rPr>
        <w:t>支出决算为58.69万元，完成预算100%，决算数等于预算数。</w:t>
      </w:r>
    </w:p>
    <w:p>
      <w:pPr>
        <w:tabs>
          <w:tab w:val="right" w:pos="8306"/>
        </w:tabs>
        <w:spacing w:line="600" w:lineRule="exact"/>
        <w:ind w:firstLine="640"/>
        <w:outlineLvl w:val="1"/>
        <w:rPr>
          <w:rStyle w:val="25"/>
        </w:rPr>
      </w:pPr>
      <w:bookmarkStart w:id="59" w:name="_Toc15377214"/>
      <w:bookmarkStart w:id="60" w:name="_Toc79163618"/>
      <w:bookmarkStart w:id="61" w:name="_Toc15396608"/>
      <w:bookmarkStart w:id="62" w:name="_Toc3133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9"/>
      <w:bookmarkEnd w:id="60"/>
      <w:bookmarkEnd w:id="61"/>
      <w:bookmarkEnd w:id="62"/>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年一般公共预算财政拨款基本支出759.48万元，其中：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人员经费718.05万元，主要包括：基本工资、津贴补贴、奖金、伙食补助费、绩效工资、机关事业单位基本养老保险缴费、职业年金缴费、其他社会保障缴费、生活补助、医疗费补助、奖励金、住房公积金等。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日常公用经费41.43万元，主要包括：办公费、手续费、电费、差旅费、维修（护）费、培训费、公务用车运行维护费、公务用车购置等。</w:t>
      </w:r>
    </w:p>
    <w:p>
      <w:pPr>
        <w:spacing w:line="600" w:lineRule="exact"/>
        <w:ind w:firstLine="640"/>
        <w:outlineLvl w:val="1"/>
        <w:rPr>
          <w:rStyle w:val="25"/>
          <w:rFonts w:ascii="黑体" w:hAnsi="黑体" w:eastAsia="黑体"/>
          <w:b w:val="0"/>
        </w:rPr>
      </w:pPr>
      <w:bookmarkStart w:id="63" w:name="_Toc13754"/>
      <w:bookmarkStart w:id="64" w:name="_Toc15396609"/>
      <w:bookmarkStart w:id="65" w:name="_Toc79163619"/>
      <w:bookmarkStart w:id="66"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3"/>
      <w:bookmarkEnd w:id="64"/>
      <w:bookmarkEnd w:id="65"/>
      <w:bookmarkEnd w:id="66"/>
    </w:p>
    <w:p>
      <w:pPr>
        <w:spacing w:line="600" w:lineRule="exact"/>
        <w:ind w:firstLine="640"/>
        <w:outlineLvl w:val="2"/>
        <w:rPr>
          <w:rFonts w:ascii="仿宋" w:hAnsi="仿宋" w:eastAsia="仿宋"/>
          <w:b/>
          <w:color w:val="000000"/>
          <w:sz w:val="32"/>
          <w:szCs w:val="32"/>
        </w:rPr>
      </w:pPr>
      <w:bookmarkStart w:id="67" w:name="_Toc79163620"/>
      <w:bookmarkStart w:id="68" w:name="_Toc936"/>
      <w:bookmarkStart w:id="69" w:name="_Toc15377216"/>
      <w:r>
        <w:rPr>
          <w:rFonts w:hint="eastAsia" w:ascii="仿宋" w:hAnsi="仿宋" w:eastAsia="仿宋"/>
          <w:b/>
          <w:color w:val="000000"/>
          <w:sz w:val="32"/>
          <w:szCs w:val="32"/>
        </w:rPr>
        <w:t>（一）“三公”经费财政拨款支出决算总体情况说明</w:t>
      </w:r>
      <w:bookmarkEnd w:id="67"/>
      <w:bookmarkEnd w:id="68"/>
      <w:bookmarkEnd w:id="6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w:t>
      </w:r>
    </w:p>
    <w:p>
      <w:pPr>
        <w:spacing w:line="600" w:lineRule="exact"/>
        <w:ind w:firstLine="640"/>
        <w:outlineLvl w:val="2"/>
        <w:rPr>
          <w:rFonts w:ascii="仿宋" w:hAnsi="仿宋" w:eastAsia="仿宋"/>
          <w:b/>
          <w:color w:val="000000"/>
          <w:sz w:val="32"/>
          <w:szCs w:val="32"/>
        </w:rPr>
      </w:pPr>
      <w:bookmarkStart w:id="70" w:name="_Toc79163621"/>
      <w:bookmarkStart w:id="71" w:name="_Toc15377217"/>
      <w:bookmarkStart w:id="72" w:name="_Toc12666"/>
      <w:r>
        <w:rPr>
          <w:rFonts w:hint="eastAsia" w:ascii="仿宋" w:hAnsi="仿宋" w:eastAsia="仿宋"/>
          <w:b/>
          <w:color w:val="000000"/>
          <w:sz w:val="32"/>
          <w:szCs w:val="32"/>
        </w:rPr>
        <w:t>（二）“三公”经费财政拨款支出决算具体情况说明</w:t>
      </w:r>
      <w:bookmarkEnd w:id="70"/>
      <w:bookmarkEnd w:id="71"/>
      <w:bookmarkEnd w:id="72"/>
    </w:p>
    <w:p>
      <w:pPr>
        <w:spacing w:line="576" w:lineRule="atLeas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2020年“三公”经费财政拨款支出决算中，因公出国（境）费支出决算0万元；公务用车购置及运行维护费支出决算0万元；公务接待费支出决算0万元。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21"/>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公务用车购置及运行维护费支出决算比减少4万元，下降100</w:t>
      </w:r>
      <w:r>
        <w:rPr>
          <w:rFonts w:ascii="仿宋_GB2312" w:eastAsia="仿宋_GB2312"/>
          <w:color w:val="000000"/>
          <w:sz w:val="32"/>
          <w:szCs w:val="32"/>
        </w:rPr>
        <w:t>%</w:t>
      </w:r>
      <w:r>
        <w:rPr>
          <w:rFonts w:hint="eastAsia" w:ascii="仿宋_GB2312" w:eastAsia="仿宋_GB2312"/>
          <w:color w:val="000000"/>
          <w:sz w:val="32"/>
          <w:szCs w:val="32"/>
        </w:rPr>
        <w:t>。主要原因是2017年底因我单位公车无法继续使用在年底进行了资产处置，我单位无公务用车，日常工作的开展只能由租赁车辆开展，故我单位车辆的费用不能在公务用车购置及运行维护费中列支。</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0万元。截至2020年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w:t>
      </w:r>
      <w:r>
        <w:rPr>
          <w:rFonts w:hint="eastAsia" w:ascii="仿宋_GB2312" w:hAnsi="仿宋_GB2312" w:eastAsia="仿宋_GB2312" w:cs="仿宋_GB2312"/>
          <w:color w:val="000000"/>
          <w:sz w:val="32"/>
          <w:szCs w:val="32"/>
        </w:rPr>
        <w:t>轿车0辆、金额0万元，越野车0辆、金额0万元，载客汽车0辆、金额0万元。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bookmarkStart w:id="73" w:name="_Toc15377218"/>
      <w:bookmarkStart w:id="74" w:name="_Toc15396610"/>
      <w:bookmarkStart w:id="75" w:name="_Toc79163622"/>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bookmarkStart w:id="76" w:name="_Toc2345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3"/>
      <w:bookmarkEnd w:id="74"/>
      <w:bookmarkEnd w:id="75"/>
      <w:bookmarkEnd w:id="7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年政府性基金预算拨款支出153.62万元。</w:t>
      </w:r>
    </w:p>
    <w:p>
      <w:pPr>
        <w:numPr>
          <w:ilvl w:val="0"/>
          <w:numId w:val="2"/>
        </w:numPr>
        <w:spacing w:line="600" w:lineRule="exact"/>
        <w:ind w:firstLine="640"/>
        <w:outlineLvl w:val="1"/>
        <w:rPr>
          <w:rStyle w:val="25"/>
          <w:rFonts w:ascii="黑体" w:hAnsi="黑体" w:eastAsia="黑体"/>
          <w:b w:val="0"/>
        </w:rPr>
      </w:pPr>
      <w:bookmarkStart w:id="77" w:name="_Toc79163623"/>
      <w:bookmarkStart w:id="78" w:name="_Toc15396611"/>
      <w:bookmarkStart w:id="79" w:name="_Toc15377219"/>
      <w:bookmarkStart w:id="80" w:name="_Toc4869"/>
      <w:r>
        <w:rPr>
          <w:rStyle w:val="25"/>
          <w:rFonts w:hint="eastAsia" w:ascii="黑体" w:hAnsi="黑体" w:eastAsia="黑体"/>
          <w:b w:val="0"/>
        </w:rPr>
        <w:t>国有资本经营预算支出决算情况说明</w:t>
      </w:r>
      <w:bookmarkEnd w:id="77"/>
      <w:bookmarkEnd w:id="78"/>
      <w:bookmarkEnd w:id="79"/>
      <w:bookmarkEnd w:id="8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5"/>
          <w:rFonts w:ascii="黑体" w:hAnsi="黑体" w:eastAsia="黑体"/>
        </w:rPr>
      </w:pPr>
      <w:bookmarkStart w:id="81" w:name="_Toc15377221"/>
      <w:bookmarkStart w:id="82" w:name="_Toc15396612"/>
      <w:bookmarkStart w:id="83" w:name="_Toc79163624"/>
      <w:bookmarkStart w:id="84" w:name="_Toc6459"/>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1"/>
      <w:bookmarkEnd w:id="82"/>
      <w:bookmarkEnd w:id="83"/>
      <w:bookmarkEnd w:id="84"/>
    </w:p>
    <w:p>
      <w:pPr>
        <w:spacing w:line="600" w:lineRule="exact"/>
        <w:ind w:firstLine="642" w:firstLineChars="200"/>
        <w:outlineLvl w:val="2"/>
        <w:rPr>
          <w:rFonts w:ascii="仿宋" w:hAnsi="仿宋" w:eastAsia="仿宋"/>
          <w:color w:val="000000"/>
          <w:sz w:val="32"/>
          <w:szCs w:val="32"/>
        </w:rPr>
      </w:pPr>
      <w:bookmarkStart w:id="85" w:name="_Toc79163625"/>
      <w:bookmarkStart w:id="86" w:name="_Toc15377222"/>
      <w:bookmarkStart w:id="87" w:name="_Toc22441"/>
      <w:r>
        <w:rPr>
          <w:rFonts w:hint="eastAsia" w:ascii="仿宋" w:hAnsi="仿宋" w:eastAsia="仿宋"/>
          <w:b/>
          <w:color w:val="000000"/>
          <w:sz w:val="32"/>
          <w:szCs w:val="32"/>
        </w:rPr>
        <w:t>（一）机关运行经费支出情况</w:t>
      </w:r>
      <w:bookmarkEnd w:id="85"/>
      <w:bookmarkEnd w:id="86"/>
      <w:bookmarkEnd w:id="8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年，茂县渭门镇人民政府机关运行经费支出41.43万元，比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 w:hAnsi="仿宋" w:eastAsia="仿宋"/>
          <w:color w:val="000000"/>
          <w:sz w:val="32"/>
          <w:szCs w:val="32"/>
        </w:rPr>
        <w:t>1.51</w:t>
      </w:r>
      <w:r>
        <w:rPr>
          <w:rFonts w:hint="eastAsia" w:ascii="仿宋_GB2312" w:eastAsia="仿宋_GB2312"/>
          <w:color w:val="000000"/>
          <w:sz w:val="32"/>
          <w:szCs w:val="32"/>
        </w:rPr>
        <w:t>万元，下降3.64</w:t>
      </w:r>
      <w:r>
        <w:rPr>
          <w:rFonts w:ascii="仿宋_GB2312" w:eastAsia="仿宋_GB2312"/>
          <w:color w:val="000000"/>
          <w:sz w:val="32"/>
          <w:szCs w:val="32"/>
        </w:rPr>
        <w:t>%</w:t>
      </w:r>
      <w:r>
        <w:rPr>
          <w:rFonts w:hint="eastAsia" w:ascii="仿宋_GB2312" w:eastAsia="仿宋_GB2312"/>
          <w:color w:val="000000"/>
          <w:sz w:val="32"/>
          <w:szCs w:val="32"/>
        </w:rPr>
        <w:t>。主要原因是按决算要求进行了调整。</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8" w:name="_Toc15377223"/>
      <w:bookmarkStart w:id="89" w:name="_Toc26271"/>
      <w:bookmarkStart w:id="90" w:name="_Toc79163626"/>
      <w:r>
        <w:rPr>
          <w:rFonts w:hint="eastAsia" w:ascii="仿宋" w:hAnsi="仿宋" w:eastAsia="仿宋"/>
          <w:b/>
          <w:color w:val="000000"/>
          <w:sz w:val="32"/>
          <w:szCs w:val="32"/>
        </w:rPr>
        <w:t>（二）政府采购支出情况</w:t>
      </w:r>
      <w:bookmarkEnd w:id="88"/>
      <w:bookmarkEnd w:id="89"/>
      <w:bookmarkEnd w:id="9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年，茂县渭门镇人民政府采购支出总额0万元，其中：政府采购货物支出0万元、政府采购工程支出0万元、政府采购服务支出0万元。授予中小企业合同金额0万元，，其中：授予小微企业合同金额0万元。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1" w:name="_Toc15377224"/>
      <w:bookmarkStart w:id="92" w:name="_Toc79163627"/>
      <w:bookmarkStart w:id="93" w:name="_Toc25265"/>
      <w:r>
        <w:rPr>
          <w:rFonts w:hint="eastAsia" w:ascii="仿宋" w:hAnsi="仿宋" w:eastAsia="仿宋"/>
          <w:b/>
          <w:color w:val="000000"/>
          <w:sz w:val="32"/>
          <w:szCs w:val="32"/>
        </w:rPr>
        <w:t>（三）国有资产占有使用情况</w:t>
      </w:r>
      <w:bookmarkEnd w:id="91"/>
      <w:bookmarkEnd w:id="92"/>
      <w:bookmarkEnd w:id="93"/>
    </w:p>
    <w:p>
      <w:pPr>
        <w:autoSpaceDE w:val="0"/>
        <w:autoSpaceDN w:val="0"/>
        <w:adjustRightInd w:val="0"/>
        <w:spacing w:line="576" w:lineRule="atLeast"/>
        <w:ind w:firstLine="640" w:firstLineChars="200"/>
        <w:rPr>
          <w:rFonts w:ascii="仿宋_GB2312" w:eastAsia="仿宋_GB2312"/>
          <w:color w:val="000000"/>
          <w:sz w:val="32"/>
          <w:szCs w:val="32"/>
        </w:rPr>
      </w:pPr>
      <w:bookmarkStart w:id="94" w:name="_Toc79163628"/>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日，茂县渭门镇人民政府共有车辆0辆，其中：领导干部用车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辆、其他用车0辆。单价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5" w:name="_Toc7306"/>
      <w:r>
        <w:rPr>
          <w:rFonts w:hint="eastAsia" w:ascii="仿宋" w:hAnsi="仿宋" w:eastAsia="仿宋"/>
          <w:b/>
          <w:color w:val="000000"/>
          <w:sz w:val="32"/>
          <w:szCs w:val="32"/>
        </w:rPr>
        <w:t>（四）预算绩效管理情况</w:t>
      </w:r>
      <w:bookmarkEnd w:id="94"/>
      <w:bookmarkEnd w:id="95"/>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渭门镇人民政府在年初预算编制阶段，组织对2020年一般公共预算项目开展了预算事前绩效评估，对2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茂县渭门镇人民政府按要求对2020年部门整体支出开展绩效自评，从评价情况来看</w:t>
      </w: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2" w:firstLineChars="200"/>
        <w:rPr>
          <w:rFonts w:ascii="仿宋_GB2312" w:hAnsi="仿宋_GB2312" w:eastAsia="仿宋_GB2312" w:cs="仿宋_GB2312"/>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ascii="楷体_GB2312" w:hAnsi="楷体_GB2312" w:eastAsia="楷体_GB2312" w:cs="楷体_GB2312"/>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eastAsia="仿宋_GB2312" w:cs="仿宋_GB2312"/>
          <w:color w:val="000000"/>
          <w:sz w:val="32"/>
          <w:szCs w:val="32"/>
        </w:rPr>
        <w:t>基层组织活动和公共服务运行经费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“2020年中央、省级和州级财政卫生健康专项补助资金”“各镇2020年基层武装部工作经费”“2020年养老养老服务补助县级配套资金”“茂县各镇人大代表活动经费”等5个项目绩效目标实际完成情况。</w:t>
      </w:r>
    </w:p>
    <w:p>
      <w:pPr>
        <w:spacing w:line="58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项目绩效目标完成情况综述。项目全年预算数253.27万元，执行数为221.81万元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，完成预算的87.57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）2020年中央、省级和州级财政卫生健康专项补助资金项目绩效目标完成情况综述。项目全年预算数4.9362万元，执行数为4.9362万元，完成预算的100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。通过项目实施，保障疫情防疫工作的顺利进行，提高了人民群众的预防疾病的知识，发现的主要问题：群众预防疾病的意识不够。下一步改进措施：加大宣传力度。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）镇2020年基层武装部工作经费项目绩效目标完成情况综述。项目全年预算数5.772万元，执行数为5.772万元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。通过项目实施，保障了应急抢险工作开展，提高了全镇处理紧急事情的能力，发现的主要问题：项目实施进度慢。下一步改进措施：加强组织领导，加快项目实施进度。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（4）2020年养老养老服务补助县级配套资金项目绩效目标完成情况综述。项目全年预算数1.9633万元，执行数为1.9633万元，完成预算的100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。通过项目实施，保障老年人的生活质量，丰富了老年人的日常，使老年人获得更多幸福感，发现的主要问题：村民对政策不了解。下一步改进措施：加强政策宣传。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（5）镇人大代表活动经费项目绩效目标完成情况综述。项目全年预算数6.654万元，执行数为6.654万元，完成预算的100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。通过项目实施，保障全镇人大代表活动的开展，发现的主要问题：</w:t>
      </w:r>
      <w:r>
        <w:rPr>
          <w:rFonts w:hint="eastAsia" w:ascii="仿宋_GB2312" w:hAnsi="仿宋_GB2312" w:eastAsia="仿宋_GB2312" w:cs="仿宋_GB2312"/>
          <w:sz w:val="32"/>
          <w:szCs w:val="32"/>
          <w:lang w:val="en-US" w:eastAsia="zh-CN"/>
        </w:rPr>
        <w:t>报账进度缓慢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加快报账进度</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3"/>
        <w:spacing w:before="93"/>
        <w:ind w:firstLine="320"/>
        <w:rPr>
          <w:rFonts w:ascii="仿宋_GB2312" w:hAnsi="仿宋_GB2312" w:eastAsia="仿宋_GB2312" w:cs="仿宋_GB2312"/>
          <w:sz w:val="32"/>
          <w:szCs w:val="32"/>
        </w:rPr>
      </w:pPr>
    </w:p>
    <w:p>
      <w:pPr>
        <w:pStyle w:val="23"/>
        <w:spacing w:before="93"/>
        <w:ind w:firstLine="32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基层组织活动和公共服务运行经费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茂县渭门镇人民政府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253.27</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221.81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253.27</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221.81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9个行政村的日常办公及村内道路的环境卫生及管水管电的日常开支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实现了9个行政村的日常办公及村内道路的环境卫生及管水管电的日常开支</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253.27万元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221.81万元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253.27万元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221.81万元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hint="eastAsia" w:ascii="黑体" w:hAnsi="黑体" w:eastAsia="黑体" w:cs="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2020年中央、省级和州级财政卫生健康专项补助资金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4.9362万元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全镇预防疾病能力得到提升，群众预防疾病意识有效提高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保障群众的身体健康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镇2020年基层武装部工作经费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推动全镇的应急工作开展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保障了人民群众生命安全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2020年养老养老服务补助县级配套资金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保障老年人的生活质量，丰富了老年人的日常，使老年人获得更多幸福感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实现了老年人生活质量提高，丰富了老年人的日常，使老年人获得更多幸福感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茂县各镇人大代表活动经费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保障全镇人大代表活动的开展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实现了人大代表活动的有序开展</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推动人大代表工作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满足人大代表工作需要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2" w:firstLineChars="20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茂县渭门镇人民政府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96" w:name="_Toc79163629"/>
      <w:bookmarkStart w:id="97" w:name="_Toc15377225"/>
      <w:bookmarkStart w:id="98" w:name="_Toc10753"/>
      <w:bookmarkStart w:id="99"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96"/>
      <w:bookmarkEnd w:id="97"/>
      <w:bookmarkEnd w:id="98"/>
      <w:bookmarkEnd w:id="99"/>
    </w:p>
    <w:p>
      <w:pPr>
        <w:pStyle w:val="23"/>
        <w:spacing w:before="93"/>
        <w:ind w:firstLine="240"/>
      </w:pPr>
    </w:p>
    <w:p>
      <w:pPr>
        <w:pStyle w:val="34"/>
        <w:spacing w:line="576" w:lineRule="atLeast"/>
        <w:ind w:firstLine="640" w:firstLineChars="200"/>
        <w:jc w:val="both"/>
        <w:rPr>
          <w:rFonts w:ascii="仿宋_GB2312" w:eastAsia="仿宋_GB2312" w:cs="Times New Roman"/>
          <w:sz w:val="32"/>
          <w:szCs w:val="32"/>
        </w:rPr>
      </w:pPr>
      <w:bookmarkStart w:id="100"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21"/>
          <w:rFonts w:ascii="仿宋_GB2312" w:hAnsi="仿宋_GB2312" w:eastAsia="仿宋_GB2312"/>
          <w:b w:val="0"/>
          <w:color w:val="0000FF"/>
          <w:sz w:val="32"/>
          <w:szCs w:val="32"/>
        </w:rPr>
      </w:pPr>
      <w:r>
        <w:rPr>
          <w:rStyle w:val="21"/>
          <w:rFonts w:ascii="仿宋_GB2312" w:hAnsi="仿宋_GB2312" w:eastAsia="仿宋_GB2312" w:cs="仿宋_GB2312"/>
          <w:b w:val="0"/>
          <w:color w:val="000000"/>
          <w:sz w:val="32"/>
          <w:szCs w:val="32"/>
        </w:rPr>
        <w:t>9.</w:t>
      </w:r>
      <w:r>
        <w:rPr>
          <w:rStyle w:val="21"/>
          <w:rFonts w:hint="eastAsia" w:ascii="仿宋_GB2312" w:hAnsi="仿宋_GB2312" w:eastAsia="仿宋_GB2312" w:cs="仿宋_GB2312"/>
          <w:b w:val="0"/>
          <w:color w:val="000000"/>
          <w:sz w:val="32"/>
          <w:szCs w:val="32"/>
        </w:rPr>
        <w:t>一般公共服务（类）人大事务（款）人大会议（项）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1"/>
          <w:rFonts w:hint="eastAsia" w:ascii="仿宋_GB2312" w:hAnsi="仿宋_GB2312" w:eastAsia="仿宋_GB2312" w:cs="仿宋_GB2312"/>
          <w:b w:val="0"/>
          <w:color w:val="0000FF"/>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10.</w:t>
      </w:r>
      <w:r>
        <w:rPr>
          <w:rStyle w:val="21"/>
          <w:rFonts w:hint="eastAsia" w:ascii="仿宋_GB2312" w:hAnsi="仿宋_GB2312" w:eastAsia="仿宋_GB2312" w:cs="仿宋_GB2312"/>
          <w:b w:val="0"/>
          <w:color w:val="000000"/>
          <w:sz w:val="32"/>
          <w:szCs w:val="32"/>
        </w:rPr>
        <w:t>一般公共服务（类）政府办公厅（室）及相关机构事务（款）行政运行（项）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11.</w:t>
      </w:r>
      <w:r>
        <w:rPr>
          <w:rStyle w:val="21"/>
          <w:rFonts w:hint="eastAsia" w:ascii="仿宋_GB2312" w:hAnsi="仿宋_GB2312" w:eastAsia="仿宋_GB2312" w:cs="仿宋_GB2312"/>
          <w:b w:val="0"/>
          <w:color w:val="000000"/>
          <w:sz w:val="32"/>
          <w:szCs w:val="32"/>
        </w:rPr>
        <w:t>一般公共服务（类）财政事务（款）事业运行（项）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12.</w:t>
      </w:r>
      <w:r>
        <w:rPr>
          <w:rStyle w:val="21"/>
          <w:rFonts w:hint="eastAsia" w:ascii="仿宋_GB2312" w:hAnsi="仿宋_GB2312" w:eastAsia="仿宋_GB2312" w:cs="仿宋_GB2312"/>
          <w:b w:val="0"/>
          <w:color w:val="000000"/>
          <w:sz w:val="32"/>
          <w:szCs w:val="32"/>
        </w:rPr>
        <w:t>一般公共服务（类）民族事务（款）其他民族事务支出（项）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13.</w:t>
      </w:r>
      <w:r>
        <w:rPr>
          <w:rStyle w:val="21"/>
          <w:rFonts w:hint="eastAsia" w:ascii="仿宋_GB2312" w:hAnsi="仿宋_GB2312" w:eastAsia="仿宋_GB2312" w:cs="仿宋_GB2312"/>
          <w:b w:val="0"/>
          <w:color w:val="000000"/>
          <w:sz w:val="32"/>
          <w:szCs w:val="32"/>
        </w:rPr>
        <w:t>一般公共服务（类）党委办公厅（室）及相关机构事务（款）行政运行（项）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14.</w:t>
      </w:r>
      <w:r>
        <w:rPr>
          <w:rStyle w:val="21"/>
          <w:rFonts w:hint="eastAsia" w:ascii="仿宋_GB2312" w:hAnsi="仿宋_GB2312" w:eastAsia="仿宋_GB2312" w:cs="仿宋_GB2312"/>
          <w:b w:val="0"/>
          <w:color w:val="000000"/>
          <w:sz w:val="32"/>
          <w:szCs w:val="32"/>
        </w:rPr>
        <w:t>国防支出（类）其他国防支出（款）其他国防支出（项）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w:t>
      </w:r>
      <w:r>
        <w:rPr>
          <w:rStyle w:val="21"/>
          <w:rFonts w:hint="eastAsia" w:ascii="仿宋_GB2312" w:hAnsi="仿宋_GB2312" w:eastAsia="仿宋_GB2312" w:cs="仿宋_GB2312"/>
          <w:b w:val="0"/>
          <w:color w:val="000000"/>
          <w:sz w:val="32"/>
          <w:szCs w:val="32"/>
        </w:rPr>
        <w:t>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社会保障和就业（类）社会福利（款）老年福利（项）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社会保障和就业（类）社会福利（款）其他社会福利支出（项）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医疗卫生与计划生育（类）基层医疗卫生机构（款）镇镇卫生院（项）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20</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医疗卫生与计划生育（类）行政事业单位医疗（款）行政单位医疗（项）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21</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医疗卫生与计划生育（类）行政事业单位医疗（款）事业单位医疗（项）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22</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23</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农林水支出（类）农业（款）农业资源保护修复与利用（项）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24</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农林水支出（类）农业（款）其他农业支出（项）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农林水支出（类）扶贫（款）农村基础设施建设（项）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指用于农村贫困地区镇村道路、住房、基本农田、水利设施、</w:t>
      </w:r>
      <w:bookmarkStart w:id="163" w:name="_GoBack"/>
      <w:bookmarkEnd w:id="163"/>
      <w:r>
        <w:rPr>
          <w:rStyle w:val="21"/>
          <w:rFonts w:hint="eastAsia" w:ascii="仿宋_GB2312" w:hAnsi="仿宋_GB2312" w:eastAsia="仿宋_GB2312" w:cs="仿宋_GB2312"/>
          <w:b w:val="0"/>
          <w:color w:val="000000"/>
          <w:sz w:val="32"/>
          <w:szCs w:val="32"/>
          <w:lang w:eastAsia="zh-CN"/>
        </w:rPr>
        <w:t>人畜饮水</w:t>
      </w:r>
      <w:r>
        <w:rPr>
          <w:rStyle w:val="21"/>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农林水支出（类）扶贫（款）其他扶贫支出（项）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农林水支出（类）农村综合改革（款）对村委会和村党支部的补助（项）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农林水支出（类）其他农林水支出（款）其他农林水支出（项）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21"/>
          <w:rFonts w:hint="eastAsia" w:ascii="仿宋_GB2312" w:hAnsi="仿宋_GB2312" w:eastAsia="仿宋_GB2312" w:cs="仿宋_GB2312"/>
          <w:b w:val="0"/>
          <w:color w:val="000000"/>
          <w:sz w:val="32"/>
          <w:szCs w:val="32"/>
        </w:rPr>
        <w:t>29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住房保障支出（类）住房改革支出（款）住房公积金（</w:t>
      </w:r>
      <w:r>
        <w:rPr>
          <w:rStyle w:val="21"/>
          <w:rFonts w:ascii="仿宋_GB2312" w:hAnsi="仿宋_GB2312" w:eastAsia="仿宋_GB2312" w:cs="仿宋_GB2312"/>
          <w:b w:val="0"/>
          <w:color w:val="000000"/>
          <w:sz w:val="32"/>
          <w:szCs w:val="32"/>
        </w:rPr>
        <w:t>01</w:t>
      </w:r>
      <w:r>
        <w:rPr>
          <w:rStyle w:val="21"/>
          <w:rFonts w:hint="eastAsia" w:ascii="仿宋_GB2312" w:hAnsi="仿宋_GB2312" w:eastAsia="仿宋_GB2312" w:cs="仿宋_GB2312"/>
          <w:b w:val="0"/>
          <w:color w:val="000000"/>
          <w:sz w:val="32"/>
          <w:szCs w:val="32"/>
        </w:rPr>
        <w:t>）</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01" w:name="_Toc16647"/>
      <w:bookmarkStart w:id="102" w:name="_Toc15396614"/>
      <w:bookmarkStart w:id="103" w:name="_Toc79163630"/>
      <w:r>
        <w:rPr>
          <w:rFonts w:hint="eastAsia" w:ascii="黑体" w:hAnsi="黑体" w:eastAsia="黑体"/>
          <w:color w:val="000000"/>
          <w:sz w:val="44"/>
          <w:szCs w:val="44"/>
        </w:rPr>
        <w:t>第</w:t>
      </w:r>
      <w:r>
        <w:rPr>
          <w:rStyle w:val="24"/>
          <w:rFonts w:hint="eastAsia" w:ascii="黑体" w:hAnsi="黑体" w:eastAsia="黑体"/>
          <w:b w:val="0"/>
        </w:rPr>
        <w:t>四部分附件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631"/>
      <w:bookmarkStart w:id="105" w:name="_Toc1136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spacing w:line="580" w:lineRule="exact"/>
        <w:jc w:val="center"/>
        <w:rPr>
          <w:rFonts w:ascii="方正小标宋简体" w:hAnsi="方正小标宋简体" w:eastAsia="方正小标宋简体" w:cs="方正小标宋简体"/>
          <w:sz w:val="44"/>
          <w:szCs w:val="44"/>
        </w:rPr>
      </w:pPr>
    </w:p>
    <w:p>
      <w:pPr>
        <w:spacing w:line="576" w:lineRule="atLeast"/>
        <w:jc w:val="center"/>
        <w:outlineLvl w:val="0"/>
        <w:rPr>
          <w:rFonts w:ascii="方正小标宋简体" w:hAnsi="方正小标宋简体" w:eastAsia="方正小标宋简体"/>
          <w:sz w:val="44"/>
          <w:szCs w:val="44"/>
        </w:rPr>
      </w:pPr>
      <w:bookmarkStart w:id="106" w:name="_Toc19712"/>
      <w:bookmarkStart w:id="107" w:name="_Toc15396616"/>
      <w:r>
        <w:rPr>
          <w:rFonts w:hint="eastAsia" w:ascii="方正小标宋简体" w:hAnsi="方正小标宋简体" w:eastAsia="方正小标宋简体" w:cs="方正小标宋简体"/>
          <w:sz w:val="44"/>
          <w:szCs w:val="44"/>
        </w:rPr>
        <w:t>茂县渭门镇人民政府</w:t>
      </w:r>
      <w:bookmarkEnd w:id="106"/>
    </w:p>
    <w:p>
      <w:pPr>
        <w:spacing w:line="576" w:lineRule="atLeast"/>
        <w:jc w:val="center"/>
        <w:outlineLvl w:val="0"/>
        <w:rPr>
          <w:rFonts w:ascii="黑体" w:hAnsi="黑体" w:eastAsia="黑体"/>
          <w:sz w:val="32"/>
          <w:szCs w:val="32"/>
        </w:rPr>
      </w:pPr>
      <w:bookmarkStart w:id="108" w:name="_Toc10064"/>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20年部门整体支出绩效评价报告</w:t>
      </w:r>
      <w:bookmarkEnd w:id="107"/>
      <w:bookmarkEnd w:id="108"/>
    </w:p>
    <w:p>
      <w:pPr>
        <w:pStyle w:val="4"/>
        <w:keepNext w:val="0"/>
        <w:keepLines w:val="0"/>
        <w:spacing w:before="0" w:after="0" w:line="576" w:lineRule="atLeast"/>
        <w:ind w:firstLine="642" w:firstLineChars="200"/>
        <w:rPr>
          <w:rFonts w:ascii="黑体" w:hAnsi="黑体" w:eastAsia="黑体"/>
        </w:rPr>
      </w:pPr>
    </w:p>
    <w:p>
      <w:pPr>
        <w:pStyle w:val="4"/>
        <w:keepNext w:val="0"/>
        <w:keepLines w:val="0"/>
        <w:spacing w:before="0" w:after="0" w:line="576" w:lineRule="atLeast"/>
        <w:ind w:firstLine="642" w:firstLineChars="200"/>
        <w:rPr>
          <w:rFonts w:ascii="仿宋" w:hAnsi="仿宋" w:eastAsia="仿宋"/>
          <w:color w:val="000000"/>
        </w:rPr>
      </w:pPr>
      <w:bookmarkStart w:id="109" w:name="_Toc30535"/>
      <w:r>
        <w:rPr>
          <w:rFonts w:hint="eastAsia" w:ascii="黑体" w:hAnsi="黑体" w:eastAsia="黑体" w:cs="黑体"/>
        </w:rPr>
        <w:t>一、部门（单位）概况</w:t>
      </w:r>
      <w:bookmarkEnd w:id="109"/>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渭门镇内设行政办公室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（二）机构职能</w:t>
      </w:r>
    </w:p>
    <w:p>
      <w:pPr>
        <w:spacing w:line="576" w:lineRule="atLeas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职能：落实政策、促进发展、维护稳定、加强管理、提供服务五个方面。贯彻执行党的路线、方针、政策，讨论决定本镇经济建设和社会发展的重大问题；领导各部门和群众组织，依照国家法律法规及各自章程行使职权；加强镇党委自身建设和村级组织建设；按照干部管理权限，负责对干部的教育、培养、选拔和监督工作；密切联系群众，为全镇农村经济和社会事业发展服好务。</w:t>
      </w:r>
    </w:p>
    <w:p>
      <w:pPr>
        <w:spacing w:line="576" w:lineRule="atLeast"/>
        <w:ind w:firstLine="640" w:firstLineChars="200"/>
        <w:rPr>
          <w:rFonts w:ascii="楷体" w:hAnsi="楷体" w:eastAsia="楷体"/>
          <w:sz w:val="32"/>
          <w:szCs w:val="32"/>
        </w:rPr>
      </w:pPr>
      <w:r>
        <w:rPr>
          <w:rFonts w:hint="eastAsia" w:ascii="楷体" w:hAnsi="楷体" w:eastAsia="楷体" w:cs="楷体"/>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渭门镇总编制51名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行政编制27名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其中行政工勤编制4名，事业编制24名。现有在职人员44人，（其中公务员24人，机关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2人，事业人员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8人）；退休人员6人（行政退休6人）；遗属3人。</w:t>
      </w:r>
    </w:p>
    <w:p>
      <w:pPr>
        <w:pStyle w:val="4"/>
        <w:keepNext w:val="0"/>
        <w:keepLines w:val="0"/>
        <w:spacing w:before="0" w:after="0" w:line="576" w:lineRule="atLeast"/>
        <w:ind w:firstLine="640" w:firstLineChars="200"/>
        <w:rPr>
          <w:rFonts w:ascii="仿宋" w:hAnsi="仿宋" w:eastAsia="仿宋"/>
          <w:b w:val="0"/>
          <w:bCs w:val="0"/>
          <w:color w:val="000000"/>
        </w:rPr>
      </w:pPr>
      <w:bookmarkStart w:id="110" w:name="_Toc28767"/>
      <w:r>
        <w:rPr>
          <w:rFonts w:hint="eastAsia" w:ascii="黑体" w:hAnsi="黑体" w:eastAsia="黑体" w:cs="黑体"/>
          <w:b w:val="0"/>
          <w:bCs w:val="0"/>
        </w:rPr>
        <w:t>二、部门财政资金收支情况</w:t>
      </w:r>
      <w:bookmarkEnd w:id="110"/>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20年本部门财政拨款收入决算总额为2024.54万元，其中：当年财政拨款收入2024.54万元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为一般公共预算财政拨款收入1865.87万元，</w:t>
      </w:r>
      <w:r>
        <w:rPr>
          <w:rFonts w:hint="eastAsia" w:ascii="仿宋_GB2312" w:hAnsi="仿宋_GB2312" w:eastAsia="仿宋_GB2312" w:cs="仿宋_GB2312"/>
          <w:color w:val="000000"/>
          <w:sz w:val="32"/>
          <w:szCs w:val="32"/>
        </w:rPr>
        <w:t>政府性基金预算财政拨款收入158.67万元</w:t>
      </w:r>
      <w:r>
        <w:rPr>
          <w:rFonts w:hint="eastAsia" w:ascii="仿宋_GB2312" w:hAnsi="仿宋_GB2312" w:eastAsia="仿宋_GB2312" w:cs="仿宋_GB2312"/>
          <w:sz w:val="32"/>
          <w:szCs w:val="32"/>
        </w:rPr>
        <w:t>。</w:t>
      </w:r>
    </w:p>
    <w:p>
      <w:pPr>
        <w:numPr>
          <w:ilvl w:val="0"/>
          <w:numId w:val="4"/>
        </w:num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部门财政资金支出情况</w:t>
      </w:r>
    </w:p>
    <w:p>
      <w:pPr>
        <w:pStyle w:val="39"/>
        <w:spacing w:line="600" w:lineRule="exact"/>
        <w:ind w:left="420" w:firstLine="320" w:firstLineChars="100"/>
        <w:rPr>
          <w:rFonts w:ascii="仿宋_GB2312" w:hAnsi="仿宋_GB2312" w:eastAsia="仿宋_GB2312" w:cs="仿宋_GB2312"/>
          <w:b/>
          <w:bCs/>
          <w:sz w:val="32"/>
          <w:szCs w:val="32"/>
        </w:rPr>
      </w:pPr>
      <w:bookmarkStart w:id="111" w:name="_Toc30988"/>
      <w:r>
        <w:rPr>
          <w:rFonts w:hint="eastAsia" w:ascii="仿宋_GB2312" w:hAnsi="仿宋_GB2312" w:eastAsia="仿宋_GB2312" w:cs="仿宋_GB2312"/>
          <w:color w:val="000000"/>
          <w:sz w:val="32"/>
          <w:szCs w:val="32"/>
        </w:rPr>
        <w:t>茂县渭门镇人民政府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486.85万元，占本年支出合计的26.65%；</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5.77万元，占本年支出合计的0.32%；</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98.81万元，占本年支出合计的5.41%；</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42.27万元，占本年支出合计的2.31%；</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1134.54万元，占本年支出合计的62.1%；</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58.69万元，占本年支出合计的3.21%；</w:t>
      </w:r>
    </w:p>
    <w:p>
      <w:pPr>
        <w:pStyle w:val="4"/>
        <w:keepNext w:val="0"/>
        <w:keepLines w:val="0"/>
        <w:spacing w:before="0" w:after="0" w:line="576" w:lineRule="atLeast"/>
        <w:ind w:firstLine="640" w:firstLineChars="200"/>
        <w:rPr>
          <w:rFonts w:ascii="黑体" w:hAnsi="黑体" w:eastAsia="黑体"/>
          <w:b w:val="0"/>
          <w:bCs w:val="0"/>
        </w:rPr>
      </w:pPr>
      <w:r>
        <w:rPr>
          <w:rFonts w:hint="eastAsia" w:ascii="黑体" w:hAnsi="黑体" w:eastAsia="黑体" w:cs="黑体"/>
          <w:b w:val="0"/>
          <w:bCs w:val="0"/>
        </w:rPr>
        <w:t>三、部门整体预算绩效管理情况</w:t>
      </w:r>
      <w:bookmarkEnd w:id="111"/>
    </w:p>
    <w:p>
      <w:pPr>
        <w:adjustRightInd w:val="0"/>
        <w:snapToGrid w:val="0"/>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rPr>
        <w:t>20年部门支出进行预算，支出合计</w:t>
      </w:r>
      <w:r>
        <w:rPr>
          <w:rFonts w:hint="eastAsia" w:ascii="仿宋_GB2312" w:hAnsi="仿宋_GB2312" w:eastAsia="仿宋_GB2312" w:cs="仿宋_GB2312"/>
          <w:sz w:val="32"/>
          <w:szCs w:val="32"/>
          <w:shd w:val="clear" w:color="auto" w:fill="FFFFFF"/>
        </w:rPr>
        <w:t>759.0066万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基本支出624.86万元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）工资福利性支出：490.079万元。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）商品和服务支出47.2万元，其中：公务接待费0.784万元；公务用车运行维护费8万元。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）对个人和家庭的补助支出：2.42万元。</w:t>
      </w:r>
    </w:p>
    <w:p>
      <w:pPr>
        <w:pStyle w:val="23"/>
        <w:spacing w:before="93"/>
        <w:ind w:firstLine="240"/>
        <w:rPr>
          <w:lang w:val="en-US"/>
        </w:rPr>
      </w:pPr>
      <w:r>
        <w:rPr>
          <w:rFonts w:hint="eastAsia"/>
          <w:lang w:val="en-US"/>
        </w:rPr>
        <w:t xml:space="preserve">   </w:t>
      </w:r>
      <w:r>
        <w:rPr>
          <w:rFonts w:hint="eastAsia" w:ascii="仿宋_GB2312" w:hAnsi="仿宋_GB2312" w:eastAsia="仿宋_GB2312" w:cs="仿宋_GB2312"/>
          <w:color w:val="000000"/>
          <w:sz w:val="32"/>
          <w:szCs w:val="32"/>
          <w:shd w:val="clear" w:color="auto" w:fill="FFFFFF"/>
          <w:lang w:val="en-US"/>
        </w:rPr>
        <w:t xml:space="preserve">  （4）对事业单位经常性补助85.16</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项目支出134.14万元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）商品和服务支出22万元，其中基层组织活动和公共服务运行经费项目支出11万元，办公费11万元。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（2）对个人和家庭的补助112.14万元，主要用于村干部生活补助。</w:t>
      </w:r>
    </w:p>
    <w:p>
      <w:pPr>
        <w:pStyle w:val="4"/>
        <w:keepNext w:val="0"/>
        <w:keepLines w:val="0"/>
        <w:spacing w:before="0" w:after="0" w:line="576" w:lineRule="atLeast"/>
        <w:ind w:firstLine="640" w:firstLineChars="200"/>
        <w:rPr>
          <w:rFonts w:ascii="楷体_GB2312" w:hAnsi="楷体_GB2312" w:eastAsia="楷体_GB2312" w:cs="楷体_GB2312"/>
        </w:rPr>
      </w:pPr>
      <w:bookmarkStart w:id="112" w:name="_Toc13916"/>
      <w:r>
        <w:rPr>
          <w:rFonts w:hint="eastAsia" w:ascii="楷体_GB2312" w:hAnsi="楷体_GB2312" w:eastAsia="楷体_GB2312" w:cs="楷体_GB2312"/>
          <w:b w:val="0"/>
          <w:bCs w:val="0"/>
        </w:rPr>
        <w:t>（二）专项预算管理</w:t>
      </w:r>
      <w:bookmarkEnd w:id="112"/>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20年，渭门镇人民政府无专项预算。</w:t>
      </w:r>
    </w:p>
    <w:p>
      <w:pPr>
        <w:pStyle w:val="4"/>
        <w:keepNext w:val="0"/>
        <w:keepLines w:val="0"/>
        <w:spacing w:before="0" w:after="0" w:line="576" w:lineRule="atLeast"/>
        <w:ind w:firstLine="640" w:firstLineChars="200"/>
        <w:rPr>
          <w:rFonts w:ascii="仿宋" w:hAnsi="仿宋" w:eastAsia="楷体_GB2312"/>
        </w:rPr>
      </w:pPr>
      <w:bookmarkStart w:id="113" w:name="_Toc7894"/>
      <w:r>
        <w:rPr>
          <w:rFonts w:hint="eastAsia" w:ascii="楷体_GB2312" w:hAnsi="楷体_GB2312" w:eastAsia="楷体_GB2312" w:cs="楷体_GB2312"/>
          <w:b w:val="0"/>
          <w:bCs w:val="0"/>
        </w:rPr>
        <w:t>（三）结果应用情况</w:t>
      </w:r>
      <w:bookmarkEnd w:id="113"/>
      <w:r>
        <w:rPr>
          <w:rFonts w:hint="eastAsia" w:ascii="楷体_GB2312" w:hAnsi="楷体_GB2312" w:eastAsia="楷体_GB2312" w:cs="楷体_GB2312"/>
          <w:b w:val="0"/>
          <w:bCs w:val="0"/>
        </w:rPr>
        <w:t xml:space="preserve">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4"/>
        <w:keepNext w:val="0"/>
        <w:keepLines w:val="0"/>
        <w:spacing w:before="0" w:after="0" w:line="576" w:lineRule="atLeast"/>
        <w:ind w:firstLine="640" w:firstLineChars="200"/>
        <w:rPr>
          <w:rFonts w:ascii="黑体" w:hAnsi="黑体" w:eastAsia="黑体"/>
          <w:b w:val="0"/>
          <w:bCs w:val="0"/>
        </w:rPr>
      </w:pPr>
      <w:bookmarkStart w:id="114" w:name="_Toc20693"/>
      <w:r>
        <w:rPr>
          <w:rFonts w:hint="eastAsia" w:ascii="黑体" w:hAnsi="黑体" w:eastAsia="黑体" w:cs="黑体"/>
          <w:b w:val="0"/>
          <w:bCs w:val="0"/>
        </w:rPr>
        <w:t>四、评价结论及建议</w:t>
      </w:r>
      <w:bookmarkEnd w:id="114"/>
    </w:p>
    <w:p>
      <w:pPr>
        <w:pStyle w:val="4"/>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15" w:name="_Toc21118"/>
      <w:r>
        <w:rPr>
          <w:rFonts w:hint="eastAsia" w:ascii="楷体_GB2312" w:hAnsi="楷体_GB2312" w:eastAsia="楷体_GB2312" w:cs="楷体_GB2312"/>
          <w:b w:val="0"/>
          <w:bCs w:val="0"/>
        </w:rPr>
        <w:t>（一）评价结论</w:t>
      </w:r>
      <w:bookmarkEnd w:id="115"/>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2020年我单位部门整体支出绩效评价自查自评结果良好，全年基本支出保证了部门的正常运行和日常工作的正常开展，项目支出保障了重点工作的开展，达到预期绩效目标。</w:t>
      </w:r>
    </w:p>
    <w:p>
      <w:pPr>
        <w:pStyle w:val="4"/>
        <w:keepNext w:val="0"/>
        <w:keepLines w:val="0"/>
        <w:spacing w:before="0" w:after="0" w:line="576" w:lineRule="atLeast"/>
        <w:ind w:firstLine="640" w:firstLineChars="200"/>
        <w:rPr>
          <w:rFonts w:ascii="仿宋_GB2312" w:hAnsi="仿宋_GB2312" w:eastAsia="仿宋_GB2312" w:cs="仿宋_GB2312"/>
          <w:b w:val="0"/>
          <w:bCs w:val="0"/>
          <w:color w:val="000000"/>
          <w:kern w:val="0"/>
        </w:rPr>
      </w:pPr>
      <w:bookmarkStart w:id="116" w:name="_Toc14527"/>
      <w:r>
        <w:rPr>
          <w:rFonts w:hint="eastAsia" w:ascii="仿宋_GB2312" w:hAnsi="仿宋_GB2312" w:eastAsia="仿宋_GB2312" w:cs="仿宋_GB2312"/>
          <w:b w:val="0"/>
          <w:bCs w:val="0"/>
          <w:color w:val="000000"/>
          <w:kern w:val="0"/>
        </w:rPr>
        <w:t>按照《茂县财政局关于开展2020年财政支出绩效评价工作的通知》（茂财发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rPr>
        <w:t>62号）2020年渭门镇人民部门整体支出绩效评价指标体系自评得分82分。</w:t>
      </w:r>
      <w:bookmarkEnd w:id="116"/>
    </w:p>
    <w:p>
      <w:pPr>
        <w:pStyle w:val="4"/>
        <w:keepNext w:val="0"/>
        <w:keepLines w:val="0"/>
        <w:spacing w:before="0" w:after="0" w:line="576" w:lineRule="atLeast"/>
        <w:ind w:firstLine="640" w:firstLineChars="200"/>
        <w:rPr>
          <w:rFonts w:ascii="仿宋_GB2312" w:hAnsi="仿宋_GB2312" w:eastAsia="仿宋_GB2312" w:cs="仿宋_GB2312"/>
          <w:color w:val="000000"/>
          <w:kern w:val="0"/>
        </w:rPr>
      </w:pPr>
      <w:bookmarkStart w:id="117" w:name="_Toc28090"/>
      <w:r>
        <w:rPr>
          <w:rFonts w:hint="eastAsia" w:ascii="仿宋_GB2312" w:hAnsi="仿宋_GB2312" w:eastAsia="仿宋_GB2312" w:cs="仿宋_GB2312"/>
          <w:b w:val="0"/>
          <w:bCs w:val="0"/>
          <w:color w:val="000000"/>
          <w:kern w:val="0"/>
        </w:rPr>
        <w:t>（二）存在问题</w:t>
      </w:r>
      <w:bookmarkEnd w:id="117"/>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4"/>
        <w:keepNext w:val="0"/>
        <w:keepLines w:val="0"/>
        <w:spacing w:before="0" w:after="0" w:line="576" w:lineRule="atLeast"/>
        <w:ind w:firstLine="640" w:firstLineChars="200"/>
        <w:rPr>
          <w:rFonts w:ascii="楷体_GB2312" w:hAnsi="楷体_GB2312" w:eastAsia="楷体_GB2312" w:cs="楷体_GB2312"/>
          <w:b w:val="0"/>
          <w:bCs w:val="0"/>
        </w:rPr>
      </w:pPr>
      <w:bookmarkStart w:id="118" w:name="_Toc23361"/>
      <w:r>
        <w:rPr>
          <w:rFonts w:hint="eastAsia" w:ascii="楷体_GB2312" w:hAnsi="楷体_GB2312" w:eastAsia="楷体_GB2312" w:cs="楷体_GB2312"/>
          <w:b w:val="0"/>
          <w:bCs w:val="0"/>
        </w:rPr>
        <w:t>（三）改进建议</w:t>
      </w:r>
      <w:bookmarkEnd w:id="118"/>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19" w:name="_Toc15396618"/>
      <w:bookmarkStart w:id="120" w:name="_Toc25141"/>
      <w:bookmarkStart w:id="121" w:name="_Toc79163635"/>
      <w:r>
        <w:rPr>
          <w:rFonts w:hint="eastAsia" w:ascii="黑体" w:hAnsi="黑体" w:eastAsia="黑体"/>
          <w:color w:val="000000"/>
          <w:sz w:val="44"/>
          <w:szCs w:val="44"/>
        </w:rPr>
        <w:t>第</w:t>
      </w:r>
      <w:r>
        <w:rPr>
          <w:rStyle w:val="24"/>
          <w:rFonts w:hint="eastAsia" w:ascii="黑体" w:hAnsi="黑体" w:eastAsia="黑体"/>
          <w:b w:val="0"/>
        </w:rPr>
        <w:t>五部分附表</w:t>
      </w:r>
      <w:bookmarkEnd w:id="100"/>
      <w:bookmarkEnd w:id="119"/>
      <w:bookmarkEnd w:id="120"/>
      <w:bookmarkEnd w:id="121"/>
    </w:p>
    <w:p>
      <w:pPr>
        <w:pStyle w:val="4"/>
        <w:rPr>
          <w:rFonts w:ascii="仿宋" w:hAnsi="仿宋" w:eastAsia="仿宋"/>
          <w:color w:val="000000"/>
        </w:rPr>
      </w:pPr>
      <w:bookmarkStart w:id="122" w:name="_Toc16373"/>
      <w:bookmarkStart w:id="123" w:name="_Toc15396619"/>
      <w:bookmarkStart w:id="124"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22"/>
      <w:bookmarkEnd w:id="123"/>
      <w:bookmarkEnd w:id="124"/>
    </w:p>
    <w:p>
      <w:pPr>
        <w:pStyle w:val="4"/>
        <w:rPr>
          <w:rFonts w:ascii="仿宋" w:hAnsi="仿宋" w:eastAsia="仿宋"/>
          <w:color w:val="000000"/>
        </w:rPr>
      </w:pPr>
      <w:bookmarkStart w:id="125" w:name="_Toc79163637"/>
      <w:bookmarkStart w:id="126" w:name="_Toc27470"/>
      <w:bookmarkStart w:id="127"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25"/>
      <w:bookmarkEnd w:id="126"/>
      <w:bookmarkEnd w:id="127"/>
    </w:p>
    <w:p>
      <w:pPr>
        <w:pStyle w:val="4"/>
        <w:rPr>
          <w:rFonts w:ascii="仿宋" w:hAnsi="仿宋" w:eastAsia="仿宋"/>
          <w:color w:val="000000"/>
        </w:rPr>
      </w:pPr>
      <w:bookmarkStart w:id="128" w:name="_Toc15396621"/>
      <w:bookmarkStart w:id="129" w:name="_Toc1571"/>
      <w:bookmarkStart w:id="130" w:name="_Toc7916363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bookmarkEnd w:id="130"/>
    </w:p>
    <w:p>
      <w:pPr>
        <w:pStyle w:val="4"/>
        <w:rPr>
          <w:rFonts w:ascii="仿宋" w:hAnsi="仿宋" w:eastAsia="仿宋"/>
          <w:b w:val="0"/>
          <w:color w:val="000000"/>
        </w:rPr>
      </w:pPr>
      <w:bookmarkStart w:id="131" w:name="_Toc15396622"/>
      <w:bookmarkStart w:id="132" w:name="_Toc79163639"/>
      <w:bookmarkStart w:id="133" w:name="_Toc24311"/>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1"/>
      <w:bookmarkEnd w:id="132"/>
      <w:bookmarkEnd w:id="133"/>
    </w:p>
    <w:p>
      <w:pPr>
        <w:pStyle w:val="4"/>
        <w:rPr>
          <w:rStyle w:val="25"/>
          <w:rFonts w:ascii="仿宋" w:hAnsi="仿宋" w:eastAsia="仿宋"/>
          <w:b w:val="0"/>
          <w:bCs w:val="0"/>
        </w:rPr>
      </w:pPr>
      <w:bookmarkStart w:id="134" w:name="_Toc6324"/>
      <w:bookmarkStart w:id="135" w:name="_Toc79163640"/>
      <w:bookmarkStart w:id="136"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4"/>
      <w:bookmarkEnd w:id="135"/>
      <w:bookmarkEnd w:id="136"/>
      <w:bookmarkStart w:id="137" w:name="_Toc15396624"/>
    </w:p>
    <w:p>
      <w:pPr>
        <w:pStyle w:val="4"/>
        <w:rPr>
          <w:rFonts w:ascii="仿宋" w:hAnsi="仿宋" w:eastAsia="仿宋"/>
          <w:color w:val="000000"/>
        </w:rPr>
      </w:pPr>
      <w:bookmarkStart w:id="138" w:name="_Toc7746"/>
      <w:bookmarkStart w:id="139"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7"/>
      <w:bookmarkEnd w:id="138"/>
      <w:bookmarkEnd w:id="139"/>
    </w:p>
    <w:p>
      <w:pPr>
        <w:pStyle w:val="4"/>
        <w:rPr>
          <w:rFonts w:ascii="仿宋" w:hAnsi="仿宋" w:eastAsia="仿宋"/>
          <w:color w:val="000000"/>
        </w:rPr>
      </w:pPr>
      <w:bookmarkStart w:id="140" w:name="_Toc15396625"/>
      <w:bookmarkStart w:id="141" w:name="_Toc79163642"/>
      <w:bookmarkStart w:id="142" w:name="_Toc1407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0"/>
      <w:bookmarkEnd w:id="141"/>
      <w:bookmarkEnd w:id="142"/>
    </w:p>
    <w:p>
      <w:pPr>
        <w:pStyle w:val="4"/>
        <w:rPr>
          <w:rFonts w:ascii="仿宋" w:hAnsi="仿宋" w:eastAsia="仿宋"/>
          <w:color w:val="000000"/>
        </w:rPr>
      </w:pPr>
      <w:bookmarkStart w:id="143" w:name="_Toc15396626"/>
      <w:bookmarkStart w:id="144" w:name="_Toc79163643"/>
      <w:bookmarkStart w:id="145" w:name="_Toc27552"/>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3"/>
      <w:bookmarkEnd w:id="144"/>
      <w:bookmarkEnd w:id="145"/>
    </w:p>
    <w:p>
      <w:pPr>
        <w:pStyle w:val="4"/>
        <w:rPr>
          <w:rFonts w:ascii="仿宋" w:hAnsi="仿宋" w:eastAsia="仿宋"/>
          <w:color w:val="000000"/>
        </w:rPr>
      </w:pPr>
      <w:bookmarkStart w:id="146" w:name="_Toc15396627"/>
      <w:bookmarkStart w:id="147" w:name="_Toc79163644"/>
      <w:bookmarkStart w:id="148" w:name="_Toc831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6"/>
      <w:bookmarkEnd w:id="147"/>
      <w:bookmarkEnd w:id="148"/>
    </w:p>
    <w:p>
      <w:pPr>
        <w:pStyle w:val="4"/>
        <w:rPr>
          <w:rFonts w:ascii="仿宋" w:hAnsi="仿宋" w:eastAsia="仿宋"/>
          <w:color w:val="000000"/>
        </w:rPr>
      </w:pPr>
      <w:bookmarkStart w:id="149" w:name="_Toc23523"/>
      <w:bookmarkStart w:id="150" w:name="_Toc15396628"/>
      <w:bookmarkStart w:id="151" w:name="_Toc7916364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9"/>
      <w:bookmarkEnd w:id="150"/>
      <w:bookmarkEnd w:id="151"/>
    </w:p>
    <w:p>
      <w:pPr>
        <w:pStyle w:val="4"/>
        <w:rPr>
          <w:rFonts w:ascii="仿宋" w:hAnsi="仿宋" w:eastAsia="仿宋"/>
          <w:color w:val="000000"/>
        </w:rPr>
      </w:pPr>
      <w:bookmarkStart w:id="152" w:name="_Toc25708"/>
      <w:bookmarkStart w:id="153" w:name="_Toc79163646"/>
      <w:bookmarkStart w:id="154"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2"/>
      <w:bookmarkEnd w:id="153"/>
      <w:bookmarkEnd w:id="154"/>
    </w:p>
    <w:p>
      <w:pPr>
        <w:pStyle w:val="4"/>
        <w:rPr>
          <w:rFonts w:ascii="仿宋" w:hAnsi="仿宋" w:eastAsia="仿宋"/>
          <w:color w:val="000000"/>
        </w:rPr>
      </w:pPr>
      <w:bookmarkStart w:id="155" w:name="_Toc15396630"/>
      <w:bookmarkStart w:id="156" w:name="_Toc79163647"/>
      <w:bookmarkStart w:id="157" w:name="_Toc12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5"/>
      <w:bookmarkEnd w:id="156"/>
      <w:bookmarkEnd w:id="157"/>
    </w:p>
    <w:p>
      <w:pPr>
        <w:pStyle w:val="4"/>
        <w:rPr>
          <w:rStyle w:val="25"/>
          <w:rFonts w:ascii="仿宋" w:hAnsi="仿宋" w:eastAsia="仿宋"/>
          <w:b w:val="0"/>
          <w:bCs w:val="0"/>
        </w:rPr>
      </w:pPr>
      <w:bookmarkStart w:id="158" w:name="_Toc6510"/>
      <w:bookmarkStart w:id="159" w:name="_Toc15396631"/>
      <w:bookmarkStart w:id="160"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8"/>
      <w:bookmarkEnd w:id="159"/>
      <w:bookmarkEnd w:id="160"/>
    </w:p>
    <w:p>
      <w:pPr>
        <w:pStyle w:val="4"/>
        <w:rPr>
          <w:rStyle w:val="25"/>
          <w:rFonts w:ascii="仿宋" w:hAnsi="仿宋" w:eastAsia="仿宋"/>
          <w:b w:val="0"/>
          <w:bCs w:val="0"/>
        </w:rPr>
      </w:pPr>
      <w:bookmarkStart w:id="161" w:name="_Toc79163649"/>
      <w:bookmarkStart w:id="162" w:name="_Toc7325"/>
      <w:r>
        <w:rPr>
          <w:rStyle w:val="25"/>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40</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56B2"/>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5BF6"/>
    <w:rsid w:val="0014729F"/>
    <w:rsid w:val="00157BAB"/>
    <w:rsid w:val="001654D1"/>
    <w:rsid w:val="00174518"/>
    <w:rsid w:val="0018106D"/>
    <w:rsid w:val="001877A7"/>
    <w:rsid w:val="00191536"/>
    <w:rsid w:val="00196687"/>
    <w:rsid w:val="001A06EF"/>
    <w:rsid w:val="001C0962"/>
    <w:rsid w:val="001D7531"/>
    <w:rsid w:val="001E737D"/>
    <w:rsid w:val="001F0592"/>
    <w:rsid w:val="001F0C26"/>
    <w:rsid w:val="001F7506"/>
    <w:rsid w:val="002006CD"/>
    <w:rsid w:val="00202B36"/>
    <w:rsid w:val="00204B7A"/>
    <w:rsid w:val="00204CDE"/>
    <w:rsid w:val="0021101A"/>
    <w:rsid w:val="00220536"/>
    <w:rsid w:val="00235629"/>
    <w:rsid w:val="00240554"/>
    <w:rsid w:val="00256262"/>
    <w:rsid w:val="00260C38"/>
    <w:rsid w:val="002616C0"/>
    <w:rsid w:val="00265372"/>
    <w:rsid w:val="002662AA"/>
    <w:rsid w:val="0027224D"/>
    <w:rsid w:val="00280496"/>
    <w:rsid w:val="00281630"/>
    <w:rsid w:val="00294DC9"/>
    <w:rsid w:val="00295495"/>
    <w:rsid w:val="002A31DE"/>
    <w:rsid w:val="002B2613"/>
    <w:rsid w:val="002B460B"/>
    <w:rsid w:val="002B6A4F"/>
    <w:rsid w:val="002D6D05"/>
    <w:rsid w:val="002F1818"/>
    <w:rsid w:val="002F567B"/>
    <w:rsid w:val="00313C05"/>
    <w:rsid w:val="003216A9"/>
    <w:rsid w:val="00335A74"/>
    <w:rsid w:val="00350902"/>
    <w:rsid w:val="0036561B"/>
    <w:rsid w:val="0037013F"/>
    <w:rsid w:val="00380C92"/>
    <w:rsid w:val="00391FB4"/>
    <w:rsid w:val="003A3E24"/>
    <w:rsid w:val="003A484F"/>
    <w:rsid w:val="003A4883"/>
    <w:rsid w:val="003B0BE0"/>
    <w:rsid w:val="003B0C1B"/>
    <w:rsid w:val="003B688C"/>
    <w:rsid w:val="003C0291"/>
    <w:rsid w:val="003C39AE"/>
    <w:rsid w:val="003C7B60"/>
    <w:rsid w:val="003D0C0F"/>
    <w:rsid w:val="003D1FB2"/>
    <w:rsid w:val="003D66DA"/>
    <w:rsid w:val="003D6EDA"/>
    <w:rsid w:val="003E1310"/>
    <w:rsid w:val="003E6F55"/>
    <w:rsid w:val="003E6FE4"/>
    <w:rsid w:val="00406254"/>
    <w:rsid w:val="004223DE"/>
    <w:rsid w:val="00434489"/>
    <w:rsid w:val="00437085"/>
    <w:rsid w:val="00440C4E"/>
    <w:rsid w:val="00443880"/>
    <w:rsid w:val="00445607"/>
    <w:rsid w:val="004464F4"/>
    <w:rsid w:val="00457341"/>
    <w:rsid w:val="00470482"/>
    <w:rsid w:val="00471401"/>
    <w:rsid w:val="00473F31"/>
    <w:rsid w:val="0048263A"/>
    <w:rsid w:val="00487E5D"/>
    <w:rsid w:val="004A0ABC"/>
    <w:rsid w:val="004A711F"/>
    <w:rsid w:val="004B199D"/>
    <w:rsid w:val="004B4690"/>
    <w:rsid w:val="004B6C82"/>
    <w:rsid w:val="004C44C7"/>
    <w:rsid w:val="004D5479"/>
    <w:rsid w:val="004E0A2D"/>
    <w:rsid w:val="004E206B"/>
    <w:rsid w:val="004E6DF7"/>
    <w:rsid w:val="004F0FBD"/>
    <w:rsid w:val="004F4B76"/>
    <w:rsid w:val="0050179A"/>
    <w:rsid w:val="00505A47"/>
    <w:rsid w:val="00512719"/>
    <w:rsid w:val="00512FDA"/>
    <w:rsid w:val="00520DA0"/>
    <w:rsid w:val="005269A7"/>
    <w:rsid w:val="005269D7"/>
    <w:rsid w:val="00536C2A"/>
    <w:rsid w:val="005664BB"/>
    <w:rsid w:val="00566FFA"/>
    <w:rsid w:val="00573D21"/>
    <w:rsid w:val="0057481D"/>
    <w:rsid w:val="00575641"/>
    <w:rsid w:val="00576F06"/>
    <w:rsid w:val="0058486E"/>
    <w:rsid w:val="00585B33"/>
    <w:rsid w:val="0059014D"/>
    <w:rsid w:val="005B5C64"/>
    <w:rsid w:val="005C5337"/>
    <w:rsid w:val="005C6BD0"/>
    <w:rsid w:val="005D1C8B"/>
    <w:rsid w:val="005D468D"/>
    <w:rsid w:val="005D5CED"/>
    <w:rsid w:val="005D7EE1"/>
    <w:rsid w:val="005F1A4C"/>
    <w:rsid w:val="005F7DC0"/>
    <w:rsid w:val="00605688"/>
    <w:rsid w:val="006070AF"/>
    <w:rsid w:val="00607E6C"/>
    <w:rsid w:val="006101B1"/>
    <w:rsid w:val="00614E44"/>
    <w:rsid w:val="00616FB0"/>
    <w:rsid w:val="0061710B"/>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4C8E"/>
    <w:rsid w:val="006A5E34"/>
    <w:rsid w:val="006B2422"/>
    <w:rsid w:val="006B2B9A"/>
    <w:rsid w:val="006C1937"/>
    <w:rsid w:val="006F020C"/>
    <w:rsid w:val="007127B7"/>
    <w:rsid w:val="0071798E"/>
    <w:rsid w:val="00737598"/>
    <w:rsid w:val="007416B6"/>
    <w:rsid w:val="007433A7"/>
    <w:rsid w:val="00746F48"/>
    <w:rsid w:val="0075404D"/>
    <w:rsid w:val="0076182A"/>
    <w:rsid w:val="00767B7E"/>
    <w:rsid w:val="00773E38"/>
    <w:rsid w:val="007770C3"/>
    <w:rsid w:val="00784D24"/>
    <w:rsid w:val="00785FBA"/>
    <w:rsid w:val="00786E4A"/>
    <w:rsid w:val="007875EB"/>
    <w:rsid w:val="0079426B"/>
    <w:rsid w:val="007C7CA3"/>
    <w:rsid w:val="007D1682"/>
    <w:rsid w:val="007D312A"/>
    <w:rsid w:val="007D3F19"/>
    <w:rsid w:val="007E23B0"/>
    <w:rsid w:val="007E23E5"/>
    <w:rsid w:val="007F1991"/>
    <w:rsid w:val="007F2C2F"/>
    <w:rsid w:val="007F55FC"/>
    <w:rsid w:val="007F5665"/>
    <w:rsid w:val="00800112"/>
    <w:rsid w:val="00813348"/>
    <w:rsid w:val="0081696F"/>
    <w:rsid w:val="008253BB"/>
    <w:rsid w:val="0083706E"/>
    <w:rsid w:val="008408F6"/>
    <w:rsid w:val="008423A5"/>
    <w:rsid w:val="00850625"/>
    <w:rsid w:val="00853718"/>
    <w:rsid w:val="00855221"/>
    <w:rsid w:val="00856DA9"/>
    <w:rsid w:val="00860645"/>
    <w:rsid w:val="00871F71"/>
    <w:rsid w:val="00872FD8"/>
    <w:rsid w:val="00885AF4"/>
    <w:rsid w:val="00892977"/>
    <w:rsid w:val="008939CD"/>
    <w:rsid w:val="00895AD7"/>
    <w:rsid w:val="008B768C"/>
    <w:rsid w:val="008C4DB1"/>
    <w:rsid w:val="008C4EAF"/>
    <w:rsid w:val="008C5176"/>
    <w:rsid w:val="008C7FD0"/>
    <w:rsid w:val="008E1DE7"/>
    <w:rsid w:val="008E707C"/>
    <w:rsid w:val="00900B08"/>
    <w:rsid w:val="00902155"/>
    <w:rsid w:val="00902FA3"/>
    <w:rsid w:val="00915B05"/>
    <w:rsid w:val="00923564"/>
    <w:rsid w:val="0092392E"/>
    <w:rsid w:val="009315F9"/>
    <w:rsid w:val="00933499"/>
    <w:rsid w:val="009334D8"/>
    <w:rsid w:val="00935AD6"/>
    <w:rsid w:val="00935C98"/>
    <w:rsid w:val="00946945"/>
    <w:rsid w:val="00947F31"/>
    <w:rsid w:val="00951248"/>
    <w:rsid w:val="0095152F"/>
    <w:rsid w:val="00954C49"/>
    <w:rsid w:val="00955E37"/>
    <w:rsid w:val="00962656"/>
    <w:rsid w:val="009669FB"/>
    <w:rsid w:val="0097099F"/>
    <w:rsid w:val="00971997"/>
    <w:rsid w:val="00971FFC"/>
    <w:rsid w:val="0098660A"/>
    <w:rsid w:val="009931C3"/>
    <w:rsid w:val="009B1EE8"/>
    <w:rsid w:val="009B2C43"/>
    <w:rsid w:val="009B4EAE"/>
    <w:rsid w:val="009B7573"/>
    <w:rsid w:val="009C22F4"/>
    <w:rsid w:val="009C2A4B"/>
    <w:rsid w:val="009C2E98"/>
    <w:rsid w:val="009D3447"/>
    <w:rsid w:val="009D3AF1"/>
    <w:rsid w:val="009D4711"/>
    <w:rsid w:val="009E2A39"/>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779A0"/>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1B29"/>
    <w:rsid w:val="00B77EA6"/>
    <w:rsid w:val="00B81598"/>
    <w:rsid w:val="00B841F1"/>
    <w:rsid w:val="00B90E4E"/>
    <w:rsid w:val="00B944D6"/>
    <w:rsid w:val="00B965DC"/>
    <w:rsid w:val="00BB4DF0"/>
    <w:rsid w:val="00BC289F"/>
    <w:rsid w:val="00BC2D50"/>
    <w:rsid w:val="00BC5361"/>
    <w:rsid w:val="00BC5460"/>
    <w:rsid w:val="00BC6B50"/>
    <w:rsid w:val="00BD0E25"/>
    <w:rsid w:val="00BF5BD6"/>
    <w:rsid w:val="00BF7104"/>
    <w:rsid w:val="00C03E31"/>
    <w:rsid w:val="00C215BC"/>
    <w:rsid w:val="00C33E72"/>
    <w:rsid w:val="00C354B2"/>
    <w:rsid w:val="00C35554"/>
    <w:rsid w:val="00C36806"/>
    <w:rsid w:val="00C42709"/>
    <w:rsid w:val="00C533CC"/>
    <w:rsid w:val="00C5751C"/>
    <w:rsid w:val="00C61BFC"/>
    <w:rsid w:val="00C62B85"/>
    <w:rsid w:val="00C65438"/>
    <w:rsid w:val="00C8399A"/>
    <w:rsid w:val="00C87FD8"/>
    <w:rsid w:val="00C91381"/>
    <w:rsid w:val="00C91CBB"/>
    <w:rsid w:val="00CB3535"/>
    <w:rsid w:val="00CB4E70"/>
    <w:rsid w:val="00CB6C5D"/>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71BF7"/>
    <w:rsid w:val="00D81340"/>
    <w:rsid w:val="00D81A47"/>
    <w:rsid w:val="00DA634F"/>
    <w:rsid w:val="00DA65AC"/>
    <w:rsid w:val="00DB1913"/>
    <w:rsid w:val="00DC410D"/>
    <w:rsid w:val="00DC5A81"/>
    <w:rsid w:val="00DC68CA"/>
    <w:rsid w:val="00DC74B0"/>
    <w:rsid w:val="00DC7CBA"/>
    <w:rsid w:val="00DD73B7"/>
    <w:rsid w:val="00DF28BC"/>
    <w:rsid w:val="00DF34B9"/>
    <w:rsid w:val="00E00D04"/>
    <w:rsid w:val="00E01053"/>
    <w:rsid w:val="00E07ACF"/>
    <w:rsid w:val="00E11F20"/>
    <w:rsid w:val="00E20598"/>
    <w:rsid w:val="00E27F19"/>
    <w:rsid w:val="00E32CAD"/>
    <w:rsid w:val="00E331A1"/>
    <w:rsid w:val="00E33202"/>
    <w:rsid w:val="00E336A9"/>
    <w:rsid w:val="00E472B1"/>
    <w:rsid w:val="00E50624"/>
    <w:rsid w:val="00E51E81"/>
    <w:rsid w:val="00E5387A"/>
    <w:rsid w:val="00E568DF"/>
    <w:rsid w:val="00E64269"/>
    <w:rsid w:val="00E70975"/>
    <w:rsid w:val="00E82267"/>
    <w:rsid w:val="00E853CE"/>
    <w:rsid w:val="00E867B6"/>
    <w:rsid w:val="00EA010F"/>
    <w:rsid w:val="00EB09B7"/>
    <w:rsid w:val="00EC34CA"/>
    <w:rsid w:val="00ED1B63"/>
    <w:rsid w:val="00ED3C1F"/>
    <w:rsid w:val="00ED4085"/>
    <w:rsid w:val="00ED420E"/>
    <w:rsid w:val="00ED6FBE"/>
    <w:rsid w:val="00EE2F57"/>
    <w:rsid w:val="00EF4C34"/>
    <w:rsid w:val="00EF60EF"/>
    <w:rsid w:val="00EF77C6"/>
    <w:rsid w:val="00F0273E"/>
    <w:rsid w:val="00F05438"/>
    <w:rsid w:val="00F113FE"/>
    <w:rsid w:val="00F1361C"/>
    <w:rsid w:val="00F156F0"/>
    <w:rsid w:val="00F160C7"/>
    <w:rsid w:val="00F2408F"/>
    <w:rsid w:val="00F240E9"/>
    <w:rsid w:val="00F36D8F"/>
    <w:rsid w:val="00F40E96"/>
    <w:rsid w:val="00F417B1"/>
    <w:rsid w:val="00F45853"/>
    <w:rsid w:val="00F602DF"/>
    <w:rsid w:val="00F60785"/>
    <w:rsid w:val="00F72BC5"/>
    <w:rsid w:val="00F754A1"/>
    <w:rsid w:val="00F81FD9"/>
    <w:rsid w:val="00F841AA"/>
    <w:rsid w:val="00F84A94"/>
    <w:rsid w:val="00F87E96"/>
    <w:rsid w:val="00F908B9"/>
    <w:rsid w:val="00FA23E8"/>
    <w:rsid w:val="00FA47C4"/>
    <w:rsid w:val="00FC2607"/>
    <w:rsid w:val="00FD3CC1"/>
    <w:rsid w:val="00FF1E02"/>
    <w:rsid w:val="00FF30B4"/>
    <w:rsid w:val="02B91A59"/>
    <w:rsid w:val="02FC5CAA"/>
    <w:rsid w:val="05FD765F"/>
    <w:rsid w:val="061979DB"/>
    <w:rsid w:val="075B00B8"/>
    <w:rsid w:val="08EE7AF1"/>
    <w:rsid w:val="0A2032A3"/>
    <w:rsid w:val="0B002ABF"/>
    <w:rsid w:val="0B3037BF"/>
    <w:rsid w:val="0BAA15B5"/>
    <w:rsid w:val="0BD413F1"/>
    <w:rsid w:val="0D720B6F"/>
    <w:rsid w:val="0DD806BA"/>
    <w:rsid w:val="0E8136C4"/>
    <w:rsid w:val="0F59641D"/>
    <w:rsid w:val="109465BB"/>
    <w:rsid w:val="10C055FF"/>
    <w:rsid w:val="118107EC"/>
    <w:rsid w:val="12206FC1"/>
    <w:rsid w:val="16AA5993"/>
    <w:rsid w:val="16BB723D"/>
    <w:rsid w:val="17144AAD"/>
    <w:rsid w:val="1AAB6FBB"/>
    <w:rsid w:val="1C4E29E8"/>
    <w:rsid w:val="1D155CEE"/>
    <w:rsid w:val="1E0E557A"/>
    <w:rsid w:val="216D7795"/>
    <w:rsid w:val="21C472B4"/>
    <w:rsid w:val="221570B3"/>
    <w:rsid w:val="240371BF"/>
    <w:rsid w:val="252B7FD9"/>
    <w:rsid w:val="26A21068"/>
    <w:rsid w:val="27A44E74"/>
    <w:rsid w:val="28274600"/>
    <w:rsid w:val="293531E2"/>
    <w:rsid w:val="29FD04D3"/>
    <w:rsid w:val="2BC40C13"/>
    <w:rsid w:val="2C057E6C"/>
    <w:rsid w:val="2C4E4AF4"/>
    <w:rsid w:val="2CAF754D"/>
    <w:rsid w:val="2D1C56CA"/>
    <w:rsid w:val="2E850B7B"/>
    <w:rsid w:val="318C0682"/>
    <w:rsid w:val="319F7F4E"/>
    <w:rsid w:val="31FB54DF"/>
    <w:rsid w:val="32E34D82"/>
    <w:rsid w:val="350B13A4"/>
    <w:rsid w:val="35F111E7"/>
    <w:rsid w:val="3680669F"/>
    <w:rsid w:val="36F755BD"/>
    <w:rsid w:val="3A881054"/>
    <w:rsid w:val="3C4D0340"/>
    <w:rsid w:val="3F18293D"/>
    <w:rsid w:val="403E5B72"/>
    <w:rsid w:val="41104302"/>
    <w:rsid w:val="41994A92"/>
    <w:rsid w:val="419A72A4"/>
    <w:rsid w:val="43766ED4"/>
    <w:rsid w:val="4378463C"/>
    <w:rsid w:val="442D2D69"/>
    <w:rsid w:val="448A266C"/>
    <w:rsid w:val="490260CA"/>
    <w:rsid w:val="4B5C5851"/>
    <w:rsid w:val="4B98351A"/>
    <w:rsid w:val="4C8E7F9F"/>
    <w:rsid w:val="4DA63AB8"/>
    <w:rsid w:val="4ECE2238"/>
    <w:rsid w:val="4F0D2918"/>
    <w:rsid w:val="5374687B"/>
    <w:rsid w:val="54FB046B"/>
    <w:rsid w:val="55BB1F0F"/>
    <w:rsid w:val="56DB31A7"/>
    <w:rsid w:val="585712C6"/>
    <w:rsid w:val="5AD23DF0"/>
    <w:rsid w:val="5ADD7421"/>
    <w:rsid w:val="5CFFE695"/>
    <w:rsid w:val="5D9D70A7"/>
    <w:rsid w:val="60564B5D"/>
    <w:rsid w:val="60CF5160"/>
    <w:rsid w:val="60F044D8"/>
    <w:rsid w:val="615A1435"/>
    <w:rsid w:val="63D35C96"/>
    <w:rsid w:val="64F0000C"/>
    <w:rsid w:val="666A14A1"/>
    <w:rsid w:val="67064E5C"/>
    <w:rsid w:val="6B6B6B48"/>
    <w:rsid w:val="6C4A05C8"/>
    <w:rsid w:val="6DFF410E"/>
    <w:rsid w:val="715C34EA"/>
    <w:rsid w:val="719A5115"/>
    <w:rsid w:val="72734D90"/>
    <w:rsid w:val="72CF7F03"/>
    <w:rsid w:val="75CA0129"/>
    <w:rsid w:val="762A5A23"/>
    <w:rsid w:val="77E46243"/>
    <w:rsid w:val="79E815C7"/>
    <w:rsid w:val="7A4A2270"/>
    <w:rsid w:val="7DCB2C4B"/>
    <w:rsid w:val="7E2933DB"/>
    <w:rsid w:val="7EFB6630"/>
    <w:rsid w:val="7F73D728"/>
    <w:rsid w:val="7F9D132C"/>
    <w:rsid w:val="9BF73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2"/>
    <w:qFormat/>
    <w:uiPriority w:val="99"/>
    <w:pPr>
      <w:tabs>
        <w:tab w:val="center" w:pos="4153"/>
        <w:tab w:val="right" w:pos="8306"/>
      </w:tabs>
      <w:snapToGrid w:val="0"/>
      <w:jc w:val="left"/>
    </w:pPr>
    <w:rPr>
      <w:rFonts w:ascii="Calibri" w:hAnsi="Calibri"/>
      <w:kern w:val="0"/>
      <w:sz w:val="18"/>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next w:val="8"/>
    <w:link w:val="33"/>
    <w:qFormat/>
    <w:uiPriority w:val="99"/>
    <w:pPr>
      <w:spacing w:beforeLines="30"/>
    </w:pPr>
    <w:rPr>
      <w:rFonts w:ascii="仿宋_GB2312" w:eastAsia="仿宋_GB2312"/>
      <w:kern w:val="0"/>
      <w:sz w:val="24"/>
      <w:szCs w:val="20"/>
      <w:lang w:val="zh-CN"/>
    </w:rPr>
  </w:style>
  <w:style w:type="paragraph" w:styleId="8">
    <w:name w:val="Body Text First Indent"/>
    <w:basedOn w:val="7"/>
    <w:qFormat/>
    <w:uiPriority w:val="0"/>
    <w:pPr>
      <w:ind w:firstLine="420" w:firstLineChars="100"/>
    </w:pPr>
    <w:rPr>
      <w:sz w:val="20"/>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paragraph" w:customStyle="1" w:styleId="23">
    <w:name w:val="正文首行缩进1"/>
    <w:basedOn w:val="7"/>
    <w:qFormat/>
    <w:uiPriority w:val="0"/>
    <w:pPr>
      <w:spacing w:before="100" w:beforeAutospacing="1"/>
      <w:ind w:firstLine="420" w:firstLineChars="100"/>
    </w:pPr>
    <w:rPr>
      <w:rFonts w:ascii="Times New Roman" w:eastAsia="楷体_GB2312"/>
    </w:rPr>
  </w:style>
  <w:style w:type="character" w:customStyle="1" w:styleId="24">
    <w:name w:val="标题 1 Char"/>
    <w:basedOn w:val="20"/>
    <w:link w:val="3"/>
    <w:qFormat/>
    <w:locked/>
    <w:uiPriority w:val="9"/>
    <w:rPr>
      <w:rFonts w:ascii="Times New Roman" w:hAnsi="Times New Roman" w:cs="Times New Roman"/>
      <w:b/>
      <w:bCs/>
      <w:kern w:val="44"/>
      <w:sz w:val="44"/>
      <w:szCs w:val="44"/>
    </w:rPr>
  </w:style>
  <w:style w:type="character" w:customStyle="1" w:styleId="25">
    <w:name w:val="标题 2 Char"/>
    <w:basedOn w:val="20"/>
    <w:link w:val="4"/>
    <w:qFormat/>
    <w:locked/>
    <w:uiPriority w:val="9"/>
    <w:rPr>
      <w:rFonts w:ascii="Cambria" w:hAnsi="Cambria" w:eastAsia="宋体" w:cs="Times New Roman"/>
      <w:b/>
      <w:bCs/>
      <w:kern w:val="2"/>
      <w:sz w:val="32"/>
      <w:szCs w:val="32"/>
    </w:rPr>
  </w:style>
  <w:style w:type="character" w:customStyle="1" w:styleId="26">
    <w:name w:val="标题 3 Char"/>
    <w:basedOn w:val="20"/>
    <w:link w:val="5"/>
    <w:qFormat/>
    <w:locked/>
    <w:uiPriority w:val="9"/>
    <w:rPr>
      <w:rFonts w:ascii="Times New Roman" w:hAnsi="Times New Roman" w:cs="Times New Roman"/>
      <w:b/>
      <w:bCs/>
      <w:kern w:val="2"/>
      <w:sz w:val="32"/>
      <w:szCs w:val="32"/>
    </w:rPr>
  </w:style>
  <w:style w:type="character" w:customStyle="1" w:styleId="27">
    <w:name w:val="Body Text Char"/>
    <w:basedOn w:val="20"/>
    <w:semiHidden/>
    <w:qFormat/>
    <w:uiPriority w:val="99"/>
    <w:rPr>
      <w:rFonts w:ascii="Times New Roman" w:hAnsi="Times New Roman" w:cs="Times New Roman"/>
      <w:sz w:val="24"/>
      <w:szCs w:val="24"/>
    </w:rPr>
  </w:style>
  <w:style w:type="character" w:customStyle="1" w:styleId="28">
    <w:name w:val="批注框文本 Char"/>
    <w:basedOn w:val="20"/>
    <w:link w:val="12"/>
    <w:semiHidden/>
    <w:qFormat/>
    <w:locked/>
    <w:uiPriority w:val="99"/>
    <w:rPr>
      <w:rFonts w:ascii="Times New Roman" w:hAnsi="Times New Roman" w:cs="Times New Roman"/>
      <w:kern w:val="2"/>
      <w:sz w:val="18"/>
      <w:szCs w:val="18"/>
    </w:rPr>
  </w:style>
  <w:style w:type="character" w:customStyle="1" w:styleId="29">
    <w:name w:val="Footer Char"/>
    <w:basedOn w:val="20"/>
    <w:semiHidden/>
    <w:qFormat/>
    <w:uiPriority w:val="99"/>
    <w:rPr>
      <w:rFonts w:ascii="Times New Roman" w:hAnsi="Times New Roman" w:cs="Times New Roman"/>
      <w:sz w:val="18"/>
      <w:szCs w:val="18"/>
    </w:rPr>
  </w:style>
  <w:style w:type="character" w:customStyle="1" w:styleId="30">
    <w:name w:val="Header Char"/>
    <w:basedOn w:val="20"/>
    <w:semiHidden/>
    <w:qFormat/>
    <w:uiPriority w:val="99"/>
    <w:rPr>
      <w:rFonts w:ascii="Times New Roman" w:hAnsi="Times New Roman" w:cs="Times New Roman"/>
      <w:sz w:val="18"/>
      <w:szCs w:val="18"/>
    </w:rPr>
  </w:style>
  <w:style w:type="character" w:customStyle="1" w:styleId="31">
    <w:name w:val="页眉 Char"/>
    <w:link w:val="13"/>
    <w:semiHidden/>
    <w:qFormat/>
    <w:locked/>
    <w:uiPriority w:val="99"/>
    <w:rPr>
      <w:sz w:val="18"/>
    </w:rPr>
  </w:style>
  <w:style w:type="character" w:customStyle="1" w:styleId="32">
    <w:name w:val="页脚 Char"/>
    <w:link w:val="2"/>
    <w:qFormat/>
    <w:locked/>
    <w:uiPriority w:val="99"/>
    <w:rPr>
      <w:sz w:val="18"/>
    </w:rPr>
  </w:style>
  <w:style w:type="character" w:customStyle="1" w:styleId="33">
    <w:name w:val="正文文本 Char"/>
    <w:link w:val="7"/>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9">
    <w:name w:val="List Paragraph"/>
    <w:basedOn w:val="1"/>
    <w:qFormat/>
    <w:uiPriority w:val="34"/>
    <w:pPr>
      <w:ind w:firstLine="420" w:firstLineChars="200"/>
    </w:pPr>
  </w:style>
  <w:style w:type="character" w:customStyle="1" w:styleId="40">
    <w:name w:val="标题 2 字符"/>
    <w:basedOn w:val="20"/>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1322.28</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2114.93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80480"/>
        <c:axId val="92594560"/>
      </c:barChart>
      <c:catAx>
        <c:axId val="925804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94560"/>
        <c:crosses val="autoZero"/>
        <c:auto val="1"/>
        <c:lblAlgn val="ctr"/>
        <c:lblOffset val="100"/>
        <c:noMultiLvlLbl val="0"/>
      </c:catAx>
      <c:valAx>
        <c:axId val="92594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804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年收入决算情况图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67553737178229"/>
                  <c:y val="-0.05223083133027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1865.87</c:v>
                </c:pt>
                <c:pt idx="1">
                  <c:v>158.67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0853673832166117"/>
                  <c:y val="-0.0313642304991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72696474665146"/>
                  <c:y val="-0.04172093632788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759.48</c:v>
                </c:pt>
                <c:pt idx="1">
                  <c:v>1067.45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manualLayout>
          <c:xMode val="edge"/>
          <c:yMode val="edge"/>
          <c:x val="0.277355302070131"/>
          <c:y val="0.0250731299623903"/>
        </c:manualLayout>
      </c:layout>
      <c:overlay val="0"/>
      <c:spPr>
        <a:noFill/>
        <a:ln>
          <a:noFill/>
        </a:ln>
        <a:effectLst/>
      </c:spPr>
    </c:title>
    <c:autoTitleDeleted val="0"/>
    <c:plotArea>
      <c:layout>
        <c:manualLayout>
          <c:layoutTarget val="inner"/>
          <c:xMode val="edge"/>
          <c:yMode val="edge"/>
          <c:x val="0.0948374253483747"/>
          <c:y val="0.142998027613412"/>
          <c:w val="0.879283344392833"/>
          <c:h val="0.654911242603553"/>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1322.28</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2114.93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1867776"/>
        <c:axId val="131869312"/>
      </c:barChart>
      <c:catAx>
        <c:axId val="1318677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869312"/>
        <c:crosses val="autoZero"/>
        <c:auto val="1"/>
        <c:lblAlgn val="ctr"/>
        <c:lblOffset val="100"/>
        <c:noMultiLvlLbl val="0"/>
      </c:catAx>
      <c:valAx>
        <c:axId val="1318693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86777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1165.91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1826.93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1732608"/>
        <c:axId val="131734144"/>
      </c:barChart>
      <c:catAx>
        <c:axId val="1317326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734144"/>
        <c:crosses val="autoZero"/>
        <c:auto val="1"/>
        <c:lblAlgn val="ctr"/>
        <c:lblOffset val="100"/>
        <c:noMultiLvlLbl val="0"/>
      </c:catAx>
      <c:valAx>
        <c:axId val="1317341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73260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一般公共服务支出</c:v>
                </c:pt>
                <c:pt idx="1">
                  <c:v>国防支出</c:v>
                </c:pt>
                <c:pt idx="2">
                  <c:v>社会保障和就业支出</c:v>
                </c:pt>
                <c:pt idx="3">
                  <c:v>卫生健康支出</c:v>
                </c:pt>
                <c:pt idx="4">
                  <c:v>农林水支出</c:v>
                </c:pt>
                <c:pt idx="5">
                  <c:v>住房保障支出</c:v>
                </c:pt>
              </c:strCache>
            </c:strRef>
          </c:cat>
          <c:val>
            <c:numRef>
              <c:f>'Sheet1'!$B$2:$B$7</c:f>
              <c:numCache>
                <c:formatCode>General</c:formatCode>
                <c:ptCount val="6"/>
                <c:pt idx="0">
                  <c:v>486.85</c:v>
                </c:pt>
                <c:pt idx="1">
                  <c:v>5.77</c:v>
                </c:pt>
                <c:pt idx="2">
                  <c:v>98.81</c:v>
                </c:pt>
                <c:pt idx="3">
                  <c:v>42.27</c:v>
                </c:pt>
                <c:pt idx="4">
                  <c:v>1134.54</c:v>
                </c:pt>
                <c:pt idx="5">
                  <c:v>58.69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12727</Words>
  <Characters>13933</Characters>
  <Lines>113</Lines>
  <Paragraphs>32</Paragraphs>
  <TotalTime>18</TotalTime>
  <ScaleCrop>false</ScaleCrop>
  <LinksUpToDate>false</LinksUpToDate>
  <CharactersWithSpaces>14026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2021-09-26T19:33:00Z</dcterms:created>
  <dc:creator>曹颖</dc:creator>
  <cp:lastModifiedBy>user</cp:lastModifiedBy>
  <cp:lastPrinted>2021-09-29T11:07:00Z</cp:lastPrinted>
  <dcterms:modified xsi:type="dcterms:W3CDTF">2023-07-13T21:35:12Z</dcterms:modified>
  <dc:title>阿坝州部门决算说明</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FA5551677821481E971A80BEEAC91162</vt:lpwstr>
  </property>
</Properties>
</file>