
<file path=[Content_Types].xml><?xml version="1.0" encoding="utf-8"?>
<Types xmlns="http://schemas.openxmlformats.org/package/2006/content-types">
  <Default Extension="xml" ContentType="application/xml"/>
  <Default Extension="xls" ContentType="application/vnd.ms-excel"/>
  <Default Extension="xlsx" ContentType="application/vnd.openxmlformats-officedocument.spreadsheetml.shee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77425"/>
      <w:bookmarkStart w:id="2" w:name="_Toc15396475"/>
      <w:bookmarkStart w:id="3" w:name="_Toc15396597"/>
      <w:bookmarkStart w:id="4" w:name="_Toc15377193"/>
      <w:bookmarkStart w:id="5" w:name="_Toc15378441"/>
      <w:r>
        <w:rPr>
          <w:rFonts w:ascii="黑体" w:eastAsia="黑体"/>
          <w:sz w:val="72"/>
          <w:szCs w:val="72"/>
        </w:rPr>
        <w:t>2021</w:t>
      </w:r>
      <w:r>
        <w:rPr>
          <w:rFonts w:hint="eastAsia" w:asci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96476"/>
      <w:bookmarkStart w:id="8" w:name="_Toc15377194"/>
      <w:bookmarkStart w:id="9" w:name="_Toc15377426"/>
      <w:bookmarkStart w:id="10" w:name="_Toc15378442"/>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渭门镇人民政府部门决算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cs="仿宋_GB2312"/>
          <w:sz w:val="32"/>
          <w:szCs w:val="32"/>
        </w:rPr>
      </w:pPr>
      <w:r>
        <w:rPr>
          <w:rFonts w:hint="eastAsia" w:ascii="宋体" w:cs="仿宋_GB2312"/>
          <w:sz w:val="32"/>
          <w:szCs w:val="32"/>
        </w:rPr>
        <w:t>保密审查情况：</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4"/>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年9月27日</w:t>
      </w:r>
    </w:p>
    <w:p>
      <w:pPr>
        <w:pStyle w:val="14"/>
        <w:tabs>
          <w:tab w:val="right" w:leader="dot" w:pos="8296"/>
        </w:tabs>
        <w:rPr>
          <w:rFonts w:ascii="仿宋" w:hAnsi="仿宋" w:eastAsia="仿宋"/>
          <w:b w:val="0"/>
        </w:rPr>
      </w:pPr>
      <w:r>
        <w:rPr>
          <w:rFonts w:ascii="仿宋" w:hAnsi="仿宋" w:eastAsia="仿宋"/>
          <w:b w:val="0"/>
        </w:rPr>
        <w:fldChar w:fldCharType="begin"/>
      </w:r>
      <w:r>
        <w:rPr>
          <w:rFonts w:ascii="仿宋" w:hAnsi="仿宋" w:eastAsia="仿宋"/>
          <w:b w:val="0"/>
        </w:rPr>
        <w:instrText xml:space="preserve"> TOC \o \u </w:instrText>
      </w:r>
      <w:r>
        <w:rPr>
          <w:rFonts w:ascii="仿宋" w:hAnsi="仿宋" w:eastAsia="仿宋"/>
          <w:b w:val="0"/>
        </w:rPr>
        <w:fldChar w:fldCharType="separate"/>
      </w:r>
      <w:r>
        <w:rPr>
          <w:rFonts w:hint="eastAsia" w:ascii="仿宋" w:hAnsi="仿宋" w:eastAsia="仿宋"/>
          <w:b w:val="0"/>
        </w:rPr>
        <w:t>第一部分部门概况</w:t>
      </w:r>
      <w:r>
        <w:rPr>
          <w:rFonts w:ascii="仿宋" w:hAnsi="仿宋" w:eastAsia="仿宋"/>
          <w:b w:val="0"/>
        </w:rPr>
        <w:tab/>
      </w:r>
      <w:r>
        <w:rPr>
          <w:rFonts w:ascii="仿宋" w:hAnsi="仿宋" w:eastAsia="仿宋"/>
          <w:b w:val="0"/>
        </w:rPr>
        <w:fldChar w:fldCharType="begin"/>
      </w:r>
      <w:r>
        <w:rPr>
          <w:rFonts w:ascii="仿宋" w:hAnsi="仿宋" w:eastAsia="仿宋"/>
          <w:b w:val="0"/>
        </w:rPr>
        <w:instrText xml:space="preserve"> PAGEREF _Toc114676085 \h </w:instrText>
      </w:r>
      <w:r>
        <w:rPr>
          <w:rFonts w:ascii="仿宋" w:hAnsi="仿宋" w:eastAsia="仿宋"/>
          <w:b w:val="0"/>
        </w:rPr>
        <w:fldChar w:fldCharType="separate"/>
      </w:r>
      <w:r>
        <w:rPr>
          <w:rFonts w:ascii="仿宋" w:hAnsi="仿宋" w:eastAsia="仿宋"/>
          <w:b w:val="0"/>
        </w:rPr>
        <w:t>5</w:t>
      </w:r>
      <w:r>
        <w:rPr>
          <w:rFonts w:ascii="仿宋" w:hAnsi="仿宋" w:eastAsia="仿宋"/>
          <w:b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一、基本职能及主要工作</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_Toc114676086 \h </w:instrText>
      </w:r>
      <w:r>
        <w:rPr>
          <w:rFonts w:ascii="仿宋" w:hAnsi="仿宋" w:eastAsia="仿宋"/>
          <w:bCs/>
          <w:caps/>
          <w:smallCaps w:val="0"/>
        </w:rPr>
        <w:fldChar w:fldCharType="separate"/>
      </w:r>
      <w:r>
        <w:rPr>
          <w:rFonts w:ascii="仿宋" w:hAnsi="仿宋" w:eastAsia="仿宋"/>
          <w:bCs/>
          <w:caps/>
          <w:smallCaps w:val="0"/>
        </w:rPr>
        <w:t>5</w:t>
      </w:r>
      <w:r>
        <w:rPr>
          <w:rFonts w:ascii="仿宋" w:hAnsi="仿宋" w:eastAsia="仿宋"/>
          <w:bCs/>
          <w:caps/>
          <w:smallCaps w:val="0"/>
        </w:rPr>
        <w:fldChar w:fldCharType="end"/>
      </w:r>
    </w:p>
    <w:p>
      <w:pPr>
        <w:pStyle w:val="9"/>
        <w:tabs>
          <w:tab w:val="right" w:leader="dot" w:pos="8296"/>
        </w:tabs>
        <w:rPr>
          <w:rFonts w:ascii="仿宋" w:hAnsi="仿宋" w:eastAsia="仿宋"/>
          <w:bCs/>
          <w:i w:val="0"/>
          <w:iCs w:val="0"/>
          <w:caps/>
        </w:rPr>
      </w:pPr>
      <w:r>
        <w:rPr>
          <w:rFonts w:hint="eastAsia" w:ascii="仿宋" w:hAnsi="仿宋" w:eastAsia="仿宋"/>
          <w:bCs/>
          <w:i w:val="0"/>
          <w:iCs w:val="0"/>
          <w:caps/>
        </w:rPr>
        <w:t>（一）主要职能</w:t>
      </w:r>
      <w:r>
        <w:rPr>
          <w:rFonts w:ascii="仿宋" w:hAnsi="仿宋" w:eastAsia="仿宋"/>
          <w:bCs/>
          <w:i w:val="0"/>
          <w:iCs w:val="0"/>
          <w:caps/>
        </w:rPr>
        <w:tab/>
      </w:r>
      <w:r>
        <w:rPr>
          <w:rFonts w:ascii="仿宋" w:hAnsi="仿宋" w:eastAsia="仿宋"/>
          <w:bCs/>
          <w:i w:val="0"/>
          <w:iCs w:val="0"/>
          <w:caps/>
        </w:rPr>
        <w:fldChar w:fldCharType="begin"/>
      </w:r>
      <w:r>
        <w:rPr>
          <w:rFonts w:ascii="仿宋" w:hAnsi="仿宋" w:eastAsia="仿宋"/>
          <w:bCs/>
          <w:i w:val="0"/>
          <w:iCs w:val="0"/>
          <w:caps/>
        </w:rPr>
        <w:instrText xml:space="preserve"> PAGEREF _Toc114676087 \h </w:instrText>
      </w:r>
      <w:r>
        <w:rPr>
          <w:rFonts w:ascii="仿宋" w:hAnsi="仿宋" w:eastAsia="仿宋"/>
          <w:bCs/>
          <w:i w:val="0"/>
          <w:iCs w:val="0"/>
          <w:caps/>
        </w:rPr>
        <w:fldChar w:fldCharType="separate"/>
      </w:r>
      <w:r>
        <w:rPr>
          <w:rFonts w:ascii="仿宋" w:hAnsi="仿宋" w:eastAsia="仿宋"/>
          <w:bCs/>
          <w:i w:val="0"/>
          <w:iCs w:val="0"/>
          <w:caps/>
        </w:rPr>
        <w:t>5</w:t>
      </w:r>
      <w:r>
        <w:rPr>
          <w:rFonts w:ascii="仿宋" w:hAnsi="仿宋" w:eastAsia="仿宋"/>
          <w:bCs/>
          <w:i w:val="0"/>
          <w:iCs w:val="0"/>
          <w:caps/>
        </w:rPr>
        <w:fldChar w:fldCharType="end"/>
      </w:r>
    </w:p>
    <w:p>
      <w:pPr>
        <w:pStyle w:val="9"/>
        <w:tabs>
          <w:tab w:val="right" w:leader="dot" w:pos="8296"/>
        </w:tabs>
        <w:rPr>
          <w:rFonts w:ascii="仿宋" w:hAnsi="仿宋" w:eastAsia="仿宋"/>
          <w:bCs/>
          <w:i w:val="0"/>
          <w:iCs w:val="0"/>
          <w:caps/>
        </w:rPr>
      </w:pPr>
      <w:r>
        <w:rPr>
          <w:rFonts w:hint="eastAsia" w:ascii="仿宋" w:hAnsi="仿宋" w:eastAsia="仿宋"/>
          <w:bCs/>
          <w:i w:val="0"/>
          <w:iCs w:val="0"/>
          <w:caps/>
        </w:rPr>
        <w:t>（二）</w:t>
      </w:r>
      <w:r>
        <w:rPr>
          <w:rFonts w:ascii="仿宋" w:hAnsi="仿宋" w:eastAsia="仿宋"/>
          <w:bCs/>
          <w:i w:val="0"/>
          <w:iCs w:val="0"/>
          <w:caps/>
        </w:rPr>
        <w:t>2021</w:t>
      </w:r>
      <w:r>
        <w:rPr>
          <w:rFonts w:hint="eastAsia" w:ascii="仿宋" w:hAnsi="仿宋" w:eastAsia="仿宋"/>
          <w:bCs/>
          <w:i w:val="0"/>
          <w:iCs w:val="0"/>
          <w:caps/>
        </w:rPr>
        <w:t>年重点工作完成情况</w:t>
      </w:r>
      <w:r>
        <w:rPr>
          <w:rFonts w:ascii="仿宋" w:hAnsi="仿宋" w:eastAsia="仿宋"/>
          <w:bCs/>
          <w:i w:val="0"/>
          <w:iCs w:val="0"/>
          <w:caps/>
        </w:rPr>
        <w:tab/>
      </w:r>
      <w:r>
        <w:rPr>
          <w:rFonts w:ascii="仿宋" w:hAnsi="仿宋" w:eastAsia="仿宋"/>
          <w:bCs/>
          <w:i w:val="0"/>
          <w:iCs w:val="0"/>
          <w:caps/>
        </w:rPr>
        <w:fldChar w:fldCharType="begin"/>
      </w:r>
      <w:r>
        <w:rPr>
          <w:rFonts w:ascii="仿宋" w:hAnsi="仿宋" w:eastAsia="仿宋"/>
          <w:bCs/>
          <w:i w:val="0"/>
          <w:iCs w:val="0"/>
          <w:caps/>
        </w:rPr>
        <w:instrText xml:space="preserve"> PAGEREF _Toc114676088 \h </w:instrText>
      </w:r>
      <w:r>
        <w:rPr>
          <w:rFonts w:ascii="仿宋" w:hAnsi="仿宋" w:eastAsia="仿宋"/>
          <w:bCs/>
          <w:i w:val="0"/>
          <w:iCs w:val="0"/>
          <w:caps/>
        </w:rPr>
        <w:fldChar w:fldCharType="separate"/>
      </w:r>
      <w:r>
        <w:rPr>
          <w:rFonts w:ascii="仿宋" w:hAnsi="仿宋" w:eastAsia="仿宋"/>
          <w:bCs/>
          <w:i w:val="0"/>
          <w:iCs w:val="0"/>
          <w:caps/>
        </w:rPr>
        <w:t>6</w:t>
      </w:r>
      <w:r>
        <w:rPr>
          <w:rFonts w:ascii="仿宋" w:hAnsi="仿宋" w:eastAsia="仿宋"/>
          <w:bCs/>
          <w:i w:val="0"/>
          <w:iCs w:val="0"/>
          <w:caps/>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二、机构设置</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_Toc114676089 \h </w:instrText>
      </w:r>
      <w:r>
        <w:rPr>
          <w:rFonts w:ascii="仿宋" w:hAnsi="仿宋" w:eastAsia="仿宋"/>
          <w:bCs/>
          <w:caps/>
          <w:smallCaps w:val="0"/>
        </w:rPr>
        <w:fldChar w:fldCharType="separate"/>
      </w:r>
      <w:r>
        <w:rPr>
          <w:rFonts w:ascii="仿宋" w:hAnsi="仿宋" w:eastAsia="仿宋"/>
          <w:bCs/>
          <w:caps/>
          <w:smallCaps w:val="0"/>
        </w:rPr>
        <w:t>8</w:t>
      </w:r>
      <w:r>
        <w:rPr>
          <w:rFonts w:ascii="仿宋" w:hAnsi="仿宋" w:eastAsia="仿宋"/>
          <w:bCs/>
          <w:caps/>
          <w:smallCaps w:val="0"/>
        </w:rPr>
        <w:fldChar w:fldCharType="end"/>
      </w:r>
    </w:p>
    <w:p>
      <w:pPr>
        <w:pStyle w:val="14"/>
        <w:tabs>
          <w:tab w:val="right" w:leader="dot" w:pos="8296"/>
        </w:tabs>
        <w:rPr>
          <w:rFonts w:ascii="仿宋" w:hAnsi="仿宋" w:eastAsia="仿宋"/>
          <w:b w:val="0"/>
        </w:rPr>
      </w:pPr>
      <w:r>
        <w:rPr>
          <w:rFonts w:hint="eastAsia" w:ascii="仿宋" w:hAnsi="仿宋" w:eastAsia="仿宋"/>
          <w:b w:val="0"/>
        </w:rPr>
        <w:t>第二部分</w:t>
      </w:r>
      <w:r>
        <w:rPr>
          <w:rFonts w:ascii="仿宋" w:hAnsi="仿宋" w:eastAsia="仿宋"/>
          <w:b w:val="0"/>
        </w:rPr>
        <w:t>2021</w:t>
      </w:r>
      <w:r>
        <w:rPr>
          <w:rFonts w:hint="eastAsia" w:ascii="仿宋" w:hAnsi="仿宋" w:eastAsia="仿宋"/>
          <w:b w:val="0"/>
        </w:rPr>
        <w:t>年度部门决算情况说明</w:t>
      </w:r>
      <w:r>
        <w:rPr>
          <w:rFonts w:ascii="仿宋" w:hAnsi="仿宋" w:eastAsia="仿宋"/>
          <w:b w:val="0"/>
        </w:rPr>
        <w:tab/>
      </w:r>
      <w:r>
        <w:rPr>
          <w:rFonts w:ascii="仿宋" w:hAnsi="仿宋" w:eastAsia="仿宋"/>
          <w:b w:val="0"/>
        </w:rPr>
        <w:fldChar w:fldCharType="begin"/>
      </w:r>
      <w:r>
        <w:rPr>
          <w:rFonts w:ascii="仿宋" w:hAnsi="仿宋" w:eastAsia="仿宋"/>
          <w:b w:val="0"/>
        </w:rPr>
        <w:instrText xml:space="preserve"> PAGEREF _Toc114676090 \h </w:instrText>
      </w:r>
      <w:r>
        <w:rPr>
          <w:rFonts w:ascii="仿宋" w:hAnsi="仿宋" w:eastAsia="仿宋"/>
          <w:b w:val="0"/>
        </w:rPr>
        <w:fldChar w:fldCharType="separate"/>
      </w:r>
      <w:r>
        <w:rPr>
          <w:rFonts w:ascii="仿宋" w:hAnsi="仿宋" w:eastAsia="仿宋"/>
          <w:b w:val="0"/>
        </w:rPr>
        <w:t>9</w:t>
      </w:r>
      <w:r>
        <w:rPr>
          <w:rFonts w:ascii="仿宋" w:hAnsi="仿宋" w:eastAsia="仿宋"/>
          <w:b w:val="0"/>
        </w:rPr>
        <w:fldChar w:fldCharType="end"/>
      </w:r>
    </w:p>
    <w:p>
      <w:pPr>
        <w:pStyle w:val="17"/>
        <w:tabs>
          <w:tab w:val="left" w:pos="840"/>
          <w:tab w:val="right" w:leader="dot" w:pos="8296"/>
        </w:tabs>
        <w:rPr>
          <w:rFonts w:ascii="仿宋" w:hAnsi="仿宋" w:eastAsia="仿宋"/>
          <w:bCs/>
          <w:caps/>
          <w:smallCaps w:val="0"/>
        </w:rPr>
      </w:pPr>
      <w:r>
        <w:rPr>
          <w:rFonts w:hint="eastAsia" w:ascii="仿宋" w:hAnsi="仿宋" w:eastAsia="仿宋"/>
          <w:bCs/>
          <w:caps/>
          <w:smallCaps w:val="0"/>
        </w:rPr>
        <w:t>一、</w:t>
      </w:r>
      <w:r>
        <w:rPr>
          <w:rFonts w:ascii="仿宋" w:hAnsi="仿宋" w:eastAsia="仿宋"/>
          <w:bCs/>
          <w:caps/>
          <w:smallCaps w:val="0"/>
        </w:rPr>
        <w:tab/>
      </w:r>
      <w:r>
        <w:rPr>
          <w:rFonts w:hint="eastAsia" w:ascii="仿宋" w:hAnsi="仿宋" w:eastAsia="仿宋"/>
          <w:bCs/>
          <w:caps/>
          <w:smallCaps w:val="0"/>
        </w:rPr>
        <w:t>收入支出决算总体情况说明</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_Toc114676091 \h </w:instrText>
      </w:r>
      <w:r>
        <w:rPr>
          <w:rFonts w:ascii="仿宋" w:hAnsi="仿宋" w:eastAsia="仿宋"/>
          <w:bCs/>
          <w:caps/>
          <w:smallCaps w:val="0"/>
        </w:rPr>
        <w:fldChar w:fldCharType="separate"/>
      </w:r>
      <w:r>
        <w:rPr>
          <w:rFonts w:ascii="仿宋" w:hAnsi="仿宋" w:eastAsia="仿宋"/>
          <w:bCs/>
          <w:caps/>
          <w:smallCaps w:val="0"/>
        </w:rPr>
        <w:t>9</w:t>
      </w:r>
      <w:r>
        <w:rPr>
          <w:rFonts w:ascii="仿宋" w:hAnsi="仿宋" w:eastAsia="仿宋"/>
          <w:bCs/>
          <w:caps/>
          <w:smallCaps w:val="0"/>
        </w:rPr>
        <w:fldChar w:fldCharType="end"/>
      </w:r>
    </w:p>
    <w:p>
      <w:pPr>
        <w:pStyle w:val="17"/>
        <w:tabs>
          <w:tab w:val="left" w:pos="840"/>
          <w:tab w:val="right" w:leader="dot" w:pos="8296"/>
        </w:tabs>
        <w:rPr>
          <w:rFonts w:ascii="仿宋" w:hAnsi="仿宋" w:eastAsia="仿宋"/>
          <w:bCs/>
          <w:caps/>
          <w:smallCaps w:val="0"/>
        </w:rPr>
      </w:pPr>
      <w:r>
        <w:rPr>
          <w:rFonts w:hint="eastAsia" w:ascii="仿宋" w:hAnsi="仿宋" w:eastAsia="仿宋"/>
          <w:bCs/>
          <w:caps/>
          <w:smallCaps w:val="0"/>
        </w:rPr>
        <w:t>二、</w:t>
      </w:r>
      <w:r>
        <w:rPr>
          <w:rFonts w:ascii="仿宋" w:hAnsi="仿宋" w:eastAsia="仿宋"/>
          <w:bCs/>
          <w:caps/>
          <w:smallCaps w:val="0"/>
        </w:rPr>
        <w:tab/>
      </w:r>
      <w:r>
        <w:rPr>
          <w:rFonts w:hint="eastAsia" w:ascii="仿宋" w:hAnsi="仿宋" w:eastAsia="仿宋"/>
          <w:bCs/>
          <w:caps/>
          <w:smallCaps w:val="0"/>
        </w:rPr>
        <w:t>收入决算情况说明</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_Toc114676092 \h </w:instrText>
      </w:r>
      <w:r>
        <w:rPr>
          <w:rFonts w:ascii="仿宋" w:hAnsi="仿宋" w:eastAsia="仿宋"/>
          <w:bCs/>
          <w:caps/>
          <w:smallCaps w:val="0"/>
        </w:rPr>
        <w:fldChar w:fldCharType="separate"/>
      </w:r>
      <w:r>
        <w:rPr>
          <w:rFonts w:ascii="仿宋" w:hAnsi="仿宋" w:eastAsia="仿宋"/>
          <w:bCs/>
          <w:caps/>
          <w:smallCaps w:val="0"/>
        </w:rPr>
        <w:t>9</w:t>
      </w:r>
      <w:r>
        <w:rPr>
          <w:rFonts w:ascii="仿宋" w:hAnsi="仿宋" w:eastAsia="仿宋"/>
          <w:bCs/>
          <w:caps/>
          <w:smallCaps w:val="0"/>
        </w:rPr>
        <w:fldChar w:fldCharType="end"/>
      </w:r>
    </w:p>
    <w:p>
      <w:pPr>
        <w:pStyle w:val="17"/>
        <w:tabs>
          <w:tab w:val="left" w:pos="840"/>
          <w:tab w:val="right" w:leader="dot" w:pos="8296"/>
        </w:tabs>
        <w:rPr>
          <w:rFonts w:ascii="仿宋" w:hAnsi="仿宋" w:eastAsia="仿宋"/>
          <w:bCs/>
          <w:caps/>
          <w:smallCaps w:val="0"/>
        </w:rPr>
      </w:pPr>
      <w:r>
        <w:rPr>
          <w:rFonts w:hint="eastAsia" w:ascii="仿宋" w:hAnsi="仿宋" w:eastAsia="仿宋"/>
          <w:bCs/>
          <w:caps/>
          <w:smallCaps w:val="0"/>
        </w:rPr>
        <w:t>三、</w:t>
      </w:r>
      <w:r>
        <w:rPr>
          <w:rFonts w:ascii="仿宋" w:hAnsi="仿宋" w:eastAsia="仿宋"/>
          <w:bCs/>
          <w:caps/>
          <w:smallCaps w:val="0"/>
        </w:rPr>
        <w:tab/>
      </w:r>
      <w:r>
        <w:rPr>
          <w:rFonts w:hint="eastAsia" w:ascii="仿宋" w:hAnsi="仿宋" w:eastAsia="仿宋"/>
          <w:bCs/>
          <w:caps/>
          <w:smallCaps w:val="0"/>
        </w:rPr>
        <w:t>支出决算情况说明</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_Toc114676093 \h </w:instrText>
      </w:r>
      <w:r>
        <w:rPr>
          <w:rFonts w:ascii="仿宋" w:hAnsi="仿宋" w:eastAsia="仿宋"/>
          <w:bCs/>
          <w:caps/>
          <w:smallCaps w:val="0"/>
        </w:rPr>
        <w:fldChar w:fldCharType="separate"/>
      </w:r>
      <w:r>
        <w:rPr>
          <w:rFonts w:ascii="仿宋" w:hAnsi="仿宋" w:eastAsia="仿宋"/>
          <w:bCs/>
          <w:caps/>
          <w:smallCaps w:val="0"/>
        </w:rPr>
        <w:t>10</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四、财政拨款收入支出决算总体情况说明</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_Toc114676094 \h </w:instrText>
      </w:r>
      <w:r>
        <w:rPr>
          <w:rFonts w:ascii="仿宋" w:hAnsi="仿宋" w:eastAsia="仿宋"/>
          <w:bCs/>
          <w:caps/>
          <w:smallCaps w:val="0"/>
        </w:rPr>
        <w:fldChar w:fldCharType="separate"/>
      </w:r>
      <w:r>
        <w:rPr>
          <w:rFonts w:ascii="仿宋" w:hAnsi="仿宋" w:eastAsia="仿宋"/>
          <w:bCs/>
          <w:caps/>
          <w:smallCaps w:val="0"/>
        </w:rPr>
        <w:t>11</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五、一般公共预算财政拨款支出决算情况说明</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_Toc114676095 \h </w:instrText>
      </w:r>
      <w:r>
        <w:rPr>
          <w:rFonts w:ascii="仿宋" w:hAnsi="仿宋" w:eastAsia="仿宋"/>
          <w:bCs/>
          <w:caps/>
          <w:smallCaps w:val="0"/>
        </w:rPr>
        <w:fldChar w:fldCharType="separate"/>
      </w:r>
      <w:r>
        <w:rPr>
          <w:rFonts w:ascii="仿宋" w:hAnsi="仿宋" w:eastAsia="仿宋"/>
          <w:bCs/>
          <w:caps/>
          <w:smallCaps w:val="0"/>
        </w:rPr>
        <w:t>11</w:t>
      </w:r>
      <w:r>
        <w:rPr>
          <w:rFonts w:ascii="仿宋" w:hAnsi="仿宋" w:eastAsia="仿宋"/>
          <w:bCs/>
          <w:caps/>
          <w:smallCaps w:val="0"/>
        </w:rPr>
        <w:fldChar w:fldCharType="end"/>
      </w:r>
    </w:p>
    <w:p>
      <w:pPr>
        <w:pStyle w:val="9"/>
        <w:tabs>
          <w:tab w:val="right" w:leader="dot" w:pos="8296"/>
        </w:tabs>
        <w:rPr>
          <w:rFonts w:ascii="仿宋" w:hAnsi="仿宋" w:eastAsia="仿宋"/>
          <w:bCs/>
          <w:i w:val="0"/>
          <w:iCs w:val="0"/>
          <w:caps/>
        </w:rPr>
      </w:pPr>
      <w:r>
        <w:rPr>
          <w:rFonts w:hint="eastAsia" w:ascii="仿宋" w:hAnsi="仿宋" w:eastAsia="仿宋"/>
          <w:bCs/>
          <w:i w:val="0"/>
          <w:iCs w:val="0"/>
          <w:caps/>
        </w:rPr>
        <w:t>（一）一般公共预算财政拨款支出决算总体情况</w:t>
      </w:r>
      <w:r>
        <w:rPr>
          <w:rFonts w:ascii="仿宋" w:hAnsi="仿宋" w:eastAsia="仿宋"/>
          <w:bCs/>
          <w:i w:val="0"/>
          <w:iCs w:val="0"/>
          <w:caps/>
        </w:rPr>
        <w:tab/>
      </w:r>
      <w:r>
        <w:rPr>
          <w:rFonts w:ascii="仿宋" w:hAnsi="仿宋" w:eastAsia="仿宋"/>
          <w:bCs/>
          <w:i w:val="0"/>
          <w:iCs w:val="0"/>
          <w:caps/>
        </w:rPr>
        <w:fldChar w:fldCharType="begin"/>
      </w:r>
      <w:r>
        <w:rPr>
          <w:rFonts w:ascii="仿宋" w:hAnsi="仿宋" w:eastAsia="仿宋"/>
          <w:bCs/>
          <w:i w:val="0"/>
          <w:iCs w:val="0"/>
          <w:caps/>
        </w:rPr>
        <w:instrText xml:space="preserve"> PAGEREF _Toc114676096 \h </w:instrText>
      </w:r>
      <w:r>
        <w:rPr>
          <w:rFonts w:ascii="仿宋" w:hAnsi="仿宋" w:eastAsia="仿宋"/>
          <w:bCs/>
          <w:i w:val="0"/>
          <w:iCs w:val="0"/>
          <w:caps/>
        </w:rPr>
        <w:fldChar w:fldCharType="separate"/>
      </w:r>
      <w:r>
        <w:rPr>
          <w:rFonts w:ascii="仿宋" w:hAnsi="仿宋" w:eastAsia="仿宋"/>
          <w:bCs/>
          <w:i w:val="0"/>
          <w:iCs w:val="0"/>
          <w:caps/>
        </w:rPr>
        <w:t>11</w:t>
      </w:r>
      <w:r>
        <w:rPr>
          <w:rFonts w:ascii="仿宋" w:hAnsi="仿宋" w:eastAsia="仿宋"/>
          <w:bCs/>
          <w:i w:val="0"/>
          <w:iCs w:val="0"/>
          <w:caps/>
        </w:rPr>
        <w:fldChar w:fldCharType="end"/>
      </w:r>
    </w:p>
    <w:p>
      <w:pPr>
        <w:pStyle w:val="9"/>
        <w:tabs>
          <w:tab w:val="right" w:leader="dot" w:pos="8296"/>
        </w:tabs>
        <w:rPr>
          <w:rFonts w:ascii="仿宋" w:hAnsi="仿宋" w:eastAsia="仿宋"/>
          <w:bCs/>
          <w:i w:val="0"/>
          <w:iCs w:val="0"/>
          <w:caps/>
        </w:rPr>
      </w:pPr>
      <w:r>
        <w:rPr>
          <w:rFonts w:hint="eastAsia" w:ascii="仿宋" w:hAnsi="仿宋" w:eastAsia="仿宋"/>
          <w:bCs/>
          <w:i w:val="0"/>
          <w:iCs w:val="0"/>
          <w:caps/>
        </w:rPr>
        <w:t>（二）一般公共预算财政拨款支出决算结构情况</w:t>
      </w:r>
      <w:r>
        <w:rPr>
          <w:rFonts w:ascii="仿宋" w:hAnsi="仿宋" w:eastAsia="仿宋"/>
          <w:bCs/>
          <w:i w:val="0"/>
          <w:iCs w:val="0"/>
          <w:caps/>
        </w:rPr>
        <w:tab/>
      </w:r>
      <w:r>
        <w:rPr>
          <w:rFonts w:ascii="仿宋" w:hAnsi="仿宋" w:eastAsia="仿宋"/>
          <w:bCs/>
          <w:i w:val="0"/>
          <w:iCs w:val="0"/>
          <w:caps/>
        </w:rPr>
        <w:fldChar w:fldCharType="begin"/>
      </w:r>
      <w:r>
        <w:rPr>
          <w:rFonts w:ascii="仿宋" w:hAnsi="仿宋" w:eastAsia="仿宋"/>
          <w:bCs/>
          <w:i w:val="0"/>
          <w:iCs w:val="0"/>
          <w:caps/>
        </w:rPr>
        <w:instrText xml:space="preserve"> PAGEREF _Toc114676097 \h </w:instrText>
      </w:r>
      <w:r>
        <w:rPr>
          <w:rFonts w:ascii="仿宋" w:hAnsi="仿宋" w:eastAsia="仿宋"/>
          <w:bCs/>
          <w:i w:val="0"/>
          <w:iCs w:val="0"/>
          <w:caps/>
        </w:rPr>
        <w:fldChar w:fldCharType="separate"/>
      </w:r>
      <w:r>
        <w:rPr>
          <w:rFonts w:ascii="仿宋" w:hAnsi="仿宋" w:eastAsia="仿宋"/>
          <w:bCs/>
          <w:i w:val="0"/>
          <w:iCs w:val="0"/>
          <w:caps/>
        </w:rPr>
        <w:t>12</w:t>
      </w:r>
      <w:r>
        <w:rPr>
          <w:rFonts w:ascii="仿宋" w:hAnsi="仿宋" w:eastAsia="仿宋"/>
          <w:bCs/>
          <w:i w:val="0"/>
          <w:iCs w:val="0"/>
          <w:caps/>
        </w:rPr>
        <w:fldChar w:fldCharType="end"/>
      </w:r>
    </w:p>
    <w:p>
      <w:pPr>
        <w:pStyle w:val="9"/>
        <w:tabs>
          <w:tab w:val="right" w:leader="dot" w:pos="8296"/>
        </w:tabs>
        <w:rPr>
          <w:rFonts w:ascii="仿宋" w:hAnsi="仿宋" w:eastAsia="仿宋"/>
          <w:bCs/>
          <w:i w:val="0"/>
          <w:iCs w:val="0"/>
          <w:caps/>
        </w:rPr>
      </w:pPr>
      <w:r>
        <w:rPr>
          <w:rFonts w:hint="eastAsia" w:ascii="仿宋" w:hAnsi="仿宋" w:eastAsia="仿宋"/>
          <w:bCs/>
          <w:i w:val="0"/>
          <w:iCs w:val="0"/>
          <w:caps/>
        </w:rPr>
        <w:t>（三）一般公共预算财政拨款支出决算具体情况</w:t>
      </w:r>
      <w:r>
        <w:rPr>
          <w:rFonts w:ascii="仿宋" w:hAnsi="仿宋" w:eastAsia="仿宋"/>
          <w:bCs/>
          <w:i w:val="0"/>
          <w:iCs w:val="0"/>
          <w:caps/>
        </w:rPr>
        <w:tab/>
      </w:r>
      <w:r>
        <w:rPr>
          <w:rFonts w:ascii="仿宋" w:hAnsi="仿宋" w:eastAsia="仿宋"/>
          <w:bCs/>
          <w:i w:val="0"/>
          <w:iCs w:val="0"/>
          <w:caps/>
        </w:rPr>
        <w:fldChar w:fldCharType="begin"/>
      </w:r>
      <w:r>
        <w:rPr>
          <w:rFonts w:ascii="仿宋" w:hAnsi="仿宋" w:eastAsia="仿宋"/>
          <w:bCs/>
          <w:i w:val="0"/>
          <w:iCs w:val="0"/>
          <w:caps/>
        </w:rPr>
        <w:instrText xml:space="preserve"> PAGEREF _Toc114676098 \h </w:instrText>
      </w:r>
      <w:r>
        <w:rPr>
          <w:rFonts w:ascii="仿宋" w:hAnsi="仿宋" w:eastAsia="仿宋"/>
          <w:bCs/>
          <w:i w:val="0"/>
          <w:iCs w:val="0"/>
          <w:caps/>
        </w:rPr>
        <w:fldChar w:fldCharType="separate"/>
      </w:r>
      <w:r>
        <w:rPr>
          <w:rFonts w:ascii="仿宋" w:hAnsi="仿宋" w:eastAsia="仿宋"/>
          <w:bCs/>
          <w:i w:val="0"/>
          <w:iCs w:val="0"/>
          <w:caps/>
        </w:rPr>
        <w:t>13</w:t>
      </w:r>
      <w:r>
        <w:rPr>
          <w:rFonts w:ascii="仿宋" w:hAnsi="仿宋" w:eastAsia="仿宋"/>
          <w:bCs/>
          <w:i w:val="0"/>
          <w:iCs w:val="0"/>
          <w:caps/>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六、一般公共预算财政拨款基本支出决算情况说明</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_Toc114676099 \h </w:instrText>
      </w:r>
      <w:r>
        <w:rPr>
          <w:rFonts w:ascii="仿宋" w:hAnsi="仿宋" w:eastAsia="仿宋"/>
          <w:bCs/>
          <w:caps/>
          <w:smallCaps w:val="0"/>
        </w:rPr>
        <w:fldChar w:fldCharType="separate"/>
      </w:r>
      <w:r>
        <w:rPr>
          <w:rFonts w:ascii="仿宋" w:hAnsi="仿宋" w:eastAsia="仿宋"/>
          <w:bCs/>
          <w:caps/>
          <w:smallCaps w:val="0"/>
        </w:rPr>
        <w:t>15</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七、</w:t>
      </w:r>
      <w:r>
        <w:rPr>
          <w:rFonts w:ascii="仿宋" w:hAnsi="仿宋" w:eastAsia="仿宋"/>
          <w:bCs/>
          <w:caps/>
          <w:smallCaps w:val="0"/>
        </w:rPr>
        <w:t>“</w:t>
      </w:r>
      <w:r>
        <w:rPr>
          <w:rFonts w:hint="eastAsia" w:ascii="仿宋" w:hAnsi="仿宋" w:eastAsia="仿宋"/>
          <w:bCs/>
          <w:caps/>
          <w:smallCaps w:val="0"/>
        </w:rPr>
        <w:t>三公”经费财政拨款支出决算情况说明</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_Toc114676100 \h </w:instrText>
      </w:r>
      <w:r>
        <w:rPr>
          <w:rFonts w:ascii="仿宋" w:hAnsi="仿宋" w:eastAsia="仿宋"/>
          <w:bCs/>
          <w:caps/>
          <w:smallCaps w:val="0"/>
        </w:rPr>
        <w:fldChar w:fldCharType="separate"/>
      </w:r>
      <w:r>
        <w:rPr>
          <w:rFonts w:ascii="仿宋" w:hAnsi="仿宋" w:eastAsia="仿宋"/>
          <w:bCs/>
          <w:caps/>
          <w:smallCaps w:val="0"/>
        </w:rPr>
        <w:t>16</w:t>
      </w:r>
      <w:r>
        <w:rPr>
          <w:rFonts w:ascii="仿宋" w:hAnsi="仿宋" w:eastAsia="仿宋"/>
          <w:bCs/>
          <w:caps/>
          <w:smallCaps w:val="0"/>
        </w:rPr>
        <w:fldChar w:fldCharType="end"/>
      </w:r>
    </w:p>
    <w:p>
      <w:pPr>
        <w:pStyle w:val="9"/>
        <w:tabs>
          <w:tab w:val="right" w:leader="dot" w:pos="8296"/>
        </w:tabs>
        <w:rPr>
          <w:rFonts w:ascii="仿宋" w:hAnsi="仿宋" w:eastAsia="仿宋"/>
          <w:bCs/>
          <w:i w:val="0"/>
          <w:iCs w:val="0"/>
          <w:caps/>
        </w:rPr>
      </w:pPr>
      <w:r>
        <w:rPr>
          <w:rFonts w:hint="eastAsia" w:ascii="仿宋" w:hAnsi="仿宋" w:eastAsia="仿宋"/>
          <w:bCs/>
          <w:i w:val="0"/>
          <w:iCs w:val="0"/>
          <w:caps/>
        </w:rPr>
        <w:t>（一）“三公”经费财政拨款支出决算总体情况说明</w:t>
      </w:r>
      <w:r>
        <w:rPr>
          <w:rFonts w:ascii="仿宋" w:hAnsi="仿宋" w:eastAsia="仿宋"/>
          <w:bCs/>
          <w:i w:val="0"/>
          <w:iCs w:val="0"/>
          <w:caps/>
        </w:rPr>
        <w:tab/>
      </w:r>
      <w:r>
        <w:rPr>
          <w:rFonts w:ascii="仿宋" w:hAnsi="仿宋" w:eastAsia="仿宋"/>
          <w:bCs/>
          <w:i w:val="0"/>
          <w:iCs w:val="0"/>
          <w:caps/>
        </w:rPr>
        <w:fldChar w:fldCharType="begin"/>
      </w:r>
      <w:r>
        <w:rPr>
          <w:rFonts w:ascii="仿宋" w:hAnsi="仿宋" w:eastAsia="仿宋"/>
          <w:bCs/>
          <w:i w:val="0"/>
          <w:iCs w:val="0"/>
          <w:caps/>
        </w:rPr>
        <w:instrText xml:space="preserve"> PAGEREF _Toc114676101 \h </w:instrText>
      </w:r>
      <w:r>
        <w:rPr>
          <w:rFonts w:ascii="仿宋" w:hAnsi="仿宋" w:eastAsia="仿宋"/>
          <w:bCs/>
          <w:i w:val="0"/>
          <w:iCs w:val="0"/>
          <w:caps/>
        </w:rPr>
        <w:fldChar w:fldCharType="separate"/>
      </w:r>
      <w:r>
        <w:rPr>
          <w:rFonts w:ascii="仿宋" w:hAnsi="仿宋" w:eastAsia="仿宋"/>
          <w:bCs/>
          <w:i w:val="0"/>
          <w:iCs w:val="0"/>
          <w:caps/>
        </w:rPr>
        <w:t>16</w:t>
      </w:r>
      <w:r>
        <w:rPr>
          <w:rFonts w:ascii="仿宋" w:hAnsi="仿宋" w:eastAsia="仿宋"/>
          <w:bCs/>
          <w:i w:val="0"/>
          <w:iCs w:val="0"/>
          <w:caps/>
        </w:rPr>
        <w:fldChar w:fldCharType="end"/>
      </w:r>
    </w:p>
    <w:p>
      <w:pPr>
        <w:pStyle w:val="9"/>
        <w:tabs>
          <w:tab w:val="right" w:leader="dot" w:pos="8296"/>
        </w:tabs>
        <w:rPr>
          <w:rFonts w:ascii="仿宋" w:hAnsi="仿宋" w:eastAsia="仿宋"/>
          <w:bCs/>
          <w:i w:val="0"/>
          <w:iCs w:val="0"/>
          <w:caps/>
        </w:rPr>
      </w:pPr>
      <w:r>
        <w:rPr>
          <w:rFonts w:hint="eastAsia" w:ascii="仿宋" w:hAnsi="仿宋" w:eastAsia="仿宋"/>
          <w:bCs/>
          <w:i w:val="0"/>
          <w:iCs w:val="0"/>
          <w:caps/>
        </w:rPr>
        <w:t>（二）“三公”经费财政拨款支出决算具体情况说明</w:t>
      </w:r>
      <w:r>
        <w:rPr>
          <w:rFonts w:ascii="仿宋" w:hAnsi="仿宋" w:eastAsia="仿宋"/>
          <w:bCs/>
          <w:i w:val="0"/>
          <w:iCs w:val="0"/>
          <w:caps/>
        </w:rPr>
        <w:tab/>
      </w:r>
      <w:r>
        <w:rPr>
          <w:rFonts w:ascii="仿宋" w:hAnsi="仿宋" w:eastAsia="仿宋"/>
          <w:bCs/>
          <w:i w:val="0"/>
          <w:iCs w:val="0"/>
          <w:caps/>
        </w:rPr>
        <w:fldChar w:fldCharType="begin"/>
      </w:r>
      <w:r>
        <w:rPr>
          <w:rFonts w:ascii="仿宋" w:hAnsi="仿宋" w:eastAsia="仿宋"/>
          <w:bCs/>
          <w:i w:val="0"/>
          <w:iCs w:val="0"/>
          <w:caps/>
        </w:rPr>
        <w:instrText xml:space="preserve"> PAGEREF _Toc114676102 \h </w:instrText>
      </w:r>
      <w:r>
        <w:rPr>
          <w:rFonts w:ascii="仿宋" w:hAnsi="仿宋" w:eastAsia="仿宋"/>
          <w:bCs/>
          <w:i w:val="0"/>
          <w:iCs w:val="0"/>
          <w:caps/>
        </w:rPr>
        <w:fldChar w:fldCharType="separate"/>
      </w:r>
      <w:r>
        <w:rPr>
          <w:rFonts w:ascii="仿宋" w:hAnsi="仿宋" w:eastAsia="仿宋"/>
          <w:bCs/>
          <w:i w:val="0"/>
          <w:iCs w:val="0"/>
          <w:caps/>
        </w:rPr>
        <w:t>16</w:t>
      </w:r>
      <w:r>
        <w:rPr>
          <w:rFonts w:ascii="仿宋" w:hAnsi="仿宋" w:eastAsia="仿宋"/>
          <w:bCs/>
          <w:i w:val="0"/>
          <w:iCs w:val="0"/>
          <w:caps/>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八、政府性基金预算支出决算情况说明</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_Toc114676103 \h </w:instrText>
      </w:r>
      <w:r>
        <w:rPr>
          <w:rFonts w:ascii="仿宋" w:hAnsi="仿宋" w:eastAsia="仿宋"/>
          <w:bCs/>
          <w:caps/>
          <w:smallCaps w:val="0"/>
        </w:rPr>
        <w:fldChar w:fldCharType="separate"/>
      </w:r>
      <w:r>
        <w:rPr>
          <w:rFonts w:ascii="仿宋" w:hAnsi="仿宋" w:eastAsia="仿宋"/>
          <w:bCs/>
          <w:caps/>
          <w:smallCaps w:val="0"/>
        </w:rPr>
        <w:t>17</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九、 国有资本经营预算支出决算情况说明</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_Toc114676104 \h </w:instrText>
      </w:r>
      <w:r>
        <w:rPr>
          <w:rFonts w:ascii="仿宋" w:hAnsi="仿宋" w:eastAsia="仿宋"/>
          <w:bCs/>
          <w:caps/>
          <w:smallCaps w:val="0"/>
        </w:rPr>
        <w:fldChar w:fldCharType="separate"/>
      </w:r>
      <w:r>
        <w:rPr>
          <w:rFonts w:ascii="仿宋" w:hAnsi="仿宋" w:eastAsia="仿宋"/>
          <w:bCs/>
          <w:caps/>
          <w:smallCaps w:val="0"/>
        </w:rPr>
        <w:t>17</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十、其他重要事项的情况说明</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_Toc114676105 \h </w:instrText>
      </w:r>
      <w:r>
        <w:rPr>
          <w:rFonts w:ascii="仿宋" w:hAnsi="仿宋" w:eastAsia="仿宋"/>
          <w:bCs/>
          <w:caps/>
          <w:smallCaps w:val="0"/>
        </w:rPr>
        <w:fldChar w:fldCharType="separate"/>
      </w:r>
      <w:r>
        <w:rPr>
          <w:rFonts w:ascii="仿宋" w:hAnsi="仿宋" w:eastAsia="仿宋"/>
          <w:bCs/>
          <w:caps/>
          <w:smallCaps w:val="0"/>
        </w:rPr>
        <w:t>17</w:t>
      </w:r>
      <w:r>
        <w:rPr>
          <w:rFonts w:ascii="仿宋" w:hAnsi="仿宋" w:eastAsia="仿宋"/>
          <w:bCs/>
          <w:caps/>
          <w:smallCaps w:val="0"/>
        </w:rPr>
        <w:fldChar w:fldCharType="end"/>
      </w:r>
    </w:p>
    <w:p>
      <w:pPr>
        <w:pStyle w:val="9"/>
        <w:tabs>
          <w:tab w:val="right" w:leader="dot" w:pos="8296"/>
        </w:tabs>
        <w:rPr>
          <w:rFonts w:ascii="仿宋" w:hAnsi="仿宋" w:eastAsia="仿宋"/>
          <w:bCs/>
          <w:i w:val="0"/>
          <w:iCs w:val="0"/>
          <w:caps/>
        </w:rPr>
      </w:pPr>
      <w:r>
        <w:rPr>
          <w:rFonts w:hint="eastAsia" w:ascii="仿宋" w:hAnsi="仿宋" w:eastAsia="仿宋"/>
          <w:bCs/>
          <w:i w:val="0"/>
          <w:iCs w:val="0"/>
          <w:caps/>
        </w:rPr>
        <w:t>（一）机关运行经费支出情况</w:t>
      </w:r>
      <w:r>
        <w:rPr>
          <w:rFonts w:ascii="仿宋" w:hAnsi="仿宋" w:eastAsia="仿宋"/>
          <w:bCs/>
          <w:i w:val="0"/>
          <w:iCs w:val="0"/>
          <w:caps/>
        </w:rPr>
        <w:tab/>
      </w:r>
      <w:r>
        <w:rPr>
          <w:rFonts w:ascii="仿宋" w:hAnsi="仿宋" w:eastAsia="仿宋"/>
          <w:bCs/>
          <w:i w:val="0"/>
          <w:iCs w:val="0"/>
          <w:caps/>
        </w:rPr>
        <w:fldChar w:fldCharType="begin"/>
      </w:r>
      <w:r>
        <w:rPr>
          <w:rFonts w:ascii="仿宋" w:hAnsi="仿宋" w:eastAsia="仿宋"/>
          <w:bCs/>
          <w:i w:val="0"/>
          <w:iCs w:val="0"/>
          <w:caps/>
        </w:rPr>
        <w:instrText xml:space="preserve"> PAGEREF _Toc114676106 \h </w:instrText>
      </w:r>
      <w:r>
        <w:rPr>
          <w:rFonts w:ascii="仿宋" w:hAnsi="仿宋" w:eastAsia="仿宋"/>
          <w:bCs/>
          <w:i w:val="0"/>
          <w:iCs w:val="0"/>
          <w:caps/>
        </w:rPr>
        <w:fldChar w:fldCharType="separate"/>
      </w:r>
      <w:r>
        <w:rPr>
          <w:rFonts w:ascii="仿宋" w:hAnsi="仿宋" w:eastAsia="仿宋"/>
          <w:bCs/>
          <w:i w:val="0"/>
          <w:iCs w:val="0"/>
          <w:caps/>
        </w:rPr>
        <w:t>18</w:t>
      </w:r>
      <w:r>
        <w:rPr>
          <w:rFonts w:ascii="仿宋" w:hAnsi="仿宋" w:eastAsia="仿宋"/>
          <w:bCs/>
          <w:i w:val="0"/>
          <w:iCs w:val="0"/>
          <w:caps/>
        </w:rPr>
        <w:fldChar w:fldCharType="end"/>
      </w:r>
    </w:p>
    <w:p>
      <w:pPr>
        <w:pStyle w:val="9"/>
        <w:tabs>
          <w:tab w:val="right" w:leader="dot" w:pos="8296"/>
        </w:tabs>
        <w:rPr>
          <w:rFonts w:ascii="仿宋" w:hAnsi="仿宋" w:eastAsia="仿宋"/>
          <w:bCs/>
          <w:i w:val="0"/>
          <w:iCs w:val="0"/>
          <w:caps/>
        </w:rPr>
      </w:pPr>
      <w:r>
        <w:rPr>
          <w:rFonts w:hint="eastAsia" w:ascii="仿宋" w:hAnsi="仿宋" w:eastAsia="仿宋"/>
          <w:bCs/>
          <w:i w:val="0"/>
          <w:iCs w:val="0"/>
          <w:caps/>
        </w:rPr>
        <w:t>（二）政府采购支出情况</w:t>
      </w:r>
      <w:r>
        <w:rPr>
          <w:rFonts w:ascii="仿宋" w:hAnsi="仿宋" w:eastAsia="仿宋"/>
          <w:bCs/>
          <w:i w:val="0"/>
          <w:iCs w:val="0"/>
          <w:caps/>
        </w:rPr>
        <w:tab/>
      </w:r>
      <w:r>
        <w:rPr>
          <w:rFonts w:ascii="仿宋" w:hAnsi="仿宋" w:eastAsia="仿宋"/>
          <w:bCs/>
          <w:i w:val="0"/>
          <w:iCs w:val="0"/>
          <w:caps/>
        </w:rPr>
        <w:fldChar w:fldCharType="begin"/>
      </w:r>
      <w:r>
        <w:rPr>
          <w:rFonts w:ascii="仿宋" w:hAnsi="仿宋" w:eastAsia="仿宋"/>
          <w:bCs/>
          <w:i w:val="0"/>
          <w:iCs w:val="0"/>
          <w:caps/>
        </w:rPr>
        <w:instrText xml:space="preserve"> PAGEREF _Toc114676107 \h </w:instrText>
      </w:r>
      <w:r>
        <w:rPr>
          <w:rFonts w:ascii="仿宋" w:hAnsi="仿宋" w:eastAsia="仿宋"/>
          <w:bCs/>
          <w:i w:val="0"/>
          <w:iCs w:val="0"/>
          <w:caps/>
        </w:rPr>
        <w:fldChar w:fldCharType="separate"/>
      </w:r>
      <w:r>
        <w:rPr>
          <w:rFonts w:ascii="仿宋" w:hAnsi="仿宋" w:eastAsia="仿宋"/>
          <w:bCs/>
          <w:i w:val="0"/>
          <w:iCs w:val="0"/>
          <w:caps/>
        </w:rPr>
        <w:t>18</w:t>
      </w:r>
      <w:r>
        <w:rPr>
          <w:rFonts w:ascii="仿宋" w:hAnsi="仿宋" w:eastAsia="仿宋"/>
          <w:bCs/>
          <w:i w:val="0"/>
          <w:iCs w:val="0"/>
          <w:caps/>
        </w:rPr>
        <w:fldChar w:fldCharType="end"/>
      </w:r>
    </w:p>
    <w:p>
      <w:pPr>
        <w:pStyle w:val="9"/>
        <w:tabs>
          <w:tab w:val="right" w:leader="dot" w:pos="8296"/>
        </w:tabs>
        <w:rPr>
          <w:rFonts w:ascii="仿宋" w:hAnsi="仿宋" w:eastAsia="仿宋"/>
          <w:bCs/>
          <w:i w:val="0"/>
          <w:iCs w:val="0"/>
          <w:caps/>
        </w:rPr>
      </w:pPr>
      <w:r>
        <w:rPr>
          <w:rFonts w:hint="eastAsia" w:ascii="仿宋" w:hAnsi="仿宋" w:eastAsia="仿宋"/>
          <w:bCs/>
          <w:i w:val="0"/>
          <w:iCs w:val="0"/>
          <w:caps/>
        </w:rPr>
        <w:t>（三）国有资产占有使用情况</w:t>
      </w:r>
      <w:r>
        <w:rPr>
          <w:rFonts w:ascii="仿宋" w:hAnsi="仿宋" w:eastAsia="仿宋"/>
          <w:bCs/>
          <w:i w:val="0"/>
          <w:iCs w:val="0"/>
          <w:caps/>
        </w:rPr>
        <w:tab/>
      </w:r>
      <w:r>
        <w:rPr>
          <w:rFonts w:ascii="仿宋" w:hAnsi="仿宋" w:eastAsia="仿宋"/>
          <w:bCs/>
          <w:i w:val="0"/>
          <w:iCs w:val="0"/>
          <w:caps/>
        </w:rPr>
        <w:fldChar w:fldCharType="begin"/>
      </w:r>
      <w:r>
        <w:rPr>
          <w:rFonts w:ascii="仿宋" w:hAnsi="仿宋" w:eastAsia="仿宋"/>
          <w:bCs/>
          <w:i w:val="0"/>
          <w:iCs w:val="0"/>
          <w:caps/>
        </w:rPr>
        <w:instrText xml:space="preserve"> PAGEREF _Toc114676108 \h </w:instrText>
      </w:r>
      <w:r>
        <w:rPr>
          <w:rFonts w:ascii="仿宋" w:hAnsi="仿宋" w:eastAsia="仿宋"/>
          <w:bCs/>
          <w:i w:val="0"/>
          <w:iCs w:val="0"/>
          <w:caps/>
        </w:rPr>
        <w:fldChar w:fldCharType="separate"/>
      </w:r>
      <w:r>
        <w:rPr>
          <w:rFonts w:ascii="仿宋" w:hAnsi="仿宋" w:eastAsia="仿宋"/>
          <w:bCs/>
          <w:i w:val="0"/>
          <w:iCs w:val="0"/>
          <w:caps/>
        </w:rPr>
        <w:t>18</w:t>
      </w:r>
      <w:r>
        <w:rPr>
          <w:rFonts w:ascii="仿宋" w:hAnsi="仿宋" w:eastAsia="仿宋"/>
          <w:bCs/>
          <w:i w:val="0"/>
          <w:iCs w:val="0"/>
          <w:caps/>
        </w:rPr>
        <w:fldChar w:fldCharType="end"/>
      </w:r>
    </w:p>
    <w:p>
      <w:pPr>
        <w:pStyle w:val="9"/>
        <w:tabs>
          <w:tab w:val="right" w:leader="dot" w:pos="8296"/>
        </w:tabs>
        <w:rPr>
          <w:rFonts w:ascii="仿宋" w:hAnsi="仿宋" w:eastAsia="仿宋"/>
          <w:bCs/>
          <w:i w:val="0"/>
          <w:iCs w:val="0"/>
          <w:caps/>
        </w:rPr>
      </w:pPr>
      <w:r>
        <w:rPr>
          <w:rFonts w:hint="eastAsia" w:ascii="仿宋" w:hAnsi="仿宋" w:eastAsia="仿宋"/>
          <w:bCs/>
          <w:i w:val="0"/>
          <w:iCs w:val="0"/>
          <w:caps/>
        </w:rPr>
        <w:t>（四）预算绩效管理情况。</w:t>
      </w:r>
      <w:r>
        <w:rPr>
          <w:rFonts w:ascii="仿宋" w:hAnsi="仿宋" w:eastAsia="仿宋"/>
          <w:bCs/>
          <w:i w:val="0"/>
          <w:iCs w:val="0"/>
          <w:caps/>
        </w:rPr>
        <w:tab/>
      </w:r>
      <w:r>
        <w:rPr>
          <w:rFonts w:ascii="仿宋" w:hAnsi="仿宋" w:eastAsia="仿宋"/>
          <w:bCs/>
          <w:i w:val="0"/>
          <w:iCs w:val="0"/>
          <w:caps/>
        </w:rPr>
        <w:fldChar w:fldCharType="begin"/>
      </w:r>
      <w:r>
        <w:rPr>
          <w:rFonts w:ascii="仿宋" w:hAnsi="仿宋" w:eastAsia="仿宋"/>
          <w:bCs/>
          <w:i w:val="0"/>
          <w:iCs w:val="0"/>
          <w:caps/>
        </w:rPr>
        <w:instrText xml:space="preserve"> PAGEREF _Toc114676109 \h </w:instrText>
      </w:r>
      <w:r>
        <w:rPr>
          <w:rFonts w:ascii="仿宋" w:hAnsi="仿宋" w:eastAsia="仿宋"/>
          <w:bCs/>
          <w:i w:val="0"/>
          <w:iCs w:val="0"/>
          <w:caps/>
        </w:rPr>
        <w:fldChar w:fldCharType="separate"/>
      </w:r>
      <w:r>
        <w:rPr>
          <w:rFonts w:ascii="仿宋" w:hAnsi="仿宋" w:eastAsia="仿宋"/>
          <w:bCs/>
          <w:i w:val="0"/>
          <w:iCs w:val="0"/>
          <w:caps/>
        </w:rPr>
        <w:t>18</w:t>
      </w:r>
      <w:r>
        <w:rPr>
          <w:rFonts w:ascii="仿宋" w:hAnsi="仿宋" w:eastAsia="仿宋"/>
          <w:bCs/>
          <w:i w:val="0"/>
          <w:iCs w:val="0"/>
          <w:caps/>
        </w:rPr>
        <w:fldChar w:fldCharType="end"/>
      </w:r>
    </w:p>
    <w:p>
      <w:pPr>
        <w:pStyle w:val="14"/>
        <w:tabs>
          <w:tab w:val="right" w:leader="dot" w:pos="8296"/>
        </w:tabs>
        <w:rPr>
          <w:rFonts w:ascii="仿宋" w:hAnsi="仿宋" w:eastAsia="仿宋"/>
          <w:b w:val="0"/>
        </w:rPr>
      </w:pPr>
      <w:r>
        <w:rPr>
          <w:rFonts w:hint="eastAsia" w:ascii="仿宋" w:hAnsi="仿宋" w:eastAsia="仿宋"/>
          <w:b w:val="0"/>
        </w:rPr>
        <w:t>第三部分 名词解释</w:t>
      </w:r>
      <w:r>
        <w:rPr>
          <w:rFonts w:ascii="仿宋" w:hAnsi="仿宋" w:eastAsia="仿宋"/>
          <w:b w:val="0"/>
        </w:rPr>
        <w:tab/>
      </w:r>
      <w:r>
        <w:rPr>
          <w:rFonts w:ascii="仿宋" w:hAnsi="仿宋" w:eastAsia="仿宋"/>
          <w:b w:val="0"/>
        </w:rPr>
        <w:fldChar w:fldCharType="begin"/>
      </w:r>
      <w:r>
        <w:rPr>
          <w:rFonts w:ascii="仿宋" w:hAnsi="仿宋" w:eastAsia="仿宋"/>
          <w:b w:val="0"/>
        </w:rPr>
        <w:instrText xml:space="preserve"> PAGEREF _Toc114676110 \h </w:instrText>
      </w:r>
      <w:r>
        <w:rPr>
          <w:rFonts w:ascii="仿宋" w:hAnsi="仿宋" w:eastAsia="仿宋"/>
          <w:b w:val="0"/>
        </w:rPr>
        <w:fldChar w:fldCharType="separate"/>
      </w:r>
      <w:r>
        <w:rPr>
          <w:rFonts w:ascii="仿宋" w:hAnsi="仿宋" w:eastAsia="仿宋"/>
          <w:b w:val="0"/>
        </w:rPr>
        <w:t>31</w:t>
      </w:r>
      <w:r>
        <w:rPr>
          <w:rFonts w:ascii="仿宋" w:hAnsi="仿宋" w:eastAsia="仿宋"/>
          <w:b w:val="0"/>
        </w:rPr>
        <w:fldChar w:fldCharType="end"/>
      </w:r>
    </w:p>
    <w:p>
      <w:pPr>
        <w:pStyle w:val="14"/>
        <w:tabs>
          <w:tab w:val="right" w:leader="dot" w:pos="8296"/>
        </w:tabs>
        <w:rPr>
          <w:rFonts w:ascii="仿宋" w:hAnsi="仿宋" w:eastAsia="仿宋"/>
          <w:b w:val="0"/>
        </w:rPr>
      </w:pPr>
      <w:r>
        <w:rPr>
          <w:rFonts w:hint="eastAsia" w:ascii="仿宋" w:hAnsi="仿宋" w:eastAsia="仿宋"/>
          <w:b w:val="0"/>
        </w:rPr>
        <w:t>第四部分附件</w:t>
      </w:r>
      <w:r>
        <w:rPr>
          <w:rFonts w:ascii="仿宋" w:hAnsi="仿宋" w:eastAsia="仿宋"/>
          <w:b w:val="0"/>
        </w:rPr>
        <w:tab/>
      </w:r>
      <w:r>
        <w:rPr>
          <w:rFonts w:ascii="仿宋" w:hAnsi="仿宋" w:eastAsia="仿宋"/>
          <w:b w:val="0"/>
        </w:rPr>
        <w:fldChar w:fldCharType="begin"/>
      </w:r>
      <w:r>
        <w:rPr>
          <w:rFonts w:ascii="仿宋" w:hAnsi="仿宋" w:eastAsia="仿宋"/>
          <w:b w:val="0"/>
        </w:rPr>
        <w:instrText xml:space="preserve"> PAGEREF _Toc114676111 \h </w:instrText>
      </w:r>
      <w:r>
        <w:rPr>
          <w:rFonts w:ascii="仿宋" w:hAnsi="仿宋" w:eastAsia="仿宋"/>
          <w:b w:val="0"/>
        </w:rPr>
        <w:fldChar w:fldCharType="separate"/>
      </w:r>
      <w:r>
        <w:rPr>
          <w:rFonts w:ascii="仿宋" w:hAnsi="仿宋" w:eastAsia="仿宋"/>
          <w:b w:val="0"/>
        </w:rPr>
        <w:t>38</w:t>
      </w:r>
      <w:r>
        <w:rPr>
          <w:rFonts w:ascii="仿宋" w:hAnsi="仿宋" w:eastAsia="仿宋"/>
          <w:b w:val="0"/>
        </w:rPr>
        <w:fldChar w:fldCharType="end"/>
      </w:r>
    </w:p>
    <w:p>
      <w:pPr>
        <w:pStyle w:val="14"/>
        <w:tabs>
          <w:tab w:val="right" w:leader="dot" w:pos="8296"/>
        </w:tabs>
        <w:rPr>
          <w:rFonts w:ascii="仿宋" w:hAnsi="仿宋" w:eastAsia="仿宋"/>
          <w:b w:val="0"/>
        </w:rPr>
      </w:pPr>
      <w:r>
        <w:rPr>
          <w:rFonts w:hint="eastAsia" w:ascii="仿宋" w:hAnsi="仿宋" w:eastAsia="仿宋"/>
          <w:b w:val="0"/>
        </w:rPr>
        <w:t>附件</w:t>
      </w:r>
      <w:r>
        <w:rPr>
          <w:rFonts w:ascii="仿宋" w:hAnsi="仿宋" w:eastAsia="仿宋"/>
          <w:b w:val="0"/>
        </w:rPr>
        <w:t>1</w:t>
      </w:r>
      <w:r>
        <w:rPr>
          <w:rFonts w:ascii="仿宋" w:hAnsi="仿宋" w:eastAsia="仿宋"/>
          <w:b w:val="0"/>
        </w:rPr>
        <w:tab/>
      </w:r>
      <w:r>
        <w:rPr>
          <w:rFonts w:hint="eastAsia" w:ascii="仿宋" w:hAnsi="仿宋" w:eastAsia="仿宋"/>
          <w:b w:val="0"/>
        </w:rPr>
        <w:t>39</w:t>
      </w:r>
    </w:p>
    <w:p>
      <w:pPr>
        <w:pStyle w:val="14"/>
        <w:tabs>
          <w:tab w:val="right" w:leader="dot" w:pos="8296"/>
        </w:tabs>
        <w:rPr>
          <w:rFonts w:ascii="仿宋" w:hAnsi="仿宋" w:eastAsia="仿宋"/>
          <w:b w:val="0"/>
        </w:rPr>
      </w:pPr>
      <w:r>
        <w:rPr>
          <w:rFonts w:hint="eastAsia" w:ascii="仿宋" w:hAnsi="仿宋" w:eastAsia="仿宋"/>
          <w:b w:val="0"/>
        </w:rPr>
        <w:t>茂县渭门镇人民政府</w:t>
      </w:r>
      <w:r>
        <w:rPr>
          <w:rFonts w:ascii="仿宋" w:hAnsi="仿宋" w:eastAsia="仿宋"/>
          <w:b w:val="0"/>
        </w:rPr>
        <w:t>2022</w:t>
      </w:r>
      <w:r>
        <w:rPr>
          <w:rFonts w:hint="eastAsia" w:ascii="仿宋" w:hAnsi="仿宋" w:eastAsia="仿宋"/>
          <w:b w:val="0"/>
        </w:rPr>
        <w:t>年部门整体支出绩效评价报告</w:t>
      </w:r>
      <w:r>
        <w:rPr>
          <w:rFonts w:ascii="仿宋" w:hAnsi="仿宋" w:eastAsia="仿宋"/>
          <w:b w:val="0"/>
        </w:rPr>
        <w:tab/>
      </w:r>
      <w:r>
        <w:rPr>
          <w:rFonts w:hint="eastAsia" w:ascii="仿宋" w:hAnsi="仿宋" w:eastAsia="仿宋"/>
          <w:b w:val="0"/>
        </w:rPr>
        <w:t>39</w:t>
      </w:r>
    </w:p>
    <w:p>
      <w:pPr>
        <w:pStyle w:val="14"/>
        <w:tabs>
          <w:tab w:val="right" w:leader="dot" w:pos="8296"/>
        </w:tabs>
        <w:rPr>
          <w:rFonts w:ascii="仿宋" w:hAnsi="仿宋" w:eastAsia="仿宋"/>
          <w:b w:val="0"/>
        </w:rPr>
      </w:pPr>
      <w:r>
        <w:rPr>
          <w:rFonts w:hint="eastAsia" w:ascii="仿宋" w:hAnsi="仿宋" w:eastAsia="仿宋"/>
          <w:b w:val="0"/>
        </w:rPr>
        <w:t>附件</w:t>
      </w:r>
      <w:r>
        <w:rPr>
          <w:rFonts w:ascii="仿宋" w:hAnsi="仿宋" w:eastAsia="仿宋"/>
          <w:b w:val="0"/>
        </w:rPr>
        <w:t>2</w:t>
      </w:r>
      <w:r>
        <w:rPr>
          <w:rFonts w:ascii="仿宋" w:hAnsi="仿宋" w:eastAsia="仿宋"/>
          <w:b w:val="0"/>
        </w:rPr>
        <w:tab/>
      </w:r>
      <w:r>
        <w:rPr>
          <w:rFonts w:ascii="仿宋" w:hAnsi="仿宋" w:eastAsia="仿宋"/>
          <w:b w:val="0"/>
        </w:rPr>
        <w:fldChar w:fldCharType="begin"/>
      </w:r>
      <w:r>
        <w:rPr>
          <w:rFonts w:ascii="仿宋" w:hAnsi="仿宋" w:eastAsia="仿宋"/>
          <w:b w:val="0"/>
        </w:rPr>
        <w:instrText xml:space="preserve"> PAGEREF _Toc114676140 \h </w:instrText>
      </w:r>
      <w:r>
        <w:rPr>
          <w:rFonts w:ascii="仿宋" w:hAnsi="仿宋" w:eastAsia="仿宋"/>
          <w:b w:val="0"/>
        </w:rPr>
        <w:fldChar w:fldCharType="separate"/>
      </w:r>
      <w:r>
        <w:rPr>
          <w:rFonts w:ascii="仿宋" w:hAnsi="仿宋" w:eastAsia="仿宋"/>
          <w:b w:val="0"/>
        </w:rPr>
        <w:t>45</w:t>
      </w:r>
      <w:r>
        <w:rPr>
          <w:rFonts w:ascii="仿宋" w:hAnsi="仿宋" w:eastAsia="仿宋"/>
          <w:b w:val="0"/>
        </w:rPr>
        <w:fldChar w:fldCharType="end"/>
      </w:r>
    </w:p>
    <w:p>
      <w:pPr>
        <w:rPr>
          <w:rFonts w:ascii="仿宋" w:hAnsi="仿宋" w:eastAsia="仿宋"/>
          <w:bCs/>
          <w:caps/>
          <w:sz w:val="20"/>
          <w:szCs w:val="20"/>
        </w:rPr>
      </w:pPr>
      <w:r>
        <w:rPr>
          <w:rFonts w:hint="eastAsia" w:ascii="仿宋" w:hAnsi="仿宋" w:eastAsia="仿宋"/>
          <w:bCs/>
          <w:caps/>
          <w:sz w:val="20"/>
          <w:szCs w:val="20"/>
        </w:rPr>
        <w:t>茂县渭门镇人民政府</w:t>
      </w:r>
      <w:r>
        <w:rPr>
          <w:rFonts w:ascii="仿宋" w:eastAsia="仿宋"/>
          <w:smallCaps/>
        </w:rPr>
        <w:t>项目2021年绩效评价报告</w:t>
      </w:r>
      <w:r>
        <w:rPr>
          <w:rFonts w:hint="eastAsia" w:ascii="仿宋" w:hAnsi="仿宋" w:eastAsia="仿宋"/>
          <w:bCs/>
          <w:caps/>
          <w:sz w:val="20"/>
          <w:szCs w:val="20"/>
        </w:rPr>
        <w:t>.......................................</w:t>
      </w:r>
      <w:r>
        <w:rPr>
          <w:rFonts w:ascii="仿宋" w:hAnsi="仿宋" w:eastAsia="仿宋"/>
          <w:bCs/>
          <w:caps/>
          <w:sz w:val="20"/>
          <w:szCs w:val="20"/>
        </w:rPr>
        <w:fldChar w:fldCharType="begin"/>
      </w:r>
      <w:r>
        <w:rPr>
          <w:rFonts w:ascii="仿宋" w:hAnsi="仿宋" w:eastAsia="仿宋"/>
          <w:bCs/>
          <w:caps/>
          <w:sz w:val="20"/>
          <w:szCs w:val="20"/>
        </w:rPr>
        <w:instrText xml:space="preserve"> PAGEREF _Toc114676140 \h </w:instrText>
      </w:r>
      <w:r>
        <w:rPr>
          <w:rFonts w:ascii="仿宋" w:hAnsi="仿宋" w:eastAsia="仿宋"/>
          <w:bCs/>
          <w:caps/>
          <w:sz w:val="20"/>
          <w:szCs w:val="20"/>
        </w:rPr>
        <w:fldChar w:fldCharType="separate"/>
      </w:r>
      <w:r>
        <w:rPr>
          <w:rFonts w:ascii="仿宋" w:hAnsi="仿宋" w:eastAsia="仿宋"/>
          <w:bCs/>
          <w:caps/>
          <w:sz w:val="20"/>
          <w:szCs w:val="20"/>
        </w:rPr>
        <w:t>45</w:t>
      </w:r>
      <w:r>
        <w:rPr>
          <w:rFonts w:ascii="仿宋" w:hAnsi="仿宋" w:eastAsia="仿宋"/>
          <w:bCs/>
          <w:caps/>
          <w:sz w:val="20"/>
          <w:szCs w:val="20"/>
        </w:rPr>
        <w:fldChar w:fldCharType="end"/>
      </w:r>
    </w:p>
    <w:p>
      <w:pPr>
        <w:pStyle w:val="14"/>
        <w:tabs>
          <w:tab w:val="right" w:leader="dot" w:pos="8296"/>
        </w:tabs>
        <w:rPr>
          <w:rFonts w:ascii="仿宋" w:hAnsi="仿宋" w:eastAsia="仿宋"/>
          <w:b w:val="0"/>
        </w:rPr>
      </w:pPr>
      <w:r>
        <w:rPr>
          <w:rFonts w:hint="eastAsia" w:ascii="仿宋" w:hAnsi="仿宋" w:eastAsia="仿宋"/>
          <w:b w:val="0"/>
        </w:rPr>
        <w:t>第五部分附表</w:t>
      </w:r>
      <w:r>
        <w:rPr>
          <w:rFonts w:ascii="仿宋" w:hAnsi="仿宋" w:eastAsia="仿宋"/>
          <w:b w:val="0"/>
        </w:rPr>
        <w:tab/>
      </w:r>
      <w:r>
        <w:rPr>
          <w:rFonts w:ascii="仿宋" w:hAnsi="仿宋" w:eastAsia="仿宋"/>
          <w:b w:val="0"/>
        </w:rPr>
        <w:fldChar w:fldCharType="begin"/>
      </w:r>
      <w:r>
        <w:rPr>
          <w:rFonts w:ascii="仿宋" w:hAnsi="仿宋" w:eastAsia="仿宋"/>
          <w:b w:val="0"/>
        </w:rPr>
        <w:instrText xml:space="preserve"> PAGEREF _Toc114676141 \h </w:instrText>
      </w:r>
      <w:r>
        <w:rPr>
          <w:rFonts w:ascii="仿宋" w:hAnsi="仿宋" w:eastAsia="仿宋"/>
          <w:b w:val="0"/>
        </w:rPr>
        <w:fldChar w:fldCharType="separate"/>
      </w:r>
      <w:r>
        <w:rPr>
          <w:rFonts w:ascii="仿宋" w:hAnsi="仿宋" w:eastAsia="仿宋"/>
          <w:b w:val="0"/>
        </w:rPr>
        <w:t>64</w:t>
      </w:r>
      <w:r>
        <w:rPr>
          <w:rFonts w:ascii="仿宋" w:hAnsi="仿宋" w:eastAsia="仿宋"/>
          <w:b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一、收入支出决算总表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_Toc114676142 \h </w:instrText>
      </w:r>
      <w:r>
        <w:rPr>
          <w:rFonts w:ascii="仿宋" w:hAnsi="仿宋" w:eastAsia="仿宋"/>
          <w:bCs/>
          <w:caps/>
          <w:smallCaps w:val="0"/>
        </w:rPr>
        <w:fldChar w:fldCharType="separate"/>
      </w:r>
      <w:r>
        <w:rPr>
          <w:rFonts w:ascii="仿宋" w:hAnsi="仿宋" w:eastAsia="仿宋"/>
          <w:bCs/>
          <w:caps/>
          <w:smallCaps w:val="0"/>
        </w:rPr>
        <w:t>65</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二、收入决算表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_Toc114676143 \h </w:instrText>
      </w:r>
      <w:r>
        <w:rPr>
          <w:rFonts w:ascii="仿宋" w:hAnsi="仿宋" w:eastAsia="仿宋"/>
          <w:bCs/>
          <w:caps/>
          <w:smallCaps w:val="0"/>
        </w:rPr>
        <w:fldChar w:fldCharType="separate"/>
      </w:r>
      <w:r>
        <w:rPr>
          <w:rFonts w:ascii="仿宋" w:hAnsi="仿宋" w:eastAsia="仿宋"/>
          <w:bCs/>
          <w:caps/>
          <w:smallCaps w:val="0"/>
        </w:rPr>
        <w:t>65</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三、支出决算表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_Toc114676144 \h </w:instrText>
      </w:r>
      <w:r>
        <w:rPr>
          <w:rFonts w:ascii="仿宋" w:hAnsi="仿宋" w:eastAsia="仿宋"/>
          <w:bCs/>
          <w:caps/>
          <w:smallCaps w:val="0"/>
        </w:rPr>
        <w:fldChar w:fldCharType="separate"/>
      </w:r>
      <w:r>
        <w:rPr>
          <w:rFonts w:ascii="仿宋" w:hAnsi="仿宋" w:eastAsia="仿宋"/>
          <w:bCs/>
          <w:caps/>
          <w:smallCaps w:val="0"/>
        </w:rPr>
        <w:t>65</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四、财政拨款收入支出决算总表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_Toc114676145 \h </w:instrText>
      </w:r>
      <w:r>
        <w:rPr>
          <w:rFonts w:ascii="仿宋" w:hAnsi="仿宋" w:eastAsia="仿宋"/>
          <w:bCs/>
          <w:caps/>
          <w:smallCaps w:val="0"/>
        </w:rPr>
        <w:fldChar w:fldCharType="separate"/>
      </w:r>
      <w:r>
        <w:rPr>
          <w:rFonts w:ascii="仿宋" w:hAnsi="仿宋" w:eastAsia="仿宋"/>
          <w:bCs/>
          <w:caps/>
          <w:smallCaps w:val="0"/>
        </w:rPr>
        <w:t>65</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五、财政拨款支出决算明细表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_Toc114676146 \h </w:instrText>
      </w:r>
      <w:r>
        <w:rPr>
          <w:rFonts w:ascii="仿宋" w:hAnsi="仿宋" w:eastAsia="仿宋"/>
          <w:bCs/>
          <w:caps/>
          <w:smallCaps w:val="0"/>
        </w:rPr>
        <w:fldChar w:fldCharType="separate"/>
      </w:r>
      <w:r>
        <w:rPr>
          <w:rFonts w:ascii="仿宋" w:hAnsi="仿宋" w:eastAsia="仿宋"/>
          <w:bCs/>
          <w:caps/>
          <w:smallCaps w:val="0"/>
        </w:rPr>
        <w:t>65</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六、一般公共预算财政拨款支出决算表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_Toc114676147 \h </w:instrText>
      </w:r>
      <w:r>
        <w:rPr>
          <w:rFonts w:ascii="仿宋" w:hAnsi="仿宋" w:eastAsia="仿宋"/>
          <w:bCs/>
          <w:caps/>
          <w:smallCaps w:val="0"/>
        </w:rPr>
        <w:fldChar w:fldCharType="separate"/>
      </w:r>
      <w:r>
        <w:rPr>
          <w:rFonts w:ascii="仿宋" w:hAnsi="仿宋" w:eastAsia="仿宋"/>
          <w:bCs/>
          <w:caps/>
          <w:smallCaps w:val="0"/>
        </w:rPr>
        <w:t>65</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七、一般公共预算财政拨款支出决算明细表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_Toc114676148 \h </w:instrText>
      </w:r>
      <w:r>
        <w:rPr>
          <w:rFonts w:ascii="仿宋" w:hAnsi="仿宋" w:eastAsia="仿宋"/>
          <w:bCs/>
          <w:caps/>
          <w:smallCaps w:val="0"/>
        </w:rPr>
        <w:fldChar w:fldCharType="separate"/>
      </w:r>
      <w:r>
        <w:rPr>
          <w:rFonts w:ascii="仿宋" w:hAnsi="仿宋" w:eastAsia="仿宋"/>
          <w:bCs/>
          <w:caps/>
          <w:smallCaps w:val="0"/>
        </w:rPr>
        <w:t>65</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八、一般公共预算财政拨款基本支出决算表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_Toc114676149 \h </w:instrText>
      </w:r>
      <w:r>
        <w:rPr>
          <w:rFonts w:ascii="仿宋" w:hAnsi="仿宋" w:eastAsia="仿宋"/>
          <w:bCs/>
          <w:caps/>
          <w:smallCaps w:val="0"/>
        </w:rPr>
        <w:fldChar w:fldCharType="separate"/>
      </w:r>
      <w:r>
        <w:rPr>
          <w:rFonts w:ascii="仿宋" w:hAnsi="仿宋" w:eastAsia="仿宋"/>
          <w:bCs/>
          <w:caps/>
          <w:smallCaps w:val="0"/>
        </w:rPr>
        <w:t>65</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九、一般公共预算财政拨款项目支出决算表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_Toc114676150 \h </w:instrText>
      </w:r>
      <w:r>
        <w:rPr>
          <w:rFonts w:ascii="仿宋" w:hAnsi="仿宋" w:eastAsia="仿宋"/>
          <w:bCs/>
          <w:caps/>
          <w:smallCaps w:val="0"/>
        </w:rPr>
        <w:fldChar w:fldCharType="separate"/>
      </w:r>
      <w:r>
        <w:rPr>
          <w:rFonts w:ascii="仿宋" w:hAnsi="仿宋" w:eastAsia="仿宋"/>
          <w:bCs/>
          <w:caps/>
          <w:smallCaps w:val="0"/>
        </w:rPr>
        <w:t>65</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十、一般公共预算财政拨款“三公”经费支出决算表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_Toc114676151 \h </w:instrText>
      </w:r>
      <w:r>
        <w:rPr>
          <w:rFonts w:ascii="仿宋" w:hAnsi="仿宋" w:eastAsia="仿宋"/>
          <w:bCs/>
          <w:caps/>
          <w:smallCaps w:val="0"/>
        </w:rPr>
        <w:fldChar w:fldCharType="separate"/>
      </w:r>
      <w:r>
        <w:rPr>
          <w:rFonts w:ascii="仿宋" w:hAnsi="仿宋" w:eastAsia="仿宋"/>
          <w:bCs/>
          <w:caps/>
          <w:smallCaps w:val="0"/>
        </w:rPr>
        <w:t>65</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十一、政府性基金预算财政拨款收入支出决算表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_Toc114676152 \h </w:instrText>
      </w:r>
      <w:r>
        <w:rPr>
          <w:rFonts w:ascii="仿宋" w:hAnsi="仿宋" w:eastAsia="仿宋"/>
          <w:bCs/>
          <w:caps/>
          <w:smallCaps w:val="0"/>
        </w:rPr>
        <w:fldChar w:fldCharType="separate"/>
      </w:r>
      <w:r>
        <w:rPr>
          <w:rFonts w:ascii="仿宋" w:hAnsi="仿宋" w:eastAsia="仿宋"/>
          <w:bCs/>
          <w:caps/>
          <w:smallCaps w:val="0"/>
        </w:rPr>
        <w:t>65</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十二、政府性基金预算财政拨款“三公”经费支出决算表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_Toc114676153 \h </w:instrText>
      </w:r>
      <w:r>
        <w:rPr>
          <w:rFonts w:ascii="仿宋" w:hAnsi="仿宋" w:eastAsia="仿宋"/>
          <w:bCs/>
          <w:caps/>
          <w:smallCaps w:val="0"/>
        </w:rPr>
        <w:fldChar w:fldCharType="separate"/>
      </w:r>
      <w:r>
        <w:rPr>
          <w:rFonts w:ascii="仿宋" w:hAnsi="仿宋" w:eastAsia="仿宋"/>
          <w:bCs/>
          <w:caps/>
          <w:smallCaps w:val="0"/>
        </w:rPr>
        <w:t>65</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十三、国有资本经营预算财政拨款支出决算表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_Toc114676154 \h </w:instrText>
      </w:r>
      <w:r>
        <w:rPr>
          <w:rFonts w:ascii="仿宋" w:hAnsi="仿宋" w:eastAsia="仿宋"/>
          <w:bCs/>
          <w:caps/>
          <w:smallCaps w:val="0"/>
        </w:rPr>
        <w:fldChar w:fldCharType="separate"/>
      </w:r>
      <w:r>
        <w:rPr>
          <w:rFonts w:ascii="仿宋" w:hAnsi="仿宋" w:eastAsia="仿宋"/>
          <w:bCs/>
          <w:caps/>
          <w:smallCaps w:val="0"/>
        </w:rPr>
        <w:t>65</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十四、国有资本经营预算财政拨款支出决算表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_Toc114676155 \h </w:instrText>
      </w:r>
      <w:r>
        <w:rPr>
          <w:rFonts w:ascii="仿宋" w:hAnsi="仿宋" w:eastAsia="仿宋"/>
          <w:bCs/>
          <w:caps/>
          <w:smallCaps w:val="0"/>
        </w:rPr>
        <w:fldChar w:fldCharType="separate"/>
      </w:r>
      <w:r>
        <w:rPr>
          <w:rFonts w:ascii="仿宋" w:hAnsi="仿宋" w:eastAsia="仿宋"/>
          <w:bCs/>
          <w:caps/>
          <w:smallCaps w:val="0"/>
        </w:rPr>
        <w:t>65</w:t>
      </w:r>
      <w:r>
        <w:rPr>
          <w:rFonts w:ascii="仿宋" w:hAnsi="仿宋" w:eastAsia="仿宋"/>
          <w:bCs/>
          <w:caps/>
          <w:smallCaps w:val="0"/>
        </w:rPr>
        <w:fldChar w:fldCharType="end"/>
      </w:r>
    </w:p>
    <w:p>
      <w:r>
        <w:rPr>
          <w:rFonts w:ascii="仿宋" w:hAnsi="仿宋" w:eastAsia="仿宋"/>
          <w:bCs/>
          <w:caps/>
          <w:sz w:val="20"/>
          <w:szCs w:val="20"/>
        </w:rPr>
        <w:fldChar w:fldCharType="end"/>
      </w:r>
    </w:p>
    <w:p>
      <w:pPr>
        <w:widowControl/>
        <w:adjustRightInd w:val="0"/>
        <w:snapToGrid w:val="0"/>
        <w:spacing w:line="440" w:lineRule="exact"/>
        <w:ind w:firstLine="1320" w:firstLineChars="550"/>
        <w:jc w:val="left"/>
        <w:rPr>
          <w:rFonts w:ascii="仿宋" w:eastAsia="仿宋"/>
          <w:color w:val="FF0000"/>
          <w:sz w:val="24"/>
        </w:rPr>
      </w:pP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2"/>
        <w:jc w:val="center"/>
        <w:rPr>
          <w:rFonts w:ascii="黑体" w:eastAsia="黑体"/>
          <w:bCs w:val="0"/>
        </w:rPr>
      </w:pPr>
      <w:bookmarkStart w:id="14" w:name="_Toc79163601"/>
      <w:bookmarkStart w:id="15" w:name="_Toc114676085"/>
      <w:r>
        <w:rPr>
          <w:rFonts w:hint="eastAsia" w:ascii="黑体" w:eastAsia="黑体"/>
          <w:b w:val="0"/>
        </w:rPr>
        <w:t>第一部分</w:t>
      </w:r>
      <w:r>
        <w:rPr>
          <w:rStyle w:val="24"/>
          <w:rFonts w:hint="eastAsia" w:ascii="黑体" w:eastAsia="黑体"/>
          <w:b w:val="0"/>
          <w:bCs w:val="0"/>
        </w:rPr>
        <w:t>部门概况</w:t>
      </w:r>
      <w:bookmarkEnd w:id="12"/>
      <w:bookmarkEnd w:id="13"/>
      <w:bookmarkEnd w:id="14"/>
      <w:bookmarkEnd w:id="15"/>
    </w:p>
    <w:p>
      <w:pPr>
        <w:pStyle w:val="3"/>
        <w:rPr>
          <w:rStyle w:val="25"/>
          <w:rFonts w:ascii="黑体" w:eastAsia="黑体"/>
          <w:b w:val="0"/>
          <w:bCs w:val="0"/>
        </w:rPr>
      </w:pPr>
      <w:bookmarkStart w:id="16" w:name="_Toc15377197"/>
      <w:bookmarkStart w:id="17" w:name="_Toc15396600"/>
      <w:bookmarkStart w:id="18" w:name="_Toc79163602"/>
      <w:bookmarkStart w:id="19" w:name="_Toc114676086"/>
      <w:r>
        <w:rPr>
          <w:rFonts w:hint="eastAsia" w:ascii="黑体" w:eastAsia="黑体"/>
          <w:b w:val="0"/>
          <w:color w:val="000000"/>
        </w:rPr>
        <w:t>一、基</w:t>
      </w:r>
      <w:r>
        <w:rPr>
          <w:rStyle w:val="25"/>
          <w:rFonts w:hint="eastAsia" w:ascii="黑体" w:eastAsia="黑体"/>
          <w:b w:val="0"/>
          <w:bCs w:val="0"/>
        </w:rPr>
        <w:t>本职能及主要工作</w:t>
      </w:r>
      <w:bookmarkEnd w:id="16"/>
      <w:bookmarkEnd w:id="17"/>
      <w:bookmarkEnd w:id="18"/>
      <w:bookmarkEnd w:id="19"/>
      <w:bookmarkStart w:id="20" w:name="_Toc79163603"/>
      <w:bookmarkStart w:id="21" w:name="_Toc114676087"/>
      <w:bookmarkStart w:id="22" w:name="_Toc15378445"/>
      <w:bookmarkStart w:id="23" w:name="_Toc15377198"/>
    </w:p>
    <w:p>
      <w:pPr>
        <w:pStyle w:val="3"/>
        <w:ind w:firstLine="482" w:firstLineChars="150"/>
        <w:rPr>
          <w:rFonts w:ascii="仿宋" w:eastAsia="仿宋"/>
          <w:b w:val="0"/>
          <w:bCs w:val="0"/>
        </w:rPr>
      </w:pPr>
      <w:r>
        <w:rPr>
          <w:rFonts w:hint="eastAsia" w:ascii="仿宋" w:eastAsia="仿宋"/>
          <w:color w:val="000000"/>
        </w:rPr>
        <w:t>（一）主要职能</w:t>
      </w:r>
      <w:bookmarkEnd w:id="20"/>
      <w:bookmarkEnd w:id="21"/>
    </w:p>
    <w:bookmarkEnd w:id="22"/>
    <w:bookmarkEnd w:id="23"/>
    <w:p>
      <w:pPr>
        <w:spacing w:line="576" w:lineRule="atLeast"/>
        <w:ind w:firstLine="640" w:firstLineChars="200"/>
        <w:rPr>
          <w:rFonts w:ascii="仿宋_GB2312" w:eastAsia="仿宋_GB2312"/>
          <w:sz w:val="32"/>
          <w:szCs w:val="32"/>
        </w:rPr>
      </w:pPr>
      <w:bookmarkStart w:id="24" w:name="_Toc79163604"/>
      <w:bookmarkStart w:id="25" w:name="_Toc15377199"/>
      <w:bookmarkStart w:id="26" w:name="_Toc15378446"/>
      <w:r>
        <w:rPr>
          <w:rFonts w:hint="eastAsia" w:ascii="仿宋_GB2312" w:eastAsia="仿宋_GB2312"/>
          <w:sz w:val="32"/>
          <w:szCs w:val="32"/>
        </w:rPr>
        <w:t>1.贯彻执行党和国家的路线方针政策和上级党委、政府各项决策部署，以及本级党员代表大会（党员大会）人民代表大会的决议决定。</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3.领导镇政权机关、群团组织和其他各类组织，加强指导和规范，支持和保证这些机关和组织依照国家法律法规以及各自章程履行职责。</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4.加强党的建设。坚持全面从严治党，落实管党治党主体责任，全面加强党的政治建设、思想建设、组织建设、作风建设、纪律建设、制度建设等工作。不断强化自身建设和村（社区）党组织建设，以及其他隶属渭门镇党委的党组织建设，抓好发展党员工作，加强党员队伍建设。维护和执行党的纪律，监督党员干部和其他工作人员严格遵守国家法律法规。</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5.按照干部管理权限，负责对干部的教育、培训、选拔、考核和监督工作。协助管理上级有关部门驻镇单位的干部。做好人才服务和引进工作。</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7.强化基层治理。负责本辖区社会治理，加强社会主义民主法治建设和精神文明建设，加快推进基层社会治理体系和治理能力现代化;指导村（居）委会建设，健全自治平台，组织群众和单位参与村（居）委会建设和管理。负责统筹协调辖区内依法授权或委托授权的行政执法工作。</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8.优化公共服务。推进服务型政府建设，组织实施并优化教育、卫生健康、文化、民政、社会保障、退役军人事务等各项公共服务。</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9.负责辖区范围内的应急管理、社会稳定、安全生产、生态环境保护、社会信用体系建设和审批服务便民化等工作。</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10.负责辖区农村经营管理体系建设工作。</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11.完成县委、县人民政府交办的其他任务。</w:t>
      </w:r>
    </w:p>
    <w:p>
      <w:pPr>
        <w:pStyle w:val="7"/>
        <w:adjustRightInd w:val="0"/>
        <w:snapToGrid w:val="0"/>
        <w:spacing w:beforeLines="0" w:line="600" w:lineRule="exact"/>
        <w:ind w:firstLine="668" w:firstLineChars="209"/>
        <w:outlineLvl w:val="2"/>
        <w:rPr>
          <w:rFonts w:ascii="仿宋" w:eastAsia="仿宋"/>
          <w:bCs/>
          <w:color w:val="000000"/>
          <w:sz w:val="32"/>
          <w:szCs w:val="32"/>
        </w:rPr>
      </w:pPr>
      <w:bookmarkStart w:id="27" w:name="_Toc114676088"/>
      <w:r>
        <w:rPr>
          <w:rFonts w:hint="eastAsia" w:ascii="仿宋" w:eastAsia="仿宋"/>
          <w:bCs/>
          <w:color w:val="000000"/>
          <w:sz w:val="32"/>
          <w:szCs w:val="32"/>
        </w:rPr>
        <w:t>（二）</w:t>
      </w:r>
      <w:r>
        <w:rPr>
          <w:rFonts w:ascii="仿宋" w:eastAsia="仿宋"/>
          <w:bCs/>
          <w:color w:val="000000"/>
          <w:sz w:val="32"/>
          <w:szCs w:val="32"/>
        </w:rPr>
        <w:t>2021</w:t>
      </w:r>
      <w:r>
        <w:rPr>
          <w:rFonts w:hint="eastAsia" w:ascii="仿宋" w:eastAsia="仿宋"/>
          <w:bCs/>
          <w:color w:val="000000"/>
          <w:sz w:val="32"/>
          <w:szCs w:val="32"/>
        </w:rPr>
        <w:t>年重点工作完成情况</w:t>
      </w:r>
      <w:bookmarkEnd w:id="24"/>
      <w:bookmarkEnd w:id="25"/>
      <w:bookmarkEnd w:id="26"/>
      <w:bookmarkEnd w:id="27"/>
    </w:p>
    <w:p>
      <w:pPr>
        <w:pStyle w:val="12"/>
        <w:spacing w:line="576" w:lineRule="exact"/>
        <w:ind w:firstLine="640" w:firstLineChars="200"/>
        <w:rPr>
          <w:rFonts w:ascii="仿宋_GB2312" w:hAnsi="仿宋_GB2312" w:eastAsia="仿宋_GB2312" w:cs="仿宋_GB2312"/>
          <w:sz w:val="32"/>
          <w:szCs w:val="32"/>
        </w:rPr>
      </w:pPr>
      <w:r>
        <w:rPr>
          <w:rFonts w:hint="eastAsia" w:ascii="仿宋" w:hAnsi="Times New Roman" w:eastAsia="仿宋"/>
          <w:bCs/>
          <w:color w:val="000000"/>
          <w:sz w:val="32"/>
          <w:szCs w:val="32"/>
        </w:rPr>
        <w:t xml:space="preserve"> </w:t>
      </w:r>
      <w:r>
        <w:rPr>
          <w:rFonts w:hint="eastAsia" w:ascii="Times New Roman" w:hAnsi="Times New Roman" w:eastAsia="黑体"/>
          <w:color w:val="000000"/>
          <w:kern w:val="2"/>
          <w:sz w:val="32"/>
          <w:szCs w:val="32"/>
        </w:rPr>
        <w:t>1.</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2"/>
          <w:sz w:val="32"/>
          <w:szCs w:val="32"/>
        </w:rPr>
        <w:t>今年，结合 “乡村振兴”重点工作，扎实推进各项项目建设，增强镇域承载力，呈现发展的蓬勃生机。一年来，我镇紧跟上级政策投向、资金投向，积极对接谋划项目、争取项目，全年共争取并实施项目共计56个，项目总资金5113.34万元，其中涉农整合项目22个，涉及资金 2267.04 万元，乡村振兴项目5个，涉及资金 642 万元。项目涵盖灾毁农田修复、防洪治理、安全饮水、田间道路、村组道路堡坎等。</w:t>
      </w:r>
    </w:p>
    <w:p>
      <w:pPr>
        <w:pStyle w:val="12"/>
        <w:spacing w:line="576" w:lineRule="exact"/>
        <w:ind w:firstLine="640" w:firstLineChars="200"/>
        <w:jc w:val="both"/>
        <w:rPr>
          <w:rFonts w:ascii="Times New Roman" w:hAnsi="Times New Roman" w:eastAsia="黑体"/>
          <w:color w:val="FF0000"/>
          <w:kern w:val="2"/>
          <w:sz w:val="32"/>
          <w:szCs w:val="32"/>
        </w:rPr>
      </w:pPr>
      <w:r>
        <w:rPr>
          <w:rFonts w:hint="eastAsia" w:ascii="Times New Roman" w:hAnsi="Times New Roman" w:eastAsia="黑体"/>
          <w:kern w:val="2"/>
          <w:sz w:val="32"/>
          <w:szCs w:val="32"/>
        </w:rPr>
        <w:t>2.</w:t>
      </w:r>
      <w:r>
        <w:rPr>
          <w:rFonts w:hint="eastAsia" w:ascii="仿宋_GB2312" w:hAnsi="仿宋_GB2312" w:eastAsia="仿宋_GB2312" w:cs="仿宋_GB2312"/>
          <w:bCs/>
          <w:color w:val="000000"/>
          <w:sz w:val="32"/>
          <w:szCs w:val="32"/>
        </w:rPr>
        <w:t xml:space="preserve"> 积极开展防汛救灾。面对暴雨成灾的严峻形势，全镇上下牢固树立人民群众生命至上的理念，坚守“严防人员伤亡”底线红线，全力落实预警告知、排危排险、隐患排查、转移避险等防灾救灾的各项措施。密切监控全镇166个地质灾害隐患点和15个山洪危险区，做到24小时专人值班值守。干部包户、责任到人，2021年紧急转移安置山洪危险区危险户59户131人次，地质灾害隐患点农户172户511人次。共排查隐患点37处，清除危险点11处，切实保证了全镇人民群众的生命财产安全。</w:t>
      </w:r>
    </w:p>
    <w:p>
      <w:pPr>
        <w:pStyle w:val="12"/>
        <w:spacing w:line="576" w:lineRule="exact"/>
        <w:ind w:firstLine="640" w:firstLineChars="200"/>
        <w:jc w:val="both"/>
        <w:rPr>
          <w:rFonts w:ascii="Times New Roman" w:hAnsi="Times New Roman" w:eastAsia="仿宋_GB2312"/>
          <w:color w:val="FF0000"/>
          <w:kern w:val="2"/>
          <w:sz w:val="32"/>
          <w:szCs w:val="32"/>
        </w:rPr>
      </w:pPr>
      <w:r>
        <w:rPr>
          <w:rStyle w:val="35"/>
          <w:rFonts w:hint="eastAsia" w:ascii="黑体" w:hAnsi="黑体" w:eastAsia="黑体" w:cs="黑体"/>
          <w:sz w:val="32"/>
          <w:szCs w:val="40"/>
        </w:rPr>
        <w:t>3</w:t>
      </w:r>
      <w:r>
        <w:rPr>
          <w:rFonts w:hint="eastAsia" w:ascii="Times New Roman" w:hAnsi="Times New Roman" w:eastAsia="黑体"/>
          <w:kern w:val="2"/>
          <w:sz w:val="32"/>
          <w:szCs w:val="32"/>
        </w:rPr>
        <w:t>.</w:t>
      </w:r>
      <w:r>
        <w:rPr>
          <w:rFonts w:hint="eastAsia" w:ascii="仿宋_GB2312" w:hAnsi="仿宋" w:eastAsia="仿宋_GB2312"/>
          <w:sz w:val="32"/>
          <w:szCs w:val="32"/>
        </w:rPr>
        <w:t xml:space="preserve"> 本着群众“少跑路、好找人、好办事”的服务宗旨，组建了村代办点、渭门镇驻永和便民服务点、镇便民服务中心，并结合工作实际设立了综合窗口，计生窗口、民政残联窗口、农业窗口、畜牧和水务窗口、自然资源窗口、林业窗口、群团服务窗口，落实好了首问责任制、A/B岗责任制、限时办结制。今年来：</w:t>
      </w:r>
      <w:r>
        <w:rPr>
          <w:rFonts w:hint="eastAsia" w:ascii="仿宋_GB2312" w:hAnsi="仿宋_GB2312" w:eastAsia="仿宋_GB2312" w:cs="仿宋_GB2312"/>
          <w:sz w:val="32"/>
          <w:szCs w:val="32"/>
        </w:rPr>
        <w:t>受理13175件，办结13175件；办件覆盖率100%；网上受理率 100%，好评总数13162件。</w:t>
      </w:r>
    </w:p>
    <w:p>
      <w:pPr>
        <w:spacing w:line="576" w:lineRule="exact"/>
        <w:ind w:firstLine="640" w:firstLineChars="200"/>
        <w:rPr>
          <w:rFonts w:ascii="仿宋_GB2312" w:hAnsi="仿宋_GB2312" w:eastAsia="仿宋_GB2312" w:cs="仿宋_GB2312"/>
          <w:sz w:val="32"/>
          <w:szCs w:val="32"/>
        </w:rPr>
      </w:pPr>
      <w:r>
        <w:rPr>
          <w:rFonts w:hint="eastAsia" w:eastAsia="黑体"/>
          <w:sz w:val="32"/>
          <w:szCs w:val="32"/>
        </w:rPr>
        <w:t>4.</w:t>
      </w:r>
      <w:r>
        <w:rPr>
          <w:rFonts w:hint="eastAsia" w:ascii="仿宋_GB2312" w:hAnsi="仿宋_GB2312" w:eastAsia="仿宋_GB2312" w:cs="仿宋_GB2312"/>
          <w:sz w:val="32"/>
          <w:szCs w:val="32"/>
        </w:rPr>
        <w:t xml:space="preserve"> 全年巡河71次，对发现问题及时责令整改完成。同时组织相关人员进行河道清理工作，确保我镇辖区河流畅通无阻、无污染情况出现。</w:t>
      </w:r>
    </w:p>
    <w:p>
      <w:pPr>
        <w:pStyle w:val="12"/>
        <w:spacing w:line="576" w:lineRule="exact"/>
        <w:ind w:firstLine="640" w:firstLineChars="200"/>
        <w:jc w:val="both"/>
        <w:rPr>
          <w:rFonts w:ascii="Times New Roman" w:hAnsi="Times New Roman" w:eastAsia="仿宋_GB2312"/>
          <w:color w:val="FF0000"/>
          <w:kern w:val="2"/>
          <w:sz w:val="32"/>
          <w:szCs w:val="32"/>
        </w:rPr>
      </w:pPr>
      <w:r>
        <w:rPr>
          <w:rFonts w:hint="eastAsia" w:ascii="Times New Roman" w:hAnsi="Times New Roman" w:eastAsia="黑体"/>
          <w:kern w:val="2"/>
          <w:sz w:val="32"/>
          <w:szCs w:val="32"/>
        </w:rPr>
        <w:t>5.</w:t>
      </w:r>
      <w:r>
        <w:rPr>
          <w:rFonts w:hint="eastAsia" w:ascii="仿宋_GB2312" w:hAnsi="仿宋_GB2312" w:eastAsia="仿宋_GB2312" w:cs="仿宋_GB2312"/>
          <w:color w:val="000000"/>
          <w:sz w:val="32"/>
          <w:szCs w:val="32"/>
          <w:shd w:val="clear" w:color="auto" w:fill="FFFFFF"/>
        </w:rPr>
        <w:t>结合爱国卫生运动，常态化开展“城乡环境卫生大扫除”，对镇工作环境卫生、各村村域内环境卫生、餐饮业环境卫生进行大清理、大</w:t>
      </w:r>
      <w:r>
        <w:rPr>
          <w:rFonts w:hint="eastAsia" w:ascii="仿宋_GB2312" w:hAnsi="仿宋_GB2312" w:eastAsia="仿宋_GB2312" w:cs="仿宋_GB2312"/>
          <w:sz w:val="32"/>
          <w:szCs w:val="32"/>
        </w:rPr>
        <w:t>整治，共计参与2000余人次。并</w:t>
      </w:r>
      <w:r>
        <w:rPr>
          <w:rFonts w:hint="eastAsia" w:ascii="仿宋_GB2312" w:hAnsi="仿宋_GB2312" w:eastAsia="仿宋_GB2312" w:cs="仿宋_GB2312"/>
          <w:kern w:val="2"/>
          <w:sz w:val="32"/>
          <w:szCs w:val="32"/>
        </w:rPr>
        <w:t>利用专栏、传单、标语等形式开展环境综合治理宣传教育</w:t>
      </w:r>
      <w:r>
        <w:rPr>
          <w:rFonts w:hint="eastAsia" w:ascii="仿宋_GB2312" w:hAnsi="仿宋_GB2312" w:eastAsia="仿宋_GB2312" w:cs="仿宋_GB2312"/>
          <w:sz w:val="32"/>
          <w:szCs w:val="32"/>
        </w:rPr>
        <w:t>。</w:t>
      </w:r>
    </w:p>
    <w:p>
      <w:pPr>
        <w:pStyle w:val="3"/>
        <w:rPr>
          <w:rStyle w:val="25"/>
          <w:b w:val="0"/>
          <w:bCs w:val="0"/>
        </w:rPr>
      </w:pPr>
      <w:bookmarkStart w:id="28" w:name="_Toc15377200"/>
      <w:bookmarkStart w:id="29" w:name="_Toc79163605"/>
      <w:bookmarkStart w:id="30" w:name="_Toc15396601"/>
      <w:bookmarkStart w:id="31" w:name="_Toc114676089"/>
      <w:r>
        <w:rPr>
          <w:rFonts w:hint="eastAsia" w:ascii="黑体" w:eastAsia="黑体"/>
          <w:b w:val="0"/>
          <w:color w:val="000000"/>
        </w:rPr>
        <w:t>二、机</w:t>
      </w:r>
      <w:r>
        <w:rPr>
          <w:rStyle w:val="25"/>
          <w:rFonts w:hint="eastAsia" w:ascii="黑体" w:eastAsia="黑体"/>
          <w:b w:val="0"/>
          <w:bCs w:val="0"/>
        </w:rPr>
        <w:t>构设置</w:t>
      </w:r>
      <w:bookmarkEnd w:id="28"/>
      <w:bookmarkEnd w:id="29"/>
      <w:bookmarkEnd w:id="30"/>
      <w:bookmarkEnd w:id="31"/>
    </w:p>
    <w:p>
      <w:pPr>
        <w:ind w:firstLine="640" w:firstLineChars="200"/>
        <w:rPr>
          <w:rFonts w:ascii="仿宋_GB2312" w:eastAsia="仿宋_GB2312"/>
          <w:sz w:val="32"/>
          <w:szCs w:val="32"/>
        </w:rPr>
      </w:pPr>
      <w:r>
        <w:rPr>
          <w:rFonts w:hint="eastAsia" w:ascii="仿宋_GB2312" w:eastAsia="仿宋_GB2312"/>
          <w:sz w:val="32"/>
          <w:szCs w:val="32"/>
        </w:rPr>
        <w:t>茂县渭门镇人民政府属一级单位，下属二级单位0个，其中内设机构2个（党政办公室和综合发展办公室）。</w:t>
      </w:r>
    </w:p>
    <w:p>
      <w:pPr>
        <w:widowControl/>
        <w:jc w:val="left"/>
        <w:rPr>
          <w:rFonts w:ascii="仿宋" w:eastAsia="仿宋"/>
          <w:sz w:val="32"/>
          <w:szCs w:val="32"/>
        </w:rPr>
      </w:pPr>
    </w:p>
    <w:p>
      <w:pPr>
        <w:widowControl/>
        <w:jc w:val="left"/>
        <w:rPr>
          <w:rFonts w:ascii="仿宋" w:eastAsia="仿宋"/>
          <w:color w:val="000000"/>
          <w:sz w:val="32"/>
          <w:szCs w:val="32"/>
        </w:rPr>
      </w:pPr>
    </w:p>
    <w:p>
      <w:pPr>
        <w:widowControl/>
        <w:jc w:val="left"/>
        <w:rPr>
          <w:rFonts w:ascii="仿宋" w:eastAsia="仿宋"/>
          <w:color w:val="000000"/>
          <w:sz w:val="32"/>
          <w:szCs w:val="32"/>
        </w:rPr>
      </w:pPr>
    </w:p>
    <w:p>
      <w:pPr>
        <w:widowControl/>
        <w:jc w:val="left"/>
        <w:rPr>
          <w:rFonts w:ascii="仿宋" w:eastAsia="仿宋"/>
          <w:color w:val="000000"/>
          <w:sz w:val="32"/>
          <w:szCs w:val="32"/>
        </w:rPr>
      </w:pPr>
    </w:p>
    <w:p>
      <w:pPr>
        <w:widowControl/>
        <w:jc w:val="left"/>
        <w:rPr>
          <w:rFonts w:ascii="仿宋" w:eastAsia="仿宋"/>
          <w:color w:val="000000"/>
          <w:sz w:val="32"/>
          <w:szCs w:val="32"/>
        </w:rPr>
      </w:pPr>
    </w:p>
    <w:p>
      <w:pPr>
        <w:widowControl/>
        <w:jc w:val="left"/>
        <w:rPr>
          <w:rFonts w:ascii="仿宋" w:eastAsia="仿宋"/>
          <w:color w:val="000000"/>
          <w:sz w:val="32"/>
          <w:szCs w:val="32"/>
        </w:rPr>
      </w:pPr>
    </w:p>
    <w:p>
      <w:pPr>
        <w:widowControl/>
        <w:jc w:val="left"/>
        <w:rPr>
          <w:rFonts w:ascii="仿宋" w:eastAsia="仿宋"/>
          <w:color w:val="000000"/>
          <w:sz w:val="32"/>
          <w:szCs w:val="32"/>
        </w:rPr>
      </w:pPr>
    </w:p>
    <w:p>
      <w:pPr>
        <w:widowControl/>
        <w:jc w:val="left"/>
        <w:rPr>
          <w:rFonts w:ascii="仿宋" w:eastAsia="仿宋"/>
          <w:color w:val="000000"/>
          <w:sz w:val="32"/>
          <w:szCs w:val="32"/>
        </w:rPr>
      </w:pPr>
    </w:p>
    <w:p>
      <w:pPr>
        <w:widowControl/>
        <w:jc w:val="left"/>
        <w:rPr>
          <w:rFonts w:ascii="仿宋" w:eastAsia="仿宋"/>
          <w:color w:val="000000"/>
          <w:sz w:val="32"/>
          <w:szCs w:val="32"/>
        </w:rPr>
      </w:pPr>
    </w:p>
    <w:p>
      <w:pPr>
        <w:widowControl/>
        <w:jc w:val="left"/>
        <w:rPr>
          <w:rFonts w:ascii="仿宋" w:eastAsia="仿宋"/>
          <w:color w:val="000000"/>
          <w:sz w:val="32"/>
          <w:szCs w:val="32"/>
        </w:rPr>
      </w:pPr>
    </w:p>
    <w:p>
      <w:pPr>
        <w:widowControl/>
        <w:jc w:val="left"/>
        <w:rPr>
          <w:rFonts w:ascii="仿宋" w:eastAsia="仿宋"/>
          <w:color w:val="000000"/>
          <w:sz w:val="32"/>
          <w:szCs w:val="32"/>
        </w:rPr>
      </w:pPr>
    </w:p>
    <w:p>
      <w:pPr>
        <w:widowControl/>
        <w:jc w:val="left"/>
        <w:rPr>
          <w:rFonts w:ascii="仿宋" w:eastAsia="仿宋"/>
          <w:color w:val="000000"/>
          <w:sz w:val="32"/>
          <w:szCs w:val="32"/>
        </w:rPr>
      </w:pPr>
    </w:p>
    <w:p>
      <w:pPr>
        <w:pStyle w:val="2"/>
        <w:ind w:right="440"/>
        <w:jc w:val="right"/>
        <w:rPr>
          <w:rFonts w:ascii="黑体" w:eastAsia="黑体"/>
          <w:b w:val="0"/>
          <w:bCs w:val="0"/>
        </w:rPr>
      </w:pPr>
      <w:bookmarkStart w:id="32" w:name="_Toc15377204"/>
      <w:bookmarkStart w:id="33" w:name="_Toc79163609"/>
      <w:bookmarkStart w:id="34" w:name="_Toc15396602"/>
      <w:bookmarkStart w:id="35" w:name="_Toc114676090"/>
      <w:r>
        <w:rPr>
          <w:rFonts w:hint="eastAsia" w:ascii="黑体" w:eastAsia="黑体"/>
          <w:b w:val="0"/>
          <w:color w:val="000000"/>
        </w:rPr>
        <w:t>第二部分</w:t>
      </w:r>
      <w:r>
        <w:rPr>
          <w:rStyle w:val="24"/>
          <w:rFonts w:ascii="黑体" w:eastAsia="黑体"/>
          <w:b w:val="0"/>
          <w:bCs w:val="0"/>
        </w:rPr>
        <w:t>2021</w:t>
      </w:r>
      <w:r>
        <w:rPr>
          <w:rStyle w:val="24"/>
          <w:rFonts w:hint="eastAsia" w:ascii="黑体" w:eastAsia="黑体"/>
          <w:b w:val="0"/>
          <w:bCs w:val="0"/>
        </w:rPr>
        <w:t>年度部门决算情况说明</w:t>
      </w:r>
      <w:bookmarkEnd w:id="32"/>
      <w:bookmarkEnd w:id="33"/>
      <w:bookmarkEnd w:id="34"/>
      <w:bookmarkEnd w:id="35"/>
    </w:p>
    <w:p>
      <w:pPr>
        <w:pStyle w:val="30"/>
        <w:numPr>
          <w:ilvl w:val="0"/>
          <w:numId w:val="1"/>
        </w:numPr>
        <w:spacing w:line="600" w:lineRule="exact"/>
        <w:ind w:firstLineChars="0"/>
        <w:outlineLvl w:val="1"/>
        <w:rPr>
          <w:rStyle w:val="25"/>
          <w:rFonts w:ascii="黑体" w:eastAsia="黑体"/>
          <w:b w:val="0"/>
        </w:rPr>
      </w:pPr>
      <w:bookmarkStart w:id="36" w:name="_Toc79163610"/>
      <w:bookmarkStart w:id="37" w:name="_Toc15377205"/>
      <w:bookmarkStart w:id="38" w:name="_Toc114676091"/>
      <w:bookmarkStart w:id="39" w:name="_Toc15396603"/>
      <w:r>
        <w:rPr>
          <w:rFonts w:hint="eastAsia" w:ascii="黑体" w:eastAsia="黑体"/>
          <w:color w:val="000000"/>
          <w:sz w:val="32"/>
          <w:szCs w:val="32"/>
        </w:rPr>
        <w:t>收</w:t>
      </w:r>
      <w:r>
        <w:rPr>
          <w:rStyle w:val="25"/>
          <w:rFonts w:hint="eastAsia" w:ascii="黑体" w:eastAsia="黑体"/>
          <w:b w:val="0"/>
        </w:rPr>
        <w:t>入支出决算总体情况说明</w:t>
      </w:r>
      <w:bookmarkEnd w:id="36"/>
      <w:bookmarkEnd w:id="37"/>
      <w:bookmarkEnd w:id="38"/>
      <w:bookmarkEnd w:id="39"/>
    </w:p>
    <w:p>
      <w:pPr>
        <w:spacing w:line="600"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年度收、支总计1529.78万元。与</w:t>
      </w:r>
      <w:r>
        <w:rPr>
          <w:rFonts w:ascii="仿宋" w:eastAsia="仿宋"/>
          <w:color w:val="000000"/>
          <w:sz w:val="32"/>
          <w:szCs w:val="32"/>
        </w:rPr>
        <w:t>2020</w:t>
      </w:r>
      <w:r>
        <w:rPr>
          <w:rFonts w:hint="eastAsia" w:ascii="仿宋" w:eastAsia="仿宋"/>
          <w:color w:val="000000"/>
          <w:sz w:val="32"/>
          <w:szCs w:val="32"/>
        </w:rPr>
        <w:t>年相比，收、支总计各减少585.15万元，减少38.25</w:t>
      </w:r>
      <w:r>
        <w:rPr>
          <w:rFonts w:ascii="仿宋" w:eastAsia="仿宋"/>
          <w:color w:val="000000"/>
          <w:sz w:val="32"/>
          <w:szCs w:val="32"/>
        </w:rPr>
        <w:t>%</w:t>
      </w:r>
      <w:r>
        <w:rPr>
          <w:rFonts w:hint="eastAsia" w:ascii="仿宋" w:eastAsia="仿宋"/>
          <w:color w:val="000000"/>
          <w:sz w:val="32"/>
          <w:szCs w:val="32"/>
        </w:rPr>
        <w:t>。主要变动原因是我镇2021年项目资金减少。</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459105</wp:posOffset>
            </wp:positionH>
            <wp:positionV relativeFrom="paragraph">
              <wp:posOffset>601345</wp:posOffset>
            </wp:positionV>
            <wp:extent cx="4786630" cy="3216910"/>
            <wp:effectExtent l="19050" t="0" r="13970" b="254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eastAsia="仿宋"/>
          <w:color w:val="000000"/>
          <w:sz w:val="32"/>
          <w:szCs w:val="32"/>
        </w:rPr>
        <w:t>（图</w:t>
      </w:r>
      <w:r>
        <w:rPr>
          <w:rFonts w:ascii="仿宋" w:eastAsia="仿宋"/>
          <w:color w:val="000000"/>
          <w:sz w:val="32"/>
          <w:szCs w:val="32"/>
        </w:rPr>
        <w:t>1</w:t>
      </w:r>
      <w:r>
        <w:rPr>
          <w:rFonts w:hint="eastAsia" w:ascii="仿宋" w:eastAsia="仿宋"/>
          <w:color w:val="000000"/>
          <w:sz w:val="32"/>
          <w:szCs w:val="32"/>
        </w:rPr>
        <w:t>：收、支决算总计变动情况图）</w:t>
      </w:r>
    </w:p>
    <w:p>
      <w:pPr>
        <w:pStyle w:val="30"/>
        <w:numPr>
          <w:ilvl w:val="0"/>
          <w:numId w:val="1"/>
        </w:numPr>
        <w:spacing w:line="600" w:lineRule="exact"/>
        <w:ind w:firstLineChars="0"/>
        <w:outlineLvl w:val="1"/>
        <w:rPr>
          <w:rStyle w:val="25"/>
          <w:rFonts w:ascii="黑体" w:eastAsia="黑体"/>
          <w:b w:val="0"/>
        </w:rPr>
      </w:pPr>
      <w:bookmarkStart w:id="40" w:name="_Toc15396604"/>
      <w:bookmarkStart w:id="41" w:name="_Toc15377206"/>
      <w:bookmarkStart w:id="42" w:name="_Toc79163611"/>
      <w:bookmarkStart w:id="43" w:name="_Toc114676092"/>
      <w:r>
        <w:rPr>
          <w:rFonts w:hint="eastAsia" w:ascii="黑体" w:eastAsia="黑体"/>
          <w:color w:val="000000"/>
          <w:sz w:val="32"/>
          <w:szCs w:val="32"/>
        </w:rPr>
        <w:t>收</w:t>
      </w:r>
      <w:r>
        <w:rPr>
          <w:rStyle w:val="25"/>
          <w:rFonts w:hint="eastAsia" w:ascii="黑体" w:eastAsia="黑体"/>
          <w:b w:val="0"/>
        </w:rPr>
        <w:t>入决算情况说明</w:t>
      </w:r>
      <w:bookmarkEnd w:id="40"/>
      <w:bookmarkEnd w:id="41"/>
      <w:bookmarkEnd w:id="42"/>
      <w:bookmarkEnd w:id="43"/>
    </w:p>
    <w:p>
      <w:pPr>
        <w:spacing w:line="600"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年本年收入合计1407.18万元，其中：一般公共预算财政拨款收入1407.18万元，占100.00</w:t>
      </w:r>
      <w:r>
        <w:rPr>
          <w:rFonts w:ascii="仿宋" w:eastAsia="仿宋"/>
          <w:color w:val="000000"/>
          <w:sz w:val="32"/>
          <w:szCs w:val="32"/>
        </w:rPr>
        <w:t>%</w:t>
      </w:r>
      <w:r>
        <w:rPr>
          <w:rFonts w:hint="eastAsia" w:ascii="仿宋" w:eastAsia="仿宋"/>
          <w:color w:val="000000"/>
          <w:sz w:val="32"/>
          <w:szCs w:val="32"/>
        </w:rPr>
        <w:t>；政府性基金预算财政拨款收入0.00万元，占1.92</w:t>
      </w:r>
      <w:r>
        <w:rPr>
          <w:rFonts w:ascii="仿宋" w:eastAsia="仿宋"/>
          <w:color w:val="000000"/>
          <w:sz w:val="32"/>
          <w:szCs w:val="32"/>
        </w:rPr>
        <w:t>%</w:t>
      </w:r>
      <w:r>
        <w:rPr>
          <w:rFonts w:hint="eastAsia" w:ascii="仿宋" w:eastAsia="仿宋"/>
          <w:color w:val="000000"/>
          <w:sz w:val="32"/>
          <w:szCs w:val="32"/>
        </w:rPr>
        <w:t>；上级补助收入0.00万元，占0.00</w:t>
      </w:r>
      <w:r>
        <w:rPr>
          <w:rFonts w:ascii="仿宋" w:eastAsia="仿宋"/>
          <w:color w:val="000000"/>
          <w:sz w:val="32"/>
          <w:szCs w:val="32"/>
        </w:rPr>
        <w:t>%</w:t>
      </w:r>
      <w:r>
        <w:rPr>
          <w:rFonts w:hint="eastAsia" w:ascii="仿宋" w:eastAsia="仿宋"/>
          <w:color w:val="000000"/>
          <w:sz w:val="32"/>
          <w:szCs w:val="32"/>
        </w:rPr>
        <w:t>；事业收入0.00万元，占0.00</w:t>
      </w:r>
      <w:r>
        <w:rPr>
          <w:rFonts w:ascii="仿宋" w:eastAsia="仿宋"/>
          <w:color w:val="000000"/>
          <w:sz w:val="32"/>
          <w:szCs w:val="32"/>
        </w:rPr>
        <w:t>%</w:t>
      </w:r>
      <w:r>
        <w:rPr>
          <w:rFonts w:hint="eastAsia" w:ascii="仿宋" w:eastAsia="仿宋"/>
          <w:color w:val="000000"/>
          <w:sz w:val="32"/>
          <w:szCs w:val="32"/>
        </w:rPr>
        <w:t>；经营收入0.00万元，占0.00</w:t>
      </w:r>
      <w:r>
        <w:rPr>
          <w:rFonts w:ascii="仿宋" w:eastAsia="仿宋"/>
          <w:color w:val="000000"/>
          <w:sz w:val="32"/>
          <w:szCs w:val="32"/>
        </w:rPr>
        <w:t>%</w:t>
      </w:r>
      <w:r>
        <w:rPr>
          <w:rFonts w:hint="eastAsia" w:ascii="仿宋" w:eastAsia="仿宋"/>
          <w:color w:val="000000"/>
          <w:sz w:val="32"/>
          <w:szCs w:val="32"/>
        </w:rPr>
        <w:t>；附属单位上缴收入0.00万元，占0.00</w:t>
      </w:r>
      <w:r>
        <w:rPr>
          <w:rFonts w:ascii="仿宋" w:eastAsia="仿宋"/>
          <w:color w:val="000000"/>
          <w:sz w:val="32"/>
          <w:szCs w:val="32"/>
        </w:rPr>
        <w:t>%</w:t>
      </w:r>
      <w:r>
        <w:rPr>
          <w:rFonts w:hint="eastAsia" w:ascii="仿宋" w:eastAsia="仿宋"/>
          <w:color w:val="000000"/>
          <w:sz w:val="32"/>
          <w:szCs w:val="32"/>
        </w:rPr>
        <w:t>；其他收入0.00万元，占0.00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0288" behindDoc="0" locked="0" layoutInCell="1" allowOverlap="1">
            <wp:simplePos x="0" y="0"/>
            <wp:positionH relativeFrom="column">
              <wp:posOffset>502920</wp:posOffset>
            </wp:positionH>
            <wp:positionV relativeFrom="page">
              <wp:posOffset>1025525</wp:posOffset>
            </wp:positionV>
            <wp:extent cx="4516120" cy="3625215"/>
            <wp:effectExtent l="19050" t="0" r="17780" b="0"/>
            <wp:wrapTopAndBottom/>
            <wp:docPr id="1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：收入决算结构图）</w:t>
      </w:r>
    </w:p>
    <w:p>
      <w:pPr>
        <w:pStyle w:val="30"/>
        <w:numPr>
          <w:ilvl w:val="0"/>
          <w:numId w:val="1"/>
        </w:numPr>
        <w:spacing w:line="600" w:lineRule="exact"/>
        <w:ind w:firstLineChars="0"/>
        <w:outlineLvl w:val="1"/>
        <w:rPr>
          <w:rStyle w:val="25"/>
          <w:rFonts w:ascii="黑体" w:eastAsia="黑体"/>
          <w:b w:val="0"/>
        </w:rPr>
      </w:pPr>
      <w:bookmarkStart w:id="44" w:name="_Toc114676093"/>
      <w:bookmarkStart w:id="45" w:name="_Toc79163612"/>
      <w:bookmarkStart w:id="46" w:name="_Toc15377207"/>
      <w:bookmarkStart w:id="47" w:name="_Toc15396605"/>
      <w:r>
        <w:rPr>
          <w:rFonts w:hint="eastAsia" w:ascii="黑体" w:eastAsia="黑体"/>
          <w:color w:val="000000"/>
          <w:sz w:val="32"/>
          <w:szCs w:val="32"/>
        </w:rPr>
        <w:t>支</w:t>
      </w:r>
      <w:r>
        <w:rPr>
          <w:rStyle w:val="25"/>
          <w:rFonts w:hint="eastAsia" w:asci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年本年支出合计1529.78万元，其中：基本支出843.23万元，占55.12</w:t>
      </w:r>
      <w:r>
        <w:rPr>
          <w:rFonts w:ascii="仿宋_GB2312" w:eastAsia="仿宋_GB2312"/>
          <w:sz w:val="32"/>
          <w:szCs w:val="32"/>
        </w:rPr>
        <w:t>%</w:t>
      </w:r>
      <w:r>
        <w:rPr>
          <w:rFonts w:hint="eastAsia" w:ascii="仿宋_GB2312" w:eastAsia="仿宋_GB2312"/>
          <w:sz w:val="32"/>
          <w:szCs w:val="32"/>
        </w:rPr>
        <w:t>；项目支出686.55万元，占44.88</w:t>
      </w:r>
      <w:r>
        <w:rPr>
          <w:rFonts w:ascii="仿宋_GB2312" w:eastAsia="仿宋_GB2312"/>
          <w:sz w:val="32"/>
          <w:szCs w:val="32"/>
        </w:rPr>
        <w:t>%</w:t>
      </w:r>
      <w:r>
        <w:rPr>
          <w:rFonts w:hint="eastAsia" w:ascii="仿宋_GB2312" w:eastAsia="仿宋_GB2312"/>
          <w:sz w:val="32"/>
          <w:szCs w:val="32"/>
        </w:rPr>
        <w:t>；上缴上级支出0.00万元，占0.00</w:t>
      </w:r>
      <w:r>
        <w:rPr>
          <w:rFonts w:ascii="仿宋_GB2312" w:eastAsia="仿宋_GB2312"/>
          <w:sz w:val="32"/>
          <w:szCs w:val="32"/>
        </w:rPr>
        <w:t>%</w:t>
      </w:r>
      <w:r>
        <w:rPr>
          <w:rFonts w:hint="eastAsia" w:ascii="仿宋_GB2312" w:eastAsia="仿宋_GB2312"/>
          <w:sz w:val="32"/>
          <w:szCs w:val="32"/>
        </w:rPr>
        <w:t>；经营支出0.00万元，占0.00</w:t>
      </w:r>
      <w:r>
        <w:rPr>
          <w:rFonts w:ascii="仿宋_GB2312" w:eastAsia="仿宋_GB2312"/>
          <w:sz w:val="32"/>
          <w:szCs w:val="32"/>
        </w:rPr>
        <w:t>%</w:t>
      </w:r>
      <w:r>
        <w:rPr>
          <w:rFonts w:hint="eastAsia" w:ascii="仿宋_GB2312" w:eastAsia="仿宋_GB2312"/>
          <w:sz w:val="32"/>
          <w:szCs w:val="32"/>
        </w:rPr>
        <w:t>；对附属单位补助支出0.00万元，占0.00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61312" behindDoc="0" locked="0" layoutInCell="1" allowOverlap="1">
            <wp:simplePos x="0" y="0"/>
            <wp:positionH relativeFrom="column">
              <wp:posOffset>375920</wp:posOffset>
            </wp:positionH>
            <wp:positionV relativeFrom="paragraph">
              <wp:posOffset>4490720</wp:posOffset>
            </wp:positionV>
            <wp:extent cx="4413885" cy="3258185"/>
            <wp:effectExtent l="19050" t="0" r="24765" b="0"/>
            <wp:wrapTopAndBottom/>
            <wp:docPr id="1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_GB2312" w:eastAsia="仿宋_GB2312"/>
          <w:sz w:val="32"/>
          <w:szCs w:val="32"/>
        </w:rPr>
      </w:pPr>
      <w:r>
        <w:rPr>
          <w:rFonts w:hint="eastAsia" w:ascii="仿宋" w:eastAsia="仿宋"/>
          <w:color w:val="000000"/>
          <w:sz w:val="32"/>
          <w:szCs w:val="32"/>
        </w:rPr>
        <w:t>（图</w:t>
      </w:r>
      <w:r>
        <w:rPr>
          <w:rFonts w:ascii="仿宋" w:eastAsia="仿宋"/>
          <w:color w:val="000000"/>
          <w:sz w:val="32"/>
          <w:szCs w:val="32"/>
        </w:rPr>
        <w:t>3</w:t>
      </w:r>
      <w:r>
        <w:rPr>
          <w:rFonts w:hint="eastAsia" w:ascii="仿宋" w:eastAsia="仿宋"/>
          <w:color w:val="000000"/>
          <w:sz w:val="32"/>
          <w:szCs w:val="32"/>
        </w:rPr>
        <w:t>：支出决算结构图）（饼状图）</w:t>
      </w:r>
    </w:p>
    <w:p>
      <w:pPr>
        <w:spacing w:line="600" w:lineRule="exact"/>
        <w:ind w:firstLine="640" w:firstLineChars="200"/>
        <w:outlineLvl w:val="1"/>
        <w:rPr>
          <w:rStyle w:val="25"/>
          <w:rFonts w:ascii="黑体" w:eastAsia="黑体"/>
          <w:b w:val="0"/>
        </w:rPr>
      </w:pPr>
      <w:bookmarkStart w:id="48" w:name="_Toc15396606"/>
      <w:bookmarkStart w:id="49" w:name="_Toc15377208"/>
      <w:bookmarkStart w:id="50" w:name="_Toc79163613"/>
      <w:bookmarkStart w:id="51" w:name="_Toc114676094"/>
      <w:r>
        <w:rPr>
          <w:rFonts w:hint="eastAsia" w:ascii="黑体" w:eastAsia="黑体"/>
          <w:color w:val="000000"/>
          <w:sz w:val="32"/>
          <w:szCs w:val="32"/>
        </w:rPr>
        <w:t>四、财</w:t>
      </w:r>
      <w:r>
        <w:rPr>
          <w:rStyle w:val="25"/>
          <w:rFonts w:hint="eastAsia" w:ascii="黑体" w:eastAsia="黑体"/>
          <w:b w:val="0"/>
        </w:rPr>
        <w:t>政拨款收入支出决算总体情况说明</w:t>
      </w:r>
      <w:bookmarkEnd w:id="48"/>
      <w:bookmarkEnd w:id="49"/>
      <w:bookmarkEnd w:id="50"/>
      <w:bookmarkEnd w:id="51"/>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年财政拨款收、支总计1529.78万元。与</w:t>
      </w:r>
      <w:r>
        <w:rPr>
          <w:rFonts w:ascii="仿宋" w:eastAsia="仿宋"/>
          <w:color w:val="000000"/>
          <w:sz w:val="32"/>
          <w:szCs w:val="32"/>
        </w:rPr>
        <w:t>2020</w:t>
      </w:r>
      <w:r>
        <w:rPr>
          <w:rFonts w:hint="eastAsia" w:ascii="仿宋" w:eastAsia="仿宋"/>
          <w:color w:val="000000"/>
          <w:sz w:val="32"/>
          <w:szCs w:val="32"/>
        </w:rPr>
        <w:t>年相比，财政拨款收、支总计各减少585.15万元，减少38.25</w:t>
      </w:r>
      <w:r>
        <w:rPr>
          <w:rFonts w:ascii="仿宋" w:eastAsia="仿宋"/>
          <w:color w:val="000000"/>
          <w:sz w:val="32"/>
          <w:szCs w:val="32"/>
        </w:rPr>
        <w:t>%</w:t>
      </w:r>
      <w:r>
        <w:rPr>
          <w:rFonts w:hint="eastAsia" w:ascii="仿宋" w:eastAsia="仿宋"/>
          <w:color w:val="000000"/>
          <w:sz w:val="32"/>
          <w:szCs w:val="32"/>
        </w:rPr>
        <w:t>。主要变动原因是我镇2021年项目资金减少。</w:t>
      </w: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410210</wp:posOffset>
            </wp:positionH>
            <wp:positionV relativeFrom="paragraph">
              <wp:posOffset>98425</wp:posOffset>
            </wp:positionV>
            <wp:extent cx="4512310" cy="2957830"/>
            <wp:effectExtent l="19050" t="0" r="21590" b="0"/>
            <wp:wrapTopAndBottom/>
            <wp:docPr id="2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480" w:firstLineChars="15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：财政拨款收、支决算总计变动情况）</w:t>
      </w:r>
    </w:p>
    <w:p>
      <w:pPr>
        <w:spacing w:line="600" w:lineRule="exact"/>
        <w:ind w:firstLine="640" w:firstLineChars="200"/>
        <w:outlineLvl w:val="1"/>
        <w:rPr>
          <w:rStyle w:val="25"/>
          <w:rFonts w:ascii="黑体" w:eastAsia="黑体"/>
          <w:b w:val="0"/>
        </w:rPr>
      </w:pPr>
      <w:bookmarkStart w:id="52" w:name="_Toc79163614"/>
      <w:bookmarkStart w:id="53" w:name="_Toc15377209"/>
      <w:bookmarkStart w:id="54" w:name="_Toc15396607"/>
      <w:bookmarkStart w:id="55" w:name="_Toc114676095"/>
      <w:r>
        <w:rPr>
          <w:rFonts w:hint="eastAsia" w:ascii="黑体" w:eastAsia="黑体"/>
          <w:color w:val="000000"/>
          <w:sz w:val="32"/>
          <w:szCs w:val="32"/>
        </w:rPr>
        <w:t>五、</w:t>
      </w:r>
      <w:r>
        <w:rPr>
          <w:rFonts w:hint="eastAsia" w:ascii="黑体" w:eastAsia="黑体"/>
          <w:b/>
          <w:color w:val="000000"/>
          <w:sz w:val="32"/>
          <w:szCs w:val="32"/>
        </w:rPr>
        <w:t>一</w:t>
      </w:r>
      <w:r>
        <w:rPr>
          <w:rStyle w:val="25"/>
          <w:rFonts w:hint="eastAsia" w:asci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eastAsia="仿宋"/>
          <w:b/>
          <w:color w:val="000000"/>
          <w:sz w:val="32"/>
          <w:szCs w:val="32"/>
        </w:rPr>
      </w:pPr>
      <w:bookmarkStart w:id="56" w:name="_Toc114676096"/>
      <w:bookmarkStart w:id="57" w:name="_Toc15377210"/>
      <w:bookmarkStart w:id="58" w:name="_Toc79163615"/>
      <w:r>
        <w:rPr>
          <w:rFonts w:hint="eastAsia" w:asci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年一般公共预算财政拨款支出1407.18万元，占本年支出合计的91.99</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年相比，一般公共预算财政拨款减少419.75万元，减少29.83</w:t>
      </w:r>
      <w:r>
        <w:rPr>
          <w:rFonts w:ascii="仿宋" w:eastAsia="仿宋"/>
          <w:color w:val="000000"/>
          <w:sz w:val="32"/>
          <w:szCs w:val="32"/>
        </w:rPr>
        <w:t>%</w:t>
      </w:r>
      <w:r>
        <w:rPr>
          <w:rFonts w:hint="eastAsia" w:ascii="仿宋" w:eastAsia="仿宋"/>
          <w:color w:val="000000"/>
          <w:sz w:val="32"/>
          <w:szCs w:val="32"/>
        </w:rPr>
        <w:t>。主要变动原因是我镇2021年项目资金减少。</w:t>
      </w:r>
    </w:p>
    <w:p>
      <w:pPr>
        <w:spacing w:line="600" w:lineRule="exact"/>
        <w:ind w:firstLine="480" w:firstLineChars="15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410210</wp:posOffset>
            </wp:positionH>
            <wp:positionV relativeFrom="page">
              <wp:posOffset>1120775</wp:posOffset>
            </wp:positionV>
            <wp:extent cx="4614545" cy="3665220"/>
            <wp:effectExtent l="19050" t="0" r="14605" b="0"/>
            <wp:wrapTopAndBottom/>
            <wp:docPr id="22"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w:t>
      </w:r>
    </w:p>
    <w:p>
      <w:pPr>
        <w:spacing w:line="600" w:lineRule="exact"/>
        <w:ind w:firstLine="482" w:firstLineChars="150"/>
        <w:outlineLvl w:val="2"/>
        <w:rPr>
          <w:rFonts w:ascii="仿宋" w:eastAsia="仿宋"/>
          <w:b/>
          <w:color w:val="000000"/>
          <w:sz w:val="32"/>
          <w:szCs w:val="32"/>
        </w:rPr>
      </w:pPr>
      <w:bookmarkStart w:id="59" w:name="_Toc15377211"/>
      <w:bookmarkStart w:id="60" w:name="_Toc79163616"/>
      <w:bookmarkStart w:id="61" w:name="_Toc114676097"/>
      <w:r>
        <w:rPr>
          <w:rFonts w:hint="eastAsia" w:asci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年一般公共预算财政拨款支出1529.78万元，主要用于以下方面</w:t>
      </w:r>
      <w:r>
        <w:rPr>
          <w:rFonts w:ascii="仿宋" w:eastAsia="仿宋"/>
          <w:color w:val="000000"/>
          <w:sz w:val="32"/>
          <w:szCs w:val="32"/>
        </w:rPr>
        <w:t>:</w:t>
      </w:r>
      <w:r>
        <w:rPr>
          <w:rFonts w:hint="eastAsia" w:ascii="仿宋" w:eastAsia="仿宋"/>
          <w:b/>
          <w:color w:val="000000"/>
          <w:sz w:val="32"/>
          <w:szCs w:val="32"/>
        </w:rPr>
        <w:t>一般公共服务</w:t>
      </w:r>
      <w:r>
        <w:rPr>
          <w:rFonts w:hint="eastAsia" w:ascii="仿宋" w:eastAsia="仿宋"/>
          <w:color w:val="000000"/>
          <w:sz w:val="32"/>
          <w:szCs w:val="32"/>
        </w:rPr>
        <w:t>支出439.66万元，占28.74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国防</w:t>
      </w:r>
      <w:r>
        <w:rPr>
          <w:rFonts w:hint="eastAsia" w:ascii="仿宋" w:eastAsia="仿宋"/>
          <w:color w:val="000000"/>
          <w:sz w:val="32"/>
          <w:szCs w:val="32"/>
        </w:rPr>
        <w:t>支出5万元，占0.33%；</w:t>
      </w:r>
      <w:r>
        <w:rPr>
          <w:rFonts w:hint="eastAsia" w:ascii="仿宋" w:eastAsia="仿宋"/>
          <w:b/>
          <w:color w:val="000000"/>
          <w:sz w:val="32"/>
          <w:szCs w:val="32"/>
        </w:rPr>
        <w:t>社会保障和就业</w:t>
      </w:r>
      <w:r>
        <w:rPr>
          <w:rFonts w:hint="eastAsia" w:ascii="仿宋" w:eastAsia="仿宋"/>
          <w:color w:val="000000"/>
          <w:sz w:val="32"/>
          <w:szCs w:val="32"/>
        </w:rPr>
        <w:t>支出90.34万元，占5.91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rPr>
        <w:t>38.71万元，占2.53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农林水</w:t>
      </w:r>
      <w:r>
        <w:rPr>
          <w:rFonts w:hint="eastAsia" w:ascii="仿宋" w:eastAsia="仿宋"/>
          <w:color w:val="000000"/>
          <w:sz w:val="32"/>
          <w:szCs w:val="32"/>
        </w:rPr>
        <w:t>支出890.99万元，占58.24%；</w:t>
      </w:r>
      <w:r>
        <w:rPr>
          <w:rFonts w:hint="eastAsia" w:ascii="仿宋" w:eastAsia="仿宋"/>
          <w:b/>
          <w:color w:val="000000"/>
          <w:sz w:val="32"/>
          <w:szCs w:val="32"/>
        </w:rPr>
        <w:t>住房保障</w:t>
      </w:r>
      <w:r>
        <w:rPr>
          <w:rFonts w:hint="eastAsia" w:ascii="仿宋" w:eastAsia="仿宋"/>
          <w:color w:val="000000"/>
          <w:sz w:val="32"/>
          <w:szCs w:val="32"/>
        </w:rPr>
        <w:t>支出58.08万元，占3.80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其他</w:t>
      </w:r>
      <w:r>
        <w:rPr>
          <w:rFonts w:hint="eastAsia" w:ascii="仿宋" w:eastAsia="仿宋"/>
          <w:color w:val="000000"/>
          <w:sz w:val="32"/>
          <w:szCs w:val="32"/>
        </w:rPr>
        <w:t>支出7万元，占0.46%。</w:t>
      </w: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r>
        <w:rPr>
          <w:sz w:val="32"/>
          <w:szCs w:val="32"/>
        </w:rPr>
        <w:pict>
          <v:shape id="_x0000_s2050" o:spid="_x0000_s2050" o:spt="75" type="#_x0000_t75" style="position:absolute;left:0pt;margin-left:3.75pt;margin-top:-31.55pt;height:208.55pt;width:417.75pt;z-index:251664384;mso-width-relative:page;mso-height-relative:page;" o:ole="t" filled="f" o:preferrelative="t" stroked="f" coordsize="21600,21600">
            <v:path/>
            <v:fill on="f" focussize="0,0"/>
            <v:stroke on="f" joinstyle="miter"/>
            <v:imagedata r:id="rId12" o:title=""/>
            <o:lock v:ext="edit" aspectratio="f"/>
          </v:shape>
          <o:OLEObject Type="Embed" ProgID="Excel.Sheet.8" ShapeID="_x0000_s2050" DrawAspect="Content" ObjectID="_1468075725" r:id="rId11">
            <o:LockedField>false</o:LockedField>
          </o:OLEObject>
        </w:pict>
      </w: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sz w:val="32"/>
          <w:szCs w:val="32"/>
        </w:rPr>
      </w:pPr>
      <w:r>
        <w:rPr>
          <w:rFonts w:hint="eastAsia" w:ascii="仿宋" w:eastAsia="仿宋"/>
          <w:sz w:val="32"/>
          <w:szCs w:val="32"/>
        </w:rPr>
        <w:t>（图</w:t>
      </w:r>
      <w:r>
        <w:rPr>
          <w:rFonts w:ascii="仿宋" w:eastAsia="仿宋"/>
          <w:sz w:val="32"/>
          <w:szCs w:val="32"/>
        </w:rPr>
        <w:t>6</w:t>
      </w:r>
      <w:r>
        <w:rPr>
          <w:rFonts w:hint="eastAsia" w:ascii="仿宋" w:eastAsia="仿宋"/>
          <w:sz w:val="32"/>
          <w:szCs w:val="32"/>
        </w:rPr>
        <w:t>：一般公共预算财政拨款支出决算结构）</w:t>
      </w:r>
    </w:p>
    <w:p>
      <w:pPr>
        <w:spacing w:line="600" w:lineRule="exact"/>
        <w:outlineLvl w:val="2"/>
        <w:rPr>
          <w:rFonts w:ascii="仿宋" w:eastAsia="仿宋"/>
          <w:b/>
          <w:color w:val="000000"/>
          <w:sz w:val="32"/>
          <w:szCs w:val="32"/>
        </w:rPr>
      </w:pPr>
      <w:bookmarkStart w:id="62" w:name="_Toc79163617"/>
      <w:bookmarkStart w:id="63" w:name="_Toc114676098"/>
      <w:bookmarkStart w:id="64" w:name="_Toc15377212"/>
      <w:r>
        <w:rPr>
          <w:rFonts w:hint="eastAsia" w:ascii="仿宋" w:eastAsia="仿宋"/>
          <w:color w:val="FF0000"/>
          <w:sz w:val="32"/>
          <w:szCs w:val="32"/>
        </w:rPr>
        <w:t xml:space="preserve">   </w:t>
      </w:r>
      <w:r>
        <w:rPr>
          <w:rFonts w:hint="eastAsia" w:asci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8460"/>
      <w:bookmarkStart w:id="66" w:name="_Toc15377444"/>
      <w:bookmarkStart w:id="67" w:name="_Toc15377213"/>
      <w:r>
        <w:rPr>
          <w:rFonts w:ascii="仿宋_GB2312" w:eastAsia="仿宋_GB2312"/>
          <w:b/>
          <w:bCs/>
          <w:sz w:val="32"/>
          <w:szCs w:val="32"/>
        </w:rPr>
        <w:t>2021</w:t>
      </w:r>
      <w:r>
        <w:rPr>
          <w:rFonts w:hint="eastAsia" w:ascii="仿宋_GB2312" w:eastAsia="仿宋_GB2312"/>
          <w:b/>
          <w:bCs/>
          <w:sz w:val="32"/>
          <w:szCs w:val="32"/>
        </w:rPr>
        <w:t>年一般公共预算支出决算数为1529.78万元，完成预算100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600" w:lineRule="exact"/>
        <w:ind w:firstLine="640" w:firstLineChars="200"/>
        <w:rPr>
          <w:rFonts w:ascii="仿宋_GB2312" w:eastAsia="仿宋_GB2312"/>
          <w:color w:val="000000"/>
          <w:sz w:val="32"/>
          <w:szCs w:val="32"/>
        </w:rPr>
      </w:pPr>
      <w:r>
        <w:rPr>
          <w:rStyle w:val="22"/>
          <w:rFonts w:hint="eastAsia" w:ascii="仿宋_GB2312" w:eastAsia="仿宋_GB2312"/>
          <w:b w:val="0"/>
          <w:bCs/>
          <w:color w:val="000000"/>
          <w:sz w:val="32"/>
          <w:szCs w:val="32"/>
        </w:rPr>
        <w:t>1.一般公共服务支出（201）人大事务（20101）代表工作（2010108）支出决算2.7万元，完成预算100%。</w:t>
      </w:r>
    </w:p>
    <w:p>
      <w:pPr>
        <w:tabs>
          <w:tab w:val="left" w:pos="312"/>
        </w:tabs>
        <w:spacing w:line="360" w:lineRule="auto"/>
        <w:ind w:firstLine="640" w:firstLineChars="200"/>
        <w:rPr>
          <w:rFonts w:ascii="仿宋_GB2312" w:hAnsi="仿宋" w:eastAsia="仿宋_GB2312" w:cs="仿宋"/>
          <w:color w:val="000000"/>
          <w:sz w:val="32"/>
          <w:szCs w:val="32"/>
        </w:rPr>
      </w:pPr>
      <w:r>
        <w:rPr>
          <w:rStyle w:val="22"/>
          <w:rFonts w:hint="eastAsia" w:ascii="仿宋_GB2312" w:hAnsi="仿宋" w:eastAsia="仿宋_GB2312" w:cs="仿宋"/>
          <w:b w:val="0"/>
          <w:color w:val="000000"/>
          <w:sz w:val="32"/>
          <w:szCs w:val="32"/>
        </w:rPr>
        <w:t>2.一般公共服务</w:t>
      </w:r>
      <w:r>
        <w:rPr>
          <w:rStyle w:val="22"/>
          <w:rFonts w:hint="eastAsia" w:ascii="仿宋_GB2312" w:eastAsia="仿宋_GB2312"/>
          <w:b w:val="0"/>
          <w:bCs/>
          <w:color w:val="000000"/>
          <w:sz w:val="32"/>
          <w:szCs w:val="32"/>
        </w:rPr>
        <w:t>支出</w:t>
      </w:r>
      <w:r>
        <w:rPr>
          <w:rStyle w:val="22"/>
          <w:rFonts w:hint="eastAsia" w:ascii="仿宋_GB2312" w:hAnsi="仿宋" w:eastAsia="仿宋_GB2312" w:cs="仿宋"/>
          <w:b w:val="0"/>
          <w:color w:val="000000"/>
          <w:sz w:val="32"/>
          <w:szCs w:val="32"/>
        </w:rPr>
        <w:t>（201）政府办公厅（室）及相关机构事务（20103）行政运行（2010301）</w:t>
      </w:r>
      <w:r>
        <w:rPr>
          <w:rFonts w:hint="eastAsia" w:ascii="仿宋_GB2312" w:hAnsi="仿宋" w:eastAsia="仿宋_GB2312" w:cs="仿宋_GB2312"/>
          <w:color w:val="000000"/>
          <w:sz w:val="32"/>
          <w:szCs w:val="32"/>
        </w:rPr>
        <w:t>支出决算333.72万元，完成预算100%。</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s="仿宋_GB2312"/>
          <w:color w:val="000000"/>
          <w:kern w:val="0"/>
          <w:sz w:val="32"/>
          <w:szCs w:val="32"/>
        </w:rPr>
      </w:pPr>
      <w:r>
        <w:rPr>
          <w:rStyle w:val="22"/>
          <w:rFonts w:hint="eastAsia" w:ascii="仿宋_GB2312" w:hAnsi="仿宋" w:eastAsia="仿宋_GB2312" w:cs="仿宋"/>
          <w:b w:val="0"/>
          <w:color w:val="000000"/>
          <w:sz w:val="32"/>
          <w:szCs w:val="32"/>
        </w:rPr>
        <w:t>3.一般公共服务</w:t>
      </w:r>
      <w:r>
        <w:rPr>
          <w:rStyle w:val="22"/>
          <w:rFonts w:hint="eastAsia" w:ascii="仿宋_GB2312" w:eastAsia="仿宋_GB2312"/>
          <w:b w:val="0"/>
          <w:bCs/>
          <w:color w:val="000000"/>
          <w:sz w:val="32"/>
          <w:szCs w:val="32"/>
        </w:rPr>
        <w:t>支出</w:t>
      </w:r>
      <w:r>
        <w:rPr>
          <w:rStyle w:val="22"/>
          <w:rFonts w:hint="eastAsia" w:ascii="仿宋_GB2312" w:hAnsi="仿宋" w:eastAsia="仿宋_GB2312" w:cs="仿宋"/>
          <w:b w:val="0"/>
          <w:color w:val="000000"/>
          <w:sz w:val="32"/>
          <w:szCs w:val="32"/>
        </w:rPr>
        <w:t>（201）政府办公厅（室）及相关机构事务（20103）其他政府办公厅（室）及相关机构事务支出（2010399）支出18.02万元，</w:t>
      </w:r>
      <w:r>
        <w:rPr>
          <w:rFonts w:hint="eastAsia" w:ascii="仿宋_GB2312" w:hAnsi="仿宋" w:eastAsia="仿宋_GB2312" w:cs="仿宋_GB2312"/>
          <w:color w:val="000000"/>
          <w:sz w:val="32"/>
          <w:szCs w:val="32"/>
        </w:rPr>
        <w:t>完成预算100%</w:t>
      </w:r>
      <w:r>
        <w:rPr>
          <w:rFonts w:hint="eastAsia" w:ascii="仿宋_GB2312" w:hAnsi="Arial" w:eastAsia="仿宋_GB2312" w:cs="仿宋_GB2312"/>
          <w:color w:val="000000"/>
          <w:kern w:val="0"/>
          <w:sz w:val="32"/>
          <w:szCs w:val="32"/>
        </w:rPr>
        <w:t>。</w:t>
      </w:r>
    </w:p>
    <w:p>
      <w:pPr>
        <w:tabs>
          <w:tab w:val="left" w:pos="312"/>
        </w:tabs>
        <w:spacing w:line="360" w:lineRule="auto"/>
        <w:ind w:firstLine="800" w:firstLineChars="250"/>
        <w:rPr>
          <w:rFonts w:ascii="仿宋_GB2312" w:hAnsi="仿宋" w:eastAsia="仿宋_GB2312"/>
          <w:bCs/>
          <w:color w:val="000000"/>
        </w:rPr>
      </w:pPr>
      <w:r>
        <w:rPr>
          <w:rStyle w:val="22"/>
          <w:rFonts w:hint="eastAsia" w:ascii="仿宋_GB2312" w:hAnsi="仿宋" w:eastAsia="仿宋_GB2312" w:cs="仿宋"/>
          <w:b w:val="0"/>
          <w:color w:val="000000"/>
          <w:sz w:val="32"/>
          <w:szCs w:val="32"/>
        </w:rPr>
        <w:t>4.一般公共服务</w:t>
      </w:r>
      <w:r>
        <w:rPr>
          <w:rStyle w:val="22"/>
          <w:rFonts w:hint="eastAsia" w:ascii="仿宋_GB2312" w:eastAsia="仿宋_GB2312"/>
          <w:b w:val="0"/>
          <w:bCs/>
          <w:color w:val="000000"/>
          <w:sz w:val="32"/>
          <w:szCs w:val="32"/>
        </w:rPr>
        <w:t>支出</w:t>
      </w:r>
      <w:r>
        <w:rPr>
          <w:rStyle w:val="22"/>
          <w:rFonts w:hint="eastAsia" w:ascii="仿宋_GB2312" w:hAnsi="仿宋" w:eastAsia="仿宋_GB2312" w:cs="仿宋"/>
          <w:b w:val="0"/>
          <w:color w:val="000000"/>
          <w:sz w:val="32"/>
          <w:szCs w:val="32"/>
        </w:rPr>
        <w:t>（201）党委办公室及相关机构事务（20131）行政运行（2013101）</w:t>
      </w:r>
      <w:r>
        <w:rPr>
          <w:rFonts w:hint="eastAsia" w:ascii="仿宋_GB2312" w:hAnsi="仿宋" w:eastAsia="仿宋_GB2312" w:cs="仿宋_GB2312"/>
          <w:color w:val="000000"/>
          <w:sz w:val="32"/>
          <w:szCs w:val="32"/>
        </w:rPr>
        <w:t>支出决算85.22万元</w:t>
      </w:r>
      <w:r>
        <w:rPr>
          <w:rFonts w:hint="eastAsia" w:ascii="仿宋_GB2312" w:hAnsi="仿宋" w:eastAsia="仿宋_GB2312" w:cs="仿宋_GB2312"/>
          <w:bCs/>
          <w:color w:val="000000"/>
        </w:rPr>
        <w:t>，</w:t>
      </w:r>
      <w:r>
        <w:rPr>
          <w:rFonts w:hint="eastAsia" w:ascii="仿宋_GB2312" w:hAnsi="仿宋" w:eastAsia="仿宋_GB2312" w:cs="仿宋_GB2312"/>
          <w:color w:val="000000"/>
          <w:sz w:val="32"/>
          <w:szCs w:val="32"/>
        </w:rPr>
        <w:t>完成预算100%。</w:t>
      </w:r>
    </w:p>
    <w:p>
      <w:pPr>
        <w:spacing w:line="360" w:lineRule="auto"/>
        <w:ind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5.</w:t>
      </w:r>
      <w:r>
        <w:rPr>
          <w:rStyle w:val="22"/>
          <w:rFonts w:hint="eastAsia" w:ascii="仿宋_GB2312" w:hAnsi="仿宋" w:eastAsia="仿宋_GB2312" w:cs="仿宋"/>
          <w:b w:val="0"/>
          <w:color w:val="000000"/>
          <w:sz w:val="32"/>
          <w:szCs w:val="32"/>
        </w:rPr>
        <w:t>国防支出（203）国防动员（20306）民兵（2030607）</w:t>
      </w:r>
      <w:r>
        <w:rPr>
          <w:rFonts w:hint="eastAsia" w:ascii="仿宋_GB2312" w:hAnsi="仿宋" w:eastAsia="仿宋_GB2312" w:cs="仿宋_GB2312"/>
          <w:color w:val="000000"/>
          <w:sz w:val="32"/>
          <w:szCs w:val="32"/>
        </w:rPr>
        <w:t>支出决算5万元</w:t>
      </w:r>
      <w:r>
        <w:rPr>
          <w:rFonts w:hint="eastAsia" w:ascii="仿宋_GB2312" w:hAnsi="仿宋" w:eastAsia="仿宋_GB2312" w:cs="仿宋_GB2312"/>
          <w:bCs/>
          <w:color w:val="000000"/>
        </w:rPr>
        <w:t>，</w:t>
      </w:r>
      <w:r>
        <w:rPr>
          <w:rFonts w:hint="eastAsia" w:ascii="仿宋_GB2312" w:hAnsi="仿宋" w:eastAsia="仿宋_GB2312" w:cs="仿宋_GB2312"/>
          <w:color w:val="000000"/>
          <w:sz w:val="32"/>
          <w:szCs w:val="32"/>
        </w:rPr>
        <w:t>完成预算100%。</w:t>
      </w:r>
    </w:p>
    <w:p>
      <w:pPr>
        <w:spacing w:line="360" w:lineRule="auto"/>
        <w:ind w:firstLine="640" w:firstLineChars="200"/>
        <w:rPr>
          <w:rFonts w:ascii="仿宋_GB2312" w:hAnsi="Arial" w:eastAsia="仿宋_GB2312" w:cs="仿宋_GB2312"/>
          <w:color w:val="000000"/>
          <w:kern w:val="0"/>
          <w:sz w:val="32"/>
          <w:szCs w:val="32"/>
        </w:rPr>
      </w:pPr>
      <w:r>
        <w:rPr>
          <w:rFonts w:hint="eastAsia" w:ascii="仿宋_GB2312" w:hAnsi="仿宋" w:eastAsia="仿宋_GB2312" w:cs="仿宋_GB2312"/>
          <w:color w:val="000000"/>
          <w:sz w:val="32"/>
          <w:szCs w:val="32"/>
        </w:rPr>
        <w:t>6</w:t>
      </w:r>
      <w:r>
        <w:rPr>
          <w:rFonts w:ascii="仿宋_GB2312" w:hAnsi="仿宋" w:eastAsia="仿宋_GB2312" w:cs="仿宋_GB2312"/>
          <w:color w:val="000000"/>
          <w:sz w:val="32"/>
          <w:szCs w:val="32"/>
        </w:rPr>
        <w:t>.</w:t>
      </w:r>
      <w:r>
        <w:rPr>
          <w:rStyle w:val="22"/>
          <w:rFonts w:hint="eastAsia" w:ascii="仿宋_GB2312" w:hAnsi="仿宋" w:eastAsia="仿宋_GB2312" w:cs="仿宋"/>
          <w:b w:val="0"/>
          <w:color w:val="000000"/>
          <w:sz w:val="32"/>
          <w:szCs w:val="32"/>
        </w:rPr>
        <w:t>社会保障和就业支出（208）行政事业单位离退休（20805）机关事业单位基本养老保险缴费支出（2080505）</w:t>
      </w:r>
      <w:r>
        <w:rPr>
          <w:rFonts w:hint="eastAsia" w:ascii="仿宋_GB2312" w:hAnsi="仿宋" w:eastAsia="仿宋_GB2312" w:cs="仿宋_GB2312"/>
          <w:color w:val="000000"/>
          <w:sz w:val="32"/>
          <w:szCs w:val="32"/>
        </w:rPr>
        <w:t>支出决算53.01万元，完成预算100%。</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s="仿宋_GB2312"/>
          <w:color w:val="000000"/>
          <w:kern w:val="0"/>
          <w:sz w:val="32"/>
          <w:szCs w:val="32"/>
        </w:rPr>
      </w:pPr>
      <w:r>
        <w:rPr>
          <w:rStyle w:val="22"/>
          <w:rFonts w:hint="eastAsia" w:ascii="仿宋_GB2312" w:hAnsi="仿宋" w:eastAsia="仿宋_GB2312" w:cs="仿宋"/>
          <w:b w:val="0"/>
          <w:color w:val="000000"/>
          <w:sz w:val="32"/>
          <w:szCs w:val="32"/>
        </w:rPr>
        <w:t>7.社会保障和就业支出（208）行政事业单位离退休（20805）机关事业单位职业年金缴费支出（2080506）</w:t>
      </w:r>
      <w:r>
        <w:rPr>
          <w:rFonts w:hint="eastAsia" w:ascii="仿宋_GB2312" w:hAnsi="仿宋" w:eastAsia="仿宋_GB2312" w:cs="仿宋_GB2312"/>
          <w:color w:val="000000"/>
          <w:sz w:val="32"/>
          <w:szCs w:val="32"/>
        </w:rPr>
        <w:t>支出决算26.51万元，完成预算100%。</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s="仿宋_GB2312"/>
          <w:color w:val="000000"/>
          <w:kern w:val="0"/>
          <w:sz w:val="32"/>
          <w:szCs w:val="32"/>
        </w:rPr>
      </w:pPr>
      <w:r>
        <w:rPr>
          <w:rFonts w:hint="eastAsia" w:ascii="仿宋_GB2312" w:hAnsi="仿宋" w:eastAsia="仿宋_GB2312" w:cs="仿宋_GB2312"/>
          <w:color w:val="000000"/>
          <w:sz w:val="32"/>
          <w:szCs w:val="32"/>
        </w:rPr>
        <w:t>8.</w:t>
      </w:r>
      <w:r>
        <w:rPr>
          <w:rStyle w:val="22"/>
          <w:rFonts w:hint="eastAsia" w:ascii="仿宋_GB2312" w:hAnsi="仿宋" w:eastAsia="仿宋_GB2312" w:cs="仿宋"/>
          <w:b w:val="0"/>
          <w:color w:val="000000"/>
          <w:sz w:val="32"/>
          <w:szCs w:val="32"/>
        </w:rPr>
        <w:t>社会保障和就业</w:t>
      </w:r>
      <w:r>
        <w:rPr>
          <w:rStyle w:val="22"/>
          <w:rFonts w:hint="eastAsia" w:ascii="仿宋_GB2312" w:eastAsia="仿宋_GB2312"/>
          <w:b w:val="0"/>
          <w:bCs/>
          <w:color w:val="000000"/>
          <w:sz w:val="32"/>
          <w:szCs w:val="32"/>
        </w:rPr>
        <w:t>支出</w:t>
      </w:r>
      <w:r>
        <w:rPr>
          <w:rStyle w:val="22"/>
          <w:rFonts w:hint="eastAsia" w:ascii="仿宋_GB2312" w:hAnsi="仿宋" w:eastAsia="仿宋_GB2312" w:cs="仿宋"/>
          <w:b w:val="0"/>
          <w:color w:val="000000"/>
          <w:sz w:val="32"/>
          <w:szCs w:val="32"/>
        </w:rPr>
        <w:t>（208）</w:t>
      </w:r>
      <w:r>
        <w:rPr>
          <w:rFonts w:hint="eastAsia" w:ascii="仿宋_GB2312" w:hAnsi="仿宋" w:eastAsia="仿宋_GB2312" w:cs="仿宋_GB2312"/>
          <w:color w:val="000000"/>
          <w:sz w:val="32"/>
          <w:szCs w:val="32"/>
        </w:rPr>
        <w:t>社会福利（</w:t>
      </w:r>
      <w:r>
        <w:rPr>
          <w:rStyle w:val="22"/>
          <w:rFonts w:hint="eastAsia" w:ascii="仿宋_GB2312" w:hAnsi="仿宋" w:eastAsia="仿宋_GB2312" w:cs="仿宋"/>
          <w:b w:val="0"/>
          <w:color w:val="000000"/>
          <w:sz w:val="32"/>
          <w:szCs w:val="32"/>
        </w:rPr>
        <w:t>208</w:t>
      </w:r>
      <w:r>
        <w:rPr>
          <w:rFonts w:hint="eastAsia" w:ascii="仿宋_GB2312" w:hAnsi="仿宋" w:eastAsia="仿宋_GB2312" w:cs="仿宋_GB2312"/>
          <w:color w:val="000000"/>
          <w:sz w:val="32"/>
          <w:szCs w:val="32"/>
        </w:rPr>
        <w:t>10）老年福利（</w:t>
      </w:r>
      <w:r>
        <w:rPr>
          <w:rStyle w:val="22"/>
          <w:rFonts w:hint="eastAsia" w:ascii="仿宋_GB2312" w:hAnsi="仿宋" w:eastAsia="仿宋_GB2312" w:cs="仿宋"/>
          <w:b w:val="0"/>
          <w:color w:val="000000"/>
          <w:sz w:val="32"/>
          <w:szCs w:val="32"/>
        </w:rPr>
        <w:t>208</w:t>
      </w:r>
      <w:r>
        <w:rPr>
          <w:rFonts w:hint="eastAsia" w:ascii="仿宋_GB2312" w:hAnsi="仿宋" w:eastAsia="仿宋_GB2312" w:cs="仿宋_GB2312"/>
          <w:color w:val="000000"/>
          <w:sz w:val="32"/>
          <w:szCs w:val="32"/>
        </w:rPr>
        <w:t>1002）支出决算2万元，完成预算100%。</w:t>
      </w:r>
    </w:p>
    <w:p>
      <w:pPr>
        <w:widowControl/>
        <w:tabs>
          <w:tab w:val="left" w:pos="675"/>
          <w:tab w:val="left" w:pos="5501"/>
          <w:tab w:val="left" w:pos="6629"/>
          <w:tab w:val="left" w:pos="7089"/>
          <w:tab w:val="left" w:pos="8989"/>
          <w:tab w:val="left" w:pos="10669"/>
        </w:tabs>
        <w:ind w:left="96"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9.</w:t>
      </w:r>
      <w:r>
        <w:rPr>
          <w:rStyle w:val="22"/>
          <w:rFonts w:hint="eastAsia" w:ascii="仿宋_GB2312" w:hAnsi="仿宋" w:eastAsia="仿宋_GB2312" w:cs="仿宋"/>
          <w:b w:val="0"/>
          <w:color w:val="000000"/>
          <w:sz w:val="32"/>
          <w:szCs w:val="32"/>
        </w:rPr>
        <w:t>社会保障和就业</w:t>
      </w:r>
      <w:r>
        <w:rPr>
          <w:rStyle w:val="22"/>
          <w:rFonts w:hint="eastAsia" w:ascii="仿宋_GB2312" w:eastAsia="仿宋_GB2312"/>
          <w:b w:val="0"/>
          <w:bCs/>
          <w:color w:val="000000"/>
          <w:sz w:val="32"/>
          <w:szCs w:val="32"/>
        </w:rPr>
        <w:t>支出</w:t>
      </w:r>
      <w:r>
        <w:rPr>
          <w:rStyle w:val="22"/>
          <w:rFonts w:hint="eastAsia" w:ascii="仿宋_GB2312" w:hAnsi="仿宋" w:eastAsia="仿宋_GB2312" w:cs="仿宋"/>
          <w:b w:val="0"/>
          <w:color w:val="000000"/>
          <w:sz w:val="32"/>
          <w:szCs w:val="32"/>
        </w:rPr>
        <w:t>（208）</w:t>
      </w:r>
      <w:r>
        <w:rPr>
          <w:rFonts w:hint="eastAsia" w:ascii="仿宋_GB2312" w:hAnsi="仿宋" w:eastAsia="仿宋_GB2312" w:cs="仿宋_GB2312"/>
          <w:color w:val="000000"/>
          <w:sz w:val="32"/>
          <w:szCs w:val="32"/>
        </w:rPr>
        <w:t>社会福利（</w:t>
      </w:r>
      <w:r>
        <w:rPr>
          <w:rStyle w:val="22"/>
          <w:rFonts w:hint="eastAsia" w:ascii="仿宋_GB2312" w:hAnsi="仿宋" w:eastAsia="仿宋_GB2312" w:cs="仿宋"/>
          <w:b w:val="0"/>
          <w:color w:val="000000"/>
          <w:sz w:val="32"/>
          <w:szCs w:val="32"/>
        </w:rPr>
        <w:t>208</w:t>
      </w:r>
      <w:r>
        <w:rPr>
          <w:rFonts w:hint="eastAsia" w:ascii="仿宋_GB2312" w:hAnsi="仿宋" w:eastAsia="仿宋_GB2312" w:cs="仿宋_GB2312"/>
          <w:color w:val="000000"/>
          <w:sz w:val="32"/>
          <w:szCs w:val="32"/>
        </w:rPr>
        <w:t>10）养老服务（</w:t>
      </w:r>
      <w:r>
        <w:rPr>
          <w:rStyle w:val="22"/>
          <w:rFonts w:hint="eastAsia" w:ascii="仿宋_GB2312" w:hAnsi="仿宋" w:eastAsia="仿宋_GB2312" w:cs="仿宋"/>
          <w:b w:val="0"/>
          <w:color w:val="000000"/>
          <w:sz w:val="32"/>
          <w:szCs w:val="32"/>
        </w:rPr>
        <w:t>208</w:t>
      </w:r>
      <w:r>
        <w:rPr>
          <w:rFonts w:hint="eastAsia" w:ascii="仿宋_GB2312" w:hAnsi="仿宋" w:eastAsia="仿宋_GB2312" w:cs="仿宋_GB2312"/>
          <w:color w:val="000000"/>
          <w:sz w:val="32"/>
          <w:szCs w:val="32"/>
        </w:rPr>
        <w:t>1006）支出决算8.61万元，完成预算100%。</w:t>
      </w:r>
    </w:p>
    <w:p>
      <w:pPr>
        <w:widowControl/>
        <w:tabs>
          <w:tab w:val="left" w:pos="675"/>
          <w:tab w:val="left" w:pos="5501"/>
          <w:tab w:val="left" w:pos="6629"/>
          <w:tab w:val="left" w:pos="7089"/>
          <w:tab w:val="left" w:pos="8989"/>
          <w:tab w:val="left" w:pos="10669"/>
        </w:tabs>
        <w:ind w:left="96"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10.</w:t>
      </w:r>
      <w:r>
        <w:rPr>
          <w:rStyle w:val="22"/>
          <w:rFonts w:hint="eastAsia" w:ascii="仿宋_GB2312" w:hAnsi="仿宋" w:eastAsia="仿宋_GB2312" w:cs="仿宋"/>
          <w:b w:val="0"/>
          <w:color w:val="000000"/>
          <w:sz w:val="32"/>
          <w:szCs w:val="32"/>
        </w:rPr>
        <w:t>社会保障和就业</w:t>
      </w:r>
      <w:r>
        <w:rPr>
          <w:rStyle w:val="22"/>
          <w:rFonts w:hint="eastAsia" w:ascii="仿宋_GB2312" w:eastAsia="仿宋_GB2312"/>
          <w:b w:val="0"/>
          <w:bCs/>
          <w:color w:val="000000"/>
          <w:sz w:val="32"/>
          <w:szCs w:val="32"/>
        </w:rPr>
        <w:t>支出</w:t>
      </w:r>
      <w:r>
        <w:rPr>
          <w:rStyle w:val="22"/>
          <w:rFonts w:hint="eastAsia" w:ascii="仿宋_GB2312" w:hAnsi="仿宋" w:eastAsia="仿宋_GB2312" w:cs="仿宋"/>
          <w:b w:val="0"/>
          <w:color w:val="000000"/>
          <w:sz w:val="32"/>
          <w:szCs w:val="32"/>
        </w:rPr>
        <w:t>（208）</w:t>
      </w:r>
      <w:r>
        <w:rPr>
          <w:rFonts w:hint="eastAsia" w:ascii="仿宋_GB2312" w:hAnsi="仿宋" w:eastAsia="仿宋_GB2312" w:cs="仿宋_GB2312"/>
          <w:color w:val="000000"/>
          <w:sz w:val="32"/>
          <w:szCs w:val="32"/>
        </w:rPr>
        <w:t>社会福利（</w:t>
      </w:r>
      <w:r>
        <w:rPr>
          <w:rStyle w:val="22"/>
          <w:rFonts w:hint="eastAsia" w:ascii="仿宋_GB2312" w:hAnsi="仿宋" w:eastAsia="仿宋_GB2312" w:cs="仿宋"/>
          <w:b w:val="0"/>
          <w:color w:val="000000"/>
          <w:sz w:val="32"/>
          <w:szCs w:val="32"/>
        </w:rPr>
        <w:t>208</w:t>
      </w:r>
      <w:r>
        <w:rPr>
          <w:rFonts w:hint="eastAsia" w:ascii="仿宋_GB2312" w:hAnsi="仿宋" w:eastAsia="仿宋_GB2312" w:cs="仿宋_GB2312"/>
          <w:color w:val="000000"/>
          <w:sz w:val="32"/>
          <w:szCs w:val="32"/>
        </w:rPr>
        <w:t>28）退役军人管理事务（</w:t>
      </w:r>
      <w:r>
        <w:rPr>
          <w:rStyle w:val="22"/>
          <w:rFonts w:hint="eastAsia" w:ascii="仿宋_GB2312" w:hAnsi="仿宋" w:eastAsia="仿宋_GB2312" w:cs="仿宋"/>
          <w:b w:val="0"/>
          <w:color w:val="000000"/>
          <w:sz w:val="32"/>
          <w:szCs w:val="32"/>
        </w:rPr>
        <w:t>208</w:t>
      </w:r>
      <w:r>
        <w:rPr>
          <w:rFonts w:hint="eastAsia" w:ascii="仿宋_GB2312" w:hAnsi="仿宋" w:eastAsia="仿宋_GB2312" w:cs="仿宋_GB2312"/>
          <w:color w:val="000000"/>
          <w:sz w:val="32"/>
          <w:szCs w:val="32"/>
        </w:rPr>
        <w:t>2804）支出决算0.21万元，完成预算100%。</w:t>
      </w:r>
    </w:p>
    <w:p>
      <w:pPr>
        <w:spacing w:line="360" w:lineRule="auto"/>
        <w:ind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11.</w:t>
      </w:r>
      <w:r>
        <w:rPr>
          <w:rStyle w:val="22"/>
          <w:rFonts w:hint="eastAsia" w:ascii="仿宋_GB2312" w:hAnsi="仿宋" w:eastAsia="仿宋_GB2312" w:cs="仿宋"/>
          <w:b w:val="0"/>
          <w:color w:val="000000"/>
          <w:sz w:val="32"/>
          <w:szCs w:val="32"/>
        </w:rPr>
        <w:t>卫生健康支出（210）行政事业单位医疗（21011）行政单位医疗（2101101）</w:t>
      </w:r>
      <w:r>
        <w:rPr>
          <w:rFonts w:hint="eastAsia" w:ascii="仿宋_GB2312" w:hAnsi="仿宋" w:eastAsia="仿宋_GB2312" w:cs="仿宋_GB2312"/>
          <w:color w:val="000000"/>
          <w:sz w:val="32"/>
          <w:szCs w:val="32"/>
        </w:rPr>
        <w:t>支出决算22.07万元，完成预算100%。</w:t>
      </w:r>
    </w:p>
    <w:p>
      <w:pPr>
        <w:spacing w:line="360" w:lineRule="auto"/>
        <w:ind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12.</w:t>
      </w:r>
      <w:r>
        <w:rPr>
          <w:rStyle w:val="22"/>
          <w:rFonts w:hint="eastAsia" w:ascii="仿宋_GB2312" w:hAnsi="仿宋" w:eastAsia="仿宋_GB2312" w:cs="仿宋"/>
          <w:b w:val="0"/>
          <w:color w:val="000000"/>
          <w:sz w:val="32"/>
          <w:szCs w:val="32"/>
        </w:rPr>
        <w:t>卫生健康支出（210）行政事业单位医疗（21011）事业单位医疗（2101102）</w:t>
      </w:r>
      <w:r>
        <w:rPr>
          <w:rFonts w:hint="eastAsia" w:ascii="仿宋_GB2312" w:hAnsi="仿宋" w:eastAsia="仿宋_GB2312" w:cs="仿宋_GB2312"/>
          <w:color w:val="000000"/>
          <w:sz w:val="32"/>
          <w:szCs w:val="32"/>
        </w:rPr>
        <w:t>支出决算16.63万元，完成预算100%。</w:t>
      </w:r>
    </w:p>
    <w:p>
      <w:pPr>
        <w:spacing w:line="360" w:lineRule="auto"/>
        <w:ind w:firstLine="640" w:firstLineChars="200"/>
        <w:rPr>
          <w:rFonts w:ascii="仿宋_GB2312" w:hAnsi="仿宋" w:eastAsia="仿宋_GB2312" w:cs="仿宋_GB2312"/>
          <w:color w:val="000000"/>
          <w:sz w:val="32"/>
          <w:szCs w:val="32"/>
        </w:rPr>
      </w:pPr>
      <w:r>
        <w:rPr>
          <w:rFonts w:hint="eastAsia" w:ascii="仿宋_GB2312" w:hAnsi="仿宋" w:eastAsia="仿宋_GB2312"/>
          <w:color w:val="000000"/>
          <w:sz w:val="32"/>
          <w:szCs w:val="32"/>
        </w:rPr>
        <w:t>13.</w:t>
      </w:r>
      <w:r>
        <w:rPr>
          <w:rFonts w:hint="eastAsia" w:ascii="仿宋_GB2312" w:hAnsi="仿宋" w:eastAsia="仿宋_GB2312" w:cs="仿宋"/>
          <w:bCs/>
          <w:color w:val="000000"/>
          <w:sz w:val="32"/>
          <w:szCs w:val="32"/>
        </w:rPr>
        <w:t>农林水支出（213）农业农村（21301）事业运行（2130104）</w:t>
      </w:r>
      <w:r>
        <w:rPr>
          <w:rFonts w:hint="eastAsia" w:ascii="仿宋_GB2312" w:hAnsi="仿宋" w:eastAsia="仿宋_GB2312" w:cs="仿宋"/>
          <w:color w:val="000000"/>
          <w:sz w:val="32"/>
          <w:szCs w:val="32"/>
        </w:rPr>
        <w:t>支</w:t>
      </w:r>
      <w:r>
        <w:rPr>
          <w:rFonts w:hint="eastAsia" w:ascii="仿宋_GB2312" w:hAnsi="仿宋" w:eastAsia="仿宋_GB2312" w:cs="仿宋_GB2312"/>
          <w:color w:val="000000"/>
          <w:sz w:val="32"/>
          <w:szCs w:val="32"/>
        </w:rPr>
        <w:t>出决算247.97万元，完成预算100%。</w:t>
      </w:r>
    </w:p>
    <w:p>
      <w:pPr>
        <w:spacing w:line="360" w:lineRule="auto"/>
        <w:ind w:firstLine="640" w:firstLineChars="200"/>
        <w:rPr>
          <w:rFonts w:ascii="仿宋_GB2312" w:hAnsi="仿宋" w:eastAsia="仿宋_GB2312" w:cs="仿宋_GB2312"/>
          <w:color w:val="000000"/>
          <w:sz w:val="32"/>
          <w:szCs w:val="32"/>
        </w:rPr>
      </w:pPr>
      <w:r>
        <w:rPr>
          <w:rFonts w:hint="eastAsia" w:ascii="仿宋_GB2312" w:hAnsi="仿宋" w:eastAsia="仿宋_GB2312"/>
          <w:color w:val="000000"/>
          <w:sz w:val="32"/>
          <w:szCs w:val="32"/>
        </w:rPr>
        <w:t>14.</w:t>
      </w:r>
      <w:r>
        <w:rPr>
          <w:rFonts w:hint="eastAsia" w:ascii="仿宋_GB2312" w:hAnsi="仿宋" w:eastAsia="仿宋_GB2312" w:cs="仿宋"/>
          <w:bCs/>
          <w:color w:val="000000"/>
          <w:sz w:val="32"/>
          <w:szCs w:val="32"/>
        </w:rPr>
        <w:t>农林水支出（213）水利（21303）水文测报（2130313）</w:t>
      </w:r>
      <w:r>
        <w:rPr>
          <w:rFonts w:hint="eastAsia" w:ascii="仿宋_GB2312" w:hAnsi="仿宋" w:eastAsia="仿宋_GB2312" w:cs="仿宋_GB2312"/>
          <w:color w:val="000000"/>
          <w:sz w:val="32"/>
          <w:szCs w:val="32"/>
        </w:rPr>
        <w:t>支出决算50万元，完成预算100%。</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s="仿宋_GB2312"/>
          <w:color w:val="000000"/>
          <w:kern w:val="0"/>
          <w:sz w:val="32"/>
          <w:szCs w:val="32"/>
        </w:rPr>
      </w:pPr>
      <w:r>
        <w:rPr>
          <w:rFonts w:hint="eastAsia" w:ascii="仿宋_GB2312" w:hAnsi="仿宋" w:eastAsia="仿宋_GB2312"/>
          <w:color w:val="000000"/>
          <w:sz w:val="32"/>
          <w:szCs w:val="32"/>
        </w:rPr>
        <w:t>15.</w:t>
      </w:r>
      <w:r>
        <w:rPr>
          <w:rFonts w:hint="eastAsia" w:ascii="仿宋_GB2312" w:hAnsi="仿宋" w:eastAsia="仿宋_GB2312" w:cs="仿宋"/>
          <w:bCs/>
          <w:color w:val="000000"/>
          <w:sz w:val="32"/>
          <w:szCs w:val="32"/>
        </w:rPr>
        <w:t>农林水支出（213）扶贫（21305）农村基础设施建设（2130504）</w:t>
      </w:r>
      <w:r>
        <w:rPr>
          <w:rFonts w:hint="eastAsia" w:ascii="仿宋_GB2312" w:hAnsi="仿宋" w:eastAsia="仿宋_GB2312" w:cs="仿宋_GB2312"/>
          <w:color w:val="000000"/>
          <w:sz w:val="32"/>
          <w:szCs w:val="32"/>
        </w:rPr>
        <w:t>支出决算195.80万元，完成预算100%</w:t>
      </w:r>
      <w:r>
        <w:rPr>
          <w:rFonts w:hint="eastAsia" w:ascii="仿宋_GB2312" w:hAnsi="Arial" w:eastAsia="仿宋_GB2312" w:cs="仿宋_GB2312"/>
          <w:color w:val="000000"/>
          <w:kern w:val="0"/>
          <w:sz w:val="32"/>
          <w:szCs w:val="32"/>
        </w:rPr>
        <w:t>。</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s="仿宋_GB2312"/>
          <w:color w:val="000000"/>
          <w:kern w:val="0"/>
          <w:sz w:val="32"/>
          <w:szCs w:val="32"/>
        </w:rPr>
      </w:pPr>
      <w:r>
        <w:rPr>
          <w:rFonts w:hint="eastAsia" w:ascii="仿宋_GB2312" w:hAnsi="仿宋" w:eastAsia="仿宋_GB2312"/>
          <w:color w:val="000000"/>
          <w:sz w:val="32"/>
          <w:szCs w:val="32"/>
        </w:rPr>
        <w:t>16.</w:t>
      </w:r>
      <w:r>
        <w:rPr>
          <w:rFonts w:hint="eastAsia" w:ascii="仿宋_GB2312" w:hAnsi="仿宋" w:eastAsia="仿宋_GB2312" w:cs="仿宋"/>
          <w:bCs/>
          <w:color w:val="000000"/>
          <w:sz w:val="32"/>
          <w:szCs w:val="32"/>
        </w:rPr>
        <w:t>农林水支出（213）扶贫（21305）其他扶贫支出（2130599）</w:t>
      </w:r>
      <w:r>
        <w:rPr>
          <w:rFonts w:hint="eastAsia" w:ascii="仿宋_GB2312" w:hAnsi="仿宋" w:eastAsia="仿宋_GB2312" w:cs="仿宋_GB2312"/>
          <w:color w:val="000000"/>
          <w:sz w:val="32"/>
          <w:szCs w:val="32"/>
        </w:rPr>
        <w:t>支出决算114.4万元，完成预算100%</w:t>
      </w:r>
      <w:r>
        <w:rPr>
          <w:rFonts w:hint="eastAsia" w:ascii="仿宋_GB2312" w:hAnsi="Arial" w:eastAsia="仿宋_GB2312" w:cs="仿宋_GB2312"/>
          <w:color w:val="000000"/>
          <w:kern w:val="0"/>
          <w:sz w:val="32"/>
          <w:szCs w:val="32"/>
        </w:rPr>
        <w:t>。</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s="仿宋_GB2312"/>
          <w:color w:val="000000"/>
          <w:kern w:val="0"/>
          <w:sz w:val="32"/>
          <w:szCs w:val="32"/>
        </w:rPr>
      </w:pPr>
      <w:r>
        <w:rPr>
          <w:rFonts w:hint="eastAsia" w:ascii="仿宋_GB2312" w:hAnsi="仿宋" w:eastAsia="仿宋_GB2312"/>
          <w:color w:val="000000"/>
          <w:sz w:val="32"/>
          <w:szCs w:val="32"/>
        </w:rPr>
        <w:t>17.</w:t>
      </w:r>
      <w:r>
        <w:rPr>
          <w:rFonts w:hint="eastAsia" w:ascii="仿宋_GB2312" w:hAnsi="仿宋" w:eastAsia="仿宋_GB2312" w:cs="仿宋"/>
          <w:bCs/>
          <w:color w:val="000000"/>
          <w:sz w:val="32"/>
          <w:szCs w:val="32"/>
        </w:rPr>
        <w:t>农林水支出（213）农村综合改革（21307）对村民委员会和村党支部的补助（2130705）</w:t>
      </w:r>
      <w:r>
        <w:rPr>
          <w:rFonts w:hint="eastAsia" w:ascii="仿宋_GB2312" w:hAnsi="仿宋" w:eastAsia="仿宋_GB2312" w:cs="仿宋_GB2312"/>
          <w:color w:val="000000"/>
          <w:sz w:val="32"/>
          <w:szCs w:val="32"/>
        </w:rPr>
        <w:t>支出决算为282.82万元，完成预算100%</w:t>
      </w:r>
      <w:r>
        <w:rPr>
          <w:rFonts w:hint="eastAsia" w:ascii="仿宋_GB2312" w:hAnsi="Arial" w:eastAsia="仿宋_GB2312" w:cs="仿宋_GB2312"/>
          <w:color w:val="000000"/>
          <w:kern w:val="0"/>
          <w:sz w:val="32"/>
          <w:szCs w:val="32"/>
        </w:rPr>
        <w:t>。</w:t>
      </w:r>
    </w:p>
    <w:p>
      <w:pPr>
        <w:spacing w:line="360" w:lineRule="auto"/>
        <w:ind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18.</w:t>
      </w:r>
      <w:r>
        <w:rPr>
          <w:rFonts w:hint="eastAsia" w:ascii="仿宋_GB2312" w:hAnsi="仿宋" w:eastAsia="仿宋_GB2312" w:cs="仿宋"/>
          <w:bCs/>
          <w:color w:val="000000"/>
          <w:sz w:val="32"/>
          <w:szCs w:val="32"/>
        </w:rPr>
        <w:t>住房保障支出（221）住房改革支出（22102）住房公积金（2210201）</w:t>
      </w:r>
      <w:r>
        <w:rPr>
          <w:rFonts w:hint="eastAsia" w:ascii="仿宋_GB2312" w:hAnsi="仿宋" w:eastAsia="仿宋_GB2312" w:cs="仿宋_GB2312"/>
          <w:color w:val="000000"/>
          <w:sz w:val="32"/>
          <w:szCs w:val="32"/>
        </w:rPr>
        <w:t>支出决算58.08万元，完成预算100%。</w:t>
      </w:r>
    </w:p>
    <w:p>
      <w:pPr>
        <w:spacing w:line="360" w:lineRule="auto"/>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 xml:space="preserve">   </w:t>
      </w:r>
      <w:r>
        <w:rPr>
          <w:rFonts w:hint="eastAsia" w:ascii="仿宋_GB2312" w:hAnsi="仿宋" w:eastAsia="仿宋_GB2312"/>
          <w:color w:val="000000"/>
          <w:sz w:val="32"/>
          <w:szCs w:val="32"/>
        </w:rPr>
        <w:t xml:space="preserve"> 19.</w:t>
      </w:r>
      <w:r>
        <w:rPr>
          <w:rFonts w:hint="eastAsia" w:ascii="仿宋_GB2312" w:hAnsi="仿宋" w:eastAsia="仿宋_GB2312" w:cs="仿宋"/>
          <w:bCs/>
          <w:color w:val="000000"/>
          <w:sz w:val="32"/>
          <w:szCs w:val="32"/>
        </w:rPr>
        <w:t>其他支出（229）其他支出（22999）其他支出（2299999）：</w:t>
      </w:r>
      <w:r>
        <w:rPr>
          <w:rFonts w:hint="eastAsia" w:ascii="仿宋_GB2312" w:hAnsi="仿宋" w:eastAsia="仿宋_GB2312" w:cs="仿宋_GB2312"/>
          <w:color w:val="000000"/>
          <w:sz w:val="32"/>
          <w:szCs w:val="32"/>
        </w:rPr>
        <w:t>支出决算7万元，完成预算100%。</w:t>
      </w:r>
    </w:p>
    <w:p>
      <w:pPr>
        <w:tabs>
          <w:tab w:val="right" w:pos="8306"/>
        </w:tabs>
        <w:spacing w:line="600" w:lineRule="exact"/>
        <w:ind w:firstLine="640"/>
        <w:outlineLvl w:val="1"/>
        <w:rPr>
          <w:rStyle w:val="25"/>
        </w:rPr>
      </w:pPr>
      <w:bookmarkStart w:id="68" w:name="_Toc114676099"/>
      <w:bookmarkStart w:id="69" w:name="_Toc79163618"/>
      <w:bookmarkStart w:id="70" w:name="_Toc15396608"/>
      <w:bookmarkStart w:id="71" w:name="_Toc15377214"/>
      <w:r>
        <w:rPr>
          <w:rFonts w:hint="eastAsia" w:ascii="黑体" w:eastAsia="黑体"/>
          <w:color w:val="000000"/>
          <w:sz w:val="32"/>
          <w:szCs w:val="32"/>
        </w:rPr>
        <w:t>六</w:t>
      </w:r>
      <w:r>
        <w:rPr>
          <w:rFonts w:hint="eastAsia" w:ascii="黑体" w:eastAsia="黑体"/>
          <w:b/>
          <w:color w:val="000000"/>
          <w:sz w:val="32"/>
          <w:szCs w:val="32"/>
        </w:rPr>
        <w:t>、一</w:t>
      </w:r>
      <w:r>
        <w:rPr>
          <w:rStyle w:val="25"/>
          <w:rFonts w:hint="eastAsia" w:ascii="黑体" w:eastAsia="黑体"/>
          <w:b w:val="0"/>
        </w:rPr>
        <w:t>般公共预算财政拨款基本支出决算情况说明</w:t>
      </w:r>
      <w:bookmarkEnd w:id="68"/>
      <w:bookmarkEnd w:id="69"/>
      <w:bookmarkEnd w:id="70"/>
      <w:bookmarkEnd w:id="71"/>
      <w:r>
        <w:rPr>
          <w:rStyle w:val="25"/>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基本支出843.23万元，其中：人员经费798.17万元，主要包括：基本工资158.21万元、津贴补贴198.09万元、奖金145.03万元、绩效工资113.53万元、机关事业单位基本养老保险缴费53.01万元、职业年金缴费26.51万元、职工基本医疗保险缴费38.71万元、其他社会保障缴费2.11万元、住房公积金58.08万元、医疗费4.88万元。</w:t>
      </w:r>
    </w:p>
    <w:p>
      <w:pPr>
        <w:spacing w:line="600" w:lineRule="exact"/>
        <w:ind w:firstLine="645"/>
        <w:rPr>
          <w:rFonts w:ascii="仿宋" w:eastAsia="仿宋"/>
          <w:color w:val="000000"/>
          <w:sz w:val="32"/>
          <w:szCs w:val="32"/>
        </w:rPr>
      </w:pPr>
      <w:r>
        <w:rPr>
          <w:rFonts w:hint="eastAsia" w:ascii="仿宋" w:eastAsia="仿宋"/>
          <w:color w:val="000000"/>
          <w:sz w:val="32"/>
          <w:szCs w:val="32"/>
        </w:rPr>
        <w:t>日常公用经费31.56万元，主要包括：办公费9.90万元、电费0.75万元、邮电费0.2万元、差旅费16.06万元、培训费0.64万元、公务用车运行维护费4万元。</w:t>
      </w:r>
    </w:p>
    <w:p>
      <w:pPr>
        <w:spacing w:line="600" w:lineRule="exact"/>
        <w:ind w:firstLine="640"/>
        <w:outlineLvl w:val="1"/>
        <w:rPr>
          <w:rStyle w:val="25"/>
          <w:rFonts w:ascii="黑体" w:eastAsia="黑体"/>
          <w:b w:val="0"/>
        </w:rPr>
      </w:pPr>
      <w:bookmarkStart w:id="72" w:name="_Toc15396609"/>
      <w:bookmarkStart w:id="73" w:name="_Toc15377215"/>
      <w:bookmarkStart w:id="74" w:name="_Toc79163619"/>
      <w:bookmarkStart w:id="75" w:name="_Toc114676100"/>
      <w:r>
        <w:rPr>
          <w:rFonts w:hint="eastAsia" w:ascii="黑体" w:eastAsia="黑体"/>
          <w:color w:val="000000"/>
          <w:sz w:val="32"/>
          <w:szCs w:val="32"/>
        </w:rPr>
        <w:t>七、</w:t>
      </w:r>
      <w:r>
        <w:rPr>
          <w:rStyle w:val="25"/>
          <w:rFonts w:hint="eastAsia" w:ascii="黑体" w:eastAsia="黑体"/>
        </w:rPr>
        <w:t>“</w:t>
      </w:r>
      <w:r>
        <w:rPr>
          <w:rStyle w:val="25"/>
          <w:rFonts w:hint="eastAsia" w:ascii="黑体" w:eastAsia="黑体"/>
          <w:b w:val="0"/>
        </w:rPr>
        <w:t>三公”经费财政拨款支出决算情况说明</w:t>
      </w:r>
      <w:bookmarkEnd w:id="72"/>
      <w:bookmarkEnd w:id="73"/>
      <w:bookmarkEnd w:id="74"/>
      <w:bookmarkEnd w:id="75"/>
    </w:p>
    <w:p>
      <w:pPr>
        <w:spacing w:line="600" w:lineRule="exact"/>
        <w:ind w:firstLine="640"/>
        <w:outlineLvl w:val="2"/>
        <w:rPr>
          <w:rFonts w:ascii="仿宋" w:eastAsia="仿宋"/>
          <w:b/>
          <w:color w:val="000000"/>
          <w:sz w:val="32"/>
          <w:szCs w:val="32"/>
        </w:rPr>
      </w:pPr>
      <w:bookmarkStart w:id="76" w:name="_Toc15377216"/>
      <w:bookmarkStart w:id="77" w:name="_Toc79163620"/>
      <w:bookmarkStart w:id="78" w:name="_Toc114676101"/>
      <w:r>
        <w:rPr>
          <w:rFonts w:hint="eastAsia" w:asci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年“三公”经费财政拨款支出决算为4万元，完成预算100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79" w:name="_Toc15377217"/>
      <w:bookmarkStart w:id="80" w:name="_Toc79163621"/>
      <w:bookmarkStart w:id="81" w:name="_Toc114676102"/>
      <w:r>
        <w:rPr>
          <w:rFonts w:hint="eastAsia" w:asci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年“三公”经费财政拨款支出决算中，因公出国（境）费支出决算0.00万元，占0.00</w:t>
      </w:r>
      <w:r>
        <w:rPr>
          <w:rFonts w:ascii="仿宋" w:eastAsia="仿宋"/>
          <w:color w:val="000000"/>
          <w:sz w:val="32"/>
          <w:szCs w:val="32"/>
        </w:rPr>
        <w:t>%</w:t>
      </w:r>
      <w:r>
        <w:rPr>
          <w:rFonts w:hint="eastAsia" w:ascii="仿宋" w:eastAsia="仿宋"/>
          <w:color w:val="000000"/>
          <w:sz w:val="32"/>
          <w:szCs w:val="32"/>
        </w:rPr>
        <w:t>；公务用车购置及运行维护费支出决算4万元，占100</w:t>
      </w:r>
      <w:r>
        <w:rPr>
          <w:rFonts w:ascii="仿宋" w:eastAsia="仿宋"/>
          <w:color w:val="000000"/>
          <w:sz w:val="32"/>
          <w:szCs w:val="32"/>
        </w:rPr>
        <w:t>%</w:t>
      </w:r>
      <w:r>
        <w:rPr>
          <w:rFonts w:hint="eastAsia" w:ascii="仿宋" w:eastAsia="仿宋"/>
          <w:color w:val="000000"/>
          <w:sz w:val="32"/>
          <w:szCs w:val="32"/>
        </w:rPr>
        <w:t>；公务接待费支出决算0.00万元，占0.00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rPr>
          <w:rFonts w:ascii="仿宋" w:eastAsia="仿宋"/>
          <w:color w:val="000000"/>
          <w:sz w:val="32"/>
          <w:szCs w:val="32"/>
        </w:rPr>
      </w:pPr>
      <w:r>
        <w:rPr>
          <w:rFonts w:ascii="仿宋" w:eastAsia="仿宋"/>
          <w:color w:val="000000"/>
          <w:sz w:val="32"/>
          <w:szCs w:val="32"/>
        </w:rPr>
        <w:drawing>
          <wp:anchor distT="0" distB="0" distL="114300" distR="114300" simplePos="0" relativeHeight="251665408" behindDoc="0" locked="0" layoutInCell="1" allowOverlap="1">
            <wp:simplePos x="0" y="0"/>
            <wp:positionH relativeFrom="column">
              <wp:posOffset>85725</wp:posOffset>
            </wp:positionH>
            <wp:positionV relativeFrom="paragraph">
              <wp:posOffset>219075</wp:posOffset>
            </wp:positionV>
            <wp:extent cx="4828540" cy="2562225"/>
            <wp:effectExtent l="19050" t="0" r="10160" b="0"/>
            <wp:wrapTopAndBottom/>
            <wp:docPr id="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仿宋" w:eastAsia="仿宋"/>
          <w:color w:val="000000"/>
          <w:sz w:val="32"/>
          <w:szCs w:val="32"/>
        </w:rPr>
        <w:t xml:space="preserve">   （图</w:t>
      </w:r>
      <w:r>
        <w:rPr>
          <w:rFonts w:ascii="仿宋" w:eastAsia="仿宋"/>
          <w:color w:val="000000"/>
          <w:sz w:val="32"/>
          <w:szCs w:val="32"/>
        </w:rPr>
        <w:t>7</w:t>
      </w:r>
      <w:r>
        <w:rPr>
          <w:rFonts w:hint="eastAsia" w:ascii="仿宋" w:eastAsia="仿宋"/>
          <w:color w:val="000000"/>
          <w:sz w:val="32"/>
          <w:szCs w:val="32"/>
        </w:rPr>
        <w:t>：“三公”经费财政拨款支出结构）</w:t>
      </w:r>
    </w:p>
    <w:p>
      <w:pPr>
        <w:spacing w:line="600" w:lineRule="exact"/>
        <w:rPr>
          <w:rFonts w:ascii="仿宋_GB2312" w:eastAsia="仿宋_GB2312"/>
          <w:b/>
          <w:color w:val="000000"/>
          <w:sz w:val="32"/>
          <w:szCs w:val="32"/>
        </w:rPr>
      </w:pPr>
      <w:r>
        <w:rPr>
          <w:rFonts w:hint="eastAsia" w:ascii="仿宋_GB2312" w:eastAsia="仿宋_GB2312"/>
          <w:b/>
          <w:color w:val="000000"/>
          <w:sz w:val="32"/>
          <w:szCs w:val="32"/>
        </w:rPr>
        <w:t xml:space="preserve">    </w:t>
      </w: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0.00万元，</w:t>
      </w:r>
      <w:r>
        <w:rPr>
          <w:rStyle w:val="22"/>
          <w:rFonts w:hint="eastAsia" w:ascii="仿宋" w:eastAsia="仿宋"/>
          <w:b w:val="0"/>
          <w:bCs/>
          <w:color w:val="000000"/>
          <w:sz w:val="32"/>
          <w:szCs w:val="32"/>
        </w:rPr>
        <w:t>完成预算100</w:t>
      </w:r>
      <w:r>
        <w:rPr>
          <w:rStyle w:val="22"/>
          <w:rFonts w:ascii="仿宋" w:eastAsia="仿宋"/>
          <w:b w:val="0"/>
          <w:bCs/>
          <w:color w:val="000000"/>
          <w:sz w:val="32"/>
          <w:szCs w:val="32"/>
        </w:rPr>
        <w:t>%</w:t>
      </w:r>
      <w:r>
        <w:rPr>
          <w:rStyle w:val="22"/>
          <w:rFonts w:hint="eastAsia" w:asci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2020</w:t>
      </w:r>
      <w:r>
        <w:rPr>
          <w:rFonts w:hint="eastAsia" w:ascii="仿宋_GB2312" w:eastAsia="仿宋_GB2312"/>
          <w:color w:val="000000"/>
          <w:sz w:val="32"/>
          <w:szCs w:val="32"/>
        </w:rPr>
        <w:t>年增加0.00万元，增长0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4万元</w:t>
      </w:r>
      <w:r>
        <w:rPr>
          <w:rFonts w:ascii="仿宋_GB2312" w:eastAsia="仿宋_GB2312"/>
          <w:color w:val="000000"/>
          <w:sz w:val="32"/>
          <w:szCs w:val="32"/>
        </w:rPr>
        <w:t>,</w:t>
      </w:r>
      <w:r>
        <w:rPr>
          <w:rStyle w:val="22"/>
          <w:rFonts w:hint="eastAsia" w:ascii="仿宋" w:eastAsia="仿宋"/>
          <w:b w:val="0"/>
          <w:bCs/>
          <w:color w:val="000000"/>
          <w:sz w:val="32"/>
          <w:szCs w:val="32"/>
        </w:rPr>
        <w:t>完成预算100</w:t>
      </w:r>
      <w:r>
        <w:rPr>
          <w:rStyle w:val="22"/>
          <w:rFonts w:ascii="仿宋" w:eastAsia="仿宋"/>
          <w:b w:val="0"/>
          <w:bCs/>
          <w:color w:val="000000"/>
          <w:sz w:val="32"/>
          <w:szCs w:val="32"/>
        </w:rPr>
        <w:t>%</w:t>
      </w:r>
      <w:r>
        <w:rPr>
          <w:rStyle w:val="22"/>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2020</w:t>
      </w:r>
      <w:r>
        <w:rPr>
          <w:rFonts w:hint="eastAsia" w:ascii="仿宋_GB2312" w:eastAsia="仿宋_GB2312"/>
          <w:color w:val="000000"/>
          <w:sz w:val="32"/>
          <w:szCs w:val="32"/>
        </w:rPr>
        <w:t>年增加4万元，增加100</w:t>
      </w:r>
      <w:r>
        <w:rPr>
          <w:rFonts w:ascii="仿宋_GB2312" w:eastAsia="仿宋_GB2312"/>
          <w:color w:val="000000"/>
          <w:sz w:val="32"/>
          <w:szCs w:val="32"/>
        </w:rPr>
        <w:t>%</w:t>
      </w:r>
      <w:r>
        <w:rPr>
          <w:rFonts w:hint="eastAsia" w:ascii="仿宋_GB2312" w:eastAsia="仿宋_GB2312"/>
          <w:color w:val="000000"/>
          <w:sz w:val="32"/>
          <w:szCs w:val="32"/>
        </w:rPr>
        <w:t>。主要原因是2021年产生的车辆费用通过公务用车购置及运行维护费核算。</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0.00万元。全年按规定更新购置公务用车0辆，其中：轿车0辆、金额0.00万元，越野车0辆、金额0.00万元，载客汽车0辆、金额0.00万元。截至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月底，单位共有公务用车1辆，其中：轿车1辆、越野车0辆、载客汽车0辆。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4万元。</w:t>
      </w:r>
      <w:r>
        <w:rPr>
          <w:rFonts w:hint="eastAsia" w:ascii="仿宋_GB2312" w:eastAsia="仿宋_GB2312" w:cs="仿宋_GB2312"/>
          <w:color w:val="000000"/>
          <w:sz w:val="32"/>
          <w:szCs w:val="32"/>
        </w:rPr>
        <w:t>主要用于我镇在各村开展工作所需的公务用车燃料费、维修费、过路过桥费、保险费等支出。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0.00万元，</w:t>
      </w:r>
      <w:r>
        <w:rPr>
          <w:rStyle w:val="22"/>
          <w:rFonts w:hint="eastAsia" w:ascii="仿宋" w:eastAsia="仿宋"/>
          <w:b w:val="0"/>
          <w:bCs/>
          <w:color w:val="000000"/>
          <w:sz w:val="32"/>
          <w:szCs w:val="32"/>
        </w:rPr>
        <w:t>完成预算0.00</w:t>
      </w:r>
      <w:r>
        <w:rPr>
          <w:rStyle w:val="22"/>
          <w:rFonts w:ascii="仿宋" w:eastAsia="仿宋"/>
          <w:b w:val="0"/>
          <w:bCs/>
          <w:color w:val="000000"/>
          <w:sz w:val="32"/>
          <w:szCs w:val="32"/>
        </w:rPr>
        <w:t>%</w:t>
      </w:r>
      <w:r>
        <w:rPr>
          <w:rStyle w:val="22"/>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2020</w:t>
      </w:r>
      <w:r>
        <w:rPr>
          <w:rFonts w:hint="eastAsia" w:ascii="仿宋_GB2312" w:eastAsia="仿宋_GB2312"/>
          <w:color w:val="000000"/>
          <w:sz w:val="32"/>
          <w:szCs w:val="32"/>
        </w:rPr>
        <w:t>年增加0.00万元，增长0.00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hint="eastAsia" w:ascii="仿宋" w:eastAsia="仿宋"/>
          <w:b/>
          <w:color w:val="000000"/>
          <w:sz w:val="32"/>
          <w:szCs w:val="32"/>
        </w:rPr>
        <w:t>国内公务接待支出</w:t>
      </w:r>
      <w:r>
        <w:rPr>
          <w:rFonts w:hint="eastAsia" w:ascii="仿宋" w:eastAsia="仿宋"/>
          <w:color w:val="000000"/>
          <w:sz w:val="32"/>
          <w:szCs w:val="32"/>
        </w:rPr>
        <w:t>0.00</w:t>
      </w:r>
      <w:r>
        <w:rPr>
          <w:rFonts w:hint="eastAsia" w:ascii="仿宋_GB2312" w:eastAsia="仿宋_GB2312"/>
          <w:color w:val="000000"/>
          <w:sz w:val="32"/>
          <w:szCs w:val="32"/>
        </w:rPr>
        <w:t>万元。国内公务接待0批次，0人次（不包括陪同人员），共计支出0.00万元。</w:t>
      </w:r>
    </w:p>
    <w:p>
      <w:pPr>
        <w:spacing w:line="600" w:lineRule="exact"/>
        <w:ind w:firstLine="643" w:firstLineChars="200"/>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0.00</w:t>
      </w:r>
      <w:r>
        <w:rPr>
          <w:rFonts w:hint="eastAsia" w:ascii="仿宋_GB2312" w:eastAsia="仿宋_GB2312"/>
          <w:color w:val="000000"/>
          <w:sz w:val="32"/>
          <w:szCs w:val="32"/>
        </w:rPr>
        <w:t>万元，外事接待0批次，0人，共计支出0.00万元。</w:t>
      </w:r>
    </w:p>
    <w:p>
      <w:pPr>
        <w:spacing w:line="600" w:lineRule="exact"/>
        <w:ind w:firstLine="640"/>
        <w:outlineLvl w:val="1"/>
        <w:rPr>
          <w:rStyle w:val="25"/>
          <w:rFonts w:ascii="黑体" w:eastAsia="黑体"/>
        </w:rPr>
      </w:pPr>
      <w:bookmarkStart w:id="82" w:name="_Toc15396610"/>
      <w:bookmarkStart w:id="83" w:name="_Toc15377218"/>
      <w:bookmarkStart w:id="84" w:name="_Toc79163622"/>
      <w:bookmarkStart w:id="85" w:name="_Toc114676103"/>
      <w:r>
        <w:rPr>
          <w:rFonts w:hint="eastAsia" w:ascii="黑体" w:eastAsia="黑体"/>
          <w:color w:val="000000"/>
          <w:sz w:val="32"/>
          <w:szCs w:val="32"/>
        </w:rPr>
        <w:t>八、</w:t>
      </w:r>
      <w:r>
        <w:rPr>
          <w:rStyle w:val="25"/>
          <w:rFonts w:hint="eastAsia" w:asci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年政府性基金预算拨款支出0.00万元。</w:t>
      </w:r>
    </w:p>
    <w:p>
      <w:pPr>
        <w:numPr>
          <w:ilvl w:val="0"/>
          <w:numId w:val="2"/>
        </w:numPr>
        <w:spacing w:line="600" w:lineRule="exact"/>
        <w:ind w:firstLine="640"/>
        <w:outlineLvl w:val="1"/>
        <w:rPr>
          <w:rStyle w:val="25"/>
          <w:rFonts w:ascii="黑体" w:eastAsia="黑体"/>
          <w:b w:val="0"/>
        </w:rPr>
      </w:pPr>
      <w:bookmarkStart w:id="86" w:name="_Toc79163623"/>
      <w:bookmarkStart w:id="87" w:name="_Toc15377219"/>
      <w:bookmarkStart w:id="88" w:name="_Toc15396611"/>
      <w:bookmarkStart w:id="89" w:name="_Toc114676104"/>
      <w:r>
        <w:rPr>
          <w:rStyle w:val="25"/>
          <w:rFonts w:hint="eastAsia" w:ascii="黑体" w:eastAsia="黑体"/>
          <w:b w:val="0"/>
        </w:rPr>
        <w:t>国有资本经营预算支出决算情况说明</w:t>
      </w:r>
      <w:bookmarkEnd w:id="86"/>
      <w:bookmarkEnd w:id="87"/>
      <w:bookmarkEnd w:id="88"/>
      <w:bookmarkEnd w:id="8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年国有资本经营预算拨款支出0.00万元。</w:t>
      </w:r>
    </w:p>
    <w:p>
      <w:pPr>
        <w:spacing w:line="600" w:lineRule="exact"/>
        <w:ind w:firstLine="640" w:firstLineChars="200"/>
        <w:outlineLvl w:val="1"/>
        <w:rPr>
          <w:rStyle w:val="25"/>
          <w:rFonts w:ascii="黑体" w:eastAsia="黑体"/>
        </w:rPr>
      </w:pPr>
      <w:bookmarkStart w:id="90" w:name="_Toc15396612"/>
      <w:bookmarkStart w:id="91" w:name="_Toc15377221"/>
      <w:bookmarkStart w:id="92" w:name="_Toc79163624"/>
      <w:bookmarkStart w:id="93" w:name="_Toc114676105"/>
      <w:r>
        <w:rPr>
          <w:rFonts w:hint="eastAsia" w:ascii="黑体" w:eastAsia="黑体"/>
          <w:color w:val="000000"/>
          <w:sz w:val="32"/>
          <w:szCs w:val="32"/>
        </w:rPr>
        <w:t>十</w:t>
      </w:r>
      <w:r>
        <w:rPr>
          <w:rStyle w:val="25"/>
          <w:rFonts w:hint="eastAsia" w:ascii="黑体" w:eastAsia="黑体"/>
        </w:rPr>
        <w:t>、</w:t>
      </w:r>
      <w:r>
        <w:rPr>
          <w:rStyle w:val="25"/>
          <w:rFonts w:hint="eastAsia" w:ascii="黑体" w:eastAsia="黑体"/>
          <w:b w:val="0"/>
        </w:rPr>
        <w:t>其他重要事项的情况说明</w:t>
      </w:r>
      <w:bookmarkEnd w:id="90"/>
      <w:bookmarkEnd w:id="91"/>
      <w:bookmarkEnd w:id="92"/>
      <w:bookmarkEnd w:id="93"/>
    </w:p>
    <w:p>
      <w:pPr>
        <w:spacing w:line="600" w:lineRule="exact"/>
        <w:ind w:firstLine="643" w:firstLineChars="200"/>
        <w:outlineLvl w:val="2"/>
        <w:rPr>
          <w:rFonts w:ascii="仿宋" w:eastAsia="仿宋"/>
          <w:color w:val="000000"/>
          <w:sz w:val="32"/>
          <w:szCs w:val="32"/>
        </w:rPr>
      </w:pPr>
      <w:bookmarkStart w:id="94" w:name="_Toc15377222"/>
      <w:bookmarkStart w:id="95" w:name="_Toc79163625"/>
      <w:bookmarkStart w:id="96" w:name="_Toc114676106"/>
      <w:r>
        <w:rPr>
          <w:rFonts w:hint="eastAsia" w:ascii="仿宋" w:eastAsia="仿宋"/>
          <w:b/>
          <w:color w:val="000000"/>
          <w:sz w:val="32"/>
          <w:szCs w:val="32"/>
        </w:rPr>
        <w:t>（一）机关运行经费支出情况</w:t>
      </w:r>
      <w:bookmarkEnd w:id="94"/>
      <w:bookmarkEnd w:id="95"/>
      <w:bookmarkEnd w:id="96"/>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年，机关运行经费支出0.00万元，比</w:t>
      </w:r>
      <w:r>
        <w:rPr>
          <w:rFonts w:ascii="仿宋_GB2312" w:eastAsia="仿宋_GB2312"/>
          <w:color w:val="000000"/>
          <w:sz w:val="32"/>
          <w:szCs w:val="32"/>
        </w:rPr>
        <w:t>2020</w:t>
      </w:r>
      <w:r>
        <w:rPr>
          <w:rFonts w:hint="eastAsia" w:ascii="仿宋_GB2312" w:eastAsia="仿宋_GB2312"/>
          <w:color w:val="000000"/>
          <w:sz w:val="32"/>
          <w:szCs w:val="32"/>
        </w:rPr>
        <w:t>年增加0.00万元，增长0.00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97" w:name="_Toc15377223"/>
      <w:bookmarkStart w:id="98" w:name="_Toc79163626"/>
      <w:bookmarkStart w:id="99" w:name="_Toc114676107"/>
      <w:r>
        <w:rPr>
          <w:rFonts w:hint="eastAsia" w:asci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采购支出总额0.00万元，其中：政府采购货物支出0.00万元、政府采购工程支出0.00万元、政府采购服务支出0.00万元。授予中小企业合同金额0.00万元，其中：授予小微企业合同金额0.00万元，占政府采购支出总额的0.00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00" w:name="_Toc79163627"/>
      <w:bookmarkStart w:id="101" w:name="_Toc15377224"/>
      <w:bookmarkStart w:id="102" w:name="_Toc114676108"/>
      <w:r>
        <w:rPr>
          <w:rFonts w:hint="eastAsia" w:asci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日，共有车辆1辆，其中：主要领导干部用车0辆、机要通信用车0辆、应急保障用车0辆、其他用车1辆。单价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03" w:name="_Toc79163628"/>
      <w:bookmarkStart w:id="104" w:name="_Toc114676109"/>
      <w:r>
        <w:rPr>
          <w:rFonts w:hint="eastAsia" w:ascii="仿宋" w:eastAsia="仿宋"/>
          <w:b/>
          <w:color w:val="000000"/>
          <w:sz w:val="32"/>
          <w:szCs w:val="32"/>
        </w:rPr>
        <w:t>（四）预算绩效管理情况。</w:t>
      </w:r>
      <w:bookmarkEnd w:id="103"/>
      <w:bookmarkEnd w:id="104"/>
    </w:p>
    <w:p>
      <w:pPr>
        <w:autoSpaceDE w:val="0"/>
        <w:autoSpaceDN w:val="0"/>
        <w:adjustRightInd w:val="0"/>
        <w:spacing w:line="576" w:lineRule="atLeas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预算绩效管理要求，茂县渭门镇人民政府在年初预算编制阶段，组织对2021年一般公共预算项目开展了预算事前绩效评估，对2个项目编制了绩效目标，预算执行过程中，选取5个项目开展绩效监控，年终执行完毕后，对5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茂县渭门镇人民政府按要求对2021年部门整体支出开展绩效自评，从评价情况来看</w:t>
      </w:r>
      <w:r>
        <w:rPr>
          <w:rFonts w:hint="eastAsia" w:ascii="仿宋_GB2312" w:hAnsi="仿宋_GB2312" w:eastAsia="仿宋_GB2312" w:cs="仿宋_GB2312"/>
          <w:color w:val="000000"/>
          <w:kern w:val="0"/>
          <w:sz w:val="32"/>
          <w:szCs w:val="32"/>
        </w:rPr>
        <w:t>，2021年</w:t>
      </w:r>
      <w:r>
        <w:rPr>
          <w:rFonts w:hint="eastAsia" w:ascii="仿宋_GB2312" w:hAnsi="仿宋_GB2312" w:eastAsia="仿宋_GB2312" w:cs="仿宋_GB2312"/>
          <w:sz w:val="32"/>
          <w:szCs w:val="32"/>
        </w:rPr>
        <w:t>我镇部门整体支出绩效评价自查自评结果良好，全年基本支出保证了我镇的正常运行和日常工作的正常开展，项目支出保障了重点工作的开展，绩效目标得到较好实现，绩效管理水平不断提高，绩效指标体系逐渐丰富和完善。</w:t>
      </w:r>
    </w:p>
    <w:p>
      <w:pPr>
        <w:spacing w:line="580" w:lineRule="exact"/>
        <w:ind w:firstLine="643" w:firstLineChars="200"/>
        <w:rPr>
          <w:rFonts w:ascii="楷体_GB2312" w:hAnsi="楷体_GB2312" w:eastAsia="楷体_GB2312" w:cs="楷体_GB2312"/>
          <w:b/>
          <w:bCs/>
          <w:sz w:val="32"/>
          <w:szCs w:val="32"/>
        </w:rPr>
      </w:pPr>
      <w:r>
        <w:rPr>
          <w:rFonts w:ascii="楷体_GB2312" w:hAnsi="楷体_GB2312" w:eastAsia="楷体_GB2312" w:cs="楷体_GB2312"/>
          <w:b/>
          <w:bCs/>
          <w:sz w:val="32"/>
          <w:szCs w:val="32"/>
        </w:rPr>
        <w:t>1.</w:t>
      </w:r>
      <w:r>
        <w:rPr>
          <w:rFonts w:hint="eastAsia" w:ascii="楷体_GB2312" w:hAnsi="楷体_GB2312" w:eastAsia="楷体_GB2312" w:cs="楷体_GB2312"/>
          <w:b/>
          <w:bCs/>
          <w:sz w:val="32"/>
          <w:szCs w:val="32"/>
        </w:rPr>
        <w:t>项目绩效目标完成情况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1年度部门决算中反映“2021年</w:t>
      </w:r>
      <w:r>
        <w:rPr>
          <w:rFonts w:hint="eastAsia" w:ascii="仿宋_GB2312" w:eastAsia="仿宋_GB2312" w:cs="仿宋_GB2312"/>
          <w:color w:val="000000"/>
          <w:sz w:val="32"/>
          <w:szCs w:val="32"/>
        </w:rPr>
        <w:t>基层组织活动和公共服务运行经费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、“2021年城乡社区环境卫生”“、“各镇2021年基层武装部工作经费”、“2021年养老养老服务”、“茂县各镇人大代表活动经费”等5个项目绩效目标实际完成情况。</w:t>
      </w:r>
    </w:p>
    <w:p>
      <w:pPr>
        <w:spacing w:line="580" w:lineRule="exact"/>
        <w:ind w:firstLine="640" w:firstLineChars="200"/>
        <w:rPr>
          <w:rFonts w:ascii="仿宋_GB2312" w:eastAsia="仿宋_GB2312" w:cs="仿宋_GB2312"/>
          <w:color w:val="000000"/>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hint="eastAsia" w:ascii="仿宋_GB2312" w:eastAsia="仿宋_GB2312" w:cs="仿宋_GB2312"/>
          <w:color w:val="000000"/>
          <w:sz w:val="32"/>
          <w:szCs w:val="32"/>
        </w:rPr>
        <w:t>基层组织活动和公共服务运行经费</w:t>
      </w:r>
      <w:r>
        <w:rPr>
          <w:rFonts w:hint="eastAsia" w:ascii="仿宋_GB2312" w:hAnsi="仿宋_GB2312" w:eastAsia="仿宋_GB2312" w:cs="仿宋_GB2312"/>
          <w:sz w:val="32"/>
          <w:szCs w:val="32"/>
        </w:rPr>
        <w:t>项目绩效目标完成情况综述。项目全年预算数121万元，执行数为121万元，完成预算的100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eastAsia="仿宋_GB2312" w:cs="仿宋_GB2312"/>
          <w:color w:val="000000"/>
          <w:sz w:val="32"/>
          <w:szCs w:val="32"/>
        </w:rPr>
        <w:t>通过项目实施，保障了村级道路及村内环境卫生的打扫清理，提升村两委会的办公条件</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）2021年城乡社区环境卫生项目绩效目标完成情况综述。项目全年预算数10万元，执行数为0.99万元，完成预算的99.90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。通过项目实施，保障农村生活垃圾的处理，改善人居环境。发现的主要问题：资金不足。下一步改进措施：积极争取上级经费。</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）2021年基层武装部工作经费项目绩效目标完成情况综述。项目全年预算数5万元，执行数为5万元</w:t>
      </w:r>
      <w:r>
        <w:rPr>
          <w:rFonts w:hint="eastAsia" w:ascii="仿宋_GB2312" w:eastAsia="仿宋_GB2312" w:cs="仿宋_GB2312"/>
          <w:color w:val="000000"/>
          <w:sz w:val="32"/>
          <w:szCs w:val="32"/>
        </w:rPr>
        <w:t>（包含上年结转资金）</w:t>
      </w:r>
      <w:r>
        <w:rPr>
          <w:rFonts w:hint="eastAsia" w:ascii="仿宋_GB2312" w:hAnsi="仿宋_GB2312" w:eastAsia="仿宋_GB2312" w:cs="仿宋_GB2312"/>
          <w:sz w:val="32"/>
          <w:szCs w:val="32"/>
        </w:rPr>
        <w:t>，完成预算的100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。通过项目实施，保障了应急抢险工作开展，提高了全镇处理紧急事情的能力，发现的主要问题：项目实施进度慢。下一步改进措施：加强组织领导，加快项目实施进度。</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（4）2021年养老养老服务补助资金项目绩效目标完成情况综述。项目全年预算数8.6135万元，执行数为8.6135万元，完成预算的100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。通过项目实施，保障老年人的生活质量，丰富了老年人的日常，使老年人获得更多幸福感，发现的主要问题：村民对政策不了解。下一步改进措施：加强政策宣传。</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（5）镇人大代表活动经费项目绩效目标完成情况综述。项目全年预算数7.3万元，执行数为7.3万元，完成预算的100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。通过项目实施，保障全镇人大代表活动的开展，发现的主要问题：报账进度缓慢。下一步改进措施：加快报账进度。</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pStyle w:val="37"/>
        <w:spacing w:before="93"/>
        <w:ind w:firstLine="320"/>
        <w:rPr>
          <w:rFonts w:ascii="仿宋_GB2312" w:hAnsi="仿宋_GB2312" w:eastAsia="仿宋_GB2312" w:cs="仿宋_GB2312"/>
          <w:sz w:val="32"/>
          <w:szCs w:val="32"/>
        </w:rPr>
      </w:pPr>
    </w:p>
    <w:p>
      <w:pPr>
        <w:pStyle w:val="37"/>
        <w:spacing w:before="93"/>
        <w:ind w:firstLine="320"/>
        <w:rPr>
          <w:rFonts w:ascii="仿宋_GB2312" w:hAnsi="仿宋_GB2312" w:eastAsia="仿宋_GB2312" w:cs="仿宋_GB2312"/>
          <w:sz w:val="32"/>
          <w:szCs w:val="32"/>
        </w:rPr>
      </w:pPr>
    </w:p>
    <w:tbl>
      <w:tblPr>
        <w:tblStyle w:val="20"/>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rPr>
              <w:t>(202</w:t>
            </w:r>
            <w:r>
              <w:rPr>
                <w:rFonts w:hint="eastAsia" w:ascii="宋体" w:hAnsi="宋体" w:cs="宋体"/>
                <w:color w:val="000000"/>
                <w:kern w:val="0"/>
                <w:sz w:val="36"/>
                <w:szCs w:val="36"/>
              </w:rPr>
              <w:t>1年度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4"/>
              </w:rPr>
            </w:pPr>
            <w:r>
              <w:rPr>
                <w:rFonts w:hint="eastAsia" w:ascii="宋体" w:hAnsi="宋体" w:cs="宋体"/>
                <w:sz w:val="24"/>
              </w:rPr>
              <w:t>基层组织活动和公共服务运行经费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4"/>
              </w:rPr>
            </w:pPr>
            <w:r>
              <w:rPr>
                <w:rFonts w:hint="eastAsia" w:ascii="宋体" w:hAnsi="宋体" w:cs="宋体"/>
                <w:sz w:val="24"/>
              </w:rPr>
              <w:t>茂县渭门镇人民政府</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121</w:t>
            </w:r>
            <w:r>
              <w:rPr>
                <w:rFonts w:hint="eastAsia" w:ascii="宋体" w:hAnsi="宋体" w:cs="宋体"/>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121</w:t>
            </w:r>
            <w:r>
              <w:rPr>
                <w:rFonts w:hint="eastAsia" w:ascii="宋体" w:hAnsi="宋体" w:cs="宋体"/>
                <w:sz w:val="24"/>
              </w:rPr>
              <w:t>万元</w:t>
            </w:r>
            <w:r>
              <w:rPr>
                <w:rFonts w:hint="eastAsia" w:ascii="宋体" w:hAnsi="宋体" w:cs="宋体"/>
                <w:color w:val="000000"/>
                <w:sz w:val="24"/>
              </w:rPr>
              <w:t>（包含上年结转资金）</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121</w:t>
            </w:r>
            <w:r>
              <w:rPr>
                <w:rFonts w:hint="eastAsia" w:ascii="宋体" w:hAnsi="宋体" w:cs="宋体"/>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121</w:t>
            </w:r>
            <w:r>
              <w:rPr>
                <w:rFonts w:hint="eastAsia" w:ascii="宋体" w:hAnsi="宋体" w:cs="宋体"/>
                <w:sz w:val="24"/>
              </w:rPr>
              <w:t>万元</w:t>
            </w:r>
            <w:r>
              <w:rPr>
                <w:rFonts w:hint="eastAsia" w:ascii="宋体" w:hAnsi="宋体" w:cs="宋体"/>
                <w:color w:val="000000"/>
                <w:sz w:val="24"/>
              </w:rPr>
              <w:t>（包含上年结转资金）</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sz w:val="24"/>
              </w:rPr>
              <w:t>9个行政村的日常办公及村内道路的环境卫生及管水管电的日常开支</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sz w:val="24"/>
              </w:rPr>
              <w:t>实现了9个行政村的日常办公及村内道路的环境卫生及管水管电的日常开支</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日常办公及村内道路的环境卫生及管水管电的日常开支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宋体" w:hAnsi="宋体" w:cs="宋体"/>
                <w:sz w:val="24"/>
              </w:rPr>
              <w:t>121万元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宋体" w:hAnsi="宋体" w:cs="宋体"/>
                <w:sz w:val="24"/>
              </w:rPr>
              <w:t>121万元</w:t>
            </w:r>
            <w:r>
              <w:rPr>
                <w:rFonts w:hint="eastAsia" w:ascii="宋体" w:hAnsi="宋体" w:cs="宋体"/>
                <w:color w:val="000000"/>
                <w:sz w:val="24"/>
              </w:rPr>
              <w:t>（包含上年结转资金）</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日常办公及村内道路和环境卫生及管水管电的日常开支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宋体" w:hAnsi="宋体" w:cs="宋体"/>
                <w:sz w:val="24"/>
              </w:rPr>
              <w:t>121万元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宋体" w:hAnsi="宋体" w:cs="宋体"/>
                <w:sz w:val="24"/>
              </w:rPr>
              <w:t>121万元</w:t>
            </w:r>
            <w:r>
              <w:rPr>
                <w:rFonts w:hint="eastAsia" w:ascii="宋体" w:hAnsi="宋体" w:cs="宋体"/>
                <w:color w:val="000000"/>
                <w:sz w:val="24"/>
              </w:rPr>
              <w:t>（包含上年结转资金）</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jc w:val="center"/>
        </w:trPr>
        <w:tc>
          <w:tcPr>
            <w:tcW w:w="9960" w:type="dxa"/>
            <w:gridSpan w:val="6"/>
            <w:tcMar>
              <w:top w:w="15" w:type="dxa"/>
              <w:left w:w="15" w:type="dxa"/>
              <w:bottom w:w="0" w:type="dxa"/>
              <w:right w:w="15" w:type="dxa"/>
            </w:tcMar>
            <w:vAlign w:val="center"/>
          </w:tcPr>
          <w:p>
            <w:pPr>
              <w:pStyle w:val="38"/>
              <w:spacing w:line="576" w:lineRule="atLeast"/>
              <w:ind w:firstLine="0" w:firstLineChars="0"/>
              <w:jc w:val="center"/>
              <w:textAlignment w:val="center"/>
              <w:rPr>
                <w:rFonts w:ascii="黑体" w:hAnsi="黑体" w:eastAsia="黑体"/>
                <w:color w:val="000000"/>
                <w:kern w:val="0"/>
                <w:sz w:val="36"/>
                <w:szCs w:val="36"/>
              </w:rPr>
            </w:pPr>
          </w:p>
          <w:p>
            <w:pPr>
              <w:pStyle w:val="38"/>
              <w:spacing w:line="576" w:lineRule="atLeast"/>
              <w:ind w:firstLine="0" w:firstLineChars="0"/>
              <w:jc w:val="center"/>
              <w:textAlignment w:val="center"/>
              <w:rPr>
                <w:rFonts w:ascii="黑体" w:hAnsi="黑体" w:eastAsia="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r>
              <w:rPr>
                <w:rFonts w:hint="eastAsia" w:ascii="黑体" w:hAnsi="黑体" w:eastAsia="黑体" w:cs="黑体"/>
                <w:color w:val="000000"/>
                <w:kern w:val="0"/>
                <w:sz w:val="36"/>
                <w:szCs w:val="36"/>
              </w:rPr>
              <w:t>项目支出绩效目标完成情况表</w:t>
            </w:r>
          </w:p>
          <w:p>
            <w:pPr>
              <w:pStyle w:val="38"/>
              <w:spacing w:line="576" w:lineRule="atLeast"/>
              <w:ind w:firstLine="0" w:firstLineChars="0"/>
              <w:jc w:val="center"/>
              <w:textAlignment w:val="center"/>
              <w:rPr>
                <w:rFonts w:ascii="宋体"/>
                <w:color w:val="000000"/>
                <w:sz w:val="36"/>
                <w:szCs w:val="36"/>
              </w:rPr>
            </w:pPr>
            <w:r>
              <w:rPr>
                <w:rFonts w:ascii="宋体" w:hAnsi="宋体" w:cs="宋体"/>
                <w:color w:val="000000"/>
                <w:kern w:val="0"/>
                <w:sz w:val="36"/>
                <w:szCs w:val="36"/>
              </w:rPr>
              <w:t>(20</w:t>
            </w:r>
            <w:r>
              <w:rPr>
                <w:rFonts w:hint="eastAsia" w:ascii="宋体" w:hAnsi="宋体" w:cs="宋体"/>
                <w:color w:val="000000"/>
                <w:kern w:val="0"/>
                <w:sz w:val="36"/>
                <w:szCs w:val="36"/>
              </w:rPr>
              <w:t>21年度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2021年城乡社区环境卫生补助资金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茂县渭门镇人民政府</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rPr>
              <w:t>0.99万元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0.99万元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完成农村生活垃圾转运</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完成全镇9个村农村生活垃圾的处理</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提高全镇的预防疾病能力，强化群众预防疾病意识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0.99万元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0.99万元</w:t>
            </w:r>
          </w:p>
        </w:tc>
      </w:tr>
      <w:tr>
        <w:tblPrEx>
          <w:tblCellMar>
            <w:top w:w="0" w:type="dxa"/>
            <w:left w:w="0" w:type="dxa"/>
            <w:bottom w:w="0" w:type="dxa"/>
            <w:right w:w="0" w:type="dxa"/>
          </w:tblCellMar>
        </w:tblPrEx>
        <w:trPr>
          <w:trHeight w:val="12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提高全镇的预防疾病能力，强化群众预防疾病意识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0.99万元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0.99万元</w:t>
            </w:r>
          </w:p>
        </w:tc>
      </w:tr>
      <w:tr>
        <w:tblPrEx>
          <w:tblCellMar>
            <w:top w:w="0" w:type="dxa"/>
            <w:left w:w="0" w:type="dxa"/>
            <w:bottom w:w="0" w:type="dxa"/>
            <w:right w:w="0" w:type="dxa"/>
          </w:tblCellMar>
        </w:tblPrEx>
        <w:trPr>
          <w:trHeight w:val="61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rPr>
              <w:t>保障人居环境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改善人居环境垃圾处理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rPr>
              <w:t>改善人居环境垃圾处理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改善人居环境垃圾处理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jc w:val="center"/>
        </w:trPr>
        <w:tc>
          <w:tcPr>
            <w:tcW w:w="9960" w:type="dxa"/>
            <w:gridSpan w:val="6"/>
            <w:tcMar>
              <w:top w:w="15" w:type="dxa"/>
              <w:left w:w="15" w:type="dxa"/>
              <w:bottom w:w="0" w:type="dxa"/>
              <w:right w:w="15" w:type="dxa"/>
            </w:tcMar>
            <w:vAlign w:val="center"/>
          </w:tcPr>
          <w:p>
            <w:pPr>
              <w:pStyle w:val="38"/>
              <w:spacing w:line="576" w:lineRule="atLeast"/>
              <w:ind w:left="2751" w:leftChars="1310" w:firstLine="0" w:firstLineChars="0"/>
              <w:jc w:val="center"/>
              <w:textAlignment w:val="center"/>
              <w:rPr>
                <w:rFonts w:ascii="黑体" w:hAnsi="黑体" w:eastAsia="黑体"/>
                <w:color w:val="000000"/>
                <w:kern w:val="0"/>
                <w:sz w:val="36"/>
                <w:szCs w:val="36"/>
              </w:rPr>
            </w:pPr>
          </w:p>
          <w:p>
            <w:pPr>
              <w:pStyle w:val="38"/>
              <w:spacing w:line="576" w:lineRule="atLeast"/>
              <w:ind w:left="2751" w:leftChars="1310" w:firstLine="0" w:firstLineChars="0"/>
              <w:jc w:val="center"/>
              <w:textAlignment w:val="center"/>
              <w:rPr>
                <w:rFonts w:ascii="黑体" w:hAnsi="黑体" w:eastAsia="黑体"/>
                <w:color w:val="000000"/>
                <w:kern w:val="0"/>
                <w:sz w:val="36"/>
                <w:szCs w:val="36"/>
              </w:rPr>
            </w:pPr>
          </w:p>
          <w:p>
            <w:pPr>
              <w:pStyle w:val="38"/>
              <w:spacing w:line="576" w:lineRule="atLeast"/>
              <w:ind w:left="2751" w:leftChars="1310" w:firstLine="0" w:firstLineChars="0"/>
              <w:jc w:val="center"/>
              <w:textAlignment w:val="center"/>
              <w:rPr>
                <w:rFonts w:ascii="黑体" w:hAnsi="黑体" w:eastAsia="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r>
              <w:rPr>
                <w:rFonts w:hint="eastAsia" w:ascii="黑体" w:hAnsi="黑体" w:eastAsia="黑体" w:cs="黑体"/>
                <w:color w:val="000000"/>
                <w:kern w:val="0"/>
                <w:sz w:val="36"/>
                <w:szCs w:val="36"/>
              </w:rPr>
              <w:t>项目支出绩效目标完成情况表</w:t>
            </w:r>
          </w:p>
          <w:p>
            <w:pPr>
              <w:pStyle w:val="38"/>
              <w:spacing w:line="576" w:lineRule="atLeast"/>
              <w:ind w:firstLine="0" w:firstLineChars="0"/>
              <w:jc w:val="center"/>
              <w:textAlignment w:val="center"/>
              <w:rPr>
                <w:rFonts w:ascii="宋体"/>
                <w:color w:val="000000"/>
                <w:sz w:val="36"/>
                <w:szCs w:val="36"/>
              </w:rPr>
            </w:pPr>
            <w:r>
              <w:rPr>
                <w:rFonts w:ascii="宋体" w:hAnsi="宋体" w:cs="宋体"/>
                <w:color w:val="000000"/>
                <w:kern w:val="0"/>
                <w:sz w:val="36"/>
                <w:szCs w:val="36"/>
              </w:rPr>
              <w:t>(20</w:t>
            </w:r>
            <w:r>
              <w:rPr>
                <w:rFonts w:hint="eastAsia" w:ascii="宋体" w:hAnsi="宋体" w:cs="宋体"/>
                <w:color w:val="000000"/>
                <w:kern w:val="0"/>
                <w:sz w:val="36"/>
                <w:szCs w:val="36"/>
              </w:rPr>
              <w:t>21年度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镇2020年基层武装部工作经费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茂县渭门镇人民政府</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w:t>
            </w:r>
            <w:r>
              <w:rPr>
                <w:rFonts w:hint="eastAsia" w:ascii="仿宋_GB2312" w:eastAsia="仿宋_GB2312" w:cs="仿宋_GB2312"/>
                <w:color w:val="000000"/>
                <w:sz w:val="24"/>
              </w:rPr>
              <w:t>万元（包含上年结转)</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5万元</w:t>
            </w:r>
            <w:r>
              <w:rPr>
                <w:rFonts w:hint="eastAsia" w:ascii="仿宋_GB2312" w:eastAsia="仿宋_GB2312" w:cs="仿宋_GB2312"/>
                <w:color w:val="000000"/>
                <w:sz w:val="24"/>
              </w:rPr>
              <w:t>（包含上年结转)</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保障了应急抢险工作开展，提高了全镇处理紧急事情的能力</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保障了应急抢险工作开展，提高了全镇处理紧急事情的能力</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应急物资得到补充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5</w:t>
            </w:r>
            <w:r>
              <w:rPr>
                <w:rFonts w:hint="eastAsia" w:ascii="仿宋_GB2312" w:eastAsia="仿宋_GB2312" w:cs="仿宋_GB2312"/>
                <w:color w:val="000000"/>
                <w:sz w:val="24"/>
              </w:rPr>
              <w:t>万元（包含上年结转)</w:t>
            </w:r>
          </w:p>
        </w:tc>
      </w:tr>
      <w:tr>
        <w:tblPrEx>
          <w:tblCellMar>
            <w:top w:w="0" w:type="dxa"/>
            <w:left w:w="0" w:type="dxa"/>
            <w:bottom w:w="0" w:type="dxa"/>
            <w:right w:w="0" w:type="dxa"/>
          </w:tblCellMar>
        </w:tblPrEx>
        <w:trPr>
          <w:trHeight w:val="12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应急物资得到补充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5万元</w:t>
            </w:r>
            <w:r>
              <w:rPr>
                <w:rFonts w:hint="eastAsia" w:ascii="仿宋_GB2312" w:eastAsia="仿宋_GB2312" w:cs="仿宋_GB2312"/>
                <w:color w:val="000000"/>
                <w:sz w:val="24"/>
              </w:rPr>
              <w:t>（包含上年结转)</w:t>
            </w:r>
          </w:p>
        </w:tc>
      </w:tr>
      <w:tr>
        <w:tblPrEx>
          <w:tblCellMar>
            <w:top w:w="0" w:type="dxa"/>
            <w:left w:w="0" w:type="dxa"/>
            <w:bottom w:w="0" w:type="dxa"/>
            <w:right w:w="0" w:type="dxa"/>
          </w:tblCellMar>
        </w:tblPrEx>
        <w:trPr>
          <w:trHeight w:val="61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推动全镇的应急工作开展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保障了人民群众生命安全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jc w:val="center"/>
        </w:trPr>
        <w:tc>
          <w:tcPr>
            <w:tcW w:w="9960" w:type="dxa"/>
            <w:gridSpan w:val="6"/>
            <w:tcMar>
              <w:top w:w="15" w:type="dxa"/>
              <w:left w:w="15" w:type="dxa"/>
              <w:bottom w:w="0" w:type="dxa"/>
              <w:right w:w="15" w:type="dxa"/>
            </w:tcMar>
            <w:vAlign w:val="center"/>
          </w:tcPr>
          <w:p>
            <w:pPr>
              <w:pStyle w:val="38"/>
              <w:spacing w:line="576" w:lineRule="atLeast"/>
              <w:ind w:left="2751" w:leftChars="1310" w:firstLine="0" w:firstLineChars="0"/>
              <w:textAlignment w:val="center"/>
              <w:rPr>
                <w:rFonts w:ascii="黑体" w:hAnsi="黑体" w:eastAsia="黑体"/>
                <w:color w:val="000000"/>
                <w:kern w:val="0"/>
                <w:sz w:val="36"/>
                <w:szCs w:val="36"/>
              </w:rPr>
            </w:pPr>
          </w:p>
          <w:p>
            <w:pPr>
              <w:spacing w:line="576" w:lineRule="atLeast"/>
              <w:textAlignment w:val="center"/>
              <w:rPr>
                <w:rFonts w:ascii="黑体" w:hAnsi="黑体" w:eastAsia="黑体"/>
                <w:color w:val="000000"/>
                <w:kern w:val="0"/>
                <w:sz w:val="36"/>
                <w:szCs w:val="36"/>
              </w:rPr>
            </w:pPr>
          </w:p>
          <w:p>
            <w:pPr>
              <w:spacing w:line="576" w:lineRule="atLeast"/>
              <w:textAlignment w:val="center"/>
              <w:rPr>
                <w:rFonts w:ascii="黑体" w:hAnsi="黑体" w:eastAsia="黑体"/>
                <w:color w:val="000000"/>
                <w:kern w:val="0"/>
                <w:sz w:val="36"/>
                <w:szCs w:val="36"/>
              </w:rPr>
            </w:pPr>
          </w:p>
          <w:p>
            <w:pPr>
              <w:pStyle w:val="38"/>
              <w:spacing w:line="576" w:lineRule="atLeast"/>
              <w:ind w:left="2751" w:leftChars="1310" w:firstLine="0" w:firstLineChars="0"/>
              <w:textAlignment w:val="center"/>
              <w:rPr>
                <w:rFonts w:ascii="黑体" w:hAnsi="黑体" w:eastAsia="黑体"/>
                <w:color w:val="000000"/>
                <w:kern w:val="0"/>
                <w:sz w:val="36"/>
                <w:szCs w:val="36"/>
              </w:rPr>
            </w:pPr>
          </w:p>
          <w:p>
            <w:pPr>
              <w:pStyle w:val="38"/>
              <w:spacing w:line="576" w:lineRule="atLeast"/>
              <w:ind w:firstLine="0" w:firstLineChars="0"/>
              <w:textAlignment w:val="center"/>
              <w:rPr>
                <w:rFonts w:ascii="黑体" w:hAnsi="黑体" w:eastAsia="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r>
              <w:rPr>
                <w:rFonts w:hint="eastAsia" w:ascii="黑体" w:hAnsi="黑体" w:eastAsia="黑体" w:cs="黑体"/>
                <w:color w:val="000000"/>
                <w:kern w:val="0"/>
                <w:sz w:val="36"/>
                <w:szCs w:val="36"/>
              </w:rPr>
              <w:t>项目支出绩效目标完成情况表</w:t>
            </w:r>
          </w:p>
          <w:p>
            <w:pPr>
              <w:pStyle w:val="38"/>
              <w:spacing w:line="576" w:lineRule="atLeast"/>
              <w:ind w:firstLine="0" w:firstLineChars="0"/>
              <w:jc w:val="center"/>
              <w:textAlignment w:val="center"/>
              <w:rPr>
                <w:rFonts w:ascii="宋体"/>
                <w:color w:val="000000"/>
                <w:sz w:val="36"/>
                <w:szCs w:val="36"/>
              </w:rPr>
            </w:pPr>
            <w:r>
              <w:rPr>
                <w:rFonts w:ascii="宋体" w:hAnsi="宋体" w:cs="宋体"/>
                <w:color w:val="000000"/>
                <w:kern w:val="0"/>
                <w:sz w:val="36"/>
                <w:szCs w:val="36"/>
              </w:rPr>
              <w:t>(20</w:t>
            </w:r>
            <w:r>
              <w:rPr>
                <w:rFonts w:hint="eastAsia" w:ascii="宋体" w:hAnsi="宋体" w:cs="宋体"/>
                <w:color w:val="000000"/>
                <w:kern w:val="0"/>
                <w:sz w:val="36"/>
                <w:szCs w:val="36"/>
              </w:rPr>
              <w:t>21年度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2020年养老养老服务补助资金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茂县渭门镇人民政府</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8.6135万元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8.6135万元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8.6135万元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8.6135万元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保障老年人的生活质量，丰富了老年人的日常，使老年人获得更多幸福感</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实现了老年人生活质量提高，丰富了老年人的日常，使老年人获得更多幸福感</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慰问了老年人，组织老年人举办活动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8.6135万元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8.6135万元</w:t>
            </w:r>
          </w:p>
        </w:tc>
      </w:tr>
      <w:tr>
        <w:tblPrEx>
          <w:tblCellMar>
            <w:top w:w="0" w:type="dxa"/>
            <w:left w:w="0" w:type="dxa"/>
            <w:bottom w:w="0" w:type="dxa"/>
            <w:right w:w="0" w:type="dxa"/>
          </w:tblCellMar>
        </w:tblPrEx>
        <w:trPr>
          <w:trHeight w:val="12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慰问了老年人，组织老年人举办活动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8.6135万元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8.6135万元</w:t>
            </w:r>
          </w:p>
        </w:tc>
      </w:tr>
      <w:tr>
        <w:tblPrEx>
          <w:tblCellMar>
            <w:top w:w="0" w:type="dxa"/>
            <w:left w:w="0" w:type="dxa"/>
            <w:bottom w:w="0" w:type="dxa"/>
            <w:right w:w="0" w:type="dxa"/>
          </w:tblCellMar>
        </w:tblPrEx>
        <w:trPr>
          <w:trHeight w:val="61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推动各村的老年人生活质量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jc w:val="center"/>
        </w:trPr>
        <w:tc>
          <w:tcPr>
            <w:tcW w:w="9960" w:type="dxa"/>
            <w:gridSpan w:val="6"/>
            <w:tcMar>
              <w:top w:w="15" w:type="dxa"/>
              <w:left w:w="15" w:type="dxa"/>
              <w:bottom w:w="0" w:type="dxa"/>
              <w:right w:w="15" w:type="dxa"/>
            </w:tcMar>
            <w:vAlign w:val="center"/>
          </w:tcPr>
          <w:p>
            <w:pPr>
              <w:pStyle w:val="38"/>
              <w:spacing w:line="576" w:lineRule="atLeast"/>
              <w:ind w:left="2751" w:leftChars="1310" w:firstLine="0" w:firstLineChars="0"/>
              <w:textAlignment w:val="center"/>
              <w:rPr>
                <w:rFonts w:ascii="黑体" w:hAnsi="黑体" w:eastAsia="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p>
          <w:p>
            <w:pPr>
              <w:pStyle w:val="38"/>
              <w:spacing w:line="576" w:lineRule="atLeast"/>
              <w:ind w:firstLine="0" w:firstLineChars="0"/>
              <w:jc w:val="center"/>
              <w:textAlignment w:val="center"/>
              <w:rPr>
                <w:rFonts w:ascii="黑体" w:hAnsi="黑体" w:eastAsia="黑体" w:cs="黑体"/>
                <w:color w:val="000000"/>
                <w:kern w:val="0"/>
                <w:sz w:val="36"/>
                <w:szCs w:val="36"/>
              </w:rPr>
            </w:pPr>
            <w:r>
              <w:rPr>
                <w:rFonts w:hint="eastAsia" w:ascii="黑体" w:hAnsi="黑体" w:eastAsia="黑体" w:cs="黑体"/>
                <w:color w:val="000000"/>
                <w:kern w:val="0"/>
                <w:sz w:val="36"/>
                <w:szCs w:val="36"/>
              </w:rPr>
              <w:t>项目支出绩效目标完成情况表</w:t>
            </w:r>
          </w:p>
          <w:p>
            <w:pPr>
              <w:pStyle w:val="38"/>
              <w:spacing w:line="576" w:lineRule="atLeast"/>
              <w:ind w:firstLine="0" w:firstLineChars="0"/>
              <w:jc w:val="center"/>
              <w:textAlignment w:val="center"/>
              <w:rPr>
                <w:rFonts w:ascii="黑体" w:hAnsi="黑体" w:eastAsia="黑体"/>
                <w:color w:val="000000"/>
                <w:kern w:val="0"/>
                <w:sz w:val="36"/>
                <w:szCs w:val="36"/>
              </w:rPr>
            </w:pPr>
            <w:r>
              <w:rPr>
                <w:rFonts w:ascii="宋体" w:hAnsi="宋体" w:cs="宋体"/>
                <w:color w:val="000000"/>
                <w:kern w:val="0"/>
                <w:sz w:val="36"/>
                <w:szCs w:val="36"/>
              </w:rPr>
              <w:t>(20</w:t>
            </w:r>
            <w:r>
              <w:rPr>
                <w:rFonts w:hint="eastAsia" w:ascii="宋体" w:hAnsi="宋体" w:cs="宋体"/>
                <w:color w:val="000000"/>
                <w:kern w:val="0"/>
                <w:sz w:val="36"/>
                <w:szCs w:val="36"/>
              </w:rPr>
              <w:t>21年度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茂县各镇人大代表活动经费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茂县渭门镇人民政府</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7.3万元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7.3万元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保障全镇人大代表活动的开展</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实现了人大代表活动的有序开展</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人大代表活动的开展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7.3万元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7.3万元</w:t>
            </w:r>
          </w:p>
        </w:tc>
      </w:tr>
      <w:tr>
        <w:tblPrEx>
          <w:tblCellMar>
            <w:top w:w="0" w:type="dxa"/>
            <w:left w:w="0" w:type="dxa"/>
            <w:bottom w:w="0" w:type="dxa"/>
            <w:right w:w="0" w:type="dxa"/>
          </w:tblCellMar>
        </w:tblPrEx>
        <w:trPr>
          <w:trHeight w:val="12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人大代表活动的开展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7.3万元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7.3万元</w:t>
            </w:r>
          </w:p>
        </w:tc>
      </w:tr>
      <w:tr>
        <w:tblPrEx>
          <w:tblCellMar>
            <w:top w:w="0" w:type="dxa"/>
            <w:left w:w="0" w:type="dxa"/>
            <w:bottom w:w="0" w:type="dxa"/>
            <w:right w:w="0" w:type="dxa"/>
          </w:tblCellMar>
        </w:tblPrEx>
        <w:trPr>
          <w:trHeight w:val="61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推动人大代表工作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满足人大代表工作需要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bl>
    <w:p>
      <w:pPr>
        <w:spacing w:line="580" w:lineRule="exact"/>
        <w:ind w:firstLine="643" w:firstLineChars="200"/>
        <w:rPr>
          <w:rFonts w:ascii="仿宋_GB2312" w:hAnsi="仿宋_GB2312" w:eastAsia="仿宋_GB2312" w:cs="仿宋_GB2312"/>
          <w:b/>
          <w:bCs/>
          <w:sz w:val="32"/>
          <w:szCs w:val="32"/>
        </w:rPr>
      </w:pPr>
      <w:r>
        <w:rPr>
          <w:rFonts w:ascii="楷体_GB2312" w:hAnsi="楷体_GB2312" w:eastAsia="楷体_GB2312" w:cs="楷体_GB2312"/>
          <w:b/>
          <w:bCs/>
          <w:sz w:val="32"/>
          <w:szCs w:val="32"/>
        </w:rPr>
        <w:t>2.</w:t>
      </w:r>
      <w:r>
        <w:rPr>
          <w:rFonts w:hint="eastAsia" w:ascii="楷体_GB2312" w:hAnsi="楷体_GB2312" w:eastAsia="楷体_GB2312" w:cs="楷体_GB2312"/>
          <w:b/>
          <w:bCs/>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1年部门整体支出绩效评价情况开展自评，《</w:t>
      </w:r>
      <w:r>
        <w:rPr>
          <w:rFonts w:hint="eastAsia" w:ascii="仿宋_GB2312" w:hAnsi="仿宋_GB2312" w:eastAsia="仿宋_GB2312" w:cs="仿宋_GB2312"/>
          <w:color w:val="000000"/>
          <w:sz w:val="32"/>
          <w:szCs w:val="32"/>
        </w:rPr>
        <w:t>茂县渭门镇人民政府</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autoSpaceDE w:val="0"/>
        <w:autoSpaceDN w:val="0"/>
        <w:adjustRightInd w:val="0"/>
        <w:spacing w:line="600" w:lineRule="exact"/>
        <w:ind w:firstLine="643" w:firstLineChars="200"/>
        <w:jc w:val="left"/>
        <w:outlineLvl w:val="2"/>
        <w:rPr>
          <w:rFonts w:ascii="仿宋" w:eastAsia="仿宋"/>
          <w:b/>
          <w:color w:val="000000"/>
          <w:sz w:val="32"/>
          <w:szCs w:val="32"/>
        </w:rPr>
      </w:pPr>
    </w:p>
    <w:p>
      <w:pPr>
        <w:numPr>
          <w:ilvl w:val="0"/>
          <w:numId w:val="3"/>
        </w:numPr>
        <w:spacing w:line="600" w:lineRule="exact"/>
        <w:ind w:left="210" w:leftChars="100" w:firstLine="660" w:firstLineChars="150"/>
        <w:jc w:val="center"/>
        <w:outlineLvl w:val="0"/>
        <w:rPr>
          <w:rStyle w:val="24"/>
          <w:rFonts w:ascii="黑体" w:eastAsia="黑体"/>
          <w:b w:val="0"/>
        </w:rPr>
      </w:pPr>
      <w:bookmarkStart w:id="105" w:name="_Toc114676110"/>
      <w:bookmarkStart w:id="106" w:name="_Toc15396613"/>
      <w:bookmarkStart w:id="107" w:name="_Toc79163629"/>
      <w:bookmarkStart w:id="108" w:name="_Toc15377225"/>
      <w:r>
        <w:rPr>
          <w:rFonts w:hint="eastAsia" w:ascii="黑体" w:eastAsia="黑体"/>
          <w:color w:val="000000"/>
          <w:sz w:val="44"/>
          <w:szCs w:val="44"/>
        </w:rPr>
        <w:t>名</w:t>
      </w:r>
      <w:r>
        <w:rPr>
          <w:rStyle w:val="24"/>
          <w:rFonts w:hint="eastAsia" w:asci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29"/>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9.一般公共服务支出（201）人大事务（20101）代表工作（2010108）：反映人大代表开展各类视察等方面的支出。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10.一般公共服务支出（201）政府办公厅（室）及相关机构事务（20103）行政运行（2010301）：反映行政单位（包括实行公务员管理的事业单位）的基本支出。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11.一般公共服务支出（201）政府办公厅（室）及相关机构事务（20103）一般行政管理事务（2010302）：反映行政单位（包括实行公务员管理的事业单位）未单独设置项级科目的其他项目支出。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12.一般公共服务支出（201）政府办公厅（室）及相关机构事务（20103）其他政府办公厅（室）及相关机构事务支出（2010399）：反映除上述项目以外的其他政府办公厅（室）及相关机构事务支出。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13.一般公共服务支出（201）财政事务（20106）事业运行（2010650）：反映事业单位的基本支出，不包括行政单位（包括实行公务员管理的事业单位）后勤服务中心、医务室等附属事业单位。</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14.一般公共服务支出（201）党委办公厅（室）及相关机构事务（20131）行政运行（2013101）：反映行政单位（包括实行公务员管理的事业单位）的基本支出。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15.国防支出（203）国防动员（20306）民兵（2030607）:反映用于民兵建设与管理等方面的支出。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16.文化旅游体育与传媒支出（207）其他文化旅游体育与传媒支出（20799）其他文化旅游体育与传媒支出（2079999）:反映除上述项目以外其他用于文化旅游体育与传媒方面的支出。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社会保障和就业支出（208）民政管理事务（20802）基层政权建设和社区治理（2080208）：反映开展城乡社区治理、城乡社区服务（乡村便民服务）、村（居）民自治村（居）务公开、乡镇（街道）服务能力建设等基层政权建设和社区治理工作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18.社会保障和就业支出（208）民政管理事务（20802）其他民政管理事务支出（2080299）：反映除上述项目以外其他用于民政管理事务的支出。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19.社会保障和就业支出（208）行政事业单位养老支出（20805）机关事业单位基本养老保险缴费支出（2080505）：反映机关事业单位实施养老保险制度由单位缴纳的基本养老保险费支出。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20.社会保障和就业支出（208）行政事业单位养老支出（20805）机关事业单位职业年金缴费支出（2080506）:反映机关事业单位实施养老保险制度由单位实际缴纳的职业年金支出。</w:t>
      </w:r>
    </w:p>
    <w:p>
      <w:pPr>
        <w:tabs>
          <w:tab w:val="right" w:pos="8306"/>
        </w:tabs>
        <w:ind w:firstLine="640" w:firstLineChars="200"/>
        <w:rPr>
          <w:rFonts w:ascii="仿宋_GB2312" w:eastAsia="仿宋_GB2312"/>
          <w:color w:val="000000"/>
          <w:sz w:val="32"/>
          <w:szCs w:val="32"/>
        </w:rPr>
      </w:pPr>
      <w:r>
        <w:rPr>
          <w:rFonts w:hint="eastAsia" w:ascii="仿宋_GB2312" w:eastAsia="仿宋_GB2312"/>
          <w:color w:val="000000"/>
          <w:sz w:val="32"/>
          <w:szCs w:val="32"/>
        </w:rPr>
        <w:t>21.社会保障和就业支出（208）社会福利（20810）老年福利（2081002）：反映对老年人提供福利服务方面的支出，包括为经济困难的高龄、失能等老年人提供基本养老服务保障的资金补助等支出。</w:t>
      </w:r>
    </w:p>
    <w:p>
      <w:pPr>
        <w:tabs>
          <w:tab w:val="right" w:pos="8306"/>
        </w:tabs>
        <w:ind w:firstLine="640" w:firstLineChars="200"/>
        <w:rPr>
          <w:rFonts w:ascii="仿宋_GB2312" w:eastAsia="仿宋_GB2312"/>
          <w:color w:val="000000"/>
          <w:sz w:val="32"/>
          <w:szCs w:val="32"/>
        </w:rPr>
      </w:pPr>
      <w:r>
        <w:rPr>
          <w:rFonts w:hint="eastAsia" w:ascii="仿宋_GB2312" w:eastAsia="仿宋_GB2312"/>
          <w:color w:val="000000"/>
          <w:sz w:val="32"/>
          <w:szCs w:val="32"/>
        </w:rPr>
        <w:t>22.社会保障和就业支出（208）社会福利（20810）养老服务（2081006）：反映财政在养老服务方面的补助支出，包括支持居家养老服务、社区养老服务和机构养老服务的支出，对养老服务机构的运营、建设补助支出等，不包括对社会福利事业单位的补助支出。</w:t>
      </w:r>
    </w:p>
    <w:p>
      <w:pPr>
        <w:tabs>
          <w:tab w:val="right" w:pos="8306"/>
        </w:tabs>
        <w:ind w:firstLine="640" w:firstLineChars="200"/>
        <w:rPr>
          <w:rFonts w:ascii="仿宋_GB2312" w:eastAsia="仿宋_GB2312"/>
          <w:color w:val="000000"/>
          <w:sz w:val="32"/>
          <w:szCs w:val="32"/>
        </w:rPr>
      </w:pPr>
      <w:r>
        <w:rPr>
          <w:rFonts w:hint="eastAsia" w:ascii="仿宋_GB2312" w:eastAsia="仿宋_GB2312"/>
          <w:color w:val="000000"/>
          <w:sz w:val="32"/>
          <w:szCs w:val="32"/>
        </w:rPr>
        <w:t>23.社会保障和就业支出（208）社会福利（20810）其他社会福利支出（2081099）：反映除上述项目以外其他用于社会福利方面的支出。</w:t>
      </w:r>
    </w:p>
    <w:p>
      <w:pPr>
        <w:tabs>
          <w:tab w:val="right" w:pos="8306"/>
        </w:tabs>
        <w:ind w:firstLine="640" w:firstLineChars="200"/>
        <w:rPr>
          <w:rFonts w:ascii="仿宋_GB2312" w:eastAsia="仿宋_GB2312"/>
          <w:color w:val="000000"/>
          <w:sz w:val="32"/>
          <w:szCs w:val="32"/>
        </w:rPr>
      </w:pPr>
      <w:r>
        <w:rPr>
          <w:rFonts w:hint="eastAsia" w:ascii="仿宋_GB2312" w:eastAsia="仿宋_GB2312"/>
          <w:color w:val="000000"/>
          <w:sz w:val="32"/>
          <w:szCs w:val="32"/>
        </w:rPr>
        <w:t>24.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25.卫生健康支出（210）行政事业单位医疗（21011）事业单位医疗（2101102）：反映财政部门安排的事业单位基本医疗保险缴费经费，未参加医疗保险的事业单位的公费医疗经费，按国家规定享受离休人员待遇的医疗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26.节能环保支出（211）自然生态保护（21104）生态保护（2110401）：反映用于生态功能区、生态示范区、生态省（市、县）管理及能力建设、日常管护、宣教、试点示范等支出，生态修复支出，资源开发生态监管支出，生态护林员的劳务报酬等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27.农林水支出（213）农业农村（21301）事业运行（2130104）：反映用于农业事业单位基本支出，事业单位设施、系统运行与资产维护等方面的支出。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28.农林水支出（213）农业农村（21301）对高校毕业生到基层任职补助（2130152）：反映按规定对高校毕业生到基层任职的补助支出。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29.农林水支出（213）水利（21303）水文测报（2130313）：反映水利系统纳入预算管理的水文事业单位的支出。有关事项包括江、河、湖、库、滨海、区的水文测报，水文测验、水文情报预报、河道（淤积）监测，水量调度监测，水文业务管理，水文水资源公报编制、水文资料整编及水文设施运行维护等。</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30.农林水支出（213）扶贫（21305）农村基础设施建设（2130504）:反映用于农村贫困地区乡村道路、住房、基本农田、水利设施、人畜饮水、生态环境保护等生产生活条件改善方面的支出。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31.农林水支出（213）扶贫（21305）其他扶贫支出（2130599）:反映除上述项目以外其他用于扶贫方面的支出。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32.农林水支出（213）农村综合改革（21307）对村民委员会和村党支部的补助（2130705）：反映各级财政对村民委员会和村党支部的补助支出，以及支持建立县级基本财力保障机制安排的村级组织运转奖补资金。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33.住房保障支出（221）住房改革支出（22102）住房公积金（2210201）：反映行政事业单位按人力资源和社会保障部、财政部规定的基本工资和津贴补贴以及规定比例为职工缴纳的住房公积金。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34.住房保障支出（221）住房改革支出（22102）购房补贴（2210203）：反映按房改政策规定，行政事业单位向符合条件职工（含离退休人员）、军队（含武警）向转役复员离退休人员发放的用于购买住房的补贴。</w:t>
      </w:r>
    </w:p>
    <w:p>
      <w:pPr>
        <w:spacing w:line="576" w:lineRule="atLeast"/>
        <w:ind w:firstLine="640" w:firstLineChars="200"/>
        <w:rPr>
          <w:rFonts w:ascii="仿宋_GB2312" w:hAnsi="仿宋_GB2312" w:eastAsia="仿宋_GB2312" w:cs="仿宋_GB2312"/>
          <w:color w:val="000000"/>
          <w:sz w:val="32"/>
          <w:szCs w:val="32"/>
        </w:rPr>
      </w:pPr>
      <w:r>
        <w:rPr>
          <w:rFonts w:hint="eastAsia" w:ascii="仿宋_GB2312" w:eastAsia="仿宋_GB2312"/>
          <w:color w:val="000000"/>
          <w:sz w:val="32"/>
          <w:szCs w:val="32"/>
        </w:rPr>
        <w:t>35.其他支出（229）其他支出（22999）其他支出（2299999）:</w:t>
      </w:r>
      <w:r>
        <w:rPr>
          <w:rFonts w:hint="eastAsia" w:ascii="仿宋_GB2312" w:hAnsi="仿宋" w:eastAsia="仿宋_GB2312" w:cs="仿宋"/>
          <w:bCs/>
          <w:color w:val="000000"/>
          <w:sz w:val="32"/>
          <w:szCs w:val="32"/>
        </w:rPr>
        <w:t>反映单位的其他支出。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38</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rPr>
        <w:t>39</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rPr>
        <w:t>40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9"/>
        <w:spacing w:line="560" w:lineRule="exact"/>
        <w:ind w:firstLine="640" w:firstLineChars="200"/>
        <w:jc w:val="both"/>
        <w:rPr>
          <w:rFonts w:ascii="仿宋_GB2312" w:eastAsia="仿宋_GB2312"/>
          <w:sz w:val="32"/>
          <w:szCs w:val="32"/>
        </w:rPr>
      </w:pPr>
      <w:bookmarkStart w:id="109" w:name="_Toc79163630"/>
      <w:bookmarkStart w:id="110" w:name="_Toc15396614"/>
      <w:bookmarkStart w:id="111" w:name="_Toc15377226"/>
      <w:r>
        <w:rPr>
          <w:rFonts w:hint="eastAsia" w:ascii="仿宋_GB2312" w:eastAsia="仿宋_GB2312"/>
          <w:sz w:val="32"/>
          <w:szCs w:val="32"/>
        </w:rPr>
        <w:t>40.财政应返还额度：为行政事业单位会计核算科目，用于核算实行国库集中支付的行政事业单位应收财政返还的资金额度。</w:t>
      </w: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Style w:val="24"/>
          <w:rFonts w:ascii="黑体" w:hAnsi="黑体" w:eastAsia="黑体"/>
          <w:b w:val="0"/>
        </w:rPr>
      </w:pPr>
      <w:bookmarkStart w:id="112" w:name="_Toc16647"/>
      <w:bookmarkStart w:id="113" w:name="_Toc114676111"/>
      <w:r>
        <w:rPr>
          <w:rFonts w:hint="eastAsia" w:ascii="黑体" w:hAnsi="黑体" w:eastAsia="黑体"/>
          <w:color w:val="000000"/>
          <w:sz w:val="44"/>
          <w:szCs w:val="44"/>
        </w:rPr>
        <w:t>第</w:t>
      </w:r>
      <w:r>
        <w:rPr>
          <w:rStyle w:val="24"/>
          <w:rFonts w:hint="eastAsia" w:ascii="黑体" w:hAnsi="黑体" w:eastAsia="黑体"/>
          <w:b w:val="0"/>
        </w:rPr>
        <w:t>四部分附件</w:t>
      </w:r>
      <w:bookmarkEnd w:id="112"/>
    </w:p>
    <w:p>
      <w:pPr>
        <w:spacing w:line="600" w:lineRule="exact"/>
        <w:jc w:val="left"/>
        <w:outlineLvl w:val="0"/>
        <w:rPr>
          <w:rFonts w:ascii="方正小标宋简体" w:hAnsi="方正小标宋简体" w:eastAsia="方正小标宋简体" w:cs="方正小标宋简体"/>
          <w:sz w:val="32"/>
          <w:szCs w:val="32"/>
        </w:rPr>
      </w:pPr>
      <w:bookmarkStart w:id="114" w:name="_Toc11361"/>
      <w:r>
        <w:rPr>
          <w:rFonts w:hint="eastAsia" w:ascii="黑体" w:hAnsi="黑体" w:eastAsia="黑体" w:cs="黑体"/>
          <w:sz w:val="32"/>
          <w:szCs w:val="32"/>
        </w:rPr>
        <w:t>附件</w:t>
      </w:r>
      <w:r>
        <w:rPr>
          <w:rFonts w:ascii="黑体" w:hAnsi="黑体" w:eastAsia="黑体" w:cs="黑体"/>
          <w:sz w:val="32"/>
          <w:szCs w:val="32"/>
        </w:rPr>
        <w:t>1</w:t>
      </w:r>
      <w:bookmarkEnd w:id="114"/>
    </w:p>
    <w:p>
      <w:pPr>
        <w:spacing w:line="576" w:lineRule="atLeast"/>
        <w:jc w:val="center"/>
        <w:outlineLvl w:val="0"/>
        <w:rPr>
          <w:rFonts w:ascii="方正小标宋简体" w:hAnsi="方正小标宋简体" w:eastAsia="方正小标宋简体"/>
          <w:sz w:val="44"/>
          <w:szCs w:val="44"/>
        </w:rPr>
      </w:pPr>
      <w:bookmarkStart w:id="115" w:name="_Toc19712"/>
      <w:r>
        <w:rPr>
          <w:rFonts w:hint="eastAsia" w:ascii="方正小标宋简体" w:hAnsi="方正小标宋简体" w:eastAsia="方正小标宋简体" w:cs="方正小标宋简体"/>
          <w:sz w:val="44"/>
          <w:szCs w:val="44"/>
        </w:rPr>
        <w:t>茂县渭门镇人民政府</w:t>
      </w:r>
      <w:bookmarkEnd w:id="115"/>
    </w:p>
    <w:p>
      <w:pPr>
        <w:spacing w:line="576" w:lineRule="atLeast"/>
        <w:jc w:val="center"/>
        <w:outlineLvl w:val="0"/>
        <w:rPr>
          <w:rFonts w:ascii="黑体" w:hAnsi="黑体" w:eastAsia="黑体"/>
          <w:sz w:val="32"/>
          <w:szCs w:val="32"/>
        </w:rPr>
      </w:pPr>
      <w:bookmarkStart w:id="116" w:name="_Toc10064"/>
      <w:r>
        <w:rPr>
          <w:rFonts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rPr>
        <w:t>21年部门整体支出绩效评价报告</w:t>
      </w:r>
      <w:bookmarkEnd w:id="116"/>
    </w:p>
    <w:p>
      <w:pPr>
        <w:pStyle w:val="3"/>
        <w:keepNext w:val="0"/>
        <w:keepLines w:val="0"/>
        <w:spacing w:before="0" w:after="0" w:line="576" w:lineRule="atLeast"/>
        <w:ind w:firstLine="803" w:firstLineChars="250"/>
        <w:rPr>
          <w:rFonts w:ascii="仿宋" w:hAnsi="仿宋" w:eastAsia="仿宋"/>
          <w:color w:val="000000"/>
        </w:rPr>
      </w:pPr>
      <w:bookmarkStart w:id="117" w:name="_Toc30535"/>
      <w:r>
        <w:rPr>
          <w:rFonts w:hint="eastAsia" w:ascii="黑体" w:hAnsi="黑体" w:eastAsia="黑体" w:cs="黑体"/>
        </w:rPr>
        <w:t>一、部门（单位）概况</w:t>
      </w:r>
      <w:bookmarkEnd w:id="117"/>
    </w:p>
    <w:p>
      <w:pPr>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（一）机构组成</w:t>
      </w:r>
    </w:p>
    <w:p>
      <w:pPr>
        <w:spacing w:line="576" w:lineRule="atLeast"/>
        <w:ind w:firstLine="640" w:firstLineChars="200"/>
        <w:rPr>
          <w:rFonts w:ascii="仿宋_GB2312" w:hAnsi="仿宋_GB2312" w:eastAsia="仿宋_GB2312"/>
          <w:sz w:val="32"/>
          <w:szCs w:val="32"/>
          <w:lang w:val="zh-CN"/>
        </w:rPr>
      </w:pPr>
      <w:r>
        <w:rPr>
          <w:rFonts w:hint="eastAsia" w:ascii="仿宋_GB2312" w:hAnsi="仿宋_GB2312" w:eastAsia="仿宋_GB2312" w:cs="仿宋_GB2312"/>
          <w:sz w:val="32"/>
          <w:szCs w:val="32"/>
          <w:lang w:val="zh-CN"/>
        </w:rPr>
        <w:t>渭门镇内设行政办公室</w:t>
      </w:r>
      <w:r>
        <w:rPr>
          <w:rFonts w:ascii="仿宋_GB2312" w:hAnsi="仿宋_GB2312" w:eastAsia="仿宋_GB2312" w:cs="仿宋_GB2312"/>
          <w:sz w:val="32"/>
          <w:szCs w:val="32"/>
          <w:lang w:val="zh-CN"/>
        </w:rPr>
        <w:t>2</w:t>
      </w:r>
      <w:r>
        <w:rPr>
          <w:rFonts w:hint="eastAsia" w:ascii="仿宋_GB2312" w:hAnsi="仿宋_GB2312" w:eastAsia="仿宋_GB2312" w:cs="仿宋_GB2312"/>
          <w:sz w:val="32"/>
          <w:szCs w:val="32"/>
          <w:lang w:val="zh-CN"/>
        </w:rPr>
        <w:t>个、财政所</w:t>
      </w:r>
      <w:r>
        <w:rPr>
          <w:rFonts w:ascii="仿宋_GB2312" w:hAnsi="仿宋_GB2312" w:eastAsia="仿宋_GB2312" w:cs="仿宋_GB2312"/>
          <w:sz w:val="32"/>
          <w:szCs w:val="32"/>
          <w:lang w:val="zh-CN"/>
        </w:rPr>
        <w:t>1</w:t>
      </w:r>
      <w:r>
        <w:rPr>
          <w:rFonts w:hint="eastAsia" w:ascii="仿宋_GB2312" w:hAnsi="仿宋_GB2312" w:eastAsia="仿宋_GB2312" w:cs="仿宋_GB2312"/>
          <w:sz w:val="32"/>
          <w:szCs w:val="32"/>
          <w:lang w:val="zh-CN"/>
        </w:rPr>
        <w:t>个、事业机构</w:t>
      </w:r>
      <w:r>
        <w:rPr>
          <w:rFonts w:ascii="仿宋_GB2312" w:hAnsi="仿宋_GB2312" w:eastAsia="仿宋_GB2312" w:cs="仿宋_GB2312"/>
          <w:sz w:val="32"/>
          <w:szCs w:val="32"/>
          <w:lang w:val="zh-CN"/>
        </w:rPr>
        <w:t>6</w:t>
      </w:r>
      <w:r>
        <w:rPr>
          <w:rFonts w:hint="eastAsia" w:ascii="仿宋_GB2312" w:hAnsi="仿宋_GB2312" w:eastAsia="仿宋_GB2312" w:cs="仿宋_GB2312"/>
          <w:sz w:val="32"/>
          <w:szCs w:val="32"/>
          <w:lang w:val="zh-CN"/>
        </w:rPr>
        <w:t>个，分别是：党政办公室、综合发展办公室、财政所、经济发展中心、社会事业服务中心、就业社会保障服务中心、综合文化服务中心、农技站、兽防站。</w:t>
      </w:r>
    </w:p>
    <w:p>
      <w:pPr>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（二）机构职能</w:t>
      </w:r>
    </w:p>
    <w:p>
      <w:pPr>
        <w:spacing w:line="576" w:lineRule="atLeas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主要职能：落实政策、促进发展、维护稳定、加强管理、提供服务五个方面。贯彻执行党的路线、方针、政策，讨论决定本镇经济建设和社会发展的重大问题；领导各部门和群众组织，依照国家法律法规及各自章程行使职权；加强镇党委自身建设和村级组织建设；按照干部管理权限，负责对干部的教育、培养、选拔和监督工作；密切联系群众，为全镇农村经济和社会事业发展服好务。</w:t>
      </w:r>
    </w:p>
    <w:p>
      <w:pPr>
        <w:spacing w:line="576" w:lineRule="atLeast"/>
        <w:ind w:firstLine="640" w:firstLineChars="200"/>
        <w:rPr>
          <w:rFonts w:ascii="楷体" w:hAnsi="楷体" w:eastAsia="楷体"/>
          <w:sz w:val="32"/>
          <w:szCs w:val="32"/>
        </w:rPr>
      </w:pPr>
      <w:r>
        <w:rPr>
          <w:rFonts w:hint="eastAsia" w:ascii="楷体" w:hAnsi="楷体" w:eastAsia="楷体" w:cs="楷体"/>
          <w:sz w:val="32"/>
          <w:szCs w:val="32"/>
        </w:rPr>
        <w:t>（三）人员概况</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渭门镇总编制51名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行政编制27名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其中行政工勤编制4名，事业编制20名。现有在职人员44人，（其中公务员24人，机关</w:t>
      </w:r>
      <w:r>
        <w:rPr>
          <w:rFonts w:hint="eastAsia" w:ascii="仿宋_GB2312" w:hAnsi="仿宋_GB2312" w:eastAsia="仿宋_GB2312" w:cs="仿宋_GB2312"/>
          <w:sz w:val="32"/>
          <w:szCs w:val="32"/>
          <w:lang w:val="zh-CN"/>
        </w:rPr>
        <w:t>工勤人员</w:t>
      </w:r>
      <w:r>
        <w:rPr>
          <w:rFonts w:hint="eastAsia" w:ascii="仿宋_GB2312" w:hAnsi="仿宋_GB2312" w:eastAsia="仿宋_GB2312" w:cs="仿宋_GB2312"/>
          <w:sz w:val="32"/>
          <w:szCs w:val="32"/>
        </w:rPr>
        <w:t>2人，事业人员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8人）；退休人员6人（行政退休6人）；遗属3人。</w:t>
      </w:r>
    </w:p>
    <w:p>
      <w:pPr>
        <w:pStyle w:val="3"/>
        <w:keepNext w:val="0"/>
        <w:keepLines w:val="0"/>
        <w:spacing w:before="0" w:after="0" w:line="576" w:lineRule="atLeast"/>
        <w:ind w:firstLine="640" w:firstLineChars="200"/>
        <w:rPr>
          <w:rFonts w:ascii="仿宋" w:hAnsi="仿宋" w:eastAsia="仿宋"/>
          <w:b w:val="0"/>
          <w:bCs w:val="0"/>
          <w:color w:val="000000"/>
        </w:rPr>
      </w:pPr>
      <w:bookmarkStart w:id="118" w:name="_Toc28767"/>
      <w:r>
        <w:rPr>
          <w:rFonts w:hint="eastAsia" w:ascii="黑体" w:hAnsi="黑体" w:eastAsia="黑体" w:cs="黑体"/>
          <w:b w:val="0"/>
          <w:bCs w:val="0"/>
        </w:rPr>
        <w:t>二、部门财政资金收支情况</w:t>
      </w:r>
      <w:bookmarkEnd w:id="118"/>
    </w:p>
    <w:p>
      <w:pPr>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（一）部门财政资金收入情况</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rPr>
        <w:t>21年本部门财政拨款收入决算总额为1407.18万元，其中：当年财政拨款收入1407.18万元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为一般公共预算财政拨款收入1407.18万元，</w:t>
      </w:r>
      <w:r>
        <w:rPr>
          <w:rFonts w:hint="eastAsia" w:ascii="仿宋_GB2312" w:hAnsi="仿宋_GB2312" w:eastAsia="仿宋_GB2312" w:cs="仿宋_GB2312"/>
          <w:color w:val="000000"/>
          <w:sz w:val="32"/>
          <w:szCs w:val="32"/>
        </w:rPr>
        <w:t>政府性基金预算财政拨款收入0万元</w:t>
      </w:r>
      <w:r>
        <w:rPr>
          <w:rFonts w:hint="eastAsia" w:ascii="仿宋_GB2312" w:hAnsi="仿宋_GB2312" w:eastAsia="仿宋_GB2312" w:cs="仿宋_GB2312"/>
          <w:sz w:val="32"/>
          <w:szCs w:val="32"/>
        </w:rPr>
        <w:t>。</w:t>
      </w:r>
    </w:p>
    <w:p>
      <w:pPr>
        <w:numPr>
          <w:ilvl w:val="0"/>
          <w:numId w:val="4"/>
        </w:numPr>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部门财政资金支出情况</w:t>
      </w:r>
    </w:p>
    <w:p>
      <w:pPr>
        <w:pStyle w:val="38"/>
        <w:tabs>
          <w:tab w:val="left" w:pos="0"/>
        </w:tabs>
        <w:spacing w:line="600" w:lineRule="exact"/>
        <w:ind w:left="420" w:firstLine="640"/>
        <w:rPr>
          <w:rFonts w:ascii="仿宋" w:hAnsi="仿宋" w:eastAsia="仿宋" w:cs="仿宋_GB2312"/>
          <w:bCs/>
          <w:sz w:val="32"/>
          <w:szCs w:val="32"/>
        </w:rPr>
      </w:pPr>
      <w:bookmarkStart w:id="119" w:name="_Toc30988"/>
      <w:r>
        <w:rPr>
          <w:rFonts w:hint="eastAsia" w:ascii="仿宋_GB2312" w:hAnsi="仿宋_GB2312" w:eastAsia="仿宋_GB2312" w:cs="仿宋_GB2312"/>
          <w:color w:val="000000"/>
          <w:sz w:val="32"/>
          <w:szCs w:val="32"/>
        </w:rPr>
        <w:t>茂县渭门镇人民政府</w:t>
      </w:r>
      <w:r>
        <w:rPr>
          <w:rFonts w:ascii="仿宋" w:hAnsi="仿宋" w:eastAsia="仿宋"/>
          <w:color w:val="000000"/>
          <w:sz w:val="32"/>
          <w:szCs w:val="32"/>
        </w:rPr>
        <w:t>202</w:t>
      </w:r>
      <w:r>
        <w:rPr>
          <w:rFonts w:hint="eastAsia" w:ascii="仿宋" w:hAnsi="仿宋" w:eastAsia="仿宋"/>
          <w:color w:val="000000"/>
          <w:sz w:val="32"/>
          <w:szCs w:val="32"/>
        </w:rPr>
        <w:t>1年一般公共预算财政拨款支出1529.78万元，主要用于以下方面</w:t>
      </w:r>
      <w:r>
        <w:rPr>
          <w:rFonts w:ascii="仿宋" w:hAnsi="仿宋" w:eastAsia="仿宋"/>
          <w:color w:val="000000"/>
          <w:sz w:val="32"/>
          <w:szCs w:val="32"/>
        </w:rPr>
        <w:t>:</w:t>
      </w:r>
      <w:r>
        <w:rPr>
          <w:rFonts w:hint="eastAsia" w:ascii="仿宋" w:hAnsi="仿宋" w:eastAsia="仿宋" w:cs="仿宋_GB2312"/>
          <w:bCs/>
          <w:color w:val="000000"/>
          <w:sz w:val="32"/>
          <w:szCs w:val="32"/>
        </w:rPr>
        <w:t>一般公共服务支</w:t>
      </w:r>
      <w:r>
        <w:rPr>
          <w:rFonts w:hint="eastAsia" w:ascii="仿宋" w:hAnsi="仿宋" w:eastAsia="仿宋" w:cs="仿宋_GB2312"/>
          <w:bCs/>
          <w:sz w:val="32"/>
          <w:szCs w:val="32"/>
        </w:rPr>
        <w:t>出（类）</w:t>
      </w:r>
      <w:r>
        <w:rPr>
          <w:rFonts w:hint="eastAsia" w:ascii="仿宋" w:hAnsi="仿宋" w:eastAsia="仿宋" w:cs="仿宋_GB2312"/>
          <w:sz w:val="32"/>
          <w:szCs w:val="32"/>
        </w:rPr>
        <w:t>439.66万元，占本年支出合计的28.74%；</w:t>
      </w:r>
      <w:r>
        <w:rPr>
          <w:rFonts w:hint="eastAsia" w:ascii="仿宋" w:hAnsi="仿宋" w:eastAsia="仿宋" w:cs="仿宋_GB2312"/>
          <w:bCs/>
          <w:sz w:val="32"/>
          <w:szCs w:val="32"/>
        </w:rPr>
        <w:t>国防支出（类）</w:t>
      </w:r>
      <w:r>
        <w:rPr>
          <w:rFonts w:hint="eastAsia" w:ascii="仿宋" w:hAnsi="仿宋" w:eastAsia="仿宋" w:cs="仿宋_GB2312"/>
          <w:sz w:val="32"/>
          <w:szCs w:val="32"/>
        </w:rPr>
        <w:t>5万元，占本年支出合计的0.33%；</w:t>
      </w:r>
      <w:r>
        <w:rPr>
          <w:rFonts w:hint="eastAsia" w:ascii="仿宋" w:hAnsi="仿宋" w:eastAsia="仿宋" w:cs="仿宋_GB2312"/>
          <w:bCs/>
          <w:sz w:val="32"/>
          <w:szCs w:val="32"/>
        </w:rPr>
        <w:t>社会保障和就业支出（类）</w:t>
      </w:r>
      <w:r>
        <w:rPr>
          <w:rFonts w:hint="eastAsia" w:ascii="仿宋" w:hAnsi="仿宋" w:eastAsia="仿宋" w:cs="仿宋_GB2312"/>
          <w:sz w:val="32"/>
          <w:szCs w:val="32"/>
        </w:rPr>
        <w:t>90.34万元，占本年支出合计的5.91%；</w:t>
      </w:r>
      <w:r>
        <w:rPr>
          <w:rFonts w:hint="eastAsia" w:ascii="仿宋" w:hAnsi="仿宋" w:eastAsia="仿宋" w:cs="仿宋_GB2312"/>
          <w:bCs/>
          <w:sz w:val="32"/>
          <w:szCs w:val="32"/>
        </w:rPr>
        <w:t>卫生健康支出（类）</w:t>
      </w:r>
      <w:r>
        <w:rPr>
          <w:rFonts w:hint="eastAsia" w:ascii="仿宋" w:hAnsi="仿宋" w:eastAsia="仿宋" w:cs="仿宋_GB2312"/>
          <w:sz w:val="32"/>
          <w:szCs w:val="32"/>
        </w:rPr>
        <w:t>38.71万元，占本年支出合计的2.53%；</w:t>
      </w:r>
      <w:r>
        <w:rPr>
          <w:rFonts w:hint="eastAsia" w:ascii="仿宋" w:hAnsi="仿宋" w:eastAsia="仿宋" w:cs="仿宋_GB2312"/>
          <w:bCs/>
          <w:sz w:val="32"/>
          <w:szCs w:val="32"/>
        </w:rPr>
        <w:t>农林水支出（类）</w:t>
      </w:r>
      <w:r>
        <w:rPr>
          <w:rFonts w:hint="eastAsia" w:ascii="仿宋" w:hAnsi="仿宋" w:eastAsia="仿宋" w:cs="仿宋_GB2312"/>
          <w:sz w:val="32"/>
          <w:szCs w:val="32"/>
        </w:rPr>
        <w:t>890.99万元，占本年支出合计的58.24%；</w:t>
      </w:r>
      <w:r>
        <w:rPr>
          <w:rFonts w:hint="eastAsia" w:ascii="仿宋" w:hAnsi="仿宋" w:eastAsia="仿宋" w:cs="仿宋_GB2312"/>
          <w:bCs/>
          <w:sz w:val="32"/>
          <w:szCs w:val="32"/>
        </w:rPr>
        <w:t>住房保障支出（类）</w:t>
      </w:r>
      <w:r>
        <w:rPr>
          <w:rFonts w:hint="eastAsia" w:ascii="仿宋" w:hAnsi="仿宋" w:eastAsia="仿宋" w:cs="仿宋_GB2312"/>
          <w:sz w:val="32"/>
          <w:szCs w:val="32"/>
        </w:rPr>
        <w:t>58.08万元，占本年支出合计的3.8%；</w:t>
      </w:r>
      <w:r>
        <w:rPr>
          <w:rFonts w:hint="eastAsia" w:ascii="仿宋" w:hAnsi="仿宋" w:eastAsia="仿宋" w:cs="仿宋_GB2312"/>
          <w:bCs/>
          <w:sz w:val="32"/>
          <w:szCs w:val="32"/>
        </w:rPr>
        <w:t>其他支出（类）</w:t>
      </w:r>
      <w:r>
        <w:rPr>
          <w:rFonts w:hint="eastAsia" w:ascii="仿宋" w:hAnsi="仿宋" w:eastAsia="仿宋" w:cs="仿宋_GB2312"/>
          <w:sz w:val="32"/>
          <w:szCs w:val="32"/>
        </w:rPr>
        <w:t>7万元，占本年支出合计的0.46%。</w:t>
      </w:r>
    </w:p>
    <w:p>
      <w:pPr>
        <w:pStyle w:val="3"/>
        <w:keepNext w:val="0"/>
        <w:keepLines w:val="0"/>
        <w:spacing w:before="0" w:after="0" w:line="576" w:lineRule="atLeast"/>
        <w:ind w:firstLine="640" w:firstLineChars="200"/>
        <w:rPr>
          <w:rFonts w:ascii="黑体" w:hAnsi="黑体" w:eastAsia="黑体"/>
          <w:b w:val="0"/>
          <w:bCs w:val="0"/>
        </w:rPr>
      </w:pPr>
      <w:r>
        <w:rPr>
          <w:rFonts w:hint="eastAsia" w:ascii="黑体" w:hAnsi="黑体" w:eastAsia="黑体" w:cs="黑体"/>
          <w:b w:val="0"/>
          <w:bCs w:val="0"/>
        </w:rPr>
        <w:t>三、部门整体预算绩效管理情况</w:t>
      </w:r>
      <w:bookmarkEnd w:id="119"/>
    </w:p>
    <w:p>
      <w:pPr>
        <w:adjustRightInd w:val="0"/>
        <w:snapToGrid w:val="0"/>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（一）部门预算管理</w:t>
      </w:r>
    </w:p>
    <w:p>
      <w:pPr>
        <w:adjustRightInd w:val="0"/>
        <w:snapToGrid w:val="0"/>
        <w:spacing w:line="576" w:lineRule="atLeast"/>
        <w:ind w:firstLine="640" w:firstLineChars="200"/>
        <w:rPr>
          <w:rFonts w:ascii="仿宋_GB2312" w:hAnsi="仿宋_GB2312" w:eastAsia="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rPr>
        <w:t>21</w:t>
      </w:r>
      <w:r>
        <w:rPr>
          <w:rFonts w:hint="eastAsia" w:ascii="仿宋_GB2312" w:hAnsi="仿宋_GB2312"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rPr>
        <w:t>21</w:t>
      </w:r>
      <w:r>
        <w:rPr>
          <w:rFonts w:hint="eastAsia" w:ascii="仿宋_GB2312" w:hAnsi="仿宋_GB2312" w:eastAsia="仿宋_GB2312" w:cs="仿宋_GB2312"/>
          <w:color w:val="000000"/>
          <w:kern w:val="0"/>
          <w:sz w:val="32"/>
          <w:szCs w:val="32"/>
          <w:shd w:val="clear" w:color="auto" w:fill="FFFFFF"/>
          <w:lang w:val="zh-CN"/>
        </w:rPr>
        <w:t>年部门决算、绩效目标填报及年末结余结转都是严格按照县财政局的要求认真完成。</w:t>
      </w:r>
      <w:r>
        <w:rPr>
          <w:rFonts w:ascii="仿宋_GB2312" w:hAnsi="仿宋_GB2312" w:eastAsia="仿宋_GB2312"/>
          <w:color w:val="000000"/>
          <w:kern w:val="0"/>
          <w:sz w:val="32"/>
          <w:szCs w:val="32"/>
          <w:shd w:val="clear" w:color="auto" w:fill="FFFFFF"/>
          <w:lang w:val="zh-CN"/>
        </w:rPr>
        <w:t> </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预算编制：我镇对</w:t>
      </w:r>
      <w:r>
        <w:rPr>
          <w:rFonts w:ascii="仿宋_GB2312" w:hAnsi="仿宋_GB2312" w:eastAsia="仿宋_GB2312" w:cs="仿宋_GB2312"/>
          <w:color w:val="000000"/>
          <w:kern w:val="0"/>
          <w:sz w:val="32"/>
          <w:szCs w:val="32"/>
          <w:shd w:val="clear" w:color="auto" w:fill="FFFFFF"/>
        </w:rPr>
        <w:t>20</w:t>
      </w:r>
      <w:r>
        <w:rPr>
          <w:rFonts w:hint="eastAsia" w:ascii="仿宋_GB2312" w:hAnsi="仿宋_GB2312" w:eastAsia="仿宋_GB2312" w:cs="仿宋_GB2312"/>
          <w:color w:val="000000"/>
          <w:kern w:val="0"/>
          <w:sz w:val="32"/>
          <w:szCs w:val="32"/>
          <w:shd w:val="clear" w:color="auto" w:fill="FFFFFF"/>
        </w:rPr>
        <w:t>21年部门支出进行预算，支出合计</w:t>
      </w:r>
      <w:r>
        <w:rPr>
          <w:rFonts w:hint="eastAsia" w:ascii="仿宋_GB2312" w:hAnsi="仿宋_GB2312" w:eastAsia="仿宋_GB2312" w:cs="仿宋_GB2312"/>
          <w:sz w:val="32"/>
          <w:szCs w:val="32"/>
          <w:shd w:val="clear" w:color="auto" w:fill="FFFFFF"/>
        </w:rPr>
        <w:t>1529.78万</w:t>
      </w:r>
      <w:r>
        <w:rPr>
          <w:rFonts w:hint="eastAsia" w:ascii="仿宋_GB2312" w:hAnsi="仿宋_GB2312" w:eastAsia="仿宋_GB2312" w:cs="仿宋_GB2312"/>
          <w:color w:val="000000"/>
          <w:kern w:val="0"/>
          <w:sz w:val="32"/>
          <w:szCs w:val="32"/>
          <w:shd w:val="clear" w:color="auto" w:fill="FFFFFF"/>
        </w:rPr>
        <w:t>元。其中：</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基本支出843.23万元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）工资福利性支出：798.17万元。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）商品和服务支出31.56万元，其中：公务接待费0万元；公务用车运行维护费4万元。</w:t>
      </w:r>
    </w:p>
    <w:p>
      <w:pPr>
        <w:shd w:val="clear" w:color="auto" w:fill="FFFFFF"/>
        <w:spacing w:line="576" w:lineRule="atLeas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rPr>
        <w:t>）对个人和家庭的补助支出：13.5万元。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项目支出686.55万元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）商品和服务支出154.75万元，其中基层组织活动和公共服务运行经费项目支出28.34万元，办公费126.41万元。</w:t>
      </w:r>
    </w:p>
    <w:p>
      <w:pPr>
        <w:shd w:val="clear" w:color="auto" w:fill="FFFFFF"/>
        <w:spacing w:line="576" w:lineRule="atLeas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（2）对个人和家庭的补助153.78万元，主要用于村干部生活补助。</w:t>
      </w:r>
    </w:p>
    <w:p>
      <w:pPr>
        <w:pStyle w:val="3"/>
        <w:keepNext w:val="0"/>
        <w:keepLines w:val="0"/>
        <w:spacing w:before="0" w:after="0" w:line="576" w:lineRule="atLeast"/>
        <w:ind w:firstLine="640" w:firstLineChars="200"/>
        <w:rPr>
          <w:rFonts w:ascii="楷体_GB2312" w:hAnsi="楷体_GB2312" w:eastAsia="楷体_GB2312" w:cs="楷体_GB2312"/>
        </w:rPr>
      </w:pPr>
      <w:bookmarkStart w:id="120" w:name="_Toc13916"/>
      <w:r>
        <w:rPr>
          <w:rFonts w:hint="eastAsia" w:ascii="楷体_GB2312" w:hAnsi="楷体_GB2312" w:eastAsia="楷体_GB2312" w:cs="楷体_GB2312"/>
          <w:b w:val="0"/>
          <w:bCs w:val="0"/>
        </w:rPr>
        <w:t>（二）专项预算管理</w:t>
      </w:r>
      <w:bookmarkEnd w:id="120"/>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rPr>
        <w:t>21年，渭门镇人民政府无专项预算。</w:t>
      </w:r>
    </w:p>
    <w:p>
      <w:pPr>
        <w:pStyle w:val="3"/>
        <w:keepNext w:val="0"/>
        <w:keepLines w:val="0"/>
        <w:spacing w:before="0" w:after="0" w:line="576" w:lineRule="atLeast"/>
        <w:ind w:firstLine="640" w:firstLineChars="200"/>
        <w:rPr>
          <w:rFonts w:ascii="仿宋" w:hAnsi="仿宋" w:eastAsia="楷体_GB2312"/>
        </w:rPr>
      </w:pPr>
      <w:bookmarkStart w:id="121" w:name="_Toc7894"/>
      <w:r>
        <w:rPr>
          <w:rFonts w:hint="eastAsia" w:ascii="楷体_GB2312" w:hAnsi="楷体_GB2312" w:eastAsia="楷体_GB2312" w:cs="楷体_GB2312"/>
          <w:b w:val="0"/>
          <w:bCs w:val="0"/>
        </w:rPr>
        <w:t>（三）结果应用情况</w:t>
      </w:r>
      <w:bookmarkEnd w:id="121"/>
      <w:r>
        <w:rPr>
          <w:rFonts w:hint="eastAsia" w:ascii="楷体_GB2312" w:hAnsi="楷体_GB2312" w:eastAsia="楷体_GB2312" w:cs="楷体_GB2312"/>
          <w:b w:val="0"/>
          <w:bCs w:val="0"/>
        </w:rPr>
        <w:t xml:space="preserve">  </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镇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p>
    <w:p>
      <w:pPr>
        <w:pStyle w:val="3"/>
        <w:keepNext w:val="0"/>
        <w:keepLines w:val="0"/>
        <w:spacing w:before="0" w:after="0" w:line="576" w:lineRule="atLeast"/>
        <w:ind w:firstLine="640" w:firstLineChars="200"/>
        <w:rPr>
          <w:rFonts w:ascii="黑体" w:hAnsi="黑体" w:eastAsia="黑体"/>
          <w:b w:val="0"/>
          <w:bCs w:val="0"/>
        </w:rPr>
      </w:pPr>
      <w:bookmarkStart w:id="122" w:name="_Toc20693"/>
      <w:r>
        <w:rPr>
          <w:rFonts w:hint="eastAsia" w:ascii="黑体" w:hAnsi="黑体" w:eastAsia="黑体" w:cs="黑体"/>
          <w:b w:val="0"/>
          <w:bCs w:val="0"/>
        </w:rPr>
        <w:t>四、评价结论及建议</w:t>
      </w:r>
      <w:bookmarkEnd w:id="122"/>
    </w:p>
    <w:p>
      <w:pPr>
        <w:pStyle w:val="3"/>
        <w:keepNext w:val="0"/>
        <w:keepLines w:val="0"/>
        <w:spacing w:before="0" w:after="0" w:line="576" w:lineRule="atLeast"/>
        <w:ind w:firstLine="640" w:firstLineChars="200"/>
        <w:rPr>
          <w:rStyle w:val="25"/>
          <w:rFonts w:ascii="楷体_GB2312" w:hAnsi="楷体_GB2312" w:eastAsia="楷体_GB2312" w:cs="楷体_GB2312"/>
          <w:b w:val="0"/>
          <w:bCs w:val="0"/>
        </w:rPr>
      </w:pPr>
      <w:bookmarkStart w:id="123" w:name="_Toc21118"/>
      <w:r>
        <w:rPr>
          <w:rFonts w:hint="eastAsia" w:ascii="楷体_GB2312" w:hAnsi="楷体_GB2312" w:eastAsia="楷体_GB2312" w:cs="楷体_GB2312"/>
          <w:b w:val="0"/>
          <w:bCs w:val="0"/>
        </w:rPr>
        <w:t>（一）评价结论</w:t>
      </w:r>
      <w:bookmarkEnd w:id="123"/>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color w:val="000000"/>
          <w:kern w:val="0"/>
          <w:sz w:val="32"/>
          <w:szCs w:val="32"/>
        </w:rPr>
        <w:t>2021年我单位部门整体支出绩效评价自查自评结果良好，全年基本支出保证了部门的正常运行和日常工作的正常开展，项目支出保障了重点工作的开展，达到预期绩效目标。</w:t>
      </w:r>
    </w:p>
    <w:p>
      <w:pPr>
        <w:pStyle w:val="3"/>
        <w:keepNext w:val="0"/>
        <w:keepLines w:val="0"/>
        <w:spacing w:before="0" w:after="0" w:line="576" w:lineRule="atLeast"/>
        <w:ind w:firstLine="640" w:firstLineChars="200"/>
        <w:rPr>
          <w:rFonts w:ascii="仿宋_GB2312" w:hAnsi="仿宋_GB2312" w:eastAsia="仿宋_GB2312" w:cs="仿宋_GB2312"/>
          <w:b w:val="0"/>
          <w:bCs w:val="0"/>
          <w:color w:val="000000"/>
          <w:kern w:val="0"/>
        </w:rPr>
      </w:pPr>
      <w:bookmarkStart w:id="124" w:name="_Toc14527"/>
      <w:r>
        <w:rPr>
          <w:rFonts w:hint="eastAsia" w:ascii="仿宋_GB2312" w:hAnsi="仿宋_GB2312" w:eastAsia="仿宋_GB2312" w:cs="仿宋_GB2312"/>
          <w:b w:val="0"/>
          <w:bCs w:val="0"/>
          <w:color w:val="000000"/>
          <w:kern w:val="0"/>
        </w:rPr>
        <w:t>按照《茂县财政局关于开展2021年财政支出绩效评价工作的通知》（茂财发</w:t>
      </w:r>
      <w:r>
        <w:rPr>
          <w:rFonts w:ascii="仿宋_GB2312" w:hAnsi="仿宋_GB2312" w:eastAsia="仿宋_GB2312" w:cs="仿宋_GB2312"/>
          <w:b w:val="0"/>
          <w:bCs w:val="0"/>
          <w:color w:val="000000"/>
          <w:kern w:val="0"/>
        </w:rPr>
        <w:t>[20</w:t>
      </w:r>
      <w:r>
        <w:rPr>
          <w:rFonts w:hint="eastAsia" w:ascii="仿宋_GB2312" w:hAnsi="仿宋_GB2312" w:eastAsia="仿宋_GB2312" w:cs="仿宋_GB2312"/>
          <w:b w:val="0"/>
          <w:bCs w:val="0"/>
          <w:color w:val="000000"/>
          <w:kern w:val="0"/>
        </w:rPr>
        <w:t>20</w:t>
      </w:r>
      <w:r>
        <w:rPr>
          <w:rFonts w:ascii="仿宋_GB2312" w:hAnsi="仿宋_GB2312" w:eastAsia="仿宋_GB2312" w:cs="仿宋_GB2312"/>
          <w:b w:val="0"/>
          <w:bCs w:val="0"/>
          <w:color w:val="000000"/>
          <w:kern w:val="0"/>
        </w:rPr>
        <w:t>]</w:t>
      </w:r>
      <w:r>
        <w:rPr>
          <w:rFonts w:hint="eastAsia" w:ascii="仿宋_GB2312" w:hAnsi="仿宋_GB2312" w:eastAsia="仿宋_GB2312" w:cs="仿宋_GB2312"/>
          <w:b w:val="0"/>
          <w:bCs w:val="0"/>
          <w:color w:val="000000"/>
          <w:kern w:val="0"/>
        </w:rPr>
        <w:t>62号）2021年渭门镇人民部门整体支出绩效评价指标体系自评得分80分。</w:t>
      </w:r>
      <w:bookmarkEnd w:id="124"/>
    </w:p>
    <w:p>
      <w:pPr>
        <w:pStyle w:val="3"/>
        <w:keepNext w:val="0"/>
        <w:keepLines w:val="0"/>
        <w:spacing w:before="0" w:after="0" w:line="576" w:lineRule="atLeast"/>
        <w:ind w:firstLine="640" w:firstLineChars="200"/>
        <w:rPr>
          <w:rFonts w:ascii="仿宋_GB2312" w:hAnsi="仿宋_GB2312" w:eastAsia="仿宋_GB2312" w:cs="仿宋_GB2312"/>
          <w:color w:val="000000"/>
          <w:kern w:val="0"/>
        </w:rPr>
      </w:pPr>
      <w:bookmarkStart w:id="125" w:name="_Toc28090"/>
      <w:r>
        <w:rPr>
          <w:rFonts w:hint="eastAsia" w:ascii="仿宋_GB2312" w:hAnsi="仿宋_GB2312" w:eastAsia="仿宋_GB2312" w:cs="仿宋_GB2312"/>
          <w:b w:val="0"/>
          <w:bCs w:val="0"/>
          <w:color w:val="000000"/>
          <w:kern w:val="0"/>
        </w:rPr>
        <w:t>（二）存在问题</w:t>
      </w:r>
      <w:bookmarkEnd w:id="125"/>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需更进一步规范财务报账资料。</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属于公务卡结算目录内的费用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应加大使用公务卡结算比例。</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需严格报账审批，切实履行各自职能职责，保障会计资料的真实性、完整性。</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财务核算和档案管理需进一步规范。</w:t>
      </w:r>
    </w:p>
    <w:p>
      <w:pPr>
        <w:spacing w:line="576" w:lineRule="atLeast"/>
        <w:ind w:firstLine="640" w:firstLineChars="200"/>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财务人员工作量大、业务水平要求更高，需要进一步提高会计业务水平。</w:t>
      </w:r>
    </w:p>
    <w:p>
      <w:pPr>
        <w:pStyle w:val="3"/>
        <w:keepNext w:val="0"/>
        <w:keepLines w:val="0"/>
        <w:spacing w:before="0" w:after="0" w:line="576" w:lineRule="atLeast"/>
        <w:ind w:firstLine="640" w:firstLineChars="200"/>
        <w:rPr>
          <w:rFonts w:ascii="楷体_GB2312" w:hAnsi="楷体_GB2312" w:eastAsia="楷体_GB2312" w:cs="楷体_GB2312"/>
          <w:b w:val="0"/>
          <w:bCs w:val="0"/>
        </w:rPr>
      </w:pPr>
      <w:bookmarkStart w:id="126" w:name="_Toc23361"/>
      <w:r>
        <w:rPr>
          <w:rFonts w:hint="eastAsia" w:ascii="楷体_GB2312" w:hAnsi="楷体_GB2312" w:eastAsia="楷体_GB2312" w:cs="楷体_GB2312"/>
          <w:b w:val="0"/>
          <w:bCs w:val="0"/>
        </w:rPr>
        <w:t>（三）改进建议</w:t>
      </w:r>
      <w:bookmarkEnd w:id="126"/>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进一步加强单位预算编制、支出执行、决算编制等工作的管理，特别是应加快专项资金的预算执行进度。</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在会计核算过程中，严格按照单位内控制度、财务管理制度，加强票据审核，报销凭证应为真实、合法、有效的票据；严禁超范围、超标准、进行报销。</w:t>
      </w:r>
      <w:bookmarkEnd w:id="109"/>
      <w:bookmarkEnd w:id="110"/>
      <w:bookmarkEnd w:id="113"/>
      <w:bookmarkStart w:id="127" w:name="_Toc79163633"/>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附件：茂县渭门镇人民政府2022年度县级部门整体支出绩效评价指标体系</w:t>
      </w:r>
    </w:p>
    <w:tbl>
      <w:tblPr>
        <w:tblStyle w:val="20"/>
        <w:tblpPr w:leftFromText="180" w:rightFromText="180" w:vertAnchor="text" w:horzAnchor="margin" w:tblpXSpec="center" w:tblpY="139"/>
        <w:tblW w:w="10229" w:type="dxa"/>
        <w:tblInd w:w="0" w:type="dxa"/>
        <w:tblLayout w:type="autofit"/>
        <w:tblCellMar>
          <w:top w:w="0" w:type="dxa"/>
          <w:left w:w="108" w:type="dxa"/>
          <w:bottom w:w="0" w:type="dxa"/>
          <w:right w:w="108" w:type="dxa"/>
        </w:tblCellMar>
      </w:tblPr>
      <w:tblGrid>
        <w:gridCol w:w="1081"/>
        <w:gridCol w:w="1081"/>
        <w:gridCol w:w="1075"/>
        <w:gridCol w:w="754"/>
        <w:gridCol w:w="1893"/>
        <w:gridCol w:w="3375"/>
        <w:gridCol w:w="970"/>
      </w:tblGrid>
      <w:tr>
        <w:tblPrEx>
          <w:tblCellMar>
            <w:top w:w="0" w:type="dxa"/>
            <w:left w:w="108" w:type="dxa"/>
            <w:bottom w:w="0" w:type="dxa"/>
            <w:right w:w="108" w:type="dxa"/>
          </w:tblCellMar>
        </w:tblPrEx>
        <w:trPr>
          <w:trHeight w:val="25" w:hRule="atLeast"/>
        </w:trPr>
        <w:tc>
          <w:tcPr>
            <w:tcW w:w="1081" w:type="dxa"/>
            <w:tcBorders>
              <w:top w:val="nil"/>
              <w:left w:val="nil"/>
              <w:bottom w:val="nil"/>
              <w:right w:val="nil"/>
            </w:tcBorders>
            <w:vAlign w:val="center"/>
          </w:tcPr>
          <w:p>
            <w:pPr>
              <w:widowControl/>
              <w:jc w:val="left"/>
              <w:rPr>
                <w:rFonts w:ascii="宋体" w:hAnsi="宋体" w:cs="宋体"/>
                <w:b/>
                <w:bCs/>
                <w:kern w:val="0"/>
                <w:sz w:val="24"/>
              </w:rPr>
            </w:pPr>
          </w:p>
        </w:tc>
        <w:tc>
          <w:tcPr>
            <w:tcW w:w="1081" w:type="dxa"/>
            <w:tcBorders>
              <w:top w:val="nil"/>
              <w:left w:val="nil"/>
              <w:bottom w:val="nil"/>
              <w:right w:val="nil"/>
            </w:tcBorders>
            <w:vAlign w:val="center"/>
          </w:tcPr>
          <w:p>
            <w:pPr>
              <w:widowControl/>
              <w:jc w:val="left"/>
              <w:rPr>
                <w:rFonts w:ascii="宋体" w:hAnsi="宋体" w:cs="宋体"/>
                <w:kern w:val="0"/>
                <w:sz w:val="24"/>
              </w:rPr>
            </w:pPr>
          </w:p>
        </w:tc>
        <w:tc>
          <w:tcPr>
            <w:tcW w:w="1075" w:type="dxa"/>
            <w:tcBorders>
              <w:top w:val="nil"/>
              <w:left w:val="nil"/>
              <w:bottom w:val="nil"/>
              <w:right w:val="nil"/>
            </w:tcBorders>
            <w:vAlign w:val="center"/>
          </w:tcPr>
          <w:p>
            <w:pPr>
              <w:widowControl/>
              <w:jc w:val="center"/>
              <w:rPr>
                <w:rFonts w:ascii="宋体" w:hAnsi="宋体" w:cs="宋体"/>
                <w:kern w:val="0"/>
                <w:sz w:val="24"/>
              </w:rPr>
            </w:pPr>
          </w:p>
        </w:tc>
        <w:tc>
          <w:tcPr>
            <w:tcW w:w="754" w:type="dxa"/>
            <w:tcBorders>
              <w:top w:val="nil"/>
              <w:left w:val="nil"/>
              <w:bottom w:val="nil"/>
              <w:right w:val="nil"/>
            </w:tcBorders>
            <w:vAlign w:val="center"/>
          </w:tcPr>
          <w:p>
            <w:pPr>
              <w:widowControl/>
              <w:jc w:val="center"/>
              <w:rPr>
                <w:rFonts w:ascii="宋体" w:hAnsi="宋体" w:cs="宋体"/>
                <w:kern w:val="0"/>
                <w:sz w:val="24"/>
              </w:rPr>
            </w:pPr>
          </w:p>
        </w:tc>
        <w:tc>
          <w:tcPr>
            <w:tcW w:w="1893" w:type="dxa"/>
            <w:tcBorders>
              <w:top w:val="nil"/>
              <w:left w:val="nil"/>
              <w:bottom w:val="nil"/>
              <w:right w:val="nil"/>
            </w:tcBorders>
            <w:vAlign w:val="center"/>
          </w:tcPr>
          <w:p>
            <w:pPr>
              <w:widowControl/>
              <w:jc w:val="left"/>
              <w:rPr>
                <w:rFonts w:ascii="宋体" w:hAnsi="宋体" w:cs="宋体"/>
                <w:kern w:val="0"/>
                <w:sz w:val="24"/>
              </w:rPr>
            </w:pPr>
          </w:p>
        </w:tc>
        <w:tc>
          <w:tcPr>
            <w:tcW w:w="3375" w:type="dxa"/>
            <w:tcBorders>
              <w:top w:val="nil"/>
              <w:left w:val="nil"/>
              <w:bottom w:val="nil"/>
              <w:right w:val="nil"/>
            </w:tcBorders>
            <w:vAlign w:val="center"/>
          </w:tcPr>
          <w:p>
            <w:pPr>
              <w:widowControl/>
              <w:jc w:val="left"/>
              <w:rPr>
                <w:rFonts w:ascii="宋体" w:hAnsi="宋体" w:cs="宋体"/>
                <w:kern w:val="0"/>
                <w:sz w:val="16"/>
                <w:szCs w:val="16"/>
              </w:rPr>
            </w:pPr>
          </w:p>
        </w:tc>
        <w:tc>
          <w:tcPr>
            <w:tcW w:w="970" w:type="dxa"/>
            <w:tcBorders>
              <w:top w:val="nil"/>
              <w:left w:val="nil"/>
              <w:bottom w:val="nil"/>
              <w:right w:val="nil"/>
            </w:tcBorders>
            <w:vAlign w:val="center"/>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63" w:hRule="atLeast"/>
        </w:trPr>
        <w:tc>
          <w:tcPr>
            <w:tcW w:w="10229" w:type="dxa"/>
            <w:gridSpan w:val="7"/>
            <w:tcBorders>
              <w:top w:val="nil"/>
              <w:left w:val="nil"/>
              <w:bottom w:val="single" w:color="auto" w:sz="4" w:space="0"/>
              <w:right w:val="nil"/>
            </w:tcBorders>
            <w:vAlign w:val="center"/>
          </w:tcPr>
          <w:p>
            <w:pPr>
              <w:widowControl/>
              <w:jc w:val="center"/>
              <w:rPr>
                <w:rFonts w:ascii="宋体" w:hAnsi="宋体" w:cs="宋体"/>
                <w:b/>
                <w:bCs/>
                <w:kern w:val="0"/>
                <w:sz w:val="32"/>
                <w:szCs w:val="32"/>
              </w:rPr>
            </w:pPr>
            <w:r>
              <w:rPr>
                <w:rFonts w:hint="eastAsia" w:ascii="宋体" w:hAnsi="宋体" w:cs="宋体"/>
                <w:b/>
                <w:bCs/>
                <w:kern w:val="0"/>
                <w:sz w:val="32"/>
                <w:szCs w:val="32"/>
              </w:rPr>
              <w:t>茂县渭门镇人民政府2022年度县级部门整体支出绩效评价指标体系</w:t>
            </w:r>
          </w:p>
        </w:tc>
      </w:tr>
      <w:tr>
        <w:tblPrEx>
          <w:tblCellMar>
            <w:top w:w="0" w:type="dxa"/>
            <w:left w:w="108" w:type="dxa"/>
            <w:bottom w:w="0" w:type="dxa"/>
            <w:right w:w="108" w:type="dxa"/>
          </w:tblCellMar>
        </w:tblPrEx>
        <w:trPr>
          <w:trHeight w:val="63" w:hRule="atLeast"/>
        </w:trPr>
        <w:tc>
          <w:tcPr>
            <w:tcW w:w="323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绩效指标</w:t>
            </w:r>
          </w:p>
        </w:tc>
        <w:tc>
          <w:tcPr>
            <w:tcW w:w="754"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指标分值</w:t>
            </w:r>
          </w:p>
        </w:tc>
        <w:tc>
          <w:tcPr>
            <w:tcW w:w="1893"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指标解释</w:t>
            </w:r>
          </w:p>
        </w:tc>
        <w:tc>
          <w:tcPr>
            <w:tcW w:w="3375" w:type="dxa"/>
            <w:vMerge w:val="restart"/>
            <w:tcBorders>
              <w:top w:val="nil"/>
              <w:left w:val="nil"/>
              <w:bottom w:val="single" w:color="000000"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计分标准</w:t>
            </w:r>
          </w:p>
        </w:tc>
        <w:tc>
          <w:tcPr>
            <w:tcW w:w="97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自评得分</w:t>
            </w:r>
          </w:p>
        </w:tc>
      </w:tr>
      <w:tr>
        <w:tblPrEx>
          <w:tblCellMar>
            <w:top w:w="0" w:type="dxa"/>
            <w:left w:w="108" w:type="dxa"/>
            <w:bottom w:w="0" w:type="dxa"/>
            <w:right w:w="108" w:type="dxa"/>
          </w:tblCellMar>
        </w:tblPrEx>
        <w:trPr>
          <w:trHeight w:val="31" w:hRule="atLeast"/>
        </w:trPr>
        <w:tc>
          <w:tcPr>
            <w:tcW w:w="10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一级指标</w:t>
            </w:r>
          </w:p>
        </w:tc>
        <w:tc>
          <w:tcPr>
            <w:tcW w:w="1081" w:type="dxa"/>
            <w:tcBorders>
              <w:top w:val="nil"/>
              <w:left w:val="nil"/>
              <w:bottom w:val="single" w:color="auto"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二级指标</w:t>
            </w: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三级指标</w:t>
            </w:r>
          </w:p>
        </w:tc>
        <w:tc>
          <w:tcPr>
            <w:tcW w:w="75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kern w:val="0"/>
                <w:szCs w:val="21"/>
              </w:rPr>
            </w:pPr>
          </w:p>
        </w:tc>
        <w:tc>
          <w:tcPr>
            <w:tcW w:w="18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kern w:val="0"/>
                <w:szCs w:val="21"/>
              </w:rPr>
            </w:pPr>
          </w:p>
        </w:tc>
        <w:tc>
          <w:tcPr>
            <w:tcW w:w="3375" w:type="dxa"/>
            <w:vMerge w:val="continue"/>
            <w:tcBorders>
              <w:top w:val="nil"/>
              <w:left w:val="nil"/>
              <w:bottom w:val="single" w:color="000000" w:sz="4" w:space="0"/>
              <w:right w:val="single" w:color="auto" w:sz="4" w:space="0"/>
            </w:tcBorders>
            <w:vAlign w:val="center"/>
          </w:tcPr>
          <w:p>
            <w:pPr>
              <w:widowControl/>
              <w:jc w:val="left"/>
              <w:rPr>
                <w:rFonts w:ascii="宋体" w:hAnsi="宋体" w:cs="宋体"/>
                <w:b/>
                <w:bCs/>
                <w:kern w:val="0"/>
                <w:szCs w:val="21"/>
              </w:rPr>
            </w:pPr>
          </w:p>
        </w:tc>
        <w:tc>
          <w:tcPr>
            <w:tcW w:w="97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kern w:val="0"/>
                <w:szCs w:val="21"/>
              </w:rPr>
            </w:pPr>
          </w:p>
        </w:tc>
      </w:tr>
      <w:tr>
        <w:tblPrEx>
          <w:tblCellMar>
            <w:top w:w="0" w:type="dxa"/>
            <w:left w:w="108" w:type="dxa"/>
            <w:bottom w:w="0" w:type="dxa"/>
            <w:right w:w="108" w:type="dxa"/>
          </w:tblCellMar>
        </w:tblPrEx>
        <w:trPr>
          <w:trHeight w:val="140" w:hRule="atLeast"/>
        </w:trPr>
        <w:tc>
          <w:tcPr>
            <w:tcW w:w="108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部门预算管理（60分）</w:t>
            </w:r>
          </w:p>
        </w:tc>
        <w:tc>
          <w:tcPr>
            <w:tcW w:w="108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预算编制（24分）</w:t>
            </w: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目标制定</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8</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评价部门绩效目标是否要素完整、细化量化。</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1.绩效目标编制要素完整的，得4分，否则酌情扣分。2.绩效指标细化量化的，得4分，否则酌情扣分。有项目绩效目标的部门（单位），根据项目绩效目标编制质量打分，无项目绩效目标的部门，根据部门整体支出绩效目标打分。</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8</w:t>
            </w:r>
          </w:p>
        </w:tc>
      </w:tr>
      <w:tr>
        <w:tblPrEx>
          <w:tblCellMar>
            <w:top w:w="0" w:type="dxa"/>
            <w:left w:w="108" w:type="dxa"/>
            <w:bottom w:w="0" w:type="dxa"/>
            <w:right w:w="108" w:type="dxa"/>
          </w:tblCellMar>
        </w:tblPrEx>
        <w:trPr>
          <w:trHeight w:val="161"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目标实现</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8</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评价部门绩效目标实际实现程度与预期目标的偏离度。</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以项目完成数量为核心，评价项目实际完成情况与与预期绩效目标偏离度，单个数量指标实际完成未达到预期指标或超过预期指标30%以上的，均不计分。该项指标得分=达到预期值的数量指标个数/全部数量指标个数（即评价选取的项目绩效目标包含的所有数量指标）</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8</w:t>
            </w:r>
          </w:p>
        </w:tc>
      </w:tr>
      <w:tr>
        <w:tblPrEx>
          <w:tblCellMar>
            <w:top w:w="0" w:type="dxa"/>
            <w:left w:w="108" w:type="dxa"/>
            <w:bottom w:w="0" w:type="dxa"/>
            <w:right w:w="108" w:type="dxa"/>
          </w:tblCellMar>
        </w:tblPrEx>
        <w:trPr>
          <w:trHeight w:val="124"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编制准确</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8</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评价部门年初预算编制是否科学准确。</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指标得分=（1-（10×部门全年预算调剂金额/年初部门预算数））*指标分值。其中：若部门全年预算调剂金额/年初部门预算数&gt;0.1，此项得0分。</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8</w:t>
            </w:r>
          </w:p>
        </w:tc>
      </w:tr>
      <w:tr>
        <w:tblPrEx>
          <w:tblCellMar>
            <w:top w:w="0" w:type="dxa"/>
            <w:left w:w="108" w:type="dxa"/>
            <w:bottom w:w="0" w:type="dxa"/>
            <w:right w:w="108" w:type="dxa"/>
          </w:tblCellMar>
        </w:tblPrEx>
        <w:trPr>
          <w:trHeight w:val="158"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预算执行（20分）</w:t>
            </w: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支出控制</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6</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部门公用经费及非定额公用支出控制情况。</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计算部门日常公用经费、项目支出中“办公费、印刷费、水费、电费、物业管理费”等科目年初预算数与决算数偏差程度预决算偏差程度在10%以内的，得6分。偏差度在10%-20%之间的，得3分，偏差度超过20%的，不得分。</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0</w:t>
            </w:r>
          </w:p>
        </w:tc>
      </w:tr>
      <w:tr>
        <w:tblPrEx>
          <w:tblCellMar>
            <w:top w:w="0" w:type="dxa"/>
            <w:left w:w="108" w:type="dxa"/>
            <w:bottom w:w="0" w:type="dxa"/>
            <w:right w:w="108" w:type="dxa"/>
          </w:tblCellMar>
        </w:tblPrEx>
        <w:trPr>
          <w:trHeight w:val="209"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Cs w:val="21"/>
              </w:rPr>
            </w:pP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动态调整</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8</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评价部门开展绩效运行监控后，将绩效监控结果应用到预算调整的情况。</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1.当部门绩效监控调整取消额和结余注销额均不为零时，指标得分=部门项目支出绩效监控调整取消额÷(部门绩效监控调整取消额+预算结余注销额）*82.当部门绩效监控调整取消额为零，结余注销额不为零时，指标得分=（1-10*结余注销额/年度预算总额）*8，结余注销额超过部门年度预算总额10%的，指标不得分。3.当部门绩效监控调整取消额与结余注销额均为零时，得满分。</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8</w:t>
            </w:r>
          </w:p>
        </w:tc>
      </w:tr>
      <w:tr>
        <w:tblPrEx>
          <w:tblCellMar>
            <w:top w:w="0" w:type="dxa"/>
            <w:left w:w="108" w:type="dxa"/>
            <w:bottom w:w="0" w:type="dxa"/>
            <w:right w:w="108" w:type="dxa"/>
          </w:tblCellMar>
        </w:tblPrEx>
        <w:trPr>
          <w:trHeight w:val="156"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Cs w:val="21"/>
              </w:rPr>
            </w:pP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执行进度</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6</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评价部门在6、9、11月的预算执行情况。</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部门预算执行进度在6、9、11月应达到序时进度的80%、90%、90%，即实际支出进度分别达到40%、67.5%、82.5%。6、9、11月部门预算执行进度达到量化指标的各得2分，未达到目标进度的的按其实际进度占目标进度的比重计算得分。</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0</w:t>
            </w:r>
          </w:p>
        </w:tc>
      </w:tr>
      <w:tr>
        <w:tblPrEx>
          <w:tblCellMar>
            <w:top w:w="0" w:type="dxa"/>
            <w:left w:w="108" w:type="dxa"/>
            <w:bottom w:w="0" w:type="dxa"/>
            <w:right w:w="108" w:type="dxa"/>
          </w:tblCellMar>
        </w:tblPrEx>
        <w:trPr>
          <w:trHeight w:val="158"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完成结果（16分）</w:t>
            </w: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预算完成</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8</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评价部门预算项目年终预算执行情况。</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部门预算项目12月预算执行进度达到100%的，得8分，未达100%的，按照实际进度量化计算得分。</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8</w:t>
            </w:r>
          </w:p>
        </w:tc>
      </w:tr>
      <w:tr>
        <w:tblPrEx>
          <w:tblCellMar>
            <w:top w:w="0" w:type="dxa"/>
            <w:left w:w="108" w:type="dxa"/>
            <w:bottom w:w="0" w:type="dxa"/>
            <w:right w:w="108" w:type="dxa"/>
          </w:tblCellMar>
        </w:tblPrEx>
        <w:trPr>
          <w:trHeight w:val="158"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违规记录</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8</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根据审计监督、财政检查结果反映部门上一年度部门预算管理是否合规。</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依据评价年度审计监督、财政检查结果，出现部门预算管理方面违纪违规问题的，每个问题扣0.5分，直至扣完。</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8</w:t>
            </w:r>
          </w:p>
        </w:tc>
      </w:tr>
      <w:tr>
        <w:tblPrEx>
          <w:tblCellMar>
            <w:top w:w="0" w:type="dxa"/>
            <w:left w:w="108" w:type="dxa"/>
            <w:bottom w:w="0" w:type="dxa"/>
            <w:right w:w="108" w:type="dxa"/>
          </w:tblCellMar>
        </w:tblPrEx>
        <w:trPr>
          <w:trHeight w:val="158" w:hRule="atLeast"/>
        </w:trPr>
        <w:tc>
          <w:tcPr>
            <w:tcW w:w="10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专项预算管理（20分）</w:t>
            </w:r>
          </w:p>
        </w:tc>
        <w:tc>
          <w:tcPr>
            <w:tcW w:w="8178" w:type="dxa"/>
            <w:gridSpan w:val="5"/>
            <w:tcBorders>
              <w:top w:val="single" w:color="auto" w:sz="4" w:space="0"/>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部门按照专项项目自评工作要求对本部门管理的专项进行自评并打分，形成自评报告，本次提交部门整体支出绩效评价报告时暂无需提供专项自评报告。评价组将对部门专项自评报告进行质量审核，根据质量审核得分，对专项自评得分进行调整，作为重点评价得分。</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18</w:t>
            </w:r>
          </w:p>
        </w:tc>
      </w:tr>
      <w:tr>
        <w:tblPrEx>
          <w:tblCellMar>
            <w:top w:w="0" w:type="dxa"/>
            <w:left w:w="108" w:type="dxa"/>
            <w:bottom w:w="0" w:type="dxa"/>
            <w:right w:w="108" w:type="dxa"/>
          </w:tblCellMar>
        </w:tblPrEx>
        <w:trPr>
          <w:trHeight w:val="114" w:hRule="atLeast"/>
        </w:trPr>
        <w:tc>
          <w:tcPr>
            <w:tcW w:w="108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绩效结果应用（10分）</w:t>
            </w:r>
          </w:p>
        </w:tc>
        <w:tc>
          <w:tcPr>
            <w:tcW w:w="108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信息公开（2分）</w:t>
            </w: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自评公开</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2</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评价部门是否按要求将部门整体绩效自评情况和自行组织的评价情况向社会公开。</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按要求将相关绩效信息随同决算公开的，得2分，否则不得分。</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2</w:t>
            </w:r>
          </w:p>
        </w:tc>
      </w:tr>
      <w:tr>
        <w:tblPrEx>
          <w:tblCellMar>
            <w:top w:w="0" w:type="dxa"/>
            <w:left w:w="108" w:type="dxa"/>
            <w:bottom w:w="0" w:type="dxa"/>
            <w:right w:w="108" w:type="dxa"/>
          </w:tblCellMar>
        </w:tblPrEx>
        <w:trPr>
          <w:trHeight w:val="122"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整改反馈（8分）</w:t>
            </w: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结果整改</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4</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评价部门根据绩效管理结果整改问题、完善政策、改进管理的情况。</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针对绩效管理过程中（包括绩效目标核查、绩效监控核查和重点绩效评价）提出的问题进行整改，将绩效管理结果与预算安排进行挂钩的，得4分。否则，酌情扣分。</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3</w:t>
            </w:r>
          </w:p>
        </w:tc>
      </w:tr>
      <w:tr>
        <w:tblPrEx>
          <w:tblCellMar>
            <w:top w:w="0" w:type="dxa"/>
            <w:left w:w="108" w:type="dxa"/>
            <w:bottom w:w="0" w:type="dxa"/>
            <w:right w:w="108" w:type="dxa"/>
          </w:tblCellMar>
        </w:tblPrEx>
        <w:trPr>
          <w:trHeight w:val="102"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Cs w:val="21"/>
              </w:rPr>
            </w:pP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应用反馈</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4</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评价部门按要求及时向财政部门反馈结果应用情况。</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部门在规定时间内向财政部门反馈应用绩效结果报告的，得满分，否则不得分。</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3</w:t>
            </w:r>
          </w:p>
        </w:tc>
      </w:tr>
      <w:tr>
        <w:tblPrEx>
          <w:tblCellMar>
            <w:top w:w="0" w:type="dxa"/>
            <w:left w:w="108" w:type="dxa"/>
            <w:bottom w:w="0" w:type="dxa"/>
            <w:right w:w="108" w:type="dxa"/>
          </w:tblCellMar>
        </w:tblPrEx>
        <w:trPr>
          <w:trHeight w:val="114" w:hRule="atLeast"/>
        </w:trPr>
        <w:tc>
          <w:tcPr>
            <w:tcW w:w="108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自评质量（10分）</w:t>
            </w:r>
          </w:p>
        </w:tc>
        <w:tc>
          <w:tcPr>
            <w:tcW w:w="108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自评质量（10分）</w:t>
            </w: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自评准确</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10</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评价部门整体支出自评准确率。</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部门整体支出自评得分与评价组抽查得分差异在5%以内的，不扣分；在5%-10%之间的，扣4分，在10%-20%的，扣8分，在20%以上的，扣10分。（部门在自评时，此项指标无需打分，部门自评满分为90分）</w:t>
            </w:r>
          </w:p>
        </w:tc>
        <w:tc>
          <w:tcPr>
            <w:tcW w:w="970"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　</w:t>
            </w:r>
          </w:p>
        </w:tc>
      </w:tr>
      <w:tr>
        <w:tblPrEx>
          <w:tblCellMar>
            <w:top w:w="0" w:type="dxa"/>
            <w:left w:w="108" w:type="dxa"/>
            <w:bottom w:w="0" w:type="dxa"/>
            <w:right w:w="108" w:type="dxa"/>
          </w:tblCellMar>
        </w:tblPrEx>
        <w:trPr>
          <w:trHeight w:val="52" w:hRule="atLeast"/>
        </w:trPr>
        <w:tc>
          <w:tcPr>
            <w:tcW w:w="9259" w:type="dxa"/>
            <w:gridSpan w:val="6"/>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kern w:val="0"/>
                <w:szCs w:val="21"/>
              </w:rPr>
            </w:pPr>
            <w:r>
              <w:rPr>
                <w:rFonts w:hint="eastAsia" w:ascii="宋体" w:hAnsi="宋体" w:cs="宋体"/>
                <w:kern w:val="0"/>
                <w:szCs w:val="21"/>
              </w:rPr>
              <w:t>合计</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74</w:t>
            </w:r>
          </w:p>
        </w:tc>
      </w:tr>
    </w:tbl>
    <w:p>
      <w:pPr>
        <w:spacing w:line="576" w:lineRule="exact"/>
        <w:rPr>
          <w:rFonts w:ascii="仿宋_GB2312" w:hAnsi="仿宋" w:eastAsia="仿宋_GB2312" w:cs="仿宋_GB2312"/>
          <w:color w:val="000000"/>
          <w:kern w:val="0"/>
          <w:sz w:val="32"/>
          <w:szCs w:val="32"/>
          <w:shd w:val="clear" w:color="auto" w:fill="FFFFFF"/>
          <w:lang w:val="zh-CN"/>
        </w:rPr>
      </w:pPr>
    </w:p>
    <w:p>
      <w:pPr>
        <w:spacing w:line="220" w:lineRule="atLeast"/>
        <w:ind w:firstLine="420" w:firstLineChars="200"/>
        <w:rPr>
          <w:rFonts w:ascii="仿宋_GB2312" w:hAnsi="仿宋" w:cs="仿宋_GB2312"/>
          <w:color w:val="000000"/>
          <w:szCs w:val="32"/>
          <w:shd w:val="clear" w:color="auto" w:fill="FFFFFF"/>
        </w:rPr>
      </w:pPr>
    </w:p>
    <w:p>
      <w:pPr>
        <w:spacing w:line="220" w:lineRule="atLeast"/>
        <w:ind w:firstLine="420" w:firstLineChars="20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bookmarkStart w:id="173" w:name="_GoBack"/>
      <w:bookmarkEnd w:id="173"/>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黑体" w:eastAsia="黑体" w:cs="黑体"/>
          <w:sz w:val="32"/>
          <w:szCs w:val="32"/>
        </w:rPr>
      </w:pPr>
      <w:bookmarkStart w:id="128" w:name="_Toc114676140"/>
      <w:r>
        <w:rPr>
          <w:rFonts w:hint="eastAsia" w:ascii="黑体" w:eastAsia="黑体" w:cs="黑体"/>
          <w:sz w:val="32"/>
          <w:szCs w:val="32"/>
        </w:rPr>
        <w:t>附件</w:t>
      </w:r>
      <w:r>
        <w:rPr>
          <w:rFonts w:ascii="黑体" w:eastAsia="黑体" w:cs="黑体"/>
          <w:sz w:val="32"/>
          <w:szCs w:val="32"/>
        </w:rPr>
        <w:t>2</w:t>
      </w:r>
      <w:bookmarkEnd w:id="127"/>
      <w:bookmarkEnd w:id="128"/>
    </w:p>
    <w:p>
      <w:pPr>
        <w:snapToGrid w:val="0"/>
        <w:spacing w:line="60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茂县渭门镇人民政府</w:t>
      </w:r>
    </w:p>
    <w:p>
      <w:pPr>
        <w:snapToGrid w:val="0"/>
        <w:spacing w:line="60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2021年公共服务运行维护费项目</w:t>
      </w:r>
    </w:p>
    <w:p>
      <w:pPr>
        <w:snapToGrid w:val="0"/>
        <w:spacing w:line="60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支出绩效自评报告</w:t>
      </w:r>
    </w:p>
    <w:p>
      <w:pPr>
        <w:numPr>
          <w:ilvl w:val="0"/>
          <w:numId w:val="5"/>
        </w:numPr>
        <w:tabs>
          <w:tab w:val="left" w:pos="3885"/>
        </w:tabs>
        <w:snapToGrid w:val="0"/>
        <w:spacing w:line="600" w:lineRule="exact"/>
        <w:ind w:firstLine="640" w:firstLineChars="200"/>
        <w:jc w:val="left"/>
        <w:rPr>
          <w:rFonts w:ascii="黑体" w:hAnsi="宋体" w:eastAsia="黑体"/>
          <w:sz w:val="32"/>
          <w:szCs w:val="21"/>
        </w:rPr>
      </w:pPr>
      <w:r>
        <w:rPr>
          <w:rFonts w:hint="eastAsia" w:ascii="黑体" w:hAnsi="宋体" w:eastAsia="黑体"/>
          <w:sz w:val="32"/>
          <w:szCs w:val="21"/>
        </w:rPr>
        <w:t>基本情况</w:t>
      </w:r>
    </w:p>
    <w:p>
      <w:pPr>
        <w:tabs>
          <w:tab w:val="left" w:pos="3885"/>
        </w:tabs>
        <w:snapToGrid w:val="0"/>
        <w:spacing w:line="600" w:lineRule="exact"/>
        <w:ind w:firstLine="640" w:firstLineChars="200"/>
        <w:jc w:val="left"/>
        <w:rPr>
          <w:rFonts w:ascii="仿宋_GB2312" w:hAnsi="仿宋_GB2312" w:eastAsia="仿宋_GB2312" w:cs="仿宋_GB2312"/>
          <w:sz w:val="32"/>
          <w:szCs w:val="32"/>
        </w:rPr>
      </w:pPr>
      <w:r>
        <w:rPr>
          <w:rFonts w:hint="eastAsia" w:ascii="楷体_GB2312" w:hAnsi="楷体_GB2312" w:eastAsia="楷体_GB2312" w:cs="楷体_GB2312"/>
          <w:sz w:val="32"/>
          <w:szCs w:val="32"/>
        </w:rPr>
        <w:t>（一）预算下达情况</w:t>
      </w:r>
    </w:p>
    <w:p>
      <w:pPr>
        <w:tabs>
          <w:tab w:val="left" w:pos="3885"/>
        </w:tabs>
        <w:snapToGrid w:val="0"/>
        <w:spacing w:line="600" w:lineRule="exact"/>
        <w:ind w:firstLine="640" w:firstLineChars="200"/>
        <w:rPr>
          <w:rFonts w:ascii="黑体" w:hAnsi="宋体" w:eastAsia="黑体"/>
          <w:sz w:val="32"/>
          <w:szCs w:val="21"/>
        </w:rPr>
      </w:pPr>
      <w:r>
        <w:rPr>
          <w:rFonts w:hint="eastAsia" w:ascii="仿宋_GB2312" w:hAnsi="仿宋" w:eastAsia="仿宋_GB2312" w:cs="仿宋"/>
          <w:sz w:val="32"/>
          <w:szCs w:val="32"/>
        </w:rPr>
        <w:t>2021年度我镇共收到上级拨付</w:t>
      </w:r>
      <w:r>
        <w:rPr>
          <w:rFonts w:hint="eastAsia" w:ascii="仿宋_GB2312" w:hAnsi="仿宋" w:eastAsia="仿宋_GB2312"/>
          <w:sz w:val="32"/>
          <w:szCs w:val="32"/>
        </w:rPr>
        <w:t>村级运维费、村级基层组织建设经费和村级办公经费共</w:t>
      </w:r>
      <w:r>
        <w:rPr>
          <w:rFonts w:hint="eastAsia" w:ascii="仿宋_GB2312" w:hAnsi="仿宋" w:eastAsia="仿宋_GB2312" w:cs="仿宋"/>
          <w:sz w:val="32"/>
          <w:szCs w:val="32"/>
        </w:rPr>
        <w:t>121万元。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（二）项目安排情况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经镇渭门镇研究决定：全镇基层组织活动和公共服务运行经费合理安排至9个行政村。</w:t>
      </w:r>
    </w:p>
    <w:p>
      <w:pPr>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（三）资金使用情况</w:t>
      </w:r>
    </w:p>
    <w:p>
      <w:pPr>
        <w:ind w:firstLine="640" w:firstLineChars="200"/>
        <w:rPr>
          <w:rFonts w:ascii="仿宋_GB2312" w:eastAsia="仿宋_GB2312"/>
          <w:sz w:val="32"/>
          <w:szCs w:val="32"/>
        </w:rPr>
      </w:pPr>
      <w:r>
        <w:rPr>
          <w:rFonts w:hint="eastAsia" w:ascii="仿宋_GB2312" w:eastAsia="仿宋_GB2312"/>
          <w:sz w:val="32"/>
          <w:szCs w:val="32"/>
        </w:rPr>
        <w:t>截止2021年12月31日我镇支付2021年基层组织活动和公共服务运行经费154.75万元，其中支付村级办公经费28.34万元；支付公共服务运维费126.41万元。支付2021年预算结转2021年金额（公共服务运维费）33.75万元。</w:t>
      </w:r>
    </w:p>
    <w:p>
      <w:pPr>
        <w:ind w:firstLine="640" w:firstLineChars="200"/>
        <w:rPr>
          <w:rFonts w:ascii="宋体" w:hAnsi="宋体" w:eastAsia="仿宋_GB2312"/>
          <w:sz w:val="32"/>
          <w:szCs w:val="21"/>
        </w:rPr>
      </w:pPr>
      <w:r>
        <w:rPr>
          <w:rFonts w:hint="eastAsia" w:ascii="黑体" w:hAnsi="黑体" w:eastAsia="黑体" w:cs="黑体"/>
          <w:sz w:val="32"/>
          <w:szCs w:val="21"/>
        </w:rPr>
        <w:t>二、评价工作开展情况</w:t>
      </w:r>
    </w:p>
    <w:p>
      <w:pPr>
        <w:adjustRightInd w:val="0"/>
        <w:snapToGrid w:val="0"/>
        <w:spacing w:line="580" w:lineRule="exact"/>
        <w:ind w:firstLine="643" w:firstLineChars="200"/>
        <w:rPr>
          <w:rFonts w:ascii="仿宋_GB2312" w:hAnsi="仿宋_GB2312" w:eastAsia="仿宋_GB2312" w:cs="仿宋_GB2312"/>
          <w:sz w:val="32"/>
          <w:szCs w:val="32"/>
          <w:lang w:val="zh-CN"/>
        </w:rPr>
      </w:pPr>
      <w:r>
        <w:rPr>
          <w:rFonts w:hint="eastAsia" w:ascii="仿宋" w:hAnsi="仿宋" w:eastAsia="仿宋"/>
          <w:b/>
          <w:bCs/>
          <w:sz w:val="32"/>
          <w:szCs w:val="32"/>
          <w:lang w:val="zh-CN"/>
        </w:rPr>
        <w:t>1.项目自评步骤。</w:t>
      </w:r>
      <w:r>
        <w:rPr>
          <w:rFonts w:hint="eastAsia" w:ascii="仿宋_GB2312" w:hAnsi="仿宋_GB2312" w:eastAsia="仿宋_GB2312" w:cs="仿宋_GB2312"/>
          <w:sz w:val="32"/>
          <w:szCs w:val="32"/>
          <w:lang w:val="zh-CN"/>
        </w:rPr>
        <w:t>成立项目绩效自评领导小组，由分管财务副镇长牵头，渭门镇财经审查办公室、渭门镇各驻村工作组组成自评小组，通过数据分析、实地核查、分析评价形成绩效评价报告。</w:t>
      </w:r>
    </w:p>
    <w:p>
      <w:pPr>
        <w:adjustRightInd w:val="0"/>
        <w:snapToGrid w:val="0"/>
        <w:spacing w:line="580" w:lineRule="exact"/>
        <w:ind w:firstLine="643" w:firstLineChars="200"/>
        <w:rPr>
          <w:rFonts w:ascii="仿宋" w:hAnsi="仿宋" w:eastAsia="仿宋"/>
          <w:b/>
          <w:bCs/>
          <w:sz w:val="32"/>
          <w:szCs w:val="32"/>
          <w:lang w:val="zh-CN"/>
        </w:rPr>
      </w:pPr>
      <w:r>
        <w:rPr>
          <w:rFonts w:hint="eastAsia" w:ascii="仿宋" w:hAnsi="仿宋" w:eastAsia="仿宋"/>
          <w:b/>
          <w:bCs/>
          <w:sz w:val="32"/>
          <w:szCs w:val="32"/>
          <w:lang w:val="zh-CN"/>
        </w:rPr>
        <w:t>2.评价方法</w:t>
      </w:r>
    </w:p>
    <w:p>
      <w:pPr>
        <w:adjustRightInd w:val="0"/>
        <w:snapToGrid w:val="0"/>
        <w:spacing w:line="580" w:lineRule="exact"/>
        <w:ind w:firstLine="643" w:firstLineChars="200"/>
        <w:rPr>
          <w:rFonts w:ascii="仿宋_GB2312" w:hAnsi="仿宋_GB2312" w:eastAsia="仿宋_GB2312" w:cs="仿宋_GB2312"/>
          <w:sz w:val="32"/>
          <w:szCs w:val="32"/>
          <w:lang w:val="zh-CN"/>
        </w:rPr>
      </w:pPr>
      <w:r>
        <w:rPr>
          <w:rFonts w:hint="eastAsia" w:ascii="仿宋" w:hAnsi="仿宋" w:eastAsia="仿宋"/>
          <w:b/>
          <w:bCs/>
          <w:sz w:val="32"/>
          <w:szCs w:val="32"/>
          <w:lang w:val="zh-CN"/>
        </w:rPr>
        <w:t>2.1前期工作：</w:t>
      </w:r>
      <w:r>
        <w:rPr>
          <w:rFonts w:hint="eastAsia" w:ascii="仿宋_GB2312" w:hAnsi="仿宋_GB2312" w:eastAsia="仿宋_GB2312" w:cs="仿宋_GB2312"/>
          <w:sz w:val="32"/>
          <w:szCs w:val="32"/>
          <w:lang w:val="zh-CN"/>
        </w:rPr>
        <w:t>成立项目绩效自评领导小组，安排专人收集整理相关数据档案、拟定实地核查方案。</w:t>
      </w:r>
    </w:p>
    <w:p>
      <w:pPr>
        <w:adjustRightInd w:val="0"/>
        <w:snapToGrid w:val="0"/>
        <w:spacing w:line="580" w:lineRule="exact"/>
        <w:ind w:firstLine="643" w:firstLineChars="200"/>
        <w:rPr>
          <w:rFonts w:ascii="仿宋_GB2312" w:hAnsi="仿宋_GB2312" w:eastAsia="仿宋_GB2312" w:cs="仿宋_GB2312"/>
          <w:b/>
          <w:bCs/>
          <w:sz w:val="32"/>
          <w:szCs w:val="32"/>
        </w:rPr>
      </w:pPr>
      <w:r>
        <w:rPr>
          <w:rFonts w:hint="eastAsia" w:ascii="仿宋" w:hAnsi="仿宋" w:eastAsia="仿宋"/>
          <w:b/>
          <w:bCs/>
          <w:sz w:val="32"/>
          <w:szCs w:val="32"/>
        </w:rPr>
        <w:t>2.2实地核查：</w:t>
      </w:r>
      <w:r>
        <w:rPr>
          <w:rFonts w:hint="eastAsia" w:ascii="仿宋_GB2312" w:hAnsi="仿宋_GB2312" w:eastAsia="仿宋_GB2312" w:cs="仿宋_GB2312"/>
          <w:sz w:val="32"/>
          <w:szCs w:val="32"/>
        </w:rPr>
        <w:t>自评工作小组，根据评价指标对2021年基层组织活动和公共服务运行费使用</w:t>
      </w:r>
      <w:r>
        <w:rPr>
          <w:rFonts w:hint="eastAsia" w:ascii="仿宋_GB2312" w:hAnsi="仿宋_GB2312" w:eastAsia="仿宋_GB2312" w:cs="仿宋_GB2312"/>
          <w:sz w:val="32"/>
          <w:szCs w:val="32"/>
          <w:lang w:val="zh-CN"/>
        </w:rPr>
        <w:t>情况进行调查核实，渭门镇财经审查办公室对项目资金完善进行自评。</w:t>
      </w:r>
    </w:p>
    <w:p>
      <w:pPr>
        <w:adjustRightInd w:val="0"/>
        <w:snapToGrid w:val="0"/>
        <w:spacing w:line="580" w:lineRule="exact"/>
        <w:ind w:firstLine="643" w:firstLineChars="200"/>
        <w:rPr>
          <w:rFonts w:ascii="仿宋" w:hAnsi="仿宋" w:eastAsia="仿宋"/>
          <w:b/>
          <w:bCs/>
          <w:sz w:val="32"/>
          <w:szCs w:val="32"/>
          <w:lang w:val="zh-CN"/>
        </w:rPr>
      </w:pPr>
      <w:r>
        <w:rPr>
          <w:rFonts w:hint="eastAsia" w:ascii="仿宋" w:hAnsi="仿宋" w:eastAsia="仿宋"/>
          <w:b/>
          <w:bCs/>
          <w:sz w:val="32"/>
          <w:szCs w:val="32"/>
          <w:lang w:val="zh-CN"/>
        </w:rPr>
        <w:t>2.3分析评价</w:t>
      </w:r>
    </w:p>
    <w:p>
      <w:pPr>
        <w:adjustRightInd w:val="0"/>
        <w:snapToGrid w:val="0"/>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根据自查结果，对绩效评价指标进行全面的分析形成绩效评价报告。</w:t>
      </w:r>
    </w:p>
    <w:p>
      <w:pPr>
        <w:snapToGrid w:val="0"/>
        <w:spacing w:line="600" w:lineRule="exact"/>
        <w:ind w:firstLine="640" w:firstLineChars="200"/>
        <w:rPr>
          <w:rFonts w:ascii="黑体" w:hAnsi="宋体" w:eastAsia="黑体"/>
          <w:sz w:val="32"/>
          <w:szCs w:val="21"/>
        </w:rPr>
      </w:pPr>
      <w:r>
        <w:rPr>
          <w:rFonts w:hint="eastAsia" w:ascii="黑体" w:hAnsi="宋体" w:eastAsia="黑体"/>
          <w:sz w:val="32"/>
          <w:szCs w:val="21"/>
        </w:rPr>
        <w:t>三</w:t>
      </w:r>
      <w:r>
        <w:rPr>
          <w:rFonts w:ascii="黑体" w:hAnsi="宋体" w:eastAsia="黑体"/>
          <w:sz w:val="32"/>
          <w:szCs w:val="21"/>
        </w:rPr>
        <w:t>、</w:t>
      </w:r>
      <w:r>
        <w:rPr>
          <w:rFonts w:hint="eastAsia" w:ascii="黑体" w:hAnsi="宋体" w:eastAsia="黑体"/>
          <w:sz w:val="32"/>
          <w:szCs w:val="21"/>
        </w:rPr>
        <w:t>综合评价结论</w:t>
      </w:r>
    </w:p>
    <w:p>
      <w:pPr>
        <w:adjustRightInd w:val="0"/>
        <w:snapToGrid w:val="0"/>
        <w:spacing w:line="360" w:lineRule="auto"/>
        <w:ind w:firstLine="640" w:firstLineChars="200"/>
        <w:rPr>
          <w:rFonts w:ascii="仿宋_GB2312" w:hAnsi="仿宋_GB2312" w:eastAsia="仿宋_GB2312" w:cs="仿宋_GB2312"/>
          <w:color w:val="212121"/>
          <w:sz w:val="32"/>
          <w:szCs w:val="32"/>
          <w:shd w:val="clear" w:color="auto" w:fill="FFFFFF"/>
        </w:rPr>
      </w:pPr>
      <w:r>
        <w:rPr>
          <w:rFonts w:hint="eastAsia" w:ascii="仿宋_GB2312" w:hAnsi="仿宋_GB2312" w:eastAsia="仿宋_GB2312" w:cs="仿宋_GB2312"/>
          <w:color w:val="212121"/>
          <w:sz w:val="32"/>
          <w:szCs w:val="32"/>
          <w:shd w:val="clear" w:color="auto" w:fill="FFFFFF"/>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p>
    <w:p>
      <w:pPr>
        <w:snapToGrid w:val="0"/>
        <w:spacing w:line="600" w:lineRule="exact"/>
        <w:ind w:firstLine="640" w:firstLineChars="200"/>
        <w:rPr>
          <w:rFonts w:ascii="黑体" w:hAnsi="黑体" w:eastAsia="黑体" w:cs="黑体"/>
          <w:bCs/>
          <w:sz w:val="32"/>
          <w:szCs w:val="21"/>
        </w:rPr>
      </w:pPr>
      <w:r>
        <w:rPr>
          <w:rFonts w:hint="eastAsia" w:ascii="黑体" w:hAnsi="黑体" w:eastAsia="黑体" w:cs="黑体"/>
          <w:bCs/>
          <w:sz w:val="32"/>
          <w:szCs w:val="21"/>
        </w:rPr>
        <w:t>四、绩效评价分析</w:t>
      </w:r>
    </w:p>
    <w:p>
      <w:pPr>
        <w:snapToGrid w:val="0"/>
        <w:spacing w:line="600" w:lineRule="exact"/>
        <w:ind w:firstLine="643" w:firstLineChars="200"/>
        <w:rPr>
          <w:rFonts w:ascii="楷体_GB2312" w:hAnsi="宋体" w:eastAsia="楷体_GB2312"/>
          <w:b/>
          <w:sz w:val="32"/>
          <w:szCs w:val="21"/>
        </w:rPr>
      </w:pPr>
      <w:r>
        <w:rPr>
          <w:rFonts w:hint="eastAsia" w:ascii="楷体_GB2312" w:hAnsi="宋体" w:eastAsia="楷体_GB2312"/>
          <w:b/>
          <w:sz w:val="32"/>
          <w:szCs w:val="21"/>
        </w:rPr>
        <w:t>（一）项目决策情况</w:t>
      </w:r>
    </w:p>
    <w:p>
      <w:pPr>
        <w:adjustRightInd w:val="0"/>
        <w:snapToGrid w:val="0"/>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茂县渭门镇人民政府负责：对2021年基层组织活动和公共服务运行费进行分配，补助资金根据各村人口、幅员面积、地理区位、村集体收入和工作绩效等因素分村（社区）确定具体的补助标准，渭门镇驻村工作组对完工内容进行验收，渭门镇财政所支付资金。</w:t>
      </w:r>
    </w:p>
    <w:p>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茂县渭门镇人民政府各村（社区）两委会负责：召开户主大会确定各村具体实施内容，确定实施人员，对施工进行监督检查，各村（社区）两委会对完工内容进行验收，并做好公开公示。</w:t>
      </w:r>
    </w:p>
    <w:p>
      <w:pPr>
        <w:snapToGrid w:val="0"/>
        <w:spacing w:line="600" w:lineRule="exact"/>
        <w:ind w:firstLine="643" w:firstLineChars="200"/>
        <w:rPr>
          <w:rFonts w:ascii="楷体_GB2312" w:hAnsi="宋体" w:eastAsia="楷体_GB2312"/>
          <w:b/>
          <w:sz w:val="32"/>
          <w:szCs w:val="21"/>
        </w:rPr>
      </w:pPr>
      <w:r>
        <w:rPr>
          <w:rFonts w:hint="eastAsia" w:ascii="楷体_GB2312" w:hAnsi="宋体" w:eastAsia="楷体_GB2312"/>
          <w:b/>
          <w:sz w:val="32"/>
          <w:szCs w:val="21"/>
        </w:rPr>
        <w:t>（二）项目管理情况</w:t>
      </w:r>
    </w:p>
    <w:p>
      <w:pPr>
        <w:spacing w:line="360" w:lineRule="auto"/>
        <w:ind w:firstLine="640" w:firstLineChars="200"/>
        <w:rPr>
          <w:rFonts w:ascii="仿宋" w:hAnsi="仿宋" w:eastAsia="仿宋" w:cs="仿宋"/>
          <w:sz w:val="32"/>
          <w:szCs w:val="32"/>
        </w:rPr>
      </w:pPr>
      <w:r>
        <w:rPr>
          <w:rFonts w:hint="eastAsia" w:ascii="仿宋_GB2312" w:hAnsi="仿宋_GB2312" w:eastAsia="仿宋_GB2312" w:cs="仿宋_GB2312"/>
          <w:sz w:val="32"/>
          <w:szCs w:val="32"/>
        </w:rPr>
        <w:t>我镇的村级公共运行维护项目资金由上级拨款，镇政府统一监督管理，村级项目资金开支要召开村干部会议及村民代表大会，报账资料必须经过村监督理财小组、村会计，村支部书记和村主任签字确认，严禁弄虚作假，报账资料必须和村财务公开的一致</w:t>
      </w:r>
      <w:r>
        <w:rPr>
          <w:rFonts w:hint="eastAsia" w:ascii="仿宋" w:hAnsi="仿宋" w:eastAsia="仿宋" w:cs="仿宋"/>
          <w:sz w:val="32"/>
          <w:szCs w:val="32"/>
        </w:rPr>
        <w:t>。</w:t>
      </w:r>
    </w:p>
    <w:p>
      <w:pPr>
        <w:snapToGrid w:val="0"/>
        <w:spacing w:line="600" w:lineRule="exact"/>
        <w:ind w:firstLine="643" w:firstLineChars="200"/>
        <w:rPr>
          <w:rFonts w:ascii="楷体_GB2312" w:hAnsi="宋体" w:eastAsia="楷体_GB2312"/>
          <w:b/>
          <w:sz w:val="32"/>
          <w:szCs w:val="21"/>
        </w:rPr>
      </w:pPr>
      <w:r>
        <w:rPr>
          <w:rFonts w:hint="eastAsia" w:ascii="楷体_GB2312" w:hAnsi="宋体" w:eastAsia="楷体_GB2312"/>
          <w:b/>
          <w:sz w:val="32"/>
          <w:szCs w:val="21"/>
        </w:rPr>
        <w:t>（三）项目产出情况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建设项目覆盖渭门镇9个行政村，其中：主要用于保洁员工资，购置防雹弹、网格员工资、食品、药品、农产品协管员工资、防雹人员工资、人蓄饮水及灌溉沟渠维护等。</w:t>
      </w:r>
    </w:p>
    <w:p>
      <w:pPr>
        <w:snapToGrid w:val="0"/>
        <w:spacing w:line="600" w:lineRule="exact"/>
        <w:ind w:firstLine="643" w:firstLineChars="200"/>
        <w:rPr>
          <w:rFonts w:ascii="楷体_GB2312" w:hAnsi="宋体" w:eastAsia="楷体_GB2312"/>
          <w:b/>
          <w:sz w:val="32"/>
          <w:szCs w:val="21"/>
        </w:rPr>
      </w:pPr>
      <w:r>
        <w:rPr>
          <w:rFonts w:hint="eastAsia" w:ascii="楷体_GB2312" w:hAnsi="宋体" w:eastAsia="楷体_GB2312"/>
          <w:b/>
          <w:sz w:val="32"/>
          <w:szCs w:val="21"/>
        </w:rPr>
        <w:t>（四）项目效益情况</w:t>
      </w:r>
    </w:p>
    <w:p>
      <w:pPr>
        <w:adjustRightInd w:val="0"/>
        <w:snapToGrid w:val="0"/>
        <w:spacing w:line="360" w:lineRule="auto"/>
        <w:ind w:firstLine="720"/>
        <w:rPr>
          <w:rFonts w:ascii="仿宋_GB2312" w:hAnsi="仿宋_GB2312" w:eastAsia="仿宋_GB2312" w:cs="仿宋_GB2312"/>
          <w:color w:val="212121"/>
          <w:sz w:val="32"/>
          <w:szCs w:val="32"/>
          <w:shd w:val="clear" w:color="auto" w:fill="FFFFFF"/>
        </w:rPr>
      </w:pPr>
      <w:r>
        <w:rPr>
          <w:rFonts w:hint="eastAsia" w:ascii="仿宋_GB2312" w:hAnsi="仿宋_GB2312" w:eastAsia="仿宋_GB2312" w:cs="仿宋_GB2312"/>
          <w:color w:val="212121"/>
          <w:sz w:val="32"/>
          <w:szCs w:val="32"/>
          <w:shd w:val="clear" w:color="auto" w:fill="FFFFFF"/>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p>
    <w:p>
      <w:pPr>
        <w:adjustRightInd w:val="0"/>
        <w:snapToGrid w:val="0"/>
        <w:spacing w:line="360" w:lineRule="auto"/>
        <w:ind w:firstLine="720"/>
        <w:rPr>
          <w:rFonts w:ascii="黑体" w:hAnsi="宋体" w:eastAsia="黑体"/>
          <w:sz w:val="32"/>
          <w:szCs w:val="21"/>
        </w:rPr>
      </w:pPr>
      <w:r>
        <w:rPr>
          <w:rFonts w:hint="eastAsia" w:ascii="黑体" w:hAnsi="宋体" w:eastAsia="黑体"/>
          <w:sz w:val="32"/>
          <w:szCs w:val="21"/>
        </w:rPr>
        <w:t>五、存在主要问题</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1、村（社区）基层组织活动和公共服务运行经费工程实施较慢、报账进度慢；</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2、村（社区）基层组织活动和公共服务运行经费资金管理需加强；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3、村（社区）基层组织活动和公共服务运行经费缺乏有效的考核机制。</w:t>
      </w:r>
    </w:p>
    <w:p>
      <w:pPr>
        <w:snapToGrid w:val="0"/>
        <w:spacing w:line="600" w:lineRule="exact"/>
        <w:ind w:firstLine="640" w:firstLineChars="200"/>
        <w:rPr>
          <w:rFonts w:ascii="黑体" w:hAnsi="宋体" w:eastAsia="黑体"/>
          <w:sz w:val="32"/>
          <w:szCs w:val="21"/>
        </w:rPr>
      </w:pPr>
      <w:r>
        <w:rPr>
          <w:rFonts w:hint="eastAsia" w:ascii="黑体" w:hAnsi="宋体" w:eastAsia="黑体"/>
          <w:sz w:val="32"/>
          <w:szCs w:val="21"/>
        </w:rPr>
        <w:t>六、相关措施建议</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1.强化组织领导。镇党委政府督促村两委会实施</w:t>
      </w:r>
      <w:r>
        <w:rPr>
          <w:rFonts w:hint="eastAsia" w:ascii="仿宋_GB2312" w:hAnsi="仿宋_GB2312" w:eastAsia="仿宋_GB2312" w:cs="仿宋_GB2312"/>
          <w:sz w:val="32"/>
          <w:szCs w:val="32"/>
        </w:rPr>
        <w:t>农村公共服务运行维护工程，未完成的村（社区）在保障工程质量的情况下加快工程进度。报账资料不完善的村（社区）督促其按照要求完善报账资料。</w:t>
      </w:r>
    </w:p>
    <w:p>
      <w:pPr>
        <w:widowControl/>
        <w:spacing w:line="600" w:lineRule="exact"/>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2.严格资金管理。农村公共服务运行维护机制建设补助资金实行专款专用。</w:t>
      </w:r>
    </w:p>
    <w:p>
      <w:pPr>
        <w:widowControl/>
        <w:snapToGrid w:val="0"/>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3.严格督查考核。</w:t>
      </w:r>
      <w:r>
        <w:rPr>
          <w:rFonts w:hint="eastAsia" w:ascii="仿宋_GB2312" w:hAnsi="仿宋_GB2312" w:eastAsia="仿宋_GB2312" w:cs="仿宋_GB2312"/>
          <w:color w:val="000000"/>
          <w:sz w:val="32"/>
          <w:szCs w:val="32"/>
        </w:rPr>
        <w:t>我镇党委、政府将农村公共服务运行维护工作纳入年度农业农村工作综合考核，考核结果将作为核定农村公共服务运行维护补助资金以及年度评优评先的重要依据。</w:t>
      </w:r>
    </w:p>
    <w:p>
      <w:pPr>
        <w:spacing w:line="600" w:lineRule="exact"/>
        <w:jc w:val="center"/>
        <w:outlineLvl w:val="0"/>
        <w:rPr>
          <w:rFonts w:ascii="方正小标宋简体" w:hAnsi="Calibri" w:eastAsia="方正小标宋简体"/>
          <w:bCs/>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576" w:lineRule="exact"/>
        <w:ind w:firstLine="880" w:firstLineChars="200"/>
        <w:rPr>
          <w:rFonts w:ascii="方正小标宋简体" w:eastAsia="方正小标宋简体"/>
          <w:bCs/>
          <w:sz w:val="44"/>
          <w:szCs w:val="44"/>
        </w:rPr>
      </w:pPr>
      <w:r>
        <w:rPr>
          <w:rFonts w:hint="eastAsia" w:ascii="方正小标宋简体" w:eastAsia="方正小标宋简体"/>
          <w:bCs/>
          <w:sz w:val="44"/>
          <w:szCs w:val="44"/>
        </w:rPr>
        <w:t>渭门镇2021年度城乡环境综合整治</w:t>
      </w:r>
    </w:p>
    <w:p>
      <w:pPr>
        <w:spacing w:line="576" w:lineRule="exact"/>
        <w:jc w:val="center"/>
        <w:rPr>
          <w:rFonts w:ascii="仿宋" w:hAnsi="仿宋" w:eastAsia="方正小标宋简体" w:cs="仿宋"/>
          <w:b/>
          <w:color w:val="000000"/>
          <w:sz w:val="44"/>
          <w:szCs w:val="44"/>
        </w:rPr>
      </w:pPr>
      <w:r>
        <w:rPr>
          <w:rFonts w:hint="eastAsia" w:ascii="方正小标宋简体" w:eastAsia="方正小标宋简体"/>
          <w:bCs/>
          <w:sz w:val="44"/>
          <w:szCs w:val="44"/>
        </w:rPr>
        <w:t>绩效报告</w:t>
      </w:r>
    </w:p>
    <w:p>
      <w:pPr>
        <w:widowControl/>
        <w:shd w:val="clear" w:color="auto" w:fill="FFFFFF"/>
        <w:spacing w:line="600" w:lineRule="atLeast"/>
        <w:ind w:firstLine="643"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一、项目概况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w:t>
      </w:r>
      <w:r>
        <w:rPr>
          <w:rFonts w:hint="eastAsia" w:ascii="仿宋_GB2312" w:hAnsi="仿宋_GB2312" w:eastAsia="仿宋_GB2312" w:cs="仿宋_GB2312"/>
          <w:b/>
          <w:bCs/>
          <w:sz w:val="32"/>
          <w:szCs w:val="32"/>
        </w:rPr>
        <w:t>项目区域概况</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渭门镇2021年度城乡环境综合整治主要用于我镇辖区内环境综合整治，包括：环境卫生日常管理维护、垃圾清理转运、河道卫生维护、其他应急整治。</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（二）项目基本情况</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项目名称：渭门镇2021年度城乡环境综合整治</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项目资金来源：项目预计资金10万元。</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实施内容：渭门镇环境卫生日常管理维护、垃圾清理转运、河道卫生维护、其他应急整治。</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项目工期：2021年1月-2021年12月。</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（二）项目绩效目标</w:t>
      </w:r>
    </w:p>
    <w:p>
      <w:pPr>
        <w:ind w:firstLine="560"/>
        <w:rPr>
          <w:rFonts w:ascii="仿宋_GB2312" w:hAnsi="仿宋_GB2312" w:eastAsia="仿宋_GB2312" w:cs="仿宋_GB2312"/>
          <w:color w:val="000000"/>
          <w:sz w:val="32"/>
          <w:szCs w:val="32"/>
        </w:rPr>
      </w:pPr>
      <w:r>
        <w:rPr>
          <w:rFonts w:hint="eastAsia" w:ascii="仿宋" w:hAnsi="仿宋" w:eastAsia="仿宋" w:cs="仿宋"/>
          <w:sz w:val="32"/>
          <w:szCs w:val="32"/>
        </w:rPr>
        <w:t>为了改善我镇的环境卫生，提高生活质量，解决制约村经济发展的主要因素</w:t>
      </w:r>
      <w:r>
        <w:rPr>
          <w:rFonts w:hint="eastAsia" w:ascii="仿宋_GB2312" w:hAnsi="宋体" w:eastAsia="仿宋_GB2312" w:cs="仿宋_GB2312"/>
          <w:sz w:val="32"/>
          <w:szCs w:val="32"/>
        </w:rPr>
        <w:t>，该工程实施后，将使广大干部群众能够安居乐业，为社会的稳定和发展起到良好的促进作用。</w:t>
      </w:r>
      <w:r>
        <w:rPr>
          <w:rFonts w:hint="eastAsia" w:ascii="仿宋" w:hAnsi="仿宋" w:eastAsia="仿宋" w:cs="仿宋"/>
          <w:sz w:val="32"/>
          <w:szCs w:val="32"/>
        </w:rPr>
        <w:t>实施</w:t>
      </w:r>
      <w:r>
        <w:rPr>
          <w:rFonts w:hint="eastAsia" w:ascii="仿宋_GB2312" w:hAnsi="仿宋_GB2312" w:eastAsia="仿宋_GB2312" w:cs="仿宋_GB2312"/>
          <w:sz w:val="32"/>
          <w:szCs w:val="32"/>
        </w:rPr>
        <w:t>城乡环境综合整治</w:t>
      </w:r>
      <w:r>
        <w:rPr>
          <w:rFonts w:hint="eastAsia" w:ascii="仿宋" w:hAnsi="仿宋" w:eastAsia="仿宋" w:cs="仿宋"/>
          <w:sz w:val="32"/>
          <w:szCs w:val="32"/>
        </w:rPr>
        <w:t>项目</w:t>
      </w:r>
      <w:r>
        <w:rPr>
          <w:rFonts w:hint="eastAsia" w:ascii="仿宋_GB2312" w:hAnsi="仿宋_GB2312" w:eastAsia="仿宋_GB2312" w:cs="仿宋_GB2312"/>
          <w:color w:val="000000"/>
          <w:kern w:val="0"/>
          <w:sz w:val="32"/>
          <w:szCs w:val="32"/>
          <w:shd w:val="clear" w:color="auto" w:fill="FFFFFF"/>
        </w:rPr>
        <w:t>，</w:t>
      </w:r>
      <w:r>
        <w:rPr>
          <w:rFonts w:hint="eastAsia" w:ascii="仿宋" w:hAnsi="仿宋" w:eastAsia="仿宋" w:cs="仿宋"/>
          <w:sz w:val="32"/>
          <w:szCs w:val="32"/>
        </w:rPr>
        <w:t>美化村容村貌，保护了我镇六条河沟和岷江河道的生态环境，为新农村建设打下基础</w:t>
      </w:r>
      <w:r>
        <w:rPr>
          <w:rFonts w:hint="eastAsia" w:ascii="仿宋_GB2312" w:hAnsi="仿宋_GB2312" w:eastAsia="仿宋_GB2312" w:cs="仿宋_GB2312"/>
          <w:color w:val="000000"/>
          <w:kern w:val="0"/>
          <w:sz w:val="32"/>
          <w:szCs w:val="32"/>
          <w:shd w:val="clear" w:color="auto" w:fill="FFFFFF"/>
        </w:rPr>
        <w:t>。</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（三）项目自评步骤及方法</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项目采取自评与他评相结合方式，成立项目自评小组，结合评价内容，做到有计划，有安排，扎实开展本次自评工作。按照上级下达的项目支出绩效评价指标体系，自评小组针对申报内容、实施情况、资金兑现、财务管理、社会效益等做出自我评价，认真听取村民建议意见，做好自评工作。</w:t>
      </w:r>
    </w:p>
    <w:p>
      <w:pPr>
        <w:widowControl/>
        <w:shd w:val="clear" w:color="auto" w:fill="FFFFFF"/>
        <w:spacing w:line="600" w:lineRule="atLeast"/>
        <w:ind w:firstLine="72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二、项目资金申报及使用情况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（一）资金计划、到位及使用情况</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rPr>
        <w:t>1、资金计划：</w:t>
      </w:r>
      <w:r>
        <w:rPr>
          <w:rFonts w:hint="eastAsia" w:ascii="仿宋_GB2312" w:hAnsi="仿宋_GB2312" w:eastAsia="仿宋_GB2312" w:cs="仿宋_GB2312"/>
          <w:sz w:val="32"/>
          <w:szCs w:val="32"/>
        </w:rPr>
        <w:t>渭门镇2021年度城乡环境综合整治资金主要用于我镇辖区内环境综合整治，包括：农村生活垃圾转运。</w:t>
      </w:r>
      <w:r>
        <w:rPr>
          <w:rFonts w:hint="eastAsia" w:ascii="仿宋_GB2312" w:hAnsi="仿宋_GB2312" w:eastAsia="仿宋_GB2312" w:cs="仿宋_GB2312"/>
          <w:color w:val="000000"/>
          <w:kern w:val="0"/>
          <w:sz w:val="32"/>
          <w:szCs w:val="32"/>
          <w:shd w:val="clear" w:color="auto" w:fill="FFFFFF"/>
        </w:rPr>
        <w:t>项目资金</w:t>
      </w:r>
      <w:r>
        <w:rPr>
          <w:rFonts w:hint="eastAsia" w:ascii="仿宋_GB2312" w:hAnsi="仿宋_GB2312" w:eastAsia="仿宋_GB2312" w:cs="仿宋_GB2312"/>
          <w:color w:val="000000"/>
          <w:sz w:val="32"/>
          <w:szCs w:val="32"/>
        </w:rPr>
        <w:t>10万元</w:t>
      </w:r>
      <w:r>
        <w:rPr>
          <w:rFonts w:hint="eastAsia" w:ascii="仿宋_GB2312" w:hAnsi="仿宋_GB2312" w:eastAsia="仿宋_GB2312" w:cs="仿宋_GB2312"/>
          <w:color w:val="000000"/>
          <w:kern w:val="0"/>
          <w:sz w:val="32"/>
          <w:szCs w:val="32"/>
          <w:shd w:val="clear" w:color="auto" w:fill="FFFFFF"/>
        </w:rPr>
        <w:t>。</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2、资金到位：截止2021年6月，计划资金全部到位，共计10万元。资金到位率100%、到位及时。</w:t>
      </w:r>
    </w:p>
    <w:p>
      <w:pPr>
        <w:widowControl/>
        <w:shd w:val="clear" w:color="auto" w:fill="FFFFFF"/>
        <w:spacing w:line="560" w:lineRule="atLeast"/>
        <w:ind w:firstLine="72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3、资金使用：截止2021年12月，支付</w:t>
      </w:r>
      <w:r>
        <w:rPr>
          <w:rFonts w:hint="eastAsia" w:ascii="仿宋_GB2312" w:hAnsi="仿宋_GB2312" w:eastAsia="仿宋_GB2312" w:cs="仿宋_GB2312"/>
          <w:sz w:val="32"/>
          <w:szCs w:val="32"/>
        </w:rPr>
        <w:t>渭门镇2021年度城乡环境综合整治资金</w:t>
      </w:r>
      <w:r>
        <w:rPr>
          <w:rFonts w:hint="eastAsia" w:ascii="仿宋_GB2312" w:hAnsi="仿宋_GB2312" w:eastAsia="仿宋_GB2312" w:cs="仿宋_GB2312"/>
          <w:color w:val="000000"/>
          <w:kern w:val="0"/>
          <w:sz w:val="32"/>
          <w:szCs w:val="32"/>
          <w:shd w:val="clear" w:color="auto" w:fill="FFFFFF"/>
        </w:rPr>
        <w:t>9.01万元,县财政收回资金0.99万元。主要用于</w:t>
      </w:r>
      <w:r>
        <w:rPr>
          <w:rFonts w:hint="eastAsia" w:ascii="仿宋_GB2312" w:hAnsi="仿宋_GB2312" w:eastAsia="仿宋_GB2312" w:cs="仿宋_GB2312"/>
          <w:sz w:val="32"/>
          <w:szCs w:val="32"/>
        </w:rPr>
        <w:t>环境卫生日常管理维护、垃圾清理转运</w:t>
      </w:r>
      <w:r>
        <w:rPr>
          <w:rFonts w:hint="eastAsia" w:ascii="仿宋_GB2312" w:hAnsi="仿宋_GB2312" w:eastAsia="仿宋_GB2312" w:cs="仿宋_GB2312"/>
          <w:color w:val="000000"/>
          <w:kern w:val="0"/>
          <w:sz w:val="32"/>
          <w:szCs w:val="32"/>
          <w:shd w:val="clear" w:color="auto" w:fill="FFFFFF"/>
        </w:rPr>
        <w:t>。经费到位并及时支付，支付依据合规合法，资金支付与预算相符。</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（二）项目财务管理情况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渭门镇2021年度城乡环境综合整治资金</w:t>
      </w:r>
      <w:r>
        <w:rPr>
          <w:rFonts w:hint="eastAsia" w:ascii="仿宋_GB2312" w:hAnsi="仿宋_GB2312" w:eastAsia="仿宋_GB2312" w:cs="仿宋_GB2312"/>
          <w:color w:val="000000"/>
          <w:kern w:val="0"/>
          <w:sz w:val="32"/>
          <w:szCs w:val="32"/>
          <w:shd w:val="clear" w:color="auto" w:fill="FFFFFF"/>
        </w:rPr>
        <w:t>采取直接支付形式，由镇项目办、镇财政所在项目工程完工验收后，收集报账资料，严格按照项目资金管理办法对资金进行计划申请、划拨、使用，及时、规范对收支进行账务处理和会计核算。</w:t>
      </w:r>
    </w:p>
    <w:p>
      <w:pPr>
        <w:widowControl/>
        <w:shd w:val="clear" w:color="auto" w:fill="FFFFFF"/>
        <w:spacing w:line="600" w:lineRule="atLeast"/>
        <w:ind w:firstLine="72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三、项目实施及管理情况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（一）项目组织架构及实施流程</w:t>
      </w:r>
    </w:p>
    <w:p>
      <w:pPr>
        <w:spacing w:line="576" w:lineRule="exact"/>
        <w:ind w:firstLine="640" w:firstLineChars="200"/>
        <w:rPr>
          <w:rFonts w:ascii="仿宋" w:hAnsi="仿宋" w:eastAsia="仿宋" w:cs="仿宋"/>
          <w:sz w:val="32"/>
          <w:szCs w:val="32"/>
        </w:rPr>
      </w:pPr>
      <w:r>
        <w:rPr>
          <w:rFonts w:hint="eastAsia" w:ascii="仿宋_GB2312" w:hAnsi="仿宋_GB2312" w:eastAsia="仿宋_GB2312" w:cs="仿宋_GB2312"/>
          <w:sz w:val="32"/>
          <w:szCs w:val="32"/>
        </w:rPr>
        <w:t>为确保项目的顺利实施，</w:t>
      </w:r>
      <w:r>
        <w:rPr>
          <w:rFonts w:hint="eastAsia" w:ascii="仿宋" w:hAnsi="仿宋" w:eastAsia="仿宋" w:cs="仿宋"/>
          <w:sz w:val="32"/>
          <w:szCs w:val="32"/>
        </w:rPr>
        <w:t>该项目由渭门镇人民政府委托具有相关资质的公司实施该项目。</w:t>
      </w:r>
    </w:p>
    <w:p>
      <w:pPr>
        <w:widowControl/>
        <w:shd w:val="clear" w:color="auto" w:fill="FFFFFF"/>
        <w:spacing w:line="600" w:lineRule="atLeast"/>
        <w:ind w:firstLine="643"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（二）项目管理情况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本项目采取项目工作领导小组负责制，全体成员积极配合、通力合作。项目工作领导小组负责协调相关工作，项目实施及资金管理。</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（三）项目监管情况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项目资金由镇财政所具体管理，按投资计划，制定管理制度，对项目资金按项目单独核算实行“专款专用、专人管理”，不得挤占挪用项目资金。强化监督，项目的正常实施监督检查是保障。指派专人对项目的实施定期或不定期的进行现场检查和监督，及时协调和解决困难，保证工程质量。</w:t>
      </w:r>
    </w:p>
    <w:p>
      <w:pPr>
        <w:widowControl/>
        <w:shd w:val="clear" w:color="auto" w:fill="FFFFFF"/>
        <w:spacing w:line="600" w:lineRule="atLeast"/>
        <w:ind w:firstLine="643"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四、目标完成情况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（一）目标完成任务量</w:t>
      </w:r>
    </w:p>
    <w:p>
      <w:pPr>
        <w:widowControl/>
        <w:shd w:val="clear" w:color="auto" w:fill="FFFFFF"/>
        <w:spacing w:line="600" w:lineRule="atLeast"/>
        <w:ind w:firstLine="72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截止2021年12月，支付</w:t>
      </w:r>
      <w:r>
        <w:rPr>
          <w:rFonts w:hint="eastAsia" w:ascii="仿宋_GB2312" w:hAnsi="仿宋_GB2312" w:eastAsia="仿宋_GB2312" w:cs="仿宋_GB2312"/>
          <w:sz w:val="32"/>
          <w:szCs w:val="32"/>
        </w:rPr>
        <w:t>渭门镇2021年度城乡环境综合整治资金</w:t>
      </w:r>
      <w:r>
        <w:rPr>
          <w:rFonts w:hint="eastAsia" w:ascii="仿宋_GB2312" w:hAnsi="仿宋_GB2312" w:eastAsia="仿宋_GB2312" w:cs="仿宋_GB2312"/>
          <w:color w:val="000000"/>
          <w:kern w:val="0"/>
          <w:sz w:val="32"/>
          <w:szCs w:val="32"/>
          <w:shd w:val="clear" w:color="auto" w:fill="FFFFFF"/>
        </w:rPr>
        <w:t>9.01万元,县财政收回资金0.99万元，于2021年12月底完成了报账。</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（二）目标完成质量</w:t>
      </w:r>
    </w:p>
    <w:p>
      <w:pPr>
        <w:widowControl/>
        <w:shd w:val="clear" w:color="auto" w:fill="FFFFFF"/>
        <w:spacing w:line="56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渭门镇2021年度城乡环境综合整治资金</w:t>
      </w:r>
      <w:r>
        <w:rPr>
          <w:rFonts w:hint="eastAsia" w:ascii="仿宋_GB2312" w:hAnsi="仿宋_GB2312" w:eastAsia="仿宋_GB2312" w:cs="仿宋_GB2312"/>
          <w:color w:val="000000"/>
          <w:kern w:val="0"/>
          <w:sz w:val="32"/>
          <w:szCs w:val="32"/>
          <w:shd w:val="clear" w:color="auto" w:fill="FFFFFF"/>
        </w:rPr>
        <w:t>在上级有关部门的关心、帮助下、在镇党委政府的领导下，顺利推进，圆满完成任务，并经村民评价，满意度为100%。</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（三）目标完成进度</w:t>
      </w:r>
    </w:p>
    <w:p>
      <w:pPr>
        <w:widowControl/>
        <w:shd w:val="clear" w:color="auto" w:fill="FFFFFF"/>
        <w:spacing w:line="600" w:lineRule="atLeast"/>
        <w:ind w:firstLine="8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截止2021年12月，</w:t>
      </w:r>
      <w:r>
        <w:rPr>
          <w:rFonts w:hint="eastAsia" w:ascii="仿宋_GB2312" w:hAnsi="仿宋_GB2312" w:eastAsia="仿宋_GB2312" w:cs="仿宋_GB2312"/>
          <w:sz w:val="32"/>
          <w:szCs w:val="32"/>
        </w:rPr>
        <w:t>渭门镇2021年度城乡环境综合整治</w:t>
      </w:r>
      <w:r>
        <w:rPr>
          <w:rFonts w:hint="eastAsia" w:ascii="仿宋_GB2312" w:hAnsi="仿宋_GB2312" w:eastAsia="仿宋_GB2312" w:cs="仿宋_GB2312"/>
          <w:color w:val="000000"/>
          <w:kern w:val="0"/>
          <w:sz w:val="32"/>
          <w:szCs w:val="32"/>
          <w:shd w:val="clear" w:color="auto" w:fill="FFFFFF"/>
        </w:rPr>
        <w:t>已全面完成并验收，并入使用。</w:t>
      </w:r>
    </w:p>
    <w:p>
      <w:pPr>
        <w:widowControl/>
        <w:shd w:val="clear" w:color="auto" w:fill="FFFFFF"/>
        <w:spacing w:line="600" w:lineRule="atLeast"/>
        <w:ind w:firstLine="643"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五、项目效果情况</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渭门镇2021年度城乡环境综合整治资金</w:t>
      </w:r>
      <w:r>
        <w:rPr>
          <w:rFonts w:hint="eastAsia" w:ascii="仿宋" w:hAnsi="仿宋" w:eastAsia="仿宋" w:cs="仿宋"/>
          <w:sz w:val="32"/>
          <w:szCs w:val="32"/>
        </w:rPr>
        <w:t>改善我镇的环境卫生，提高生活质量，解决制约村经济发展的主要因素</w:t>
      </w:r>
      <w:r>
        <w:rPr>
          <w:rFonts w:hint="eastAsia" w:ascii="仿宋_GB2312" w:hAnsi="宋体" w:eastAsia="仿宋_GB2312" w:cs="仿宋_GB2312"/>
          <w:sz w:val="32"/>
          <w:szCs w:val="32"/>
        </w:rPr>
        <w:t>，该工程实施后，将使广大干部群众能够安居乐业，为社会的稳定和发展起到良好的促进作用。</w:t>
      </w:r>
      <w:r>
        <w:rPr>
          <w:rFonts w:hint="eastAsia" w:ascii="仿宋" w:hAnsi="仿宋" w:eastAsia="仿宋" w:cs="仿宋"/>
          <w:sz w:val="32"/>
          <w:szCs w:val="32"/>
        </w:rPr>
        <w:t>实施</w:t>
      </w:r>
      <w:r>
        <w:rPr>
          <w:rFonts w:hint="eastAsia" w:ascii="仿宋_GB2312" w:hAnsi="仿宋_GB2312" w:eastAsia="仿宋_GB2312" w:cs="仿宋_GB2312"/>
          <w:sz w:val="32"/>
          <w:szCs w:val="32"/>
        </w:rPr>
        <w:t>城乡环境综合整治</w:t>
      </w:r>
      <w:r>
        <w:rPr>
          <w:rFonts w:hint="eastAsia" w:ascii="仿宋" w:hAnsi="仿宋" w:eastAsia="仿宋" w:cs="仿宋"/>
          <w:sz w:val="32"/>
          <w:szCs w:val="32"/>
        </w:rPr>
        <w:t>项目</w:t>
      </w:r>
      <w:r>
        <w:rPr>
          <w:rFonts w:hint="eastAsia" w:ascii="仿宋_GB2312" w:hAnsi="仿宋_GB2312" w:eastAsia="仿宋_GB2312" w:cs="仿宋_GB2312"/>
          <w:color w:val="000000"/>
          <w:kern w:val="0"/>
          <w:sz w:val="32"/>
          <w:szCs w:val="32"/>
          <w:shd w:val="clear" w:color="auto" w:fill="FFFFFF"/>
        </w:rPr>
        <w:t>，</w:t>
      </w:r>
      <w:r>
        <w:rPr>
          <w:rFonts w:hint="eastAsia" w:ascii="仿宋" w:hAnsi="仿宋" w:eastAsia="仿宋" w:cs="仿宋"/>
          <w:sz w:val="32"/>
          <w:szCs w:val="32"/>
        </w:rPr>
        <w:t>美化村容村貌，保护了我镇河道的生态环境，为新农村建设打下基础</w:t>
      </w:r>
      <w:r>
        <w:rPr>
          <w:rFonts w:hint="eastAsia" w:ascii="仿宋_GB2312" w:hAnsi="仿宋_GB2312" w:eastAsia="仿宋_GB2312" w:cs="仿宋_GB2312"/>
          <w:color w:val="000000"/>
          <w:kern w:val="0"/>
          <w:sz w:val="32"/>
          <w:szCs w:val="32"/>
          <w:shd w:val="clear" w:color="auto" w:fill="FFFFFF"/>
        </w:rPr>
        <w:t>。</w:t>
      </w: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576" w:lineRule="exact"/>
        <w:ind w:firstLine="880" w:firstLineChars="200"/>
        <w:jc w:val="both"/>
        <w:rPr>
          <w:rFonts w:ascii="方正小标宋简体" w:hAnsi="Calibri" w:eastAsia="方正小标宋简体"/>
          <w:bCs/>
          <w:sz w:val="44"/>
          <w:szCs w:val="44"/>
        </w:rPr>
      </w:pPr>
      <w:r>
        <w:rPr>
          <w:rFonts w:hint="eastAsia" w:ascii="方正小标宋简体" w:hAnsi="Calibri" w:eastAsia="方正小标宋简体"/>
          <w:bCs/>
          <w:sz w:val="44"/>
          <w:szCs w:val="44"/>
        </w:rPr>
        <w:t>茂县渭门镇椒元村基础设施建设项目</w:t>
      </w:r>
    </w:p>
    <w:p>
      <w:pPr>
        <w:spacing w:line="576" w:lineRule="exact"/>
        <w:jc w:val="center"/>
        <w:rPr>
          <w:rFonts w:ascii="仿宋" w:hAnsi="仿宋" w:eastAsia="方正小标宋简体" w:cs="仿宋"/>
          <w:b/>
          <w:color w:val="000000"/>
          <w:sz w:val="44"/>
          <w:szCs w:val="44"/>
        </w:rPr>
      </w:pPr>
      <w:r>
        <w:rPr>
          <w:rFonts w:hint="eastAsia" w:ascii="方正小标宋简体" w:hAnsi="Calibri" w:eastAsia="方正小标宋简体"/>
          <w:bCs/>
          <w:sz w:val="44"/>
          <w:szCs w:val="44"/>
        </w:rPr>
        <w:t>绩效报告</w:t>
      </w:r>
    </w:p>
    <w:p>
      <w:pPr>
        <w:widowControl/>
        <w:shd w:val="clear" w:color="auto" w:fill="FFFFFF"/>
        <w:spacing w:line="576" w:lineRule="exact"/>
        <w:ind w:firstLine="643"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一、项目概况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w:t>
      </w:r>
      <w:r>
        <w:rPr>
          <w:rFonts w:hint="eastAsia" w:ascii="仿宋_GB2312" w:hAnsi="仿宋_GB2312" w:eastAsia="仿宋_GB2312" w:cs="仿宋_GB2312"/>
          <w:b/>
          <w:bCs/>
          <w:sz w:val="32"/>
          <w:szCs w:val="32"/>
        </w:rPr>
        <w:t>项目区域概况</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椒元村位于茂县县城西北十公里处，为渭门镇镇政府所在地，海拔1560—2300米之间，平均海拔1830米，下辖五个村民小组（椒元组、窄溪组、乌都组、红岩组、小寨组），现有农户383户1123人，以农户为主，村民普遍受教育程度低。</w:t>
      </w:r>
    </w:p>
    <w:p>
      <w:pPr>
        <w:widowControl/>
        <w:shd w:val="clear" w:color="auto" w:fill="FFFFFF"/>
        <w:spacing w:line="576" w:lineRule="exact"/>
        <w:ind w:firstLine="720"/>
        <w:jc w:val="left"/>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（二）项目基本情况</w:t>
      </w:r>
    </w:p>
    <w:p>
      <w:pPr>
        <w:widowControl/>
        <w:shd w:val="clear" w:color="auto" w:fill="FFFFFF"/>
        <w:spacing w:line="576" w:lineRule="exac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项目名称：茂县渭门镇椒元村基础设施建设项目</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实施内容：防洪堤混泥土855立方，浆砌437立方。</w:t>
      </w:r>
      <w:r>
        <w:rPr>
          <w:rFonts w:ascii="仿宋_GB2312" w:hAnsi="仿宋_GB2312" w:eastAsia="仿宋_GB2312" w:cs="仿宋_GB2312"/>
          <w:sz w:val="32"/>
          <w:szCs w:val="32"/>
        </w:rPr>
        <w:t xml:space="preserve"> </w:t>
      </w:r>
    </w:p>
    <w:p>
      <w:pPr>
        <w:widowControl/>
        <w:shd w:val="clear" w:color="auto" w:fill="FFFFFF"/>
        <w:spacing w:line="576" w:lineRule="exac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实施方式：该项目采用“一事一议”村民自建的方式实施。</w:t>
      </w:r>
    </w:p>
    <w:p>
      <w:pPr>
        <w:widowControl/>
        <w:shd w:val="clear" w:color="auto" w:fill="FFFFFF"/>
        <w:spacing w:line="576" w:lineRule="exac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项目工期：2021年9月-2021年10月。</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（二）项目绩效目标</w:t>
      </w:r>
    </w:p>
    <w:p>
      <w:pPr>
        <w:widowControl/>
        <w:shd w:val="clear" w:color="auto" w:fill="FFFFFF"/>
        <w:spacing w:line="576" w:lineRule="exac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渭门镇椒元在遭受7.25、8.16特大暴雨泥石流灾害后全村基础设施严重受损，同时也严重影响群众生产生活出行安全。为进一步巩固脱贫攻坚成果，提高脱贫攻坚质量，现需对存在安全隐患的水利基础设施进行建设以确保生产生活安全。</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（三）项目自评步骤及方法</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项目采取自评与他评相结合方式，成立项目自评小组，结合评价内容，做到有计划，有安排，扎实开展本次自评工作。按照上级下达的项目支出绩效评价指标体系，自评小组针对申报内容、实施情况、资金兑现、财务管理、社会效益等做出自我评价，认真听取村、社区居民建议意见，做好自评工作。</w:t>
      </w:r>
    </w:p>
    <w:p>
      <w:pPr>
        <w:widowControl/>
        <w:shd w:val="clear" w:color="auto" w:fill="FFFFFF"/>
        <w:spacing w:line="576" w:lineRule="exact"/>
        <w:ind w:firstLine="72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二、项目资金申报及使用情况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（一）资金计划、到位及使用情况</w:t>
      </w:r>
    </w:p>
    <w:p>
      <w:pPr>
        <w:widowControl/>
        <w:shd w:val="clear" w:color="auto" w:fill="FFFFFF"/>
        <w:spacing w:line="576" w:lineRule="exact"/>
        <w:ind w:firstLine="72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rPr>
        <w:t>1、资金计划：椒元处水利基础设施建设工程项目，修建水利基础建混泥土855立方、浆砌437立方，混泥土按380元/立方米、浆砌按240元/立方米进行补助。项目资金42.49万元。</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2、资金到位：截止2021年11月，计划资金全部到位，共计42.49万元。资金到位率100%、到位及时。</w:t>
      </w:r>
    </w:p>
    <w:p>
      <w:pPr>
        <w:widowControl/>
        <w:shd w:val="clear" w:color="auto" w:fill="FFFFFF"/>
        <w:spacing w:line="576" w:lineRule="exact"/>
        <w:ind w:firstLine="72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rPr>
        <w:t>3、资金使用：截止2021年11月，椒元村水利基础设施建设工程项目资金全部支出，共计42.49万元。主要用于水利基础设施建设项目建设，以保障群众安全出行。经费到位并及时支付，支付依据合规合法，资金支付与预算相符。</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（二）项目财务管理情况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茂县渭门镇吉鱼村乡村振兴示范建设</w:t>
      </w:r>
      <w:r>
        <w:rPr>
          <w:rFonts w:hint="eastAsia" w:ascii="仿宋_GB2312" w:hAnsi="仿宋_GB2312" w:eastAsia="仿宋_GB2312" w:cs="仿宋_GB2312"/>
          <w:color w:val="000000"/>
          <w:kern w:val="0"/>
          <w:sz w:val="32"/>
          <w:szCs w:val="32"/>
          <w:shd w:val="clear" w:color="auto" w:fill="FFFFFF"/>
        </w:rPr>
        <w:t>项目资金采取直接支付形式，由镇项目办、镇财政所在项目工程完工验收后，收集报账资料，严格按照项目资金管理办法对资金进行计划申请、划拨、使用，及时、规范对收支进行账务处理和会计核算。</w:t>
      </w:r>
    </w:p>
    <w:p>
      <w:pPr>
        <w:widowControl/>
        <w:shd w:val="clear" w:color="auto" w:fill="FFFFFF"/>
        <w:spacing w:line="576" w:lineRule="exact"/>
        <w:ind w:firstLine="72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三、项目实施及管理情况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（一）项目组织架构及实施流程</w:t>
      </w:r>
    </w:p>
    <w:p>
      <w:pPr>
        <w:spacing w:line="576" w:lineRule="exact"/>
        <w:ind w:firstLine="640" w:firstLineChars="200"/>
        <w:rPr>
          <w:rFonts w:ascii="仿宋" w:hAnsi="仿宋" w:eastAsia="仿宋" w:cs="仿宋"/>
          <w:sz w:val="32"/>
          <w:szCs w:val="32"/>
        </w:rPr>
      </w:pPr>
      <w:r>
        <w:rPr>
          <w:rFonts w:hint="eastAsia" w:ascii="仿宋_GB2312" w:hAnsi="仿宋_GB2312" w:eastAsia="仿宋_GB2312" w:cs="仿宋_GB2312"/>
          <w:sz w:val="32"/>
          <w:szCs w:val="32"/>
        </w:rPr>
        <w:t>为确保项目的顺利实施，</w:t>
      </w:r>
      <w:r>
        <w:rPr>
          <w:rFonts w:hint="eastAsia" w:ascii="仿宋" w:hAnsi="仿宋" w:eastAsia="仿宋" w:cs="仿宋"/>
          <w:sz w:val="32"/>
          <w:szCs w:val="32"/>
        </w:rPr>
        <w:t>决定村内成立项目理事会机构，理事长：何志高，成员李福祥、张明春，负责椒元村水利基础设施建设工程项目建设相关事宜，以确保项目保质保量按时完工。</w:t>
      </w:r>
    </w:p>
    <w:p>
      <w:pPr>
        <w:widowControl/>
        <w:shd w:val="clear" w:color="auto" w:fill="FFFFFF"/>
        <w:spacing w:line="576" w:lineRule="exact"/>
        <w:ind w:firstLine="643"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（二）项目管理情况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本项目采取项目工作领导小组负责制，全体成员积极配合、通力合作。项目工作领导小组负责协调相关工作，项目实施及资金管理。</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（三）项目监管情况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项目资金由镇财政所具体管理，按投资计划，制定管理制度，对项目资金按项目单独核算实行“专款专用、专人管理”，不得挤占挪用项目资金。强化监督，项目的正常实施监督检查是保障。指派专人对项目的实施定期或不定期的进行现场检查和监督，及时协调解决困难和问题，以保证工程质量及工期。</w:t>
      </w:r>
    </w:p>
    <w:p>
      <w:pPr>
        <w:widowControl/>
        <w:shd w:val="clear" w:color="auto" w:fill="FFFFFF"/>
        <w:spacing w:line="576" w:lineRule="exact"/>
        <w:ind w:firstLine="643"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四、目标完成情况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（一）目标完成任务量</w:t>
      </w:r>
    </w:p>
    <w:p>
      <w:pPr>
        <w:widowControl/>
        <w:shd w:val="clear" w:color="auto" w:fill="FFFFFF"/>
        <w:spacing w:line="576" w:lineRule="exact"/>
        <w:ind w:firstLine="72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rPr>
        <w:t>截止2021年10月30日，椒元村水利基础设施建设工程项目已完成建设。该项目共投入资金42.29万元，于2021年11月底完成了报账。</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（二）目标完成质量</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吉鱼连户路硬化项目在上级有关部门的关心、帮助下、在镇党委政府的领导下，顺利推进，圆满完成任务，并经村民评价，满意度为100%。</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（三）目标完成进度</w:t>
      </w:r>
    </w:p>
    <w:p>
      <w:pPr>
        <w:widowControl/>
        <w:shd w:val="clear" w:color="auto" w:fill="FFFFFF"/>
        <w:spacing w:line="576" w:lineRule="exact"/>
        <w:ind w:firstLine="8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截止2021年11月15日，</w:t>
      </w:r>
      <w:r>
        <w:rPr>
          <w:rFonts w:hint="eastAsia" w:ascii="仿宋_GB2312" w:hAnsi="仿宋_GB2312" w:eastAsia="仿宋_GB2312" w:cs="仿宋_GB2312"/>
          <w:sz w:val="32"/>
          <w:szCs w:val="32"/>
        </w:rPr>
        <w:t>椒元村水利基础设施建设工程项目已全面完成并验收</w:t>
      </w:r>
      <w:r>
        <w:rPr>
          <w:rFonts w:hint="eastAsia" w:ascii="仿宋_GB2312" w:hAnsi="仿宋_GB2312" w:eastAsia="仿宋_GB2312" w:cs="仿宋_GB2312"/>
          <w:color w:val="000000"/>
          <w:kern w:val="0"/>
          <w:sz w:val="32"/>
          <w:szCs w:val="32"/>
          <w:shd w:val="clear" w:color="auto" w:fill="FFFFFF"/>
        </w:rPr>
        <w:t>。</w:t>
      </w:r>
    </w:p>
    <w:p>
      <w:pPr>
        <w:widowControl/>
        <w:shd w:val="clear" w:color="auto" w:fill="FFFFFF"/>
        <w:spacing w:line="576" w:lineRule="exact"/>
        <w:ind w:firstLine="643"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五、项目效果情况</w:t>
      </w:r>
    </w:p>
    <w:p>
      <w:pPr>
        <w:spacing w:line="600" w:lineRule="exact"/>
        <w:rPr>
          <w:rFonts w:eastAsia="仿宋_GB2312"/>
          <w:sz w:val="32"/>
          <w:szCs w:val="32"/>
        </w:rPr>
      </w:pPr>
      <w:r>
        <w:rPr>
          <w:rFonts w:hint="eastAsia" w:ascii="仿宋_GB2312" w:hAnsi="仿宋_GB2312" w:eastAsia="仿宋_GB2312" w:cs="仿宋_GB2312"/>
          <w:sz w:val="32"/>
          <w:szCs w:val="32"/>
        </w:rPr>
        <w:t xml:space="preserve">     该项目的实施可解决本村群众安全出行问题，解决制约村经济发展的主要因素，改善群众生产生活条件，促进农业生产的发展，增强项目区与外界的农产品流通量，加速村经济快速发展，促进群众致富增收。同时涵盖了全部贫困户受益，促使增收，其经济效益、社会效益及减贫带贫都十分显著，是一项利村、利民、利社会的系统工程、民心工程、德政工程，群众满意度为100%。</w:t>
      </w:r>
    </w:p>
    <w:p>
      <w:pPr>
        <w:spacing w:line="600" w:lineRule="exact"/>
        <w:jc w:val="center"/>
        <w:outlineLvl w:val="0"/>
        <w:rPr>
          <w:rFonts w:ascii="黑体" w:eastAsia="黑体"/>
          <w:color w:val="000000"/>
          <w:sz w:val="44"/>
          <w:szCs w:val="44"/>
        </w:rPr>
      </w:pPr>
      <w:bookmarkStart w:id="129" w:name="_Toc15396618"/>
      <w:bookmarkStart w:id="130" w:name="_Toc79163635"/>
    </w:p>
    <w:p>
      <w:pPr>
        <w:spacing w:line="576" w:lineRule="exact"/>
        <w:ind w:firstLine="1320" w:firstLineChars="300"/>
        <w:jc w:val="both"/>
        <w:rPr>
          <w:rFonts w:ascii="方正小标宋简体" w:hAnsi="Calibri" w:eastAsia="方正小标宋简体"/>
          <w:bCs/>
          <w:sz w:val="44"/>
          <w:szCs w:val="44"/>
        </w:rPr>
      </w:pPr>
      <w:r>
        <w:rPr>
          <w:rFonts w:hint="eastAsia" w:ascii="方正小标宋简体" w:hAnsi="Calibri" w:eastAsia="方正小标宋简体"/>
          <w:bCs/>
          <w:sz w:val="44"/>
          <w:szCs w:val="44"/>
        </w:rPr>
        <w:t>茂县渭门镇养老服务补助项目</w:t>
      </w:r>
    </w:p>
    <w:p>
      <w:pPr>
        <w:spacing w:line="576" w:lineRule="exact"/>
        <w:jc w:val="center"/>
        <w:rPr>
          <w:rFonts w:ascii="仿宋" w:hAnsi="仿宋" w:eastAsia="方正小标宋简体" w:cs="仿宋"/>
          <w:b/>
          <w:color w:val="000000"/>
          <w:sz w:val="44"/>
          <w:szCs w:val="44"/>
        </w:rPr>
      </w:pPr>
      <w:r>
        <w:rPr>
          <w:rFonts w:hint="eastAsia" w:ascii="方正小标宋简体" w:hAnsi="Calibri" w:eastAsia="方正小标宋简体"/>
          <w:bCs/>
          <w:sz w:val="44"/>
          <w:szCs w:val="44"/>
        </w:rPr>
        <w:t>绩效报告</w:t>
      </w:r>
    </w:p>
    <w:p>
      <w:pPr>
        <w:widowControl/>
        <w:shd w:val="clear" w:color="auto" w:fill="FFFFFF"/>
        <w:spacing w:line="576" w:lineRule="exact"/>
        <w:ind w:firstLine="643"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一、项目概况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w:t>
      </w:r>
      <w:r>
        <w:rPr>
          <w:rFonts w:hint="eastAsia" w:ascii="仿宋_GB2312" w:hAnsi="仿宋_GB2312" w:eastAsia="仿宋_GB2312" w:cs="仿宋_GB2312"/>
          <w:b/>
          <w:bCs/>
          <w:sz w:val="32"/>
          <w:szCs w:val="32"/>
        </w:rPr>
        <w:t>项目区域概况</w:t>
      </w:r>
    </w:p>
    <w:p>
      <w:pPr>
        <w:spacing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渭门镇位于茂县县城北部10公里，座落于九环沿线之上。与凤仪镇、沟口镇接壤。全镇有9个行政村，30个组，居住海拔1600—2350米。有11个村活动室，2个卫生院，2所中心小学。现有农户2248户，7874人，99%为羌族，是典型的羌民聚集地。</w:t>
      </w:r>
    </w:p>
    <w:p>
      <w:pPr>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（二）项目基本情况</w:t>
      </w:r>
    </w:p>
    <w:p>
      <w:pPr>
        <w:widowControl/>
        <w:shd w:val="clear" w:color="auto" w:fill="FFFFFF"/>
        <w:spacing w:line="576" w:lineRule="exac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项目名称：茂县渭门镇养老服务补助项目</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实施内容：对全镇9个行政村老年人服务。</w:t>
      </w:r>
      <w:r>
        <w:rPr>
          <w:rFonts w:ascii="仿宋_GB2312" w:hAnsi="仿宋_GB2312" w:eastAsia="仿宋_GB2312" w:cs="仿宋_GB2312"/>
          <w:sz w:val="32"/>
          <w:szCs w:val="32"/>
        </w:rPr>
        <w:t xml:space="preserve"> </w:t>
      </w:r>
    </w:p>
    <w:p>
      <w:pPr>
        <w:widowControl/>
        <w:shd w:val="clear" w:color="auto" w:fill="FFFFFF"/>
        <w:spacing w:line="576" w:lineRule="exac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实施方式：</w:t>
      </w:r>
      <w:r>
        <w:rPr>
          <w:rFonts w:hint="eastAsia" w:ascii="仿宋_GB2312" w:hAnsi="仿宋_GB2312" w:eastAsia="仿宋_GB2312" w:cs="仿宋_GB2312"/>
          <w:sz w:val="32"/>
          <w:szCs w:val="32"/>
          <w:lang w:eastAsia="zh-CN"/>
        </w:rPr>
        <w:t>购买服务</w:t>
      </w:r>
      <w:r>
        <w:rPr>
          <w:rFonts w:hint="eastAsia" w:ascii="仿宋_GB2312" w:hAnsi="仿宋_GB2312" w:eastAsia="仿宋_GB2312" w:cs="仿宋_GB2312"/>
          <w:sz w:val="32"/>
          <w:szCs w:val="32"/>
        </w:rPr>
        <w:t>。</w:t>
      </w:r>
    </w:p>
    <w:p>
      <w:pPr>
        <w:widowControl/>
        <w:shd w:val="clear" w:color="auto" w:fill="FFFFFF"/>
        <w:spacing w:line="576" w:lineRule="exac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项目工期：2021年1月-2021年12月。</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（二）项目绩效目标</w:t>
      </w:r>
    </w:p>
    <w:p>
      <w:pPr>
        <w:widowControl/>
        <w:shd w:val="clear" w:color="auto" w:fill="FFFFFF"/>
        <w:spacing w:line="576" w:lineRule="exact"/>
        <w:ind w:firstLine="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渭门镇下辖9个行政村，对全镇下辖9个行政村的老人进行居家服务。</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（三）项目自评步骤及方法</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项目采取自评与他评相结合方式，成立项目自评小组，结合评价内容，做到有计划，有安排，扎实开展本次自评工作。按照上级下达的项目支出绩效评价指标体系，自评小组针对申报内容、实施情况、资金兑现、财务管理、社会效益等做出自我评价，认真听取村、社区居民建议意见，做好自评工作。</w:t>
      </w:r>
    </w:p>
    <w:p>
      <w:pPr>
        <w:widowControl/>
        <w:shd w:val="clear" w:color="auto" w:fill="FFFFFF"/>
        <w:spacing w:line="576" w:lineRule="exact"/>
        <w:ind w:firstLine="72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二、项目资金申报及使用情况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（一）资金计划、到位及使用情况</w:t>
      </w:r>
    </w:p>
    <w:p>
      <w:pPr>
        <w:widowControl/>
        <w:shd w:val="clear" w:color="auto" w:fill="FFFFFF"/>
        <w:spacing w:line="576" w:lineRule="exact"/>
        <w:ind w:firstLine="72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rPr>
        <w:t>1、资金计划：养老服务补助项目资金8.6135万元。</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2、资金到位：截止2021年11月，计划资金全部到位，共计8.6135万元。资金到位率100%、到位及时。</w:t>
      </w:r>
    </w:p>
    <w:p>
      <w:pPr>
        <w:widowControl/>
        <w:shd w:val="clear" w:color="auto" w:fill="FFFFFF"/>
        <w:spacing w:line="576" w:lineRule="exact"/>
        <w:ind w:firstLine="72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rPr>
        <w:t>3、资金使用：截止2021年12月，养老服务补助项目资金全部支出，共计8.6135万元。主要用于居家老人服务。经费到位并及时支付，支付依据合规合法，资金支付与预算相符。</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（二）项目财务管理情况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茂县渭门镇养老服务补助</w:t>
      </w:r>
      <w:r>
        <w:rPr>
          <w:rFonts w:hint="eastAsia" w:ascii="仿宋_GB2312" w:hAnsi="仿宋_GB2312" w:eastAsia="仿宋_GB2312" w:cs="仿宋_GB2312"/>
          <w:color w:val="000000"/>
          <w:kern w:val="0"/>
          <w:sz w:val="32"/>
          <w:szCs w:val="32"/>
          <w:shd w:val="clear" w:color="auto" w:fill="FFFFFF"/>
        </w:rPr>
        <w:t>项目资金采取直接支付形式，由镇项目办、镇财政所在项目工程完工验收后，收集报账资料，严格按照项目资金管理办法对资金进行计划申请、划拨、使用，及时、规范对收支进行账务处理和会计核算。</w:t>
      </w:r>
    </w:p>
    <w:p>
      <w:pPr>
        <w:widowControl/>
        <w:shd w:val="clear" w:color="auto" w:fill="FFFFFF"/>
        <w:spacing w:line="576" w:lineRule="exact"/>
        <w:ind w:firstLine="72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三、项目实施及管理情况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（一）项目组织架构及实施流程</w:t>
      </w:r>
    </w:p>
    <w:p>
      <w:pPr>
        <w:spacing w:line="576" w:lineRule="exact"/>
        <w:ind w:firstLine="640" w:firstLineChars="200"/>
        <w:rPr>
          <w:rFonts w:ascii="仿宋" w:hAnsi="仿宋" w:eastAsia="仿宋" w:cs="仿宋"/>
          <w:sz w:val="32"/>
          <w:szCs w:val="32"/>
        </w:rPr>
      </w:pPr>
      <w:r>
        <w:rPr>
          <w:rFonts w:hint="eastAsia" w:ascii="仿宋_GB2312" w:hAnsi="仿宋_GB2312" w:eastAsia="仿宋_GB2312" w:cs="仿宋_GB2312"/>
          <w:sz w:val="32"/>
          <w:szCs w:val="32"/>
        </w:rPr>
        <w:t>为确保项目的顺利实施，</w:t>
      </w:r>
      <w:r>
        <w:rPr>
          <w:rFonts w:hint="eastAsia" w:ascii="仿宋" w:hAnsi="仿宋" w:eastAsia="仿宋" w:cs="仿宋"/>
          <w:sz w:val="32"/>
          <w:szCs w:val="32"/>
        </w:rPr>
        <w:t>决定成立镇项目管理机构，负责人：杨萍妹，成员苏静，负责养老服务补助项目建设相关事宜，以确保项目保质保量按时完工。</w:t>
      </w:r>
    </w:p>
    <w:p>
      <w:pPr>
        <w:widowControl/>
        <w:shd w:val="clear" w:color="auto" w:fill="FFFFFF"/>
        <w:spacing w:line="576" w:lineRule="exact"/>
        <w:ind w:firstLine="643"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（二）项目管理情况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本项目采取项目工作领导小组负责制，全体成员积极配合、通力合作。项目工作领导小组负责协调相关工作，项目实施及资金管理。</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（三）项目监管情况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项目资金由镇财政所具体管理，按投资计划，制定管理制度，对项目资金按项目单独核算实行“专款专用、专人管理”，不得挤占挪用项目资金。强化监督，项目的正常实施监督检查是保障。指派专人对项目的实施定期或不定期的进行现场检查和监督，及时协调解决困难和问题，以保证工程质量及工期。</w:t>
      </w:r>
    </w:p>
    <w:p>
      <w:pPr>
        <w:widowControl/>
        <w:shd w:val="clear" w:color="auto" w:fill="FFFFFF"/>
        <w:spacing w:line="576" w:lineRule="exact"/>
        <w:ind w:firstLine="643"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四、目标完成情况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（一）目标完成任务量</w:t>
      </w:r>
    </w:p>
    <w:p>
      <w:pPr>
        <w:widowControl/>
        <w:shd w:val="clear" w:color="auto" w:fill="FFFFFF"/>
        <w:spacing w:line="576" w:lineRule="exact"/>
        <w:ind w:firstLine="72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rPr>
        <w:t>截止2021年12月30日，渭门镇养老服务补助资金项目已完成建设。该项目共投入资金8.6135万元，于2021年11月底完成了报账。</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（二）目标完成质量</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养老服务补助项目在上级有关部门的关心、帮助下、在镇党委政府的领导下，顺利推进，圆满完成任务，并经村民评价，满意度为100%。</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（三）目标完成进度</w:t>
      </w:r>
    </w:p>
    <w:p>
      <w:pPr>
        <w:widowControl/>
        <w:shd w:val="clear" w:color="auto" w:fill="FFFFFF"/>
        <w:spacing w:line="576" w:lineRule="exact"/>
        <w:ind w:firstLine="8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截止2021年12月30日，养老服务补助项目</w:t>
      </w:r>
      <w:r>
        <w:rPr>
          <w:rFonts w:hint="eastAsia" w:ascii="仿宋_GB2312" w:hAnsi="仿宋_GB2312" w:eastAsia="仿宋_GB2312" w:cs="仿宋_GB2312"/>
          <w:sz w:val="32"/>
          <w:szCs w:val="32"/>
        </w:rPr>
        <w:t>工程项目已全面完成并验收</w:t>
      </w:r>
      <w:r>
        <w:rPr>
          <w:rFonts w:hint="eastAsia" w:ascii="仿宋_GB2312" w:hAnsi="仿宋_GB2312" w:eastAsia="仿宋_GB2312" w:cs="仿宋_GB2312"/>
          <w:color w:val="000000"/>
          <w:kern w:val="0"/>
          <w:sz w:val="32"/>
          <w:szCs w:val="32"/>
          <w:shd w:val="clear" w:color="auto" w:fill="FFFFFF"/>
        </w:rPr>
        <w:t>。</w:t>
      </w:r>
    </w:p>
    <w:p>
      <w:pPr>
        <w:widowControl/>
        <w:shd w:val="clear" w:color="auto" w:fill="FFFFFF"/>
        <w:spacing w:line="576" w:lineRule="exact"/>
        <w:ind w:firstLine="643"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五、项目效果情况</w:t>
      </w:r>
    </w:p>
    <w:p>
      <w:pPr>
        <w:spacing w:line="600" w:lineRule="exact"/>
        <w:rPr>
          <w:rFonts w:eastAsia="仿宋_GB2312"/>
          <w:sz w:val="32"/>
          <w:szCs w:val="32"/>
        </w:rPr>
      </w:pPr>
      <w:r>
        <w:rPr>
          <w:rFonts w:hint="eastAsia" w:ascii="仿宋_GB2312" w:hAnsi="仿宋_GB2312" w:eastAsia="仿宋_GB2312" w:cs="仿宋_GB2312"/>
          <w:sz w:val="32"/>
          <w:szCs w:val="32"/>
        </w:rPr>
        <w:t xml:space="preserve">     该项目的实施可解决本镇下辖九个行政村老人出行不便，为他们解决急需急盼的问题，是一项民心工程，群众满意度为100%。</w:t>
      </w: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hint="eastAsia" w:ascii="方正小标宋简体" w:hAnsi="Calibri" w:eastAsia="方正小标宋简体"/>
          <w:bCs/>
          <w:sz w:val="44"/>
          <w:szCs w:val="44"/>
        </w:rPr>
      </w:pPr>
    </w:p>
    <w:p>
      <w:pPr>
        <w:spacing w:line="576" w:lineRule="exact"/>
        <w:jc w:val="center"/>
        <w:rPr>
          <w:rFonts w:ascii="方正小标宋简体" w:hAnsi="Calibri" w:eastAsia="方正小标宋简体"/>
          <w:bCs/>
          <w:sz w:val="44"/>
          <w:szCs w:val="44"/>
        </w:rPr>
      </w:pPr>
      <w:r>
        <w:rPr>
          <w:rFonts w:hint="eastAsia" w:ascii="方正小标宋简体" w:hAnsi="Calibri" w:eastAsia="方正小标宋简体"/>
          <w:bCs/>
          <w:sz w:val="44"/>
          <w:szCs w:val="44"/>
        </w:rPr>
        <w:t>茂县渭门镇基层武装经费项目</w:t>
      </w:r>
    </w:p>
    <w:p>
      <w:pPr>
        <w:spacing w:line="576" w:lineRule="exact"/>
        <w:jc w:val="center"/>
        <w:rPr>
          <w:rFonts w:ascii="仿宋" w:hAnsi="仿宋" w:eastAsia="方正小标宋简体" w:cs="仿宋"/>
          <w:b/>
          <w:color w:val="000000"/>
          <w:sz w:val="44"/>
          <w:szCs w:val="44"/>
        </w:rPr>
      </w:pPr>
      <w:r>
        <w:rPr>
          <w:rFonts w:hint="eastAsia" w:ascii="方正小标宋简体" w:hAnsi="Calibri" w:eastAsia="方正小标宋简体"/>
          <w:bCs/>
          <w:sz w:val="44"/>
          <w:szCs w:val="44"/>
        </w:rPr>
        <w:t>绩效报告</w:t>
      </w:r>
    </w:p>
    <w:p>
      <w:pPr>
        <w:widowControl/>
        <w:shd w:val="clear" w:color="auto" w:fill="FFFFFF"/>
        <w:spacing w:line="576" w:lineRule="exact"/>
        <w:ind w:firstLine="643"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一、项目概况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w:t>
      </w:r>
      <w:r>
        <w:rPr>
          <w:rFonts w:hint="eastAsia" w:ascii="仿宋_GB2312" w:hAnsi="仿宋_GB2312" w:eastAsia="仿宋_GB2312" w:cs="仿宋_GB2312"/>
          <w:b/>
          <w:bCs/>
          <w:sz w:val="32"/>
          <w:szCs w:val="32"/>
        </w:rPr>
        <w:t>项目区域概况</w:t>
      </w:r>
    </w:p>
    <w:p>
      <w:pPr>
        <w:spacing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渭门镇位于茂县县城北部10公里，座落于九环沿线之上。与凤仪镇、沟口镇接壤。全镇有9个行政村，30个组，居住海拔1600—2350米。有11个村活动室，2个卫生院，2所中心小学。现有农户2248户，7874人，99%为羌族，是典型的羌民聚集地。</w:t>
      </w:r>
    </w:p>
    <w:p>
      <w:pPr>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（二）项目基本情况</w:t>
      </w:r>
    </w:p>
    <w:p>
      <w:pPr>
        <w:widowControl/>
        <w:shd w:val="clear" w:color="auto" w:fill="FFFFFF"/>
        <w:spacing w:line="576" w:lineRule="exac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项目名称：茂县渭门镇基层武装经费项目</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实施内容：对全镇9个行政村服务。</w:t>
      </w:r>
      <w:r>
        <w:rPr>
          <w:rFonts w:ascii="仿宋_GB2312" w:hAnsi="仿宋_GB2312" w:eastAsia="仿宋_GB2312" w:cs="仿宋_GB2312"/>
          <w:sz w:val="32"/>
          <w:szCs w:val="32"/>
        </w:rPr>
        <w:t xml:space="preserve"> </w:t>
      </w:r>
    </w:p>
    <w:p>
      <w:pPr>
        <w:widowControl/>
        <w:shd w:val="clear" w:color="auto" w:fill="FFFFFF"/>
        <w:spacing w:line="576" w:lineRule="exac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实施方式：采购物资</w:t>
      </w:r>
    </w:p>
    <w:p>
      <w:pPr>
        <w:widowControl/>
        <w:shd w:val="clear" w:color="auto" w:fill="FFFFFF"/>
        <w:spacing w:line="576" w:lineRule="exac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项目工期：2021年1月-2021年12月。</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（二）项目绩效目标</w:t>
      </w:r>
    </w:p>
    <w:p>
      <w:pPr>
        <w:widowControl/>
        <w:shd w:val="clear" w:color="auto" w:fill="FFFFFF"/>
        <w:spacing w:line="576" w:lineRule="exact"/>
        <w:ind w:firstLine="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渭门镇下辖9个行政村，对全镇下辖9个行政村的应急抢险能力进行提升。</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（三）项目自评步骤及方法</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项目采取自评与他评相结合方式，成立项目自评小组，结合评价内容，做到有计划，有安排，扎实开展本次自评工作。按照上级下达的项目支出绩效评价指标体系，自评小组针对申报内容、实施情况、资金兑现、财务管理、社会效益等做出自我评价，认真听取村、社区居民建议意见，做好自评工作。</w:t>
      </w:r>
    </w:p>
    <w:p>
      <w:pPr>
        <w:widowControl/>
        <w:shd w:val="clear" w:color="auto" w:fill="FFFFFF"/>
        <w:spacing w:line="576" w:lineRule="exact"/>
        <w:ind w:firstLine="72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二、项目资金申报及使用情况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（一）资金计划、到位及使用情况</w:t>
      </w:r>
    </w:p>
    <w:p>
      <w:pPr>
        <w:widowControl/>
        <w:shd w:val="clear" w:color="auto" w:fill="FFFFFF"/>
        <w:spacing w:line="576" w:lineRule="exact"/>
        <w:ind w:firstLine="72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rPr>
        <w:t>1、资金计划：基层武装经费项目资金5万元。</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2、资金到位：截止2021年11月，计划资金全部到位，共计5万元。资金到位率100%、到位及时。</w:t>
      </w:r>
    </w:p>
    <w:p>
      <w:pPr>
        <w:widowControl/>
        <w:shd w:val="clear" w:color="auto" w:fill="FFFFFF"/>
        <w:spacing w:line="576" w:lineRule="exact"/>
        <w:ind w:firstLine="72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rPr>
        <w:t>3、资金使用：截止2021年12月，基层武装经费项目资金全部支出，共计5万元。主要用于报账应急抢险工作开展，提高全镇处理紧急事情的能力。经费到位并及时支付，支付依据合规合法，资金支付与预算相符。</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（二）项目财务管理情况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茂县渭门镇基层武装经费</w:t>
      </w:r>
      <w:r>
        <w:rPr>
          <w:rFonts w:hint="eastAsia" w:ascii="仿宋_GB2312" w:hAnsi="仿宋_GB2312" w:eastAsia="仿宋_GB2312" w:cs="仿宋_GB2312"/>
          <w:color w:val="000000"/>
          <w:kern w:val="0"/>
          <w:sz w:val="32"/>
          <w:szCs w:val="32"/>
          <w:shd w:val="clear" w:color="auto" w:fill="FFFFFF"/>
        </w:rPr>
        <w:t>项目资金采取直接支付形式，由镇项目办、镇财政所在项目工程完工验收后，收集报账资料，严格按照项目资金管理办法对资金进行计划申请、划拨、使用，及时、规范对收支进行账务处理和会计核算。</w:t>
      </w:r>
    </w:p>
    <w:p>
      <w:pPr>
        <w:widowControl/>
        <w:shd w:val="clear" w:color="auto" w:fill="FFFFFF"/>
        <w:spacing w:line="576" w:lineRule="exact"/>
        <w:ind w:firstLine="72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三、项目实施及管理情况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（一）项目组织架构及实施流程</w:t>
      </w:r>
    </w:p>
    <w:p>
      <w:pPr>
        <w:spacing w:line="576" w:lineRule="exact"/>
        <w:ind w:firstLine="640" w:firstLineChars="200"/>
        <w:rPr>
          <w:rFonts w:ascii="仿宋" w:hAnsi="仿宋" w:eastAsia="仿宋" w:cs="仿宋"/>
          <w:sz w:val="32"/>
          <w:szCs w:val="32"/>
        </w:rPr>
      </w:pPr>
      <w:r>
        <w:rPr>
          <w:rFonts w:hint="eastAsia" w:ascii="仿宋_GB2312" w:hAnsi="仿宋_GB2312" w:eastAsia="仿宋_GB2312" w:cs="仿宋_GB2312"/>
          <w:sz w:val="32"/>
          <w:szCs w:val="32"/>
        </w:rPr>
        <w:t>为确保项目的顺利实施，</w:t>
      </w:r>
      <w:r>
        <w:rPr>
          <w:rFonts w:hint="eastAsia" w:ascii="仿宋" w:hAnsi="仿宋" w:eastAsia="仿宋" w:cs="仿宋"/>
          <w:sz w:val="32"/>
          <w:szCs w:val="32"/>
        </w:rPr>
        <w:t>决定成立镇项目管理机构，负责人：赵富强，成员罗海福，负责基层武装经费项目建设相关事宜，以确保项目保质保量按时完工。</w:t>
      </w:r>
    </w:p>
    <w:p>
      <w:pPr>
        <w:widowControl/>
        <w:shd w:val="clear" w:color="auto" w:fill="FFFFFF"/>
        <w:spacing w:line="576" w:lineRule="exact"/>
        <w:ind w:firstLine="643"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（二）项目管理情况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本项目采取项目工作领导小组负责制，全体成员积极配合、通力合作。项目工作领导小组负责协调相关工作，项目实施及资金管理。</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（三）项目监管情况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项目资金由镇财政所具体管理，按投资计划，制定管理制度，对项目资金按项目单独核算实行“专款专用、专人管理”，不得挤占挪用项目资金。强化监督，项目的正常实施监督检查是保障。指派专人对项目的实施定期或不定期的进行现场检查和监督，及时协调解决困难和问题，以保证工程质量及工期。</w:t>
      </w:r>
    </w:p>
    <w:p>
      <w:pPr>
        <w:widowControl/>
        <w:shd w:val="clear" w:color="auto" w:fill="FFFFFF"/>
        <w:spacing w:line="576" w:lineRule="exact"/>
        <w:ind w:firstLine="643"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四、目标完成情况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（一）目标完成任务量</w:t>
      </w:r>
    </w:p>
    <w:p>
      <w:pPr>
        <w:widowControl/>
        <w:shd w:val="clear" w:color="auto" w:fill="FFFFFF"/>
        <w:spacing w:line="576" w:lineRule="exact"/>
        <w:ind w:firstLine="72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rPr>
        <w:t>截止2021年12月30日，渭门镇武装经费资金项目已完成建设。该项目共投入资金5万元，于2021年11月底完成了报账。</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（二）目标完成质量</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养老服务补助项目在上级有关部门的关心、帮助下、在镇党委政府的领导下，顺利推进，圆满完成任务，并经村民评价，满意度为100%。</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（三）目标完成进度</w:t>
      </w:r>
    </w:p>
    <w:p>
      <w:pPr>
        <w:widowControl/>
        <w:shd w:val="clear" w:color="auto" w:fill="FFFFFF"/>
        <w:spacing w:line="576" w:lineRule="exact"/>
        <w:ind w:firstLine="8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截止2021年12月30日，基层武装经费项目</w:t>
      </w:r>
      <w:r>
        <w:rPr>
          <w:rFonts w:hint="eastAsia" w:ascii="仿宋_GB2312" w:hAnsi="仿宋_GB2312" w:eastAsia="仿宋_GB2312" w:cs="仿宋_GB2312"/>
          <w:sz w:val="32"/>
          <w:szCs w:val="32"/>
        </w:rPr>
        <w:t>工程项目已全面完成并验收</w:t>
      </w:r>
      <w:r>
        <w:rPr>
          <w:rFonts w:hint="eastAsia" w:ascii="仿宋_GB2312" w:hAnsi="仿宋_GB2312" w:eastAsia="仿宋_GB2312" w:cs="仿宋_GB2312"/>
          <w:color w:val="000000"/>
          <w:kern w:val="0"/>
          <w:sz w:val="32"/>
          <w:szCs w:val="32"/>
          <w:shd w:val="clear" w:color="auto" w:fill="FFFFFF"/>
        </w:rPr>
        <w:t>。</w:t>
      </w:r>
    </w:p>
    <w:p>
      <w:pPr>
        <w:widowControl/>
        <w:shd w:val="clear" w:color="auto" w:fill="FFFFFF"/>
        <w:spacing w:line="576" w:lineRule="exact"/>
        <w:ind w:firstLine="643"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五、项目效果情况</w:t>
      </w:r>
    </w:p>
    <w:p>
      <w:pPr>
        <w:spacing w:line="600" w:lineRule="exact"/>
        <w:rPr>
          <w:rFonts w:eastAsia="仿宋_GB2312"/>
          <w:sz w:val="32"/>
          <w:szCs w:val="32"/>
        </w:rPr>
      </w:pPr>
      <w:r>
        <w:rPr>
          <w:rFonts w:hint="eastAsia" w:ascii="仿宋_GB2312" w:hAnsi="仿宋_GB2312" w:eastAsia="仿宋_GB2312" w:cs="仿宋_GB2312"/>
          <w:sz w:val="32"/>
          <w:szCs w:val="32"/>
        </w:rPr>
        <w:t xml:space="preserve">     该项目的实施可解决本镇下辖九个行政村应急抢险工作开展，极大的提高了全镇处理紧急事情的能力。是一项民心工程，群众满意度为100%。</w:t>
      </w:r>
    </w:p>
    <w:p>
      <w:pPr>
        <w:spacing w:line="600" w:lineRule="exact"/>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jc w:val="center"/>
        <w:outlineLvl w:val="0"/>
        <w:rPr>
          <w:rStyle w:val="24"/>
          <w:rFonts w:ascii="黑体" w:eastAsia="黑体"/>
          <w:b w:val="0"/>
        </w:rPr>
      </w:pPr>
      <w:bookmarkStart w:id="131" w:name="_Toc114676141"/>
      <w:r>
        <w:rPr>
          <w:rFonts w:hint="eastAsia" w:ascii="黑体" w:eastAsia="黑体"/>
          <w:color w:val="000000"/>
          <w:sz w:val="44"/>
          <w:szCs w:val="44"/>
        </w:rPr>
        <w:t>第</w:t>
      </w:r>
      <w:r>
        <w:rPr>
          <w:rStyle w:val="24"/>
          <w:rFonts w:hint="eastAsia" w:ascii="黑体" w:eastAsia="黑体"/>
          <w:b w:val="0"/>
        </w:rPr>
        <w:t>五部分附表</w:t>
      </w:r>
      <w:bookmarkEnd w:id="111"/>
      <w:bookmarkEnd w:id="129"/>
      <w:bookmarkEnd w:id="130"/>
      <w:bookmarkEnd w:id="131"/>
    </w:p>
    <w:p>
      <w:pPr>
        <w:pStyle w:val="3"/>
        <w:rPr>
          <w:rFonts w:ascii="仿宋" w:eastAsia="仿宋"/>
          <w:color w:val="000000"/>
        </w:rPr>
      </w:pPr>
      <w:bookmarkStart w:id="132" w:name="_Toc114676142"/>
      <w:bookmarkStart w:id="133" w:name="_Toc79163636"/>
      <w:bookmarkStart w:id="134" w:name="_Toc15396619"/>
      <w:r>
        <w:rPr>
          <w:rFonts w:hint="eastAsia" w:ascii="仿宋" w:eastAsia="仿宋"/>
          <w:b w:val="0"/>
          <w:color w:val="000000"/>
        </w:rPr>
        <w:t>一、收</w:t>
      </w:r>
      <w:r>
        <w:rPr>
          <w:rStyle w:val="25"/>
          <w:rFonts w:hint="eastAsia" w:ascii="仿宋" w:eastAsia="仿宋"/>
          <w:b w:val="0"/>
          <w:bCs w:val="0"/>
        </w:rPr>
        <w:t>入支出决算总表</w:t>
      </w:r>
      <w:bookmarkEnd w:id="132"/>
      <w:bookmarkEnd w:id="133"/>
      <w:bookmarkEnd w:id="134"/>
    </w:p>
    <w:p>
      <w:pPr>
        <w:pStyle w:val="3"/>
        <w:rPr>
          <w:rFonts w:ascii="仿宋" w:eastAsia="仿宋"/>
          <w:color w:val="000000"/>
        </w:rPr>
      </w:pPr>
      <w:bookmarkStart w:id="135" w:name="_Toc15396620"/>
      <w:bookmarkStart w:id="136" w:name="_Toc79163637"/>
      <w:bookmarkStart w:id="137" w:name="_Toc114676143"/>
      <w:r>
        <w:rPr>
          <w:rFonts w:hint="eastAsia" w:ascii="仿宋" w:eastAsia="仿宋"/>
          <w:b w:val="0"/>
          <w:color w:val="000000"/>
        </w:rPr>
        <w:t>二、收</w:t>
      </w:r>
      <w:r>
        <w:rPr>
          <w:rStyle w:val="25"/>
          <w:rFonts w:hint="eastAsia" w:ascii="仿宋" w:eastAsia="仿宋"/>
          <w:b w:val="0"/>
          <w:bCs w:val="0"/>
        </w:rPr>
        <w:t>入决算表</w:t>
      </w:r>
      <w:bookmarkEnd w:id="135"/>
      <w:bookmarkEnd w:id="136"/>
      <w:bookmarkEnd w:id="137"/>
    </w:p>
    <w:p>
      <w:pPr>
        <w:pStyle w:val="3"/>
        <w:rPr>
          <w:rFonts w:ascii="仿宋" w:eastAsia="仿宋"/>
          <w:color w:val="000000"/>
        </w:rPr>
      </w:pPr>
      <w:bookmarkStart w:id="138" w:name="_Toc79163638"/>
      <w:bookmarkStart w:id="139" w:name="_Toc15396621"/>
      <w:bookmarkStart w:id="140" w:name="_Toc114676144"/>
      <w:r>
        <w:rPr>
          <w:rStyle w:val="25"/>
          <w:rFonts w:hint="eastAsia" w:ascii="仿宋" w:eastAsia="仿宋"/>
          <w:b w:val="0"/>
          <w:bCs w:val="0"/>
        </w:rPr>
        <w:t>三、</w:t>
      </w:r>
      <w:r>
        <w:rPr>
          <w:rFonts w:hint="eastAsia" w:ascii="仿宋" w:eastAsia="仿宋"/>
          <w:b w:val="0"/>
          <w:color w:val="000000"/>
        </w:rPr>
        <w:t>支</w:t>
      </w:r>
      <w:r>
        <w:rPr>
          <w:rStyle w:val="25"/>
          <w:rFonts w:hint="eastAsia" w:ascii="仿宋" w:eastAsia="仿宋"/>
          <w:b w:val="0"/>
          <w:bCs w:val="0"/>
        </w:rPr>
        <w:t>出决算表</w:t>
      </w:r>
      <w:bookmarkEnd w:id="138"/>
      <w:bookmarkEnd w:id="139"/>
      <w:bookmarkEnd w:id="140"/>
    </w:p>
    <w:p>
      <w:pPr>
        <w:pStyle w:val="3"/>
        <w:rPr>
          <w:rFonts w:ascii="仿宋" w:eastAsia="仿宋"/>
          <w:b w:val="0"/>
          <w:color w:val="000000"/>
        </w:rPr>
      </w:pPr>
      <w:bookmarkStart w:id="141" w:name="_Toc15396622"/>
      <w:bookmarkStart w:id="142" w:name="_Toc79163639"/>
      <w:bookmarkStart w:id="143" w:name="_Toc114676145"/>
      <w:r>
        <w:rPr>
          <w:rStyle w:val="25"/>
          <w:rFonts w:hint="eastAsia" w:ascii="仿宋" w:eastAsia="仿宋"/>
          <w:b w:val="0"/>
          <w:bCs w:val="0"/>
        </w:rPr>
        <w:t>四、</w:t>
      </w:r>
      <w:r>
        <w:rPr>
          <w:rFonts w:hint="eastAsia" w:ascii="仿宋" w:eastAsia="仿宋"/>
          <w:b w:val="0"/>
          <w:color w:val="000000"/>
        </w:rPr>
        <w:t>财</w:t>
      </w:r>
      <w:r>
        <w:rPr>
          <w:rStyle w:val="25"/>
          <w:rFonts w:hint="eastAsia" w:ascii="仿宋" w:eastAsia="仿宋"/>
          <w:b w:val="0"/>
          <w:bCs w:val="0"/>
        </w:rPr>
        <w:t>政拨款收入支出决算总表</w:t>
      </w:r>
      <w:bookmarkEnd w:id="141"/>
      <w:bookmarkEnd w:id="142"/>
      <w:bookmarkEnd w:id="143"/>
    </w:p>
    <w:p>
      <w:pPr>
        <w:pStyle w:val="3"/>
        <w:rPr>
          <w:rStyle w:val="25"/>
          <w:rFonts w:ascii="仿宋" w:eastAsia="仿宋"/>
          <w:b w:val="0"/>
          <w:bCs w:val="0"/>
        </w:rPr>
      </w:pPr>
      <w:bookmarkStart w:id="144" w:name="_Toc15396623"/>
      <w:bookmarkStart w:id="145" w:name="_Toc79163640"/>
      <w:bookmarkStart w:id="146" w:name="_Toc114676146"/>
      <w:r>
        <w:rPr>
          <w:rStyle w:val="25"/>
          <w:rFonts w:hint="eastAsia" w:ascii="仿宋" w:eastAsia="仿宋"/>
          <w:b w:val="0"/>
          <w:bCs w:val="0"/>
        </w:rPr>
        <w:t>五、</w:t>
      </w:r>
      <w:r>
        <w:rPr>
          <w:rFonts w:hint="eastAsia" w:ascii="仿宋" w:eastAsia="仿宋"/>
          <w:b w:val="0"/>
          <w:color w:val="000000"/>
        </w:rPr>
        <w:t>财</w:t>
      </w:r>
      <w:r>
        <w:rPr>
          <w:rStyle w:val="25"/>
          <w:rFonts w:hint="eastAsia" w:ascii="仿宋" w:eastAsia="仿宋"/>
          <w:b w:val="0"/>
          <w:bCs w:val="0"/>
        </w:rPr>
        <w:t>政拨款支出决算明细表</w:t>
      </w:r>
      <w:bookmarkEnd w:id="144"/>
      <w:bookmarkEnd w:id="145"/>
      <w:bookmarkEnd w:id="146"/>
      <w:bookmarkStart w:id="147" w:name="_Toc15396624"/>
    </w:p>
    <w:p>
      <w:pPr>
        <w:pStyle w:val="3"/>
        <w:rPr>
          <w:rFonts w:ascii="仿宋" w:eastAsia="仿宋"/>
          <w:color w:val="000000"/>
        </w:rPr>
      </w:pPr>
      <w:bookmarkStart w:id="148" w:name="_Toc79163641"/>
      <w:bookmarkStart w:id="149" w:name="_Toc114676147"/>
      <w:r>
        <w:rPr>
          <w:rStyle w:val="25"/>
          <w:rFonts w:hint="eastAsia" w:ascii="仿宋" w:eastAsia="仿宋"/>
          <w:b w:val="0"/>
          <w:bCs w:val="0"/>
        </w:rPr>
        <w:t>六、</w:t>
      </w:r>
      <w:r>
        <w:rPr>
          <w:rFonts w:hint="eastAsia" w:ascii="仿宋" w:eastAsia="仿宋"/>
          <w:b w:val="0"/>
          <w:color w:val="000000"/>
        </w:rPr>
        <w:t>一</w:t>
      </w:r>
      <w:r>
        <w:rPr>
          <w:rStyle w:val="25"/>
          <w:rFonts w:hint="eastAsia" w:ascii="仿宋" w:eastAsia="仿宋"/>
          <w:b w:val="0"/>
          <w:bCs w:val="0"/>
        </w:rPr>
        <w:t>般公共预算财政拨款支出决算表</w:t>
      </w:r>
      <w:bookmarkEnd w:id="147"/>
      <w:bookmarkEnd w:id="148"/>
      <w:bookmarkEnd w:id="149"/>
    </w:p>
    <w:p>
      <w:pPr>
        <w:pStyle w:val="3"/>
        <w:rPr>
          <w:rFonts w:ascii="仿宋" w:eastAsia="仿宋"/>
          <w:color w:val="000000"/>
        </w:rPr>
      </w:pPr>
      <w:bookmarkStart w:id="150" w:name="_Toc15396625"/>
      <w:bookmarkStart w:id="151" w:name="_Toc79163642"/>
      <w:bookmarkStart w:id="152" w:name="_Toc114676148"/>
      <w:r>
        <w:rPr>
          <w:rStyle w:val="25"/>
          <w:rFonts w:hint="eastAsia" w:ascii="仿宋" w:eastAsia="仿宋"/>
          <w:b w:val="0"/>
          <w:bCs w:val="0"/>
        </w:rPr>
        <w:t>七、</w:t>
      </w:r>
      <w:r>
        <w:rPr>
          <w:rFonts w:hint="eastAsia" w:ascii="仿宋" w:eastAsia="仿宋"/>
          <w:b w:val="0"/>
          <w:color w:val="000000"/>
        </w:rPr>
        <w:t>一</w:t>
      </w:r>
      <w:r>
        <w:rPr>
          <w:rStyle w:val="25"/>
          <w:rFonts w:hint="eastAsia" w:ascii="仿宋" w:eastAsia="仿宋"/>
          <w:b w:val="0"/>
          <w:bCs w:val="0"/>
        </w:rPr>
        <w:t>般公共预算财政拨款支出决算明细表</w:t>
      </w:r>
      <w:bookmarkEnd w:id="150"/>
      <w:bookmarkEnd w:id="151"/>
      <w:bookmarkEnd w:id="152"/>
    </w:p>
    <w:p>
      <w:pPr>
        <w:pStyle w:val="3"/>
        <w:rPr>
          <w:rFonts w:ascii="仿宋" w:eastAsia="仿宋"/>
          <w:color w:val="000000"/>
        </w:rPr>
      </w:pPr>
      <w:bookmarkStart w:id="153" w:name="_Toc15396626"/>
      <w:bookmarkStart w:id="154" w:name="_Toc79163643"/>
      <w:bookmarkStart w:id="155" w:name="_Toc114676149"/>
      <w:r>
        <w:rPr>
          <w:rStyle w:val="25"/>
          <w:rFonts w:hint="eastAsia" w:ascii="仿宋" w:eastAsia="仿宋"/>
          <w:b w:val="0"/>
          <w:bCs w:val="0"/>
        </w:rPr>
        <w:t>八、</w:t>
      </w:r>
      <w:r>
        <w:rPr>
          <w:rFonts w:hint="eastAsia" w:ascii="仿宋" w:eastAsia="仿宋"/>
          <w:b w:val="0"/>
          <w:color w:val="000000"/>
        </w:rPr>
        <w:t>一</w:t>
      </w:r>
      <w:r>
        <w:rPr>
          <w:rStyle w:val="25"/>
          <w:rFonts w:hint="eastAsia" w:ascii="仿宋" w:eastAsia="仿宋"/>
          <w:b w:val="0"/>
          <w:bCs w:val="0"/>
        </w:rPr>
        <w:t>般公共预算财政拨款基本支出决算表</w:t>
      </w:r>
      <w:bookmarkEnd w:id="153"/>
      <w:bookmarkEnd w:id="154"/>
      <w:bookmarkEnd w:id="155"/>
    </w:p>
    <w:p>
      <w:pPr>
        <w:pStyle w:val="3"/>
        <w:rPr>
          <w:rFonts w:ascii="仿宋" w:eastAsia="仿宋"/>
          <w:color w:val="000000"/>
        </w:rPr>
      </w:pPr>
      <w:bookmarkStart w:id="156" w:name="_Toc79163644"/>
      <w:bookmarkStart w:id="157" w:name="_Toc15396627"/>
      <w:bookmarkStart w:id="158" w:name="_Toc114676150"/>
      <w:r>
        <w:rPr>
          <w:rStyle w:val="25"/>
          <w:rFonts w:hint="eastAsia" w:ascii="仿宋" w:eastAsia="仿宋"/>
          <w:b w:val="0"/>
          <w:bCs w:val="0"/>
        </w:rPr>
        <w:t>九、</w:t>
      </w:r>
      <w:r>
        <w:rPr>
          <w:rFonts w:hint="eastAsia" w:ascii="仿宋" w:eastAsia="仿宋"/>
          <w:b w:val="0"/>
          <w:color w:val="000000"/>
        </w:rPr>
        <w:t>一</w:t>
      </w:r>
      <w:r>
        <w:rPr>
          <w:rStyle w:val="25"/>
          <w:rFonts w:hint="eastAsia" w:ascii="仿宋" w:eastAsia="仿宋"/>
          <w:b w:val="0"/>
          <w:bCs w:val="0"/>
        </w:rPr>
        <w:t>般公共预算财政拨款项目支出决算表</w:t>
      </w:r>
      <w:bookmarkEnd w:id="156"/>
      <w:bookmarkEnd w:id="157"/>
      <w:bookmarkEnd w:id="158"/>
    </w:p>
    <w:p>
      <w:pPr>
        <w:pStyle w:val="3"/>
        <w:rPr>
          <w:rFonts w:ascii="仿宋" w:eastAsia="仿宋"/>
          <w:color w:val="000000"/>
        </w:rPr>
      </w:pPr>
      <w:bookmarkStart w:id="159" w:name="_Toc79163645"/>
      <w:bookmarkStart w:id="160" w:name="_Toc15396628"/>
      <w:bookmarkStart w:id="161" w:name="_Toc114676151"/>
      <w:r>
        <w:rPr>
          <w:rStyle w:val="25"/>
          <w:rFonts w:hint="eastAsia" w:ascii="仿宋" w:eastAsia="仿宋"/>
          <w:b w:val="0"/>
          <w:bCs w:val="0"/>
        </w:rPr>
        <w:t>十、</w:t>
      </w:r>
      <w:r>
        <w:rPr>
          <w:rFonts w:hint="eastAsia" w:ascii="仿宋" w:eastAsia="仿宋"/>
          <w:b w:val="0"/>
          <w:color w:val="000000"/>
        </w:rPr>
        <w:t>一</w:t>
      </w:r>
      <w:r>
        <w:rPr>
          <w:rStyle w:val="25"/>
          <w:rFonts w:hint="eastAsia" w:ascii="仿宋" w:eastAsia="仿宋"/>
          <w:b w:val="0"/>
          <w:bCs w:val="0"/>
        </w:rPr>
        <w:t>般公共预算财政拨款“三公”经费支出决算表</w:t>
      </w:r>
      <w:bookmarkEnd w:id="159"/>
      <w:bookmarkEnd w:id="160"/>
      <w:bookmarkEnd w:id="161"/>
    </w:p>
    <w:p>
      <w:pPr>
        <w:pStyle w:val="3"/>
        <w:rPr>
          <w:rFonts w:ascii="仿宋" w:eastAsia="仿宋"/>
          <w:color w:val="000000"/>
        </w:rPr>
      </w:pPr>
      <w:bookmarkStart w:id="162" w:name="_Toc79163646"/>
      <w:bookmarkStart w:id="163" w:name="_Toc114676152"/>
      <w:bookmarkStart w:id="164" w:name="_Toc15396629"/>
      <w:r>
        <w:rPr>
          <w:rStyle w:val="25"/>
          <w:rFonts w:hint="eastAsia" w:ascii="仿宋" w:eastAsia="仿宋"/>
          <w:b w:val="0"/>
          <w:bCs w:val="0"/>
        </w:rPr>
        <w:t>十一、</w:t>
      </w:r>
      <w:r>
        <w:rPr>
          <w:rFonts w:hint="eastAsia" w:ascii="仿宋" w:eastAsia="仿宋"/>
          <w:b w:val="0"/>
          <w:color w:val="000000"/>
        </w:rPr>
        <w:t>政</w:t>
      </w:r>
      <w:r>
        <w:rPr>
          <w:rStyle w:val="25"/>
          <w:rFonts w:hint="eastAsia" w:ascii="仿宋" w:eastAsia="仿宋"/>
          <w:b w:val="0"/>
          <w:bCs w:val="0"/>
        </w:rPr>
        <w:t>府性基金预算财政拨款收入支出决算表</w:t>
      </w:r>
      <w:bookmarkEnd w:id="162"/>
      <w:bookmarkEnd w:id="163"/>
      <w:bookmarkEnd w:id="164"/>
    </w:p>
    <w:p>
      <w:pPr>
        <w:pStyle w:val="3"/>
        <w:rPr>
          <w:rFonts w:ascii="仿宋" w:eastAsia="仿宋"/>
          <w:color w:val="000000"/>
        </w:rPr>
      </w:pPr>
      <w:bookmarkStart w:id="165" w:name="_Toc114676153"/>
      <w:bookmarkStart w:id="166" w:name="_Toc15396630"/>
      <w:bookmarkStart w:id="167" w:name="_Toc79163647"/>
      <w:r>
        <w:rPr>
          <w:rStyle w:val="25"/>
          <w:rFonts w:hint="eastAsia" w:ascii="仿宋" w:eastAsia="仿宋"/>
          <w:b w:val="0"/>
          <w:bCs w:val="0"/>
        </w:rPr>
        <w:t>十二、</w:t>
      </w:r>
      <w:r>
        <w:rPr>
          <w:rFonts w:hint="eastAsia" w:ascii="仿宋" w:eastAsia="仿宋"/>
          <w:b w:val="0"/>
          <w:color w:val="000000"/>
        </w:rPr>
        <w:t>政</w:t>
      </w:r>
      <w:r>
        <w:rPr>
          <w:rStyle w:val="25"/>
          <w:rFonts w:hint="eastAsia" w:ascii="仿宋" w:eastAsia="仿宋"/>
          <w:b w:val="0"/>
          <w:bCs w:val="0"/>
        </w:rPr>
        <w:t>府性基金预算财政拨款“三公”经费支出决算表</w:t>
      </w:r>
      <w:bookmarkEnd w:id="165"/>
      <w:bookmarkEnd w:id="166"/>
      <w:bookmarkEnd w:id="167"/>
    </w:p>
    <w:p>
      <w:pPr>
        <w:pStyle w:val="3"/>
        <w:rPr>
          <w:rStyle w:val="25"/>
          <w:rFonts w:ascii="仿宋" w:eastAsia="仿宋"/>
          <w:b w:val="0"/>
          <w:bCs w:val="0"/>
        </w:rPr>
      </w:pPr>
      <w:bookmarkStart w:id="168" w:name="_Toc15396631"/>
      <w:bookmarkStart w:id="169" w:name="_Toc79163648"/>
      <w:bookmarkStart w:id="170" w:name="_Toc114676154"/>
      <w:r>
        <w:rPr>
          <w:rStyle w:val="25"/>
          <w:rFonts w:hint="eastAsia" w:ascii="仿宋" w:eastAsia="仿宋"/>
          <w:b w:val="0"/>
          <w:bCs w:val="0"/>
        </w:rPr>
        <w:t>十三、</w:t>
      </w:r>
      <w:r>
        <w:rPr>
          <w:rFonts w:hint="eastAsia" w:ascii="仿宋" w:eastAsia="仿宋"/>
          <w:b w:val="0"/>
          <w:color w:val="000000"/>
        </w:rPr>
        <w:t>国</w:t>
      </w:r>
      <w:r>
        <w:rPr>
          <w:rStyle w:val="25"/>
          <w:rFonts w:hint="eastAsia" w:ascii="仿宋" w:eastAsia="仿宋"/>
          <w:b w:val="0"/>
          <w:bCs w:val="0"/>
        </w:rPr>
        <w:t>有资本经营预算财政拨款支出决算表</w:t>
      </w:r>
      <w:bookmarkEnd w:id="168"/>
      <w:bookmarkEnd w:id="169"/>
      <w:bookmarkEnd w:id="170"/>
    </w:p>
    <w:p>
      <w:pPr>
        <w:pStyle w:val="3"/>
        <w:rPr>
          <w:rStyle w:val="25"/>
          <w:rFonts w:ascii="仿宋" w:eastAsia="仿宋"/>
          <w:b w:val="0"/>
          <w:bCs w:val="0"/>
        </w:rPr>
      </w:pPr>
      <w:bookmarkStart w:id="171" w:name="_Toc79163649"/>
      <w:bookmarkStart w:id="172" w:name="_Toc114676155"/>
      <w:r>
        <w:rPr>
          <w:rStyle w:val="25"/>
          <w:rFonts w:hint="eastAsia" w:ascii="仿宋" w:eastAsia="仿宋"/>
          <w:b w:val="0"/>
          <w:bCs w:val="0"/>
        </w:rPr>
        <w:t>十四、国有资本经营预算财政拨款支出决算表</w:t>
      </w:r>
      <w:bookmarkEnd w:id="171"/>
      <w:bookmarkEnd w:id="172"/>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64</w:t>
    </w:r>
    <w:r>
      <w:rPr>
        <w:lang w:val="zh-CN"/>
      </w:rP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2">
    <w:nsid w:val="FB5C9670"/>
    <w:multiLevelType w:val="singleLevel"/>
    <w:tmpl w:val="FB5C9670"/>
    <w:lvl w:ilvl="0" w:tentative="0">
      <w:start w:val="2"/>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3064A595"/>
    <w:multiLevelType w:val="singleLevel"/>
    <w:tmpl w:val="3064A595"/>
    <w:lvl w:ilvl="0" w:tentative="0">
      <w:start w:val="1"/>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ZDFjYzZlZjE4NGI0ZTlmYjkzNDFjOTJkMzkyNGVmYTEifQ=="/>
  </w:docVars>
  <w:rsids>
    <w:rsidRoot w:val="005943F4"/>
    <w:rsid w:val="00017442"/>
    <w:rsid w:val="00024223"/>
    <w:rsid w:val="000331E9"/>
    <w:rsid w:val="00043888"/>
    <w:rsid w:val="000478D0"/>
    <w:rsid w:val="00056670"/>
    <w:rsid w:val="0006046E"/>
    <w:rsid w:val="0006289A"/>
    <w:rsid w:val="00064DA8"/>
    <w:rsid w:val="00067E3B"/>
    <w:rsid w:val="00072AE5"/>
    <w:rsid w:val="0007749F"/>
    <w:rsid w:val="00082DE4"/>
    <w:rsid w:val="000866F8"/>
    <w:rsid w:val="000901DC"/>
    <w:rsid w:val="0009243B"/>
    <w:rsid w:val="00094702"/>
    <w:rsid w:val="0009487B"/>
    <w:rsid w:val="00096361"/>
    <w:rsid w:val="000A5BC6"/>
    <w:rsid w:val="000A6D8E"/>
    <w:rsid w:val="000B3E24"/>
    <w:rsid w:val="000C108E"/>
    <w:rsid w:val="000C2A35"/>
    <w:rsid w:val="000E0844"/>
    <w:rsid w:val="001012B7"/>
    <w:rsid w:val="001042DD"/>
    <w:rsid w:val="0011053C"/>
    <w:rsid w:val="001128F5"/>
    <w:rsid w:val="001176A4"/>
    <w:rsid w:val="00120CA5"/>
    <w:rsid w:val="00121B17"/>
    <w:rsid w:val="00130A30"/>
    <w:rsid w:val="00130BAB"/>
    <w:rsid w:val="00135DF0"/>
    <w:rsid w:val="001440FB"/>
    <w:rsid w:val="00145CC7"/>
    <w:rsid w:val="00171CC2"/>
    <w:rsid w:val="0017641D"/>
    <w:rsid w:val="00182B4C"/>
    <w:rsid w:val="00185666"/>
    <w:rsid w:val="00196786"/>
    <w:rsid w:val="001A3951"/>
    <w:rsid w:val="001B3527"/>
    <w:rsid w:val="001C01C3"/>
    <w:rsid w:val="001D353A"/>
    <w:rsid w:val="001E0D94"/>
    <w:rsid w:val="001E33C4"/>
    <w:rsid w:val="00202AF1"/>
    <w:rsid w:val="002106E3"/>
    <w:rsid w:val="00215BE4"/>
    <w:rsid w:val="002428DE"/>
    <w:rsid w:val="00251AB0"/>
    <w:rsid w:val="00270855"/>
    <w:rsid w:val="00272339"/>
    <w:rsid w:val="00280347"/>
    <w:rsid w:val="00280E84"/>
    <w:rsid w:val="002A6CDE"/>
    <w:rsid w:val="002B6D82"/>
    <w:rsid w:val="002B7DE0"/>
    <w:rsid w:val="002E76A7"/>
    <w:rsid w:val="002F5528"/>
    <w:rsid w:val="003010A5"/>
    <w:rsid w:val="0030366C"/>
    <w:rsid w:val="0030621A"/>
    <w:rsid w:val="00306FA7"/>
    <w:rsid w:val="00311389"/>
    <w:rsid w:val="0032247C"/>
    <w:rsid w:val="00327EA7"/>
    <w:rsid w:val="0034239A"/>
    <w:rsid w:val="00343B43"/>
    <w:rsid w:val="00356854"/>
    <w:rsid w:val="00357519"/>
    <w:rsid w:val="003644DF"/>
    <w:rsid w:val="003828A1"/>
    <w:rsid w:val="00386BA7"/>
    <w:rsid w:val="003874D3"/>
    <w:rsid w:val="003975E3"/>
    <w:rsid w:val="003A76BC"/>
    <w:rsid w:val="003B0235"/>
    <w:rsid w:val="003B45B4"/>
    <w:rsid w:val="003D4AC4"/>
    <w:rsid w:val="003D7CB4"/>
    <w:rsid w:val="003E7EEB"/>
    <w:rsid w:val="00401021"/>
    <w:rsid w:val="00423770"/>
    <w:rsid w:val="00431B97"/>
    <w:rsid w:val="00436C2C"/>
    <w:rsid w:val="00446002"/>
    <w:rsid w:val="00455172"/>
    <w:rsid w:val="004602E7"/>
    <w:rsid w:val="004844ED"/>
    <w:rsid w:val="004924F4"/>
    <w:rsid w:val="004C25A2"/>
    <w:rsid w:val="004C25C8"/>
    <w:rsid w:val="004D3270"/>
    <w:rsid w:val="004D47B5"/>
    <w:rsid w:val="004D78B6"/>
    <w:rsid w:val="00504AD1"/>
    <w:rsid w:val="00540CE2"/>
    <w:rsid w:val="0054193E"/>
    <w:rsid w:val="0055047F"/>
    <w:rsid w:val="0055166C"/>
    <w:rsid w:val="0055489E"/>
    <w:rsid w:val="005664F5"/>
    <w:rsid w:val="005674E5"/>
    <w:rsid w:val="0057225C"/>
    <w:rsid w:val="00581495"/>
    <w:rsid w:val="00586383"/>
    <w:rsid w:val="005943F4"/>
    <w:rsid w:val="00597DA6"/>
    <w:rsid w:val="005A2460"/>
    <w:rsid w:val="005C4225"/>
    <w:rsid w:val="005C4569"/>
    <w:rsid w:val="005C5A12"/>
    <w:rsid w:val="005D0922"/>
    <w:rsid w:val="005D0F5D"/>
    <w:rsid w:val="005D6F84"/>
    <w:rsid w:val="005E5959"/>
    <w:rsid w:val="005F2A13"/>
    <w:rsid w:val="005F598B"/>
    <w:rsid w:val="00603F9F"/>
    <w:rsid w:val="0060475D"/>
    <w:rsid w:val="00615B03"/>
    <w:rsid w:val="00623B09"/>
    <w:rsid w:val="00625C3D"/>
    <w:rsid w:val="006418ED"/>
    <w:rsid w:val="00653AD5"/>
    <w:rsid w:val="0066603C"/>
    <w:rsid w:val="00674C2F"/>
    <w:rsid w:val="00675B20"/>
    <w:rsid w:val="00676859"/>
    <w:rsid w:val="00680152"/>
    <w:rsid w:val="00692B51"/>
    <w:rsid w:val="006B2ADD"/>
    <w:rsid w:val="006C3FDD"/>
    <w:rsid w:val="006C4D03"/>
    <w:rsid w:val="006D567A"/>
    <w:rsid w:val="006D77AF"/>
    <w:rsid w:val="006E1B91"/>
    <w:rsid w:val="006E3F2B"/>
    <w:rsid w:val="006E738F"/>
    <w:rsid w:val="006E76C7"/>
    <w:rsid w:val="00704697"/>
    <w:rsid w:val="00712299"/>
    <w:rsid w:val="007202E1"/>
    <w:rsid w:val="00741F84"/>
    <w:rsid w:val="00742E6C"/>
    <w:rsid w:val="007528BF"/>
    <w:rsid w:val="00764CA9"/>
    <w:rsid w:val="00766865"/>
    <w:rsid w:val="00766A95"/>
    <w:rsid w:val="0077098A"/>
    <w:rsid w:val="007774FA"/>
    <w:rsid w:val="007836D4"/>
    <w:rsid w:val="0079650A"/>
    <w:rsid w:val="007976DE"/>
    <w:rsid w:val="007A5E7F"/>
    <w:rsid w:val="007A6337"/>
    <w:rsid w:val="007A74E6"/>
    <w:rsid w:val="007B3786"/>
    <w:rsid w:val="007B6675"/>
    <w:rsid w:val="007D150B"/>
    <w:rsid w:val="007D7A58"/>
    <w:rsid w:val="007E58D9"/>
    <w:rsid w:val="00802544"/>
    <w:rsid w:val="00803CB5"/>
    <w:rsid w:val="00807E2E"/>
    <w:rsid w:val="008210C1"/>
    <w:rsid w:val="00822F54"/>
    <w:rsid w:val="00831DCB"/>
    <w:rsid w:val="0083602C"/>
    <w:rsid w:val="008437F6"/>
    <w:rsid w:val="00843B0D"/>
    <w:rsid w:val="0084561D"/>
    <w:rsid w:val="00846D7F"/>
    <w:rsid w:val="00847073"/>
    <w:rsid w:val="00850F54"/>
    <w:rsid w:val="0085663C"/>
    <w:rsid w:val="008615E6"/>
    <w:rsid w:val="0086233E"/>
    <w:rsid w:val="008711FD"/>
    <w:rsid w:val="008720C1"/>
    <w:rsid w:val="00887A8B"/>
    <w:rsid w:val="00887BB5"/>
    <w:rsid w:val="00894675"/>
    <w:rsid w:val="008C4183"/>
    <w:rsid w:val="008C4E95"/>
    <w:rsid w:val="008D2D2C"/>
    <w:rsid w:val="008D57DC"/>
    <w:rsid w:val="008D5A61"/>
    <w:rsid w:val="008E7B60"/>
    <w:rsid w:val="008F26FA"/>
    <w:rsid w:val="008F3529"/>
    <w:rsid w:val="008F43BB"/>
    <w:rsid w:val="00900861"/>
    <w:rsid w:val="00906FFF"/>
    <w:rsid w:val="009360A4"/>
    <w:rsid w:val="00937643"/>
    <w:rsid w:val="00943204"/>
    <w:rsid w:val="00943FDC"/>
    <w:rsid w:val="0096365A"/>
    <w:rsid w:val="00965DB6"/>
    <w:rsid w:val="009778ED"/>
    <w:rsid w:val="009864BD"/>
    <w:rsid w:val="009A35E1"/>
    <w:rsid w:val="009A3F43"/>
    <w:rsid w:val="009C2AF1"/>
    <w:rsid w:val="009C379C"/>
    <w:rsid w:val="009C7363"/>
    <w:rsid w:val="009D133F"/>
    <w:rsid w:val="009D6940"/>
    <w:rsid w:val="009E17FE"/>
    <w:rsid w:val="009E4092"/>
    <w:rsid w:val="009E6148"/>
    <w:rsid w:val="009E75EB"/>
    <w:rsid w:val="009F59DF"/>
    <w:rsid w:val="00A442A9"/>
    <w:rsid w:val="00A51E6F"/>
    <w:rsid w:val="00A56DEE"/>
    <w:rsid w:val="00A572D1"/>
    <w:rsid w:val="00A57791"/>
    <w:rsid w:val="00A6425F"/>
    <w:rsid w:val="00A67AD0"/>
    <w:rsid w:val="00A7735B"/>
    <w:rsid w:val="00A8252C"/>
    <w:rsid w:val="00A83C14"/>
    <w:rsid w:val="00A908B9"/>
    <w:rsid w:val="00AB597F"/>
    <w:rsid w:val="00AD019A"/>
    <w:rsid w:val="00AE5280"/>
    <w:rsid w:val="00AE6059"/>
    <w:rsid w:val="00AE7B98"/>
    <w:rsid w:val="00AF2204"/>
    <w:rsid w:val="00AF274C"/>
    <w:rsid w:val="00AF7135"/>
    <w:rsid w:val="00B00105"/>
    <w:rsid w:val="00B008D2"/>
    <w:rsid w:val="00B05680"/>
    <w:rsid w:val="00B0748D"/>
    <w:rsid w:val="00B17663"/>
    <w:rsid w:val="00B23EF5"/>
    <w:rsid w:val="00B31BA3"/>
    <w:rsid w:val="00B4270D"/>
    <w:rsid w:val="00B42E10"/>
    <w:rsid w:val="00B45A36"/>
    <w:rsid w:val="00B574F0"/>
    <w:rsid w:val="00B643CF"/>
    <w:rsid w:val="00B64BD9"/>
    <w:rsid w:val="00B670AE"/>
    <w:rsid w:val="00B735F6"/>
    <w:rsid w:val="00B813C4"/>
    <w:rsid w:val="00B81E92"/>
    <w:rsid w:val="00B82631"/>
    <w:rsid w:val="00B951EE"/>
    <w:rsid w:val="00BA1CCC"/>
    <w:rsid w:val="00BA44EF"/>
    <w:rsid w:val="00BA4A27"/>
    <w:rsid w:val="00BA738D"/>
    <w:rsid w:val="00BB4E1B"/>
    <w:rsid w:val="00BB725A"/>
    <w:rsid w:val="00BC3F19"/>
    <w:rsid w:val="00BC5C18"/>
    <w:rsid w:val="00BD0F3C"/>
    <w:rsid w:val="00BF3293"/>
    <w:rsid w:val="00C11D68"/>
    <w:rsid w:val="00C143A4"/>
    <w:rsid w:val="00C27DCD"/>
    <w:rsid w:val="00C57A00"/>
    <w:rsid w:val="00C73117"/>
    <w:rsid w:val="00C75135"/>
    <w:rsid w:val="00C80549"/>
    <w:rsid w:val="00C815E5"/>
    <w:rsid w:val="00C83326"/>
    <w:rsid w:val="00C90B61"/>
    <w:rsid w:val="00C92A64"/>
    <w:rsid w:val="00C9521A"/>
    <w:rsid w:val="00CA204E"/>
    <w:rsid w:val="00CC3CCD"/>
    <w:rsid w:val="00CD1459"/>
    <w:rsid w:val="00CD3919"/>
    <w:rsid w:val="00CD5982"/>
    <w:rsid w:val="00CD6387"/>
    <w:rsid w:val="00CE34B0"/>
    <w:rsid w:val="00D03FBC"/>
    <w:rsid w:val="00D0416B"/>
    <w:rsid w:val="00D05AC6"/>
    <w:rsid w:val="00D10099"/>
    <w:rsid w:val="00D15F33"/>
    <w:rsid w:val="00D251D5"/>
    <w:rsid w:val="00D27257"/>
    <w:rsid w:val="00D3771B"/>
    <w:rsid w:val="00D40046"/>
    <w:rsid w:val="00D40E7A"/>
    <w:rsid w:val="00D4675E"/>
    <w:rsid w:val="00D47786"/>
    <w:rsid w:val="00D60539"/>
    <w:rsid w:val="00D658F0"/>
    <w:rsid w:val="00DA7DA5"/>
    <w:rsid w:val="00DB2962"/>
    <w:rsid w:val="00DD0694"/>
    <w:rsid w:val="00DD2E41"/>
    <w:rsid w:val="00DF08EB"/>
    <w:rsid w:val="00DF1F26"/>
    <w:rsid w:val="00E00160"/>
    <w:rsid w:val="00E0113E"/>
    <w:rsid w:val="00E078E1"/>
    <w:rsid w:val="00E12837"/>
    <w:rsid w:val="00E17970"/>
    <w:rsid w:val="00E20CC0"/>
    <w:rsid w:val="00E2186A"/>
    <w:rsid w:val="00E2243E"/>
    <w:rsid w:val="00E24E0F"/>
    <w:rsid w:val="00E31495"/>
    <w:rsid w:val="00E366E3"/>
    <w:rsid w:val="00E36DAF"/>
    <w:rsid w:val="00E56B00"/>
    <w:rsid w:val="00E64F00"/>
    <w:rsid w:val="00E71A44"/>
    <w:rsid w:val="00E75EDE"/>
    <w:rsid w:val="00E82140"/>
    <w:rsid w:val="00E86E43"/>
    <w:rsid w:val="00E95165"/>
    <w:rsid w:val="00E97E2A"/>
    <w:rsid w:val="00EA1C66"/>
    <w:rsid w:val="00EA499A"/>
    <w:rsid w:val="00EA6195"/>
    <w:rsid w:val="00EA78C8"/>
    <w:rsid w:val="00EE0FAE"/>
    <w:rsid w:val="00EE6F93"/>
    <w:rsid w:val="00F011C8"/>
    <w:rsid w:val="00F102F7"/>
    <w:rsid w:val="00F1030B"/>
    <w:rsid w:val="00F15F41"/>
    <w:rsid w:val="00F25863"/>
    <w:rsid w:val="00F31092"/>
    <w:rsid w:val="00F3719C"/>
    <w:rsid w:val="00F41CC0"/>
    <w:rsid w:val="00F5049A"/>
    <w:rsid w:val="00F523B5"/>
    <w:rsid w:val="00F65B9E"/>
    <w:rsid w:val="00F70549"/>
    <w:rsid w:val="00F718B3"/>
    <w:rsid w:val="00F71F16"/>
    <w:rsid w:val="00F87EED"/>
    <w:rsid w:val="00F91E41"/>
    <w:rsid w:val="00FB3F8E"/>
    <w:rsid w:val="00FC2A93"/>
    <w:rsid w:val="00FC7676"/>
    <w:rsid w:val="00FD03E7"/>
    <w:rsid w:val="00FD52D1"/>
    <w:rsid w:val="00FE1181"/>
    <w:rsid w:val="00FE2D2C"/>
    <w:rsid w:val="00FE6296"/>
    <w:rsid w:val="00FF168C"/>
    <w:rsid w:val="04082AD7"/>
    <w:rsid w:val="11E620D3"/>
    <w:rsid w:val="151237B6"/>
    <w:rsid w:val="20012DA5"/>
    <w:rsid w:val="26D66D39"/>
    <w:rsid w:val="2A2E0C3A"/>
    <w:rsid w:val="314E0DC2"/>
    <w:rsid w:val="31B250F6"/>
    <w:rsid w:val="3B0D21A6"/>
    <w:rsid w:val="3B891987"/>
    <w:rsid w:val="40664832"/>
    <w:rsid w:val="47E87EA4"/>
    <w:rsid w:val="5BE03293"/>
    <w:rsid w:val="5D7A3273"/>
    <w:rsid w:val="64155AA4"/>
    <w:rsid w:val="69A55B1C"/>
    <w:rsid w:val="6C0E45B2"/>
    <w:rsid w:val="6E91666F"/>
    <w:rsid w:val="6F51652A"/>
    <w:rsid w:val="79E81839"/>
    <w:rsid w:val="7FB10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iPriority="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uiPriority w:val="0"/>
    <w:pPr>
      <w:keepNext/>
      <w:keepLines/>
      <w:spacing w:before="260" w:after="260" w:line="415" w:lineRule="auto"/>
      <w:outlineLvl w:val="2"/>
    </w:pPr>
    <w:rPr>
      <w:b/>
      <w:bCs/>
      <w:sz w:val="32"/>
      <w:szCs w:val="32"/>
    </w:rPr>
  </w:style>
  <w:style w:type="character" w:default="1" w:styleId="21">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Normal Indent"/>
    <w:basedOn w:val="1"/>
    <w:semiHidden/>
    <w:unhideWhenUsed/>
    <w:qFormat/>
    <w:uiPriority w:val="0"/>
    <w:pPr>
      <w:ind w:firstLine="420" w:firstLineChars="200"/>
    </w:pPr>
    <w:rPr>
      <w:rFonts w:asciiTheme="minorHAnsi" w:hAnsiTheme="minorHAnsi" w:eastAsiaTheme="minorEastAsia" w:cstheme="minorBidi"/>
    </w:rPr>
  </w:style>
  <w:style w:type="paragraph" w:styleId="7">
    <w:name w:val="Body Text"/>
    <w:basedOn w:val="1"/>
    <w:qFormat/>
    <w:uiPriority w:val="0"/>
    <w:pPr>
      <w:spacing w:beforeLines="30"/>
    </w:pPr>
    <w:rPr>
      <w:rFonts w:ascii="仿宋_GB2312" w:eastAsia="仿宋_GB2312"/>
      <w:kern w:val="0"/>
      <w:sz w:val="24"/>
      <w:szCs w:val="20"/>
    </w:rPr>
  </w:style>
  <w:style w:type="paragraph" w:styleId="8">
    <w:name w:val="toc 5"/>
    <w:basedOn w:val="1"/>
    <w:next w:val="1"/>
    <w:qFormat/>
    <w:uiPriority w:val="0"/>
    <w:pPr>
      <w:ind w:left="840"/>
      <w:jc w:val="left"/>
    </w:pPr>
    <w:rPr>
      <w:rFonts w:ascii="等线" w:eastAsia="等线"/>
      <w:sz w:val="18"/>
      <w:szCs w:val="18"/>
    </w:rPr>
  </w:style>
  <w:style w:type="paragraph" w:styleId="9">
    <w:name w:val="toc 3"/>
    <w:basedOn w:val="1"/>
    <w:next w:val="1"/>
    <w:qFormat/>
    <w:uiPriority w:val="39"/>
    <w:pPr>
      <w:ind w:left="420"/>
      <w:jc w:val="left"/>
    </w:pPr>
    <w:rPr>
      <w:rFonts w:ascii="等线" w:eastAsia="等线"/>
      <w:i/>
      <w:iCs/>
      <w:sz w:val="20"/>
      <w:szCs w:val="20"/>
    </w:rPr>
  </w:style>
  <w:style w:type="paragraph" w:styleId="10">
    <w:name w:val="toc 8"/>
    <w:basedOn w:val="1"/>
    <w:next w:val="1"/>
    <w:qFormat/>
    <w:uiPriority w:val="0"/>
    <w:pPr>
      <w:ind w:left="1470"/>
      <w:jc w:val="left"/>
    </w:pPr>
    <w:rPr>
      <w:rFonts w:ascii="等线" w:eastAsia="等线"/>
      <w:sz w:val="18"/>
      <w:szCs w:val="18"/>
    </w:rPr>
  </w:style>
  <w:style w:type="paragraph" w:styleId="11">
    <w:name w:val="Balloon Text"/>
    <w:basedOn w:val="1"/>
    <w:qFormat/>
    <w:uiPriority w:val="0"/>
    <w:rPr>
      <w:sz w:val="18"/>
      <w:szCs w:val="18"/>
    </w:rPr>
  </w:style>
  <w:style w:type="paragraph" w:styleId="12">
    <w:name w:val="footer"/>
    <w:basedOn w:val="1"/>
    <w:link w:val="34"/>
    <w:qFormat/>
    <w:uiPriority w:val="0"/>
    <w:pPr>
      <w:tabs>
        <w:tab w:val="center" w:pos="4153"/>
        <w:tab w:val="right" w:pos="8306"/>
      </w:tabs>
      <w:snapToGrid w:val="0"/>
      <w:jc w:val="left"/>
    </w:pPr>
    <w:rPr>
      <w:rFonts w:ascii="Calibri" w:hAnsi="Calibri"/>
      <w:kern w:val="0"/>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39"/>
    <w:pPr>
      <w:spacing w:before="120" w:after="120"/>
      <w:jc w:val="left"/>
    </w:pPr>
    <w:rPr>
      <w:rFonts w:ascii="等线" w:eastAsia="等线"/>
      <w:b/>
      <w:bCs/>
      <w:caps/>
      <w:sz w:val="20"/>
      <w:szCs w:val="20"/>
    </w:rPr>
  </w:style>
  <w:style w:type="paragraph" w:styleId="15">
    <w:name w:val="toc 4"/>
    <w:basedOn w:val="1"/>
    <w:next w:val="1"/>
    <w:qFormat/>
    <w:uiPriority w:val="0"/>
    <w:pPr>
      <w:ind w:left="630"/>
      <w:jc w:val="left"/>
    </w:pPr>
    <w:rPr>
      <w:rFonts w:ascii="等线" w:eastAsia="等线"/>
      <w:sz w:val="18"/>
      <w:szCs w:val="18"/>
    </w:rPr>
  </w:style>
  <w:style w:type="paragraph" w:styleId="16">
    <w:name w:val="toc 6"/>
    <w:basedOn w:val="1"/>
    <w:next w:val="1"/>
    <w:qFormat/>
    <w:uiPriority w:val="0"/>
    <w:pPr>
      <w:ind w:left="1050"/>
      <w:jc w:val="left"/>
    </w:pPr>
    <w:rPr>
      <w:rFonts w:ascii="等线" w:eastAsia="等线"/>
      <w:sz w:val="18"/>
      <w:szCs w:val="18"/>
    </w:rPr>
  </w:style>
  <w:style w:type="paragraph" w:styleId="17">
    <w:name w:val="toc 2"/>
    <w:basedOn w:val="1"/>
    <w:next w:val="1"/>
    <w:qFormat/>
    <w:uiPriority w:val="39"/>
    <w:pPr>
      <w:ind w:left="210"/>
      <w:jc w:val="left"/>
    </w:pPr>
    <w:rPr>
      <w:rFonts w:ascii="等线" w:eastAsia="等线"/>
      <w:smallCaps/>
      <w:sz w:val="20"/>
      <w:szCs w:val="20"/>
    </w:rPr>
  </w:style>
  <w:style w:type="paragraph" w:styleId="18">
    <w:name w:val="toc 9"/>
    <w:basedOn w:val="1"/>
    <w:next w:val="1"/>
    <w:qFormat/>
    <w:uiPriority w:val="0"/>
    <w:pPr>
      <w:ind w:left="1680"/>
      <w:jc w:val="left"/>
    </w:pPr>
    <w:rPr>
      <w:rFonts w:ascii="等线" w:eastAsia="等线"/>
      <w:sz w:val="18"/>
      <w:szCs w:val="18"/>
    </w:rPr>
  </w:style>
  <w:style w:type="paragraph" w:styleId="19">
    <w:name w:val="Normal (Web)"/>
    <w:basedOn w:val="1"/>
    <w:uiPriority w:val="0"/>
    <w:pPr>
      <w:spacing w:before="100" w:beforeAutospacing="1" w:after="100" w:afterAutospacing="1"/>
      <w:jc w:val="left"/>
    </w:pPr>
    <w:rPr>
      <w:kern w:val="0"/>
      <w:sz w:val="24"/>
      <w:szCs w:val="20"/>
    </w:rPr>
  </w:style>
  <w:style w:type="character" w:styleId="22">
    <w:name w:val="Strong"/>
    <w:basedOn w:val="21"/>
    <w:qFormat/>
    <w:uiPriority w:val="22"/>
    <w:rPr>
      <w:rFonts w:cs="Times New Roman"/>
      <w:b/>
    </w:rPr>
  </w:style>
  <w:style w:type="character" w:styleId="23">
    <w:name w:val="Hyperlink"/>
    <w:basedOn w:val="21"/>
    <w:qFormat/>
    <w:uiPriority w:val="99"/>
    <w:rPr>
      <w:rFonts w:cs="Times New Roman"/>
      <w:color w:val="0000FF"/>
      <w:u w:val="single"/>
    </w:rPr>
  </w:style>
  <w:style w:type="character" w:customStyle="1" w:styleId="24">
    <w:name w:val="标题 1 Char"/>
    <w:basedOn w:val="21"/>
    <w:link w:val="2"/>
    <w:qFormat/>
    <w:uiPriority w:val="9"/>
    <w:rPr>
      <w:rFonts w:ascii="Times New Roman" w:hAnsi="Times New Roman" w:eastAsia="宋体" w:cs="Times New Roman"/>
      <w:b/>
      <w:bCs/>
      <w:kern w:val="44"/>
      <w:sz w:val="44"/>
      <w:szCs w:val="44"/>
      <w:lang w:val="en-US" w:eastAsia="zh-CN" w:bidi="ar-SA"/>
    </w:rPr>
  </w:style>
  <w:style w:type="character" w:customStyle="1" w:styleId="25">
    <w:name w:val="标题 2 Char"/>
    <w:basedOn w:val="21"/>
    <w:link w:val="3"/>
    <w:qFormat/>
    <w:uiPriority w:val="9"/>
    <w:rPr>
      <w:rFonts w:ascii="Cambria" w:hAnsi="Cambria" w:eastAsia="宋体" w:cs="Times New Roman"/>
      <w:b/>
      <w:bCs/>
      <w:kern w:val="2"/>
      <w:sz w:val="32"/>
      <w:szCs w:val="32"/>
      <w:lang w:val="en-US" w:eastAsia="zh-CN" w:bidi="ar-SA"/>
    </w:rPr>
  </w:style>
  <w:style w:type="character" w:customStyle="1" w:styleId="26">
    <w:name w:val="Body Text Char"/>
    <w:basedOn w:val="21"/>
    <w:qFormat/>
    <w:uiPriority w:val="0"/>
    <w:rPr>
      <w:rFonts w:ascii="Times New Roman" w:hAnsi="Times New Roman" w:cs="Times New Roman"/>
      <w:sz w:val="24"/>
      <w:szCs w:val="24"/>
    </w:rPr>
  </w:style>
  <w:style w:type="character" w:customStyle="1" w:styleId="27">
    <w:name w:val="Footer Char"/>
    <w:basedOn w:val="21"/>
    <w:qFormat/>
    <w:uiPriority w:val="0"/>
    <w:rPr>
      <w:rFonts w:ascii="Times New Roman" w:hAnsi="Times New Roman" w:cs="Times New Roman"/>
      <w:sz w:val="18"/>
      <w:szCs w:val="18"/>
    </w:rPr>
  </w:style>
  <w:style w:type="character" w:customStyle="1" w:styleId="28">
    <w:name w:val="Header Char"/>
    <w:basedOn w:val="21"/>
    <w:qFormat/>
    <w:uiPriority w:val="0"/>
    <w:rPr>
      <w:rFonts w:ascii="Times New Roman" w:hAnsi="Times New Roman" w:cs="Times New Roman"/>
      <w:sz w:val="18"/>
      <w:szCs w:val="18"/>
    </w:rPr>
  </w:style>
  <w:style w:type="paragraph" w:customStyle="1" w:styleId="29">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0">
    <w:name w:val="列表段落1"/>
    <w:basedOn w:val="1"/>
    <w:qFormat/>
    <w:uiPriority w:val="0"/>
    <w:pPr>
      <w:ind w:firstLine="200" w:firstLineChars="200"/>
    </w:pPr>
  </w:style>
  <w:style w:type="paragraph" w:customStyle="1" w:styleId="31">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2">
    <w:name w:val="TOC Heading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3">
    <w:name w:val="TOC 标题2"/>
    <w:basedOn w:val="2"/>
    <w:next w:val="1"/>
    <w:qFormat/>
    <w:uiPriority w:val="0"/>
    <w:pPr>
      <w:widowControl/>
      <w:spacing w:before="240" w:after="0" w:line="259" w:lineRule="auto"/>
      <w:jc w:val="left"/>
      <w:outlineLvl w:val="9"/>
    </w:pPr>
    <w:rPr>
      <w:rFonts w:ascii="等线 Light" w:eastAsia="等线 Light"/>
      <w:b w:val="0"/>
      <w:bCs w:val="0"/>
      <w:color w:val="2F5496"/>
      <w:kern w:val="0"/>
      <w:sz w:val="32"/>
      <w:szCs w:val="32"/>
    </w:rPr>
  </w:style>
  <w:style w:type="character" w:customStyle="1" w:styleId="34">
    <w:name w:val="页脚 Char"/>
    <w:basedOn w:val="21"/>
    <w:link w:val="12"/>
    <w:qFormat/>
    <w:uiPriority w:val="0"/>
    <w:rPr>
      <w:rFonts w:ascii="Calibri" w:hAnsi="Calibri"/>
      <w:sz w:val="18"/>
    </w:rPr>
  </w:style>
  <w:style w:type="character" w:customStyle="1" w:styleId="35">
    <w:name w:val="NormalCharacter"/>
    <w:semiHidden/>
    <w:qFormat/>
    <w:uiPriority w:val="0"/>
    <w:rPr>
      <w:kern w:val="2"/>
      <w:sz w:val="21"/>
      <w:lang w:val="en-US" w:eastAsia="zh-CN" w:bidi="ar-SA"/>
    </w:rPr>
  </w:style>
  <w:style w:type="paragraph" w:customStyle="1" w:styleId="36">
    <w:name w:val="TOC 标题3"/>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7">
    <w:name w:val="正文首行缩进1"/>
    <w:basedOn w:val="7"/>
    <w:qFormat/>
    <w:uiPriority w:val="0"/>
    <w:pPr>
      <w:spacing w:before="100" w:beforeAutospacing="1"/>
      <w:ind w:firstLine="420" w:firstLineChars="100"/>
    </w:pPr>
    <w:rPr>
      <w:rFonts w:ascii="Times New Roman" w:eastAsia="楷体_GB2312"/>
      <w:lang w:val="zh-CN"/>
    </w:rPr>
  </w:style>
  <w:style w:type="paragraph" w:styleId="3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6.xml"/><Relationship Id="rId12" Type="http://schemas.openxmlformats.org/officeDocument/2006/relationships/image" Target="media/image1.emf"/><Relationship Id="rId11" Type="http://schemas.openxmlformats.org/officeDocument/2006/relationships/oleObject" Target="embeddings/Workbook1.xls"/><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收支总计</c:v>
                </c:pt>
              </c:strCache>
            </c:strRef>
          </c:cat>
          <c:val>
            <c:numRef>
              <c:f>Sheet1!$B$2</c:f>
              <c:numCache>
                <c:formatCode>General</c:formatCode>
                <c:ptCount val="1"/>
                <c:pt idx="0">
                  <c:v>2114.93</c:v>
                </c:pt>
              </c:numCache>
            </c:numRef>
          </c:val>
        </c:ser>
        <c:ser>
          <c:idx val="1"/>
          <c:order val="1"/>
          <c:tx>
            <c:strRef>
              <c:f>Sheet1!$C$1</c:f>
              <c:strCache>
                <c:ptCount val="1"/>
                <c:pt idx="0">
                  <c:v>2021年</c:v>
                </c:pt>
              </c:strCache>
            </c:strRef>
          </c:tx>
          <c:spPr>
            <a:solidFill>
              <a:schemeClr val="accent2"/>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收支总计</c:v>
                </c:pt>
              </c:strCache>
            </c:strRef>
          </c:cat>
          <c:val>
            <c:numRef>
              <c:f>Sheet1!$C$2</c:f>
              <c:numCache>
                <c:formatCode>General</c:formatCode>
                <c:ptCount val="1"/>
                <c:pt idx="0">
                  <c:v>1529.78</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收支总计</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61827072"/>
        <c:axId val="161841152"/>
      </c:barChart>
      <c:catAx>
        <c:axId val="16182707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1841152"/>
        <c:crosses val="autoZero"/>
        <c:auto val="1"/>
        <c:lblAlgn val="ctr"/>
        <c:lblOffset val="100"/>
        <c:noMultiLvlLbl val="0"/>
      </c:catAx>
      <c:valAx>
        <c:axId val="16184115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1827072"/>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2020</a:t>
            </a:r>
            <a:r>
              <a:rPr altLang="en-US"/>
              <a:t>年收入决算情况图</a:t>
            </a:r>
            <a:endParaRPr lang="en-US" altLang="zh-CN"/>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167553737178229"/>
                  <c:y val="-0.052230831330271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1"/>
                <c:pt idx="0">
                  <c:v>一般公共预算财政拨款收入</c:v>
                </c:pt>
              </c:strCache>
            </c:strRef>
          </c:cat>
          <c:val>
            <c:numRef>
              <c:f>Sheet1!$B$2:$B$3</c:f>
              <c:numCache>
                <c:formatCode>General</c:formatCode>
                <c:ptCount val="2"/>
                <c:pt idx="0">
                  <c:v>1407.18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支出决算情况</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0853673832166117"/>
                  <c:y val="-0.03136423049912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872696474665146"/>
                  <c:y val="-0.041720936327882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843.23</c:v>
                </c:pt>
                <c:pt idx="1">
                  <c:v>686.55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财政拨款收支决算总计变动情况图</a:t>
            </a:r>
          </a:p>
        </c:rich>
      </c:tx>
      <c:layout>
        <c:manualLayout>
          <c:xMode val="edge"/>
          <c:yMode val="edge"/>
          <c:x val="0.277355302070131"/>
          <c:y val="0.0250731299623903"/>
        </c:manualLayout>
      </c:layout>
      <c:overlay val="0"/>
      <c:spPr>
        <a:noFill/>
        <a:ln>
          <a:noFill/>
        </a:ln>
        <a:effectLst/>
      </c:spPr>
    </c:title>
    <c:autoTitleDeleted val="0"/>
    <c:plotArea>
      <c:layout>
        <c:manualLayout>
          <c:layoutTarget val="inner"/>
          <c:xMode val="edge"/>
          <c:yMode val="edge"/>
          <c:x val="0.0948374253483752"/>
          <c:y val="0.142998027613412"/>
          <c:w val="0.879283344392833"/>
          <c:h val="0.654911242603559"/>
        </c:manualLayout>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收支总计</c:v>
                </c:pt>
              </c:strCache>
            </c:strRef>
          </c:cat>
          <c:val>
            <c:numRef>
              <c:f>Sheet1!$B$2</c:f>
              <c:numCache>
                <c:formatCode>General</c:formatCode>
                <c:ptCount val="1"/>
                <c:pt idx="0">
                  <c:v>2114.93</c:v>
                </c:pt>
              </c:numCache>
            </c:numRef>
          </c:val>
        </c:ser>
        <c:ser>
          <c:idx val="1"/>
          <c:order val="1"/>
          <c:tx>
            <c:strRef>
              <c:f>Sheet1!$C$1</c:f>
              <c:strCache>
                <c:ptCount val="1"/>
                <c:pt idx="0">
                  <c:v>2021年</c:v>
                </c:pt>
              </c:strCache>
            </c:strRef>
          </c:tx>
          <c:spPr>
            <a:solidFill>
              <a:schemeClr val="accent2"/>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收支总计</c:v>
                </c:pt>
              </c:strCache>
            </c:strRef>
          </c:cat>
          <c:val>
            <c:numRef>
              <c:f>Sheet1!$C$2</c:f>
              <c:numCache>
                <c:formatCode>General</c:formatCode>
                <c:ptCount val="1"/>
                <c:pt idx="0">
                  <c:v>1529.78</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收支总计</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64074240"/>
        <c:axId val="164075776"/>
      </c:barChart>
      <c:catAx>
        <c:axId val="16407424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4075776"/>
        <c:crosses val="autoZero"/>
        <c:auto val="1"/>
        <c:lblAlgn val="ctr"/>
        <c:lblOffset val="100"/>
        <c:noMultiLvlLbl val="0"/>
      </c:catAx>
      <c:valAx>
        <c:axId val="16407577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407424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1826.93</c:v>
                </c:pt>
              </c:numCache>
            </c:numRef>
          </c:val>
        </c:ser>
        <c:ser>
          <c:idx val="1"/>
          <c:order val="1"/>
          <c:tx>
            <c:strRef>
              <c:f>Sheet1!$C$1</c:f>
              <c:strCache>
                <c:ptCount val="1"/>
                <c:pt idx="0">
                  <c:v>2021年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一般公共预算财政拨款支出</c:v>
                </c:pt>
              </c:strCache>
            </c:strRef>
          </c:cat>
          <c:val>
            <c:numRef>
              <c:f>Sheet1!$C$2</c:f>
              <c:numCache>
                <c:formatCode>General</c:formatCode>
                <c:ptCount val="1"/>
                <c:pt idx="0">
                  <c:v>1407.18</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64021376"/>
        <c:axId val="164022912"/>
      </c:barChart>
      <c:catAx>
        <c:axId val="16402137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4022912"/>
        <c:crosses val="autoZero"/>
        <c:auto val="1"/>
        <c:lblAlgn val="ctr"/>
        <c:lblOffset val="100"/>
        <c:noMultiLvlLbl val="0"/>
      </c:catAx>
      <c:valAx>
        <c:axId val="16402291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4021376"/>
        <c:crosses val="autoZero"/>
        <c:crossBetween val="between"/>
      </c:valAx>
      <c:spPr>
        <a:noFill/>
        <a:ln w="25400">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4</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CCFD3F-45ED-4AB9-84D0-D3196E60B4B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62</Pages>
  <Words>21701</Words>
  <Characters>24060</Characters>
  <Lines>190</Lines>
  <Paragraphs>53</Paragraphs>
  <TotalTime>309</TotalTime>
  <ScaleCrop>false</ScaleCrop>
  <LinksUpToDate>false</LinksUpToDate>
  <CharactersWithSpaces>24158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Clover</cp:lastModifiedBy>
  <cp:lastPrinted>2022-09-29T05:46:00Z</cp:lastPrinted>
  <dcterms:modified xsi:type="dcterms:W3CDTF">2022-09-29T07:22:14Z</dcterms:modified>
  <dc:title>阿坝州部门决算说明</dc:title>
  <cp:revision>326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9940CBC6D92341A192691485D3DB5509</vt:lpwstr>
  </property>
</Properties>
</file>