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AEB69A">
      <w:pPr>
        <w:rPr>
          <w:rFonts w:ascii="Times New Roman" w:hAnsi="Times New Roman"/>
        </w:rPr>
      </w:pPr>
      <w:bookmarkStart w:id="0" w:name="_Toc15306267"/>
      <w:bookmarkStart w:id="1" w:name="_Toc15396597"/>
      <w:bookmarkStart w:id="2" w:name="_Toc15377193"/>
      <w:bookmarkStart w:id="3" w:name="_Toc15396475"/>
      <w:bookmarkStart w:id="4" w:name="_Toc15377425"/>
      <w:bookmarkStart w:id="5" w:name="_Toc15378441"/>
    </w:p>
    <w:p w14:paraId="5756E60B">
      <w:pPr>
        <w:pStyle w:val="8"/>
        <w:jc w:val="center"/>
        <w:rPr>
          <w:rFonts w:hint="eastAsia" w:ascii="Times New Roman" w:hAnsi="Times New Roman" w:eastAsia="方正小标宋简体" w:cs="Times New Roman"/>
          <w:color w:val="auto"/>
          <w:kern w:val="2"/>
          <w:sz w:val="44"/>
          <w:szCs w:val="44"/>
          <w:highlight w:val="none"/>
          <w:lang w:val="en-US" w:eastAsia="zh-CN" w:bidi="ar-SA"/>
        </w:rPr>
      </w:pPr>
    </w:p>
    <w:p w14:paraId="62B5B522">
      <w:pPr>
        <w:pStyle w:val="8"/>
        <w:jc w:val="center"/>
        <w:rPr>
          <w:rFonts w:hint="eastAsia" w:ascii="Times New Roman" w:hAnsi="Times New Roman" w:eastAsia="方正小标宋简体" w:cs="Times New Roman"/>
          <w:color w:val="auto"/>
          <w:kern w:val="2"/>
          <w:sz w:val="44"/>
          <w:szCs w:val="44"/>
          <w:highlight w:val="none"/>
          <w:lang w:val="en-US" w:eastAsia="zh-CN" w:bidi="ar-SA"/>
        </w:rPr>
      </w:pPr>
    </w:p>
    <w:p w14:paraId="61CE6EDF">
      <w:pPr>
        <w:pStyle w:val="8"/>
        <w:jc w:val="center"/>
        <w:rPr>
          <w:rFonts w:hint="eastAsia" w:ascii="Times New Roman" w:hAnsi="Times New Roman" w:eastAsia="方正小标宋简体" w:cs="Times New Roman"/>
          <w:color w:val="auto"/>
          <w:kern w:val="2"/>
          <w:sz w:val="44"/>
          <w:szCs w:val="44"/>
          <w:highlight w:val="none"/>
          <w:lang w:val="en-US" w:eastAsia="zh-CN" w:bidi="ar-SA"/>
        </w:rPr>
      </w:pPr>
    </w:p>
    <w:p w14:paraId="4135D9A5">
      <w:pPr>
        <w:pStyle w:val="8"/>
        <w:jc w:val="center"/>
        <w:rPr>
          <w:rFonts w:hint="eastAsia" w:ascii="Times New Roman" w:hAnsi="Times New Roman" w:eastAsia="方正小标宋简体" w:cs="Times New Roman"/>
          <w:color w:val="auto"/>
          <w:kern w:val="2"/>
          <w:sz w:val="44"/>
          <w:szCs w:val="44"/>
          <w:highlight w:val="none"/>
          <w:lang w:val="en-US" w:eastAsia="zh-CN" w:bidi="ar-SA"/>
        </w:rPr>
      </w:pPr>
    </w:p>
    <w:bookmarkEnd w:id="0"/>
    <w:bookmarkEnd w:id="1"/>
    <w:bookmarkEnd w:id="2"/>
    <w:bookmarkEnd w:id="3"/>
    <w:bookmarkEnd w:id="4"/>
    <w:bookmarkEnd w:id="5"/>
    <w:p w14:paraId="16B2959E">
      <w:pPr>
        <w:pStyle w:val="8"/>
        <w:jc w:val="center"/>
        <w:rPr>
          <w:rFonts w:hint="eastAsia" w:ascii="Times New Roman" w:eastAsia="方正小标宋简体" w:cs="Times New Roman"/>
          <w:color w:val="auto"/>
          <w:kern w:val="2"/>
          <w:sz w:val="44"/>
          <w:szCs w:val="44"/>
          <w:highlight w:val="none"/>
          <w:lang w:val="en-US" w:eastAsia="zh-CN" w:bidi="ar-SA"/>
        </w:rPr>
      </w:pPr>
      <w:bookmarkStart w:id="6" w:name="_Toc15377194"/>
      <w:bookmarkStart w:id="7" w:name="_Toc15377426"/>
      <w:bookmarkStart w:id="8" w:name="_Toc15396476"/>
      <w:bookmarkStart w:id="9" w:name="_Toc15396598"/>
      <w:bookmarkStart w:id="10" w:name="_Toc15378442"/>
      <w:r>
        <w:rPr>
          <w:rFonts w:hint="eastAsia" w:ascii="Times New Roman" w:hAnsi="Times New Roman" w:eastAsia="方正小标宋简体" w:cs="Times New Roman"/>
          <w:color w:val="auto"/>
          <w:kern w:val="2"/>
          <w:sz w:val="44"/>
          <w:szCs w:val="44"/>
          <w:highlight w:val="none"/>
          <w:lang w:val="en-US" w:eastAsia="zh-CN" w:bidi="ar-SA"/>
        </w:rPr>
        <w:t>2024年度四川省</w:t>
      </w:r>
      <w:bookmarkStart w:id="11" w:name="_Toc15306268"/>
      <w:r>
        <w:rPr>
          <w:rFonts w:hint="eastAsia" w:ascii="Times New Roman" w:eastAsia="方正小标宋简体" w:cs="Times New Roman"/>
          <w:color w:val="auto"/>
          <w:kern w:val="2"/>
          <w:sz w:val="44"/>
          <w:szCs w:val="44"/>
          <w:highlight w:val="none"/>
          <w:lang w:val="en-US" w:eastAsia="zh-CN" w:bidi="ar-SA"/>
        </w:rPr>
        <w:t>阿坝州</w:t>
      </w:r>
    </w:p>
    <w:p w14:paraId="4F20CD3C">
      <w:pPr>
        <w:pStyle w:val="8"/>
        <w:jc w:val="center"/>
        <w:rPr>
          <w:rFonts w:hint="eastAsia" w:ascii="Times New Roman" w:hAnsi="Times New Roman" w:eastAsia="方正小标宋简体" w:cs="Times New Roman"/>
          <w:color w:val="auto"/>
          <w:kern w:val="2"/>
          <w:sz w:val="44"/>
          <w:szCs w:val="44"/>
          <w:highlight w:val="none"/>
          <w:lang w:val="en-US" w:eastAsia="zh-CN" w:bidi="ar-SA"/>
        </w:rPr>
      </w:pPr>
      <w:r>
        <w:rPr>
          <w:rFonts w:hint="eastAsia" w:ascii="Times New Roman" w:eastAsia="方正小标宋简体" w:cs="Times New Roman"/>
          <w:color w:val="auto"/>
          <w:kern w:val="2"/>
          <w:sz w:val="44"/>
          <w:szCs w:val="44"/>
          <w:highlight w:val="none"/>
          <w:lang w:val="en-US" w:eastAsia="zh-CN" w:bidi="ar-SA"/>
        </w:rPr>
        <w:t>茂县沟口镇人民政府</w:t>
      </w:r>
      <w:r>
        <w:rPr>
          <w:rFonts w:hint="eastAsia" w:ascii="Times New Roman" w:hAnsi="Times New Roman" w:eastAsia="方正小标宋简体" w:cs="Times New Roman"/>
          <w:color w:val="auto"/>
          <w:kern w:val="2"/>
          <w:sz w:val="44"/>
          <w:szCs w:val="44"/>
          <w:highlight w:val="none"/>
          <w:lang w:val="en-US" w:eastAsia="zh-CN" w:bidi="ar-SA"/>
        </w:rPr>
        <w:t>决算</w:t>
      </w:r>
      <w:bookmarkEnd w:id="6"/>
      <w:bookmarkEnd w:id="7"/>
      <w:bookmarkEnd w:id="8"/>
      <w:bookmarkEnd w:id="9"/>
      <w:bookmarkEnd w:id="10"/>
      <w:bookmarkEnd w:id="11"/>
      <w:r>
        <w:rPr>
          <w:rFonts w:hint="eastAsia" w:ascii="Times New Roman" w:eastAsia="方正小标宋简体" w:cs="Times New Roman"/>
          <w:color w:val="auto"/>
          <w:kern w:val="2"/>
          <w:sz w:val="44"/>
          <w:szCs w:val="44"/>
          <w:highlight w:val="none"/>
          <w:lang w:val="en-US" w:eastAsia="zh-CN" w:bidi="ar-SA"/>
        </w:rPr>
        <w:t>公开报告</w:t>
      </w:r>
    </w:p>
    <w:p w14:paraId="30F13AEA">
      <w:pPr>
        <w:widowControl/>
        <w:jc w:val="center"/>
        <w:rPr>
          <w:rFonts w:ascii="Times New Roman" w:hAnsi="Times New Roman" w:eastAsia="黑体"/>
          <w:color w:val="auto"/>
          <w:sz w:val="48"/>
          <w:szCs w:val="48"/>
          <w:highlight w:val="none"/>
        </w:rPr>
      </w:pPr>
      <w:r>
        <w:rPr>
          <w:rFonts w:ascii="Times New Roman" w:hAnsi="Times New Roman" w:eastAsia="方正小标宋简体"/>
          <w:color w:val="auto"/>
          <w:sz w:val="36"/>
          <w:szCs w:val="36"/>
          <w:highlight w:val="none"/>
        </w:rPr>
        <w:br w:type="page"/>
      </w:r>
      <w:r>
        <w:rPr>
          <w:rFonts w:hint="eastAsia" w:ascii="Times New Roman" w:hAnsi="Times New Roman" w:eastAsia="黑体"/>
          <w:color w:val="auto"/>
          <w:sz w:val="48"/>
          <w:szCs w:val="48"/>
          <w:highlight w:val="none"/>
        </w:rPr>
        <w:t>目录</w:t>
      </w:r>
    </w:p>
    <w:p w14:paraId="624BA197">
      <w:pPr>
        <w:widowControl/>
        <w:jc w:val="center"/>
        <w:rPr>
          <w:rFonts w:ascii="Times New Roman" w:hAnsi="Times New Roman" w:eastAsia="黑体" w:cstheme="minorBidi"/>
          <w:color w:val="auto"/>
          <w:sz w:val="28"/>
          <w:szCs w:val="28"/>
          <w:highlight w:val="none"/>
        </w:rPr>
      </w:pPr>
    </w:p>
    <w:p w14:paraId="3C82B263">
      <w:pPr>
        <w:pStyle w:val="13"/>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9</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日</w:t>
      </w:r>
    </w:p>
    <w:p w14:paraId="035203C4">
      <w:pPr>
        <w:rPr>
          <w:rFonts w:ascii="Times New Roman" w:hAnsi="Times New Roman"/>
          <w:color w:val="auto"/>
          <w:highlight w:val="none"/>
        </w:rPr>
      </w:pPr>
    </w:p>
    <w:sdt>
      <w:sdtPr>
        <w:rPr>
          <w:rFonts w:ascii="宋体" w:hAnsi="宋体" w:eastAsia="宋体" w:cs="Times New Roman"/>
          <w:kern w:val="2"/>
          <w:sz w:val="21"/>
          <w:szCs w:val="24"/>
          <w:lang w:val="en-US" w:eastAsia="zh-CN" w:bidi="ar-SA"/>
        </w:rPr>
        <w:id w:val="147478439"/>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14:paraId="199EA4A9">
          <w:pPr>
            <w:spacing w:before="0" w:beforeLines="0" w:after="0" w:afterLines="0" w:line="240" w:lineRule="auto"/>
            <w:ind w:left="0" w:leftChars="0" w:right="0" w:rightChars="0" w:firstLine="0" w:firstLineChars="0"/>
            <w:jc w:val="center"/>
          </w:pPr>
          <w:bookmarkStart w:id="12" w:name="_Toc15396599"/>
          <w:bookmarkStart w:id="13" w:name="_Toc15377196"/>
        </w:p>
        <w:p w14:paraId="3E1016F7">
          <w:pPr>
            <w:pStyle w:val="13"/>
            <w:tabs>
              <w:tab w:val="right" w:leader="dot" w:pos="8306"/>
              <w:tab w:val="clear" w:pos="8296"/>
            </w:tabs>
          </w:pPr>
          <w:r>
            <w:fldChar w:fldCharType="begin"/>
          </w:r>
          <w:r>
            <w:instrText xml:space="preserve">TOC \o "1-2" \h \u </w:instrText>
          </w:r>
          <w:r>
            <w:fldChar w:fldCharType="separate"/>
          </w:r>
          <w:r>
            <w:rPr>
              <w:b/>
              <w:bCs/>
            </w:rPr>
            <w:fldChar w:fldCharType="begin"/>
          </w:r>
          <w:r>
            <w:rPr>
              <w:b/>
              <w:bCs/>
            </w:rPr>
            <w:instrText xml:space="preserve"> HYPERLINK \l _Toc5571 </w:instrText>
          </w:r>
          <w:r>
            <w:rPr>
              <w:b/>
              <w:bCs/>
            </w:rPr>
            <w:fldChar w:fldCharType="separate"/>
          </w:r>
          <w:r>
            <w:rPr>
              <w:rFonts w:hint="eastAsia"/>
              <w:b/>
              <w:bCs/>
            </w:rPr>
            <w:t>第一部分</w:t>
          </w:r>
          <w:r>
            <w:rPr>
              <w:rFonts w:hint="eastAsia"/>
              <w:b/>
              <w:bCs/>
              <w:lang w:val="en-US" w:eastAsia="zh-CN"/>
            </w:rPr>
            <w:t xml:space="preserve"> </w:t>
          </w:r>
          <w:r>
            <w:rPr>
              <w:rFonts w:hint="eastAsia"/>
              <w:b/>
              <w:bCs/>
            </w:rPr>
            <w:t xml:space="preserve"> 部门概况</w:t>
          </w:r>
          <w:r>
            <w:rPr>
              <w:b/>
              <w:bCs/>
            </w:rPr>
            <w:tab/>
          </w:r>
          <w:r>
            <w:rPr>
              <w:b/>
              <w:bCs/>
            </w:rPr>
            <w:fldChar w:fldCharType="begin"/>
          </w:r>
          <w:r>
            <w:rPr>
              <w:b/>
              <w:bCs/>
            </w:rPr>
            <w:instrText xml:space="preserve"> PAGEREF _Toc5571 \h </w:instrText>
          </w:r>
          <w:r>
            <w:rPr>
              <w:b/>
              <w:bCs/>
            </w:rPr>
            <w:fldChar w:fldCharType="separate"/>
          </w:r>
          <w:r>
            <w:rPr>
              <w:b/>
              <w:bCs/>
            </w:rPr>
            <w:t>- 3 -</w:t>
          </w:r>
          <w:r>
            <w:rPr>
              <w:b/>
              <w:bCs/>
            </w:rPr>
            <w:fldChar w:fldCharType="end"/>
          </w:r>
          <w:r>
            <w:rPr>
              <w:b/>
              <w:bCs/>
            </w:rPr>
            <w:fldChar w:fldCharType="end"/>
          </w:r>
        </w:p>
        <w:p w14:paraId="44E58107">
          <w:pPr>
            <w:pStyle w:val="15"/>
            <w:tabs>
              <w:tab w:val="right" w:leader="dot" w:pos="8306"/>
              <w:tab w:val="clear" w:pos="8296"/>
            </w:tabs>
          </w:pPr>
          <w:r>
            <w:fldChar w:fldCharType="begin"/>
          </w:r>
          <w:r>
            <w:instrText xml:space="preserve"> HYPERLINK \l _Toc21899 </w:instrText>
          </w:r>
          <w:r>
            <w:fldChar w:fldCharType="separate"/>
          </w:r>
          <w:r>
            <w:rPr>
              <w:rFonts w:hint="eastAsia" w:ascii="Times New Roman" w:hAnsi="Times New Roman" w:eastAsia="黑体"/>
              <w:bCs w:val="0"/>
              <w:lang w:val="en-US" w:eastAsia="zh-CN" w:bidi="ar-SA"/>
            </w:rPr>
            <w:t xml:space="preserve">一、 </w:t>
          </w:r>
          <w:r>
            <w:rPr>
              <w:rFonts w:hint="eastAsia" w:ascii="Times New Roman" w:hAnsi="Times New Roman" w:eastAsia="黑体"/>
              <w:bCs w:val="0"/>
              <w:highlight w:val="none"/>
              <w:lang w:val="en-US" w:eastAsia="zh-CN" w:bidi="ar-SA"/>
            </w:rPr>
            <w:t>部门职责</w:t>
          </w:r>
          <w:r>
            <w:tab/>
          </w:r>
          <w:r>
            <w:fldChar w:fldCharType="begin"/>
          </w:r>
          <w:r>
            <w:instrText xml:space="preserve"> PAGEREF _Toc21899 \h </w:instrText>
          </w:r>
          <w:r>
            <w:fldChar w:fldCharType="separate"/>
          </w:r>
          <w:r>
            <w:t>- 3 -</w:t>
          </w:r>
          <w:r>
            <w:fldChar w:fldCharType="end"/>
          </w:r>
          <w:r>
            <w:fldChar w:fldCharType="end"/>
          </w:r>
        </w:p>
        <w:p w14:paraId="3821ED2E">
          <w:pPr>
            <w:pStyle w:val="15"/>
            <w:tabs>
              <w:tab w:val="right" w:leader="dot" w:pos="8306"/>
              <w:tab w:val="clear" w:pos="8296"/>
            </w:tabs>
          </w:pPr>
          <w:r>
            <w:fldChar w:fldCharType="begin"/>
          </w:r>
          <w:r>
            <w:instrText xml:space="preserve"> HYPERLINK \l _Toc11293 </w:instrText>
          </w:r>
          <w:r>
            <w:fldChar w:fldCharType="separate"/>
          </w:r>
          <w:r>
            <w:rPr>
              <w:rFonts w:hint="eastAsia" w:ascii="Times New Roman" w:hAnsi="Times New Roman" w:eastAsia="黑体"/>
              <w:highlight w:val="none"/>
            </w:rPr>
            <w:t>二、机</w:t>
          </w:r>
          <w:r>
            <w:rPr>
              <w:rFonts w:hint="eastAsia" w:ascii="Times New Roman" w:hAnsi="Times New Roman" w:eastAsia="黑体"/>
              <w:bCs w:val="0"/>
              <w:highlight w:val="none"/>
            </w:rPr>
            <w:t>构设置</w:t>
          </w:r>
          <w:r>
            <w:tab/>
          </w:r>
          <w:r>
            <w:fldChar w:fldCharType="begin"/>
          </w:r>
          <w:r>
            <w:instrText xml:space="preserve"> PAGEREF _Toc11293 \h </w:instrText>
          </w:r>
          <w:r>
            <w:fldChar w:fldCharType="separate"/>
          </w:r>
          <w:r>
            <w:t>- 4 -</w:t>
          </w:r>
          <w:r>
            <w:fldChar w:fldCharType="end"/>
          </w:r>
          <w:r>
            <w:fldChar w:fldCharType="end"/>
          </w:r>
        </w:p>
        <w:p w14:paraId="6385B1D7">
          <w:pPr>
            <w:pStyle w:val="13"/>
            <w:tabs>
              <w:tab w:val="right" w:leader="dot" w:pos="8306"/>
              <w:tab w:val="clear" w:pos="8296"/>
            </w:tabs>
          </w:pPr>
          <w:r>
            <w:fldChar w:fldCharType="begin"/>
          </w:r>
          <w:r>
            <w:instrText xml:space="preserve"> HYPERLINK \l _Toc18458 </w:instrText>
          </w:r>
          <w:r>
            <w:fldChar w:fldCharType="separate"/>
          </w:r>
          <w:r>
            <w:rPr>
              <w:rFonts w:hint="eastAsia" w:ascii="Times New Roman" w:hAnsi="Times New Roman" w:eastAsia="方正小标宋简体" w:cs="方正小标宋简体"/>
              <w:highlight w:val="none"/>
            </w:rPr>
            <w:t>第二部分</w:t>
          </w:r>
          <w:r>
            <w:rPr>
              <w:rFonts w:hint="eastAsia" w:ascii="Times New Roman" w:hAnsi="Times New Roman" w:eastAsia="方正小标宋简体" w:cs="方正小标宋简体"/>
              <w:highlight w:val="none"/>
              <w:lang w:val="en-US" w:eastAsia="zh-CN"/>
            </w:rPr>
            <w:t xml:space="preserve"> </w:t>
          </w:r>
          <w:r>
            <w:rPr>
              <w:rFonts w:hint="eastAsia" w:ascii="Times New Roman" w:hAnsi="Times New Roman" w:eastAsia="方正小标宋简体" w:cs="方正小标宋简体"/>
              <w:highlight w:val="none"/>
            </w:rPr>
            <w:t xml:space="preserve"> </w:t>
          </w:r>
          <w:r>
            <w:rPr>
              <w:rFonts w:hint="eastAsia" w:ascii="Times New Roman" w:hAnsi="Times New Roman" w:eastAsia="方正小标宋简体" w:cs="方正小标宋简体"/>
              <w:highlight w:val="none"/>
              <w:lang w:val="en-US" w:eastAsia="zh-CN"/>
            </w:rPr>
            <w:t>2024年度</w:t>
          </w:r>
          <w:r>
            <w:rPr>
              <w:rFonts w:hint="eastAsia" w:ascii="Times New Roman" w:hAnsi="Times New Roman" w:eastAsia="方正小标宋简体" w:cs="方正小标宋简体"/>
              <w:highlight w:val="none"/>
            </w:rPr>
            <w:t>部门决算情况说明</w:t>
          </w:r>
          <w:r>
            <w:tab/>
          </w:r>
          <w:r>
            <w:fldChar w:fldCharType="begin"/>
          </w:r>
          <w:r>
            <w:instrText xml:space="preserve"> PAGEREF _Toc18458 \h </w:instrText>
          </w:r>
          <w:r>
            <w:fldChar w:fldCharType="separate"/>
          </w:r>
          <w:r>
            <w:t>- 5 -</w:t>
          </w:r>
          <w:r>
            <w:fldChar w:fldCharType="end"/>
          </w:r>
          <w:r>
            <w:fldChar w:fldCharType="end"/>
          </w:r>
        </w:p>
        <w:p w14:paraId="344A5324">
          <w:pPr>
            <w:pStyle w:val="15"/>
            <w:tabs>
              <w:tab w:val="right" w:leader="dot" w:pos="8306"/>
              <w:tab w:val="clear" w:pos="8296"/>
            </w:tabs>
          </w:pPr>
          <w:r>
            <w:fldChar w:fldCharType="begin"/>
          </w:r>
          <w:r>
            <w:instrText xml:space="preserve"> HYPERLINK \l _Toc12474 </w:instrText>
          </w:r>
          <w:r>
            <w:fldChar w:fldCharType="separate"/>
          </w:r>
          <w:r>
            <w:rPr>
              <w:rFonts w:hint="eastAsia" w:ascii="Times New Roman" w:hAnsi="Times New Roman" w:eastAsia="黑体"/>
              <w:szCs w:val="32"/>
              <w:highlight w:val="none"/>
              <w:lang w:eastAsia="zh-CN"/>
            </w:rPr>
            <w:t>一、</w:t>
          </w:r>
          <w:r>
            <w:rPr>
              <w:rFonts w:hint="eastAsia" w:ascii="Times New Roman" w:hAnsi="Times New Roman" w:eastAsia="黑体"/>
              <w:szCs w:val="32"/>
              <w:highlight w:val="none"/>
            </w:rPr>
            <w:t>收</w:t>
          </w:r>
          <w:r>
            <w:rPr>
              <w:rFonts w:hint="eastAsia" w:ascii="Times New Roman" w:hAnsi="Times New Roman" w:eastAsia="黑体"/>
              <w:highlight w:val="none"/>
            </w:rPr>
            <w:t>入支出决算总体情况说明</w:t>
          </w:r>
          <w:r>
            <w:tab/>
          </w:r>
          <w:r>
            <w:fldChar w:fldCharType="begin"/>
          </w:r>
          <w:r>
            <w:instrText xml:space="preserve"> PAGEREF _Toc12474 \h </w:instrText>
          </w:r>
          <w:r>
            <w:fldChar w:fldCharType="separate"/>
          </w:r>
          <w:r>
            <w:t>- 5 -</w:t>
          </w:r>
          <w:r>
            <w:fldChar w:fldCharType="end"/>
          </w:r>
          <w:r>
            <w:fldChar w:fldCharType="end"/>
          </w:r>
        </w:p>
        <w:p w14:paraId="67BEC1A4">
          <w:pPr>
            <w:pStyle w:val="15"/>
            <w:tabs>
              <w:tab w:val="right" w:leader="dot" w:pos="8306"/>
              <w:tab w:val="clear" w:pos="8296"/>
            </w:tabs>
          </w:pPr>
          <w:r>
            <w:fldChar w:fldCharType="begin"/>
          </w:r>
          <w:r>
            <w:instrText xml:space="preserve"> HYPERLINK \l _Toc20463 </w:instrText>
          </w:r>
          <w:r>
            <w:fldChar w:fldCharType="separate"/>
          </w:r>
          <w:r>
            <w:rPr>
              <w:rFonts w:hint="eastAsia" w:ascii="Times New Roman" w:hAnsi="Times New Roman" w:eastAsia="黑体"/>
              <w:szCs w:val="32"/>
              <w:highlight w:val="none"/>
              <w:lang w:eastAsia="zh-CN"/>
            </w:rPr>
            <w:t>二、收入决算情况说明</w:t>
          </w:r>
          <w:r>
            <w:tab/>
          </w:r>
          <w:r>
            <w:fldChar w:fldCharType="begin"/>
          </w:r>
          <w:r>
            <w:instrText xml:space="preserve"> PAGEREF _Toc20463 \h </w:instrText>
          </w:r>
          <w:r>
            <w:fldChar w:fldCharType="separate"/>
          </w:r>
          <w:r>
            <w:t>- 5 -</w:t>
          </w:r>
          <w:r>
            <w:fldChar w:fldCharType="end"/>
          </w:r>
          <w:r>
            <w:fldChar w:fldCharType="end"/>
          </w:r>
        </w:p>
        <w:p w14:paraId="5503A0BC">
          <w:pPr>
            <w:pStyle w:val="15"/>
            <w:tabs>
              <w:tab w:val="right" w:leader="dot" w:pos="8306"/>
              <w:tab w:val="clear" w:pos="8296"/>
            </w:tabs>
          </w:pPr>
          <w:r>
            <w:fldChar w:fldCharType="begin"/>
          </w:r>
          <w:r>
            <w:instrText xml:space="preserve"> HYPERLINK \l _Toc23788 </w:instrText>
          </w:r>
          <w:r>
            <w:fldChar w:fldCharType="separate"/>
          </w:r>
          <w:r>
            <w:rPr>
              <w:rFonts w:hint="eastAsia" w:ascii="Times New Roman" w:hAnsi="Times New Roman" w:eastAsia="黑体"/>
              <w:szCs w:val="32"/>
              <w:highlight w:val="none"/>
              <w:lang w:eastAsia="zh-CN"/>
            </w:rPr>
            <w:t>三、</w:t>
          </w:r>
          <w:r>
            <w:rPr>
              <w:rFonts w:hint="eastAsia" w:ascii="Times New Roman" w:hAnsi="Times New Roman" w:eastAsia="黑体"/>
              <w:szCs w:val="32"/>
              <w:highlight w:val="none"/>
            </w:rPr>
            <w:t>支</w:t>
          </w:r>
          <w:r>
            <w:rPr>
              <w:rFonts w:hint="eastAsia" w:ascii="Times New Roman" w:hAnsi="Times New Roman" w:eastAsia="黑体"/>
              <w:highlight w:val="none"/>
            </w:rPr>
            <w:t>出决算情况说明</w:t>
          </w:r>
          <w:r>
            <w:tab/>
          </w:r>
          <w:r>
            <w:fldChar w:fldCharType="begin"/>
          </w:r>
          <w:r>
            <w:instrText xml:space="preserve"> PAGEREF _Toc23788 \h </w:instrText>
          </w:r>
          <w:r>
            <w:fldChar w:fldCharType="separate"/>
          </w:r>
          <w:r>
            <w:t>- 6 -</w:t>
          </w:r>
          <w:r>
            <w:fldChar w:fldCharType="end"/>
          </w:r>
          <w:r>
            <w:fldChar w:fldCharType="end"/>
          </w:r>
        </w:p>
        <w:p w14:paraId="79AE1A03">
          <w:pPr>
            <w:pStyle w:val="15"/>
            <w:tabs>
              <w:tab w:val="right" w:leader="dot" w:pos="8306"/>
              <w:tab w:val="clear" w:pos="8296"/>
            </w:tabs>
          </w:pPr>
          <w:r>
            <w:fldChar w:fldCharType="begin"/>
          </w:r>
          <w:r>
            <w:instrText xml:space="preserve"> HYPERLINK \l _Toc19056 </w:instrText>
          </w:r>
          <w:r>
            <w:fldChar w:fldCharType="separate"/>
          </w:r>
          <w:r>
            <w:rPr>
              <w:rFonts w:hint="eastAsia" w:ascii="Times New Roman" w:hAnsi="Times New Roman" w:eastAsia="黑体"/>
              <w:szCs w:val="32"/>
              <w:highlight w:val="none"/>
            </w:rPr>
            <w:t>四、财</w:t>
          </w:r>
          <w:r>
            <w:rPr>
              <w:rFonts w:hint="eastAsia" w:ascii="Times New Roman" w:hAnsi="Times New Roman" w:eastAsia="黑体"/>
              <w:highlight w:val="none"/>
            </w:rPr>
            <w:t>政拨款收入支出决算总体情况说明</w:t>
          </w:r>
          <w:r>
            <w:tab/>
          </w:r>
          <w:r>
            <w:fldChar w:fldCharType="begin"/>
          </w:r>
          <w:r>
            <w:instrText xml:space="preserve"> PAGEREF _Toc19056 \h </w:instrText>
          </w:r>
          <w:r>
            <w:fldChar w:fldCharType="separate"/>
          </w:r>
          <w:r>
            <w:t>- 6 -</w:t>
          </w:r>
          <w:r>
            <w:fldChar w:fldCharType="end"/>
          </w:r>
          <w:r>
            <w:fldChar w:fldCharType="end"/>
          </w:r>
        </w:p>
        <w:p w14:paraId="65353CCC">
          <w:pPr>
            <w:pStyle w:val="15"/>
            <w:tabs>
              <w:tab w:val="right" w:leader="dot" w:pos="8306"/>
              <w:tab w:val="clear" w:pos="8296"/>
            </w:tabs>
          </w:pPr>
          <w:r>
            <w:fldChar w:fldCharType="begin"/>
          </w:r>
          <w:r>
            <w:instrText xml:space="preserve"> HYPERLINK \l _Toc14229 </w:instrText>
          </w:r>
          <w:r>
            <w:fldChar w:fldCharType="separate"/>
          </w:r>
          <w:r>
            <w:rPr>
              <w:rFonts w:hint="eastAsia" w:ascii="Times New Roman" w:hAnsi="Times New Roman" w:eastAsia="黑体"/>
              <w:szCs w:val="32"/>
              <w:highlight w:val="none"/>
            </w:rPr>
            <w:t>五、一</w:t>
          </w:r>
          <w:r>
            <w:rPr>
              <w:rFonts w:hint="eastAsia" w:ascii="Times New Roman" w:hAnsi="Times New Roman" w:eastAsia="黑体"/>
              <w:highlight w:val="none"/>
            </w:rPr>
            <w:t>般公共预算财政拨款支出决算情况说明</w:t>
          </w:r>
          <w:r>
            <w:tab/>
          </w:r>
          <w:r>
            <w:fldChar w:fldCharType="begin"/>
          </w:r>
          <w:r>
            <w:instrText xml:space="preserve"> PAGEREF _Toc14229 \h </w:instrText>
          </w:r>
          <w:r>
            <w:fldChar w:fldCharType="separate"/>
          </w:r>
          <w:r>
            <w:t>- 6 -</w:t>
          </w:r>
          <w:r>
            <w:fldChar w:fldCharType="end"/>
          </w:r>
          <w:r>
            <w:fldChar w:fldCharType="end"/>
          </w:r>
        </w:p>
        <w:p w14:paraId="15E80AC2">
          <w:pPr>
            <w:pStyle w:val="15"/>
            <w:tabs>
              <w:tab w:val="right" w:leader="dot" w:pos="8306"/>
              <w:tab w:val="clear" w:pos="8296"/>
            </w:tabs>
          </w:pPr>
          <w:r>
            <w:fldChar w:fldCharType="begin"/>
          </w:r>
          <w:r>
            <w:instrText xml:space="preserve"> HYPERLINK \l _Toc5208 </w:instrText>
          </w:r>
          <w:r>
            <w:fldChar w:fldCharType="separate"/>
          </w:r>
          <w:r>
            <w:rPr>
              <w:rFonts w:hint="eastAsia" w:ascii="Times New Roman" w:hAnsi="Times New Roman" w:eastAsia="黑体"/>
              <w:szCs w:val="32"/>
              <w:highlight w:val="none"/>
            </w:rPr>
            <w:t>六、一</w:t>
          </w:r>
          <w:r>
            <w:rPr>
              <w:rFonts w:hint="eastAsia" w:ascii="Times New Roman" w:hAnsi="Times New Roman" w:eastAsia="黑体"/>
              <w:highlight w:val="none"/>
            </w:rPr>
            <w:t>般公共预算财政拨款基本支出决算情况说明</w:t>
          </w:r>
          <w:r>
            <w:tab/>
          </w:r>
          <w:r>
            <w:fldChar w:fldCharType="begin"/>
          </w:r>
          <w:r>
            <w:instrText xml:space="preserve"> PAGEREF _Toc5208 \h </w:instrText>
          </w:r>
          <w:r>
            <w:fldChar w:fldCharType="separate"/>
          </w:r>
          <w:r>
            <w:t>- 8 -</w:t>
          </w:r>
          <w:r>
            <w:fldChar w:fldCharType="end"/>
          </w:r>
          <w:r>
            <w:fldChar w:fldCharType="end"/>
          </w:r>
        </w:p>
        <w:p w14:paraId="7CBFF2F7">
          <w:pPr>
            <w:pStyle w:val="15"/>
            <w:tabs>
              <w:tab w:val="right" w:leader="dot" w:pos="8306"/>
              <w:tab w:val="clear" w:pos="8296"/>
            </w:tabs>
          </w:pPr>
          <w:r>
            <w:fldChar w:fldCharType="begin"/>
          </w:r>
          <w:r>
            <w:instrText xml:space="preserve"> HYPERLINK \l _Toc30894 </w:instrText>
          </w:r>
          <w:r>
            <w:fldChar w:fldCharType="separate"/>
          </w:r>
          <w:r>
            <w:rPr>
              <w:rFonts w:hint="eastAsia" w:ascii="Times New Roman" w:hAnsi="Times New Roman" w:eastAsia="黑体"/>
              <w:szCs w:val="32"/>
              <w:highlight w:val="none"/>
            </w:rPr>
            <w:t>七、</w:t>
          </w:r>
          <w:r>
            <w:rPr>
              <w:rFonts w:hint="eastAsia" w:ascii="Times New Roman" w:hAnsi="Times New Roman" w:eastAsia="黑体"/>
              <w:highlight w:val="none"/>
            </w:rPr>
            <w:t>财政拨款“三公”经费支出决算情况说明</w:t>
          </w:r>
          <w:r>
            <w:tab/>
          </w:r>
          <w:r>
            <w:fldChar w:fldCharType="begin"/>
          </w:r>
          <w:r>
            <w:instrText xml:space="preserve"> PAGEREF _Toc30894 \h </w:instrText>
          </w:r>
          <w:r>
            <w:fldChar w:fldCharType="separate"/>
          </w:r>
          <w:r>
            <w:t>- 9 -</w:t>
          </w:r>
          <w:r>
            <w:fldChar w:fldCharType="end"/>
          </w:r>
          <w:r>
            <w:fldChar w:fldCharType="end"/>
          </w:r>
        </w:p>
        <w:p w14:paraId="0229B954">
          <w:pPr>
            <w:pStyle w:val="15"/>
            <w:tabs>
              <w:tab w:val="right" w:leader="dot" w:pos="8306"/>
              <w:tab w:val="clear" w:pos="8296"/>
            </w:tabs>
          </w:pPr>
          <w:r>
            <w:fldChar w:fldCharType="begin"/>
          </w:r>
          <w:r>
            <w:instrText xml:space="preserve"> HYPERLINK \l _Toc26171 </w:instrText>
          </w:r>
          <w:r>
            <w:fldChar w:fldCharType="separate"/>
          </w:r>
          <w:r>
            <w:rPr>
              <w:rFonts w:hint="eastAsia" w:ascii="Times New Roman" w:hAnsi="Times New Roman" w:eastAsia="黑体"/>
              <w:szCs w:val="32"/>
              <w:highlight w:val="none"/>
            </w:rPr>
            <w:t>八、</w:t>
          </w:r>
          <w:r>
            <w:rPr>
              <w:rFonts w:hint="eastAsia" w:ascii="Times New Roman" w:hAnsi="Times New Roman" w:eastAsia="黑体"/>
              <w:highlight w:val="none"/>
            </w:rPr>
            <w:t>政府性基金预算支出决算情况说明</w:t>
          </w:r>
          <w:r>
            <w:tab/>
          </w:r>
          <w:r>
            <w:fldChar w:fldCharType="begin"/>
          </w:r>
          <w:r>
            <w:instrText xml:space="preserve"> PAGEREF _Toc26171 \h </w:instrText>
          </w:r>
          <w:r>
            <w:fldChar w:fldCharType="separate"/>
          </w:r>
          <w:r>
            <w:t>- 9 -</w:t>
          </w:r>
          <w:r>
            <w:fldChar w:fldCharType="end"/>
          </w:r>
          <w:r>
            <w:fldChar w:fldCharType="end"/>
          </w:r>
        </w:p>
        <w:p w14:paraId="1F26DA13">
          <w:pPr>
            <w:pStyle w:val="15"/>
            <w:tabs>
              <w:tab w:val="right" w:leader="dot" w:pos="8306"/>
              <w:tab w:val="clear" w:pos="8296"/>
            </w:tabs>
          </w:pPr>
          <w:r>
            <w:fldChar w:fldCharType="begin"/>
          </w:r>
          <w:r>
            <w:instrText xml:space="preserve"> HYPERLINK \l _Toc28308 </w:instrText>
          </w:r>
          <w:r>
            <w:fldChar w:fldCharType="separate"/>
          </w:r>
          <w:r>
            <w:rPr>
              <w:rFonts w:hint="eastAsia" w:ascii="Times New Roman" w:hAnsi="Times New Roman" w:eastAsia="黑体"/>
              <w:highlight w:val="none"/>
              <w:lang w:eastAsia="zh-CN"/>
            </w:rPr>
            <w:t>九、</w:t>
          </w:r>
          <w:r>
            <w:rPr>
              <w:rFonts w:hint="eastAsia" w:ascii="Times New Roman" w:hAnsi="Times New Roman" w:eastAsia="黑体"/>
              <w:highlight w:val="none"/>
            </w:rPr>
            <w:t>国有资本经营预算支出决算情况说明</w:t>
          </w:r>
          <w:r>
            <w:tab/>
          </w:r>
          <w:r>
            <w:fldChar w:fldCharType="begin"/>
          </w:r>
          <w:r>
            <w:instrText xml:space="preserve"> PAGEREF _Toc28308 \h </w:instrText>
          </w:r>
          <w:r>
            <w:fldChar w:fldCharType="separate"/>
          </w:r>
          <w:r>
            <w:t>- 9 -</w:t>
          </w:r>
          <w:r>
            <w:fldChar w:fldCharType="end"/>
          </w:r>
          <w:r>
            <w:fldChar w:fldCharType="end"/>
          </w:r>
        </w:p>
        <w:p w14:paraId="46A9D610">
          <w:pPr>
            <w:pStyle w:val="15"/>
            <w:tabs>
              <w:tab w:val="right" w:leader="dot" w:pos="8306"/>
              <w:tab w:val="clear" w:pos="8296"/>
            </w:tabs>
          </w:pPr>
          <w:r>
            <w:fldChar w:fldCharType="begin"/>
          </w:r>
          <w:r>
            <w:instrText xml:space="preserve"> HYPERLINK \l _Toc16507 </w:instrText>
          </w:r>
          <w:r>
            <w:fldChar w:fldCharType="separate"/>
          </w:r>
          <w:r>
            <w:rPr>
              <w:rFonts w:hint="eastAsia" w:ascii="Times New Roman" w:hAnsi="Times New Roman" w:eastAsia="黑体"/>
              <w:highlight w:val="none"/>
              <w:lang w:eastAsia="zh-CN"/>
            </w:rPr>
            <w:t>十、</w:t>
          </w:r>
          <w:r>
            <w:rPr>
              <w:rFonts w:hint="eastAsia" w:ascii="Times New Roman" w:hAnsi="Times New Roman" w:eastAsia="黑体"/>
              <w:highlight w:val="none"/>
            </w:rPr>
            <w:t>其他重要事项的情况说明</w:t>
          </w:r>
          <w:r>
            <w:tab/>
          </w:r>
          <w:r>
            <w:fldChar w:fldCharType="begin"/>
          </w:r>
          <w:r>
            <w:instrText xml:space="preserve"> PAGEREF _Toc16507 \h </w:instrText>
          </w:r>
          <w:r>
            <w:fldChar w:fldCharType="separate"/>
          </w:r>
          <w:r>
            <w:t>- 10 -</w:t>
          </w:r>
          <w:r>
            <w:fldChar w:fldCharType="end"/>
          </w:r>
          <w:r>
            <w:fldChar w:fldCharType="end"/>
          </w:r>
        </w:p>
        <w:p w14:paraId="40053192">
          <w:pPr>
            <w:pStyle w:val="13"/>
            <w:tabs>
              <w:tab w:val="right" w:leader="dot" w:pos="8306"/>
              <w:tab w:val="clear" w:pos="8296"/>
            </w:tabs>
          </w:pPr>
          <w:r>
            <w:fldChar w:fldCharType="begin"/>
          </w:r>
          <w:r>
            <w:instrText xml:space="preserve"> HYPERLINK \l _Toc12316 </w:instrText>
          </w:r>
          <w:r>
            <w:fldChar w:fldCharType="separate"/>
          </w:r>
          <w:r>
            <w:rPr>
              <w:rFonts w:hint="eastAsia" w:ascii="Times New Roman" w:hAnsi="Times New Roman" w:eastAsia="黑体"/>
              <w:szCs w:val="44"/>
              <w:highlight w:val="none"/>
            </w:rPr>
            <w:t>第</w:t>
          </w:r>
          <w:r>
            <w:rPr>
              <w:rFonts w:hint="eastAsia" w:eastAsia="黑体"/>
              <w:szCs w:val="44"/>
              <w:highlight w:val="none"/>
              <w:lang w:eastAsia="zh-CN"/>
            </w:rPr>
            <w:t>三</w:t>
          </w:r>
          <w:r>
            <w:rPr>
              <w:rFonts w:hint="eastAsia" w:ascii="Times New Roman" w:hAnsi="Times New Roman" w:eastAsia="黑体"/>
              <w:szCs w:val="44"/>
              <w:highlight w:val="none"/>
            </w:rPr>
            <w:t>部分</w:t>
          </w:r>
          <w:r>
            <w:rPr>
              <w:rFonts w:hint="eastAsia" w:ascii="Times New Roman" w:hAnsi="Times New Roman" w:eastAsia="黑体"/>
              <w:szCs w:val="44"/>
              <w:highlight w:val="none"/>
              <w:lang w:val="en-US" w:eastAsia="zh-CN"/>
            </w:rPr>
            <w:t xml:space="preserve"> </w:t>
          </w:r>
          <w:r>
            <w:rPr>
              <w:rFonts w:hint="eastAsia" w:eastAsia="黑体"/>
              <w:szCs w:val="44"/>
              <w:highlight w:val="none"/>
              <w:lang w:val="en-US" w:eastAsia="zh-CN"/>
            </w:rPr>
            <w:t xml:space="preserve"> </w:t>
          </w:r>
          <w:r>
            <w:rPr>
              <w:rFonts w:hint="eastAsia" w:ascii="Times New Roman" w:hAnsi="Times New Roman" w:eastAsia="黑体"/>
              <w:szCs w:val="44"/>
              <w:highlight w:val="none"/>
            </w:rPr>
            <w:t>名词解释</w:t>
          </w:r>
          <w:r>
            <w:tab/>
          </w:r>
          <w:r>
            <w:fldChar w:fldCharType="begin"/>
          </w:r>
          <w:r>
            <w:instrText xml:space="preserve"> PAGEREF _Toc12316 \h </w:instrText>
          </w:r>
          <w:r>
            <w:fldChar w:fldCharType="separate"/>
          </w:r>
          <w:r>
            <w:t>- 11 -</w:t>
          </w:r>
          <w:r>
            <w:fldChar w:fldCharType="end"/>
          </w:r>
          <w:r>
            <w:fldChar w:fldCharType="end"/>
          </w:r>
        </w:p>
        <w:p w14:paraId="291F6FE4">
          <w:pPr>
            <w:pStyle w:val="13"/>
            <w:tabs>
              <w:tab w:val="right" w:leader="dot" w:pos="8306"/>
              <w:tab w:val="clear" w:pos="8296"/>
            </w:tabs>
          </w:pPr>
          <w:r>
            <w:fldChar w:fldCharType="begin"/>
          </w:r>
          <w:r>
            <w:instrText xml:space="preserve"> HYPERLINK \l _Toc4692 </w:instrText>
          </w:r>
          <w:r>
            <w:fldChar w:fldCharType="separate"/>
          </w:r>
          <w:r>
            <w:rPr>
              <w:rFonts w:hint="eastAsia"/>
              <w:b/>
              <w:bCs/>
            </w:rPr>
            <w:t>第</w:t>
          </w:r>
          <w:r>
            <w:rPr>
              <w:rFonts w:hint="eastAsia"/>
              <w:b/>
              <w:bCs/>
              <w:lang w:eastAsia="zh-CN"/>
            </w:rPr>
            <w:t>四</w:t>
          </w:r>
          <w:r>
            <w:rPr>
              <w:rFonts w:hint="eastAsia"/>
              <w:b/>
              <w:bCs/>
            </w:rPr>
            <w:t>部分 附表</w:t>
          </w:r>
          <w:r>
            <w:tab/>
          </w:r>
          <w:r>
            <w:fldChar w:fldCharType="begin"/>
          </w:r>
          <w:r>
            <w:instrText xml:space="preserve"> PAGEREF _Toc4692 \h </w:instrText>
          </w:r>
          <w:r>
            <w:fldChar w:fldCharType="separate"/>
          </w:r>
          <w:r>
            <w:t>- 14 -</w:t>
          </w:r>
          <w:r>
            <w:fldChar w:fldCharType="end"/>
          </w:r>
          <w:r>
            <w:fldChar w:fldCharType="end"/>
          </w:r>
        </w:p>
        <w:p w14:paraId="6F8E6FC4">
          <w:pPr>
            <w:pStyle w:val="15"/>
            <w:tabs>
              <w:tab w:val="right" w:leader="dot" w:pos="8306"/>
              <w:tab w:val="clear" w:pos="8296"/>
            </w:tabs>
          </w:pPr>
          <w:r>
            <w:fldChar w:fldCharType="begin"/>
          </w:r>
          <w:r>
            <w:instrText xml:space="preserve"> HYPERLINK \l _Toc4673 </w:instrText>
          </w:r>
          <w:r>
            <w:fldChar w:fldCharType="separate"/>
          </w:r>
          <w:r>
            <w:rPr>
              <w:rFonts w:hint="eastAsia" w:ascii="黑体" w:hAnsi="Cambria" w:eastAsia="黑体" w:cs="Times New Roman"/>
              <w:bCs w:val="0"/>
            </w:rPr>
            <w:t>一、收入支出决算总表</w:t>
          </w:r>
          <w:r>
            <w:tab/>
          </w:r>
          <w:r>
            <w:fldChar w:fldCharType="begin"/>
          </w:r>
          <w:r>
            <w:instrText xml:space="preserve"> PAGEREF _Toc4673 \h </w:instrText>
          </w:r>
          <w:r>
            <w:fldChar w:fldCharType="separate"/>
          </w:r>
          <w:r>
            <w:t>- 14 -</w:t>
          </w:r>
          <w:r>
            <w:fldChar w:fldCharType="end"/>
          </w:r>
          <w:r>
            <w:fldChar w:fldCharType="end"/>
          </w:r>
        </w:p>
        <w:p w14:paraId="2FEB2806">
          <w:pPr>
            <w:pStyle w:val="15"/>
            <w:tabs>
              <w:tab w:val="right" w:leader="dot" w:pos="8306"/>
              <w:tab w:val="clear" w:pos="8296"/>
            </w:tabs>
          </w:pPr>
          <w:r>
            <w:fldChar w:fldCharType="begin"/>
          </w:r>
          <w:r>
            <w:instrText xml:space="preserve"> HYPERLINK \l _Toc30463 </w:instrText>
          </w:r>
          <w:r>
            <w:fldChar w:fldCharType="separate"/>
          </w:r>
          <w:r>
            <w:rPr>
              <w:rFonts w:hint="eastAsia" w:ascii="黑体" w:hAnsi="Cambria" w:eastAsia="黑体" w:cs="Times New Roman"/>
              <w:bCs w:val="0"/>
            </w:rPr>
            <w:t>二、收入决算表</w:t>
          </w:r>
          <w:r>
            <w:tab/>
          </w:r>
          <w:r>
            <w:fldChar w:fldCharType="begin"/>
          </w:r>
          <w:r>
            <w:instrText xml:space="preserve"> PAGEREF _Toc30463 \h </w:instrText>
          </w:r>
          <w:r>
            <w:fldChar w:fldCharType="separate"/>
          </w:r>
          <w:r>
            <w:t>- 14 -</w:t>
          </w:r>
          <w:r>
            <w:fldChar w:fldCharType="end"/>
          </w:r>
          <w:r>
            <w:fldChar w:fldCharType="end"/>
          </w:r>
        </w:p>
        <w:p w14:paraId="72D5A861">
          <w:pPr>
            <w:pStyle w:val="15"/>
            <w:tabs>
              <w:tab w:val="right" w:leader="dot" w:pos="8306"/>
              <w:tab w:val="clear" w:pos="8296"/>
            </w:tabs>
          </w:pPr>
          <w:r>
            <w:fldChar w:fldCharType="begin"/>
          </w:r>
          <w:r>
            <w:instrText xml:space="preserve"> HYPERLINK \l _Toc7078 </w:instrText>
          </w:r>
          <w:r>
            <w:fldChar w:fldCharType="separate"/>
          </w:r>
          <w:r>
            <w:rPr>
              <w:rFonts w:hint="eastAsia" w:ascii="黑体" w:hAnsi="Cambria" w:eastAsia="黑体" w:cs="Times New Roman"/>
              <w:bCs w:val="0"/>
            </w:rPr>
            <w:t>三、支出决算表</w:t>
          </w:r>
          <w:r>
            <w:tab/>
          </w:r>
          <w:r>
            <w:fldChar w:fldCharType="begin"/>
          </w:r>
          <w:r>
            <w:instrText xml:space="preserve"> PAGEREF _Toc7078 \h </w:instrText>
          </w:r>
          <w:r>
            <w:fldChar w:fldCharType="separate"/>
          </w:r>
          <w:r>
            <w:t>- 14 -</w:t>
          </w:r>
          <w:r>
            <w:fldChar w:fldCharType="end"/>
          </w:r>
          <w:r>
            <w:fldChar w:fldCharType="end"/>
          </w:r>
        </w:p>
        <w:p w14:paraId="569A88D3">
          <w:pPr>
            <w:pStyle w:val="15"/>
            <w:tabs>
              <w:tab w:val="right" w:leader="dot" w:pos="8306"/>
              <w:tab w:val="clear" w:pos="8296"/>
            </w:tabs>
          </w:pPr>
          <w:r>
            <w:fldChar w:fldCharType="begin"/>
          </w:r>
          <w:r>
            <w:instrText xml:space="preserve"> HYPERLINK \l _Toc29632 </w:instrText>
          </w:r>
          <w:r>
            <w:fldChar w:fldCharType="separate"/>
          </w:r>
          <w:r>
            <w:rPr>
              <w:rFonts w:hint="eastAsia" w:ascii="黑体" w:hAnsi="Cambria" w:eastAsia="黑体" w:cs="Times New Roman"/>
              <w:bCs w:val="0"/>
            </w:rPr>
            <w:t>四、财政拨款收入支出决算总表</w:t>
          </w:r>
          <w:r>
            <w:tab/>
          </w:r>
          <w:r>
            <w:fldChar w:fldCharType="begin"/>
          </w:r>
          <w:r>
            <w:instrText xml:space="preserve"> PAGEREF _Toc29632 \h </w:instrText>
          </w:r>
          <w:r>
            <w:fldChar w:fldCharType="separate"/>
          </w:r>
          <w:r>
            <w:t>- 14 -</w:t>
          </w:r>
          <w:r>
            <w:fldChar w:fldCharType="end"/>
          </w:r>
          <w:r>
            <w:fldChar w:fldCharType="end"/>
          </w:r>
        </w:p>
        <w:p w14:paraId="031E8A55">
          <w:pPr>
            <w:pStyle w:val="15"/>
            <w:tabs>
              <w:tab w:val="right" w:leader="dot" w:pos="8306"/>
              <w:tab w:val="clear" w:pos="8296"/>
            </w:tabs>
          </w:pPr>
          <w:r>
            <w:fldChar w:fldCharType="begin"/>
          </w:r>
          <w:r>
            <w:instrText xml:space="preserve"> HYPERLINK \l _Toc7473 </w:instrText>
          </w:r>
          <w:r>
            <w:fldChar w:fldCharType="separate"/>
          </w:r>
          <w:r>
            <w:rPr>
              <w:rFonts w:hint="eastAsia" w:ascii="黑体" w:hAnsi="Cambria" w:eastAsia="黑体" w:cs="Times New Roman"/>
              <w:bCs w:val="0"/>
            </w:rPr>
            <w:t>五、财政拨款支出决算明细表</w:t>
          </w:r>
          <w:r>
            <w:tab/>
          </w:r>
          <w:r>
            <w:fldChar w:fldCharType="begin"/>
          </w:r>
          <w:r>
            <w:instrText xml:space="preserve"> PAGEREF _Toc7473 \h </w:instrText>
          </w:r>
          <w:r>
            <w:fldChar w:fldCharType="separate"/>
          </w:r>
          <w:r>
            <w:t>- 14 -</w:t>
          </w:r>
          <w:r>
            <w:fldChar w:fldCharType="end"/>
          </w:r>
          <w:r>
            <w:fldChar w:fldCharType="end"/>
          </w:r>
        </w:p>
        <w:p w14:paraId="1346E8EA">
          <w:pPr>
            <w:pStyle w:val="15"/>
            <w:tabs>
              <w:tab w:val="right" w:leader="dot" w:pos="8306"/>
              <w:tab w:val="clear" w:pos="8296"/>
            </w:tabs>
          </w:pPr>
          <w:r>
            <w:fldChar w:fldCharType="begin"/>
          </w:r>
          <w:r>
            <w:instrText xml:space="preserve"> HYPERLINK \l _Toc16335 </w:instrText>
          </w:r>
          <w:r>
            <w:fldChar w:fldCharType="separate"/>
          </w:r>
          <w:r>
            <w:rPr>
              <w:rFonts w:hint="eastAsia" w:ascii="黑体" w:hAnsi="Cambria" w:eastAsia="黑体" w:cs="Times New Roman"/>
              <w:bCs w:val="0"/>
            </w:rPr>
            <w:t>六、一般公共预算财政拨款支出决算表</w:t>
          </w:r>
          <w:r>
            <w:tab/>
          </w:r>
          <w:r>
            <w:fldChar w:fldCharType="begin"/>
          </w:r>
          <w:r>
            <w:instrText xml:space="preserve"> PAGEREF _Toc16335 \h </w:instrText>
          </w:r>
          <w:r>
            <w:fldChar w:fldCharType="separate"/>
          </w:r>
          <w:r>
            <w:t>- 14 -</w:t>
          </w:r>
          <w:r>
            <w:fldChar w:fldCharType="end"/>
          </w:r>
          <w:r>
            <w:fldChar w:fldCharType="end"/>
          </w:r>
        </w:p>
        <w:p w14:paraId="3578C184">
          <w:pPr>
            <w:pStyle w:val="15"/>
            <w:tabs>
              <w:tab w:val="right" w:leader="dot" w:pos="8306"/>
              <w:tab w:val="clear" w:pos="8296"/>
            </w:tabs>
          </w:pPr>
          <w:r>
            <w:fldChar w:fldCharType="begin"/>
          </w:r>
          <w:r>
            <w:instrText xml:space="preserve"> HYPERLINK \l _Toc7824 </w:instrText>
          </w:r>
          <w:r>
            <w:fldChar w:fldCharType="separate"/>
          </w:r>
          <w:r>
            <w:rPr>
              <w:rFonts w:hint="eastAsia" w:ascii="黑体" w:hAnsi="Cambria" w:eastAsia="黑体" w:cs="Times New Roman"/>
              <w:bCs w:val="0"/>
            </w:rPr>
            <w:t>七、一般公共预算财政拨款支出决算明细表</w:t>
          </w:r>
          <w:r>
            <w:tab/>
          </w:r>
          <w:r>
            <w:fldChar w:fldCharType="begin"/>
          </w:r>
          <w:r>
            <w:instrText xml:space="preserve"> PAGEREF _Toc7824 \h </w:instrText>
          </w:r>
          <w:r>
            <w:fldChar w:fldCharType="separate"/>
          </w:r>
          <w:r>
            <w:t>- 14 -</w:t>
          </w:r>
          <w:r>
            <w:fldChar w:fldCharType="end"/>
          </w:r>
          <w:r>
            <w:fldChar w:fldCharType="end"/>
          </w:r>
        </w:p>
        <w:p w14:paraId="769057B0">
          <w:pPr>
            <w:pStyle w:val="15"/>
            <w:tabs>
              <w:tab w:val="right" w:leader="dot" w:pos="8306"/>
              <w:tab w:val="clear" w:pos="8296"/>
            </w:tabs>
          </w:pPr>
          <w:r>
            <w:fldChar w:fldCharType="begin"/>
          </w:r>
          <w:r>
            <w:instrText xml:space="preserve"> HYPERLINK \l _Toc1073 </w:instrText>
          </w:r>
          <w:r>
            <w:fldChar w:fldCharType="separate"/>
          </w:r>
          <w:r>
            <w:rPr>
              <w:rFonts w:hint="eastAsia" w:ascii="黑体" w:hAnsi="Cambria" w:eastAsia="黑体" w:cs="Times New Roman"/>
              <w:bCs w:val="0"/>
            </w:rPr>
            <w:t>八、一般公共预算财政拨款基本支出决算表</w:t>
          </w:r>
          <w:r>
            <w:tab/>
          </w:r>
          <w:r>
            <w:fldChar w:fldCharType="begin"/>
          </w:r>
          <w:r>
            <w:instrText xml:space="preserve"> PAGEREF _Toc1073 \h </w:instrText>
          </w:r>
          <w:r>
            <w:fldChar w:fldCharType="separate"/>
          </w:r>
          <w:r>
            <w:t>- 14 -</w:t>
          </w:r>
          <w:r>
            <w:fldChar w:fldCharType="end"/>
          </w:r>
          <w:r>
            <w:fldChar w:fldCharType="end"/>
          </w:r>
        </w:p>
        <w:p w14:paraId="11163051">
          <w:pPr>
            <w:pStyle w:val="15"/>
            <w:tabs>
              <w:tab w:val="right" w:leader="dot" w:pos="8306"/>
              <w:tab w:val="clear" w:pos="8296"/>
            </w:tabs>
          </w:pPr>
          <w:r>
            <w:fldChar w:fldCharType="begin"/>
          </w:r>
          <w:r>
            <w:instrText xml:space="preserve"> HYPERLINK \l _Toc3222 </w:instrText>
          </w:r>
          <w:r>
            <w:fldChar w:fldCharType="separate"/>
          </w:r>
          <w:r>
            <w:rPr>
              <w:rFonts w:hint="eastAsia" w:ascii="黑体" w:hAnsi="Cambria" w:eastAsia="黑体" w:cs="Times New Roman"/>
              <w:bCs w:val="0"/>
            </w:rPr>
            <w:t>九、一般公共预算财政拨款项目支出决算表</w:t>
          </w:r>
          <w:r>
            <w:tab/>
          </w:r>
          <w:r>
            <w:fldChar w:fldCharType="begin"/>
          </w:r>
          <w:r>
            <w:instrText xml:space="preserve"> PAGEREF _Toc3222 \h </w:instrText>
          </w:r>
          <w:r>
            <w:fldChar w:fldCharType="separate"/>
          </w:r>
          <w:r>
            <w:t>- 14 -</w:t>
          </w:r>
          <w:r>
            <w:fldChar w:fldCharType="end"/>
          </w:r>
          <w:r>
            <w:fldChar w:fldCharType="end"/>
          </w:r>
        </w:p>
        <w:p w14:paraId="565AFA84">
          <w:pPr>
            <w:pStyle w:val="15"/>
            <w:tabs>
              <w:tab w:val="right" w:leader="dot" w:pos="8306"/>
              <w:tab w:val="clear" w:pos="8296"/>
            </w:tabs>
          </w:pPr>
          <w:r>
            <w:fldChar w:fldCharType="begin"/>
          </w:r>
          <w:r>
            <w:instrText xml:space="preserve"> HYPERLINK \l _Toc19137 </w:instrText>
          </w:r>
          <w:r>
            <w:fldChar w:fldCharType="separate"/>
          </w:r>
          <w:r>
            <w:rPr>
              <w:rFonts w:hint="eastAsia" w:ascii="黑体" w:hAnsi="Cambria" w:eastAsia="黑体" w:cs="Times New Roman"/>
              <w:bCs w:val="0"/>
            </w:rPr>
            <w:t>十、政府性基金预算财政拨款收入支出决算表</w:t>
          </w:r>
          <w:r>
            <w:tab/>
          </w:r>
          <w:r>
            <w:fldChar w:fldCharType="begin"/>
          </w:r>
          <w:r>
            <w:instrText xml:space="preserve"> PAGEREF _Toc19137 \h </w:instrText>
          </w:r>
          <w:r>
            <w:fldChar w:fldCharType="separate"/>
          </w:r>
          <w:r>
            <w:t>- 14 -</w:t>
          </w:r>
          <w:r>
            <w:fldChar w:fldCharType="end"/>
          </w:r>
          <w:r>
            <w:fldChar w:fldCharType="end"/>
          </w:r>
        </w:p>
        <w:p w14:paraId="44275B38">
          <w:pPr>
            <w:pStyle w:val="15"/>
            <w:tabs>
              <w:tab w:val="right" w:leader="dot" w:pos="8306"/>
              <w:tab w:val="clear" w:pos="8296"/>
            </w:tabs>
          </w:pPr>
          <w:r>
            <w:fldChar w:fldCharType="begin"/>
          </w:r>
          <w:r>
            <w:instrText xml:space="preserve"> HYPERLINK \l _Toc16541 </w:instrText>
          </w:r>
          <w:r>
            <w:fldChar w:fldCharType="separate"/>
          </w:r>
          <w:r>
            <w:rPr>
              <w:rFonts w:hint="eastAsia" w:ascii="黑体" w:hAnsi="Cambria" w:eastAsia="黑体" w:cs="Times New Roman"/>
              <w:bCs w:val="0"/>
            </w:rPr>
            <w:t>十一、国有资本经营预算</w:t>
          </w:r>
          <w:r>
            <w:rPr>
              <w:rFonts w:hint="eastAsia" w:ascii="黑体" w:hAnsi="Cambria" w:eastAsia="黑体" w:cs="Times New Roman"/>
              <w:bCs w:val="0"/>
              <w:lang w:eastAsia="zh-CN"/>
            </w:rPr>
            <w:t>财政拨款收入</w:t>
          </w:r>
          <w:r>
            <w:rPr>
              <w:rFonts w:hint="eastAsia" w:ascii="黑体" w:hAnsi="Cambria" w:eastAsia="黑体" w:cs="Times New Roman"/>
              <w:bCs w:val="0"/>
            </w:rPr>
            <w:t>支出决算表</w:t>
          </w:r>
          <w:r>
            <w:tab/>
          </w:r>
          <w:r>
            <w:fldChar w:fldCharType="begin"/>
          </w:r>
          <w:r>
            <w:instrText xml:space="preserve"> PAGEREF _Toc16541 \h </w:instrText>
          </w:r>
          <w:r>
            <w:fldChar w:fldCharType="separate"/>
          </w:r>
          <w:r>
            <w:t>- 14 -</w:t>
          </w:r>
          <w:r>
            <w:fldChar w:fldCharType="end"/>
          </w:r>
          <w:r>
            <w:fldChar w:fldCharType="end"/>
          </w:r>
        </w:p>
        <w:p w14:paraId="37A6A306">
          <w:pPr>
            <w:pStyle w:val="15"/>
            <w:tabs>
              <w:tab w:val="right" w:leader="dot" w:pos="8306"/>
              <w:tab w:val="clear" w:pos="8296"/>
            </w:tabs>
          </w:pPr>
          <w:r>
            <w:fldChar w:fldCharType="begin"/>
          </w:r>
          <w:r>
            <w:instrText xml:space="preserve"> HYPERLINK \l _Toc27291 </w:instrText>
          </w:r>
          <w:r>
            <w:fldChar w:fldCharType="separate"/>
          </w:r>
          <w:r>
            <w:rPr>
              <w:rFonts w:hint="eastAsia" w:ascii="黑体" w:hAnsi="Cambria" w:eastAsia="黑体" w:cs="Times New Roman"/>
              <w:bCs w:val="0"/>
            </w:rPr>
            <w:t>十二、</w:t>
          </w:r>
          <w:r>
            <w:rPr>
              <w:rFonts w:hint="eastAsia" w:ascii="黑体" w:hAnsi="Cambria" w:eastAsia="黑体" w:cs="Times New Roman"/>
              <w:bCs w:val="0"/>
              <w:lang w:eastAsia="zh-CN"/>
            </w:rPr>
            <w:t>国有资本经营预算财政拨款支出决算表</w:t>
          </w:r>
          <w:r>
            <w:tab/>
          </w:r>
          <w:r>
            <w:fldChar w:fldCharType="begin"/>
          </w:r>
          <w:r>
            <w:instrText xml:space="preserve"> PAGEREF _Toc27291 \h </w:instrText>
          </w:r>
          <w:r>
            <w:fldChar w:fldCharType="separate"/>
          </w:r>
          <w:r>
            <w:t>- 14 -</w:t>
          </w:r>
          <w:r>
            <w:fldChar w:fldCharType="end"/>
          </w:r>
          <w:r>
            <w:fldChar w:fldCharType="end"/>
          </w:r>
        </w:p>
        <w:p w14:paraId="3230A4B9">
          <w:pPr>
            <w:pStyle w:val="15"/>
            <w:tabs>
              <w:tab w:val="right" w:leader="dot" w:pos="8306"/>
              <w:tab w:val="clear" w:pos="8296"/>
            </w:tabs>
          </w:pPr>
          <w:r>
            <w:fldChar w:fldCharType="begin"/>
          </w:r>
          <w:r>
            <w:instrText xml:space="preserve"> HYPERLINK \l _Toc13276 </w:instrText>
          </w:r>
          <w:r>
            <w:fldChar w:fldCharType="separate"/>
          </w:r>
          <w:r>
            <w:rPr>
              <w:rFonts w:hint="eastAsia" w:ascii="黑体" w:hAnsi="Cambria" w:eastAsia="黑体" w:cs="Times New Roman"/>
              <w:bCs w:val="0"/>
            </w:rPr>
            <w:t>十三、</w:t>
          </w:r>
          <w:r>
            <w:rPr>
              <w:rFonts w:hint="eastAsia" w:ascii="黑体" w:hAnsi="Cambria" w:eastAsia="黑体" w:cs="Times New Roman"/>
              <w:bCs w:val="0"/>
              <w:lang w:eastAsia="zh-CN"/>
            </w:rPr>
            <w:t>财政拨款“三公”经费支出决算表</w:t>
          </w:r>
          <w:r>
            <w:tab/>
          </w:r>
          <w:r>
            <w:fldChar w:fldCharType="begin"/>
          </w:r>
          <w:r>
            <w:instrText xml:space="preserve"> PAGEREF _Toc13276 \h </w:instrText>
          </w:r>
          <w:r>
            <w:fldChar w:fldCharType="separate"/>
          </w:r>
          <w:r>
            <w:t>- 14 -</w:t>
          </w:r>
          <w:r>
            <w:fldChar w:fldCharType="end"/>
          </w:r>
          <w:r>
            <w:fldChar w:fldCharType="end"/>
          </w:r>
        </w:p>
        <w:p w14:paraId="3299770D">
          <w:r>
            <w:fldChar w:fldCharType="end"/>
          </w:r>
        </w:p>
      </w:sdtContent>
    </w:sdt>
    <w:p w14:paraId="1B1A8BD9"/>
    <w:p w14:paraId="52F5B1D6">
      <w:pPr>
        <w:pStyle w:val="5"/>
        <w:bidi w:val="0"/>
        <w:ind w:firstLine="2200" w:firstLineChars="500"/>
        <w:rPr>
          <w:rFonts w:hint="eastAsia" w:ascii="方正小标宋简体" w:hAnsi="方正小标宋简体" w:eastAsia="方正小标宋简体" w:cs="方正小标宋简体"/>
          <w:b w:val="0"/>
          <w:bCs w:val="0"/>
        </w:rPr>
      </w:pPr>
      <w:bookmarkStart w:id="14" w:name="_Toc5571"/>
      <w:r>
        <w:rPr>
          <w:rFonts w:hint="eastAsia" w:ascii="方正小标宋简体" w:hAnsi="方正小标宋简体" w:eastAsia="方正小标宋简体" w:cs="方正小标宋简体"/>
          <w:b w:val="0"/>
          <w:bCs w:val="0"/>
        </w:rPr>
        <w:t>第一部分</w:t>
      </w:r>
      <w:r>
        <w:rPr>
          <w:rFonts w:hint="eastAsia" w:ascii="方正小标宋简体" w:hAnsi="方正小标宋简体" w:eastAsia="方正小标宋简体" w:cs="方正小标宋简体"/>
          <w:b w:val="0"/>
          <w:bCs w:val="0"/>
          <w:lang w:val="en-US" w:eastAsia="zh-CN"/>
        </w:rPr>
        <w:t xml:space="preserve"> </w:t>
      </w:r>
      <w:r>
        <w:rPr>
          <w:rFonts w:hint="eastAsia" w:ascii="方正小标宋简体" w:hAnsi="方正小标宋简体" w:eastAsia="方正小标宋简体" w:cs="方正小标宋简体"/>
          <w:b w:val="0"/>
          <w:bCs w:val="0"/>
        </w:rPr>
        <w:t xml:space="preserve"> 部门概况</w:t>
      </w:r>
      <w:bookmarkEnd w:id="12"/>
      <w:bookmarkEnd w:id="13"/>
      <w:bookmarkEnd w:id="14"/>
    </w:p>
    <w:p w14:paraId="64C3D5E1">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firstLine="640" w:firstLineChars="200"/>
        <w:textAlignment w:val="auto"/>
        <w:rPr>
          <w:rStyle w:val="30"/>
          <w:rFonts w:hint="eastAsia" w:ascii="Times New Roman" w:hAnsi="Times New Roman" w:eastAsia="黑体"/>
          <w:b w:val="0"/>
          <w:bCs w:val="0"/>
          <w:color w:val="auto"/>
          <w:highlight w:val="none"/>
          <w:lang w:val="en-US" w:eastAsia="zh-CN" w:bidi="ar-SA"/>
        </w:rPr>
      </w:pPr>
      <w:bookmarkStart w:id="15" w:name="_Toc21899"/>
      <w:r>
        <w:rPr>
          <w:rStyle w:val="30"/>
          <w:rFonts w:hint="eastAsia" w:ascii="Times New Roman" w:hAnsi="Times New Roman" w:eastAsia="黑体"/>
          <w:b w:val="0"/>
          <w:bCs w:val="0"/>
          <w:color w:val="auto"/>
          <w:highlight w:val="none"/>
          <w:lang w:val="en-US" w:eastAsia="zh-CN" w:bidi="ar-SA"/>
        </w:rPr>
        <w:t>部门职责</w:t>
      </w:r>
    </w:p>
    <w:bookmarkEnd w:id="15"/>
    <w:p w14:paraId="1EF5045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（1）贯彻执行党和国家的路线方针政策和上级党委、政府各项决策部署，以及本级党员代表大会（党员大会）、人民代表大会的决议决定。</w:t>
      </w:r>
    </w:p>
    <w:p w14:paraId="0CEE36E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p>
    <w:p w14:paraId="3DBBF59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bookmarkStart w:id="16" w:name="_Toc15378446"/>
      <w:bookmarkStart w:id="17" w:name="_Toc15377199"/>
      <w:bookmarkStart w:id="18" w:name="_Toc79163854"/>
      <w:bookmarkStart w:id="19" w:name="_Toc79163604"/>
      <w:r>
        <w:rPr>
          <w:rFonts w:hint="eastAsia" w:ascii="仿宋_GB2312" w:hAnsi="仿宋_GB2312" w:eastAsia="仿宋_GB2312" w:cs="仿宋_GB2312"/>
          <w:sz w:val="32"/>
          <w:szCs w:val="32"/>
          <w:lang w:val="en-US" w:eastAsia="zh-CN"/>
        </w:rPr>
        <w:t>（3）加强党的建设。坚持全面从严治党，落实管党治党主体责任，全面加强党的政治建设、思想建设、组织建设、作风建设、纪律建设、制度建设等工作。不断强化自身建设和村党组织建设，以及其他隶属镇党委的党组织建设，抓好发展党员工作，加强党员队伍建设。维护和执行党的纪律,监督党员干部和其他工作人员严格遵守国家法律法规。</w:t>
      </w:r>
    </w:p>
    <w:p w14:paraId="6896FC6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统筹区域发展。落实关于辖区发展的重大决策，制定辖区经济和社会发展规划、公共服务设施布局；负责乡村振兴工作，做好民生保障、扶贫开发、民族宗教等工作，推动辖区经济社会健康、有序、可持续发展。</w:t>
      </w:r>
    </w:p>
    <w:p w14:paraId="27C5D27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强化基层治理。负责本辖区社会治理，加强社会主义民主法治建设和精神文明建设，加快推进基层社会治理体系和治理能力现代化；指导村委会建设，健全自治平台，组织群众和单位参与村委会建设和管理。负责统筹协调辖区内依法授权或委托授权的行政执法工作。</w:t>
      </w:r>
    </w:p>
    <w:p w14:paraId="73F2674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（6）优化公共服务。推进服务型政府建设，组织实施并优化教育、卫生健康、文化、民政、社会保障、退役军人事务等各项公共服务。</w:t>
      </w:r>
    </w:p>
    <w:p w14:paraId="1431CA5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（7）负责本行政区域内的民政、文化教育、卫生、体育等社会公益事业的综合性工作，维护一切经济单位和个人的正当经济权益，取缔非法经济活动，调解和处理民事纠纷，打击刑事犯罪维护社会稳定。 </w:t>
      </w:r>
    </w:p>
    <w:p w14:paraId="149E745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（8）抓好精神文明建设，丰富群众文化生活，提倡移风易俗，反对封建迷信，破除陈规陋习，树立社会主义新风尚。 </w:t>
      </w:r>
    </w:p>
    <w:p w14:paraId="12EA411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（9）完成上级政府交办的其它事项。 </w:t>
      </w:r>
      <w:bookmarkEnd w:id="16"/>
      <w:bookmarkEnd w:id="17"/>
      <w:bookmarkEnd w:id="18"/>
      <w:bookmarkEnd w:id="19"/>
    </w:p>
    <w:p w14:paraId="2139806B">
      <w:pPr>
        <w:pageBreakBefore w:val="0"/>
        <w:widowControl w:val="0"/>
        <w:kinsoku/>
        <w:wordWrap/>
        <w:overflowPunct/>
        <w:topLinePunct w:val="0"/>
        <w:autoSpaceDE/>
        <w:autoSpaceDN/>
        <w:bidi w:val="0"/>
        <w:spacing w:line="576" w:lineRule="exact"/>
        <w:ind w:firstLine="640" w:firstLineChars="200"/>
        <w:textAlignment w:val="auto"/>
        <w:outlineLvl w:val="9"/>
        <w:rPr>
          <w:rStyle w:val="30"/>
          <w:rFonts w:ascii="Times New Roman" w:hAnsi="Times New Roman"/>
          <w:b w:val="0"/>
          <w:bCs w:val="0"/>
          <w:color w:val="auto"/>
          <w:sz w:val="32"/>
          <w:szCs w:val="32"/>
          <w:highlight w:val="none"/>
        </w:rPr>
      </w:pPr>
      <w:bookmarkStart w:id="20" w:name="_Toc15396601"/>
      <w:bookmarkStart w:id="21" w:name="_Toc15377200"/>
      <w:bookmarkStart w:id="22" w:name="_Toc11293"/>
      <w:r>
        <w:rPr>
          <w:rFonts w:hint="eastAsia" w:ascii="Times New Roman" w:hAnsi="Times New Roman" w:eastAsia="黑体"/>
          <w:b w:val="0"/>
          <w:color w:val="auto"/>
          <w:sz w:val="32"/>
          <w:szCs w:val="32"/>
          <w:highlight w:val="none"/>
        </w:rPr>
        <w:t>二、机</w:t>
      </w:r>
      <w:r>
        <w:rPr>
          <w:rStyle w:val="30"/>
          <w:rFonts w:hint="eastAsia" w:ascii="Times New Roman" w:hAnsi="Times New Roman" w:eastAsia="黑体"/>
          <w:b w:val="0"/>
          <w:bCs w:val="0"/>
          <w:color w:val="auto"/>
          <w:sz w:val="32"/>
          <w:szCs w:val="32"/>
          <w:highlight w:val="none"/>
        </w:rPr>
        <w:t>构设置</w:t>
      </w:r>
      <w:bookmarkEnd w:id="20"/>
      <w:bookmarkEnd w:id="21"/>
      <w:bookmarkEnd w:id="22"/>
    </w:p>
    <w:p w14:paraId="0AE48F21">
      <w:pPr>
        <w:keepNext w:val="0"/>
        <w:keepLines w:val="0"/>
        <w:pageBreakBefore w:val="0"/>
        <w:widowControl w:val="0"/>
        <w:kinsoku/>
        <w:wordWrap/>
        <w:overflowPunct/>
        <w:topLinePunct w:val="0"/>
        <w:autoSpaceDE/>
        <w:autoSpaceDN/>
        <w:bidi w:val="0"/>
        <w:spacing w:line="576" w:lineRule="exact"/>
        <w:ind w:firstLine="640" w:firstLineChars="200"/>
        <w:textAlignment w:val="auto"/>
        <w:outlineLvl w:val="9"/>
        <w:rPr>
          <w:rFonts w:hint="eastAsia" w:ascii="仿宋_GB2312" w:hAnsi="仿宋_GB2312" w:eastAsia="仿宋_GB2312" w:cs="仿宋_GB2312"/>
          <w:color w:val="auto"/>
          <w:sz w:val="32"/>
          <w:szCs w:val="32"/>
          <w:highlight w:val="none"/>
        </w:rPr>
      </w:pPr>
      <w:bookmarkStart w:id="23" w:name="_Toc15396602"/>
      <w:bookmarkStart w:id="24" w:name="_Toc15377204"/>
      <w:r>
        <w:rPr>
          <w:rFonts w:hint="eastAsia" w:ascii="仿宋_GB2312" w:hAnsi="仿宋_GB2312" w:eastAsia="仿宋_GB2312" w:cs="仿宋_GB2312"/>
          <w:color w:val="auto"/>
          <w:sz w:val="32"/>
          <w:szCs w:val="32"/>
          <w:highlight w:val="none"/>
        </w:rPr>
        <w:t>阿坝州茂县沟口镇人民政府（本级）下属二级</w:t>
      </w:r>
      <w:r>
        <w:rPr>
          <w:rFonts w:hint="eastAsia" w:ascii="仿宋_GB2312" w:hAnsi="仿宋_GB2312" w:eastAsia="仿宋_GB2312" w:cs="仿宋_GB2312"/>
          <w:color w:val="auto"/>
          <w:sz w:val="32"/>
          <w:szCs w:val="32"/>
          <w:highlight w:val="none"/>
          <w:lang w:eastAsia="zh-CN"/>
        </w:rPr>
        <w:t>预算</w:t>
      </w:r>
      <w:r>
        <w:rPr>
          <w:rFonts w:hint="eastAsia" w:ascii="仿宋_GB2312" w:hAnsi="仿宋_GB2312" w:eastAsia="仿宋_GB2312" w:cs="仿宋_GB2312"/>
          <w:color w:val="auto"/>
          <w:sz w:val="32"/>
          <w:szCs w:val="32"/>
          <w:highlight w:val="none"/>
        </w:rPr>
        <w:t>单位</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个，其中行政单位</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个，参照公务员法管理的事业单位</w:t>
      </w:r>
      <w:r>
        <w:rPr>
          <w:rFonts w:hint="eastAsia" w:ascii="仿宋_GB2312" w:hAnsi="仿宋_GB2312" w:eastAsia="仿宋_GB2312" w:cs="仿宋_GB2312"/>
          <w:bCs/>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个，其他事业单位</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个。</w:t>
      </w:r>
    </w:p>
    <w:p w14:paraId="347B304F">
      <w:pPr>
        <w:pStyle w:val="8"/>
        <w:keepNext w:val="0"/>
        <w:keepLines w:val="0"/>
        <w:pageBreakBefore w:val="0"/>
        <w:widowControl w:val="0"/>
        <w:kinsoku/>
        <w:wordWrap/>
        <w:overflowPunct/>
        <w:topLinePunct w:val="0"/>
        <w:autoSpaceDE/>
        <w:autoSpaceDN/>
        <w:bidi w:val="0"/>
        <w:adjustRightInd w:val="0"/>
        <w:snapToGrid w:val="0"/>
        <w:spacing w:before="93" w:line="576" w:lineRule="exact"/>
        <w:ind w:firstLine="640" w:firstLineChars="200"/>
        <w:textAlignment w:val="auto"/>
        <w:outlineLvl w:val="9"/>
        <w:rPr>
          <w:rFonts w:hint="eastAsia" w:ascii="Times New Roman"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纳入</w:t>
      </w:r>
      <w:r>
        <w:rPr>
          <w:rFonts w:hint="eastAsia" w:ascii="仿宋_GB2312" w:hAnsi="仿宋_GB2312" w:eastAsia="仿宋_GB2312" w:cs="仿宋_GB2312"/>
          <w:sz w:val="32"/>
          <w:szCs w:val="32"/>
        </w:rPr>
        <w:t>阿坝州茂县沟口镇人民政府（本级）</w:t>
      </w:r>
      <w:r>
        <w:rPr>
          <w:rFonts w:hint="eastAsia" w:ascii="仿宋_GB2312" w:hAnsi="仿宋_GB2312" w:eastAsia="仿宋_GB2312" w:cs="仿宋_GB2312"/>
          <w:color w:val="auto"/>
          <w:sz w:val="32"/>
          <w:szCs w:val="32"/>
          <w:highlight w:val="none"/>
          <w:lang w:eastAsia="zh-CN"/>
        </w:rPr>
        <w:t>2024年度</w:t>
      </w:r>
      <w:r>
        <w:rPr>
          <w:rFonts w:hint="eastAsia" w:ascii="仿宋_GB2312" w:hAnsi="仿宋_GB2312" w:eastAsia="仿宋_GB2312" w:cs="仿宋_GB2312"/>
          <w:color w:val="auto"/>
          <w:sz w:val="32"/>
          <w:szCs w:val="32"/>
          <w:highlight w:val="none"/>
        </w:rPr>
        <w:t>部门决算编制范围的二级预算单位包括：</w:t>
      </w:r>
      <w:r>
        <w:rPr>
          <w:rFonts w:hint="eastAsia" w:ascii="仿宋_GB2312" w:hAnsi="仿宋_GB2312" w:eastAsia="仿宋_GB2312" w:cs="仿宋_GB2312"/>
          <w:color w:val="auto"/>
          <w:sz w:val="32"/>
          <w:szCs w:val="32"/>
          <w:highlight w:val="none"/>
          <w:lang w:val="en-US" w:eastAsia="zh-CN"/>
        </w:rPr>
        <w:t>茂县沟口镇便民服务中</w:t>
      </w:r>
      <w:r>
        <w:rPr>
          <w:rFonts w:hint="eastAsia" w:ascii="Times New Roman" w:cs="仿宋_GB2312"/>
          <w:color w:val="auto"/>
          <w:sz w:val="32"/>
          <w:szCs w:val="32"/>
          <w:highlight w:val="none"/>
          <w:lang w:val="en-US" w:eastAsia="zh-CN"/>
        </w:rPr>
        <w:t>心。</w:t>
      </w:r>
      <w:bookmarkStart w:id="25" w:name="_Toc18458"/>
    </w:p>
    <w:p w14:paraId="0EFA3B51">
      <w:pPr>
        <w:pStyle w:val="8"/>
        <w:keepNext w:val="0"/>
        <w:keepLines w:val="0"/>
        <w:pageBreakBefore w:val="0"/>
        <w:widowControl w:val="0"/>
        <w:kinsoku/>
        <w:wordWrap/>
        <w:overflowPunct/>
        <w:topLinePunct w:val="0"/>
        <w:autoSpaceDE/>
        <w:autoSpaceDN/>
        <w:bidi w:val="0"/>
        <w:adjustRightInd w:val="0"/>
        <w:snapToGrid w:val="0"/>
        <w:spacing w:before="93" w:line="576" w:lineRule="exact"/>
        <w:ind w:firstLine="640" w:firstLineChars="200"/>
        <w:textAlignment w:val="auto"/>
        <w:outlineLvl w:val="9"/>
        <w:rPr>
          <w:rFonts w:hint="eastAsia" w:ascii="Times New Roman" w:cs="仿宋_GB2312"/>
          <w:color w:val="auto"/>
          <w:sz w:val="32"/>
          <w:szCs w:val="32"/>
          <w:highlight w:val="none"/>
          <w:lang w:val="en-US" w:eastAsia="zh-CN"/>
        </w:rPr>
      </w:pPr>
    </w:p>
    <w:p w14:paraId="164A8E60">
      <w:pPr>
        <w:pStyle w:val="5"/>
        <w:bidi w:val="0"/>
        <w:ind w:firstLine="440" w:firstLineChars="100"/>
        <w:rPr>
          <w:rFonts w:hint="eastAsia" w:ascii="方正小标宋简体" w:hAnsi="方正小标宋简体" w:eastAsia="方正小标宋简体" w:cs="方正小标宋简体"/>
          <w:b w:val="0"/>
          <w:bCs w:val="0"/>
        </w:rPr>
      </w:pPr>
      <w:r>
        <w:rPr>
          <w:rFonts w:hint="eastAsia" w:ascii="方正小标宋简体" w:hAnsi="方正小标宋简体" w:eastAsia="方正小标宋简体" w:cs="方正小标宋简体"/>
          <w:b w:val="0"/>
          <w:bCs w:val="0"/>
        </w:rPr>
        <w:t>第二部分</w:t>
      </w:r>
      <w:r>
        <w:rPr>
          <w:rFonts w:hint="eastAsia" w:ascii="方正小标宋简体" w:hAnsi="方正小标宋简体" w:eastAsia="方正小标宋简体" w:cs="方正小标宋简体"/>
          <w:b w:val="0"/>
          <w:bCs w:val="0"/>
          <w:lang w:val="en-US" w:eastAsia="zh-CN"/>
        </w:rPr>
        <w:t xml:space="preserve"> </w:t>
      </w:r>
      <w:r>
        <w:rPr>
          <w:rFonts w:hint="eastAsia" w:ascii="方正小标宋简体" w:hAnsi="方正小标宋简体" w:eastAsia="方正小标宋简体" w:cs="方正小标宋简体"/>
          <w:b w:val="0"/>
          <w:bCs w:val="0"/>
        </w:rPr>
        <w:t xml:space="preserve"> </w:t>
      </w:r>
      <w:r>
        <w:rPr>
          <w:rFonts w:hint="eastAsia" w:ascii="方正小标宋简体" w:hAnsi="方正小标宋简体" w:eastAsia="方正小标宋简体" w:cs="方正小标宋简体"/>
          <w:b w:val="0"/>
          <w:bCs w:val="0"/>
          <w:lang w:val="en-US" w:eastAsia="zh-CN"/>
        </w:rPr>
        <w:t>2024年度</w:t>
      </w:r>
      <w:r>
        <w:rPr>
          <w:rFonts w:hint="eastAsia" w:ascii="方正小标宋简体" w:hAnsi="方正小标宋简体" w:eastAsia="方正小标宋简体" w:cs="方正小标宋简体"/>
          <w:b w:val="0"/>
          <w:bCs w:val="0"/>
        </w:rPr>
        <w:t>部门决算情况说明</w:t>
      </w:r>
      <w:bookmarkEnd w:id="23"/>
      <w:bookmarkEnd w:id="24"/>
      <w:bookmarkEnd w:id="25"/>
    </w:p>
    <w:p w14:paraId="48A346E3">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bookmarkStart w:id="26" w:name="_Toc15377205"/>
      <w:bookmarkStart w:id="27" w:name="_Toc12474"/>
      <w:bookmarkStart w:id="28" w:name="_Toc15396603"/>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0"/>
          <w:rFonts w:hint="eastAsia" w:ascii="Times New Roman" w:hAnsi="Times New Roman" w:eastAsia="黑体"/>
          <w:b w:val="0"/>
          <w:color w:val="auto"/>
          <w:highlight w:val="none"/>
        </w:rPr>
        <w:t>入支出决算总体情况说明</w:t>
      </w:r>
      <w:bookmarkEnd w:id="26"/>
      <w:bookmarkEnd w:id="27"/>
      <w:bookmarkEnd w:id="28"/>
    </w:p>
    <w:p w14:paraId="285B903F">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lang w:val="en-US" w:eastAsia="zh-CN"/>
        </w:rPr>
      </w:pPr>
      <w:bookmarkStart w:id="29" w:name="_Toc11782"/>
      <w:r>
        <w:rPr>
          <w:rFonts w:hint="eastAsia" w:ascii="Times New Roman" w:hAnsi="Times New Roman" w:eastAsia="仿宋_GB2312" w:cs="仿宋_GB2312"/>
          <w:color w:val="auto"/>
          <w:sz w:val="32"/>
          <w:szCs w:val="32"/>
          <w:highlight w:val="none"/>
          <w:lang w:eastAsia="zh-CN"/>
        </w:rPr>
        <w:t>2024年度收入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316.71</w:t>
      </w:r>
      <w:r>
        <w:rPr>
          <w:rFonts w:hint="eastAsia" w:ascii="Times New Roman" w:hAnsi="Times New Roman" w:eastAsia="仿宋_GB2312" w:cs="仿宋_GB2312"/>
          <w:color w:val="auto"/>
          <w:sz w:val="32"/>
          <w:szCs w:val="32"/>
          <w:highlight w:val="none"/>
        </w:rPr>
        <w:t>万元。与</w:t>
      </w:r>
      <w:r>
        <w:rPr>
          <w:rFonts w:hint="eastAsia" w:ascii="Times New Roman" w:hAnsi="Times New Roman" w:eastAsia="仿宋_GB2312" w:cs="仿宋_GB2312"/>
          <w:color w:val="auto"/>
          <w:sz w:val="32"/>
          <w:szCs w:val="32"/>
          <w:highlight w:val="none"/>
          <w:lang w:eastAsia="zh-CN"/>
        </w:rPr>
        <w:t>202</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总计各增加</w:t>
      </w:r>
      <w:r>
        <w:rPr>
          <w:rFonts w:hint="eastAsia" w:eastAsia="仿宋_GB2312" w:cs="仿宋_GB2312"/>
          <w:color w:val="auto"/>
          <w:sz w:val="32"/>
          <w:szCs w:val="32"/>
          <w:highlight w:val="none"/>
          <w:lang w:val="en-US" w:eastAsia="zh-CN"/>
        </w:rPr>
        <w:t>5.00</w:t>
      </w:r>
      <w:bookmarkStart w:id="105" w:name="_GoBack"/>
      <w:bookmarkEnd w:id="105"/>
      <w:r>
        <w:rPr>
          <w:rFonts w:hint="eastAsia" w:ascii="Times New Roman" w:hAnsi="Times New Roman" w:eastAsia="仿宋_GB2312" w:cs="仿宋_GB2312"/>
          <w:color w:val="auto"/>
          <w:sz w:val="32"/>
          <w:szCs w:val="32"/>
          <w:highlight w:val="none"/>
        </w:rPr>
        <w:t>万元，增长</w:t>
      </w:r>
      <w:r>
        <w:rPr>
          <w:rFonts w:hint="eastAsia" w:eastAsia="仿宋_GB2312" w:cs="仿宋_GB2312"/>
          <w:color w:val="auto"/>
          <w:sz w:val="32"/>
          <w:szCs w:val="32"/>
          <w:highlight w:val="none"/>
          <w:lang w:val="en-US" w:eastAsia="zh-CN"/>
        </w:rPr>
        <w:t>1.60</w:t>
      </w:r>
      <w:r>
        <w:rPr>
          <w:rFonts w:hint="eastAsia" w:ascii="Times New Roman" w:hAnsi="Times New Roman" w:eastAsia="仿宋_GB2312" w:cs="仿宋_GB2312"/>
          <w:color w:val="auto"/>
          <w:sz w:val="32"/>
          <w:szCs w:val="32"/>
          <w:highlight w:val="none"/>
        </w:rPr>
        <w:t>%。主要变动原因是</w:t>
      </w:r>
      <w:bookmarkEnd w:id="29"/>
      <w:r>
        <w:rPr>
          <w:rFonts w:hint="eastAsia" w:eastAsia="仿宋_GB2312" w:cs="仿宋_GB2312"/>
          <w:color w:val="auto"/>
          <w:sz w:val="32"/>
          <w:szCs w:val="32"/>
          <w:highlight w:val="none"/>
          <w:lang w:eastAsia="zh-CN"/>
        </w:rPr>
        <w:t>本年度人员工资上涨。</w:t>
      </w:r>
    </w:p>
    <w:p w14:paraId="3924EB51">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textAlignment w:val="auto"/>
        <w:outlineLvl w:val="1"/>
        <w:rPr>
          <w:rFonts w:hint="eastAsia" w:ascii="Times New Roman" w:hAnsi="Times New Roman" w:eastAsia="仿宋_GB2312" w:cs="仿宋_GB2312"/>
          <w:color w:val="auto"/>
          <w:sz w:val="32"/>
          <w:szCs w:val="32"/>
          <w:highlight w:val="none"/>
        </w:rPr>
      </w:pPr>
      <w:r>
        <w:drawing>
          <wp:anchor distT="0" distB="0" distL="114300" distR="114300" simplePos="0" relativeHeight="251660288" behindDoc="0" locked="0" layoutInCell="1" allowOverlap="1">
            <wp:simplePos x="0" y="0"/>
            <wp:positionH relativeFrom="column">
              <wp:posOffset>1140460</wp:posOffset>
            </wp:positionH>
            <wp:positionV relativeFrom="paragraph">
              <wp:posOffset>179705</wp:posOffset>
            </wp:positionV>
            <wp:extent cx="2924175" cy="1962150"/>
            <wp:effectExtent l="4445" t="4445" r="5080" b="14605"/>
            <wp:wrapNone/>
            <wp:docPr id="12"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0BC231E6">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outlineLvl w:val="1"/>
        <w:rPr>
          <w:rFonts w:hint="eastAsia" w:ascii="Times New Roman" w:hAnsi="Times New Roman" w:eastAsia="仿宋_GB2312" w:cs="仿宋_GB2312"/>
          <w:color w:val="auto"/>
          <w:sz w:val="32"/>
          <w:szCs w:val="32"/>
          <w:highlight w:val="none"/>
        </w:rPr>
      </w:pPr>
    </w:p>
    <w:p w14:paraId="42601B28">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outlineLvl w:val="1"/>
        <w:rPr>
          <w:rFonts w:hint="eastAsia" w:ascii="Times New Roman" w:hAnsi="Times New Roman" w:eastAsia="仿宋_GB2312" w:cs="仿宋_GB2312"/>
          <w:color w:val="auto"/>
          <w:sz w:val="32"/>
          <w:szCs w:val="32"/>
          <w:highlight w:val="none"/>
        </w:rPr>
      </w:pPr>
    </w:p>
    <w:p w14:paraId="2C60CF6D">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rPr>
      </w:pPr>
    </w:p>
    <w:p w14:paraId="63119BC1">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rPr>
      </w:pPr>
    </w:p>
    <w:p w14:paraId="13CA3FF2">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outlineLvl w:val="1"/>
        <w:rPr>
          <w:rFonts w:hint="eastAsia" w:ascii="Times New Roman" w:hAnsi="Times New Roman" w:eastAsia="仿宋_GB2312" w:cs="仿宋_GB2312"/>
          <w:color w:val="auto"/>
          <w:sz w:val="32"/>
          <w:szCs w:val="32"/>
          <w:highlight w:val="none"/>
          <w:lang w:eastAsia="zh-CN"/>
        </w:rPr>
      </w:pPr>
    </w:p>
    <w:p w14:paraId="573F230D">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30" w:name="_Toc15396604"/>
      <w:bookmarkStart w:id="31" w:name="_Toc20463"/>
      <w:bookmarkStart w:id="32" w:name="_Toc15377206"/>
      <w:r>
        <w:rPr>
          <w:rFonts w:hint="eastAsia" w:ascii="Times New Roman" w:hAnsi="Times New Roman" w:eastAsia="黑体"/>
          <w:color w:val="auto"/>
          <w:sz w:val="32"/>
          <w:szCs w:val="32"/>
          <w:highlight w:val="none"/>
          <w:lang w:eastAsia="zh-CN"/>
        </w:rPr>
        <w:t>二、收入决算情况说明</w:t>
      </w:r>
      <w:bookmarkEnd w:id="30"/>
      <w:bookmarkEnd w:id="31"/>
      <w:bookmarkEnd w:id="32"/>
    </w:p>
    <w:p w14:paraId="0BFCAD10">
      <w:pPr>
        <w:pStyle w:val="28"/>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outlineLvl w:val="9"/>
        <w:rPr>
          <w:rFonts w:hint="eastAsia" w:ascii="Times New Roman" w:hAnsi="Times New Roman" w:eastAsia="仿宋_GB2312" w:cs="仿宋_GB2312"/>
          <w:b/>
          <w:bCs/>
          <w:color w:val="auto"/>
          <w:sz w:val="32"/>
          <w:szCs w:val="32"/>
          <w:highlight w:val="none"/>
          <w:lang w:eastAsia="zh-CN"/>
        </w:rPr>
      </w:pPr>
      <w:bookmarkStart w:id="33" w:name="_Toc13277"/>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rPr>
        <w:t>316.71万元，其中：一般公共预算财政拨款收入316.71</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sz w:val="32"/>
          <w:szCs w:val="32"/>
          <w:highlight w:val="none"/>
          <w:lang w:eastAsia="zh-CN"/>
        </w:rPr>
        <w:t>%；</w:t>
      </w:r>
      <w:bookmarkEnd w:id="33"/>
      <w:r>
        <w:rPr>
          <w:rFonts w:hint="eastAsia" w:ascii="仿宋_GB2312" w:hAnsi="仿宋_GB2312" w:eastAsia="仿宋_GB2312" w:cs="仿宋_GB2312"/>
          <w:color w:val="auto"/>
          <w:sz w:val="32"/>
          <w:szCs w:val="32"/>
          <w:highlight w:val="none"/>
          <w:lang w:eastAsia="zh-CN"/>
        </w:rPr>
        <w:t>政府性基金预算财政拨款收入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sz w:val="32"/>
          <w:szCs w:val="32"/>
          <w:lang w:eastAsia="zh-CN"/>
        </w:rPr>
        <w:t>。</w:t>
      </w:r>
    </w:p>
    <w:p w14:paraId="4D1EA08E">
      <w:pPr>
        <w:rPr>
          <w:rFonts w:hint="eastAsia" w:ascii="Times New Roman" w:hAnsi="Times New Roman" w:eastAsia="仿宋_GB2312" w:cs="仿宋_GB2312"/>
          <w:color w:val="auto"/>
          <w:sz w:val="32"/>
          <w:szCs w:val="32"/>
          <w:highlight w:val="none"/>
          <w:lang w:eastAsia="zh-CN"/>
        </w:rPr>
      </w:pPr>
      <w:r>
        <w:rPr>
          <w:rFonts w:hint="eastAsia"/>
          <w:lang w:val="en-US" w:eastAsia="zh-CN"/>
        </w:rPr>
        <w:t xml:space="preserve">                        </w:t>
      </w:r>
      <w:r>
        <w:drawing>
          <wp:inline distT="0" distB="0" distL="114300" distR="114300">
            <wp:extent cx="2112645" cy="1814830"/>
            <wp:effectExtent l="4445" t="4445" r="16510" b="9525"/>
            <wp:docPr id="13"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D11B463">
      <w:pPr>
        <w:ind w:firstLine="1760" w:firstLineChars="550"/>
        <w:rPr>
          <w:rFonts w:hint="eastAsia" w:ascii="Times New Roman" w:hAnsi="Times New Roman" w:eastAsia="仿宋_GB2312" w:cs="仿宋_GB2312"/>
          <w:color w:val="auto"/>
          <w:sz w:val="32"/>
          <w:szCs w:val="32"/>
          <w:highlight w:val="none"/>
          <w:lang w:eastAsia="zh-CN"/>
        </w:rPr>
      </w:pPr>
    </w:p>
    <w:p w14:paraId="455A8C13">
      <w:pPr>
        <w:ind w:firstLine="800" w:firstLineChars="250"/>
        <w:rPr>
          <w:rFonts w:hint="eastAsia" w:ascii="Times New Roman" w:hAnsi="Times New Roman" w:eastAsia="仿宋_GB2312" w:cs="仿宋_GB2312"/>
          <w:color w:val="auto"/>
          <w:sz w:val="32"/>
          <w:szCs w:val="32"/>
          <w:highlight w:val="none"/>
          <w:lang w:eastAsia="zh-CN"/>
        </w:rPr>
      </w:pPr>
    </w:p>
    <w:p w14:paraId="18A13227">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bookmarkStart w:id="34" w:name="_Toc15396605"/>
      <w:bookmarkStart w:id="35" w:name="_Toc23788"/>
      <w:bookmarkStart w:id="36" w:name="_Toc15377207"/>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0"/>
          <w:rFonts w:hint="eastAsia" w:ascii="Times New Roman" w:hAnsi="Times New Roman" w:eastAsia="黑体"/>
          <w:b w:val="0"/>
          <w:color w:val="auto"/>
          <w:highlight w:val="none"/>
        </w:rPr>
        <w:t>出决算情况说明</w:t>
      </w:r>
      <w:bookmarkEnd w:id="34"/>
      <w:bookmarkEnd w:id="35"/>
      <w:bookmarkEnd w:id="36"/>
    </w:p>
    <w:p w14:paraId="1BD7E6F4">
      <w:pPr>
        <w:pStyle w:val="28"/>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outlineLvl w:val="1"/>
        <w:rPr>
          <w:rFonts w:hint="eastAsia" w:ascii="Times New Roman" w:hAnsi="Times New Roman" w:eastAsia="仿宋_GB2312" w:cs="仿宋_GB2312"/>
          <w:color w:val="auto"/>
          <w:sz w:val="32"/>
          <w:szCs w:val="32"/>
          <w:highlight w:val="none"/>
          <w:lang w:eastAsia="zh-CN"/>
        </w:rPr>
      </w:pPr>
      <w:bookmarkStart w:id="37" w:name="_Toc15207"/>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rPr>
        <w:t>316.71</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316.71</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bookmarkEnd w:id="37"/>
    </w:p>
    <w:p w14:paraId="08915365">
      <w:pPr>
        <w:rPr>
          <w:rFonts w:hint="eastAsia"/>
          <w:lang w:val="en-US" w:eastAsia="zh-CN"/>
        </w:rPr>
      </w:pPr>
      <w:r>
        <w:rPr>
          <w:rFonts w:hint="eastAsia"/>
          <w:lang w:val="en-US" w:eastAsia="zh-CN"/>
        </w:rPr>
        <w:t xml:space="preserve">                 </w:t>
      </w:r>
    </w:p>
    <w:p w14:paraId="3E18D7D9">
      <w:pPr>
        <w:rPr>
          <w:rFonts w:hint="eastAsia" w:ascii="Times New Roman" w:hAnsi="Times New Roman" w:eastAsia="仿宋_GB2312" w:cs="仿宋_GB2312"/>
          <w:color w:val="auto"/>
          <w:sz w:val="32"/>
          <w:szCs w:val="32"/>
          <w:highlight w:val="none"/>
          <w:lang w:eastAsia="zh-CN"/>
        </w:rPr>
      </w:pPr>
      <w:r>
        <w:rPr>
          <w:rFonts w:hint="eastAsia"/>
          <w:lang w:val="en-US" w:eastAsia="zh-CN"/>
        </w:rPr>
        <w:t xml:space="preserve">                   </w:t>
      </w:r>
      <w:r>
        <w:drawing>
          <wp:inline distT="0" distB="0" distL="114300" distR="114300">
            <wp:extent cx="2766695" cy="1924050"/>
            <wp:effectExtent l="4445" t="4445" r="10160" b="14605"/>
            <wp:docPr id="17" name="图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23944C3">
      <w:pPr>
        <w:spacing w:line="600" w:lineRule="exact"/>
        <w:ind w:firstLine="640" w:firstLineChars="200"/>
        <w:outlineLvl w:val="1"/>
        <w:rPr>
          <w:rStyle w:val="30"/>
          <w:rFonts w:ascii="Times New Roman" w:hAnsi="Times New Roman" w:eastAsia="黑体"/>
          <w:b w:val="0"/>
          <w:color w:val="auto"/>
          <w:highlight w:val="none"/>
        </w:rPr>
      </w:pPr>
      <w:bookmarkStart w:id="38" w:name="_Toc19056"/>
      <w:bookmarkStart w:id="39" w:name="_Toc15396606"/>
      <w:bookmarkStart w:id="40" w:name="_Toc15377208"/>
      <w:r>
        <w:rPr>
          <w:rFonts w:hint="eastAsia" w:ascii="Times New Roman" w:hAnsi="Times New Roman" w:eastAsia="黑体"/>
          <w:color w:val="auto"/>
          <w:sz w:val="32"/>
          <w:szCs w:val="32"/>
          <w:highlight w:val="none"/>
        </w:rPr>
        <w:t>四、财</w:t>
      </w:r>
      <w:r>
        <w:rPr>
          <w:rStyle w:val="30"/>
          <w:rFonts w:hint="eastAsia" w:ascii="Times New Roman" w:hAnsi="Times New Roman" w:eastAsia="黑体"/>
          <w:b w:val="0"/>
          <w:color w:val="auto"/>
          <w:highlight w:val="none"/>
        </w:rPr>
        <w:t>政拨款收入支出决算总体情况说明</w:t>
      </w:r>
      <w:bookmarkEnd w:id="38"/>
      <w:bookmarkEnd w:id="39"/>
      <w:bookmarkEnd w:id="40"/>
    </w:p>
    <w:p w14:paraId="277CAD51">
      <w:pPr>
        <w:pStyle w:val="28"/>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outlineLvl w:val="9"/>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highlight w:val="none"/>
          <w:lang w:val="en-US" w:eastAsia="zh-CN" w:bidi="ar-SA"/>
        </w:rPr>
        <w:t>2024年度财政拨款收入、支出总计均为</w:t>
      </w:r>
      <w:r>
        <w:rPr>
          <w:rFonts w:hint="eastAsia" w:ascii="仿宋_GB2312" w:hAnsi="仿宋_GB2312" w:eastAsia="仿宋_GB2312" w:cs="仿宋_GB2312"/>
          <w:sz w:val="32"/>
          <w:szCs w:val="32"/>
        </w:rPr>
        <w:t>316.71</w:t>
      </w:r>
      <w:r>
        <w:rPr>
          <w:rFonts w:hint="eastAsia" w:ascii="Times New Roman" w:hAnsi="Times New Roman" w:eastAsia="仿宋_GB2312" w:cs="仿宋_GB2312"/>
          <w:color w:val="auto"/>
          <w:kern w:val="2"/>
          <w:sz w:val="32"/>
          <w:szCs w:val="32"/>
          <w:highlight w:val="none"/>
          <w:lang w:val="en-US" w:eastAsia="zh-CN" w:bidi="ar-SA"/>
        </w:rPr>
        <w:t>万元。与2023年度相比，财政拨款收入、支出总计各增加</w:t>
      </w:r>
      <w:r>
        <w:rPr>
          <w:rFonts w:hint="eastAsia" w:eastAsia="仿宋_GB2312" w:cs="仿宋_GB2312"/>
          <w:color w:val="auto"/>
          <w:kern w:val="2"/>
          <w:sz w:val="32"/>
          <w:szCs w:val="32"/>
          <w:highlight w:val="none"/>
          <w:lang w:val="en-US" w:eastAsia="zh-CN" w:bidi="ar-SA"/>
        </w:rPr>
        <w:t>5.00</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1.60</w:t>
      </w:r>
      <w:r>
        <w:rPr>
          <w:rFonts w:hint="eastAsia" w:ascii="Times New Roman" w:hAnsi="Times New Roman" w:eastAsia="仿宋_GB2312" w:cs="仿宋_GB2312"/>
          <w:color w:val="auto"/>
          <w:kern w:val="2"/>
          <w:sz w:val="32"/>
          <w:szCs w:val="32"/>
          <w:highlight w:val="none"/>
          <w:lang w:val="en-US" w:eastAsia="zh-CN" w:bidi="ar-SA"/>
        </w:rPr>
        <w:t>%。主要变动原因是</w:t>
      </w:r>
      <w:r>
        <w:rPr>
          <w:rFonts w:hint="eastAsia" w:eastAsia="仿宋_GB2312" w:cs="仿宋_GB2312"/>
          <w:color w:val="auto"/>
          <w:kern w:val="2"/>
          <w:sz w:val="32"/>
          <w:szCs w:val="32"/>
          <w:highlight w:val="none"/>
          <w:lang w:val="en-US" w:eastAsia="zh-CN" w:bidi="ar-SA"/>
        </w:rPr>
        <w:t>本年度</w:t>
      </w:r>
      <w:r>
        <w:rPr>
          <w:rFonts w:hint="eastAsia" w:eastAsia="仿宋_GB2312" w:cs="仿宋_GB2312"/>
          <w:color w:val="auto"/>
          <w:sz w:val="32"/>
          <w:szCs w:val="32"/>
          <w:highlight w:val="none"/>
          <w:lang w:eastAsia="zh-CN"/>
        </w:rPr>
        <w:t>人员工资上涨。</w:t>
      </w:r>
    </w:p>
    <w:p w14:paraId="0986EA34">
      <w:pPr>
        <w:spacing w:line="600" w:lineRule="exact"/>
        <w:rPr>
          <w:rFonts w:hint="eastAsia" w:ascii="Times New Roman" w:hAnsi="Times New Roman" w:eastAsia="仿宋_GB2312" w:cs="仿宋_GB2312"/>
          <w:color w:val="auto"/>
          <w:kern w:val="2"/>
          <w:sz w:val="32"/>
          <w:szCs w:val="32"/>
          <w:highlight w:val="none"/>
          <w:lang w:val="en-US" w:eastAsia="zh-CN" w:bidi="ar-SA"/>
        </w:rPr>
      </w:pPr>
      <w:r>
        <w:drawing>
          <wp:anchor distT="0" distB="0" distL="114300" distR="114300" simplePos="0" relativeHeight="251661312" behindDoc="0" locked="0" layoutInCell="1" allowOverlap="1">
            <wp:simplePos x="0" y="0"/>
            <wp:positionH relativeFrom="column">
              <wp:posOffset>1047750</wp:posOffset>
            </wp:positionH>
            <wp:positionV relativeFrom="paragraph">
              <wp:posOffset>231140</wp:posOffset>
            </wp:positionV>
            <wp:extent cx="2924175" cy="1962150"/>
            <wp:effectExtent l="4445" t="4445" r="5080" b="14605"/>
            <wp:wrapNone/>
            <wp:docPr id="3"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3F44F120">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p>
    <w:p w14:paraId="55C4093D">
      <w:pPr>
        <w:pStyle w:val="14"/>
        <w:rPr>
          <w:rFonts w:hint="default"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 xml:space="preserve">        </w:t>
      </w:r>
    </w:p>
    <w:p w14:paraId="10D035A8">
      <w:pPr>
        <w:rPr>
          <w:rFonts w:hint="eastAsia" w:ascii="Times New Roman" w:hAnsi="Times New Roman" w:eastAsia="仿宋_GB2312" w:cs="仿宋_GB2312"/>
          <w:color w:val="auto"/>
          <w:kern w:val="2"/>
          <w:sz w:val="32"/>
          <w:szCs w:val="32"/>
          <w:highlight w:val="none"/>
          <w:lang w:val="en-US" w:eastAsia="zh-CN" w:bidi="ar-SA"/>
        </w:rPr>
      </w:pPr>
    </w:p>
    <w:p w14:paraId="3197539B">
      <w:pPr>
        <w:pStyle w:val="14"/>
        <w:rPr>
          <w:rFonts w:hint="eastAsia" w:ascii="Times New Roman" w:hAnsi="Times New Roman" w:eastAsia="仿宋_GB2312" w:cs="仿宋_GB2312"/>
          <w:color w:val="auto"/>
          <w:kern w:val="2"/>
          <w:sz w:val="32"/>
          <w:szCs w:val="32"/>
          <w:highlight w:val="none"/>
          <w:lang w:val="en-US" w:eastAsia="zh-CN" w:bidi="ar-SA"/>
        </w:rPr>
      </w:pPr>
    </w:p>
    <w:p w14:paraId="5F1D75A3">
      <w:pPr>
        <w:spacing w:line="600" w:lineRule="exact"/>
        <w:rPr>
          <w:rFonts w:hint="eastAsia" w:ascii="Times New Roman" w:hAnsi="Times New Roman" w:eastAsia="仿宋_GB2312" w:cs="仿宋_GB2312"/>
          <w:color w:val="auto"/>
          <w:kern w:val="2"/>
          <w:sz w:val="32"/>
          <w:szCs w:val="32"/>
          <w:highlight w:val="none"/>
          <w:lang w:val="en-US" w:eastAsia="zh-CN" w:bidi="ar-SA"/>
        </w:rPr>
      </w:pPr>
    </w:p>
    <w:p w14:paraId="570E55C0">
      <w:pPr>
        <w:spacing w:line="600" w:lineRule="exact"/>
        <w:ind w:firstLine="640" w:firstLineChars="200"/>
        <w:outlineLvl w:val="1"/>
        <w:rPr>
          <w:rStyle w:val="30"/>
          <w:rFonts w:ascii="Times New Roman" w:hAnsi="Times New Roman" w:eastAsia="黑体"/>
          <w:b w:val="0"/>
          <w:color w:val="auto"/>
          <w:highlight w:val="none"/>
        </w:rPr>
      </w:pPr>
      <w:bookmarkStart w:id="41" w:name="_Toc14229"/>
      <w:bookmarkStart w:id="42" w:name="_Toc15396607"/>
      <w:bookmarkStart w:id="43" w:name="_Toc15377209"/>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般公共预算财政拨款支出决算情况说明</w:t>
      </w:r>
      <w:bookmarkEnd w:id="41"/>
      <w:bookmarkEnd w:id="42"/>
      <w:bookmarkEnd w:id="43"/>
    </w:p>
    <w:p w14:paraId="29F354EE">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4"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44"/>
    </w:p>
    <w:p w14:paraId="73DAB69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316.71</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%。与2023年度相比，一般公共预算财政拨款支出增加5.00万元，增长1.60%。主要变动原因是本年度人员工资上涨。</w:t>
      </w:r>
    </w:p>
    <w:p w14:paraId="6897A3D0">
      <w:pPr>
        <w:pStyle w:val="14"/>
        <w:rPr>
          <w:rFonts w:hint="eastAsia" w:ascii="Times New Roman" w:hAnsi="Times New Roman" w:eastAsia="仿宋_GB2312" w:cs="仿宋_GB2312"/>
          <w:color w:val="auto"/>
          <w:kern w:val="2"/>
          <w:sz w:val="32"/>
          <w:szCs w:val="32"/>
          <w:highlight w:val="none"/>
          <w:lang w:val="en-US" w:eastAsia="zh-CN" w:bidi="ar-SA"/>
        </w:rPr>
      </w:pPr>
      <w:r>
        <w:drawing>
          <wp:anchor distT="0" distB="0" distL="114300" distR="114300" simplePos="0" relativeHeight="251662336" behindDoc="0" locked="0" layoutInCell="1" allowOverlap="1">
            <wp:simplePos x="0" y="0"/>
            <wp:positionH relativeFrom="column">
              <wp:posOffset>1216660</wp:posOffset>
            </wp:positionH>
            <wp:positionV relativeFrom="paragraph">
              <wp:posOffset>213360</wp:posOffset>
            </wp:positionV>
            <wp:extent cx="2814320" cy="1987550"/>
            <wp:effectExtent l="4445" t="4445" r="19685" b="8255"/>
            <wp:wrapNone/>
            <wp:docPr id="18" name="图表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0B111A37">
      <w:pPr>
        <w:rPr>
          <w:rFonts w:hint="eastAsia" w:ascii="Times New Roman" w:hAnsi="Times New Roman" w:eastAsia="仿宋_GB2312" w:cs="仿宋_GB2312"/>
          <w:color w:val="auto"/>
          <w:kern w:val="2"/>
          <w:sz w:val="32"/>
          <w:szCs w:val="32"/>
          <w:highlight w:val="none"/>
          <w:lang w:val="en-US" w:eastAsia="zh-CN" w:bidi="ar-SA"/>
        </w:rPr>
      </w:pPr>
    </w:p>
    <w:p w14:paraId="7F2CB47C">
      <w:pPr>
        <w:pStyle w:val="14"/>
        <w:rPr>
          <w:rFonts w:hint="default"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 xml:space="preserve">       </w:t>
      </w:r>
    </w:p>
    <w:p w14:paraId="501A8612">
      <w:pPr>
        <w:rPr>
          <w:rFonts w:hint="eastAsia" w:ascii="Times New Roman" w:hAnsi="Times New Roman" w:eastAsia="仿宋_GB2312" w:cs="仿宋_GB2312"/>
          <w:color w:val="auto"/>
          <w:kern w:val="2"/>
          <w:sz w:val="32"/>
          <w:szCs w:val="32"/>
          <w:highlight w:val="none"/>
          <w:lang w:val="en-US" w:eastAsia="zh-CN" w:bidi="ar-SA"/>
        </w:rPr>
      </w:pPr>
    </w:p>
    <w:p w14:paraId="384448CE">
      <w:pPr>
        <w:pStyle w:val="14"/>
        <w:rPr>
          <w:rFonts w:hint="eastAsia"/>
          <w:lang w:val="en-US" w:eastAsia="zh-CN"/>
        </w:rPr>
      </w:pPr>
    </w:p>
    <w:p w14:paraId="78079A97">
      <w:pPr>
        <w:rPr>
          <w:rFonts w:hint="eastAsia"/>
          <w:lang w:val="en-US" w:eastAsia="zh-CN"/>
        </w:rPr>
      </w:pPr>
    </w:p>
    <w:p w14:paraId="029A3BB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5F507E36">
      <w:pPr>
        <w:spacing w:line="600" w:lineRule="exact"/>
        <w:ind w:firstLine="643" w:firstLineChars="200"/>
        <w:outlineLvl w:val="2"/>
        <w:rPr>
          <w:rFonts w:hint="eastAsia" w:ascii="楷体" w:hAnsi="楷体" w:eastAsia="楷体" w:cs="楷体"/>
          <w:b/>
          <w:color w:val="auto"/>
          <w:sz w:val="32"/>
          <w:szCs w:val="32"/>
          <w:highlight w:val="none"/>
        </w:rPr>
      </w:pPr>
      <w:bookmarkStart w:id="45" w:name="_Toc15377211"/>
      <w:r>
        <w:rPr>
          <w:rFonts w:hint="eastAsia" w:ascii="楷体" w:hAnsi="楷体" w:eastAsia="楷体" w:cs="楷体"/>
          <w:b/>
          <w:color w:val="auto"/>
          <w:sz w:val="32"/>
          <w:szCs w:val="32"/>
          <w:highlight w:val="none"/>
        </w:rPr>
        <w:t>（二）一般公共预算财政拨款支出决算结构情况</w:t>
      </w:r>
      <w:bookmarkEnd w:id="45"/>
    </w:p>
    <w:p w14:paraId="70E84ED6">
      <w:pPr>
        <w:keepNext w:val="0"/>
        <w:keepLines w:val="0"/>
        <w:pageBreakBefore w:val="0"/>
        <w:widowControl w:val="0"/>
        <w:kinsoku/>
        <w:wordWrap/>
        <w:overflowPunct/>
        <w:topLinePunct w:val="0"/>
        <w:autoSpaceDE/>
        <w:autoSpaceDN/>
        <w:bidi w:val="0"/>
        <w:adjustRightInd/>
        <w:snapToGrid/>
        <w:spacing w:line="576" w:lineRule="exact"/>
        <w:ind w:firstLine="1134"/>
        <w:textAlignment w:val="auto"/>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316.71</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社会保障和就业支出44.25万元，占</w:t>
      </w:r>
      <w:r>
        <w:rPr>
          <w:rFonts w:hint="eastAsia" w:eastAsia="仿宋_GB2312" w:cs="仿宋_GB2312"/>
          <w:color w:val="auto"/>
          <w:kern w:val="2"/>
          <w:sz w:val="32"/>
          <w:szCs w:val="32"/>
          <w:highlight w:val="none"/>
          <w:lang w:val="en-US" w:eastAsia="zh-CN" w:bidi="ar-SA"/>
        </w:rPr>
        <w:t>13.97</w:t>
      </w:r>
      <w:r>
        <w:rPr>
          <w:rFonts w:hint="eastAsia" w:ascii="Times New Roman" w:hAnsi="Times New Roman" w:eastAsia="仿宋_GB2312" w:cs="仿宋_GB2312"/>
          <w:color w:val="auto"/>
          <w:kern w:val="2"/>
          <w:sz w:val="32"/>
          <w:szCs w:val="32"/>
          <w:highlight w:val="none"/>
          <w:lang w:val="en-US" w:eastAsia="zh-CN" w:bidi="ar-SA"/>
        </w:rPr>
        <w:t>%；卫生健康支出18.46万元，占</w:t>
      </w:r>
      <w:r>
        <w:rPr>
          <w:rFonts w:hint="eastAsia" w:eastAsia="仿宋_GB2312" w:cs="仿宋_GB2312"/>
          <w:color w:val="auto"/>
          <w:kern w:val="2"/>
          <w:sz w:val="32"/>
          <w:szCs w:val="32"/>
          <w:highlight w:val="none"/>
          <w:lang w:val="en-US" w:eastAsia="zh-CN" w:bidi="ar-SA"/>
        </w:rPr>
        <w:t>5.83</w:t>
      </w:r>
      <w:r>
        <w:rPr>
          <w:rFonts w:hint="eastAsia" w:ascii="Times New Roman" w:hAnsi="Times New Roman" w:eastAsia="仿宋_GB2312" w:cs="仿宋_GB2312"/>
          <w:color w:val="auto"/>
          <w:kern w:val="2"/>
          <w:sz w:val="32"/>
          <w:szCs w:val="32"/>
          <w:highlight w:val="none"/>
          <w:lang w:val="en-US" w:eastAsia="zh-CN" w:bidi="ar-SA"/>
        </w:rPr>
        <w:t>%；农林水支出230.42</w:t>
      </w:r>
      <w:r>
        <w:rPr>
          <w:rFonts w:hint="eastAsia" w:eastAsia="仿宋_GB2312" w:cs="仿宋_GB2312"/>
          <w:color w:val="auto"/>
          <w:kern w:val="2"/>
          <w:sz w:val="32"/>
          <w:szCs w:val="32"/>
          <w:highlight w:val="none"/>
          <w:lang w:val="en-US" w:eastAsia="zh-CN" w:bidi="ar-SA"/>
        </w:rPr>
        <w:t>万元，占72.75%；</w:t>
      </w:r>
      <w:r>
        <w:rPr>
          <w:rFonts w:hint="eastAsia" w:ascii="Times New Roman" w:hAnsi="Times New Roman" w:eastAsia="仿宋_GB2312" w:cs="仿宋_GB2312"/>
          <w:color w:val="auto"/>
          <w:kern w:val="2"/>
          <w:sz w:val="32"/>
          <w:szCs w:val="32"/>
          <w:highlight w:val="none"/>
          <w:lang w:val="en-US" w:eastAsia="zh-CN" w:bidi="ar-SA"/>
        </w:rPr>
        <w:t>住房保障支出23.58万元，占</w:t>
      </w:r>
      <w:r>
        <w:rPr>
          <w:rFonts w:hint="eastAsia" w:eastAsia="仿宋_GB2312" w:cs="仿宋_GB2312"/>
          <w:color w:val="auto"/>
          <w:kern w:val="2"/>
          <w:sz w:val="32"/>
          <w:szCs w:val="32"/>
          <w:highlight w:val="none"/>
          <w:lang w:val="en-US" w:eastAsia="zh-CN" w:bidi="ar-SA"/>
        </w:rPr>
        <w:t>7.45</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14:paraId="318B558E">
      <w:pPr>
        <w:pStyle w:val="14"/>
        <w:rPr>
          <w:rFonts w:hint="eastAsia"/>
          <w:lang w:val="en-US" w:eastAsia="zh-CN"/>
        </w:rPr>
      </w:pPr>
      <w:r>
        <w:rPr>
          <w:rFonts w:hint="eastAsia"/>
          <w:lang w:val="en-US" w:eastAsia="zh-CN"/>
        </w:rPr>
        <w:t xml:space="preserve">         </w:t>
      </w:r>
    </w:p>
    <w:p w14:paraId="7CAC2C13">
      <w:pPr>
        <w:pStyle w:val="14"/>
        <w:rPr>
          <w:rFonts w:hint="eastAsia" w:eastAsia="仿宋_GB2312" w:cs="仿宋_GB2312"/>
          <w:color w:val="auto"/>
          <w:kern w:val="2"/>
          <w:sz w:val="32"/>
          <w:szCs w:val="32"/>
          <w:highlight w:val="none"/>
          <w:lang w:val="en-US" w:eastAsia="zh-CN" w:bidi="ar-SA"/>
        </w:rPr>
      </w:pPr>
      <w:r>
        <w:rPr>
          <w:rFonts w:hint="eastAsia"/>
          <w:lang w:val="en-US" w:eastAsia="zh-CN"/>
        </w:rPr>
        <w:t xml:space="preserve">              </w:t>
      </w:r>
      <w:r>
        <w:drawing>
          <wp:inline distT="0" distB="0" distL="114300" distR="114300">
            <wp:extent cx="2761615" cy="1566545"/>
            <wp:effectExtent l="4445" t="4445" r="15240" b="10160"/>
            <wp:docPr id="19" name="图表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A442191">
      <w:pPr>
        <w:rPr>
          <w:rFonts w:hint="default"/>
          <w:lang w:val="en-US" w:eastAsia="zh-CN"/>
        </w:rPr>
      </w:pPr>
    </w:p>
    <w:p w14:paraId="0D512B7D">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6"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46"/>
    </w:p>
    <w:p w14:paraId="3465386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47" w:name="_Toc15377213"/>
      <w:bookmarkStart w:id="48" w:name="_Toc15377444"/>
      <w:bookmarkStart w:id="49" w:name="_Toc15378460"/>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w:t>
      </w:r>
      <w:r>
        <w:rPr>
          <w:rFonts w:hint="eastAsia" w:ascii="仿宋_GB2312" w:hAnsi="仿宋_GB2312" w:eastAsia="仿宋_GB2312" w:cs="仿宋_GB2312"/>
          <w:sz w:val="32"/>
          <w:szCs w:val="32"/>
        </w:rPr>
        <w:t>316.71</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%。其中：</w:t>
      </w:r>
      <w:bookmarkEnd w:id="47"/>
      <w:bookmarkEnd w:id="48"/>
      <w:bookmarkEnd w:id="49"/>
    </w:p>
    <w:p w14:paraId="41AE411A">
      <w:pPr>
        <w:numPr>
          <w:ilvl w:val="0"/>
          <w:numId w:val="0"/>
        </w:numPr>
        <w:spacing w:line="600" w:lineRule="exact"/>
        <w:ind w:firstLine="640" w:firstLineChars="200"/>
        <w:rPr>
          <w:rFonts w:hint="eastAsia" w:ascii="仿宋_GB2312" w:hAnsi="仿宋_GB2312"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ascii="仿宋_GB2312" w:hAnsi="仿宋_GB2312" w:eastAsia="仿宋_GB2312" w:cs="仿宋_GB2312"/>
          <w:color w:val="auto"/>
          <w:kern w:val="2"/>
          <w:sz w:val="32"/>
          <w:szCs w:val="32"/>
          <w:highlight w:val="none"/>
          <w:lang w:val="en-US" w:eastAsia="zh-CN" w:bidi="ar-SA"/>
        </w:rPr>
        <w:t>.社会保障和就业（208）行政事业单位养老支出（05）机关事业单位基本养老保险缴费支出（05）：支出决算为30.25万元，完成预算100%，决算数与预算数持平。</w:t>
      </w:r>
    </w:p>
    <w:p w14:paraId="1FFEF10F">
      <w:pPr>
        <w:numPr>
          <w:ilvl w:val="0"/>
          <w:numId w:val="0"/>
        </w:numPr>
        <w:spacing w:line="600" w:lineRule="exact"/>
        <w:ind w:firstLine="640" w:firstLineChars="200"/>
        <w:rPr>
          <w:rFonts w:hint="eastAsia" w:ascii="仿宋_GB2312" w:hAnsi="仿宋_GB2312"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w:t>
      </w:r>
      <w:r>
        <w:rPr>
          <w:rFonts w:hint="eastAsia" w:ascii="仿宋_GB2312" w:hAnsi="仿宋_GB2312" w:eastAsia="仿宋_GB2312" w:cs="仿宋_GB2312"/>
          <w:color w:val="auto"/>
          <w:kern w:val="2"/>
          <w:sz w:val="32"/>
          <w:szCs w:val="32"/>
          <w:highlight w:val="none"/>
          <w:lang w:val="en-US" w:eastAsia="zh-CN" w:bidi="ar-SA"/>
        </w:rPr>
        <w:t>.社会保障和就业（208）行政事业单位养老支出（05）机关事业单位职业年金缴费支出（06）：支出决算为14.01万元，完成预算100%，决算数与预算数持平。</w:t>
      </w:r>
    </w:p>
    <w:p w14:paraId="366D731F">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w:t>
      </w:r>
      <w:r>
        <w:rPr>
          <w:rFonts w:hint="eastAsia" w:ascii="仿宋_GB2312" w:hAnsi="仿宋_GB2312" w:eastAsia="仿宋_GB2312" w:cs="仿宋_GB2312"/>
          <w:color w:val="auto"/>
          <w:kern w:val="2"/>
          <w:sz w:val="32"/>
          <w:szCs w:val="32"/>
          <w:highlight w:val="none"/>
          <w:lang w:val="en-US" w:eastAsia="zh-CN" w:bidi="ar-SA"/>
        </w:rPr>
        <w:t>卫生健康（210）行政事业单位医疗（11）事业单位医疗（02）：支出决算为18.46万元，完成预算100%，决算数与预算数持平。</w:t>
      </w:r>
    </w:p>
    <w:p w14:paraId="7C656386">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4.</w:t>
      </w:r>
      <w:r>
        <w:rPr>
          <w:rFonts w:hint="eastAsia" w:ascii="仿宋_GB2312" w:hAnsi="仿宋_GB2312" w:eastAsia="仿宋_GB2312" w:cs="仿宋_GB2312"/>
          <w:color w:val="auto"/>
          <w:kern w:val="2"/>
          <w:sz w:val="32"/>
          <w:szCs w:val="32"/>
          <w:highlight w:val="none"/>
          <w:lang w:val="en-US" w:eastAsia="zh-CN" w:bidi="ar-SA"/>
        </w:rPr>
        <w:t>农林水支出（213）农业农村（01）事业运行（04）：支出决算为230.42万元，完成预算100%，决算数与预算数持平。</w:t>
      </w:r>
    </w:p>
    <w:p w14:paraId="220F5CE2">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5.</w:t>
      </w:r>
      <w:r>
        <w:rPr>
          <w:rFonts w:hint="eastAsia" w:ascii="仿宋_GB2312" w:hAnsi="仿宋_GB2312" w:eastAsia="仿宋_GB2312" w:cs="仿宋_GB2312"/>
          <w:color w:val="auto"/>
          <w:kern w:val="2"/>
          <w:sz w:val="32"/>
          <w:szCs w:val="32"/>
          <w:highlight w:val="none"/>
          <w:lang w:val="en-US" w:eastAsia="zh-CN" w:bidi="ar-SA"/>
        </w:rPr>
        <w:t>住房保障支出（221）住房改革支出（02）住房公积金（01）：支出决算为23.58万元，完成预算100%，决算数与预算数持平。</w:t>
      </w:r>
    </w:p>
    <w:p w14:paraId="36440E3A">
      <w:pPr>
        <w:tabs>
          <w:tab w:val="right" w:pos="8306"/>
        </w:tabs>
        <w:spacing w:line="600" w:lineRule="exact"/>
        <w:ind w:firstLine="640"/>
        <w:outlineLvl w:val="1"/>
        <w:rPr>
          <w:rStyle w:val="30"/>
          <w:rFonts w:ascii="Times New Roman" w:hAnsi="Times New Roman"/>
          <w:color w:val="auto"/>
          <w:highlight w:val="none"/>
        </w:rPr>
      </w:pPr>
      <w:bookmarkStart w:id="50" w:name="_Toc15377214"/>
      <w:bookmarkStart w:id="51" w:name="_Toc5208"/>
      <w:bookmarkStart w:id="52" w:name="_Toc15396608"/>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般公共预算财政拨款基本支出决算情况说明</w:t>
      </w:r>
      <w:bookmarkEnd w:id="50"/>
      <w:bookmarkEnd w:id="51"/>
      <w:bookmarkEnd w:id="52"/>
      <w:r>
        <w:rPr>
          <w:rStyle w:val="30"/>
          <w:rFonts w:ascii="Times New Roman" w:hAnsi="Times New Roman" w:eastAsia="黑体"/>
          <w:b w:val="0"/>
          <w:color w:val="auto"/>
          <w:highlight w:val="none"/>
        </w:rPr>
        <w:tab/>
      </w:r>
    </w:p>
    <w:p w14:paraId="13D0786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316.71</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14:paraId="118E5EC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303.49</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rPr>
        <w:t>13.22</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458F8CA8">
      <w:pPr>
        <w:spacing w:line="600" w:lineRule="exact"/>
        <w:ind w:firstLine="640"/>
        <w:outlineLvl w:val="1"/>
        <w:rPr>
          <w:rStyle w:val="30"/>
          <w:rFonts w:ascii="Times New Roman" w:hAnsi="Times New Roman" w:eastAsia="黑体"/>
          <w:b w:val="0"/>
          <w:color w:val="auto"/>
          <w:highlight w:val="none"/>
        </w:rPr>
      </w:pPr>
      <w:bookmarkStart w:id="53" w:name="_Toc15396609"/>
      <w:bookmarkStart w:id="54" w:name="_Toc30894"/>
      <w:bookmarkStart w:id="55" w:name="_Toc15377215"/>
      <w:r>
        <w:rPr>
          <w:rFonts w:hint="eastAsia" w:ascii="Times New Roman" w:hAnsi="Times New Roman" w:eastAsia="黑体"/>
          <w:color w:val="auto"/>
          <w:sz w:val="32"/>
          <w:szCs w:val="32"/>
          <w:highlight w:val="none"/>
        </w:rPr>
        <w:t>七、</w:t>
      </w:r>
      <w:r>
        <w:rPr>
          <w:rStyle w:val="30"/>
          <w:rFonts w:hint="eastAsia" w:ascii="Times New Roman" w:hAnsi="Times New Roman" w:eastAsia="黑体"/>
          <w:b w:val="0"/>
          <w:color w:val="auto"/>
          <w:highlight w:val="none"/>
        </w:rPr>
        <w:t>财政拨款</w:t>
      </w:r>
      <w:r>
        <w:rPr>
          <w:rStyle w:val="30"/>
          <w:rFonts w:hint="eastAsia" w:ascii="Times New Roman" w:hAnsi="Times New Roman" w:eastAsia="黑体"/>
          <w:color w:val="auto"/>
          <w:highlight w:val="none"/>
        </w:rPr>
        <w:t>“</w:t>
      </w:r>
      <w:r>
        <w:rPr>
          <w:rStyle w:val="30"/>
          <w:rFonts w:hint="eastAsia" w:ascii="Times New Roman" w:hAnsi="Times New Roman" w:eastAsia="黑体"/>
          <w:b w:val="0"/>
          <w:color w:val="auto"/>
          <w:highlight w:val="none"/>
        </w:rPr>
        <w:t>三公”经费支出决算情况说明</w:t>
      </w:r>
      <w:bookmarkEnd w:id="53"/>
      <w:bookmarkEnd w:id="54"/>
      <w:bookmarkEnd w:id="55"/>
    </w:p>
    <w:p w14:paraId="491FEECA">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56"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56"/>
    </w:p>
    <w:p w14:paraId="6CD12C69">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万元，完成预算10</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p>
    <w:p w14:paraId="6C3F0CE9">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57"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57"/>
    </w:p>
    <w:p w14:paraId="14725A34">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2024年度“三公”经费财政拨款支出决算中，因公出国（境）费支出决算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万元，占0%；公务用车购置及运行维护费支出决算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万元，占0%；公务接待费支出决算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w:t>
      </w:r>
    </w:p>
    <w:p w14:paraId="20D8ABAC">
      <w:pPr>
        <w:spacing w:line="600" w:lineRule="exact"/>
        <w:ind w:firstLine="643"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1.因公出国（境）经费支出</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p>
    <w:p w14:paraId="5A2EB5F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0万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p>
    <w:p w14:paraId="2906172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ascii="仿宋_GB2312" w:hAnsi="仿宋_GB2312" w:eastAsia="仿宋_GB2312" w:cs="仿宋_GB2312"/>
          <w:b/>
          <w:bCs/>
          <w:color w:val="auto"/>
          <w:kern w:val="2"/>
          <w:sz w:val="32"/>
          <w:szCs w:val="32"/>
          <w:highlight w:val="none"/>
          <w:lang w:val="en-US" w:eastAsia="zh-CN" w:bidi="ar-SA"/>
        </w:rPr>
        <w:t>0万</w:t>
      </w:r>
      <w:r>
        <w:rPr>
          <w:rFonts w:hint="eastAsia" w:ascii="Times New Roman" w:hAnsi="Times New Roman" w:eastAsia="仿宋_GB2312" w:cs="仿宋_GB2312"/>
          <w:b/>
          <w:bCs/>
          <w:color w:val="auto"/>
          <w:kern w:val="2"/>
          <w:sz w:val="32"/>
          <w:szCs w:val="32"/>
          <w:highlight w:val="none"/>
          <w:lang w:val="en-US" w:eastAsia="zh-CN" w:bidi="ar-SA"/>
        </w:rPr>
        <w:t>元，完成预算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bookmarkStart w:id="58" w:name="_Toc15396610"/>
      <w:bookmarkStart w:id="59" w:name="_Toc15377218"/>
    </w:p>
    <w:p w14:paraId="01F496FE">
      <w:pPr>
        <w:spacing w:line="600" w:lineRule="exact"/>
        <w:ind w:firstLine="640"/>
        <w:outlineLvl w:val="1"/>
        <w:rPr>
          <w:rStyle w:val="30"/>
          <w:rFonts w:ascii="Times New Roman" w:hAnsi="Times New Roman" w:eastAsia="黑体"/>
          <w:color w:val="auto"/>
          <w:highlight w:val="none"/>
        </w:rPr>
      </w:pPr>
      <w:bookmarkStart w:id="60" w:name="_Toc26171"/>
      <w:r>
        <w:rPr>
          <w:rFonts w:hint="eastAsia" w:ascii="Times New Roman" w:hAnsi="Times New Roman" w:eastAsia="黑体"/>
          <w:color w:val="auto"/>
          <w:sz w:val="32"/>
          <w:szCs w:val="32"/>
          <w:highlight w:val="none"/>
        </w:rPr>
        <w:t>八、</w:t>
      </w:r>
      <w:r>
        <w:rPr>
          <w:rStyle w:val="30"/>
          <w:rFonts w:hint="eastAsia" w:ascii="Times New Roman" w:hAnsi="Times New Roman" w:eastAsia="黑体"/>
          <w:b w:val="0"/>
          <w:color w:val="auto"/>
          <w:highlight w:val="none"/>
        </w:rPr>
        <w:t>政府性基金预算支出决算情况说明</w:t>
      </w:r>
      <w:bookmarkEnd w:id="58"/>
      <w:bookmarkEnd w:id="59"/>
      <w:bookmarkEnd w:id="60"/>
    </w:p>
    <w:p w14:paraId="555B62B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w:t>
      </w:r>
    </w:p>
    <w:p w14:paraId="1B2601FF">
      <w:pPr>
        <w:numPr>
          <w:ilvl w:val="0"/>
          <w:numId w:val="0"/>
        </w:numPr>
        <w:spacing w:line="600" w:lineRule="exact"/>
        <w:ind w:left="630" w:leftChars="0"/>
        <w:outlineLvl w:val="1"/>
        <w:rPr>
          <w:rStyle w:val="30"/>
          <w:rFonts w:ascii="Times New Roman" w:hAnsi="Times New Roman" w:eastAsia="黑体"/>
          <w:b w:val="0"/>
          <w:color w:val="auto"/>
          <w:highlight w:val="none"/>
        </w:rPr>
      </w:pPr>
      <w:bookmarkStart w:id="61" w:name="_Toc15396611"/>
      <w:bookmarkStart w:id="62" w:name="_Toc28308"/>
      <w:bookmarkStart w:id="63" w:name="_Toc15377219"/>
      <w:r>
        <w:rPr>
          <w:rStyle w:val="30"/>
          <w:rFonts w:hint="eastAsia" w:ascii="Times New Roman" w:hAnsi="Times New Roman" w:eastAsia="黑体"/>
          <w:b w:val="0"/>
          <w:color w:val="auto"/>
          <w:highlight w:val="none"/>
          <w:lang w:eastAsia="zh-CN"/>
        </w:rPr>
        <w:t>九、</w:t>
      </w:r>
      <w:r>
        <w:rPr>
          <w:rStyle w:val="30"/>
          <w:rFonts w:hint="eastAsia" w:ascii="Times New Roman" w:hAnsi="Times New Roman" w:eastAsia="黑体"/>
          <w:b w:val="0"/>
          <w:color w:val="auto"/>
          <w:highlight w:val="none"/>
        </w:rPr>
        <w:t>国有资本经营预算支出决算情况说明</w:t>
      </w:r>
      <w:bookmarkEnd w:id="61"/>
      <w:bookmarkEnd w:id="62"/>
      <w:bookmarkEnd w:id="63"/>
    </w:p>
    <w:p w14:paraId="2E455D1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w:t>
      </w:r>
    </w:p>
    <w:p w14:paraId="4AC73226">
      <w:pPr>
        <w:numPr>
          <w:ilvl w:val="0"/>
          <w:numId w:val="0"/>
        </w:numPr>
        <w:spacing w:line="600" w:lineRule="exact"/>
        <w:ind w:left="630" w:leftChars="0"/>
        <w:outlineLvl w:val="1"/>
        <w:rPr>
          <w:rStyle w:val="30"/>
          <w:rFonts w:hint="eastAsia" w:ascii="Times New Roman" w:hAnsi="Times New Roman" w:eastAsia="黑体"/>
          <w:b w:val="0"/>
          <w:color w:val="auto"/>
          <w:highlight w:val="none"/>
        </w:rPr>
      </w:pPr>
      <w:bookmarkStart w:id="64" w:name="_Toc16507"/>
      <w:bookmarkStart w:id="65" w:name="_Toc15396612"/>
      <w:bookmarkStart w:id="66" w:name="_Toc15377221"/>
      <w:r>
        <w:rPr>
          <w:rStyle w:val="30"/>
          <w:rFonts w:hint="eastAsia" w:ascii="Times New Roman" w:hAnsi="Times New Roman" w:eastAsia="黑体"/>
          <w:b w:val="0"/>
          <w:color w:val="auto"/>
          <w:highlight w:val="none"/>
          <w:lang w:eastAsia="zh-CN"/>
        </w:rPr>
        <w:t>十、</w:t>
      </w:r>
      <w:r>
        <w:rPr>
          <w:rStyle w:val="30"/>
          <w:rFonts w:hint="eastAsia" w:ascii="Times New Roman" w:hAnsi="Times New Roman" w:eastAsia="黑体"/>
          <w:b w:val="0"/>
          <w:color w:val="auto"/>
          <w:highlight w:val="none"/>
        </w:rPr>
        <w:t>其他重要事项的情况说明</w:t>
      </w:r>
      <w:bookmarkEnd w:id="64"/>
      <w:bookmarkEnd w:id="65"/>
      <w:bookmarkEnd w:id="66"/>
    </w:p>
    <w:p w14:paraId="65BF6555">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67" w:name="_Toc15377222"/>
      <w:r>
        <w:rPr>
          <w:rFonts w:hint="eastAsia" w:ascii="Times New Roman" w:hAnsi="Times New Roman" w:eastAsia="楷体_GB2312" w:cs="楷体_GB2312"/>
          <w:b/>
          <w:color w:val="auto"/>
          <w:sz w:val="32"/>
          <w:szCs w:val="32"/>
          <w:highlight w:val="none"/>
        </w:rPr>
        <w:t>（一）机关运行经费支出情况</w:t>
      </w:r>
      <w:bookmarkEnd w:id="67"/>
    </w:p>
    <w:p w14:paraId="53EB7A3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阿坝州茂县沟口镇人民政府（事业）</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w:t>
      </w:r>
      <w:r>
        <w:rPr>
          <w:rFonts w:hint="eastAsia" w:eastAsia="仿宋_GB2312" w:cs="仿宋_GB2312"/>
          <w:color w:val="auto"/>
          <w:kern w:val="2"/>
          <w:sz w:val="32"/>
          <w:szCs w:val="32"/>
          <w:highlight w:val="none"/>
          <w:lang w:val="en-US" w:eastAsia="zh-CN" w:bidi="ar-SA"/>
        </w:rPr>
        <w:t>。</w:t>
      </w:r>
    </w:p>
    <w:p w14:paraId="5A34C186">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68" w:name="_Toc15377223"/>
      <w:r>
        <w:rPr>
          <w:rFonts w:hint="eastAsia" w:ascii="Times New Roman" w:hAnsi="Times New Roman" w:eastAsia="楷体_GB2312" w:cs="楷体_GB2312"/>
          <w:b/>
          <w:color w:val="auto"/>
          <w:sz w:val="32"/>
          <w:szCs w:val="32"/>
          <w:highlight w:val="none"/>
        </w:rPr>
        <w:t>（二）政府采购支出情况</w:t>
      </w:r>
      <w:bookmarkEnd w:id="68"/>
    </w:p>
    <w:p w14:paraId="2EDFCD4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阿坝州茂县沟口镇人民政府（事业）</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p>
    <w:p w14:paraId="0AC8187A">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69" w:name="_Toc15377224"/>
      <w:r>
        <w:rPr>
          <w:rFonts w:hint="eastAsia" w:ascii="Times New Roman" w:hAnsi="Times New Roman" w:eastAsia="楷体_GB2312" w:cs="楷体_GB2312"/>
          <w:b/>
          <w:color w:val="auto"/>
          <w:sz w:val="32"/>
          <w:szCs w:val="32"/>
          <w:highlight w:val="none"/>
        </w:rPr>
        <w:t>（三）国有资产占有使用情况</w:t>
      </w:r>
      <w:bookmarkEnd w:id="69"/>
    </w:p>
    <w:p w14:paraId="0FB0E28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阿坝州茂县沟口镇人民政府（事业）</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w:t>
      </w:r>
    </w:p>
    <w:p w14:paraId="5DE8D2E2">
      <w:pPr>
        <w:rPr>
          <w:rFonts w:hint="eastAsia" w:ascii="Times New Roman" w:hAnsi="Times New Roman" w:eastAsia="仿宋_GB2312" w:cs="仿宋_GB2312"/>
          <w:color w:val="auto"/>
          <w:kern w:val="2"/>
          <w:sz w:val="32"/>
          <w:szCs w:val="32"/>
          <w:highlight w:val="none"/>
          <w:lang w:val="en-US" w:eastAsia="zh-CN" w:bidi="ar-SA"/>
        </w:rPr>
      </w:pPr>
    </w:p>
    <w:p w14:paraId="11F34773">
      <w:pPr>
        <w:pStyle w:val="14"/>
        <w:rPr>
          <w:rFonts w:hint="eastAsia" w:ascii="Times New Roman" w:hAnsi="Times New Roman" w:eastAsia="仿宋_GB2312" w:cs="仿宋_GB2312"/>
          <w:color w:val="auto"/>
          <w:kern w:val="2"/>
          <w:sz w:val="32"/>
          <w:szCs w:val="32"/>
          <w:highlight w:val="none"/>
          <w:lang w:val="en-US" w:eastAsia="zh-CN" w:bidi="ar-SA"/>
        </w:rPr>
      </w:pPr>
    </w:p>
    <w:p w14:paraId="3954E43A">
      <w:pPr>
        <w:rPr>
          <w:rFonts w:hint="eastAsia" w:ascii="Times New Roman" w:hAnsi="Times New Roman" w:eastAsia="仿宋_GB2312" w:cs="仿宋_GB2312"/>
          <w:color w:val="auto"/>
          <w:kern w:val="2"/>
          <w:sz w:val="32"/>
          <w:szCs w:val="32"/>
          <w:highlight w:val="none"/>
          <w:lang w:val="en-US" w:eastAsia="zh-CN" w:bidi="ar-SA"/>
        </w:rPr>
      </w:pPr>
    </w:p>
    <w:p w14:paraId="16F34E75">
      <w:pPr>
        <w:pStyle w:val="14"/>
        <w:rPr>
          <w:rFonts w:hint="eastAsia" w:ascii="Times New Roman" w:hAnsi="Times New Roman" w:eastAsia="仿宋_GB2312" w:cs="仿宋_GB2312"/>
          <w:color w:val="auto"/>
          <w:kern w:val="2"/>
          <w:sz w:val="32"/>
          <w:szCs w:val="32"/>
          <w:highlight w:val="none"/>
          <w:lang w:val="en-US" w:eastAsia="zh-CN" w:bidi="ar-SA"/>
        </w:rPr>
      </w:pPr>
    </w:p>
    <w:p w14:paraId="37EFAA29">
      <w:pPr>
        <w:rPr>
          <w:rFonts w:hint="eastAsia" w:ascii="Times New Roman" w:hAnsi="Times New Roman" w:eastAsia="仿宋_GB2312" w:cs="仿宋_GB2312"/>
          <w:color w:val="auto"/>
          <w:kern w:val="2"/>
          <w:sz w:val="32"/>
          <w:szCs w:val="32"/>
          <w:highlight w:val="none"/>
          <w:lang w:val="en-US" w:eastAsia="zh-CN" w:bidi="ar-SA"/>
        </w:rPr>
      </w:pPr>
    </w:p>
    <w:p w14:paraId="37C300A7">
      <w:pPr>
        <w:pStyle w:val="14"/>
        <w:rPr>
          <w:rFonts w:hint="eastAsia" w:ascii="Times New Roman" w:hAnsi="Times New Roman" w:eastAsia="仿宋_GB2312" w:cs="仿宋_GB2312"/>
          <w:color w:val="auto"/>
          <w:kern w:val="2"/>
          <w:sz w:val="32"/>
          <w:szCs w:val="32"/>
          <w:highlight w:val="none"/>
          <w:lang w:val="en-US" w:eastAsia="zh-CN" w:bidi="ar-SA"/>
        </w:rPr>
      </w:pPr>
    </w:p>
    <w:p w14:paraId="5C9C143D">
      <w:pPr>
        <w:rPr>
          <w:rFonts w:hint="eastAsia" w:ascii="Times New Roman" w:hAnsi="Times New Roman" w:eastAsia="仿宋_GB2312" w:cs="仿宋_GB2312"/>
          <w:color w:val="auto"/>
          <w:kern w:val="2"/>
          <w:sz w:val="32"/>
          <w:szCs w:val="32"/>
          <w:highlight w:val="none"/>
          <w:lang w:val="en-US" w:eastAsia="zh-CN" w:bidi="ar-SA"/>
        </w:rPr>
      </w:pPr>
    </w:p>
    <w:p w14:paraId="4EF361A8">
      <w:pPr>
        <w:pStyle w:val="2"/>
        <w:rPr>
          <w:rFonts w:hint="eastAsia" w:ascii="Times New Roman" w:hAnsi="Times New Roman" w:eastAsia="仿宋_GB2312" w:cs="仿宋_GB2312"/>
          <w:color w:val="auto"/>
          <w:kern w:val="2"/>
          <w:sz w:val="32"/>
          <w:szCs w:val="32"/>
          <w:highlight w:val="none"/>
          <w:lang w:val="en-US" w:eastAsia="zh-CN" w:bidi="ar-SA"/>
        </w:rPr>
      </w:pPr>
    </w:p>
    <w:p w14:paraId="25BF6A0C">
      <w:pPr>
        <w:pStyle w:val="3"/>
        <w:rPr>
          <w:rFonts w:hint="eastAsia" w:ascii="Times New Roman" w:hAnsi="Times New Roman" w:eastAsia="仿宋_GB2312" w:cs="仿宋_GB2312"/>
          <w:color w:val="auto"/>
          <w:kern w:val="2"/>
          <w:sz w:val="32"/>
          <w:szCs w:val="32"/>
          <w:highlight w:val="none"/>
          <w:lang w:val="en-US" w:eastAsia="zh-CN" w:bidi="ar-SA"/>
        </w:rPr>
      </w:pPr>
    </w:p>
    <w:p w14:paraId="5C574C87">
      <w:pPr>
        <w:pStyle w:val="3"/>
        <w:rPr>
          <w:rFonts w:hint="eastAsia" w:ascii="Times New Roman" w:hAnsi="Times New Roman" w:eastAsia="仿宋_GB2312" w:cs="仿宋_GB2312"/>
          <w:color w:val="auto"/>
          <w:kern w:val="2"/>
          <w:sz w:val="32"/>
          <w:szCs w:val="32"/>
          <w:highlight w:val="none"/>
          <w:lang w:val="en-US" w:eastAsia="zh-CN" w:bidi="ar-SA"/>
        </w:rPr>
      </w:pPr>
    </w:p>
    <w:p w14:paraId="6B036FB0">
      <w:pPr>
        <w:rPr>
          <w:rFonts w:hint="eastAsia" w:ascii="Times New Roman" w:hAnsi="Times New Roman" w:eastAsia="仿宋_GB2312" w:cs="仿宋_GB2312"/>
          <w:color w:val="auto"/>
          <w:kern w:val="2"/>
          <w:sz w:val="32"/>
          <w:szCs w:val="32"/>
          <w:highlight w:val="none"/>
          <w:lang w:val="en-US" w:eastAsia="zh-CN" w:bidi="ar-SA"/>
        </w:rPr>
      </w:pPr>
    </w:p>
    <w:p w14:paraId="7ED73CC8">
      <w:pPr>
        <w:spacing w:line="600" w:lineRule="exact"/>
        <w:rPr>
          <w:rFonts w:hint="eastAsia" w:ascii="Times New Roman" w:hAnsi="Times New Roman" w:eastAsia="仿宋_GB2312" w:cs="仿宋_GB2312"/>
          <w:color w:val="auto"/>
          <w:kern w:val="2"/>
          <w:sz w:val="32"/>
          <w:szCs w:val="32"/>
          <w:highlight w:val="none"/>
          <w:lang w:val="en-US" w:eastAsia="zh-CN" w:bidi="ar-SA"/>
        </w:rPr>
      </w:pPr>
    </w:p>
    <w:p w14:paraId="383B341E">
      <w:pPr>
        <w:numPr>
          <w:ilvl w:val="0"/>
          <w:numId w:val="0"/>
        </w:numPr>
        <w:spacing w:line="600" w:lineRule="exact"/>
        <w:jc w:val="center"/>
        <w:outlineLvl w:val="0"/>
        <w:rPr>
          <w:rFonts w:hint="eastAsia" w:ascii="Times New Roman" w:hAnsi="Times New Roman" w:eastAsia="黑体"/>
          <w:color w:val="auto"/>
          <w:sz w:val="44"/>
          <w:szCs w:val="44"/>
          <w:highlight w:val="none"/>
        </w:rPr>
      </w:pPr>
      <w:bookmarkStart w:id="70" w:name="_Toc15396613"/>
      <w:bookmarkStart w:id="71" w:name="_Toc15377225"/>
      <w:bookmarkStart w:id="72" w:name="_Toc12316"/>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70"/>
      <w:bookmarkEnd w:id="71"/>
      <w:bookmarkEnd w:id="72"/>
    </w:p>
    <w:p w14:paraId="16A0DFBE">
      <w:pPr>
        <w:spacing w:line="600" w:lineRule="exact"/>
        <w:jc w:val="left"/>
        <w:rPr>
          <w:rFonts w:ascii="Times New Roman" w:hAnsi="Times New Roman"/>
          <w:b/>
          <w:color w:val="auto"/>
          <w:sz w:val="44"/>
          <w:szCs w:val="44"/>
          <w:highlight w:val="none"/>
        </w:rPr>
      </w:pPr>
    </w:p>
    <w:p w14:paraId="2A61ED2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1.财政拨款收入：指单位从同级财政部门取得的财政预算资金。</w:t>
      </w:r>
    </w:p>
    <w:p w14:paraId="4DEBDE06">
      <w:pPr>
        <w:pStyle w:val="27"/>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2.</w:t>
      </w:r>
      <w:r>
        <w:rPr>
          <w:rFonts w:hint="eastAsia" w:ascii="仿宋_GB2312" w:eastAsia="仿宋_GB2312"/>
          <w:color w:val="auto"/>
          <w:sz w:val="32"/>
          <w:szCs w:val="32"/>
          <w:highlight w:val="none"/>
        </w:rPr>
        <w:t>事业收入：指事业单位开展专业业务活动及辅助活动取得的收入。</w:t>
      </w:r>
    </w:p>
    <w:p w14:paraId="6C56430C">
      <w:pPr>
        <w:pStyle w:val="27"/>
        <w:spacing w:line="560" w:lineRule="exact"/>
        <w:ind w:firstLine="640" w:firstLineChars="200"/>
        <w:rPr>
          <w:rFonts w:hint="eastAsia" w:ascii="仿宋_GB2312" w:eastAsia="仿宋_GB2312"/>
          <w:color w:val="auto"/>
          <w:sz w:val="32"/>
          <w:szCs w:val="32"/>
          <w:highlight w:val="none"/>
        </w:rPr>
      </w:pPr>
      <w:r>
        <w:rPr>
          <w:rFonts w:ascii="仿宋_GB2312" w:eastAsia="仿宋_GB2312"/>
          <w:color w:val="auto"/>
          <w:sz w:val="32"/>
          <w:szCs w:val="32"/>
          <w:highlight w:val="none"/>
        </w:rPr>
        <w:t>3.</w:t>
      </w:r>
      <w:r>
        <w:rPr>
          <w:rFonts w:hint="eastAsia" w:ascii="仿宋_GB2312" w:eastAsia="仿宋_GB2312"/>
          <w:color w:val="auto"/>
          <w:sz w:val="32"/>
          <w:szCs w:val="32"/>
          <w:highlight w:val="none"/>
        </w:rPr>
        <w:t>经营收入：指事业单位在专业业务活动及其辅助活动之外开展非独立核算经营活动取得的收入。</w:t>
      </w:r>
    </w:p>
    <w:p w14:paraId="5FCF0B15">
      <w:pPr>
        <w:pStyle w:val="27"/>
        <w:spacing w:line="560" w:lineRule="exact"/>
        <w:ind w:firstLine="640" w:firstLineChars="200"/>
        <w:outlineLvl w:val="1"/>
        <w:rPr>
          <w:rFonts w:ascii="仿宋_GB2312" w:eastAsia="仿宋_GB2312"/>
          <w:color w:val="auto"/>
          <w:sz w:val="32"/>
          <w:szCs w:val="32"/>
          <w:highlight w:val="none"/>
        </w:rPr>
      </w:pPr>
      <w:bookmarkStart w:id="73" w:name="_Toc32428"/>
      <w:r>
        <w:rPr>
          <w:rFonts w:hint="eastAsia" w:ascii="Times New Roman" w:hAnsi="Times New Roman" w:eastAsia="仿宋_GB2312" w:cs="仿宋_GB2312"/>
          <w:color w:val="auto"/>
          <w:kern w:val="2"/>
          <w:sz w:val="32"/>
          <w:szCs w:val="32"/>
          <w:highlight w:val="none"/>
          <w:lang w:val="en-US" w:eastAsia="zh-CN" w:bidi="ar-SA"/>
        </w:rPr>
        <w:t>4.</w:t>
      </w:r>
      <w:bookmarkStart w:id="74" w:name="_Toc29469"/>
      <w:r>
        <w:rPr>
          <w:rFonts w:hint="eastAsia" w:ascii="仿宋_GB2312" w:eastAsia="仿宋_GB2312"/>
          <w:color w:val="auto"/>
          <w:sz w:val="32"/>
          <w:szCs w:val="32"/>
          <w:highlight w:val="none"/>
        </w:rPr>
        <w:t>其他收入：指单位取得的除上述收入以外的各项收入。</w:t>
      </w:r>
      <w:bookmarkEnd w:id="73"/>
      <w:bookmarkEnd w:id="74"/>
      <w:r>
        <w:rPr>
          <w:rFonts w:ascii="仿宋_GB2312" w:eastAsia="仿宋_GB2312"/>
          <w:color w:val="auto"/>
          <w:sz w:val="32"/>
          <w:szCs w:val="32"/>
          <w:highlight w:val="none"/>
        </w:rPr>
        <w:t xml:space="preserve"> </w:t>
      </w:r>
    </w:p>
    <w:p w14:paraId="4BDA99D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5.使用非财政拨款结余（含专用结余）：指事业单位使用以前年度积累的非财政拨款结余弥补当年收支差额的金额。 </w:t>
      </w:r>
    </w:p>
    <w:p w14:paraId="112F3F1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6.年初结转和结余：指以前年度尚未完成、结转到本年按有关规定继续使用的资金。 </w:t>
      </w:r>
    </w:p>
    <w:p w14:paraId="0C0767A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7.结余分配：指事业单位按照会计制度规定缴纳的所得税、提取的专用结余以及转入非财政拨款结余的金额等。</w:t>
      </w:r>
    </w:p>
    <w:p w14:paraId="251497F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8.年末结转和结余：指单位按有关规定结转到下年或以后年度继续使用的资金。</w:t>
      </w:r>
    </w:p>
    <w:p w14:paraId="4C09A44D">
      <w:pPr>
        <w:spacing w:line="576" w:lineRule="atLeast"/>
        <w:ind w:firstLine="640" w:firstLineChars="200"/>
        <w:rPr>
          <w:rStyle w:val="18"/>
          <w:rFonts w:ascii="仿宋_GB2312" w:eastAsia="仿宋_GB2312"/>
          <w:b w:val="0"/>
          <w:color w:val="0000FF"/>
          <w:sz w:val="32"/>
          <w:szCs w:val="32"/>
        </w:rPr>
      </w:pPr>
      <w:r>
        <w:rPr>
          <w:rFonts w:hint="eastAsia" w:ascii="Times New Roman" w:hAnsi="Times New Roman" w:eastAsia="仿宋_GB2312" w:cs="仿宋_GB2312"/>
          <w:color w:val="auto"/>
          <w:kern w:val="2"/>
          <w:sz w:val="32"/>
          <w:szCs w:val="32"/>
          <w:highlight w:val="none"/>
          <w:lang w:val="en-US" w:eastAsia="zh-CN" w:bidi="ar-SA"/>
        </w:rPr>
        <w:t>9.一般公共服务（</w:t>
      </w:r>
      <w:r>
        <w:rPr>
          <w:rFonts w:hint="eastAsia" w:eastAsia="仿宋_GB2312" w:cs="仿宋_GB2312"/>
          <w:color w:val="auto"/>
          <w:kern w:val="2"/>
          <w:sz w:val="32"/>
          <w:szCs w:val="32"/>
          <w:highlight w:val="none"/>
          <w:lang w:val="en-US" w:eastAsia="zh-CN" w:bidi="ar-SA"/>
        </w:rPr>
        <w:t>类</w:t>
      </w:r>
      <w:r>
        <w:rPr>
          <w:rFonts w:hint="eastAsia" w:ascii="Times New Roman" w:hAnsi="Times New Roman" w:eastAsia="仿宋_GB2312" w:cs="仿宋_GB2312"/>
          <w:color w:val="auto"/>
          <w:kern w:val="2"/>
          <w:sz w:val="32"/>
          <w:szCs w:val="32"/>
          <w:highlight w:val="none"/>
          <w:lang w:val="en-US" w:eastAsia="zh-CN" w:bidi="ar-SA"/>
        </w:rPr>
        <w:t>）人大事务</w:t>
      </w:r>
      <w:r>
        <w:rPr>
          <w:rFonts w:hint="eastAsia" w:eastAsia="仿宋_GB2312" w:cs="仿宋_GB2312"/>
          <w:color w:val="auto"/>
          <w:kern w:val="2"/>
          <w:sz w:val="32"/>
          <w:szCs w:val="32"/>
          <w:highlight w:val="none"/>
          <w:lang w:val="en-US" w:eastAsia="zh-CN" w:bidi="ar-SA"/>
        </w:rPr>
        <w:t>（款）代表工作（项）</w:t>
      </w:r>
      <w:r>
        <w:rPr>
          <w:rFonts w:hint="eastAsia" w:ascii="Times New Roman" w:hAnsi="Times New Roman" w:eastAsia="仿宋_GB2312" w:cs="仿宋_GB2312"/>
          <w:color w:val="auto"/>
          <w:kern w:val="2"/>
          <w:sz w:val="32"/>
          <w:szCs w:val="32"/>
          <w:highlight w:val="none"/>
          <w:lang w:val="en-US" w:eastAsia="zh-CN" w:bidi="ar-SA"/>
        </w:rPr>
        <w:t>：</w:t>
      </w:r>
      <w:r>
        <w:rPr>
          <w:rStyle w:val="18"/>
          <w:rFonts w:hint="eastAsia" w:ascii="仿宋_GB2312" w:eastAsia="仿宋_GB2312" w:cs="仿宋_GB2312"/>
          <w:b w:val="0"/>
          <w:color w:val="000000"/>
          <w:sz w:val="32"/>
          <w:szCs w:val="32"/>
        </w:rPr>
        <w:t>指</w:t>
      </w:r>
      <w:r>
        <w:rPr>
          <w:rFonts w:hint="eastAsia" w:ascii="仿宋_GB2312" w:eastAsia="仿宋_GB2312" w:cs="仿宋_GB2312"/>
          <w:color w:val="000000"/>
          <w:sz w:val="32"/>
          <w:szCs w:val="32"/>
        </w:rPr>
        <w:t>单位人大召开人民代表大会等专门会议的支出</w:t>
      </w:r>
      <w:r>
        <w:rPr>
          <w:rStyle w:val="18"/>
          <w:rFonts w:hint="eastAsia" w:ascii="仿宋_GB2312" w:eastAsia="仿宋_GB2312" w:cs="仿宋_GB2312"/>
          <w:b w:val="0"/>
          <w:color w:val="0000FF"/>
          <w:sz w:val="32"/>
          <w:szCs w:val="32"/>
        </w:rPr>
        <w:t>。</w:t>
      </w:r>
    </w:p>
    <w:p w14:paraId="26E66714">
      <w:pPr>
        <w:spacing w:line="576" w:lineRule="atLeast"/>
        <w:ind w:firstLine="640" w:firstLineChars="200"/>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10.一般公共服务（</w:t>
      </w:r>
      <w:r>
        <w:rPr>
          <w:rFonts w:hint="eastAsia" w:eastAsia="仿宋_GB2312" w:cs="仿宋_GB2312"/>
          <w:color w:val="auto"/>
          <w:kern w:val="2"/>
          <w:sz w:val="32"/>
          <w:szCs w:val="32"/>
          <w:highlight w:val="none"/>
          <w:lang w:val="en-US" w:eastAsia="zh-CN" w:bidi="ar-SA"/>
        </w:rPr>
        <w:t>类</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政府办公厅（室）及相关机构事务（款）行政运行（项）：</w:t>
      </w:r>
      <w:r>
        <w:rPr>
          <w:rStyle w:val="18"/>
          <w:rFonts w:hint="eastAsia" w:ascii="仿宋_GB2312" w:eastAsia="仿宋_GB2312" w:cs="仿宋_GB2312"/>
          <w:b w:val="0"/>
          <w:color w:val="000000"/>
          <w:sz w:val="32"/>
          <w:szCs w:val="32"/>
        </w:rPr>
        <w:t>指单位（包括实行公务员管理的事业单位）的基本支出。</w:t>
      </w:r>
    </w:p>
    <w:p w14:paraId="38086D97">
      <w:pPr>
        <w:spacing w:line="576" w:lineRule="atLeast"/>
        <w:ind w:firstLine="640" w:firstLineChars="200"/>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11.社会保障和就业（</w:t>
      </w:r>
      <w:r>
        <w:rPr>
          <w:rFonts w:hint="eastAsia" w:eastAsia="仿宋_GB2312" w:cs="仿宋_GB2312"/>
          <w:color w:val="auto"/>
          <w:kern w:val="2"/>
          <w:sz w:val="32"/>
          <w:szCs w:val="32"/>
          <w:highlight w:val="none"/>
          <w:lang w:val="en-US" w:eastAsia="zh-CN" w:bidi="ar-SA"/>
        </w:rPr>
        <w:t>类</w:t>
      </w:r>
      <w:r>
        <w:rPr>
          <w:rFonts w:hint="eastAsia" w:ascii="Times New Roman" w:hAnsi="Times New Roman" w:eastAsia="仿宋_GB2312" w:cs="仿宋_GB2312"/>
          <w:color w:val="auto"/>
          <w:kern w:val="2"/>
          <w:sz w:val="32"/>
          <w:szCs w:val="32"/>
          <w:highlight w:val="none"/>
          <w:lang w:val="en-US" w:eastAsia="zh-CN" w:bidi="ar-SA"/>
        </w:rPr>
        <w:t>）行政事业单位养老支出（</w:t>
      </w:r>
      <w:r>
        <w:rPr>
          <w:rFonts w:hint="eastAsia" w:eastAsia="仿宋_GB2312" w:cs="仿宋_GB2312"/>
          <w:color w:val="auto"/>
          <w:kern w:val="2"/>
          <w:sz w:val="32"/>
          <w:szCs w:val="32"/>
          <w:highlight w:val="none"/>
          <w:lang w:val="en-US" w:eastAsia="zh-CN" w:bidi="ar-SA"/>
        </w:rPr>
        <w:t>款</w:t>
      </w:r>
      <w:r>
        <w:rPr>
          <w:rFonts w:hint="eastAsia" w:ascii="Times New Roman" w:hAnsi="Times New Roman" w:eastAsia="仿宋_GB2312" w:cs="仿宋_GB2312"/>
          <w:color w:val="auto"/>
          <w:kern w:val="2"/>
          <w:sz w:val="32"/>
          <w:szCs w:val="32"/>
          <w:highlight w:val="none"/>
          <w:lang w:val="en-US" w:eastAsia="zh-CN" w:bidi="ar-SA"/>
        </w:rPr>
        <w:t>）机关事业单位基本养老保险缴费支出（</w:t>
      </w:r>
      <w:r>
        <w:rPr>
          <w:rFonts w:hint="eastAsia" w:eastAsia="仿宋_GB2312" w:cs="仿宋_GB2312"/>
          <w:color w:val="auto"/>
          <w:kern w:val="2"/>
          <w:sz w:val="32"/>
          <w:szCs w:val="32"/>
          <w:highlight w:val="none"/>
          <w:lang w:val="en-US" w:eastAsia="zh-CN" w:bidi="ar-SA"/>
        </w:rPr>
        <w:t>项）：</w:t>
      </w:r>
      <w:r>
        <w:rPr>
          <w:rStyle w:val="18"/>
          <w:rFonts w:hint="eastAsia" w:ascii="仿宋_GB2312" w:eastAsia="仿宋_GB2312" w:cs="仿宋_GB2312"/>
          <w:b w:val="0"/>
          <w:color w:val="000000"/>
          <w:sz w:val="32"/>
          <w:szCs w:val="32"/>
        </w:rPr>
        <w:t>指</w:t>
      </w:r>
      <w:r>
        <w:rPr>
          <w:rFonts w:hint="eastAsia" w:ascii="仿宋_GB2312" w:eastAsia="仿宋_GB2312" w:cs="仿宋_GB2312"/>
          <w:color w:val="000000"/>
          <w:kern w:val="0"/>
          <w:sz w:val="32"/>
          <w:szCs w:val="32"/>
        </w:rPr>
        <w:t>单位实施养老保险制度由单位缴纳的养老保险费的支出</w:t>
      </w:r>
      <w:r>
        <w:rPr>
          <w:rStyle w:val="18"/>
          <w:rFonts w:hint="eastAsia" w:ascii="仿宋_GB2312" w:eastAsia="仿宋_GB2312" w:cs="仿宋_GB2312"/>
          <w:b w:val="0"/>
          <w:color w:val="000000"/>
          <w:sz w:val="32"/>
          <w:szCs w:val="32"/>
        </w:rPr>
        <w:t>。</w:t>
      </w:r>
    </w:p>
    <w:p w14:paraId="43000F47">
      <w:pPr>
        <w:spacing w:line="576" w:lineRule="atLeast"/>
        <w:ind w:firstLine="640" w:firstLineChars="200"/>
        <w:rPr>
          <w:rStyle w:val="18"/>
          <w:rFonts w:ascii="仿宋_GB2312" w:eastAsia="仿宋_GB2312"/>
          <w:b w:val="0"/>
          <w:color w:val="000000"/>
          <w:sz w:val="32"/>
          <w:szCs w:val="32"/>
        </w:rPr>
      </w:pPr>
      <w:r>
        <w:rPr>
          <w:rFonts w:hint="eastAsia" w:ascii="Times New Roman" w:hAnsi="Times New Roman" w:eastAsia="仿宋_GB2312" w:cs="仿宋_GB2312"/>
          <w:color w:val="auto"/>
          <w:kern w:val="2"/>
          <w:sz w:val="32"/>
          <w:szCs w:val="32"/>
          <w:highlight w:val="none"/>
          <w:lang w:val="en-US" w:eastAsia="zh-CN" w:bidi="ar-SA"/>
        </w:rPr>
        <w:t>12.文社会保障和就业（</w:t>
      </w:r>
      <w:r>
        <w:rPr>
          <w:rFonts w:hint="eastAsia" w:eastAsia="仿宋_GB2312" w:cs="仿宋_GB2312"/>
          <w:color w:val="auto"/>
          <w:kern w:val="2"/>
          <w:sz w:val="32"/>
          <w:szCs w:val="32"/>
          <w:highlight w:val="none"/>
          <w:lang w:val="en-US" w:eastAsia="zh-CN" w:bidi="ar-SA"/>
        </w:rPr>
        <w:t>类</w:t>
      </w:r>
      <w:r>
        <w:rPr>
          <w:rFonts w:hint="eastAsia" w:ascii="Times New Roman" w:hAnsi="Times New Roman" w:eastAsia="仿宋_GB2312" w:cs="仿宋_GB2312"/>
          <w:color w:val="auto"/>
          <w:kern w:val="2"/>
          <w:sz w:val="32"/>
          <w:szCs w:val="32"/>
          <w:highlight w:val="none"/>
          <w:lang w:val="en-US" w:eastAsia="zh-CN" w:bidi="ar-SA"/>
        </w:rPr>
        <w:t>）行政事业单位养老支出（</w:t>
      </w:r>
      <w:r>
        <w:rPr>
          <w:rFonts w:hint="eastAsia" w:eastAsia="仿宋_GB2312" w:cs="仿宋_GB2312"/>
          <w:color w:val="auto"/>
          <w:kern w:val="2"/>
          <w:sz w:val="32"/>
          <w:szCs w:val="32"/>
          <w:highlight w:val="none"/>
          <w:lang w:val="en-US" w:eastAsia="zh-CN" w:bidi="ar-SA"/>
        </w:rPr>
        <w:t>款</w:t>
      </w:r>
      <w:r>
        <w:rPr>
          <w:rFonts w:hint="eastAsia" w:ascii="Times New Roman" w:hAnsi="Times New Roman" w:eastAsia="仿宋_GB2312" w:cs="仿宋_GB2312"/>
          <w:color w:val="auto"/>
          <w:kern w:val="2"/>
          <w:sz w:val="32"/>
          <w:szCs w:val="32"/>
          <w:highlight w:val="none"/>
          <w:lang w:val="en-US" w:eastAsia="zh-CN" w:bidi="ar-SA"/>
        </w:rPr>
        <w:t>）机关事业单位职业年金缴费支出（</w:t>
      </w:r>
      <w:r>
        <w:rPr>
          <w:rFonts w:hint="eastAsia" w:eastAsia="仿宋_GB2312" w:cs="仿宋_GB2312"/>
          <w:color w:val="auto"/>
          <w:kern w:val="2"/>
          <w:sz w:val="32"/>
          <w:szCs w:val="32"/>
          <w:highlight w:val="none"/>
          <w:lang w:val="en-US" w:eastAsia="zh-CN" w:bidi="ar-SA"/>
        </w:rPr>
        <w:t>项）：</w:t>
      </w:r>
      <w:r>
        <w:rPr>
          <w:rStyle w:val="18"/>
          <w:rFonts w:hint="eastAsia" w:ascii="仿宋_GB2312" w:eastAsia="仿宋_GB2312" w:cs="仿宋_GB2312"/>
          <w:b w:val="0"/>
          <w:color w:val="000000"/>
          <w:sz w:val="32"/>
          <w:szCs w:val="32"/>
        </w:rPr>
        <w:t>指</w:t>
      </w:r>
      <w:r>
        <w:rPr>
          <w:rFonts w:hint="eastAsia" w:ascii="仿宋_GB2312" w:eastAsia="仿宋_GB2312" w:cs="仿宋_GB2312"/>
          <w:color w:val="000000"/>
          <w:kern w:val="0"/>
          <w:sz w:val="32"/>
          <w:szCs w:val="32"/>
        </w:rPr>
        <w:t>单位实施养老保险制度由单位缴纳的职业年金的支出</w:t>
      </w:r>
      <w:r>
        <w:rPr>
          <w:rStyle w:val="18"/>
          <w:rFonts w:hint="eastAsia" w:ascii="仿宋_GB2312" w:eastAsia="仿宋_GB2312" w:cs="仿宋_GB2312"/>
          <w:b w:val="0"/>
          <w:color w:val="000000"/>
          <w:sz w:val="32"/>
          <w:szCs w:val="32"/>
        </w:rPr>
        <w:t>。</w:t>
      </w:r>
    </w:p>
    <w:p w14:paraId="459938E2">
      <w:pPr>
        <w:spacing w:line="600" w:lineRule="exact"/>
        <w:ind w:firstLine="640"/>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13.卫生健康（</w:t>
      </w:r>
      <w:r>
        <w:rPr>
          <w:rFonts w:hint="eastAsia" w:eastAsia="仿宋_GB2312" w:cs="仿宋_GB2312"/>
          <w:color w:val="auto"/>
          <w:kern w:val="2"/>
          <w:sz w:val="32"/>
          <w:szCs w:val="32"/>
          <w:highlight w:val="none"/>
          <w:lang w:val="en-US" w:eastAsia="zh-CN" w:bidi="ar-SA"/>
        </w:rPr>
        <w:t>类</w:t>
      </w:r>
      <w:r>
        <w:rPr>
          <w:rFonts w:hint="eastAsia" w:ascii="Times New Roman" w:hAnsi="Times New Roman" w:eastAsia="仿宋_GB2312" w:cs="仿宋_GB2312"/>
          <w:color w:val="auto"/>
          <w:kern w:val="2"/>
          <w:sz w:val="32"/>
          <w:szCs w:val="32"/>
          <w:highlight w:val="none"/>
          <w:lang w:val="en-US" w:eastAsia="zh-CN" w:bidi="ar-SA"/>
        </w:rPr>
        <w:t>）行政事业单位医疗（</w:t>
      </w:r>
      <w:r>
        <w:rPr>
          <w:rFonts w:hint="eastAsia" w:eastAsia="仿宋_GB2312" w:cs="仿宋_GB2312"/>
          <w:color w:val="auto"/>
          <w:kern w:val="2"/>
          <w:sz w:val="32"/>
          <w:szCs w:val="32"/>
          <w:highlight w:val="none"/>
          <w:lang w:val="en-US" w:eastAsia="zh-CN" w:bidi="ar-SA"/>
        </w:rPr>
        <w:t>款</w:t>
      </w:r>
      <w:r>
        <w:rPr>
          <w:rFonts w:hint="eastAsia" w:ascii="Times New Roman" w:hAnsi="Times New Roman" w:eastAsia="仿宋_GB2312" w:cs="仿宋_GB2312"/>
          <w:color w:val="auto"/>
          <w:kern w:val="2"/>
          <w:sz w:val="32"/>
          <w:szCs w:val="32"/>
          <w:highlight w:val="none"/>
          <w:lang w:val="en-US" w:eastAsia="zh-CN" w:bidi="ar-SA"/>
        </w:rPr>
        <w:t>）事业单位医疗（</w:t>
      </w:r>
      <w:r>
        <w:rPr>
          <w:rFonts w:hint="eastAsia" w:eastAsia="仿宋_GB2312" w:cs="仿宋_GB2312"/>
          <w:color w:val="auto"/>
          <w:kern w:val="2"/>
          <w:sz w:val="32"/>
          <w:szCs w:val="32"/>
          <w:highlight w:val="none"/>
          <w:lang w:val="en-US" w:eastAsia="zh-CN" w:bidi="ar-SA"/>
        </w:rPr>
        <w:t>项</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r>
        <w:rPr>
          <w:rStyle w:val="18"/>
          <w:rFonts w:hint="eastAsia" w:ascii="仿宋_GB2312" w:eastAsia="仿宋_GB2312" w:cs="仿宋_GB2312"/>
          <w:b w:val="0"/>
          <w:color w:val="000000"/>
          <w:sz w:val="32"/>
          <w:szCs w:val="32"/>
        </w:rPr>
        <w:t>指</w:t>
      </w:r>
      <w:r>
        <w:rPr>
          <w:rFonts w:hint="eastAsia" w:ascii="仿宋_GB2312" w:eastAsia="仿宋_GB2312" w:cs="仿宋_GB2312"/>
          <w:color w:val="000000"/>
          <w:kern w:val="0"/>
          <w:sz w:val="32"/>
          <w:szCs w:val="32"/>
        </w:rPr>
        <w:t>单位</w:t>
      </w:r>
      <w:r>
        <w:rPr>
          <w:rFonts w:hint="eastAsia" w:ascii="仿宋_GB2312" w:eastAsia="仿宋_GB2312" w:cs="仿宋_GB2312"/>
          <w:color w:val="000000"/>
          <w:kern w:val="0"/>
          <w:sz w:val="32"/>
          <w:szCs w:val="32"/>
          <w:lang w:eastAsia="zh-CN"/>
        </w:rPr>
        <w:t>安排的事业单位基本医疗保险缴纳经费，未参加医疗保险的行政单位的公费医疗经费，按国家规定享受离休人员的医疗经费。</w:t>
      </w:r>
    </w:p>
    <w:p w14:paraId="31EEC86E">
      <w:pPr>
        <w:spacing w:line="576" w:lineRule="atLeas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en-US" w:eastAsia="zh-CN" w:bidi="ar-SA"/>
        </w:rPr>
        <w:t>.农林水支出（</w:t>
      </w:r>
      <w:r>
        <w:rPr>
          <w:rFonts w:hint="eastAsia" w:eastAsia="仿宋_GB2312" w:cs="仿宋_GB2312"/>
          <w:color w:val="auto"/>
          <w:kern w:val="2"/>
          <w:sz w:val="32"/>
          <w:szCs w:val="32"/>
          <w:highlight w:val="none"/>
          <w:lang w:val="en-US" w:eastAsia="zh-CN" w:bidi="ar-SA"/>
        </w:rPr>
        <w:t>类</w:t>
      </w:r>
      <w:r>
        <w:rPr>
          <w:rFonts w:hint="eastAsia" w:ascii="Times New Roman" w:hAnsi="Times New Roman" w:eastAsia="仿宋_GB2312" w:cs="仿宋_GB2312"/>
          <w:color w:val="auto"/>
          <w:kern w:val="2"/>
          <w:sz w:val="32"/>
          <w:szCs w:val="32"/>
          <w:highlight w:val="none"/>
          <w:lang w:val="en-US" w:eastAsia="zh-CN" w:bidi="ar-SA"/>
        </w:rPr>
        <w:t>）农业农村（</w:t>
      </w:r>
      <w:r>
        <w:rPr>
          <w:rFonts w:hint="eastAsia" w:eastAsia="仿宋_GB2312" w:cs="仿宋_GB2312"/>
          <w:color w:val="auto"/>
          <w:kern w:val="2"/>
          <w:sz w:val="32"/>
          <w:szCs w:val="32"/>
          <w:highlight w:val="none"/>
          <w:lang w:val="en-US" w:eastAsia="zh-CN" w:bidi="ar-SA"/>
        </w:rPr>
        <w:t>款</w:t>
      </w:r>
      <w:r>
        <w:rPr>
          <w:rFonts w:hint="eastAsia" w:ascii="Times New Roman" w:hAnsi="Times New Roman" w:eastAsia="仿宋_GB2312" w:cs="仿宋_GB2312"/>
          <w:color w:val="auto"/>
          <w:kern w:val="2"/>
          <w:sz w:val="32"/>
          <w:szCs w:val="32"/>
          <w:highlight w:val="none"/>
          <w:lang w:val="en-US" w:eastAsia="zh-CN" w:bidi="ar-SA"/>
        </w:rPr>
        <w:t>）事业运行（</w:t>
      </w:r>
      <w:r>
        <w:rPr>
          <w:rFonts w:hint="eastAsia" w:eastAsia="仿宋_GB2312" w:cs="仿宋_GB2312"/>
          <w:color w:val="auto"/>
          <w:kern w:val="2"/>
          <w:sz w:val="32"/>
          <w:szCs w:val="32"/>
          <w:highlight w:val="none"/>
          <w:lang w:val="en-US" w:eastAsia="zh-CN" w:bidi="ar-SA"/>
        </w:rPr>
        <w:t>项</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r>
        <w:rPr>
          <w:rStyle w:val="18"/>
          <w:rFonts w:hint="eastAsia" w:ascii="仿宋_GB2312" w:eastAsia="仿宋_GB2312" w:cs="仿宋_GB2312"/>
          <w:b w:val="0"/>
          <w:color w:val="000000"/>
          <w:sz w:val="32"/>
          <w:szCs w:val="32"/>
        </w:rPr>
        <w:t>指用于农业事业单位基本支出，事业单位设施、系统运行与资产维护等方面的支出。</w:t>
      </w:r>
    </w:p>
    <w:p w14:paraId="067029C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15</w:t>
      </w:r>
      <w:r>
        <w:rPr>
          <w:rFonts w:hint="eastAsia" w:ascii="Times New Roman" w:hAnsi="Times New Roman" w:eastAsia="仿宋_GB2312" w:cs="仿宋_GB2312"/>
          <w:color w:val="auto"/>
          <w:kern w:val="2"/>
          <w:sz w:val="32"/>
          <w:szCs w:val="32"/>
          <w:highlight w:val="none"/>
          <w:lang w:val="en-US" w:eastAsia="zh-CN" w:bidi="ar-SA"/>
        </w:rPr>
        <w:t>.基本支出：指为保障机构正常运转、完成日常工作任务而发生的人员支出和公用支出。</w:t>
      </w:r>
    </w:p>
    <w:p w14:paraId="01D537C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16</w:t>
      </w:r>
      <w:r>
        <w:rPr>
          <w:rFonts w:hint="eastAsia" w:ascii="Times New Roman" w:hAnsi="Times New Roman" w:eastAsia="仿宋_GB2312" w:cs="仿宋_GB2312"/>
          <w:color w:val="auto"/>
          <w:kern w:val="2"/>
          <w:sz w:val="32"/>
          <w:szCs w:val="32"/>
          <w:highlight w:val="none"/>
          <w:lang w:val="en-US" w:eastAsia="zh-CN" w:bidi="ar-SA"/>
        </w:rPr>
        <w:t xml:space="preserve">.项目支出：指在基本支出之外为完成特定行政任务和事业发展目标所发生的支出。 </w:t>
      </w:r>
    </w:p>
    <w:p w14:paraId="5CB4F37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17</w:t>
      </w:r>
      <w:r>
        <w:rPr>
          <w:rFonts w:hint="eastAsia" w:ascii="Times New Roman" w:hAnsi="Times New Roman" w:eastAsia="仿宋_GB2312" w:cs="仿宋_GB2312"/>
          <w:color w:val="auto"/>
          <w:kern w:val="2"/>
          <w:sz w:val="32"/>
          <w:szCs w:val="32"/>
          <w:highlight w:val="none"/>
          <w:lang w:val="en-US" w:eastAsia="zh-CN" w:bidi="ar-SA"/>
        </w:rPr>
        <w:t>.经营支出：指事业单位在专业业务活动及其辅助活动之外开展非独立核算经营活动发生的支出。</w:t>
      </w:r>
    </w:p>
    <w:p w14:paraId="3264294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18</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三公</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5067B0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19</w:t>
      </w:r>
      <w:r>
        <w:rPr>
          <w:rFonts w:hint="eastAsia" w:ascii="Times New Roman" w:hAnsi="Times New Roman" w:eastAsia="仿宋_GB2312" w:cs="仿宋_GB2312"/>
          <w:color w:val="auto"/>
          <w:kern w:val="2"/>
          <w:sz w:val="32"/>
          <w:szCs w:val="32"/>
          <w:highlight w:val="none"/>
          <w:lang w:val="en-US" w:eastAsia="zh-CN" w:bidi="ar-SA"/>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5B9727E">
      <w:pPr>
        <w:spacing w:line="600" w:lineRule="exact"/>
        <w:jc w:val="center"/>
        <w:rPr>
          <w:rFonts w:hint="eastAsia" w:ascii="Times New Roman" w:hAnsi="Times New Roman" w:eastAsia="黑体"/>
          <w:color w:val="auto"/>
          <w:sz w:val="44"/>
          <w:szCs w:val="44"/>
          <w:highlight w:val="none"/>
        </w:rPr>
      </w:pPr>
      <w:bookmarkStart w:id="75" w:name="_Toc15396614"/>
      <w:bookmarkStart w:id="76" w:name="_Toc15377226"/>
    </w:p>
    <w:p w14:paraId="74FB715C">
      <w:pPr>
        <w:spacing w:line="600" w:lineRule="exact"/>
        <w:jc w:val="center"/>
        <w:rPr>
          <w:rFonts w:hint="eastAsia" w:ascii="Times New Roman" w:hAnsi="Times New Roman" w:eastAsia="黑体"/>
          <w:color w:val="auto"/>
          <w:sz w:val="44"/>
          <w:szCs w:val="44"/>
          <w:highlight w:val="none"/>
        </w:rPr>
      </w:pPr>
    </w:p>
    <w:p w14:paraId="25D8A2BE">
      <w:pPr>
        <w:spacing w:line="600" w:lineRule="exact"/>
        <w:jc w:val="center"/>
        <w:rPr>
          <w:rFonts w:hint="eastAsia" w:ascii="Times New Roman" w:hAnsi="Times New Roman" w:eastAsia="黑体"/>
          <w:color w:val="auto"/>
          <w:sz w:val="44"/>
          <w:szCs w:val="44"/>
          <w:highlight w:val="none"/>
        </w:rPr>
      </w:pPr>
    </w:p>
    <w:p w14:paraId="69A3C27A">
      <w:pPr>
        <w:spacing w:line="600" w:lineRule="exact"/>
        <w:jc w:val="center"/>
        <w:rPr>
          <w:rFonts w:hint="eastAsia" w:ascii="Times New Roman" w:hAnsi="Times New Roman" w:eastAsia="黑体"/>
          <w:color w:val="auto"/>
          <w:sz w:val="44"/>
          <w:szCs w:val="44"/>
          <w:highlight w:val="none"/>
        </w:rPr>
      </w:pPr>
    </w:p>
    <w:p w14:paraId="0EBD9CCF">
      <w:pPr>
        <w:spacing w:line="600" w:lineRule="exact"/>
        <w:jc w:val="center"/>
        <w:rPr>
          <w:rFonts w:hint="eastAsia" w:ascii="Times New Roman" w:hAnsi="Times New Roman" w:eastAsia="黑体"/>
          <w:color w:val="auto"/>
          <w:sz w:val="44"/>
          <w:szCs w:val="44"/>
          <w:highlight w:val="none"/>
        </w:rPr>
      </w:pPr>
    </w:p>
    <w:p w14:paraId="39D29E75">
      <w:pPr>
        <w:spacing w:line="600" w:lineRule="exact"/>
        <w:jc w:val="center"/>
        <w:rPr>
          <w:rFonts w:hint="eastAsia" w:ascii="Times New Roman" w:hAnsi="Times New Roman" w:eastAsia="黑体"/>
          <w:color w:val="auto"/>
          <w:sz w:val="44"/>
          <w:szCs w:val="44"/>
          <w:highlight w:val="none"/>
        </w:rPr>
      </w:pPr>
    </w:p>
    <w:p w14:paraId="6BEF57B5">
      <w:pPr>
        <w:spacing w:line="600" w:lineRule="exact"/>
        <w:jc w:val="center"/>
        <w:rPr>
          <w:rFonts w:hint="eastAsia" w:ascii="Times New Roman" w:hAnsi="Times New Roman" w:eastAsia="黑体"/>
          <w:color w:val="auto"/>
          <w:sz w:val="44"/>
          <w:szCs w:val="44"/>
          <w:highlight w:val="none"/>
        </w:rPr>
      </w:pPr>
    </w:p>
    <w:p w14:paraId="2C014E44">
      <w:pPr>
        <w:spacing w:line="600" w:lineRule="exact"/>
        <w:jc w:val="center"/>
        <w:rPr>
          <w:rFonts w:hint="eastAsia" w:ascii="Times New Roman" w:hAnsi="Times New Roman" w:eastAsia="黑体"/>
          <w:color w:val="auto"/>
          <w:sz w:val="44"/>
          <w:szCs w:val="44"/>
          <w:highlight w:val="none"/>
        </w:rPr>
      </w:pPr>
    </w:p>
    <w:p w14:paraId="1E230141">
      <w:pPr>
        <w:spacing w:line="600" w:lineRule="exact"/>
        <w:jc w:val="center"/>
        <w:rPr>
          <w:rFonts w:hint="eastAsia" w:ascii="Times New Roman" w:hAnsi="Times New Roman" w:eastAsia="黑体"/>
          <w:color w:val="auto"/>
          <w:sz w:val="44"/>
          <w:szCs w:val="44"/>
          <w:highlight w:val="none"/>
        </w:rPr>
      </w:pPr>
    </w:p>
    <w:p w14:paraId="6903F3CC">
      <w:pPr>
        <w:spacing w:line="600" w:lineRule="exact"/>
        <w:jc w:val="both"/>
        <w:rPr>
          <w:rFonts w:hint="eastAsia" w:ascii="Times New Roman" w:hAnsi="Times New Roman" w:eastAsia="黑体"/>
          <w:color w:val="auto"/>
          <w:sz w:val="44"/>
          <w:szCs w:val="44"/>
          <w:highlight w:val="none"/>
        </w:rPr>
      </w:pPr>
    </w:p>
    <w:p w14:paraId="0B1D4DFC">
      <w:pPr>
        <w:pStyle w:val="14"/>
        <w:rPr>
          <w:rFonts w:hint="eastAsia"/>
        </w:rPr>
      </w:pPr>
    </w:p>
    <w:p w14:paraId="2F5C2344">
      <w:pPr>
        <w:spacing w:line="600" w:lineRule="exact"/>
        <w:jc w:val="center"/>
        <w:rPr>
          <w:rFonts w:hint="eastAsia" w:ascii="Times New Roman" w:hAnsi="Times New Roman" w:eastAsia="黑体"/>
          <w:color w:val="auto"/>
          <w:sz w:val="44"/>
          <w:szCs w:val="44"/>
          <w:highlight w:val="none"/>
        </w:rPr>
      </w:pPr>
    </w:p>
    <w:bookmarkEnd w:id="75"/>
    <w:p w14:paraId="62D21635">
      <w:pPr>
        <w:pStyle w:val="5"/>
        <w:bidi w:val="0"/>
        <w:ind w:firstLine="2650" w:firstLineChars="600"/>
        <w:rPr>
          <w:rFonts w:hint="eastAsia" w:ascii="Times New Roman" w:hAnsi="Times New Roman" w:eastAsia="仿宋_GB2312" w:cs="仿宋_GB2312"/>
          <w:color w:val="auto"/>
          <w:sz w:val="32"/>
          <w:szCs w:val="32"/>
          <w:highlight w:val="none"/>
        </w:rPr>
      </w:pPr>
      <w:bookmarkStart w:id="77" w:name="_Toc4692"/>
      <w:bookmarkStart w:id="78" w:name="_Toc15396618"/>
      <w:r>
        <w:rPr>
          <w:rFonts w:hint="eastAsia"/>
        </w:rPr>
        <w:t>第</w:t>
      </w:r>
      <w:r>
        <w:rPr>
          <w:rFonts w:hint="eastAsia"/>
          <w:lang w:eastAsia="zh-CN"/>
        </w:rPr>
        <w:t>四</w:t>
      </w:r>
      <w:r>
        <w:rPr>
          <w:rFonts w:hint="eastAsia"/>
        </w:rPr>
        <w:t>部分 附表</w:t>
      </w:r>
      <w:bookmarkEnd w:id="76"/>
      <w:bookmarkEnd w:id="77"/>
      <w:bookmarkEnd w:id="78"/>
      <w:bookmarkStart w:id="79" w:name="_Toc15396619"/>
    </w:p>
    <w:p w14:paraId="347D2659">
      <w:pPr>
        <w:pStyle w:val="6"/>
        <w:spacing w:line="415" w:lineRule="auto"/>
        <w:ind w:firstLine="640" w:firstLineChars="200"/>
        <w:rPr>
          <w:rFonts w:hint="eastAsia" w:ascii="黑体" w:hAnsi="Cambria" w:eastAsia="黑体" w:cs="Times New Roman"/>
          <w:b w:val="0"/>
          <w:bCs w:val="0"/>
          <w:color w:val="000000"/>
        </w:rPr>
      </w:pPr>
      <w:bookmarkStart w:id="80" w:name="_Toc4673"/>
      <w:r>
        <w:rPr>
          <w:rFonts w:hint="eastAsia" w:ascii="黑体" w:hAnsi="Cambria" w:eastAsia="黑体" w:cs="Times New Roman"/>
          <w:b w:val="0"/>
          <w:bCs w:val="0"/>
          <w:color w:val="000000"/>
        </w:rPr>
        <w:t>一、收入支出决算总表</w:t>
      </w:r>
      <w:bookmarkEnd w:id="79"/>
      <w:bookmarkEnd w:id="80"/>
    </w:p>
    <w:p w14:paraId="48ECE083">
      <w:pPr>
        <w:pStyle w:val="6"/>
        <w:spacing w:line="415" w:lineRule="auto"/>
        <w:ind w:firstLine="640" w:firstLineChars="200"/>
        <w:rPr>
          <w:rFonts w:hint="eastAsia" w:ascii="黑体" w:hAnsi="Cambria" w:eastAsia="黑体" w:cs="Times New Roman"/>
          <w:b w:val="0"/>
          <w:bCs w:val="0"/>
          <w:color w:val="000000"/>
        </w:rPr>
      </w:pPr>
      <w:bookmarkStart w:id="81" w:name="_Toc15396620"/>
      <w:bookmarkStart w:id="82" w:name="_Toc30463"/>
      <w:r>
        <w:rPr>
          <w:rFonts w:hint="eastAsia" w:ascii="黑体" w:hAnsi="Cambria" w:eastAsia="黑体" w:cs="Times New Roman"/>
          <w:b w:val="0"/>
          <w:bCs w:val="0"/>
          <w:color w:val="000000"/>
        </w:rPr>
        <w:t>二、收入决算表</w:t>
      </w:r>
      <w:bookmarkEnd w:id="81"/>
      <w:bookmarkEnd w:id="82"/>
    </w:p>
    <w:p w14:paraId="6B7E252D">
      <w:pPr>
        <w:pStyle w:val="6"/>
        <w:spacing w:line="415" w:lineRule="auto"/>
        <w:ind w:firstLine="640" w:firstLineChars="200"/>
        <w:rPr>
          <w:rFonts w:hint="eastAsia" w:ascii="黑体" w:hAnsi="Cambria" w:eastAsia="黑体" w:cs="Times New Roman"/>
          <w:b w:val="0"/>
          <w:bCs w:val="0"/>
          <w:color w:val="000000"/>
        </w:rPr>
      </w:pPr>
      <w:bookmarkStart w:id="83" w:name="_Toc7078"/>
      <w:bookmarkStart w:id="84" w:name="_Toc15396621"/>
      <w:r>
        <w:rPr>
          <w:rFonts w:hint="eastAsia" w:ascii="黑体" w:hAnsi="Cambria" w:eastAsia="黑体" w:cs="Times New Roman"/>
          <w:b w:val="0"/>
          <w:bCs w:val="0"/>
          <w:color w:val="000000"/>
        </w:rPr>
        <w:t>三、支出决算表</w:t>
      </w:r>
      <w:bookmarkEnd w:id="83"/>
      <w:bookmarkEnd w:id="84"/>
    </w:p>
    <w:p w14:paraId="26898BB7">
      <w:pPr>
        <w:pStyle w:val="6"/>
        <w:spacing w:line="415" w:lineRule="auto"/>
        <w:ind w:firstLine="640" w:firstLineChars="200"/>
        <w:rPr>
          <w:rFonts w:hint="eastAsia" w:ascii="黑体" w:hAnsi="Cambria" w:eastAsia="黑体" w:cs="Times New Roman"/>
          <w:b w:val="0"/>
          <w:bCs w:val="0"/>
          <w:color w:val="000000"/>
        </w:rPr>
      </w:pPr>
      <w:bookmarkStart w:id="85" w:name="_Toc29632"/>
      <w:bookmarkStart w:id="86" w:name="_Toc15396622"/>
      <w:r>
        <w:rPr>
          <w:rFonts w:hint="eastAsia" w:ascii="黑体" w:hAnsi="Cambria" w:eastAsia="黑体" w:cs="Times New Roman"/>
          <w:b w:val="0"/>
          <w:bCs w:val="0"/>
          <w:color w:val="000000"/>
        </w:rPr>
        <w:t>四、财政拨款收入支出决算总表</w:t>
      </w:r>
      <w:bookmarkEnd w:id="85"/>
      <w:bookmarkEnd w:id="86"/>
    </w:p>
    <w:p w14:paraId="6D6AB489">
      <w:pPr>
        <w:pStyle w:val="6"/>
        <w:spacing w:line="415" w:lineRule="auto"/>
        <w:ind w:firstLine="640" w:firstLineChars="200"/>
        <w:rPr>
          <w:rFonts w:hint="eastAsia" w:ascii="黑体" w:hAnsi="Cambria" w:eastAsia="黑体" w:cs="Times New Roman"/>
          <w:b w:val="0"/>
          <w:bCs w:val="0"/>
          <w:color w:val="000000"/>
        </w:rPr>
      </w:pPr>
      <w:bookmarkStart w:id="87" w:name="_Toc15396623"/>
      <w:bookmarkStart w:id="88" w:name="_Toc7473"/>
      <w:r>
        <w:rPr>
          <w:rFonts w:hint="eastAsia" w:ascii="黑体" w:hAnsi="Cambria" w:eastAsia="黑体" w:cs="Times New Roman"/>
          <w:b w:val="0"/>
          <w:bCs w:val="0"/>
          <w:color w:val="000000"/>
        </w:rPr>
        <w:t>五、财政拨款支出决算明细表</w:t>
      </w:r>
      <w:bookmarkEnd w:id="87"/>
      <w:bookmarkEnd w:id="88"/>
      <w:bookmarkStart w:id="89" w:name="_Toc15396624"/>
    </w:p>
    <w:p w14:paraId="61F5D6BF">
      <w:pPr>
        <w:pStyle w:val="6"/>
        <w:spacing w:line="415" w:lineRule="auto"/>
        <w:ind w:firstLine="640" w:firstLineChars="200"/>
        <w:rPr>
          <w:rFonts w:hint="eastAsia" w:ascii="黑体" w:hAnsi="Cambria" w:eastAsia="黑体" w:cs="Times New Roman"/>
          <w:b w:val="0"/>
          <w:bCs w:val="0"/>
          <w:color w:val="000000"/>
        </w:rPr>
      </w:pPr>
      <w:bookmarkStart w:id="90" w:name="_Toc16335"/>
      <w:r>
        <w:rPr>
          <w:rFonts w:hint="eastAsia" w:ascii="黑体" w:hAnsi="Cambria" w:eastAsia="黑体" w:cs="Times New Roman"/>
          <w:b w:val="0"/>
          <w:bCs w:val="0"/>
          <w:color w:val="000000"/>
        </w:rPr>
        <w:t>六、一般公共预算财政拨款支出决算表</w:t>
      </w:r>
      <w:bookmarkEnd w:id="89"/>
      <w:bookmarkEnd w:id="90"/>
    </w:p>
    <w:p w14:paraId="1A2C0094">
      <w:pPr>
        <w:pStyle w:val="6"/>
        <w:spacing w:line="415" w:lineRule="auto"/>
        <w:ind w:firstLine="640" w:firstLineChars="200"/>
        <w:rPr>
          <w:rFonts w:hint="eastAsia" w:ascii="黑体" w:hAnsi="Cambria" w:eastAsia="黑体" w:cs="Times New Roman"/>
          <w:b w:val="0"/>
          <w:bCs w:val="0"/>
          <w:color w:val="000000"/>
        </w:rPr>
      </w:pPr>
      <w:bookmarkStart w:id="91" w:name="_Toc7824"/>
      <w:bookmarkStart w:id="92" w:name="_Toc15396625"/>
      <w:r>
        <w:rPr>
          <w:rFonts w:hint="eastAsia" w:ascii="黑体" w:hAnsi="Cambria" w:eastAsia="黑体" w:cs="Times New Roman"/>
          <w:b w:val="0"/>
          <w:bCs w:val="0"/>
          <w:color w:val="000000"/>
        </w:rPr>
        <w:t>七、一般公共预算财政拨款支出决算明细表</w:t>
      </w:r>
      <w:bookmarkEnd w:id="91"/>
      <w:bookmarkEnd w:id="92"/>
    </w:p>
    <w:p w14:paraId="672F5357">
      <w:pPr>
        <w:pStyle w:val="6"/>
        <w:spacing w:line="415" w:lineRule="auto"/>
        <w:ind w:firstLine="640" w:firstLineChars="200"/>
        <w:rPr>
          <w:rFonts w:hint="eastAsia" w:ascii="黑体" w:hAnsi="Cambria" w:eastAsia="黑体" w:cs="Times New Roman"/>
          <w:b w:val="0"/>
          <w:bCs w:val="0"/>
          <w:color w:val="000000"/>
        </w:rPr>
      </w:pPr>
      <w:bookmarkStart w:id="93" w:name="_Toc1073"/>
      <w:bookmarkStart w:id="94" w:name="_Toc15396626"/>
      <w:r>
        <w:rPr>
          <w:rFonts w:hint="eastAsia" w:ascii="黑体" w:hAnsi="Cambria" w:eastAsia="黑体" w:cs="Times New Roman"/>
          <w:b w:val="0"/>
          <w:bCs w:val="0"/>
          <w:color w:val="000000"/>
        </w:rPr>
        <w:t>八、一般公共预算财政拨款基本支出决算表</w:t>
      </w:r>
      <w:bookmarkEnd w:id="93"/>
      <w:bookmarkEnd w:id="94"/>
    </w:p>
    <w:p w14:paraId="213A7867">
      <w:pPr>
        <w:pStyle w:val="6"/>
        <w:spacing w:line="415" w:lineRule="auto"/>
        <w:ind w:firstLine="640" w:firstLineChars="200"/>
        <w:rPr>
          <w:rFonts w:hint="eastAsia" w:ascii="黑体" w:hAnsi="Cambria" w:eastAsia="黑体" w:cs="Times New Roman"/>
          <w:b w:val="0"/>
          <w:bCs w:val="0"/>
          <w:color w:val="000000"/>
        </w:rPr>
      </w:pPr>
      <w:bookmarkStart w:id="95" w:name="_Toc15396627"/>
      <w:bookmarkStart w:id="96" w:name="_Toc3222"/>
      <w:r>
        <w:rPr>
          <w:rFonts w:hint="eastAsia" w:ascii="黑体" w:hAnsi="Cambria" w:eastAsia="黑体" w:cs="Times New Roman"/>
          <w:b w:val="0"/>
          <w:bCs w:val="0"/>
          <w:color w:val="000000"/>
        </w:rPr>
        <w:t>九、一般公共预算财政拨款项目支出决算表</w:t>
      </w:r>
      <w:bookmarkEnd w:id="95"/>
      <w:bookmarkEnd w:id="96"/>
    </w:p>
    <w:p w14:paraId="32A2B43A">
      <w:pPr>
        <w:pStyle w:val="6"/>
        <w:spacing w:line="415" w:lineRule="auto"/>
        <w:ind w:firstLine="640" w:firstLineChars="200"/>
        <w:rPr>
          <w:rFonts w:hint="eastAsia" w:ascii="黑体" w:hAnsi="Cambria" w:eastAsia="黑体" w:cs="Times New Roman"/>
          <w:b w:val="0"/>
          <w:bCs w:val="0"/>
          <w:color w:val="000000"/>
        </w:rPr>
      </w:pPr>
      <w:bookmarkStart w:id="97" w:name="_Toc15396628"/>
      <w:bookmarkStart w:id="98" w:name="_Toc19137"/>
      <w:r>
        <w:rPr>
          <w:rFonts w:hint="eastAsia" w:ascii="黑体" w:hAnsi="Cambria" w:eastAsia="黑体" w:cs="Times New Roman"/>
          <w:b w:val="0"/>
          <w:bCs w:val="0"/>
          <w:color w:val="000000"/>
        </w:rPr>
        <w:t>十、</w:t>
      </w:r>
      <w:bookmarkEnd w:id="97"/>
      <w:r>
        <w:rPr>
          <w:rFonts w:hint="eastAsia" w:ascii="黑体" w:hAnsi="Cambria" w:eastAsia="黑体" w:cs="Times New Roman"/>
          <w:b w:val="0"/>
          <w:bCs w:val="0"/>
          <w:color w:val="000000"/>
        </w:rPr>
        <w:t>政府性基金预算财政拨款收入支出决算表</w:t>
      </w:r>
      <w:bookmarkEnd w:id="98"/>
    </w:p>
    <w:p w14:paraId="0BCF4261">
      <w:pPr>
        <w:pStyle w:val="6"/>
        <w:spacing w:line="415" w:lineRule="auto"/>
        <w:ind w:firstLine="640" w:firstLineChars="200"/>
        <w:rPr>
          <w:rFonts w:hint="eastAsia" w:ascii="黑体" w:hAnsi="Cambria" w:eastAsia="黑体" w:cs="Times New Roman"/>
          <w:b w:val="0"/>
          <w:bCs w:val="0"/>
          <w:color w:val="000000"/>
        </w:rPr>
      </w:pPr>
      <w:bookmarkStart w:id="99" w:name="_Toc15396629"/>
      <w:bookmarkStart w:id="100" w:name="_Toc16541"/>
      <w:r>
        <w:rPr>
          <w:rFonts w:hint="eastAsia" w:ascii="黑体" w:hAnsi="Cambria" w:eastAsia="黑体" w:cs="Times New Roman"/>
          <w:b w:val="0"/>
          <w:bCs w:val="0"/>
          <w:color w:val="000000"/>
        </w:rPr>
        <w:t>十一、</w:t>
      </w:r>
      <w:bookmarkEnd w:id="99"/>
      <w:r>
        <w:rPr>
          <w:rFonts w:hint="eastAsia" w:ascii="黑体" w:hAnsi="Cambria" w:eastAsia="黑体" w:cs="Times New Roman"/>
          <w:b w:val="0"/>
          <w:bCs w:val="0"/>
          <w:color w:val="000000"/>
        </w:rPr>
        <w:t>国有资本经营预算</w:t>
      </w:r>
      <w:r>
        <w:rPr>
          <w:rFonts w:hint="eastAsia" w:ascii="黑体" w:hAnsi="Cambria" w:eastAsia="黑体" w:cs="Times New Roman"/>
          <w:b w:val="0"/>
          <w:bCs w:val="0"/>
          <w:color w:val="000000"/>
          <w:lang w:eastAsia="zh-CN"/>
        </w:rPr>
        <w:t>财政拨款收入</w:t>
      </w:r>
      <w:r>
        <w:rPr>
          <w:rFonts w:hint="eastAsia" w:ascii="黑体" w:hAnsi="Cambria" w:eastAsia="黑体" w:cs="Times New Roman"/>
          <w:b w:val="0"/>
          <w:bCs w:val="0"/>
          <w:color w:val="000000"/>
        </w:rPr>
        <w:t>支出决算表</w:t>
      </w:r>
      <w:bookmarkEnd w:id="100"/>
    </w:p>
    <w:p w14:paraId="09C19159">
      <w:pPr>
        <w:pStyle w:val="6"/>
        <w:spacing w:line="415" w:lineRule="auto"/>
        <w:ind w:firstLine="640" w:firstLineChars="200"/>
        <w:rPr>
          <w:rFonts w:hint="eastAsia" w:ascii="黑体" w:hAnsi="Cambria" w:eastAsia="黑体" w:cs="Times New Roman"/>
          <w:b w:val="0"/>
          <w:bCs w:val="0"/>
          <w:color w:val="000000"/>
        </w:rPr>
      </w:pPr>
      <w:bookmarkStart w:id="101" w:name="_Toc15396630"/>
      <w:bookmarkStart w:id="102" w:name="_Toc27291"/>
      <w:r>
        <w:rPr>
          <w:rFonts w:hint="eastAsia" w:ascii="黑体" w:hAnsi="Cambria" w:eastAsia="黑体" w:cs="Times New Roman"/>
          <w:b w:val="0"/>
          <w:bCs w:val="0"/>
          <w:color w:val="000000"/>
        </w:rPr>
        <w:t>十二、</w:t>
      </w:r>
      <w:bookmarkEnd w:id="101"/>
      <w:r>
        <w:rPr>
          <w:rFonts w:hint="eastAsia" w:ascii="黑体" w:hAnsi="Cambria" w:eastAsia="黑体" w:cs="Times New Roman"/>
          <w:b w:val="0"/>
          <w:bCs w:val="0"/>
          <w:color w:val="000000"/>
          <w:lang w:eastAsia="zh-CN"/>
        </w:rPr>
        <w:t>国有资本经营预算财政拨款支出决算表</w:t>
      </w:r>
      <w:bookmarkEnd w:id="102"/>
    </w:p>
    <w:p w14:paraId="09309CCB">
      <w:pPr>
        <w:pStyle w:val="6"/>
        <w:spacing w:line="415" w:lineRule="auto"/>
        <w:ind w:firstLine="640" w:firstLineChars="200"/>
        <w:rPr>
          <w:rFonts w:hint="eastAsia" w:ascii="黑体" w:hAnsi="Cambria" w:eastAsia="黑体" w:cs="Times New Roman"/>
          <w:b w:val="0"/>
          <w:bCs w:val="0"/>
          <w:color w:val="000000"/>
          <w:lang w:eastAsia="zh-CN"/>
        </w:rPr>
      </w:pPr>
      <w:bookmarkStart w:id="103" w:name="_Toc15396631"/>
      <w:bookmarkStart w:id="104" w:name="_Toc13276"/>
      <w:r>
        <w:rPr>
          <w:rFonts w:hint="eastAsia" w:ascii="黑体" w:hAnsi="Cambria" w:eastAsia="黑体" w:cs="Times New Roman"/>
          <w:b w:val="0"/>
          <w:bCs w:val="0"/>
          <w:color w:val="000000"/>
        </w:rPr>
        <w:t>十三、</w:t>
      </w:r>
      <w:bookmarkEnd w:id="103"/>
      <w:r>
        <w:rPr>
          <w:rFonts w:hint="eastAsia" w:ascii="黑体" w:hAnsi="Cambria" w:eastAsia="黑体" w:cs="Times New Roman"/>
          <w:b w:val="0"/>
          <w:bCs w:val="0"/>
          <w:color w:val="000000"/>
          <w:lang w:eastAsia="zh-CN"/>
        </w:rPr>
        <w:t>财政拨款“三公”经费支出决算表</w:t>
      </w:r>
      <w:bookmarkEnd w:id="104"/>
    </w:p>
    <w:p w14:paraId="2C534B7D">
      <w:pPr>
        <w:pStyle w:val="6"/>
        <w:spacing w:line="415" w:lineRule="auto"/>
        <w:ind w:firstLine="640" w:firstLineChars="200"/>
        <w:rPr>
          <w:rFonts w:hint="eastAsia" w:ascii="黑体" w:hAnsi="Cambria" w:eastAsia="黑体" w:cs="Times New Roman"/>
          <w:b w:val="0"/>
          <w:bCs w:val="0"/>
          <w:color w:val="000000"/>
          <w:lang w:eastAsia="zh-CN"/>
        </w:rPr>
      </w:pPr>
    </w:p>
    <w:sectPr>
      <w:footerReference r:id="rId5" w:type="first"/>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949D9">
    <w:pPr>
      <w:pStyle w:val="1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9D3FDE">
                          <w:pPr>
                            <w:pStyle w:val="11"/>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C9D3FDE">
                    <w:pPr>
                      <w:pStyle w:val="11"/>
                    </w:pPr>
                    <w:r>
                      <w:fldChar w:fldCharType="begin"/>
                    </w:r>
                    <w:r>
                      <w:instrText xml:space="preserve"> PAGE  \* MERGEFORMAT </w:instrText>
                    </w:r>
                    <w:r>
                      <w:fldChar w:fldCharType="separate"/>
                    </w:r>
                    <w:r>
                      <w:t>- 2 -</w:t>
                    </w:r>
                    <w:r>
                      <w:fldChar w:fldCharType="end"/>
                    </w:r>
                  </w:p>
                </w:txbxContent>
              </v:textbox>
            </v:shape>
          </w:pict>
        </mc:Fallback>
      </mc:AlternateContent>
    </w:r>
  </w:p>
  <w:p w14:paraId="0AC1224F">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A258B">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D0D4CC">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BD0D4CC">
                    <w:pPr>
                      <w:pStyle w:val="1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29C934">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58CD52"/>
    <w:multiLevelType w:val="singleLevel"/>
    <w:tmpl w:val="E458CD5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EzMzdkOWRlZjBmNzM5Y2E3YTRjYzk2MThhNjNlNDE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596"/>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1903F7B"/>
    <w:rsid w:val="02FEBE30"/>
    <w:rsid w:val="042266CA"/>
    <w:rsid w:val="04336444"/>
    <w:rsid w:val="04912ACD"/>
    <w:rsid w:val="04916F1E"/>
    <w:rsid w:val="061E35DE"/>
    <w:rsid w:val="063D305A"/>
    <w:rsid w:val="066E0107"/>
    <w:rsid w:val="06E2459D"/>
    <w:rsid w:val="06F2019A"/>
    <w:rsid w:val="07245E7A"/>
    <w:rsid w:val="07976AFA"/>
    <w:rsid w:val="07996F6E"/>
    <w:rsid w:val="07DFD8BA"/>
    <w:rsid w:val="08BB0925"/>
    <w:rsid w:val="08FF0793"/>
    <w:rsid w:val="0930579C"/>
    <w:rsid w:val="09867E8F"/>
    <w:rsid w:val="09DB4F16"/>
    <w:rsid w:val="0A2032A3"/>
    <w:rsid w:val="0A6A4724"/>
    <w:rsid w:val="0A794463"/>
    <w:rsid w:val="0B316DB7"/>
    <w:rsid w:val="0B554854"/>
    <w:rsid w:val="0B6640CB"/>
    <w:rsid w:val="0B6D2CFE"/>
    <w:rsid w:val="0C216E2C"/>
    <w:rsid w:val="0CA8290A"/>
    <w:rsid w:val="0D131C66"/>
    <w:rsid w:val="0D35B1ED"/>
    <w:rsid w:val="0DA34C18"/>
    <w:rsid w:val="0DE46363"/>
    <w:rsid w:val="0E254B6B"/>
    <w:rsid w:val="0E8A515C"/>
    <w:rsid w:val="0EF36922"/>
    <w:rsid w:val="0F98263C"/>
    <w:rsid w:val="101860EC"/>
    <w:rsid w:val="101F47CC"/>
    <w:rsid w:val="10C055FF"/>
    <w:rsid w:val="10D26947"/>
    <w:rsid w:val="113D64B6"/>
    <w:rsid w:val="11694EBD"/>
    <w:rsid w:val="11772AA4"/>
    <w:rsid w:val="118107EC"/>
    <w:rsid w:val="12983341"/>
    <w:rsid w:val="12E24EE2"/>
    <w:rsid w:val="133D279D"/>
    <w:rsid w:val="136D3EEE"/>
    <w:rsid w:val="13D50BC4"/>
    <w:rsid w:val="14B17F78"/>
    <w:rsid w:val="1534197E"/>
    <w:rsid w:val="157D0C04"/>
    <w:rsid w:val="15CB1D25"/>
    <w:rsid w:val="15DD60E1"/>
    <w:rsid w:val="15F33E49"/>
    <w:rsid w:val="165E0673"/>
    <w:rsid w:val="16AD2BAC"/>
    <w:rsid w:val="16B831D5"/>
    <w:rsid w:val="16BB723D"/>
    <w:rsid w:val="16CF506D"/>
    <w:rsid w:val="17E50567"/>
    <w:rsid w:val="182B6DD0"/>
    <w:rsid w:val="186504BB"/>
    <w:rsid w:val="18D94D16"/>
    <w:rsid w:val="19A445FC"/>
    <w:rsid w:val="19DB4ABE"/>
    <w:rsid w:val="1A7C2A0F"/>
    <w:rsid w:val="1AA42B4A"/>
    <w:rsid w:val="1BE8440E"/>
    <w:rsid w:val="1D155CEE"/>
    <w:rsid w:val="1D1638FE"/>
    <w:rsid w:val="1D531B48"/>
    <w:rsid w:val="1D62418B"/>
    <w:rsid w:val="1DD8480B"/>
    <w:rsid w:val="1E312DEB"/>
    <w:rsid w:val="1E740ACF"/>
    <w:rsid w:val="1E975EC3"/>
    <w:rsid w:val="1FBD0C37"/>
    <w:rsid w:val="1FDA1374"/>
    <w:rsid w:val="1FF35744"/>
    <w:rsid w:val="1FF6BC77"/>
    <w:rsid w:val="20A0788B"/>
    <w:rsid w:val="20CD4FA8"/>
    <w:rsid w:val="21156AFA"/>
    <w:rsid w:val="2186353C"/>
    <w:rsid w:val="21E6657A"/>
    <w:rsid w:val="223207CB"/>
    <w:rsid w:val="22C73E32"/>
    <w:rsid w:val="230E1A60"/>
    <w:rsid w:val="2377559F"/>
    <w:rsid w:val="23841D23"/>
    <w:rsid w:val="23860B96"/>
    <w:rsid w:val="240371BF"/>
    <w:rsid w:val="244F3473"/>
    <w:rsid w:val="24A00DDE"/>
    <w:rsid w:val="24C97D99"/>
    <w:rsid w:val="25455AD1"/>
    <w:rsid w:val="25635E63"/>
    <w:rsid w:val="25A718F0"/>
    <w:rsid w:val="25BB59F6"/>
    <w:rsid w:val="260F557C"/>
    <w:rsid w:val="26970054"/>
    <w:rsid w:val="26A12BEB"/>
    <w:rsid w:val="275A34C6"/>
    <w:rsid w:val="281408E2"/>
    <w:rsid w:val="294E0E09"/>
    <w:rsid w:val="29FD04D3"/>
    <w:rsid w:val="2A0C06D1"/>
    <w:rsid w:val="2A2F78A6"/>
    <w:rsid w:val="2A735B21"/>
    <w:rsid w:val="2BF50816"/>
    <w:rsid w:val="2BFF7BC6"/>
    <w:rsid w:val="2C8A61B5"/>
    <w:rsid w:val="2CF033E4"/>
    <w:rsid w:val="2DF04E50"/>
    <w:rsid w:val="2E36630F"/>
    <w:rsid w:val="2E374561"/>
    <w:rsid w:val="2E586DFA"/>
    <w:rsid w:val="2F040D46"/>
    <w:rsid w:val="2F6B035B"/>
    <w:rsid w:val="2FAE5751"/>
    <w:rsid w:val="2FB1A395"/>
    <w:rsid w:val="2FD9A7D8"/>
    <w:rsid w:val="2FDBF714"/>
    <w:rsid w:val="30766E97"/>
    <w:rsid w:val="30AB6865"/>
    <w:rsid w:val="30D8545C"/>
    <w:rsid w:val="319C0B4F"/>
    <w:rsid w:val="319F7F4E"/>
    <w:rsid w:val="31F66ACE"/>
    <w:rsid w:val="321B04DE"/>
    <w:rsid w:val="321D29EA"/>
    <w:rsid w:val="32250B75"/>
    <w:rsid w:val="325D030E"/>
    <w:rsid w:val="32BD1EF1"/>
    <w:rsid w:val="33016EEC"/>
    <w:rsid w:val="3304709D"/>
    <w:rsid w:val="331A7FAD"/>
    <w:rsid w:val="33A773CB"/>
    <w:rsid w:val="33E421E4"/>
    <w:rsid w:val="34574FF0"/>
    <w:rsid w:val="345C12B5"/>
    <w:rsid w:val="349D6851"/>
    <w:rsid w:val="35AD335B"/>
    <w:rsid w:val="35E5532F"/>
    <w:rsid w:val="36AA5135"/>
    <w:rsid w:val="36BE0DA7"/>
    <w:rsid w:val="36CE51E4"/>
    <w:rsid w:val="370F76FD"/>
    <w:rsid w:val="376B6AA6"/>
    <w:rsid w:val="376D39B2"/>
    <w:rsid w:val="37A80CC1"/>
    <w:rsid w:val="37E16F03"/>
    <w:rsid w:val="37F53A3B"/>
    <w:rsid w:val="3836588A"/>
    <w:rsid w:val="389B6C89"/>
    <w:rsid w:val="38CB1241"/>
    <w:rsid w:val="38D469F0"/>
    <w:rsid w:val="395F6A2C"/>
    <w:rsid w:val="39627CCD"/>
    <w:rsid w:val="397BAF1F"/>
    <w:rsid w:val="3AB79AF3"/>
    <w:rsid w:val="3AD35612"/>
    <w:rsid w:val="3AE834C0"/>
    <w:rsid w:val="3B7EF35A"/>
    <w:rsid w:val="3B9FDB6C"/>
    <w:rsid w:val="3BD0698E"/>
    <w:rsid w:val="3BF5BC2F"/>
    <w:rsid w:val="3C0637C5"/>
    <w:rsid w:val="3CEBA265"/>
    <w:rsid w:val="3D8926B4"/>
    <w:rsid w:val="3D98207C"/>
    <w:rsid w:val="3DEE7CF3"/>
    <w:rsid w:val="3E740A63"/>
    <w:rsid w:val="3E78745D"/>
    <w:rsid w:val="3EE17838"/>
    <w:rsid w:val="3EED47C8"/>
    <w:rsid w:val="3F05660B"/>
    <w:rsid w:val="3F514749"/>
    <w:rsid w:val="3F55381A"/>
    <w:rsid w:val="3F7F7599"/>
    <w:rsid w:val="3FF4CAE0"/>
    <w:rsid w:val="3FF7B227"/>
    <w:rsid w:val="3FFA7ABB"/>
    <w:rsid w:val="402B37FA"/>
    <w:rsid w:val="40806076"/>
    <w:rsid w:val="40F947A5"/>
    <w:rsid w:val="41B9283A"/>
    <w:rsid w:val="42044303"/>
    <w:rsid w:val="42A65C00"/>
    <w:rsid w:val="42F87F92"/>
    <w:rsid w:val="43525FE7"/>
    <w:rsid w:val="44E268DA"/>
    <w:rsid w:val="450D13D7"/>
    <w:rsid w:val="4534713E"/>
    <w:rsid w:val="45506656"/>
    <w:rsid w:val="455B5F6E"/>
    <w:rsid w:val="465B295F"/>
    <w:rsid w:val="468679DC"/>
    <w:rsid w:val="46EA34DA"/>
    <w:rsid w:val="486A6C7A"/>
    <w:rsid w:val="4A0E204E"/>
    <w:rsid w:val="4A2D5BF3"/>
    <w:rsid w:val="4A627F82"/>
    <w:rsid w:val="4ACC3E2B"/>
    <w:rsid w:val="4B0E749A"/>
    <w:rsid w:val="4B2477C4"/>
    <w:rsid w:val="4B4F25DA"/>
    <w:rsid w:val="4B8F4681"/>
    <w:rsid w:val="4BE068DB"/>
    <w:rsid w:val="4BFE1DC3"/>
    <w:rsid w:val="4CFD651E"/>
    <w:rsid w:val="4D577224"/>
    <w:rsid w:val="4DBF1CEB"/>
    <w:rsid w:val="4DF0007C"/>
    <w:rsid w:val="4E261B2B"/>
    <w:rsid w:val="4E6D517D"/>
    <w:rsid w:val="4EAB630A"/>
    <w:rsid w:val="4ECE2238"/>
    <w:rsid w:val="4F833267"/>
    <w:rsid w:val="4FBA6948"/>
    <w:rsid w:val="4FE9BD67"/>
    <w:rsid w:val="4FFB052F"/>
    <w:rsid w:val="51DA6E2E"/>
    <w:rsid w:val="52AA6150"/>
    <w:rsid w:val="537E6D0A"/>
    <w:rsid w:val="53E72F5C"/>
    <w:rsid w:val="53EA66CB"/>
    <w:rsid w:val="53F74C96"/>
    <w:rsid w:val="54324CFF"/>
    <w:rsid w:val="54E97FB4"/>
    <w:rsid w:val="55170BA8"/>
    <w:rsid w:val="553218C9"/>
    <w:rsid w:val="55807CEC"/>
    <w:rsid w:val="5650034D"/>
    <w:rsid w:val="567E1AA5"/>
    <w:rsid w:val="568A3B11"/>
    <w:rsid w:val="56AE7493"/>
    <w:rsid w:val="56E47B74"/>
    <w:rsid w:val="57175D52"/>
    <w:rsid w:val="57BD3DD4"/>
    <w:rsid w:val="581243D7"/>
    <w:rsid w:val="58E00DE3"/>
    <w:rsid w:val="59227AA7"/>
    <w:rsid w:val="596F60AE"/>
    <w:rsid w:val="5AF92295"/>
    <w:rsid w:val="5B250254"/>
    <w:rsid w:val="5B61236E"/>
    <w:rsid w:val="5B994B33"/>
    <w:rsid w:val="5BDD79E6"/>
    <w:rsid w:val="5BE508A9"/>
    <w:rsid w:val="5BF161F2"/>
    <w:rsid w:val="5BF561CA"/>
    <w:rsid w:val="5BFF5DFC"/>
    <w:rsid w:val="5C545A2F"/>
    <w:rsid w:val="5CD71FC4"/>
    <w:rsid w:val="5D1F11B5"/>
    <w:rsid w:val="5D280E34"/>
    <w:rsid w:val="5D695134"/>
    <w:rsid w:val="5DA46FBF"/>
    <w:rsid w:val="5DAE1B18"/>
    <w:rsid w:val="5DE7D9E5"/>
    <w:rsid w:val="5E0F330D"/>
    <w:rsid w:val="5ECEC941"/>
    <w:rsid w:val="5EFD415C"/>
    <w:rsid w:val="5FBF9FF3"/>
    <w:rsid w:val="5FCD4E2C"/>
    <w:rsid w:val="5FEF394A"/>
    <w:rsid w:val="5FF67715"/>
    <w:rsid w:val="60145C01"/>
    <w:rsid w:val="60194FC5"/>
    <w:rsid w:val="60B13450"/>
    <w:rsid w:val="60E9305E"/>
    <w:rsid w:val="629B2980"/>
    <w:rsid w:val="62BF3928"/>
    <w:rsid w:val="62E1509A"/>
    <w:rsid w:val="63350A29"/>
    <w:rsid w:val="6390559E"/>
    <w:rsid w:val="63B3701E"/>
    <w:rsid w:val="643F0D73"/>
    <w:rsid w:val="644F7208"/>
    <w:rsid w:val="647F5392"/>
    <w:rsid w:val="6495406A"/>
    <w:rsid w:val="64D23995"/>
    <w:rsid w:val="65E66580"/>
    <w:rsid w:val="664B1D71"/>
    <w:rsid w:val="664B4E8E"/>
    <w:rsid w:val="66AB18E8"/>
    <w:rsid w:val="67277B67"/>
    <w:rsid w:val="67AA3209"/>
    <w:rsid w:val="67E83794"/>
    <w:rsid w:val="68FC5484"/>
    <w:rsid w:val="698D0931"/>
    <w:rsid w:val="69CC4E56"/>
    <w:rsid w:val="6A7FE5F3"/>
    <w:rsid w:val="6B053271"/>
    <w:rsid w:val="6B323A42"/>
    <w:rsid w:val="6B39651C"/>
    <w:rsid w:val="6B9A16B0"/>
    <w:rsid w:val="6BA633A5"/>
    <w:rsid w:val="6BDD78B3"/>
    <w:rsid w:val="6C4A05C8"/>
    <w:rsid w:val="6C81461E"/>
    <w:rsid w:val="6C8742B8"/>
    <w:rsid w:val="6C8B0FF9"/>
    <w:rsid w:val="6DBF5E93"/>
    <w:rsid w:val="6DC5678C"/>
    <w:rsid w:val="6DFF077E"/>
    <w:rsid w:val="6E3851B0"/>
    <w:rsid w:val="6E714EF0"/>
    <w:rsid w:val="6E7E3605"/>
    <w:rsid w:val="6E7FDCC7"/>
    <w:rsid w:val="6ED6A62E"/>
    <w:rsid w:val="6EE00B15"/>
    <w:rsid w:val="6F2F65B3"/>
    <w:rsid w:val="6F6FB3EB"/>
    <w:rsid w:val="6F8731EA"/>
    <w:rsid w:val="6FCE6052"/>
    <w:rsid w:val="6FD57C00"/>
    <w:rsid w:val="6FEFFFD8"/>
    <w:rsid w:val="6FF5CC65"/>
    <w:rsid w:val="6FFB47EC"/>
    <w:rsid w:val="6FFF034A"/>
    <w:rsid w:val="70484440"/>
    <w:rsid w:val="712A28F1"/>
    <w:rsid w:val="71527F70"/>
    <w:rsid w:val="715C0E4B"/>
    <w:rsid w:val="718C342D"/>
    <w:rsid w:val="71992E7C"/>
    <w:rsid w:val="72033FC8"/>
    <w:rsid w:val="72233669"/>
    <w:rsid w:val="72734D90"/>
    <w:rsid w:val="73160E6D"/>
    <w:rsid w:val="7332FE48"/>
    <w:rsid w:val="733C47ED"/>
    <w:rsid w:val="73AB61DA"/>
    <w:rsid w:val="73AD73D5"/>
    <w:rsid w:val="73B6EB34"/>
    <w:rsid w:val="73D46043"/>
    <w:rsid w:val="73FA497D"/>
    <w:rsid w:val="744731E5"/>
    <w:rsid w:val="74BBD01D"/>
    <w:rsid w:val="74ED5379"/>
    <w:rsid w:val="75004B37"/>
    <w:rsid w:val="75263FB5"/>
    <w:rsid w:val="755B01BC"/>
    <w:rsid w:val="75B23A9A"/>
    <w:rsid w:val="75C91453"/>
    <w:rsid w:val="75DEEEC2"/>
    <w:rsid w:val="75E32345"/>
    <w:rsid w:val="76856AB9"/>
    <w:rsid w:val="76965B16"/>
    <w:rsid w:val="76E3355F"/>
    <w:rsid w:val="76FF5125"/>
    <w:rsid w:val="7750662E"/>
    <w:rsid w:val="776F6FFA"/>
    <w:rsid w:val="778769C8"/>
    <w:rsid w:val="77A75DCA"/>
    <w:rsid w:val="77B235B4"/>
    <w:rsid w:val="77DC22F5"/>
    <w:rsid w:val="77FF1187"/>
    <w:rsid w:val="781400F4"/>
    <w:rsid w:val="783E271A"/>
    <w:rsid w:val="78616DE9"/>
    <w:rsid w:val="78E875D7"/>
    <w:rsid w:val="79086DAD"/>
    <w:rsid w:val="792C3B64"/>
    <w:rsid w:val="79D7FD79"/>
    <w:rsid w:val="79EE5BA4"/>
    <w:rsid w:val="7A28432B"/>
    <w:rsid w:val="7A894339"/>
    <w:rsid w:val="7AAC3B76"/>
    <w:rsid w:val="7ACE0058"/>
    <w:rsid w:val="7AD284E8"/>
    <w:rsid w:val="7AFF7572"/>
    <w:rsid w:val="7B6C7DFB"/>
    <w:rsid w:val="7BBFBED0"/>
    <w:rsid w:val="7BC3E394"/>
    <w:rsid w:val="7C1F3737"/>
    <w:rsid w:val="7CBFC87B"/>
    <w:rsid w:val="7CFE0F48"/>
    <w:rsid w:val="7D272ABC"/>
    <w:rsid w:val="7D7EC23E"/>
    <w:rsid w:val="7DA243F4"/>
    <w:rsid w:val="7E2F667A"/>
    <w:rsid w:val="7E8ADEBF"/>
    <w:rsid w:val="7EEF11D3"/>
    <w:rsid w:val="7EFE4840"/>
    <w:rsid w:val="7F0971A6"/>
    <w:rsid w:val="7F1D62E7"/>
    <w:rsid w:val="7F3F679B"/>
    <w:rsid w:val="7F4FC4EF"/>
    <w:rsid w:val="7F5E4D54"/>
    <w:rsid w:val="7F6E0135"/>
    <w:rsid w:val="7F7678E7"/>
    <w:rsid w:val="7F79F205"/>
    <w:rsid w:val="7F9D1964"/>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next w:val="3"/>
    <w:qFormat/>
    <w:uiPriority w:val="0"/>
    <w:pPr>
      <w:spacing w:after="120"/>
      <w:ind w:leftChars="200"/>
    </w:pPr>
    <w:rPr>
      <w:rFonts w:ascii="仿宋_GB2312"/>
      <w:szCs w:val="32"/>
    </w:rPr>
  </w:style>
  <w:style w:type="paragraph" w:styleId="8">
    <w:name w:val="Body Text"/>
    <w:basedOn w:val="1"/>
    <w:link w:val="26"/>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2"/>
    <w:semiHidden/>
    <w:unhideWhenUsed/>
    <w:qFormat/>
    <w:uiPriority w:val="99"/>
    <w:rPr>
      <w:sz w:val="18"/>
      <w:szCs w:val="18"/>
    </w:rPr>
  </w:style>
  <w:style w:type="paragraph" w:styleId="11">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able of figures"/>
    <w:basedOn w:val="1"/>
    <w:next w:val="1"/>
    <w:qFormat/>
    <w:uiPriority w:val="0"/>
    <w:pPr>
      <w:ind w:left="400" w:leftChars="200" w:hanging="200" w:hangingChars="200"/>
    </w:pPr>
  </w:style>
  <w:style w:type="paragraph" w:styleId="15">
    <w:name w:val="toc 2"/>
    <w:basedOn w:val="1"/>
    <w:next w:val="1"/>
    <w:unhideWhenUsed/>
    <w:qFormat/>
    <w:uiPriority w:val="39"/>
    <w:pPr>
      <w:tabs>
        <w:tab w:val="right" w:leader="dot" w:pos="8296"/>
      </w:tabs>
      <w:ind w:left="420" w:leftChars="200"/>
    </w:p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Char"/>
    <w:link w:val="12"/>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11"/>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8"/>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7"/>
    <w:link w:val="5"/>
    <w:qFormat/>
    <w:uiPriority w:val="9"/>
    <w:rPr>
      <w:rFonts w:ascii="Times New Roman" w:hAnsi="Times New Roman"/>
      <w:b/>
      <w:bCs/>
      <w:kern w:val="44"/>
      <w:sz w:val="44"/>
      <w:szCs w:val="44"/>
    </w:rPr>
  </w:style>
  <w:style w:type="character" w:customStyle="1" w:styleId="30">
    <w:name w:val="标题 2 Char"/>
    <w:basedOn w:val="17"/>
    <w:link w:val="6"/>
    <w:qFormat/>
    <w:uiPriority w:val="9"/>
    <w:rPr>
      <w:rFonts w:asciiTheme="majorHAnsi" w:hAnsiTheme="majorHAnsi" w:eastAsiaTheme="majorEastAsia" w:cstheme="majorBidi"/>
      <w:b/>
      <w:bCs/>
      <w:kern w:val="2"/>
      <w:sz w:val="32"/>
      <w:szCs w:val="32"/>
    </w:rPr>
  </w:style>
  <w:style w:type="paragraph" w:customStyle="1" w:styleId="31">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7"/>
    <w:link w:val="10"/>
    <w:semiHidden/>
    <w:qFormat/>
    <w:uiPriority w:val="99"/>
    <w:rPr>
      <w:rFonts w:ascii="Times New Roman" w:hAnsi="Times New Roman"/>
      <w:kern w:val="2"/>
      <w:sz w:val="18"/>
      <w:szCs w:val="18"/>
    </w:rPr>
  </w:style>
  <w:style w:type="character" w:customStyle="1" w:styleId="33">
    <w:name w:val="标题 3 Char"/>
    <w:basedOn w:val="17"/>
    <w:link w:val="7"/>
    <w:qFormat/>
    <w:uiPriority w:val="9"/>
    <w:rPr>
      <w:rFonts w:ascii="Times New Roman" w:hAnsi="Times New Roman"/>
      <w:b/>
      <w:bCs/>
      <w:kern w:val="2"/>
      <w:sz w:val="32"/>
      <w:szCs w:val="32"/>
    </w:rPr>
  </w:style>
  <w:style w:type="paragraph" w:customStyle="1" w:styleId="34">
    <w:name w:val="TOC Heading"/>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D:\UserData\Downloads\&#39033;&#30446;&#20837;&#24211;&#26597;&#35810;20250922163822101.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D:\UserData\Downloads\&#39033;&#30446;&#20837;&#24211;&#26597;&#35810;20250922163822101.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D:\UserData\Downloads\&#39033;&#30446;&#20837;&#24211;&#26597;&#35810;20250922163822101.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D:\UserData\Downloads\&#39033;&#30446;&#20837;&#24211;&#26597;&#35810;20250922163822101.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D:\UserData\Downloads\&#39033;&#30446;&#20837;&#24211;&#26597;&#35810;20250922163822101.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D:\UserData\Downloads\&#39033;&#30446;&#20837;&#24211;&#26597;&#35810;202509221638221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40" b="0" i="0" u="none" strike="noStrike" kern="1200" spc="0" baseline="0">
                <a:solidFill>
                  <a:schemeClr val="tx1">
                    <a:lumMod val="65000"/>
                    <a:lumOff val="35000"/>
                  </a:schemeClr>
                </a:solidFill>
                <a:latin typeface="+mn-lt"/>
                <a:ea typeface="+mn-ea"/>
                <a:cs typeface="+mn-cs"/>
              </a:defRPr>
            </a:pPr>
            <a:r>
              <a:rPr sz="1440"/>
              <a:t>收入、支出决算总计</a:t>
            </a:r>
            <a:endParaRPr sz="1440"/>
          </a:p>
          <a:p>
            <a:pPr defTabSz="914400">
              <a:defRPr lang="zh-CN" sz="1440" b="0" i="0" u="none" strike="noStrike" kern="1200" spc="0" baseline="0">
                <a:solidFill>
                  <a:schemeClr val="tx1">
                    <a:lumMod val="65000"/>
                    <a:lumOff val="35000"/>
                  </a:schemeClr>
                </a:solidFill>
                <a:latin typeface="+mn-lt"/>
                <a:ea typeface="+mn-ea"/>
                <a:cs typeface="+mn-cs"/>
              </a:defRPr>
            </a:pPr>
            <a:endParaRPr sz="1440"/>
          </a:p>
        </c:rich>
      </c:tx>
      <c:layout>
        <c:manualLayout>
          <c:xMode val="edge"/>
          <c:yMode val="edge"/>
          <c:x val="0.236772875816993"/>
          <c:y val="0.0399431324253839"/>
        </c:manualLayout>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2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[项目入库查询20250922163822101.xlsx]Sheet2!$A$1:$A$2</c:f>
              <c:strCache>
                <c:ptCount val="2"/>
                <c:pt idx="0">
                  <c:v>2023年收入、支出总计</c:v>
                </c:pt>
                <c:pt idx="1">
                  <c:v>2024年收入、支出总计</c:v>
                </c:pt>
              </c:strCache>
            </c:strRef>
          </c:cat>
          <c:val>
            <c:numRef>
              <c:f>[项目入库查询20250922163822101.xlsx]Sheet2!$B$1:$B$2</c:f>
              <c:numCache>
                <c:formatCode>General</c:formatCode>
                <c:ptCount val="2"/>
                <c:pt idx="0">
                  <c:v>311.71</c:v>
                </c:pt>
                <c:pt idx="1">
                  <c:v>316.71</c:v>
                </c:pt>
              </c:numCache>
            </c:numRef>
          </c:val>
        </c:ser>
        <c:dLbls>
          <c:showLegendKey val="0"/>
          <c:showVal val="1"/>
          <c:showCatName val="0"/>
          <c:showSerName val="0"/>
          <c:showPercent val="0"/>
          <c:showBubbleSize val="0"/>
        </c:dLbls>
        <c:gapWidth val="219"/>
        <c:overlap val="-27"/>
        <c:axId val="216591560"/>
        <c:axId val="589941937"/>
      </c:barChart>
      <c:catAx>
        <c:axId val="216591560"/>
        <c:scaling>
          <c:orientation val="minMax"/>
        </c:scaling>
        <c:delete val="0"/>
        <c:axPos val="b"/>
        <c:title>
          <c:tx>
            <c:rich>
              <a:bodyPr rot="0" spcFirstLastPara="0" vertOverflow="ellipsis" vert="horz" wrap="square" anchor="ctr" anchorCtr="1"/>
              <a:lstStyle/>
              <a:p>
                <a:pPr defTabSz="914400">
                  <a:defRPr lang="zh-CN" sz="1100" b="0" i="0" u="none" strike="noStrike" kern="1200" baseline="0">
                    <a:solidFill>
                      <a:schemeClr val="tx1">
                        <a:lumMod val="65000"/>
                        <a:lumOff val="35000"/>
                      </a:schemeClr>
                    </a:solidFill>
                    <a:latin typeface="+mn-lt"/>
                    <a:ea typeface="+mn-ea"/>
                    <a:cs typeface="+mn-cs"/>
                  </a:defRPr>
                </a:pPr>
                <a:r>
                  <a:rPr sz="1100"/>
                  <a:t>收入、支出决算总计（单位：万元）</a:t>
                </a:r>
                <a:endParaRPr sz="1100"/>
              </a:p>
            </c:rich>
          </c:tx>
          <c:layout>
            <c:manualLayout>
              <c:xMode val="edge"/>
              <c:yMode val="edge"/>
              <c:x val="0.127687296416938"/>
              <c:y val="0.862787416596748"/>
            </c:manualLayout>
          </c:layout>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9941937"/>
        <c:crosses val="autoZero"/>
        <c:auto val="1"/>
        <c:lblAlgn val="ctr"/>
        <c:lblOffset val="100"/>
        <c:noMultiLvlLbl val="0"/>
      </c:catAx>
      <c:valAx>
        <c:axId val="58994193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1200" b="0" i="0" u="none" strike="noStrike" kern="1200" baseline="0">
                <a:solidFill>
                  <a:schemeClr val="tx1">
                    <a:lumMod val="65000"/>
                    <a:lumOff val="35000"/>
                  </a:schemeClr>
                </a:solidFill>
                <a:latin typeface="+mn-lt"/>
                <a:ea typeface="+mn-ea"/>
                <a:cs typeface="+mn-cs"/>
              </a:defRPr>
            </a:pPr>
          </a:p>
        </c:txPr>
        <c:crossAx val="216591560"/>
        <c:crosses val="autoZero"/>
        <c:crossBetween val="between"/>
      </c:valAx>
      <c:spPr>
        <a:noFill/>
        <a:ln>
          <a:noFill/>
        </a:ln>
        <a:effectLst/>
      </c:spPr>
    </c:plotArea>
    <c:plotVisOnly val="1"/>
    <c:dispBlanksAs val="gap"/>
    <c:showDLblsOverMax val="0"/>
    <c:extLst>
      <c:ext uri="{0b15fc19-7d7d-44ad-8c2d-2c3a37ce22c3}">
        <chartProps xmlns="https://web.wps.cn/et/2018/main" chartId="{da342b79-7fe3-409e-a620-9aa4220d05e1}"/>
      </c:ext>
    </c:extLst>
  </c:chart>
  <c:spPr>
    <a:solidFill>
      <a:schemeClr val="bg1"/>
    </a:solidFill>
    <a:ln w="9525" cap="flat" cmpd="sng" algn="ctr">
      <a:solidFill>
        <a:schemeClr val="tx1">
          <a:lumMod val="15000"/>
          <a:lumOff val="85000"/>
        </a:schemeClr>
      </a:solidFill>
      <a:round/>
    </a:ln>
    <a:effectLst/>
  </c:spPr>
  <c:txPr>
    <a:bodyPr/>
    <a:lstStyle/>
    <a:p>
      <a:pPr>
        <a:defRPr lang="zh-CN" sz="1200"/>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660" b="0" i="0" u="none" strike="noStrike" kern="1200" spc="0" baseline="0">
                <a:solidFill>
                  <a:schemeClr val="tx1">
                    <a:lumMod val="65000"/>
                    <a:lumOff val="35000"/>
                  </a:schemeClr>
                </a:solidFill>
                <a:latin typeface="+mn-lt"/>
                <a:ea typeface="+mn-ea"/>
                <a:cs typeface="+mn-cs"/>
              </a:defRPr>
            </a:pPr>
            <a:r>
              <a:rPr sz="660"/>
              <a:t>一般公共预算财政拨款收入（单位：万元）</a:t>
            </a:r>
            <a:endParaRPr sz="660"/>
          </a:p>
        </c:rich>
      </c:tx>
      <c:layout>
        <c:manualLayout>
          <c:xMode val="edge"/>
          <c:yMode val="edge"/>
          <c:x val="0.110159302675083"/>
          <c:y val="0.0419874037788663"/>
        </c:manualLayout>
      </c:layout>
      <c:overlay val="0"/>
      <c:spPr>
        <a:noFill/>
        <a:ln>
          <a:noFill/>
        </a:ln>
        <a:effectLst/>
      </c:spPr>
    </c:title>
    <c:autoTitleDeleted val="0"/>
    <c:plotArea>
      <c:layout/>
      <c:pieChart>
        <c:varyColors val="1"/>
        <c:ser>
          <c:idx val="0"/>
          <c:order val="0"/>
          <c:tx>
            <c:strRef>
              <c:f>[项目入库查询20250922163822101.xlsx]Sheet2!$A$1</c:f>
              <c:strCache>
                <c:ptCount val="1"/>
                <c:pt idx="0">
                  <c:v>一般公共预算财政拨款收入</c:v>
                </c:pt>
              </c:strCache>
            </c:strRef>
          </c:tx>
          <c:spPr/>
          <c:explosion val="0"/>
          <c:dPt>
            <c:idx val="0"/>
            <c:bubble3D val="0"/>
            <c:spPr>
              <a:solidFill>
                <a:schemeClr val="accent1"/>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55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[项目入库查询20250922163822101.xlsx]Sheet2!$B$1</c:f>
              <c:numCache>
                <c:formatCode>General</c:formatCode>
                <c:ptCount val="1"/>
                <c:pt idx="0">
                  <c:v>316.71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egendEntry>
        <c:idx val="0"/>
        <c:txPr>
          <a:bodyPr rot="0" spcFirstLastPara="0" vertOverflow="ellipsis" vert="horz" wrap="square" anchor="ctr" anchorCtr="1"/>
          <a:lstStyle/>
          <a:p>
            <a:pPr>
              <a:defRPr lang="zh-CN" sz="550" b="0" i="0" u="none" strike="noStrike" kern="1200" baseline="0">
                <a:solidFill>
                  <a:schemeClr val="tx1">
                    <a:lumMod val="65000"/>
                    <a:lumOff val="35000"/>
                  </a:schemeClr>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55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296fa4e-0fa8-4a0b-b7e7-69a68b7f0c06}"/>
      </c:ext>
    </c:extLst>
  </c:chart>
  <c:spPr>
    <a:solidFill>
      <a:schemeClr val="bg1"/>
    </a:solidFill>
    <a:ln w="9525" cap="flat" cmpd="sng" algn="ctr">
      <a:solidFill>
        <a:schemeClr val="tx1">
          <a:lumMod val="15000"/>
          <a:lumOff val="85000"/>
        </a:schemeClr>
      </a:solidFill>
      <a:round/>
    </a:ln>
    <a:effectLst/>
  </c:spPr>
  <c:txPr>
    <a:bodyPr/>
    <a:lstStyle/>
    <a:p>
      <a:pPr>
        <a:defRPr lang="zh-CN" sz="550"/>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本年支出</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[项目入库查询20250922163822101.xlsx]Sheet2!$A$1:$A$2</c:f>
              <c:strCache>
                <c:ptCount val="2"/>
                <c:pt idx="0">
                  <c:v>基本支出</c:v>
                </c:pt>
                <c:pt idx="1">
                  <c:v>项目支出</c:v>
                </c:pt>
              </c:strCache>
            </c:strRef>
          </c:cat>
          <c:val>
            <c:numRef>
              <c:f>[项目入库查询20250922163822101.xlsx]Sheet2!$B$1:$B$2</c:f>
              <c:numCache>
                <c:formatCode>General</c:formatCode>
                <c:ptCount val="2"/>
                <c:pt idx="0">
                  <c:v>316.71</c:v>
                </c:pt>
                <c:pt idx="1">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3c9e4e0-b385-4ade-b18f-f0862686b65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40" b="0" i="0" u="none" strike="noStrike" kern="1200" spc="0" baseline="0">
                <a:solidFill>
                  <a:schemeClr val="tx1">
                    <a:lumMod val="65000"/>
                    <a:lumOff val="35000"/>
                  </a:schemeClr>
                </a:solidFill>
                <a:latin typeface="+mn-lt"/>
                <a:ea typeface="+mn-ea"/>
                <a:cs typeface="+mn-cs"/>
              </a:defRPr>
            </a:pPr>
            <a:r>
              <a:rPr sz="1440"/>
              <a:t>收入、支出决算总计</a:t>
            </a:r>
            <a:endParaRPr sz="1440"/>
          </a:p>
          <a:p>
            <a:pPr defTabSz="914400">
              <a:defRPr lang="zh-CN" sz="1440" b="0" i="0" u="none" strike="noStrike" kern="1200" spc="0" baseline="0">
                <a:solidFill>
                  <a:schemeClr val="tx1">
                    <a:lumMod val="65000"/>
                    <a:lumOff val="35000"/>
                  </a:schemeClr>
                </a:solidFill>
                <a:latin typeface="+mn-lt"/>
                <a:ea typeface="+mn-ea"/>
                <a:cs typeface="+mn-cs"/>
              </a:defRPr>
            </a:pPr>
            <a:endParaRPr sz="1440"/>
          </a:p>
        </c:rich>
      </c:tx>
      <c:layout>
        <c:manualLayout>
          <c:xMode val="edge"/>
          <c:yMode val="edge"/>
          <c:x val="0.219109663409338"/>
          <c:y val="0.0540453074433657"/>
        </c:manualLayout>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2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[项目入库查询20250922163822101.xlsx]Sheet2!$A$1:$A$2</c:f>
              <c:strCache>
                <c:ptCount val="2"/>
                <c:pt idx="0">
                  <c:v>2023年收入、支出总计</c:v>
                </c:pt>
                <c:pt idx="1">
                  <c:v>2024年收入、支出总计</c:v>
                </c:pt>
              </c:strCache>
            </c:strRef>
          </c:cat>
          <c:val>
            <c:numRef>
              <c:f>[项目入库查询20250922163822101.xlsx]Sheet2!$B$1:$B$2</c:f>
              <c:numCache>
                <c:formatCode>General</c:formatCode>
                <c:ptCount val="2"/>
                <c:pt idx="0">
                  <c:v>311.71</c:v>
                </c:pt>
                <c:pt idx="1">
                  <c:v>316.71</c:v>
                </c:pt>
              </c:numCache>
            </c:numRef>
          </c:val>
        </c:ser>
        <c:dLbls>
          <c:showLegendKey val="0"/>
          <c:showVal val="1"/>
          <c:showCatName val="0"/>
          <c:showSerName val="0"/>
          <c:showPercent val="0"/>
          <c:showBubbleSize val="0"/>
        </c:dLbls>
        <c:gapWidth val="219"/>
        <c:overlap val="-27"/>
        <c:axId val="216591560"/>
        <c:axId val="589941937"/>
      </c:barChart>
      <c:catAx>
        <c:axId val="216591560"/>
        <c:scaling>
          <c:orientation val="minMax"/>
        </c:scaling>
        <c:delete val="0"/>
        <c:axPos val="b"/>
        <c:title>
          <c:tx>
            <c:rich>
              <a:bodyPr rot="0" spcFirstLastPara="0" vertOverflow="ellipsis" vert="horz" wrap="square" anchor="ctr" anchorCtr="1"/>
              <a:lstStyle/>
              <a:p>
                <a:pPr defTabSz="914400">
                  <a:defRPr lang="zh-CN" sz="1100" b="0" i="0" u="none" strike="noStrike" kern="1200" baseline="0">
                    <a:solidFill>
                      <a:schemeClr val="tx1">
                        <a:lumMod val="65000"/>
                        <a:lumOff val="35000"/>
                      </a:schemeClr>
                    </a:solidFill>
                    <a:latin typeface="+mn-lt"/>
                    <a:ea typeface="+mn-ea"/>
                    <a:cs typeface="+mn-cs"/>
                  </a:defRPr>
                </a:pPr>
                <a:r>
                  <a:rPr sz="1100"/>
                  <a:t>收入、支出决算总计（单位：万元）</a:t>
                </a:r>
                <a:endParaRPr sz="1100"/>
              </a:p>
            </c:rich>
          </c:tx>
          <c:layout>
            <c:manualLayout>
              <c:xMode val="edge"/>
              <c:yMode val="edge"/>
              <c:x val="0.127687296416938"/>
              <c:y val="0.862787416596748"/>
            </c:manualLayout>
          </c:layout>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9941937"/>
        <c:crosses val="autoZero"/>
        <c:auto val="1"/>
        <c:lblAlgn val="ctr"/>
        <c:lblOffset val="100"/>
        <c:noMultiLvlLbl val="0"/>
      </c:catAx>
      <c:valAx>
        <c:axId val="58994193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1200" b="0" i="0" u="none" strike="noStrike" kern="1200" baseline="0">
                <a:solidFill>
                  <a:schemeClr val="tx1">
                    <a:lumMod val="65000"/>
                    <a:lumOff val="35000"/>
                  </a:schemeClr>
                </a:solidFill>
                <a:latin typeface="+mn-lt"/>
                <a:ea typeface="+mn-ea"/>
                <a:cs typeface="+mn-cs"/>
              </a:defRPr>
            </a:pPr>
          </a:p>
        </c:txPr>
        <c:crossAx val="216591560"/>
        <c:crosses val="autoZero"/>
        <c:crossBetween val="between"/>
      </c:valAx>
      <c:spPr>
        <a:noFill/>
        <a:ln>
          <a:noFill/>
        </a:ln>
        <a:effectLst/>
      </c:spPr>
    </c:plotArea>
    <c:plotVisOnly val="1"/>
    <c:dispBlanksAs val="gap"/>
    <c:showDLblsOverMax val="0"/>
    <c:extLst>
      <c:ext uri="{0b15fc19-7d7d-44ad-8c2d-2c3a37ce22c3}">
        <chartProps xmlns="https://web.wps.cn/et/2018/main" chartId="{c293ea02-f23d-4213-9de9-7dfbbe81face}"/>
      </c:ext>
    </c:extLst>
  </c:chart>
  <c:spPr>
    <a:solidFill>
      <a:schemeClr val="bg1"/>
    </a:solidFill>
    <a:ln w="9525" cap="flat" cmpd="sng" algn="ctr">
      <a:solidFill>
        <a:schemeClr val="tx1">
          <a:lumMod val="15000"/>
          <a:lumOff val="85000"/>
        </a:schemeClr>
      </a:solidFill>
      <a:round/>
    </a:ln>
    <a:effectLst/>
  </c:spPr>
  <c:txPr>
    <a:bodyPr/>
    <a:lstStyle/>
    <a:p>
      <a:pPr>
        <a:defRPr lang="zh-CN" sz="1200"/>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900" b="0" i="0" u="none" strike="noStrike" kern="1200" spc="0" baseline="0">
                <a:solidFill>
                  <a:schemeClr val="tx1">
                    <a:lumMod val="65000"/>
                    <a:lumOff val="35000"/>
                  </a:schemeClr>
                </a:solidFill>
                <a:latin typeface="+mn-lt"/>
                <a:ea typeface="+mn-ea"/>
                <a:cs typeface="+mn-cs"/>
              </a:defRPr>
            </a:pPr>
            <a:r>
              <a:rPr sz="900"/>
              <a:t>一般公共预算财政拨款支出决算总体情况</a:t>
            </a:r>
            <a:endParaRPr sz="900"/>
          </a:p>
        </c:rich>
      </c:tx>
      <c:layout>
        <c:manualLayout>
          <c:xMode val="edge"/>
          <c:yMode val="edge"/>
          <c:x val="0.131111111111111"/>
          <c:y val="0.0243055555555556"/>
        </c:manualLayout>
      </c:layout>
      <c:overlay val="0"/>
      <c:spPr>
        <a:noFill/>
        <a:ln>
          <a:noFill/>
        </a:ln>
        <a:effectLst/>
      </c:spPr>
    </c:title>
    <c:autoTitleDeleted val="0"/>
    <c:plotArea>
      <c:layout>
        <c:manualLayout>
          <c:layoutTarget val="inner"/>
          <c:xMode val="edge"/>
          <c:yMode val="edge"/>
          <c:x val="0.0706388888888889"/>
          <c:y val="0.172916666666667"/>
          <c:w val="0.894638888888889"/>
          <c:h val="0.61537037037037"/>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75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[项目入库查询20250922163822101.xlsx]Sheet2!$A$1:$A$2</c:f>
              <c:strCache>
                <c:ptCount val="2"/>
                <c:pt idx="0">
                  <c:v>2023年</c:v>
                </c:pt>
                <c:pt idx="1">
                  <c:v>2024年</c:v>
                </c:pt>
              </c:strCache>
            </c:strRef>
          </c:cat>
          <c:val>
            <c:numRef>
              <c:f>[项目入库查询20250922163822101.xlsx]Sheet2!$B$1:$B$2</c:f>
              <c:numCache>
                <c:formatCode>General</c:formatCode>
                <c:ptCount val="2"/>
                <c:pt idx="0">
                  <c:v>311.71</c:v>
                </c:pt>
                <c:pt idx="1">
                  <c:v>316.71</c:v>
                </c:pt>
              </c:numCache>
            </c:numRef>
          </c:val>
        </c:ser>
        <c:dLbls>
          <c:showLegendKey val="0"/>
          <c:showVal val="1"/>
          <c:showCatName val="0"/>
          <c:showSerName val="0"/>
          <c:showPercent val="0"/>
          <c:showBubbleSize val="0"/>
        </c:dLbls>
        <c:gapWidth val="219"/>
        <c:overlap val="-27"/>
        <c:axId val="495273102"/>
        <c:axId val="566682772"/>
      </c:barChart>
      <c:catAx>
        <c:axId val="495273102"/>
        <c:scaling>
          <c:orientation val="minMax"/>
        </c:scaling>
        <c:delete val="0"/>
        <c:axPos val="b"/>
        <c:title>
          <c:tx>
            <c:rich>
              <a:bodyPr rot="0" spcFirstLastPara="0" vertOverflow="ellipsis" vert="horz" wrap="square" anchor="ctr" anchorCtr="1"/>
              <a:lstStyle/>
              <a:p>
                <a:pPr defTabSz="914400">
                  <a:defRPr lang="zh-CN" sz="750" b="0" i="0" u="none" strike="noStrike" kern="1200" baseline="0">
                    <a:solidFill>
                      <a:schemeClr val="tx1">
                        <a:lumMod val="65000"/>
                        <a:lumOff val="35000"/>
                      </a:schemeClr>
                    </a:solidFill>
                    <a:latin typeface="+mn-lt"/>
                    <a:ea typeface="+mn-ea"/>
                    <a:cs typeface="+mn-cs"/>
                  </a:defRPr>
                </a:pPr>
                <a:r>
                  <a:rPr sz="750"/>
                  <a:t>单位：万元</a:t>
                </a:r>
                <a:endParaRPr sz="750"/>
              </a:p>
            </c:rich>
          </c:tx>
          <c:layout>
            <c:manualLayout>
              <c:xMode val="edge"/>
              <c:yMode val="edge"/>
              <c:x val="0.776152777777778"/>
              <c:y val="0.897916666666667"/>
            </c:manualLayout>
          </c:layout>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750" b="0" i="0" u="none" strike="noStrike" kern="1200" baseline="0">
                <a:solidFill>
                  <a:schemeClr val="tx1">
                    <a:lumMod val="65000"/>
                    <a:lumOff val="35000"/>
                  </a:schemeClr>
                </a:solidFill>
                <a:latin typeface="+mn-lt"/>
                <a:ea typeface="+mn-ea"/>
                <a:cs typeface="+mn-cs"/>
              </a:defRPr>
            </a:pPr>
          </a:p>
        </c:txPr>
        <c:crossAx val="566682772"/>
        <c:crosses val="autoZero"/>
        <c:auto val="1"/>
        <c:lblAlgn val="ctr"/>
        <c:lblOffset val="100"/>
        <c:noMultiLvlLbl val="0"/>
      </c:catAx>
      <c:valAx>
        <c:axId val="5666827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750" b="0" i="0" u="none" strike="noStrike" kern="1200" baseline="0">
                <a:solidFill>
                  <a:schemeClr val="tx1">
                    <a:lumMod val="65000"/>
                    <a:lumOff val="35000"/>
                  </a:schemeClr>
                </a:solidFill>
                <a:latin typeface="+mn-lt"/>
                <a:ea typeface="+mn-ea"/>
                <a:cs typeface="+mn-cs"/>
              </a:defRPr>
            </a:pPr>
          </a:p>
        </c:txPr>
        <c:crossAx val="495273102"/>
        <c:crosses val="autoZero"/>
        <c:crossBetween val="between"/>
      </c:valAx>
      <c:spPr>
        <a:noFill/>
        <a:ln>
          <a:noFill/>
        </a:ln>
        <a:effectLst/>
      </c:spPr>
    </c:plotArea>
    <c:plotVisOnly val="1"/>
    <c:dispBlanksAs val="gap"/>
    <c:showDLblsOverMax val="0"/>
    <c:extLst>
      <c:ext uri="{0b15fc19-7d7d-44ad-8c2d-2c3a37ce22c3}">
        <chartProps xmlns="https://web.wps.cn/et/2018/main" chartId="{dd852d35-ed03-45ce-a226-34174d26dfae}"/>
      </c:ext>
    </c:extLst>
  </c:chart>
  <c:spPr>
    <a:solidFill>
      <a:schemeClr val="bg1"/>
    </a:solidFill>
    <a:ln w="9525" cap="flat" cmpd="sng" algn="ctr">
      <a:solidFill>
        <a:schemeClr val="tx1">
          <a:lumMod val="15000"/>
          <a:lumOff val="85000"/>
        </a:schemeClr>
      </a:solidFill>
      <a:round/>
    </a:ln>
    <a:effectLst/>
  </c:spPr>
  <c:txPr>
    <a:bodyPr/>
    <a:lstStyle/>
    <a:p>
      <a:pPr>
        <a:defRPr lang="zh-CN" sz="750"/>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900" b="0" i="0" u="none" strike="noStrike" kern="1200" spc="0" baseline="0">
                <a:solidFill>
                  <a:schemeClr val="tx1">
                    <a:lumMod val="65000"/>
                    <a:lumOff val="35000"/>
                  </a:schemeClr>
                </a:solidFill>
                <a:latin typeface="+mn-lt"/>
                <a:ea typeface="+mn-ea"/>
                <a:cs typeface="+mn-cs"/>
              </a:defRPr>
            </a:pPr>
            <a:r>
              <a:rPr sz="650"/>
              <a:t>一般公共预算财政拨款支出决算结构图（单位：万元）</a:t>
            </a:r>
            <a:endParaRPr sz="650"/>
          </a:p>
        </c:rich>
      </c:tx>
      <c:layout>
        <c:manualLayout>
          <c:xMode val="edge"/>
          <c:yMode val="edge"/>
          <c:x val="0.167930400192786"/>
          <c:y val="0.0416204056168844"/>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[项目入库查询20250922163822101.xlsx]Sheet2!$A$1:$A$4</c:f>
              <c:strCache>
                <c:ptCount val="4"/>
                <c:pt idx="0">
                  <c:v>社会保障和就业支出</c:v>
                </c:pt>
                <c:pt idx="1">
                  <c:v>卫生健康支出</c:v>
                </c:pt>
                <c:pt idx="2">
                  <c:v>农林水支出</c:v>
                </c:pt>
                <c:pt idx="3">
                  <c:v>住房保障支出</c:v>
                </c:pt>
              </c:strCache>
            </c:strRef>
          </c:cat>
          <c:val>
            <c:numRef>
              <c:f>[项目入库查询20250922163822101.xlsx]Sheet2!$B$1:$B$4</c:f>
              <c:numCache>
                <c:formatCode>General</c:formatCode>
                <c:ptCount val="4"/>
                <c:pt idx="0">
                  <c:v>44.25</c:v>
                </c:pt>
                <c:pt idx="1">
                  <c:v>18.46</c:v>
                </c:pt>
                <c:pt idx="2">
                  <c:v>230.42</c:v>
                </c:pt>
                <c:pt idx="3">
                  <c:v>23.58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e204f6a-8195-47d6-8ace-b9cde89c5560}"/>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14</Pages>
  <Words>4462</Words>
  <Characters>4796</Characters>
  <Lines>61</Lines>
  <Paragraphs>17</Paragraphs>
  <TotalTime>1</TotalTime>
  <ScaleCrop>false</ScaleCrop>
  <LinksUpToDate>false</LinksUpToDate>
  <CharactersWithSpaces>5064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WPS_1694850168</cp:lastModifiedBy>
  <cp:lastPrinted>2025-09-24T03:18:00Z</cp:lastPrinted>
  <dcterms:modified xsi:type="dcterms:W3CDTF">2025-09-26T08:34:05Z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233546BB832C45519F689D9AD98FDD5F_13</vt:lpwstr>
  </property>
  <property fmtid="{D5CDD505-2E9C-101B-9397-08002B2CF9AE}" pid="4" name="KSOTemplateDocerSaveRecord">
    <vt:lpwstr>eyJoZGlkIjoiZjY3MGU5ZTRlYjBmNjUxZmIwODI5OTMxNWRkMGZlNjQiLCJ1c2VySWQiOiIxNTM1OTU3NTM4In0=</vt:lpwstr>
  </property>
</Properties>
</file>