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7830C4">
      <w:pPr>
        <w:rPr>
          <w:rFonts w:ascii="Times New Roman" w:hAnsi="Times New Roman"/>
        </w:rPr>
      </w:pPr>
      <w:bookmarkStart w:id="0" w:name="_Toc15396475"/>
      <w:bookmarkStart w:id="1" w:name="_Toc15396597"/>
      <w:bookmarkStart w:id="2" w:name="_Toc15377193"/>
      <w:bookmarkStart w:id="3" w:name="_Toc15378441"/>
      <w:bookmarkStart w:id="4" w:name="_Toc15377425"/>
      <w:bookmarkStart w:id="5" w:name="_Toc15306267"/>
    </w:p>
    <w:p w14:paraId="21904245">
      <w:pPr>
        <w:pStyle w:val="8"/>
        <w:jc w:val="center"/>
        <w:rPr>
          <w:rFonts w:hint="eastAsia" w:ascii="Times New Roman" w:hAnsi="Times New Roman" w:eastAsia="方正小标宋简体" w:cs="Times New Roman"/>
          <w:color w:val="auto"/>
          <w:kern w:val="2"/>
          <w:sz w:val="44"/>
          <w:szCs w:val="44"/>
          <w:highlight w:val="none"/>
          <w:lang w:val="en-US" w:eastAsia="zh-CN" w:bidi="ar-SA"/>
        </w:rPr>
      </w:pPr>
    </w:p>
    <w:p w14:paraId="382FF185">
      <w:pPr>
        <w:pStyle w:val="8"/>
        <w:jc w:val="center"/>
        <w:rPr>
          <w:rFonts w:hint="eastAsia" w:ascii="Times New Roman" w:hAnsi="Times New Roman" w:eastAsia="方正小标宋简体" w:cs="Times New Roman"/>
          <w:color w:val="auto"/>
          <w:kern w:val="2"/>
          <w:sz w:val="44"/>
          <w:szCs w:val="44"/>
          <w:highlight w:val="none"/>
          <w:lang w:val="en-US" w:eastAsia="zh-CN" w:bidi="ar-SA"/>
        </w:rPr>
      </w:pPr>
    </w:p>
    <w:p w14:paraId="00773B58">
      <w:pPr>
        <w:pStyle w:val="8"/>
        <w:jc w:val="center"/>
        <w:rPr>
          <w:rFonts w:hint="eastAsia" w:ascii="Times New Roman" w:hAnsi="Times New Roman" w:eastAsia="方正小标宋简体" w:cs="Times New Roman"/>
          <w:color w:val="auto"/>
          <w:kern w:val="2"/>
          <w:sz w:val="44"/>
          <w:szCs w:val="44"/>
          <w:highlight w:val="none"/>
          <w:lang w:val="en-US" w:eastAsia="zh-CN" w:bidi="ar-SA"/>
        </w:rPr>
      </w:pPr>
    </w:p>
    <w:p w14:paraId="79D98724">
      <w:pPr>
        <w:pStyle w:val="8"/>
        <w:jc w:val="center"/>
        <w:rPr>
          <w:rFonts w:hint="eastAsia" w:ascii="Times New Roman" w:hAnsi="Times New Roman" w:eastAsia="方正小标宋简体" w:cs="Times New Roman"/>
          <w:color w:val="auto"/>
          <w:kern w:val="2"/>
          <w:sz w:val="44"/>
          <w:szCs w:val="44"/>
          <w:highlight w:val="none"/>
          <w:lang w:val="en-US" w:eastAsia="zh-CN" w:bidi="ar-SA"/>
        </w:rPr>
      </w:pPr>
    </w:p>
    <w:bookmarkEnd w:id="0"/>
    <w:bookmarkEnd w:id="1"/>
    <w:bookmarkEnd w:id="2"/>
    <w:bookmarkEnd w:id="3"/>
    <w:bookmarkEnd w:id="4"/>
    <w:bookmarkEnd w:id="5"/>
    <w:p w14:paraId="57E6106F">
      <w:pPr>
        <w:pStyle w:val="8"/>
        <w:jc w:val="center"/>
        <w:rPr>
          <w:rFonts w:hint="eastAsia" w:ascii="Times New Roman" w:eastAsia="方正小标宋简体" w:cs="Times New Roman"/>
          <w:color w:val="auto"/>
          <w:kern w:val="2"/>
          <w:sz w:val="44"/>
          <w:szCs w:val="44"/>
          <w:highlight w:val="none"/>
          <w:lang w:val="en-US" w:eastAsia="zh-CN" w:bidi="ar-SA"/>
        </w:rPr>
      </w:pPr>
      <w:bookmarkStart w:id="6" w:name="_Toc15396476"/>
      <w:bookmarkStart w:id="7" w:name="_Toc15378442"/>
      <w:bookmarkStart w:id="8" w:name="_Toc15377194"/>
      <w:bookmarkStart w:id="9" w:name="_Toc15377426"/>
      <w:bookmarkStart w:id="10" w:name="_Toc15396598"/>
      <w:r>
        <w:rPr>
          <w:rFonts w:hint="eastAsia" w:ascii="Times New Roman" w:hAnsi="Times New Roman" w:eastAsia="方正小标宋简体" w:cs="Times New Roman"/>
          <w:color w:val="auto"/>
          <w:kern w:val="2"/>
          <w:sz w:val="44"/>
          <w:szCs w:val="44"/>
          <w:highlight w:val="none"/>
          <w:lang w:val="en-US" w:eastAsia="zh-CN" w:bidi="ar-SA"/>
        </w:rPr>
        <w:t>2024年度四川省</w:t>
      </w:r>
      <w:bookmarkStart w:id="11" w:name="_Toc15306268"/>
      <w:r>
        <w:rPr>
          <w:rFonts w:hint="eastAsia" w:ascii="Times New Roman" w:eastAsia="方正小标宋简体" w:cs="Times New Roman"/>
          <w:color w:val="auto"/>
          <w:kern w:val="2"/>
          <w:sz w:val="44"/>
          <w:szCs w:val="44"/>
          <w:highlight w:val="none"/>
          <w:lang w:val="en-US" w:eastAsia="zh-CN" w:bidi="ar-SA"/>
        </w:rPr>
        <w:t>阿坝州</w:t>
      </w:r>
    </w:p>
    <w:p w14:paraId="6E65D10D">
      <w:pPr>
        <w:pStyle w:val="8"/>
        <w:jc w:val="center"/>
        <w:rPr>
          <w:rFonts w:hint="eastAsia" w:ascii="Times New Roman" w:hAnsi="Times New Roman" w:eastAsia="方正小标宋简体" w:cs="Times New Roman"/>
          <w:color w:val="auto"/>
          <w:kern w:val="2"/>
          <w:sz w:val="44"/>
          <w:szCs w:val="44"/>
          <w:highlight w:val="none"/>
          <w:lang w:val="en-US" w:eastAsia="zh-CN" w:bidi="ar-SA"/>
        </w:rPr>
      </w:pPr>
      <w:r>
        <w:rPr>
          <w:rFonts w:hint="eastAsia" w:ascii="Times New Roman" w:eastAsia="方正小标宋简体" w:cs="Times New Roman"/>
          <w:color w:val="auto"/>
          <w:kern w:val="2"/>
          <w:sz w:val="44"/>
          <w:szCs w:val="44"/>
          <w:highlight w:val="none"/>
          <w:lang w:val="en-US" w:eastAsia="zh-CN" w:bidi="ar-SA"/>
        </w:rPr>
        <w:t>茂县沟口镇人民政府</w:t>
      </w:r>
      <w:r>
        <w:rPr>
          <w:rFonts w:hint="eastAsia" w:ascii="Times New Roman" w:hAnsi="Times New Roman" w:eastAsia="方正小标宋简体" w:cs="Times New Roman"/>
          <w:color w:val="auto"/>
          <w:kern w:val="2"/>
          <w:sz w:val="44"/>
          <w:szCs w:val="44"/>
          <w:highlight w:val="none"/>
          <w:lang w:val="en-US" w:eastAsia="zh-CN" w:bidi="ar-SA"/>
        </w:rPr>
        <w:t>决算</w:t>
      </w:r>
      <w:bookmarkEnd w:id="6"/>
      <w:bookmarkEnd w:id="7"/>
      <w:bookmarkEnd w:id="8"/>
      <w:bookmarkEnd w:id="9"/>
      <w:bookmarkEnd w:id="10"/>
      <w:bookmarkEnd w:id="11"/>
      <w:r>
        <w:rPr>
          <w:rFonts w:hint="eastAsia" w:ascii="Times New Roman" w:eastAsia="方正小标宋简体" w:cs="Times New Roman"/>
          <w:color w:val="auto"/>
          <w:kern w:val="2"/>
          <w:sz w:val="44"/>
          <w:szCs w:val="44"/>
          <w:highlight w:val="none"/>
          <w:lang w:val="en-US" w:eastAsia="zh-CN" w:bidi="ar-SA"/>
        </w:rPr>
        <w:t>公开报告</w:t>
      </w:r>
    </w:p>
    <w:p w14:paraId="62E160F2">
      <w:pPr>
        <w:widowControl/>
        <w:jc w:val="center"/>
        <w:rPr>
          <w:rFonts w:ascii="Times New Roman" w:hAnsi="Times New Roman" w:eastAsia="黑体"/>
          <w:color w:val="auto"/>
          <w:sz w:val="48"/>
          <w:szCs w:val="48"/>
          <w:highlight w:val="none"/>
        </w:rPr>
      </w:pPr>
      <w:r>
        <w:rPr>
          <w:rFonts w:ascii="Times New Roman" w:hAnsi="Times New Roman" w:eastAsia="方正小标宋简体"/>
          <w:color w:val="auto"/>
          <w:sz w:val="36"/>
          <w:szCs w:val="36"/>
          <w:highlight w:val="none"/>
        </w:rPr>
        <w:br w:type="page"/>
      </w:r>
      <w:r>
        <w:rPr>
          <w:rFonts w:hint="eastAsia" w:ascii="Times New Roman" w:hAnsi="Times New Roman" w:eastAsia="黑体"/>
          <w:color w:val="auto"/>
          <w:sz w:val="48"/>
          <w:szCs w:val="48"/>
          <w:highlight w:val="none"/>
        </w:rPr>
        <w:t>目录</w:t>
      </w:r>
    </w:p>
    <w:p w14:paraId="5C2E5912">
      <w:pPr>
        <w:widowControl/>
        <w:jc w:val="center"/>
        <w:rPr>
          <w:rFonts w:ascii="Times New Roman" w:hAnsi="Times New Roman" w:eastAsia="黑体" w:cstheme="minorBidi"/>
          <w:color w:val="auto"/>
          <w:sz w:val="28"/>
          <w:szCs w:val="28"/>
          <w:highlight w:val="none"/>
        </w:rPr>
      </w:pPr>
    </w:p>
    <w:p w14:paraId="28C7363B">
      <w:pPr>
        <w:pStyle w:val="13"/>
        <w:rPr>
          <w:rFonts w:hint="eastAsia" w:ascii="楷体_GB2312" w:hAnsi="楷体_GB2312" w:eastAsia="楷体_GB2312" w:cs="楷体_GB2312"/>
          <w:b/>
          <w:bCs/>
          <w:kern w:val="2"/>
          <w:sz w:val="28"/>
          <w:szCs w:val="28"/>
          <w:highlight w:val="none"/>
          <w:lang w:val="en-US" w:eastAsia="zh-CN" w:bidi="ar-SA"/>
        </w:rPr>
      </w:pPr>
      <w:r>
        <w:rPr>
          <w:rFonts w:hint="eastAsia" w:ascii="楷体_GB2312" w:hAnsi="楷体_GB2312" w:eastAsia="楷体_GB2312" w:cs="楷体_GB2312"/>
          <w:b/>
          <w:bCs/>
          <w:kern w:val="2"/>
          <w:sz w:val="28"/>
          <w:szCs w:val="28"/>
          <w:highlight w:val="none"/>
          <w:lang w:val="en-US" w:eastAsia="zh-CN" w:bidi="ar-SA"/>
        </w:rPr>
        <w:t>公开时间：2025年9月25日</w:t>
      </w:r>
    </w:p>
    <w:p w14:paraId="13DF0F59">
      <w:pPr>
        <w:rPr>
          <w:rFonts w:ascii="Times New Roman" w:hAnsi="Times New Roman"/>
          <w:color w:val="auto"/>
          <w:highlight w:val="none"/>
        </w:rPr>
      </w:pPr>
    </w:p>
    <w:sdt>
      <w:sdtPr>
        <w:rPr>
          <w:lang w:val="en-US" w:eastAsia="zh-CN"/>
        </w:rPr>
        <w:id w:val="147481398"/>
        <w15:color w:val="DBDBDB"/>
        <w:docPartObj>
          <w:docPartGallery w:val="Table of Contents"/>
          <w:docPartUnique/>
        </w:docPartObj>
      </w:sdtPr>
      <w:sdtEndPr>
        <w:rPr>
          <w:rFonts w:hint="eastAsia" w:ascii="黑体" w:hAnsi="黑体" w:eastAsia="黑体" w:cs="黑体"/>
          <w:b/>
          <w:bCs/>
          <w:kern w:val="2"/>
          <w:sz w:val="21"/>
          <w:szCs w:val="21"/>
          <w:lang w:val="en-US" w:eastAsia="zh-CN" w:bidi="ar-SA"/>
        </w:rPr>
      </w:sdtEndPr>
      <w:sdtContent>
        <w:p w14:paraId="6BA26255">
          <w:pPr>
            <w:pStyle w:val="13"/>
            <w:keepNext w:val="0"/>
            <w:keepLines w:val="0"/>
            <w:pageBreakBefore w:val="0"/>
            <w:widowControl w:val="0"/>
            <w:tabs>
              <w:tab w:val="right" w:leader="dot" w:pos="8306"/>
              <w:tab w:val="clear" w:pos="8296"/>
            </w:tabs>
            <w:kinsoku/>
            <w:wordWrap/>
            <w:overflowPunct/>
            <w:topLinePunct w:val="0"/>
            <w:autoSpaceDE/>
            <w:autoSpaceDN/>
            <w:bidi w:val="0"/>
            <w:adjustRightInd/>
            <w:spacing w:line="576" w:lineRule="exact"/>
            <w:ind w:left="0" w:leftChars="0"/>
            <w:textAlignment w:val="auto"/>
            <w:rPr>
              <w:rFonts w:hint="eastAsia" w:ascii="黑体" w:hAnsi="黑体" w:eastAsia="黑体" w:cs="黑体"/>
              <w:b/>
              <w:bCs/>
              <w:sz w:val="21"/>
              <w:szCs w:val="21"/>
            </w:rPr>
          </w:pPr>
          <w:r>
            <w:rPr>
              <w:rFonts w:hint="eastAsia" w:ascii="黑体" w:hAnsi="黑体" w:eastAsia="黑体" w:cs="黑体"/>
              <w:b/>
              <w:bCs/>
              <w:sz w:val="21"/>
              <w:szCs w:val="21"/>
            </w:rPr>
            <w:fldChar w:fldCharType="begin"/>
          </w:r>
          <w:r>
            <w:rPr>
              <w:rFonts w:hint="eastAsia" w:ascii="黑体" w:hAnsi="黑体" w:eastAsia="黑体" w:cs="黑体"/>
              <w:b/>
              <w:bCs/>
              <w:sz w:val="21"/>
              <w:szCs w:val="21"/>
            </w:rPr>
            <w:instrText xml:space="preserve">TOC \o "1-2" \h \u </w:instrText>
          </w:r>
          <w:r>
            <w:rPr>
              <w:rFonts w:hint="eastAsia" w:ascii="黑体" w:hAnsi="黑体" w:eastAsia="黑体" w:cs="黑体"/>
              <w:b/>
              <w:bCs/>
              <w:sz w:val="21"/>
              <w:szCs w:val="21"/>
            </w:rPr>
            <w:fldChar w:fldCharType="separate"/>
          </w:r>
          <w:r>
            <w:rPr>
              <w:rFonts w:hint="eastAsia" w:ascii="Times New Roman" w:hAnsi="Times New Roman" w:eastAsia="方正小标宋简体" w:cs="方正小标宋简体"/>
              <w:kern w:val="2"/>
              <w:sz w:val="28"/>
              <w:szCs w:val="28"/>
              <w:highlight w:val="none"/>
              <w:lang w:val="en-US" w:eastAsia="zh-CN" w:bidi="ar-SA"/>
            </w:rPr>
            <w:fldChar w:fldCharType="begin"/>
          </w:r>
          <w:r>
            <w:rPr>
              <w:rFonts w:hint="eastAsia" w:ascii="Times New Roman" w:hAnsi="Times New Roman" w:eastAsia="方正小标宋简体" w:cs="方正小标宋简体"/>
              <w:kern w:val="2"/>
              <w:sz w:val="28"/>
              <w:szCs w:val="28"/>
              <w:highlight w:val="none"/>
              <w:lang w:val="en-US" w:eastAsia="zh-CN" w:bidi="ar-SA"/>
            </w:rPr>
            <w:instrText xml:space="preserve"> HYPERLINK \l _Toc25546 </w:instrText>
          </w:r>
          <w:r>
            <w:rPr>
              <w:rFonts w:hint="eastAsia" w:ascii="Times New Roman" w:hAnsi="Times New Roman" w:eastAsia="方正小标宋简体" w:cs="方正小标宋简体"/>
              <w:kern w:val="2"/>
              <w:sz w:val="28"/>
              <w:szCs w:val="28"/>
              <w:highlight w:val="none"/>
              <w:lang w:val="en-US" w:eastAsia="zh-CN" w:bidi="ar-SA"/>
            </w:rPr>
            <w:fldChar w:fldCharType="separate"/>
          </w:r>
          <w:r>
            <w:rPr>
              <w:rFonts w:hint="eastAsia" w:ascii="Times New Roman" w:hAnsi="Times New Roman" w:eastAsia="方正小标宋简体" w:cs="方正小标宋简体"/>
              <w:kern w:val="2"/>
              <w:sz w:val="28"/>
              <w:szCs w:val="28"/>
              <w:highlight w:val="none"/>
              <w:lang w:val="en-US" w:eastAsia="zh-CN" w:bidi="ar-SA"/>
            </w:rPr>
            <w:t>第一部分  部门概况</w:t>
          </w:r>
          <w:r>
            <w:rPr>
              <w:rFonts w:hint="eastAsia" w:ascii="Times New Roman" w:hAnsi="Times New Roman" w:eastAsia="方正小标宋简体" w:cs="方正小标宋简体"/>
              <w:kern w:val="2"/>
              <w:sz w:val="28"/>
              <w:szCs w:val="28"/>
              <w:highlight w:val="none"/>
              <w:lang w:val="en-US" w:eastAsia="zh-CN" w:bidi="ar-SA"/>
            </w:rPr>
            <w:tab/>
          </w:r>
          <w:r>
            <w:rPr>
              <w:rFonts w:hint="eastAsia" w:ascii="Times New Roman" w:hAnsi="Times New Roman" w:eastAsia="方正小标宋简体" w:cs="方正小标宋简体"/>
              <w:kern w:val="2"/>
              <w:sz w:val="28"/>
              <w:szCs w:val="28"/>
              <w:highlight w:val="none"/>
              <w:lang w:val="en-US" w:eastAsia="zh-CN" w:bidi="ar-SA"/>
            </w:rPr>
            <w:fldChar w:fldCharType="begin"/>
          </w:r>
          <w:r>
            <w:rPr>
              <w:rFonts w:hint="eastAsia" w:ascii="Times New Roman" w:hAnsi="Times New Roman" w:eastAsia="方正小标宋简体" w:cs="方正小标宋简体"/>
              <w:kern w:val="2"/>
              <w:sz w:val="28"/>
              <w:szCs w:val="28"/>
              <w:highlight w:val="none"/>
              <w:lang w:val="en-US" w:eastAsia="zh-CN" w:bidi="ar-SA"/>
            </w:rPr>
            <w:instrText xml:space="preserve"> PAGEREF _Toc25546 \h </w:instrText>
          </w:r>
          <w:r>
            <w:rPr>
              <w:rFonts w:hint="eastAsia" w:ascii="Times New Roman" w:hAnsi="Times New Roman" w:eastAsia="方正小标宋简体" w:cs="方正小标宋简体"/>
              <w:kern w:val="2"/>
              <w:sz w:val="28"/>
              <w:szCs w:val="28"/>
              <w:highlight w:val="none"/>
              <w:lang w:val="en-US" w:eastAsia="zh-CN" w:bidi="ar-SA"/>
            </w:rPr>
            <w:fldChar w:fldCharType="separate"/>
          </w:r>
          <w:r>
            <w:rPr>
              <w:rFonts w:hint="eastAsia" w:ascii="Times New Roman" w:hAnsi="Times New Roman" w:eastAsia="方正小标宋简体" w:cs="方正小标宋简体"/>
              <w:kern w:val="2"/>
              <w:sz w:val="28"/>
              <w:szCs w:val="28"/>
              <w:highlight w:val="none"/>
              <w:lang w:val="en-US" w:eastAsia="zh-CN" w:bidi="ar-SA"/>
            </w:rPr>
            <w:t>- 4 -</w:t>
          </w:r>
          <w:r>
            <w:rPr>
              <w:rFonts w:hint="eastAsia" w:ascii="Times New Roman" w:hAnsi="Times New Roman" w:eastAsia="方正小标宋简体" w:cs="方正小标宋简体"/>
              <w:kern w:val="2"/>
              <w:sz w:val="28"/>
              <w:szCs w:val="28"/>
              <w:highlight w:val="none"/>
              <w:lang w:val="en-US" w:eastAsia="zh-CN" w:bidi="ar-SA"/>
            </w:rPr>
            <w:fldChar w:fldCharType="end"/>
          </w:r>
          <w:r>
            <w:rPr>
              <w:rFonts w:hint="eastAsia" w:ascii="Times New Roman" w:hAnsi="Times New Roman" w:eastAsia="方正小标宋简体" w:cs="方正小标宋简体"/>
              <w:kern w:val="2"/>
              <w:sz w:val="28"/>
              <w:szCs w:val="28"/>
              <w:highlight w:val="none"/>
              <w:lang w:val="en-US" w:eastAsia="zh-CN" w:bidi="ar-SA"/>
            </w:rPr>
            <w:fldChar w:fldCharType="end"/>
          </w:r>
        </w:p>
        <w:p w14:paraId="15129EE2">
          <w:pPr>
            <w:pStyle w:val="13"/>
            <w:keepNext w:val="0"/>
            <w:keepLines w:val="0"/>
            <w:pageBreakBefore w:val="0"/>
            <w:widowControl w:val="0"/>
            <w:tabs>
              <w:tab w:val="right" w:leader="dot" w:pos="8306"/>
              <w:tab w:val="clear" w:pos="8296"/>
            </w:tabs>
            <w:kinsoku/>
            <w:wordWrap/>
            <w:overflowPunct/>
            <w:topLinePunct w:val="0"/>
            <w:autoSpaceDE/>
            <w:autoSpaceDN/>
            <w:bidi w:val="0"/>
            <w:adjustRightInd/>
            <w:spacing w:line="576" w:lineRule="exact"/>
            <w:ind w:left="0" w:leftChars="0"/>
            <w:textAlignment w:val="auto"/>
            <w:rPr>
              <w:rFonts w:hint="eastAsia" w:ascii="黑体" w:hAnsi="黑体" w:eastAsia="黑体" w:cs="黑体"/>
              <w:b/>
              <w:bCs/>
              <w:sz w:val="21"/>
              <w:szCs w:val="21"/>
            </w:rPr>
          </w:pPr>
          <w:r>
            <w:rPr>
              <w:rFonts w:hint="eastAsia" w:ascii="黑体" w:hAnsi="黑体" w:eastAsia="黑体" w:cs="黑体"/>
              <w:b/>
              <w:bCs/>
              <w:sz w:val="21"/>
              <w:szCs w:val="21"/>
            </w:rPr>
            <w:fldChar w:fldCharType="begin"/>
          </w:r>
          <w:r>
            <w:rPr>
              <w:rFonts w:hint="eastAsia" w:ascii="黑体" w:hAnsi="黑体" w:eastAsia="黑体" w:cs="黑体"/>
              <w:b/>
              <w:bCs/>
              <w:sz w:val="21"/>
              <w:szCs w:val="21"/>
            </w:rPr>
            <w:instrText xml:space="preserve"> HYPERLINK \l _Toc5388 </w:instrText>
          </w:r>
          <w:r>
            <w:rPr>
              <w:rFonts w:hint="eastAsia" w:ascii="黑体" w:hAnsi="黑体" w:eastAsia="黑体" w:cs="黑体"/>
              <w:b/>
              <w:bCs/>
              <w:sz w:val="21"/>
              <w:szCs w:val="21"/>
            </w:rPr>
            <w:fldChar w:fldCharType="separate"/>
          </w:r>
          <w:r>
            <w:rPr>
              <w:rFonts w:hint="eastAsia" w:ascii="黑体" w:hAnsi="黑体" w:eastAsia="黑体" w:cs="黑体"/>
              <w:b/>
              <w:bCs/>
              <w:sz w:val="21"/>
              <w:szCs w:val="21"/>
              <w:lang w:val="en-US" w:eastAsia="zh-CN"/>
            </w:rPr>
            <w:t>一、 部门职责</w:t>
          </w:r>
          <w:r>
            <w:rPr>
              <w:rFonts w:hint="eastAsia" w:ascii="黑体" w:hAnsi="黑体" w:eastAsia="黑体" w:cs="黑体"/>
              <w:b/>
              <w:bCs/>
              <w:sz w:val="21"/>
              <w:szCs w:val="21"/>
            </w:rPr>
            <w:tab/>
          </w:r>
          <w:r>
            <w:rPr>
              <w:rFonts w:hint="eastAsia" w:ascii="黑体" w:hAnsi="黑体" w:eastAsia="黑体" w:cs="黑体"/>
              <w:b/>
              <w:bCs/>
              <w:sz w:val="21"/>
              <w:szCs w:val="21"/>
            </w:rPr>
            <w:fldChar w:fldCharType="begin"/>
          </w:r>
          <w:r>
            <w:rPr>
              <w:rFonts w:hint="eastAsia" w:ascii="黑体" w:hAnsi="黑体" w:eastAsia="黑体" w:cs="黑体"/>
              <w:b/>
              <w:bCs/>
              <w:sz w:val="21"/>
              <w:szCs w:val="21"/>
            </w:rPr>
            <w:instrText xml:space="preserve"> PAGEREF _Toc5388 \h </w:instrText>
          </w:r>
          <w:r>
            <w:rPr>
              <w:rFonts w:hint="eastAsia" w:ascii="黑体" w:hAnsi="黑体" w:eastAsia="黑体" w:cs="黑体"/>
              <w:b/>
              <w:bCs/>
              <w:sz w:val="21"/>
              <w:szCs w:val="21"/>
            </w:rPr>
            <w:fldChar w:fldCharType="separate"/>
          </w:r>
          <w:r>
            <w:rPr>
              <w:rFonts w:hint="eastAsia" w:ascii="黑体" w:hAnsi="黑体" w:eastAsia="黑体" w:cs="黑体"/>
              <w:b/>
              <w:bCs/>
              <w:sz w:val="21"/>
              <w:szCs w:val="21"/>
            </w:rPr>
            <w:t>- 4 -</w:t>
          </w:r>
          <w:r>
            <w:rPr>
              <w:rFonts w:hint="eastAsia" w:ascii="黑体" w:hAnsi="黑体" w:eastAsia="黑体" w:cs="黑体"/>
              <w:b/>
              <w:bCs/>
              <w:sz w:val="21"/>
              <w:szCs w:val="21"/>
            </w:rPr>
            <w:fldChar w:fldCharType="end"/>
          </w:r>
          <w:r>
            <w:rPr>
              <w:rFonts w:hint="eastAsia" w:ascii="黑体" w:hAnsi="黑体" w:eastAsia="黑体" w:cs="黑体"/>
              <w:b/>
              <w:bCs/>
              <w:sz w:val="21"/>
              <w:szCs w:val="21"/>
            </w:rPr>
            <w:fldChar w:fldCharType="end"/>
          </w:r>
        </w:p>
        <w:p w14:paraId="300168D1">
          <w:pPr>
            <w:pStyle w:val="13"/>
            <w:keepNext w:val="0"/>
            <w:keepLines w:val="0"/>
            <w:pageBreakBefore w:val="0"/>
            <w:widowControl w:val="0"/>
            <w:tabs>
              <w:tab w:val="right" w:leader="dot" w:pos="8306"/>
              <w:tab w:val="clear" w:pos="8296"/>
            </w:tabs>
            <w:kinsoku/>
            <w:wordWrap/>
            <w:overflowPunct/>
            <w:topLinePunct w:val="0"/>
            <w:autoSpaceDE/>
            <w:autoSpaceDN/>
            <w:bidi w:val="0"/>
            <w:adjustRightInd/>
            <w:spacing w:line="576" w:lineRule="exact"/>
            <w:ind w:left="0" w:leftChars="0"/>
            <w:textAlignment w:val="auto"/>
            <w:rPr>
              <w:rFonts w:hint="eastAsia" w:ascii="黑体" w:hAnsi="黑体" w:eastAsia="黑体" w:cs="黑体"/>
              <w:b/>
              <w:bCs/>
              <w:sz w:val="21"/>
              <w:szCs w:val="21"/>
            </w:rPr>
          </w:pPr>
          <w:r>
            <w:rPr>
              <w:rFonts w:hint="eastAsia" w:ascii="黑体" w:hAnsi="黑体" w:eastAsia="黑体" w:cs="黑体"/>
              <w:b/>
              <w:bCs/>
              <w:sz w:val="21"/>
              <w:szCs w:val="21"/>
            </w:rPr>
            <w:fldChar w:fldCharType="begin"/>
          </w:r>
          <w:r>
            <w:rPr>
              <w:rFonts w:hint="eastAsia" w:ascii="黑体" w:hAnsi="黑体" w:eastAsia="黑体" w:cs="黑体"/>
              <w:b/>
              <w:bCs/>
              <w:sz w:val="21"/>
              <w:szCs w:val="21"/>
            </w:rPr>
            <w:instrText xml:space="preserve"> HYPERLINK \l _Toc6614 </w:instrText>
          </w:r>
          <w:r>
            <w:rPr>
              <w:rFonts w:hint="eastAsia" w:ascii="黑体" w:hAnsi="黑体" w:eastAsia="黑体" w:cs="黑体"/>
              <w:b/>
              <w:bCs/>
              <w:sz w:val="21"/>
              <w:szCs w:val="21"/>
            </w:rPr>
            <w:fldChar w:fldCharType="separate"/>
          </w:r>
          <w:r>
            <w:rPr>
              <w:rFonts w:hint="eastAsia" w:ascii="黑体" w:hAnsi="黑体" w:eastAsia="黑体" w:cs="黑体"/>
              <w:b/>
              <w:bCs/>
              <w:sz w:val="21"/>
              <w:szCs w:val="21"/>
            </w:rPr>
            <w:t>二、机构设置</w:t>
          </w:r>
          <w:r>
            <w:rPr>
              <w:rFonts w:hint="eastAsia" w:ascii="黑体" w:hAnsi="黑体" w:eastAsia="黑体" w:cs="黑体"/>
              <w:b/>
              <w:bCs/>
              <w:sz w:val="21"/>
              <w:szCs w:val="21"/>
            </w:rPr>
            <w:tab/>
          </w:r>
          <w:r>
            <w:rPr>
              <w:rFonts w:hint="eastAsia" w:ascii="黑体" w:hAnsi="黑体" w:eastAsia="黑体" w:cs="黑体"/>
              <w:b/>
              <w:bCs/>
              <w:sz w:val="21"/>
              <w:szCs w:val="21"/>
            </w:rPr>
            <w:fldChar w:fldCharType="begin"/>
          </w:r>
          <w:r>
            <w:rPr>
              <w:rFonts w:hint="eastAsia" w:ascii="黑体" w:hAnsi="黑体" w:eastAsia="黑体" w:cs="黑体"/>
              <w:b/>
              <w:bCs/>
              <w:sz w:val="21"/>
              <w:szCs w:val="21"/>
            </w:rPr>
            <w:instrText xml:space="preserve"> PAGEREF _Toc6614 \h </w:instrText>
          </w:r>
          <w:r>
            <w:rPr>
              <w:rFonts w:hint="eastAsia" w:ascii="黑体" w:hAnsi="黑体" w:eastAsia="黑体" w:cs="黑体"/>
              <w:b/>
              <w:bCs/>
              <w:sz w:val="21"/>
              <w:szCs w:val="21"/>
            </w:rPr>
            <w:fldChar w:fldCharType="separate"/>
          </w:r>
          <w:r>
            <w:rPr>
              <w:rFonts w:hint="eastAsia" w:ascii="黑体" w:hAnsi="黑体" w:eastAsia="黑体" w:cs="黑体"/>
              <w:b/>
              <w:bCs/>
              <w:sz w:val="21"/>
              <w:szCs w:val="21"/>
            </w:rPr>
            <w:t>- 5 -</w:t>
          </w:r>
          <w:r>
            <w:rPr>
              <w:rFonts w:hint="eastAsia" w:ascii="黑体" w:hAnsi="黑体" w:eastAsia="黑体" w:cs="黑体"/>
              <w:b/>
              <w:bCs/>
              <w:sz w:val="21"/>
              <w:szCs w:val="21"/>
            </w:rPr>
            <w:fldChar w:fldCharType="end"/>
          </w:r>
          <w:r>
            <w:rPr>
              <w:rFonts w:hint="eastAsia" w:ascii="黑体" w:hAnsi="黑体" w:eastAsia="黑体" w:cs="黑体"/>
              <w:b/>
              <w:bCs/>
              <w:sz w:val="21"/>
              <w:szCs w:val="21"/>
            </w:rPr>
            <w:fldChar w:fldCharType="end"/>
          </w:r>
        </w:p>
        <w:p w14:paraId="6B8E4C95">
          <w:pPr>
            <w:pStyle w:val="13"/>
            <w:keepNext w:val="0"/>
            <w:keepLines w:val="0"/>
            <w:pageBreakBefore w:val="0"/>
            <w:widowControl w:val="0"/>
            <w:tabs>
              <w:tab w:val="right" w:leader="dot" w:pos="8306"/>
              <w:tab w:val="clear" w:pos="8296"/>
            </w:tabs>
            <w:kinsoku/>
            <w:wordWrap/>
            <w:overflowPunct/>
            <w:topLinePunct w:val="0"/>
            <w:autoSpaceDE/>
            <w:autoSpaceDN/>
            <w:bidi w:val="0"/>
            <w:adjustRightInd/>
            <w:spacing w:line="576" w:lineRule="exact"/>
            <w:ind w:left="0" w:leftChars="0"/>
            <w:textAlignment w:val="auto"/>
            <w:rPr>
              <w:rFonts w:hint="eastAsia" w:ascii="黑体" w:hAnsi="黑体" w:eastAsia="黑体" w:cs="黑体"/>
              <w:b/>
              <w:bCs/>
              <w:sz w:val="21"/>
              <w:szCs w:val="21"/>
            </w:rPr>
          </w:pPr>
          <w:r>
            <w:rPr>
              <w:rFonts w:hint="eastAsia" w:ascii="黑体" w:hAnsi="黑体" w:eastAsia="黑体" w:cs="黑体"/>
              <w:b/>
              <w:bCs/>
              <w:sz w:val="21"/>
              <w:szCs w:val="21"/>
            </w:rPr>
            <w:fldChar w:fldCharType="begin"/>
          </w:r>
          <w:r>
            <w:rPr>
              <w:rFonts w:hint="eastAsia" w:ascii="黑体" w:hAnsi="黑体" w:eastAsia="黑体" w:cs="黑体"/>
              <w:b/>
              <w:bCs/>
              <w:sz w:val="21"/>
              <w:szCs w:val="21"/>
            </w:rPr>
            <w:instrText xml:space="preserve"> HYPERLINK \l _Toc32567 </w:instrText>
          </w:r>
          <w:r>
            <w:rPr>
              <w:rFonts w:hint="eastAsia" w:ascii="黑体" w:hAnsi="黑体" w:eastAsia="黑体" w:cs="黑体"/>
              <w:b/>
              <w:bCs/>
              <w:sz w:val="21"/>
              <w:szCs w:val="21"/>
            </w:rPr>
            <w:fldChar w:fldCharType="separate"/>
          </w:r>
          <w:r>
            <w:rPr>
              <w:rFonts w:hint="eastAsia" w:ascii="Times New Roman" w:hAnsi="Times New Roman" w:eastAsia="方正小标宋简体" w:cs="方正小标宋简体"/>
              <w:kern w:val="2"/>
              <w:sz w:val="28"/>
              <w:szCs w:val="28"/>
              <w:highlight w:val="none"/>
              <w:lang w:val="en-US" w:eastAsia="zh-CN" w:bidi="ar-SA"/>
            </w:rPr>
            <w:t>第二部分  2024年度部门决算情况说明</w:t>
          </w:r>
          <w:r>
            <w:rPr>
              <w:rFonts w:hint="eastAsia" w:ascii="黑体" w:hAnsi="黑体" w:eastAsia="黑体" w:cs="黑体"/>
              <w:b/>
              <w:bCs/>
              <w:sz w:val="21"/>
              <w:szCs w:val="21"/>
            </w:rPr>
            <w:tab/>
          </w:r>
          <w:r>
            <w:rPr>
              <w:rFonts w:hint="eastAsia" w:ascii="黑体" w:hAnsi="黑体" w:eastAsia="黑体" w:cs="黑体"/>
              <w:b/>
              <w:bCs/>
              <w:sz w:val="21"/>
              <w:szCs w:val="21"/>
            </w:rPr>
            <w:fldChar w:fldCharType="begin"/>
          </w:r>
          <w:r>
            <w:rPr>
              <w:rFonts w:hint="eastAsia" w:ascii="黑体" w:hAnsi="黑体" w:eastAsia="黑体" w:cs="黑体"/>
              <w:b/>
              <w:bCs/>
              <w:sz w:val="21"/>
              <w:szCs w:val="21"/>
            </w:rPr>
            <w:instrText xml:space="preserve"> PAGEREF _Toc32567 \h </w:instrText>
          </w:r>
          <w:r>
            <w:rPr>
              <w:rFonts w:hint="eastAsia" w:ascii="黑体" w:hAnsi="黑体" w:eastAsia="黑体" w:cs="黑体"/>
              <w:b/>
              <w:bCs/>
              <w:sz w:val="21"/>
              <w:szCs w:val="21"/>
            </w:rPr>
            <w:fldChar w:fldCharType="separate"/>
          </w:r>
          <w:r>
            <w:rPr>
              <w:rFonts w:hint="eastAsia" w:ascii="黑体" w:hAnsi="黑体" w:eastAsia="黑体" w:cs="黑体"/>
              <w:b/>
              <w:bCs/>
              <w:sz w:val="21"/>
              <w:szCs w:val="21"/>
            </w:rPr>
            <w:t>- 6 -</w:t>
          </w:r>
          <w:r>
            <w:rPr>
              <w:rFonts w:hint="eastAsia" w:ascii="黑体" w:hAnsi="黑体" w:eastAsia="黑体" w:cs="黑体"/>
              <w:b/>
              <w:bCs/>
              <w:sz w:val="21"/>
              <w:szCs w:val="21"/>
            </w:rPr>
            <w:fldChar w:fldCharType="end"/>
          </w:r>
          <w:r>
            <w:rPr>
              <w:rFonts w:hint="eastAsia" w:ascii="黑体" w:hAnsi="黑体" w:eastAsia="黑体" w:cs="黑体"/>
              <w:b/>
              <w:bCs/>
              <w:sz w:val="21"/>
              <w:szCs w:val="21"/>
            </w:rPr>
            <w:fldChar w:fldCharType="end"/>
          </w:r>
        </w:p>
        <w:p w14:paraId="2DE12F88">
          <w:pPr>
            <w:pStyle w:val="13"/>
            <w:keepNext w:val="0"/>
            <w:keepLines w:val="0"/>
            <w:pageBreakBefore w:val="0"/>
            <w:widowControl w:val="0"/>
            <w:tabs>
              <w:tab w:val="right" w:leader="dot" w:pos="8306"/>
              <w:tab w:val="clear" w:pos="8296"/>
            </w:tabs>
            <w:kinsoku/>
            <w:wordWrap/>
            <w:overflowPunct/>
            <w:topLinePunct w:val="0"/>
            <w:autoSpaceDE/>
            <w:autoSpaceDN/>
            <w:bidi w:val="0"/>
            <w:adjustRightInd/>
            <w:spacing w:line="576" w:lineRule="exact"/>
            <w:ind w:left="0" w:leftChars="0"/>
            <w:textAlignment w:val="auto"/>
            <w:rPr>
              <w:rFonts w:hint="eastAsia" w:ascii="黑体" w:hAnsi="黑体" w:eastAsia="黑体" w:cs="黑体"/>
              <w:b/>
              <w:bCs/>
              <w:sz w:val="21"/>
              <w:szCs w:val="21"/>
            </w:rPr>
          </w:pPr>
          <w:r>
            <w:rPr>
              <w:rFonts w:hint="eastAsia" w:ascii="黑体" w:hAnsi="黑体" w:eastAsia="黑体" w:cs="黑体"/>
              <w:b/>
              <w:bCs/>
              <w:sz w:val="21"/>
              <w:szCs w:val="21"/>
            </w:rPr>
            <w:fldChar w:fldCharType="begin"/>
          </w:r>
          <w:r>
            <w:rPr>
              <w:rFonts w:hint="eastAsia" w:ascii="黑体" w:hAnsi="黑体" w:eastAsia="黑体" w:cs="黑体"/>
              <w:b/>
              <w:bCs/>
              <w:sz w:val="21"/>
              <w:szCs w:val="21"/>
            </w:rPr>
            <w:instrText xml:space="preserve"> HYPERLINK \l _Toc31625 </w:instrText>
          </w:r>
          <w:r>
            <w:rPr>
              <w:rFonts w:hint="eastAsia" w:ascii="黑体" w:hAnsi="黑体" w:eastAsia="黑体" w:cs="黑体"/>
              <w:b/>
              <w:bCs/>
              <w:sz w:val="21"/>
              <w:szCs w:val="21"/>
            </w:rPr>
            <w:fldChar w:fldCharType="separate"/>
          </w:r>
          <w:r>
            <w:rPr>
              <w:rFonts w:hint="eastAsia" w:ascii="黑体" w:hAnsi="黑体" w:eastAsia="黑体" w:cs="黑体"/>
              <w:b/>
              <w:bCs/>
              <w:sz w:val="21"/>
              <w:szCs w:val="21"/>
              <w:lang w:eastAsia="zh-CN"/>
            </w:rPr>
            <w:t>一、</w:t>
          </w:r>
          <w:r>
            <w:rPr>
              <w:rFonts w:hint="eastAsia" w:ascii="黑体" w:hAnsi="黑体" w:eastAsia="黑体" w:cs="黑体"/>
              <w:b/>
              <w:bCs/>
              <w:sz w:val="21"/>
              <w:szCs w:val="21"/>
            </w:rPr>
            <w:t>收入支出决算总体情况说明</w:t>
          </w:r>
          <w:r>
            <w:rPr>
              <w:rFonts w:hint="eastAsia" w:ascii="黑体" w:hAnsi="黑体" w:eastAsia="黑体" w:cs="黑体"/>
              <w:b/>
              <w:bCs/>
              <w:sz w:val="21"/>
              <w:szCs w:val="21"/>
            </w:rPr>
            <w:tab/>
          </w:r>
          <w:r>
            <w:rPr>
              <w:rFonts w:hint="eastAsia" w:ascii="黑体" w:hAnsi="黑体" w:eastAsia="黑体" w:cs="黑体"/>
              <w:b/>
              <w:bCs/>
              <w:sz w:val="21"/>
              <w:szCs w:val="21"/>
            </w:rPr>
            <w:fldChar w:fldCharType="begin"/>
          </w:r>
          <w:r>
            <w:rPr>
              <w:rFonts w:hint="eastAsia" w:ascii="黑体" w:hAnsi="黑体" w:eastAsia="黑体" w:cs="黑体"/>
              <w:b/>
              <w:bCs/>
              <w:sz w:val="21"/>
              <w:szCs w:val="21"/>
            </w:rPr>
            <w:instrText xml:space="preserve"> PAGEREF _Toc31625 \h </w:instrText>
          </w:r>
          <w:r>
            <w:rPr>
              <w:rFonts w:hint="eastAsia" w:ascii="黑体" w:hAnsi="黑体" w:eastAsia="黑体" w:cs="黑体"/>
              <w:b/>
              <w:bCs/>
              <w:sz w:val="21"/>
              <w:szCs w:val="21"/>
            </w:rPr>
            <w:fldChar w:fldCharType="separate"/>
          </w:r>
          <w:r>
            <w:rPr>
              <w:rFonts w:hint="eastAsia" w:ascii="黑体" w:hAnsi="黑体" w:eastAsia="黑体" w:cs="黑体"/>
              <w:b/>
              <w:bCs/>
              <w:sz w:val="21"/>
              <w:szCs w:val="21"/>
            </w:rPr>
            <w:t>- 6 -</w:t>
          </w:r>
          <w:r>
            <w:rPr>
              <w:rFonts w:hint="eastAsia" w:ascii="黑体" w:hAnsi="黑体" w:eastAsia="黑体" w:cs="黑体"/>
              <w:b/>
              <w:bCs/>
              <w:sz w:val="21"/>
              <w:szCs w:val="21"/>
            </w:rPr>
            <w:fldChar w:fldCharType="end"/>
          </w:r>
          <w:r>
            <w:rPr>
              <w:rFonts w:hint="eastAsia" w:ascii="黑体" w:hAnsi="黑体" w:eastAsia="黑体" w:cs="黑体"/>
              <w:b/>
              <w:bCs/>
              <w:sz w:val="21"/>
              <w:szCs w:val="21"/>
            </w:rPr>
            <w:fldChar w:fldCharType="end"/>
          </w:r>
        </w:p>
        <w:p w14:paraId="56599591">
          <w:pPr>
            <w:pStyle w:val="13"/>
            <w:keepNext w:val="0"/>
            <w:keepLines w:val="0"/>
            <w:pageBreakBefore w:val="0"/>
            <w:widowControl w:val="0"/>
            <w:tabs>
              <w:tab w:val="right" w:leader="dot" w:pos="8306"/>
              <w:tab w:val="clear" w:pos="8296"/>
            </w:tabs>
            <w:kinsoku/>
            <w:wordWrap/>
            <w:overflowPunct/>
            <w:topLinePunct w:val="0"/>
            <w:autoSpaceDE/>
            <w:autoSpaceDN/>
            <w:bidi w:val="0"/>
            <w:adjustRightInd/>
            <w:spacing w:line="576" w:lineRule="exact"/>
            <w:ind w:left="0" w:leftChars="0"/>
            <w:textAlignment w:val="auto"/>
            <w:rPr>
              <w:rFonts w:hint="eastAsia" w:ascii="黑体" w:hAnsi="黑体" w:eastAsia="黑体" w:cs="黑体"/>
              <w:b/>
              <w:bCs/>
              <w:sz w:val="21"/>
              <w:szCs w:val="21"/>
            </w:rPr>
          </w:pPr>
          <w:r>
            <w:rPr>
              <w:rFonts w:hint="eastAsia" w:ascii="黑体" w:hAnsi="黑体" w:eastAsia="黑体" w:cs="黑体"/>
              <w:b/>
              <w:bCs/>
              <w:sz w:val="21"/>
              <w:szCs w:val="21"/>
            </w:rPr>
            <w:fldChar w:fldCharType="begin"/>
          </w:r>
          <w:r>
            <w:rPr>
              <w:rFonts w:hint="eastAsia" w:ascii="黑体" w:hAnsi="黑体" w:eastAsia="黑体" w:cs="黑体"/>
              <w:b/>
              <w:bCs/>
              <w:sz w:val="21"/>
              <w:szCs w:val="21"/>
            </w:rPr>
            <w:instrText xml:space="preserve"> HYPERLINK \l _Toc10787 </w:instrText>
          </w:r>
          <w:r>
            <w:rPr>
              <w:rFonts w:hint="eastAsia" w:ascii="黑体" w:hAnsi="黑体" w:eastAsia="黑体" w:cs="黑体"/>
              <w:b/>
              <w:bCs/>
              <w:sz w:val="21"/>
              <w:szCs w:val="21"/>
            </w:rPr>
            <w:fldChar w:fldCharType="separate"/>
          </w:r>
          <w:r>
            <w:rPr>
              <w:rFonts w:hint="eastAsia" w:ascii="黑体" w:hAnsi="黑体" w:eastAsia="黑体" w:cs="黑体"/>
              <w:b/>
              <w:bCs/>
              <w:sz w:val="21"/>
              <w:szCs w:val="21"/>
              <w:lang w:val="en-US" w:eastAsia="zh-CN"/>
            </w:rPr>
            <w:t>二、收入决算情况说明</w:t>
          </w:r>
          <w:r>
            <w:rPr>
              <w:rFonts w:hint="eastAsia" w:ascii="黑体" w:hAnsi="黑体" w:eastAsia="黑体" w:cs="黑体"/>
              <w:b/>
              <w:bCs/>
              <w:sz w:val="21"/>
              <w:szCs w:val="21"/>
            </w:rPr>
            <w:tab/>
          </w:r>
          <w:r>
            <w:rPr>
              <w:rFonts w:hint="eastAsia" w:ascii="黑体" w:hAnsi="黑体" w:eastAsia="黑体" w:cs="黑体"/>
              <w:b/>
              <w:bCs/>
              <w:sz w:val="21"/>
              <w:szCs w:val="21"/>
            </w:rPr>
            <w:fldChar w:fldCharType="begin"/>
          </w:r>
          <w:r>
            <w:rPr>
              <w:rFonts w:hint="eastAsia" w:ascii="黑体" w:hAnsi="黑体" w:eastAsia="黑体" w:cs="黑体"/>
              <w:b/>
              <w:bCs/>
              <w:sz w:val="21"/>
              <w:szCs w:val="21"/>
            </w:rPr>
            <w:instrText xml:space="preserve"> PAGEREF _Toc10787 \h </w:instrText>
          </w:r>
          <w:r>
            <w:rPr>
              <w:rFonts w:hint="eastAsia" w:ascii="黑体" w:hAnsi="黑体" w:eastAsia="黑体" w:cs="黑体"/>
              <w:b/>
              <w:bCs/>
              <w:sz w:val="21"/>
              <w:szCs w:val="21"/>
            </w:rPr>
            <w:fldChar w:fldCharType="separate"/>
          </w:r>
          <w:r>
            <w:rPr>
              <w:rFonts w:hint="eastAsia" w:ascii="黑体" w:hAnsi="黑体" w:eastAsia="黑体" w:cs="黑体"/>
              <w:b/>
              <w:bCs/>
              <w:sz w:val="21"/>
              <w:szCs w:val="21"/>
            </w:rPr>
            <w:t>- 6 -</w:t>
          </w:r>
          <w:r>
            <w:rPr>
              <w:rFonts w:hint="eastAsia" w:ascii="黑体" w:hAnsi="黑体" w:eastAsia="黑体" w:cs="黑体"/>
              <w:b/>
              <w:bCs/>
              <w:sz w:val="21"/>
              <w:szCs w:val="21"/>
            </w:rPr>
            <w:fldChar w:fldCharType="end"/>
          </w:r>
          <w:r>
            <w:rPr>
              <w:rFonts w:hint="eastAsia" w:ascii="黑体" w:hAnsi="黑体" w:eastAsia="黑体" w:cs="黑体"/>
              <w:b/>
              <w:bCs/>
              <w:sz w:val="21"/>
              <w:szCs w:val="21"/>
            </w:rPr>
            <w:fldChar w:fldCharType="end"/>
          </w:r>
        </w:p>
        <w:p w14:paraId="7C102723">
          <w:pPr>
            <w:pStyle w:val="13"/>
            <w:keepNext w:val="0"/>
            <w:keepLines w:val="0"/>
            <w:pageBreakBefore w:val="0"/>
            <w:widowControl w:val="0"/>
            <w:tabs>
              <w:tab w:val="right" w:leader="dot" w:pos="8306"/>
              <w:tab w:val="clear" w:pos="8296"/>
            </w:tabs>
            <w:kinsoku/>
            <w:wordWrap/>
            <w:overflowPunct/>
            <w:topLinePunct w:val="0"/>
            <w:autoSpaceDE/>
            <w:autoSpaceDN/>
            <w:bidi w:val="0"/>
            <w:adjustRightInd/>
            <w:spacing w:line="576" w:lineRule="exact"/>
            <w:ind w:left="0" w:leftChars="0"/>
            <w:textAlignment w:val="auto"/>
            <w:rPr>
              <w:rFonts w:hint="eastAsia" w:ascii="黑体" w:hAnsi="黑体" w:eastAsia="黑体" w:cs="黑体"/>
              <w:b/>
              <w:bCs/>
              <w:sz w:val="21"/>
              <w:szCs w:val="21"/>
            </w:rPr>
          </w:pPr>
          <w:r>
            <w:rPr>
              <w:rFonts w:hint="eastAsia" w:ascii="黑体" w:hAnsi="黑体" w:eastAsia="黑体" w:cs="黑体"/>
              <w:b/>
              <w:bCs/>
              <w:sz w:val="21"/>
              <w:szCs w:val="21"/>
            </w:rPr>
            <w:fldChar w:fldCharType="begin"/>
          </w:r>
          <w:r>
            <w:rPr>
              <w:rFonts w:hint="eastAsia" w:ascii="黑体" w:hAnsi="黑体" w:eastAsia="黑体" w:cs="黑体"/>
              <w:b/>
              <w:bCs/>
              <w:sz w:val="21"/>
              <w:szCs w:val="21"/>
            </w:rPr>
            <w:instrText xml:space="preserve"> HYPERLINK \l _Toc23315 </w:instrText>
          </w:r>
          <w:r>
            <w:rPr>
              <w:rFonts w:hint="eastAsia" w:ascii="黑体" w:hAnsi="黑体" w:eastAsia="黑体" w:cs="黑体"/>
              <w:b/>
              <w:bCs/>
              <w:sz w:val="21"/>
              <w:szCs w:val="21"/>
            </w:rPr>
            <w:fldChar w:fldCharType="separate"/>
          </w:r>
          <w:r>
            <w:rPr>
              <w:rFonts w:hint="eastAsia" w:ascii="黑体" w:hAnsi="黑体" w:eastAsia="黑体" w:cs="黑体"/>
              <w:b/>
              <w:bCs/>
              <w:sz w:val="21"/>
              <w:szCs w:val="21"/>
              <w:lang w:eastAsia="zh-CN"/>
            </w:rPr>
            <w:t>三、</w:t>
          </w:r>
          <w:r>
            <w:rPr>
              <w:rFonts w:hint="eastAsia" w:ascii="黑体" w:hAnsi="黑体" w:eastAsia="黑体" w:cs="黑体"/>
              <w:b/>
              <w:bCs/>
              <w:sz w:val="21"/>
              <w:szCs w:val="21"/>
            </w:rPr>
            <w:t>支出决算情况说明</w:t>
          </w:r>
          <w:r>
            <w:rPr>
              <w:rFonts w:hint="eastAsia" w:ascii="黑体" w:hAnsi="黑体" w:eastAsia="黑体" w:cs="黑体"/>
              <w:b/>
              <w:bCs/>
              <w:sz w:val="21"/>
              <w:szCs w:val="21"/>
            </w:rPr>
            <w:tab/>
          </w:r>
          <w:r>
            <w:rPr>
              <w:rFonts w:hint="eastAsia" w:ascii="黑体" w:hAnsi="黑体" w:eastAsia="黑体" w:cs="黑体"/>
              <w:b/>
              <w:bCs/>
              <w:sz w:val="21"/>
              <w:szCs w:val="21"/>
            </w:rPr>
            <w:fldChar w:fldCharType="begin"/>
          </w:r>
          <w:r>
            <w:rPr>
              <w:rFonts w:hint="eastAsia" w:ascii="黑体" w:hAnsi="黑体" w:eastAsia="黑体" w:cs="黑体"/>
              <w:b/>
              <w:bCs/>
              <w:sz w:val="21"/>
              <w:szCs w:val="21"/>
            </w:rPr>
            <w:instrText xml:space="preserve"> PAGEREF _Toc23315 \h </w:instrText>
          </w:r>
          <w:r>
            <w:rPr>
              <w:rFonts w:hint="eastAsia" w:ascii="黑体" w:hAnsi="黑体" w:eastAsia="黑体" w:cs="黑体"/>
              <w:b/>
              <w:bCs/>
              <w:sz w:val="21"/>
              <w:szCs w:val="21"/>
            </w:rPr>
            <w:fldChar w:fldCharType="separate"/>
          </w:r>
          <w:r>
            <w:rPr>
              <w:rFonts w:hint="eastAsia" w:ascii="黑体" w:hAnsi="黑体" w:eastAsia="黑体" w:cs="黑体"/>
              <w:b/>
              <w:bCs/>
              <w:sz w:val="21"/>
              <w:szCs w:val="21"/>
            </w:rPr>
            <w:t>- 7 -</w:t>
          </w:r>
          <w:r>
            <w:rPr>
              <w:rFonts w:hint="eastAsia" w:ascii="黑体" w:hAnsi="黑体" w:eastAsia="黑体" w:cs="黑体"/>
              <w:b/>
              <w:bCs/>
              <w:sz w:val="21"/>
              <w:szCs w:val="21"/>
            </w:rPr>
            <w:fldChar w:fldCharType="end"/>
          </w:r>
          <w:r>
            <w:rPr>
              <w:rFonts w:hint="eastAsia" w:ascii="黑体" w:hAnsi="黑体" w:eastAsia="黑体" w:cs="黑体"/>
              <w:b/>
              <w:bCs/>
              <w:sz w:val="21"/>
              <w:szCs w:val="21"/>
            </w:rPr>
            <w:fldChar w:fldCharType="end"/>
          </w:r>
        </w:p>
        <w:p w14:paraId="359B1B28">
          <w:pPr>
            <w:pStyle w:val="13"/>
            <w:keepNext w:val="0"/>
            <w:keepLines w:val="0"/>
            <w:pageBreakBefore w:val="0"/>
            <w:widowControl w:val="0"/>
            <w:tabs>
              <w:tab w:val="right" w:leader="dot" w:pos="8306"/>
              <w:tab w:val="clear" w:pos="8296"/>
            </w:tabs>
            <w:kinsoku/>
            <w:wordWrap/>
            <w:overflowPunct/>
            <w:topLinePunct w:val="0"/>
            <w:autoSpaceDE/>
            <w:autoSpaceDN/>
            <w:bidi w:val="0"/>
            <w:adjustRightInd/>
            <w:spacing w:line="576" w:lineRule="exact"/>
            <w:ind w:left="0" w:leftChars="0"/>
            <w:textAlignment w:val="auto"/>
            <w:rPr>
              <w:rFonts w:hint="eastAsia" w:ascii="黑体" w:hAnsi="黑体" w:eastAsia="黑体" w:cs="黑体"/>
              <w:b/>
              <w:bCs/>
              <w:sz w:val="21"/>
              <w:szCs w:val="21"/>
            </w:rPr>
          </w:pPr>
          <w:r>
            <w:rPr>
              <w:rFonts w:hint="eastAsia" w:ascii="黑体" w:hAnsi="黑体" w:eastAsia="黑体" w:cs="黑体"/>
              <w:b/>
              <w:bCs/>
              <w:sz w:val="21"/>
              <w:szCs w:val="21"/>
            </w:rPr>
            <w:fldChar w:fldCharType="begin"/>
          </w:r>
          <w:r>
            <w:rPr>
              <w:rFonts w:hint="eastAsia" w:ascii="黑体" w:hAnsi="黑体" w:eastAsia="黑体" w:cs="黑体"/>
              <w:b/>
              <w:bCs/>
              <w:sz w:val="21"/>
              <w:szCs w:val="21"/>
            </w:rPr>
            <w:instrText xml:space="preserve"> HYPERLINK \l _Toc32466 </w:instrText>
          </w:r>
          <w:r>
            <w:rPr>
              <w:rFonts w:hint="eastAsia" w:ascii="黑体" w:hAnsi="黑体" w:eastAsia="黑体" w:cs="黑体"/>
              <w:b/>
              <w:bCs/>
              <w:sz w:val="21"/>
              <w:szCs w:val="21"/>
            </w:rPr>
            <w:fldChar w:fldCharType="separate"/>
          </w:r>
          <w:r>
            <w:rPr>
              <w:rFonts w:hint="eastAsia" w:ascii="黑体" w:hAnsi="黑体" w:eastAsia="黑体" w:cs="黑体"/>
              <w:b/>
              <w:bCs/>
              <w:sz w:val="21"/>
              <w:szCs w:val="21"/>
            </w:rPr>
            <w:t>四、财政拨款收入支出决算总体情况说明</w:t>
          </w:r>
          <w:r>
            <w:rPr>
              <w:rFonts w:hint="eastAsia" w:ascii="黑体" w:hAnsi="黑体" w:eastAsia="黑体" w:cs="黑体"/>
              <w:b/>
              <w:bCs/>
              <w:sz w:val="21"/>
              <w:szCs w:val="21"/>
            </w:rPr>
            <w:tab/>
          </w:r>
          <w:r>
            <w:rPr>
              <w:rFonts w:hint="eastAsia" w:ascii="黑体" w:hAnsi="黑体" w:eastAsia="黑体" w:cs="黑体"/>
              <w:b/>
              <w:bCs/>
              <w:sz w:val="21"/>
              <w:szCs w:val="21"/>
            </w:rPr>
            <w:fldChar w:fldCharType="begin"/>
          </w:r>
          <w:r>
            <w:rPr>
              <w:rFonts w:hint="eastAsia" w:ascii="黑体" w:hAnsi="黑体" w:eastAsia="黑体" w:cs="黑体"/>
              <w:b/>
              <w:bCs/>
              <w:sz w:val="21"/>
              <w:szCs w:val="21"/>
            </w:rPr>
            <w:instrText xml:space="preserve"> PAGEREF _Toc32466 \h </w:instrText>
          </w:r>
          <w:r>
            <w:rPr>
              <w:rFonts w:hint="eastAsia" w:ascii="黑体" w:hAnsi="黑体" w:eastAsia="黑体" w:cs="黑体"/>
              <w:b/>
              <w:bCs/>
              <w:sz w:val="21"/>
              <w:szCs w:val="21"/>
            </w:rPr>
            <w:fldChar w:fldCharType="separate"/>
          </w:r>
          <w:r>
            <w:rPr>
              <w:rFonts w:hint="eastAsia" w:ascii="黑体" w:hAnsi="黑体" w:eastAsia="黑体" w:cs="黑体"/>
              <w:b/>
              <w:bCs/>
              <w:sz w:val="21"/>
              <w:szCs w:val="21"/>
            </w:rPr>
            <w:t>- 7 -</w:t>
          </w:r>
          <w:r>
            <w:rPr>
              <w:rFonts w:hint="eastAsia" w:ascii="黑体" w:hAnsi="黑体" w:eastAsia="黑体" w:cs="黑体"/>
              <w:b/>
              <w:bCs/>
              <w:sz w:val="21"/>
              <w:szCs w:val="21"/>
            </w:rPr>
            <w:fldChar w:fldCharType="end"/>
          </w:r>
          <w:r>
            <w:rPr>
              <w:rFonts w:hint="eastAsia" w:ascii="黑体" w:hAnsi="黑体" w:eastAsia="黑体" w:cs="黑体"/>
              <w:b/>
              <w:bCs/>
              <w:sz w:val="21"/>
              <w:szCs w:val="21"/>
            </w:rPr>
            <w:fldChar w:fldCharType="end"/>
          </w:r>
        </w:p>
        <w:p w14:paraId="3DF9B908">
          <w:pPr>
            <w:pStyle w:val="13"/>
            <w:keepNext w:val="0"/>
            <w:keepLines w:val="0"/>
            <w:pageBreakBefore w:val="0"/>
            <w:widowControl w:val="0"/>
            <w:tabs>
              <w:tab w:val="right" w:leader="dot" w:pos="8306"/>
              <w:tab w:val="clear" w:pos="8296"/>
            </w:tabs>
            <w:kinsoku/>
            <w:wordWrap/>
            <w:overflowPunct/>
            <w:topLinePunct w:val="0"/>
            <w:autoSpaceDE/>
            <w:autoSpaceDN/>
            <w:bidi w:val="0"/>
            <w:adjustRightInd/>
            <w:spacing w:line="576" w:lineRule="exact"/>
            <w:ind w:left="0" w:leftChars="0"/>
            <w:textAlignment w:val="auto"/>
            <w:rPr>
              <w:rFonts w:hint="eastAsia" w:ascii="黑体" w:hAnsi="黑体" w:eastAsia="黑体" w:cs="黑体"/>
              <w:b/>
              <w:bCs/>
              <w:sz w:val="21"/>
              <w:szCs w:val="21"/>
            </w:rPr>
          </w:pPr>
          <w:r>
            <w:rPr>
              <w:rFonts w:hint="eastAsia" w:ascii="黑体" w:hAnsi="黑体" w:eastAsia="黑体" w:cs="黑体"/>
              <w:b/>
              <w:bCs/>
              <w:sz w:val="21"/>
              <w:szCs w:val="21"/>
            </w:rPr>
            <w:fldChar w:fldCharType="begin"/>
          </w:r>
          <w:r>
            <w:rPr>
              <w:rFonts w:hint="eastAsia" w:ascii="黑体" w:hAnsi="黑体" w:eastAsia="黑体" w:cs="黑体"/>
              <w:b/>
              <w:bCs/>
              <w:sz w:val="21"/>
              <w:szCs w:val="21"/>
            </w:rPr>
            <w:instrText xml:space="preserve"> HYPERLINK \l _Toc25569 </w:instrText>
          </w:r>
          <w:r>
            <w:rPr>
              <w:rFonts w:hint="eastAsia" w:ascii="黑体" w:hAnsi="黑体" w:eastAsia="黑体" w:cs="黑体"/>
              <w:b/>
              <w:bCs/>
              <w:sz w:val="21"/>
              <w:szCs w:val="21"/>
            </w:rPr>
            <w:fldChar w:fldCharType="separate"/>
          </w:r>
          <w:r>
            <w:rPr>
              <w:rFonts w:hint="eastAsia" w:ascii="黑体" w:hAnsi="黑体" w:eastAsia="黑体" w:cs="黑体"/>
              <w:b/>
              <w:bCs/>
              <w:sz w:val="21"/>
              <w:szCs w:val="21"/>
            </w:rPr>
            <w:t>五、一般公共预算财政拨款支出决算情况说明</w:t>
          </w:r>
          <w:r>
            <w:rPr>
              <w:rFonts w:hint="eastAsia" w:ascii="黑体" w:hAnsi="黑体" w:eastAsia="黑体" w:cs="黑体"/>
              <w:b/>
              <w:bCs/>
              <w:sz w:val="21"/>
              <w:szCs w:val="21"/>
            </w:rPr>
            <w:tab/>
          </w:r>
          <w:r>
            <w:rPr>
              <w:rFonts w:hint="eastAsia" w:ascii="黑体" w:hAnsi="黑体" w:eastAsia="黑体" w:cs="黑体"/>
              <w:b/>
              <w:bCs/>
              <w:sz w:val="21"/>
              <w:szCs w:val="21"/>
            </w:rPr>
            <w:fldChar w:fldCharType="begin"/>
          </w:r>
          <w:r>
            <w:rPr>
              <w:rFonts w:hint="eastAsia" w:ascii="黑体" w:hAnsi="黑体" w:eastAsia="黑体" w:cs="黑体"/>
              <w:b/>
              <w:bCs/>
              <w:sz w:val="21"/>
              <w:szCs w:val="21"/>
            </w:rPr>
            <w:instrText xml:space="preserve"> PAGEREF _Toc25569 \h </w:instrText>
          </w:r>
          <w:r>
            <w:rPr>
              <w:rFonts w:hint="eastAsia" w:ascii="黑体" w:hAnsi="黑体" w:eastAsia="黑体" w:cs="黑体"/>
              <w:b/>
              <w:bCs/>
              <w:sz w:val="21"/>
              <w:szCs w:val="21"/>
            </w:rPr>
            <w:fldChar w:fldCharType="separate"/>
          </w:r>
          <w:r>
            <w:rPr>
              <w:rFonts w:hint="eastAsia" w:ascii="黑体" w:hAnsi="黑体" w:eastAsia="黑体" w:cs="黑体"/>
              <w:b/>
              <w:bCs/>
              <w:sz w:val="21"/>
              <w:szCs w:val="21"/>
            </w:rPr>
            <w:t>- 7 -</w:t>
          </w:r>
          <w:r>
            <w:rPr>
              <w:rFonts w:hint="eastAsia" w:ascii="黑体" w:hAnsi="黑体" w:eastAsia="黑体" w:cs="黑体"/>
              <w:b/>
              <w:bCs/>
              <w:sz w:val="21"/>
              <w:szCs w:val="21"/>
            </w:rPr>
            <w:fldChar w:fldCharType="end"/>
          </w:r>
          <w:r>
            <w:rPr>
              <w:rFonts w:hint="eastAsia" w:ascii="黑体" w:hAnsi="黑体" w:eastAsia="黑体" w:cs="黑体"/>
              <w:b/>
              <w:bCs/>
              <w:sz w:val="21"/>
              <w:szCs w:val="21"/>
            </w:rPr>
            <w:fldChar w:fldCharType="end"/>
          </w:r>
        </w:p>
        <w:p w14:paraId="53C317EA">
          <w:pPr>
            <w:pStyle w:val="13"/>
            <w:keepNext w:val="0"/>
            <w:keepLines w:val="0"/>
            <w:pageBreakBefore w:val="0"/>
            <w:widowControl w:val="0"/>
            <w:tabs>
              <w:tab w:val="right" w:leader="dot" w:pos="8306"/>
              <w:tab w:val="clear" w:pos="8296"/>
            </w:tabs>
            <w:kinsoku/>
            <w:wordWrap/>
            <w:overflowPunct/>
            <w:topLinePunct w:val="0"/>
            <w:autoSpaceDE/>
            <w:autoSpaceDN/>
            <w:bidi w:val="0"/>
            <w:adjustRightInd/>
            <w:spacing w:line="576" w:lineRule="exact"/>
            <w:ind w:left="0" w:leftChars="0"/>
            <w:textAlignment w:val="auto"/>
            <w:rPr>
              <w:rFonts w:hint="eastAsia" w:ascii="黑体" w:hAnsi="黑体" w:eastAsia="黑体" w:cs="黑体"/>
              <w:b/>
              <w:bCs/>
              <w:sz w:val="21"/>
              <w:szCs w:val="21"/>
            </w:rPr>
          </w:pPr>
          <w:r>
            <w:rPr>
              <w:rFonts w:hint="eastAsia" w:ascii="黑体" w:hAnsi="黑体" w:eastAsia="黑体" w:cs="黑体"/>
              <w:b/>
              <w:bCs/>
              <w:sz w:val="21"/>
              <w:szCs w:val="21"/>
            </w:rPr>
            <w:fldChar w:fldCharType="begin"/>
          </w:r>
          <w:r>
            <w:rPr>
              <w:rFonts w:hint="eastAsia" w:ascii="黑体" w:hAnsi="黑体" w:eastAsia="黑体" w:cs="黑体"/>
              <w:b/>
              <w:bCs/>
              <w:sz w:val="21"/>
              <w:szCs w:val="21"/>
            </w:rPr>
            <w:instrText xml:space="preserve"> HYPERLINK \l _Toc20787 </w:instrText>
          </w:r>
          <w:r>
            <w:rPr>
              <w:rFonts w:hint="eastAsia" w:ascii="黑体" w:hAnsi="黑体" w:eastAsia="黑体" w:cs="黑体"/>
              <w:b/>
              <w:bCs/>
              <w:sz w:val="21"/>
              <w:szCs w:val="21"/>
            </w:rPr>
            <w:fldChar w:fldCharType="separate"/>
          </w:r>
          <w:r>
            <w:rPr>
              <w:rFonts w:hint="eastAsia" w:ascii="黑体" w:hAnsi="黑体" w:eastAsia="黑体" w:cs="黑体"/>
              <w:b/>
              <w:bCs/>
              <w:sz w:val="21"/>
              <w:szCs w:val="21"/>
            </w:rPr>
            <w:t>六、一般公共预算财政拨款基本支出决算情况说明</w:t>
          </w:r>
          <w:r>
            <w:rPr>
              <w:rFonts w:hint="eastAsia" w:ascii="黑体" w:hAnsi="黑体" w:eastAsia="黑体" w:cs="黑体"/>
              <w:b/>
              <w:bCs/>
              <w:sz w:val="21"/>
              <w:szCs w:val="21"/>
            </w:rPr>
            <w:tab/>
          </w:r>
          <w:r>
            <w:rPr>
              <w:rFonts w:hint="eastAsia" w:ascii="黑体" w:hAnsi="黑体" w:eastAsia="黑体" w:cs="黑体"/>
              <w:b/>
              <w:bCs/>
              <w:sz w:val="21"/>
              <w:szCs w:val="21"/>
            </w:rPr>
            <w:fldChar w:fldCharType="begin"/>
          </w:r>
          <w:r>
            <w:rPr>
              <w:rFonts w:hint="eastAsia" w:ascii="黑体" w:hAnsi="黑体" w:eastAsia="黑体" w:cs="黑体"/>
              <w:b/>
              <w:bCs/>
              <w:sz w:val="21"/>
              <w:szCs w:val="21"/>
            </w:rPr>
            <w:instrText xml:space="preserve"> PAGEREF _Toc20787 \h </w:instrText>
          </w:r>
          <w:r>
            <w:rPr>
              <w:rFonts w:hint="eastAsia" w:ascii="黑体" w:hAnsi="黑体" w:eastAsia="黑体" w:cs="黑体"/>
              <w:b/>
              <w:bCs/>
              <w:sz w:val="21"/>
              <w:szCs w:val="21"/>
            </w:rPr>
            <w:fldChar w:fldCharType="separate"/>
          </w:r>
          <w:r>
            <w:rPr>
              <w:rFonts w:hint="eastAsia" w:ascii="黑体" w:hAnsi="黑体" w:eastAsia="黑体" w:cs="黑体"/>
              <w:b/>
              <w:bCs/>
              <w:sz w:val="21"/>
              <w:szCs w:val="21"/>
            </w:rPr>
            <w:t>- 11 -</w:t>
          </w:r>
          <w:r>
            <w:rPr>
              <w:rFonts w:hint="eastAsia" w:ascii="黑体" w:hAnsi="黑体" w:eastAsia="黑体" w:cs="黑体"/>
              <w:b/>
              <w:bCs/>
              <w:sz w:val="21"/>
              <w:szCs w:val="21"/>
            </w:rPr>
            <w:fldChar w:fldCharType="end"/>
          </w:r>
          <w:r>
            <w:rPr>
              <w:rFonts w:hint="eastAsia" w:ascii="黑体" w:hAnsi="黑体" w:eastAsia="黑体" w:cs="黑体"/>
              <w:b/>
              <w:bCs/>
              <w:sz w:val="21"/>
              <w:szCs w:val="21"/>
            </w:rPr>
            <w:fldChar w:fldCharType="end"/>
          </w:r>
        </w:p>
        <w:p w14:paraId="0E412A4A">
          <w:pPr>
            <w:pStyle w:val="13"/>
            <w:keepNext w:val="0"/>
            <w:keepLines w:val="0"/>
            <w:pageBreakBefore w:val="0"/>
            <w:widowControl w:val="0"/>
            <w:tabs>
              <w:tab w:val="right" w:leader="dot" w:pos="8306"/>
              <w:tab w:val="clear" w:pos="8296"/>
            </w:tabs>
            <w:kinsoku/>
            <w:wordWrap/>
            <w:overflowPunct/>
            <w:topLinePunct w:val="0"/>
            <w:autoSpaceDE/>
            <w:autoSpaceDN/>
            <w:bidi w:val="0"/>
            <w:adjustRightInd/>
            <w:spacing w:line="576" w:lineRule="exact"/>
            <w:ind w:left="0" w:leftChars="0"/>
            <w:textAlignment w:val="auto"/>
            <w:rPr>
              <w:rFonts w:hint="eastAsia" w:ascii="黑体" w:hAnsi="黑体" w:eastAsia="黑体" w:cs="黑体"/>
              <w:b/>
              <w:bCs/>
              <w:sz w:val="21"/>
              <w:szCs w:val="21"/>
            </w:rPr>
          </w:pPr>
          <w:r>
            <w:rPr>
              <w:rFonts w:hint="eastAsia" w:ascii="黑体" w:hAnsi="黑体" w:eastAsia="黑体" w:cs="黑体"/>
              <w:b/>
              <w:bCs/>
              <w:sz w:val="21"/>
              <w:szCs w:val="21"/>
            </w:rPr>
            <w:fldChar w:fldCharType="begin"/>
          </w:r>
          <w:r>
            <w:rPr>
              <w:rFonts w:hint="eastAsia" w:ascii="黑体" w:hAnsi="黑体" w:eastAsia="黑体" w:cs="黑体"/>
              <w:b/>
              <w:bCs/>
              <w:sz w:val="21"/>
              <w:szCs w:val="21"/>
            </w:rPr>
            <w:instrText xml:space="preserve"> HYPERLINK \l _Toc25262 </w:instrText>
          </w:r>
          <w:r>
            <w:rPr>
              <w:rFonts w:hint="eastAsia" w:ascii="黑体" w:hAnsi="黑体" w:eastAsia="黑体" w:cs="黑体"/>
              <w:b/>
              <w:bCs/>
              <w:sz w:val="21"/>
              <w:szCs w:val="21"/>
            </w:rPr>
            <w:fldChar w:fldCharType="separate"/>
          </w:r>
          <w:r>
            <w:rPr>
              <w:rFonts w:hint="eastAsia" w:ascii="黑体" w:hAnsi="黑体" w:eastAsia="黑体" w:cs="黑体"/>
              <w:b/>
              <w:bCs/>
              <w:sz w:val="21"/>
              <w:szCs w:val="21"/>
            </w:rPr>
            <w:t>七、财政拨款“三公”经费支出决算情况说明</w:t>
          </w:r>
          <w:r>
            <w:rPr>
              <w:rFonts w:hint="eastAsia" w:ascii="黑体" w:hAnsi="黑体" w:eastAsia="黑体" w:cs="黑体"/>
              <w:b/>
              <w:bCs/>
              <w:sz w:val="21"/>
              <w:szCs w:val="21"/>
            </w:rPr>
            <w:tab/>
          </w:r>
          <w:r>
            <w:rPr>
              <w:rFonts w:hint="eastAsia" w:ascii="黑体" w:hAnsi="黑体" w:eastAsia="黑体" w:cs="黑体"/>
              <w:b/>
              <w:bCs/>
              <w:sz w:val="21"/>
              <w:szCs w:val="21"/>
            </w:rPr>
            <w:fldChar w:fldCharType="begin"/>
          </w:r>
          <w:r>
            <w:rPr>
              <w:rFonts w:hint="eastAsia" w:ascii="黑体" w:hAnsi="黑体" w:eastAsia="黑体" w:cs="黑体"/>
              <w:b/>
              <w:bCs/>
              <w:sz w:val="21"/>
              <w:szCs w:val="21"/>
            </w:rPr>
            <w:instrText xml:space="preserve"> PAGEREF _Toc25262 \h </w:instrText>
          </w:r>
          <w:r>
            <w:rPr>
              <w:rFonts w:hint="eastAsia" w:ascii="黑体" w:hAnsi="黑体" w:eastAsia="黑体" w:cs="黑体"/>
              <w:b/>
              <w:bCs/>
              <w:sz w:val="21"/>
              <w:szCs w:val="21"/>
            </w:rPr>
            <w:fldChar w:fldCharType="separate"/>
          </w:r>
          <w:r>
            <w:rPr>
              <w:rFonts w:hint="eastAsia" w:ascii="黑体" w:hAnsi="黑体" w:eastAsia="黑体" w:cs="黑体"/>
              <w:b/>
              <w:bCs/>
              <w:sz w:val="21"/>
              <w:szCs w:val="21"/>
            </w:rPr>
            <w:t>- 11 -</w:t>
          </w:r>
          <w:r>
            <w:rPr>
              <w:rFonts w:hint="eastAsia" w:ascii="黑体" w:hAnsi="黑体" w:eastAsia="黑体" w:cs="黑体"/>
              <w:b/>
              <w:bCs/>
              <w:sz w:val="21"/>
              <w:szCs w:val="21"/>
            </w:rPr>
            <w:fldChar w:fldCharType="end"/>
          </w:r>
          <w:r>
            <w:rPr>
              <w:rFonts w:hint="eastAsia" w:ascii="黑体" w:hAnsi="黑体" w:eastAsia="黑体" w:cs="黑体"/>
              <w:b/>
              <w:bCs/>
              <w:sz w:val="21"/>
              <w:szCs w:val="21"/>
            </w:rPr>
            <w:fldChar w:fldCharType="end"/>
          </w:r>
        </w:p>
        <w:p w14:paraId="5268A674">
          <w:pPr>
            <w:pStyle w:val="13"/>
            <w:keepNext w:val="0"/>
            <w:keepLines w:val="0"/>
            <w:pageBreakBefore w:val="0"/>
            <w:widowControl w:val="0"/>
            <w:tabs>
              <w:tab w:val="right" w:leader="dot" w:pos="8306"/>
              <w:tab w:val="clear" w:pos="8296"/>
            </w:tabs>
            <w:kinsoku/>
            <w:wordWrap/>
            <w:overflowPunct/>
            <w:topLinePunct w:val="0"/>
            <w:autoSpaceDE/>
            <w:autoSpaceDN/>
            <w:bidi w:val="0"/>
            <w:adjustRightInd/>
            <w:spacing w:line="576" w:lineRule="exact"/>
            <w:ind w:left="0" w:leftChars="0"/>
            <w:textAlignment w:val="auto"/>
            <w:rPr>
              <w:rFonts w:hint="eastAsia" w:ascii="黑体" w:hAnsi="黑体" w:eastAsia="黑体" w:cs="黑体"/>
              <w:b/>
              <w:bCs/>
              <w:sz w:val="21"/>
              <w:szCs w:val="21"/>
            </w:rPr>
          </w:pPr>
          <w:r>
            <w:rPr>
              <w:rFonts w:hint="eastAsia" w:ascii="黑体" w:hAnsi="黑体" w:eastAsia="黑体" w:cs="黑体"/>
              <w:b/>
              <w:bCs/>
              <w:sz w:val="21"/>
              <w:szCs w:val="21"/>
            </w:rPr>
            <w:fldChar w:fldCharType="begin"/>
          </w:r>
          <w:r>
            <w:rPr>
              <w:rFonts w:hint="eastAsia" w:ascii="黑体" w:hAnsi="黑体" w:eastAsia="黑体" w:cs="黑体"/>
              <w:b/>
              <w:bCs/>
              <w:sz w:val="21"/>
              <w:szCs w:val="21"/>
            </w:rPr>
            <w:instrText xml:space="preserve"> HYPERLINK \l _Toc21781 </w:instrText>
          </w:r>
          <w:r>
            <w:rPr>
              <w:rFonts w:hint="eastAsia" w:ascii="黑体" w:hAnsi="黑体" w:eastAsia="黑体" w:cs="黑体"/>
              <w:b/>
              <w:bCs/>
              <w:sz w:val="21"/>
              <w:szCs w:val="21"/>
            </w:rPr>
            <w:fldChar w:fldCharType="separate"/>
          </w:r>
          <w:r>
            <w:rPr>
              <w:rFonts w:hint="eastAsia" w:ascii="黑体" w:hAnsi="黑体" w:eastAsia="黑体" w:cs="黑体"/>
              <w:b/>
              <w:bCs/>
              <w:sz w:val="21"/>
              <w:szCs w:val="21"/>
            </w:rPr>
            <w:t>八、政府性基金预算支出决算情况说明</w:t>
          </w:r>
          <w:r>
            <w:rPr>
              <w:rFonts w:hint="eastAsia" w:ascii="黑体" w:hAnsi="黑体" w:eastAsia="黑体" w:cs="黑体"/>
              <w:b/>
              <w:bCs/>
              <w:sz w:val="21"/>
              <w:szCs w:val="21"/>
            </w:rPr>
            <w:tab/>
          </w:r>
          <w:r>
            <w:rPr>
              <w:rFonts w:hint="eastAsia" w:ascii="黑体" w:hAnsi="黑体" w:eastAsia="黑体" w:cs="黑体"/>
              <w:b/>
              <w:bCs/>
              <w:sz w:val="21"/>
              <w:szCs w:val="21"/>
            </w:rPr>
            <w:fldChar w:fldCharType="begin"/>
          </w:r>
          <w:r>
            <w:rPr>
              <w:rFonts w:hint="eastAsia" w:ascii="黑体" w:hAnsi="黑体" w:eastAsia="黑体" w:cs="黑体"/>
              <w:b/>
              <w:bCs/>
              <w:sz w:val="21"/>
              <w:szCs w:val="21"/>
            </w:rPr>
            <w:instrText xml:space="preserve"> PAGEREF _Toc21781 \h </w:instrText>
          </w:r>
          <w:r>
            <w:rPr>
              <w:rFonts w:hint="eastAsia" w:ascii="黑体" w:hAnsi="黑体" w:eastAsia="黑体" w:cs="黑体"/>
              <w:b/>
              <w:bCs/>
              <w:sz w:val="21"/>
              <w:szCs w:val="21"/>
            </w:rPr>
            <w:fldChar w:fldCharType="separate"/>
          </w:r>
          <w:r>
            <w:rPr>
              <w:rFonts w:hint="eastAsia" w:ascii="黑体" w:hAnsi="黑体" w:eastAsia="黑体" w:cs="黑体"/>
              <w:b/>
              <w:bCs/>
              <w:sz w:val="21"/>
              <w:szCs w:val="21"/>
            </w:rPr>
            <w:t>- 13 -</w:t>
          </w:r>
          <w:r>
            <w:rPr>
              <w:rFonts w:hint="eastAsia" w:ascii="黑体" w:hAnsi="黑体" w:eastAsia="黑体" w:cs="黑体"/>
              <w:b/>
              <w:bCs/>
              <w:sz w:val="21"/>
              <w:szCs w:val="21"/>
            </w:rPr>
            <w:fldChar w:fldCharType="end"/>
          </w:r>
          <w:r>
            <w:rPr>
              <w:rFonts w:hint="eastAsia" w:ascii="黑体" w:hAnsi="黑体" w:eastAsia="黑体" w:cs="黑体"/>
              <w:b/>
              <w:bCs/>
              <w:sz w:val="21"/>
              <w:szCs w:val="21"/>
            </w:rPr>
            <w:fldChar w:fldCharType="end"/>
          </w:r>
        </w:p>
        <w:p w14:paraId="32045A9A">
          <w:pPr>
            <w:pStyle w:val="13"/>
            <w:keepNext w:val="0"/>
            <w:keepLines w:val="0"/>
            <w:pageBreakBefore w:val="0"/>
            <w:widowControl w:val="0"/>
            <w:tabs>
              <w:tab w:val="right" w:leader="dot" w:pos="8306"/>
              <w:tab w:val="clear" w:pos="8296"/>
            </w:tabs>
            <w:kinsoku/>
            <w:wordWrap/>
            <w:overflowPunct/>
            <w:topLinePunct w:val="0"/>
            <w:autoSpaceDE/>
            <w:autoSpaceDN/>
            <w:bidi w:val="0"/>
            <w:adjustRightInd/>
            <w:spacing w:line="576" w:lineRule="exact"/>
            <w:ind w:left="0" w:leftChars="0"/>
            <w:textAlignment w:val="auto"/>
            <w:rPr>
              <w:rFonts w:hint="eastAsia" w:ascii="黑体" w:hAnsi="黑体" w:eastAsia="黑体" w:cs="黑体"/>
              <w:b/>
              <w:bCs/>
              <w:sz w:val="21"/>
              <w:szCs w:val="21"/>
            </w:rPr>
          </w:pPr>
          <w:r>
            <w:rPr>
              <w:rFonts w:hint="eastAsia" w:ascii="黑体" w:hAnsi="黑体" w:eastAsia="黑体" w:cs="黑体"/>
              <w:b/>
              <w:bCs/>
              <w:sz w:val="21"/>
              <w:szCs w:val="21"/>
            </w:rPr>
            <w:fldChar w:fldCharType="begin"/>
          </w:r>
          <w:r>
            <w:rPr>
              <w:rFonts w:hint="eastAsia" w:ascii="黑体" w:hAnsi="黑体" w:eastAsia="黑体" w:cs="黑体"/>
              <w:b/>
              <w:bCs/>
              <w:sz w:val="21"/>
              <w:szCs w:val="21"/>
            </w:rPr>
            <w:instrText xml:space="preserve"> HYPERLINK \l _Toc12236 </w:instrText>
          </w:r>
          <w:r>
            <w:rPr>
              <w:rFonts w:hint="eastAsia" w:ascii="黑体" w:hAnsi="黑体" w:eastAsia="黑体" w:cs="黑体"/>
              <w:b/>
              <w:bCs/>
              <w:sz w:val="21"/>
              <w:szCs w:val="21"/>
            </w:rPr>
            <w:fldChar w:fldCharType="separate"/>
          </w:r>
          <w:r>
            <w:rPr>
              <w:rFonts w:hint="eastAsia" w:ascii="黑体" w:hAnsi="黑体" w:eastAsia="黑体" w:cs="黑体"/>
              <w:b/>
              <w:bCs/>
              <w:sz w:val="21"/>
              <w:szCs w:val="21"/>
              <w:lang w:eastAsia="zh-CN"/>
            </w:rPr>
            <w:t>九、</w:t>
          </w:r>
          <w:r>
            <w:rPr>
              <w:rFonts w:hint="eastAsia" w:ascii="黑体" w:hAnsi="黑体" w:eastAsia="黑体" w:cs="黑体"/>
              <w:b/>
              <w:bCs/>
              <w:sz w:val="21"/>
              <w:szCs w:val="21"/>
            </w:rPr>
            <w:t>国有资本经营预算支出决算情况说明</w:t>
          </w:r>
          <w:r>
            <w:rPr>
              <w:rFonts w:hint="eastAsia" w:ascii="黑体" w:hAnsi="黑体" w:eastAsia="黑体" w:cs="黑体"/>
              <w:b/>
              <w:bCs/>
              <w:sz w:val="21"/>
              <w:szCs w:val="21"/>
            </w:rPr>
            <w:tab/>
          </w:r>
          <w:r>
            <w:rPr>
              <w:rFonts w:hint="eastAsia" w:ascii="黑体" w:hAnsi="黑体" w:eastAsia="黑体" w:cs="黑体"/>
              <w:b/>
              <w:bCs/>
              <w:sz w:val="21"/>
              <w:szCs w:val="21"/>
            </w:rPr>
            <w:fldChar w:fldCharType="begin"/>
          </w:r>
          <w:r>
            <w:rPr>
              <w:rFonts w:hint="eastAsia" w:ascii="黑体" w:hAnsi="黑体" w:eastAsia="黑体" w:cs="黑体"/>
              <w:b/>
              <w:bCs/>
              <w:sz w:val="21"/>
              <w:szCs w:val="21"/>
            </w:rPr>
            <w:instrText xml:space="preserve"> PAGEREF _Toc12236 \h </w:instrText>
          </w:r>
          <w:r>
            <w:rPr>
              <w:rFonts w:hint="eastAsia" w:ascii="黑体" w:hAnsi="黑体" w:eastAsia="黑体" w:cs="黑体"/>
              <w:b/>
              <w:bCs/>
              <w:sz w:val="21"/>
              <w:szCs w:val="21"/>
            </w:rPr>
            <w:fldChar w:fldCharType="separate"/>
          </w:r>
          <w:r>
            <w:rPr>
              <w:rFonts w:hint="eastAsia" w:ascii="黑体" w:hAnsi="黑体" w:eastAsia="黑体" w:cs="黑体"/>
              <w:b/>
              <w:bCs/>
              <w:sz w:val="21"/>
              <w:szCs w:val="21"/>
            </w:rPr>
            <w:t>- 13 -</w:t>
          </w:r>
          <w:r>
            <w:rPr>
              <w:rFonts w:hint="eastAsia" w:ascii="黑体" w:hAnsi="黑体" w:eastAsia="黑体" w:cs="黑体"/>
              <w:b/>
              <w:bCs/>
              <w:sz w:val="21"/>
              <w:szCs w:val="21"/>
            </w:rPr>
            <w:fldChar w:fldCharType="end"/>
          </w:r>
          <w:r>
            <w:rPr>
              <w:rFonts w:hint="eastAsia" w:ascii="黑体" w:hAnsi="黑体" w:eastAsia="黑体" w:cs="黑体"/>
              <w:b/>
              <w:bCs/>
              <w:sz w:val="21"/>
              <w:szCs w:val="21"/>
            </w:rPr>
            <w:fldChar w:fldCharType="end"/>
          </w:r>
        </w:p>
        <w:p w14:paraId="480A871C">
          <w:pPr>
            <w:pStyle w:val="13"/>
            <w:keepNext w:val="0"/>
            <w:keepLines w:val="0"/>
            <w:pageBreakBefore w:val="0"/>
            <w:widowControl w:val="0"/>
            <w:tabs>
              <w:tab w:val="right" w:leader="dot" w:pos="8306"/>
              <w:tab w:val="clear" w:pos="8296"/>
            </w:tabs>
            <w:kinsoku/>
            <w:wordWrap/>
            <w:overflowPunct/>
            <w:topLinePunct w:val="0"/>
            <w:autoSpaceDE/>
            <w:autoSpaceDN/>
            <w:bidi w:val="0"/>
            <w:adjustRightInd/>
            <w:spacing w:line="576" w:lineRule="exact"/>
            <w:ind w:left="0" w:leftChars="0"/>
            <w:textAlignment w:val="auto"/>
            <w:rPr>
              <w:rFonts w:hint="eastAsia" w:ascii="黑体" w:hAnsi="黑体" w:eastAsia="黑体" w:cs="黑体"/>
              <w:b/>
              <w:bCs/>
              <w:sz w:val="21"/>
              <w:szCs w:val="21"/>
            </w:rPr>
          </w:pPr>
          <w:r>
            <w:rPr>
              <w:rFonts w:hint="eastAsia" w:ascii="黑体" w:hAnsi="黑体" w:eastAsia="黑体" w:cs="黑体"/>
              <w:b/>
              <w:bCs/>
              <w:sz w:val="21"/>
              <w:szCs w:val="21"/>
            </w:rPr>
            <w:fldChar w:fldCharType="begin"/>
          </w:r>
          <w:r>
            <w:rPr>
              <w:rFonts w:hint="eastAsia" w:ascii="黑体" w:hAnsi="黑体" w:eastAsia="黑体" w:cs="黑体"/>
              <w:b/>
              <w:bCs/>
              <w:sz w:val="21"/>
              <w:szCs w:val="21"/>
            </w:rPr>
            <w:instrText xml:space="preserve"> HYPERLINK \l _Toc22165 </w:instrText>
          </w:r>
          <w:r>
            <w:rPr>
              <w:rFonts w:hint="eastAsia" w:ascii="黑体" w:hAnsi="黑体" w:eastAsia="黑体" w:cs="黑体"/>
              <w:b/>
              <w:bCs/>
              <w:sz w:val="21"/>
              <w:szCs w:val="21"/>
            </w:rPr>
            <w:fldChar w:fldCharType="separate"/>
          </w:r>
          <w:r>
            <w:rPr>
              <w:rFonts w:hint="eastAsia" w:ascii="黑体" w:hAnsi="黑体" w:eastAsia="黑体" w:cs="黑体"/>
              <w:b/>
              <w:bCs/>
              <w:sz w:val="21"/>
              <w:szCs w:val="21"/>
              <w:lang w:eastAsia="zh-CN"/>
            </w:rPr>
            <w:t>十、</w:t>
          </w:r>
          <w:r>
            <w:rPr>
              <w:rFonts w:hint="eastAsia" w:ascii="黑体" w:hAnsi="黑体" w:eastAsia="黑体" w:cs="黑体"/>
              <w:b/>
              <w:bCs/>
              <w:sz w:val="21"/>
              <w:szCs w:val="21"/>
            </w:rPr>
            <w:t>其他重要事项的情况说明</w:t>
          </w:r>
          <w:r>
            <w:rPr>
              <w:rFonts w:hint="eastAsia" w:ascii="黑体" w:hAnsi="黑体" w:eastAsia="黑体" w:cs="黑体"/>
              <w:b/>
              <w:bCs/>
              <w:sz w:val="21"/>
              <w:szCs w:val="21"/>
            </w:rPr>
            <w:tab/>
          </w:r>
          <w:r>
            <w:rPr>
              <w:rFonts w:hint="eastAsia" w:ascii="黑体" w:hAnsi="黑体" w:eastAsia="黑体" w:cs="黑体"/>
              <w:b/>
              <w:bCs/>
              <w:sz w:val="21"/>
              <w:szCs w:val="21"/>
            </w:rPr>
            <w:fldChar w:fldCharType="begin"/>
          </w:r>
          <w:r>
            <w:rPr>
              <w:rFonts w:hint="eastAsia" w:ascii="黑体" w:hAnsi="黑体" w:eastAsia="黑体" w:cs="黑体"/>
              <w:b/>
              <w:bCs/>
              <w:sz w:val="21"/>
              <w:szCs w:val="21"/>
            </w:rPr>
            <w:instrText xml:space="preserve"> PAGEREF _Toc22165 \h </w:instrText>
          </w:r>
          <w:r>
            <w:rPr>
              <w:rFonts w:hint="eastAsia" w:ascii="黑体" w:hAnsi="黑体" w:eastAsia="黑体" w:cs="黑体"/>
              <w:b/>
              <w:bCs/>
              <w:sz w:val="21"/>
              <w:szCs w:val="21"/>
            </w:rPr>
            <w:fldChar w:fldCharType="separate"/>
          </w:r>
          <w:r>
            <w:rPr>
              <w:rFonts w:hint="eastAsia" w:ascii="黑体" w:hAnsi="黑体" w:eastAsia="黑体" w:cs="黑体"/>
              <w:b/>
              <w:bCs/>
              <w:sz w:val="21"/>
              <w:szCs w:val="21"/>
            </w:rPr>
            <w:t>- 13 -</w:t>
          </w:r>
          <w:r>
            <w:rPr>
              <w:rFonts w:hint="eastAsia" w:ascii="黑体" w:hAnsi="黑体" w:eastAsia="黑体" w:cs="黑体"/>
              <w:b/>
              <w:bCs/>
              <w:sz w:val="21"/>
              <w:szCs w:val="21"/>
            </w:rPr>
            <w:fldChar w:fldCharType="end"/>
          </w:r>
          <w:r>
            <w:rPr>
              <w:rFonts w:hint="eastAsia" w:ascii="黑体" w:hAnsi="黑体" w:eastAsia="黑体" w:cs="黑体"/>
              <w:b/>
              <w:bCs/>
              <w:sz w:val="21"/>
              <w:szCs w:val="21"/>
            </w:rPr>
            <w:fldChar w:fldCharType="end"/>
          </w:r>
        </w:p>
        <w:p w14:paraId="20BAE8B9">
          <w:pPr>
            <w:pStyle w:val="13"/>
            <w:keepNext w:val="0"/>
            <w:keepLines w:val="0"/>
            <w:pageBreakBefore w:val="0"/>
            <w:widowControl w:val="0"/>
            <w:tabs>
              <w:tab w:val="right" w:leader="dot" w:pos="8306"/>
              <w:tab w:val="clear" w:pos="8296"/>
            </w:tabs>
            <w:kinsoku/>
            <w:wordWrap/>
            <w:overflowPunct/>
            <w:topLinePunct w:val="0"/>
            <w:autoSpaceDE/>
            <w:autoSpaceDN/>
            <w:bidi w:val="0"/>
            <w:adjustRightInd/>
            <w:spacing w:line="576" w:lineRule="exact"/>
            <w:ind w:left="0" w:leftChars="0"/>
            <w:textAlignment w:val="auto"/>
            <w:rPr>
              <w:rFonts w:hint="eastAsia" w:ascii="黑体" w:hAnsi="黑体" w:eastAsia="黑体" w:cs="黑体"/>
              <w:b/>
              <w:bCs/>
              <w:sz w:val="21"/>
              <w:szCs w:val="21"/>
            </w:rPr>
          </w:pPr>
          <w:r>
            <w:rPr>
              <w:rFonts w:hint="eastAsia" w:ascii="黑体" w:hAnsi="黑体" w:eastAsia="黑体" w:cs="黑体"/>
              <w:b/>
              <w:bCs/>
              <w:sz w:val="21"/>
              <w:szCs w:val="21"/>
            </w:rPr>
            <w:fldChar w:fldCharType="begin"/>
          </w:r>
          <w:r>
            <w:rPr>
              <w:rFonts w:hint="eastAsia" w:ascii="黑体" w:hAnsi="黑体" w:eastAsia="黑体" w:cs="黑体"/>
              <w:b/>
              <w:bCs/>
              <w:sz w:val="21"/>
              <w:szCs w:val="21"/>
            </w:rPr>
            <w:instrText xml:space="preserve"> HYPERLINK \l _Toc5985 </w:instrText>
          </w:r>
          <w:r>
            <w:rPr>
              <w:rFonts w:hint="eastAsia" w:ascii="黑体" w:hAnsi="黑体" w:eastAsia="黑体" w:cs="黑体"/>
              <w:b/>
              <w:bCs/>
              <w:sz w:val="21"/>
              <w:szCs w:val="21"/>
            </w:rPr>
            <w:fldChar w:fldCharType="separate"/>
          </w:r>
          <w:r>
            <w:rPr>
              <w:rFonts w:hint="eastAsia" w:ascii="Times New Roman" w:hAnsi="Times New Roman" w:eastAsia="方正小标宋简体" w:cs="方正小标宋简体"/>
              <w:kern w:val="2"/>
              <w:sz w:val="28"/>
              <w:szCs w:val="28"/>
              <w:highlight w:val="none"/>
              <w:lang w:val="en-US" w:eastAsia="zh-CN" w:bidi="ar-SA"/>
            </w:rPr>
            <w:t>第三部分  名词解释</w:t>
          </w:r>
          <w:r>
            <w:rPr>
              <w:rFonts w:hint="eastAsia" w:ascii="黑体" w:hAnsi="黑体" w:eastAsia="黑体" w:cs="黑体"/>
              <w:b/>
              <w:bCs/>
              <w:sz w:val="21"/>
              <w:szCs w:val="21"/>
            </w:rPr>
            <w:tab/>
          </w:r>
          <w:r>
            <w:rPr>
              <w:rFonts w:hint="eastAsia" w:ascii="黑体" w:hAnsi="黑体" w:eastAsia="黑体" w:cs="黑体"/>
              <w:b/>
              <w:bCs/>
              <w:sz w:val="21"/>
              <w:szCs w:val="21"/>
            </w:rPr>
            <w:fldChar w:fldCharType="begin"/>
          </w:r>
          <w:r>
            <w:rPr>
              <w:rFonts w:hint="eastAsia" w:ascii="黑体" w:hAnsi="黑体" w:eastAsia="黑体" w:cs="黑体"/>
              <w:b/>
              <w:bCs/>
              <w:sz w:val="21"/>
              <w:szCs w:val="21"/>
            </w:rPr>
            <w:instrText xml:space="preserve"> PAGEREF _Toc5985 \h </w:instrText>
          </w:r>
          <w:r>
            <w:rPr>
              <w:rFonts w:hint="eastAsia" w:ascii="黑体" w:hAnsi="黑体" w:eastAsia="黑体" w:cs="黑体"/>
              <w:b/>
              <w:bCs/>
              <w:sz w:val="21"/>
              <w:szCs w:val="21"/>
            </w:rPr>
            <w:fldChar w:fldCharType="separate"/>
          </w:r>
          <w:r>
            <w:rPr>
              <w:rFonts w:hint="eastAsia" w:ascii="黑体" w:hAnsi="黑体" w:eastAsia="黑体" w:cs="黑体"/>
              <w:b/>
              <w:bCs/>
              <w:sz w:val="21"/>
              <w:szCs w:val="21"/>
            </w:rPr>
            <w:t>- 16 -</w:t>
          </w:r>
          <w:r>
            <w:rPr>
              <w:rFonts w:hint="eastAsia" w:ascii="黑体" w:hAnsi="黑体" w:eastAsia="黑体" w:cs="黑体"/>
              <w:b/>
              <w:bCs/>
              <w:sz w:val="21"/>
              <w:szCs w:val="21"/>
            </w:rPr>
            <w:fldChar w:fldCharType="end"/>
          </w:r>
          <w:r>
            <w:rPr>
              <w:rFonts w:hint="eastAsia" w:ascii="黑体" w:hAnsi="黑体" w:eastAsia="黑体" w:cs="黑体"/>
              <w:b/>
              <w:bCs/>
              <w:sz w:val="21"/>
              <w:szCs w:val="21"/>
            </w:rPr>
            <w:fldChar w:fldCharType="end"/>
          </w:r>
        </w:p>
        <w:p w14:paraId="15ADBEE5">
          <w:pPr>
            <w:pStyle w:val="13"/>
            <w:keepNext w:val="0"/>
            <w:keepLines w:val="0"/>
            <w:pageBreakBefore w:val="0"/>
            <w:widowControl w:val="0"/>
            <w:tabs>
              <w:tab w:val="right" w:leader="dot" w:pos="8306"/>
              <w:tab w:val="clear" w:pos="8296"/>
            </w:tabs>
            <w:kinsoku/>
            <w:wordWrap/>
            <w:overflowPunct/>
            <w:topLinePunct w:val="0"/>
            <w:autoSpaceDE/>
            <w:autoSpaceDN/>
            <w:bidi w:val="0"/>
            <w:adjustRightInd/>
            <w:spacing w:line="576" w:lineRule="exact"/>
            <w:ind w:left="0" w:leftChars="0"/>
            <w:textAlignment w:val="auto"/>
            <w:rPr>
              <w:rFonts w:hint="default" w:ascii="黑体" w:hAnsi="黑体" w:eastAsia="黑体" w:cs="黑体"/>
              <w:b/>
              <w:bCs/>
              <w:sz w:val="21"/>
              <w:szCs w:val="21"/>
              <w:lang w:val="en-US" w:eastAsia="zh-CN"/>
            </w:rPr>
          </w:pPr>
          <w:r>
            <w:rPr>
              <w:rFonts w:hint="eastAsia" w:ascii="黑体" w:hAnsi="黑体" w:eastAsia="黑体" w:cs="黑体"/>
              <w:b/>
              <w:bCs/>
              <w:sz w:val="21"/>
              <w:szCs w:val="21"/>
            </w:rPr>
            <w:fldChar w:fldCharType="begin"/>
          </w:r>
          <w:r>
            <w:rPr>
              <w:rFonts w:hint="eastAsia" w:ascii="黑体" w:hAnsi="黑体" w:eastAsia="黑体" w:cs="黑体"/>
              <w:b/>
              <w:bCs/>
              <w:sz w:val="21"/>
              <w:szCs w:val="21"/>
            </w:rPr>
            <w:instrText xml:space="preserve"> HYPERLINK \l _Toc22322 </w:instrText>
          </w:r>
          <w:r>
            <w:rPr>
              <w:rFonts w:hint="eastAsia" w:ascii="黑体" w:hAnsi="黑体" w:eastAsia="黑体" w:cs="黑体"/>
              <w:b/>
              <w:bCs/>
              <w:sz w:val="21"/>
              <w:szCs w:val="21"/>
            </w:rPr>
            <w:fldChar w:fldCharType="separate"/>
          </w:r>
          <w:r>
            <w:rPr>
              <w:rFonts w:hint="eastAsia" w:ascii="Times New Roman" w:hAnsi="Times New Roman" w:eastAsia="方正小标宋简体" w:cs="方正小标宋简体"/>
              <w:kern w:val="2"/>
              <w:sz w:val="28"/>
              <w:szCs w:val="28"/>
              <w:highlight w:val="none"/>
              <w:lang w:val="en-US" w:eastAsia="zh-CN" w:bidi="ar-SA"/>
            </w:rPr>
            <w:t>第四部分  附件</w:t>
          </w:r>
          <w:r>
            <w:rPr>
              <w:rFonts w:hint="eastAsia" w:ascii="黑体" w:hAnsi="黑体" w:eastAsia="黑体" w:cs="黑体"/>
              <w:b/>
              <w:bCs/>
              <w:sz w:val="21"/>
              <w:szCs w:val="21"/>
            </w:rPr>
            <w:tab/>
          </w:r>
          <w:r>
            <w:rPr>
              <w:rFonts w:hint="eastAsia" w:ascii="黑体" w:hAnsi="黑体" w:eastAsia="黑体" w:cs="黑体"/>
              <w:b/>
              <w:bCs/>
              <w:sz w:val="21"/>
              <w:szCs w:val="21"/>
              <w:lang w:val="en-US" w:eastAsia="zh-CN"/>
            </w:rPr>
            <w:t>-2</w:t>
          </w:r>
          <w:r>
            <w:rPr>
              <w:rFonts w:hint="eastAsia" w:ascii="黑体" w:hAnsi="黑体" w:eastAsia="黑体" w:cs="黑体"/>
              <w:b/>
              <w:bCs/>
              <w:sz w:val="21"/>
              <w:szCs w:val="21"/>
            </w:rPr>
            <w:fldChar w:fldCharType="end"/>
          </w:r>
          <w:r>
            <w:rPr>
              <w:rFonts w:hint="eastAsia" w:ascii="黑体" w:hAnsi="黑体" w:eastAsia="黑体" w:cs="黑体"/>
              <w:b/>
              <w:bCs/>
              <w:sz w:val="21"/>
              <w:szCs w:val="21"/>
              <w:lang w:val="en-US" w:eastAsia="zh-CN"/>
            </w:rPr>
            <w:t>1-</w:t>
          </w:r>
        </w:p>
        <w:p w14:paraId="18537607">
          <w:pPr>
            <w:pStyle w:val="13"/>
            <w:keepNext w:val="0"/>
            <w:keepLines w:val="0"/>
            <w:pageBreakBefore w:val="0"/>
            <w:widowControl w:val="0"/>
            <w:tabs>
              <w:tab w:val="right" w:leader="dot" w:pos="8306"/>
              <w:tab w:val="clear" w:pos="8296"/>
            </w:tabs>
            <w:kinsoku/>
            <w:wordWrap/>
            <w:overflowPunct/>
            <w:topLinePunct w:val="0"/>
            <w:autoSpaceDE/>
            <w:autoSpaceDN/>
            <w:bidi w:val="0"/>
            <w:adjustRightInd/>
            <w:spacing w:line="576" w:lineRule="exact"/>
            <w:ind w:left="0" w:leftChars="0"/>
            <w:textAlignment w:val="auto"/>
            <w:rPr>
              <w:rFonts w:hint="eastAsia" w:ascii="黑体" w:hAnsi="黑体" w:eastAsia="黑体" w:cs="黑体"/>
              <w:b/>
              <w:bCs/>
              <w:sz w:val="21"/>
              <w:szCs w:val="21"/>
            </w:rPr>
          </w:pPr>
          <w:r>
            <w:rPr>
              <w:rFonts w:hint="eastAsia" w:ascii="黑体" w:hAnsi="黑体" w:eastAsia="黑体" w:cs="黑体"/>
              <w:b/>
              <w:bCs/>
              <w:sz w:val="21"/>
              <w:szCs w:val="21"/>
            </w:rPr>
            <w:fldChar w:fldCharType="begin"/>
          </w:r>
          <w:r>
            <w:rPr>
              <w:rFonts w:hint="eastAsia" w:ascii="黑体" w:hAnsi="黑体" w:eastAsia="黑体" w:cs="黑体"/>
              <w:b/>
              <w:bCs/>
              <w:sz w:val="21"/>
              <w:szCs w:val="21"/>
            </w:rPr>
            <w:instrText xml:space="preserve"> HYPERLINK \l _Toc12303 </w:instrText>
          </w:r>
          <w:r>
            <w:rPr>
              <w:rFonts w:hint="eastAsia" w:ascii="黑体" w:hAnsi="黑体" w:eastAsia="黑体" w:cs="黑体"/>
              <w:b/>
              <w:bCs/>
              <w:sz w:val="21"/>
              <w:szCs w:val="21"/>
            </w:rPr>
            <w:fldChar w:fldCharType="separate"/>
          </w:r>
          <w:r>
            <w:rPr>
              <w:rFonts w:hint="eastAsia" w:ascii="Times New Roman" w:hAnsi="Times New Roman" w:eastAsia="方正小标宋简体" w:cs="方正小标宋简体"/>
              <w:kern w:val="2"/>
              <w:sz w:val="28"/>
              <w:szCs w:val="28"/>
              <w:highlight w:val="none"/>
              <w:lang w:val="en-US" w:eastAsia="zh-CN" w:bidi="ar-SA"/>
            </w:rPr>
            <w:t>第五部分 附表</w:t>
          </w:r>
          <w:r>
            <w:rPr>
              <w:rFonts w:hint="eastAsia" w:ascii="黑体" w:hAnsi="黑体" w:eastAsia="黑体" w:cs="黑体"/>
              <w:b/>
              <w:bCs/>
              <w:sz w:val="21"/>
              <w:szCs w:val="21"/>
            </w:rPr>
            <w:tab/>
          </w:r>
          <w:r>
            <w:rPr>
              <w:rFonts w:hint="eastAsia" w:ascii="黑体" w:hAnsi="黑体" w:eastAsia="黑体" w:cs="黑体"/>
              <w:b/>
              <w:bCs/>
              <w:sz w:val="21"/>
              <w:szCs w:val="21"/>
            </w:rPr>
            <w:fldChar w:fldCharType="begin"/>
          </w:r>
          <w:r>
            <w:rPr>
              <w:rFonts w:hint="eastAsia" w:ascii="黑体" w:hAnsi="黑体" w:eastAsia="黑体" w:cs="黑体"/>
              <w:b/>
              <w:bCs/>
              <w:sz w:val="21"/>
              <w:szCs w:val="21"/>
            </w:rPr>
            <w:instrText xml:space="preserve"> PAGEREF _Toc12303 \h </w:instrText>
          </w:r>
          <w:r>
            <w:rPr>
              <w:rFonts w:hint="eastAsia" w:ascii="黑体" w:hAnsi="黑体" w:eastAsia="黑体" w:cs="黑体"/>
              <w:b/>
              <w:bCs/>
              <w:sz w:val="21"/>
              <w:szCs w:val="21"/>
            </w:rPr>
            <w:fldChar w:fldCharType="separate"/>
          </w:r>
          <w:r>
            <w:rPr>
              <w:rFonts w:hint="eastAsia" w:ascii="黑体" w:hAnsi="黑体" w:eastAsia="黑体" w:cs="黑体"/>
              <w:b/>
              <w:bCs/>
              <w:sz w:val="21"/>
              <w:szCs w:val="21"/>
            </w:rPr>
            <w:t>- 48 -</w:t>
          </w:r>
          <w:r>
            <w:rPr>
              <w:rFonts w:hint="eastAsia" w:ascii="黑体" w:hAnsi="黑体" w:eastAsia="黑体" w:cs="黑体"/>
              <w:b/>
              <w:bCs/>
              <w:sz w:val="21"/>
              <w:szCs w:val="21"/>
            </w:rPr>
            <w:fldChar w:fldCharType="end"/>
          </w:r>
          <w:r>
            <w:rPr>
              <w:rFonts w:hint="eastAsia" w:ascii="黑体" w:hAnsi="黑体" w:eastAsia="黑体" w:cs="黑体"/>
              <w:b/>
              <w:bCs/>
              <w:sz w:val="21"/>
              <w:szCs w:val="21"/>
            </w:rPr>
            <w:fldChar w:fldCharType="end"/>
          </w:r>
        </w:p>
        <w:p w14:paraId="18DA9890">
          <w:pPr>
            <w:pStyle w:val="13"/>
            <w:keepNext w:val="0"/>
            <w:keepLines w:val="0"/>
            <w:pageBreakBefore w:val="0"/>
            <w:widowControl w:val="0"/>
            <w:tabs>
              <w:tab w:val="right" w:leader="dot" w:pos="8306"/>
              <w:tab w:val="clear" w:pos="8296"/>
            </w:tabs>
            <w:kinsoku/>
            <w:wordWrap/>
            <w:overflowPunct/>
            <w:topLinePunct w:val="0"/>
            <w:autoSpaceDE/>
            <w:autoSpaceDN/>
            <w:bidi w:val="0"/>
            <w:adjustRightInd/>
            <w:spacing w:line="576" w:lineRule="exact"/>
            <w:ind w:left="0" w:leftChars="0"/>
            <w:textAlignment w:val="auto"/>
            <w:rPr>
              <w:rFonts w:hint="eastAsia" w:ascii="黑体" w:hAnsi="黑体" w:eastAsia="黑体" w:cs="黑体"/>
              <w:b/>
              <w:bCs/>
              <w:sz w:val="21"/>
              <w:szCs w:val="21"/>
            </w:rPr>
          </w:pPr>
          <w:r>
            <w:rPr>
              <w:rFonts w:hint="eastAsia" w:ascii="黑体" w:hAnsi="黑体" w:eastAsia="黑体" w:cs="黑体"/>
              <w:b/>
              <w:bCs/>
              <w:sz w:val="21"/>
              <w:szCs w:val="21"/>
            </w:rPr>
            <w:fldChar w:fldCharType="begin"/>
          </w:r>
          <w:r>
            <w:rPr>
              <w:rFonts w:hint="eastAsia" w:ascii="黑体" w:hAnsi="黑体" w:eastAsia="黑体" w:cs="黑体"/>
              <w:b/>
              <w:bCs/>
              <w:sz w:val="21"/>
              <w:szCs w:val="21"/>
            </w:rPr>
            <w:instrText xml:space="preserve"> HYPERLINK \l _Toc11091 </w:instrText>
          </w:r>
          <w:r>
            <w:rPr>
              <w:rFonts w:hint="eastAsia" w:ascii="黑体" w:hAnsi="黑体" w:eastAsia="黑体" w:cs="黑体"/>
              <w:b/>
              <w:bCs/>
              <w:sz w:val="21"/>
              <w:szCs w:val="21"/>
            </w:rPr>
            <w:fldChar w:fldCharType="separate"/>
          </w:r>
          <w:r>
            <w:rPr>
              <w:rFonts w:hint="eastAsia" w:ascii="黑体" w:hAnsi="黑体" w:eastAsia="黑体" w:cs="黑体"/>
              <w:b/>
              <w:bCs/>
              <w:sz w:val="21"/>
              <w:szCs w:val="21"/>
            </w:rPr>
            <w:t>一、收入支出决算总表</w:t>
          </w:r>
          <w:r>
            <w:rPr>
              <w:rFonts w:hint="eastAsia" w:ascii="黑体" w:hAnsi="黑体" w:eastAsia="黑体" w:cs="黑体"/>
              <w:b/>
              <w:bCs/>
              <w:sz w:val="21"/>
              <w:szCs w:val="21"/>
            </w:rPr>
            <w:tab/>
          </w:r>
          <w:r>
            <w:rPr>
              <w:rFonts w:hint="eastAsia" w:ascii="黑体" w:hAnsi="黑体" w:eastAsia="黑体" w:cs="黑体"/>
              <w:b/>
              <w:bCs/>
              <w:sz w:val="21"/>
              <w:szCs w:val="21"/>
            </w:rPr>
            <w:fldChar w:fldCharType="begin"/>
          </w:r>
          <w:r>
            <w:rPr>
              <w:rFonts w:hint="eastAsia" w:ascii="黑体" w:hAnsi="黑体" w:eastAsia="黑体" w:cs="黑体"/>
              <w:b/>
              <w:bCs/>
              <w:sz w:val="21"/>
              <w:szCs w:val="21"/>
            </w:rPr>
            <w:instrText xml:space="preserve"> PAGEREF _Toc11091 \h </w:instrText>
          </w:r>
          <w:r>
            <w:rPr>
              <w:rFonts w:hint="eastAsia" w:ascii="黑体" w:hAnsi="黑体" w:eastAsia="黑体" w:cs="黑体"/>
              <w:b/>
              <w:bCs/>
              <w:sz w:val="21"/>
              <w:szCs w:val="21"/>
            </w:rPr>
            <w:fldChar w:fldCharType="separate"/>
          </w:r>
          <w:r>
            <w:rPr>
              <w:rFonts w:hint="eastAsia" w:ascii="黑体" w:hAnsi="黑体" w:eastAsia="黑体" w:cs="黑体"/>
              <w:b/>
              <w:bCs/>
              <w:sz w:val="21"/>
              <w:szCs w:val="21"/>
            </w:rPr>
            <w:t>- 49 -</w:t>
          </w:r>
          <w:r>
            <w:rPr>
              <w:rFonts w:hint="eastAsia" w:ascii="黑体" w:hAnsi="黑体" w:eastAsia="黑体" w:cs="黑体"/>
              <w:b/>
              <w:bCs/>
              <w:sz w:val="21"/>
              <w:szCs w:val="21"/>
            </w:rPr>
            <w:fldChar w:fldCharType="end"/>
          </w:r>
          <w:r>
            <w:rPr>
              <w:rFonts w:hint="eastAsia" w:ascii="黑体" w:hAnsi="黑体" w:eastAsia="黑体" w:cs="黑体"/>
              <w:b/>
              <w:bCs/>
              <w:sz w:val="21"/>
              <w:szCs w:val="21"/>
            </w:rPr>
            <w:fldChar w:fldCharType="end"/>
          </w:r>
        </w:p>
        <w:p w14:paraId="4CAD79B6">
          <w:pPr>
            <w:pStyle w:val="13"/>
            <w:keepNext w:val="0"/>
            <w:keepLines w:val="0"/>
            <w:pageBreakBefore w:val="0"/>
            <w:widowControl w:val="0"/>
            <w:tabs>
              <w:tab w:val="right" w:leader="dot" w:pos="8306"/>
              <w:tab w:val="clear" w:pos="8296"/>
            </w:tabs>
            <w:kinsoku/>
            <w:wordWrap/>
            <w:overflowPunct/>
            <w:topLinePunct w:val="0"/>
            <w:autoSpaceDE/>
            <w:autoSpaceDN/>
            <w:bidi w:val="0"/>
            <w:adjustRightInd/>
            <w:spacing w:line="576" w:lineRule="exact"/>
            <w:ind w:left="0" w:leftChars="0"/>
            <w:textAlignment w:val="auto"/>
            <w:rPr>
              <w:rFonts w:hint="eastAsia" w:ascii="黑体" w:hAnsi="黑体" w:eastAsia="黑体" w:cs="黑体"/>
              <w:b/>
              <w:bCs/>
              <w:sz w:val="21"/>
              <w:szCs w:val="21"/>
            </w:rPr>
          </w:pPr>
          <w:r>
            <w:rPr>
              <w:rFonts w:hint="eastAsia" w:ascii="黑体" w:hAnsi="黑体" w:eastAsia="黑体" w:cs="黑体"/>
              <w:b/>
              <w:bCs/>
              <w:sz w:val="21"/>
              <w:szCs w:val="21"/>
            </w:rPr>
            <w:fldChar w:fldCharType="begin"/>
          </w:r>
          <w:r>
            <w:rPr>
              <w:rFonts w:hint="eastAsia" w:ascii="黑体" w:hAnsi="黑体" w:eastAsia="黑体" w:cs="黑体"/>
              <w:b/>
              <w:bCs/>
              <w:sz w:val="21"/>
              <w:szCs w:val="21"/>
            </w:rPr>
            <w:instrText xml:space="preserve"> HYPERLINK \l _Toc21824 </w:instrText>
          </w:r>
          <w:r>
            <w:rPr>
              <w:rFonts w:hint="eastAsia" w:ascii="黑体" w:hAnsi="黑体" w:eastAsia="黑体" w:cs="黑体"/>
              <w:b/>
              <w:bCs/>
              <w:sz w:val="21"/>
              <w:szCs w:val="21"/>
            </w:rPr>
            <w:fldChar w:fldCharType="separate"/>
          </w:r>
          <w:r>
            <w:rPr>
              <w:rFonts w:hint="eastAsia" w:ascii="黑体" w:hAnsi="黑体" w:eastAsia="黑体" w:cs="黑体"/>
              <w:b/>
              <w:bCs/>
              <w:sz w:val="21"/>
              <w:szCs w:val="21"/>
            </w:rPr>
            <w:t>二、收入决算表</w:t>
          </w:r>
          <w:r>
            <w:rPr>
              <w:rFonts w:hint="eastAsia" w:ascii="黑体" w:hAnsi="黑体" w:eastAsia="黑体" w:cs="黑体"/>
              <w:b/>
              <w:bCs/>
              <w:sz w:val="21"/>
              <w:szCs w:val="21"/>
            </w:rPr>
            <w:tab/>
          </w:r>
          <w:r>
            <w:rPr>
              <w:rFonts w:hint="eastAsia" w:ascii="黑体" w:hAnsi="黑体" w:eastAsia="黑体" w:cs="黑体"/>
              <w:b/>
              <w:bCs/>
              <w:sz w:val="21"/>
              <w:szCs w:val="21"/>
            </w:rPr>
            <w:fldChar w:fldCharType="begin"/>
          </w:r>
          <w:r>
            <w:rPr>
              <w:rFonts w:hint="eastAsia" w:ascii="黑体" w:hAnsi="黑体" w:eastAsia="黑体" w:cs="黑体"/>
              <w:b/>
              <w:bCs/>
              <w:sz w:val="21"/>
              <w:szCs w:val="21"/>
            </w:rPr>
            <w:instrText xml:space="preserve"> PAGEREF _Toc21824 \h </w:instrText>
          </w:r>
          <w:r>
            <w:rPr>
              <w:rFonts w:hint="eastAsia" w:ascii="黑体" w:hAnsi="黑体" w:eastAsia="黑体" w:cs="黑体"/>
              <w:b/>
              <w:bCs/>
              <w:sz w:val="21"/>
              <w:szCs w:val="21"/>
            </w:rPr>
            <w:fldChar w:fldCharType="separate"/>
          </w:r>
          <w:r>
            <w:rPr>
              <w:rFonts w:hint="eastAsia" w:ascii="黑体" w:hAnsi="黑体" w:eastAsia="黑体" w:cs="黑体"/>
              <w:b/>
              <w:bCs/>
              <w:sz w:val="21"/>
              <w:szCs w:val="21"/>
            </w:rPr>
            <w:t>- 49 -</w:t>
          </w:r>
          <w:r>
            <w:rPr>
              <w:rFonts w:hint="eastAsia" w:ascii="黑体" w:hAnsi="黑体" w:eastAsia="黑体" w:cs="黑体"/>
              <w:b/>
              <w:bCs/>
              <w:sz w:val="21"/>
              <w:szCs w:val="21"/>
            </w:rPr>
            <w:fldChar w:fldCharType="end"/>
          </w:r>
          <w:r>
            <w:rPr>
              <w:rFonts w:hint="eastAsia" w:ascii="黑体" w:hAnsi="黑体" w:eastAsia="黑体" w:cs="黑体"/>
              <w:b/>
              <w:bCs/>
              <w:sz w:val="21"/>
              <w:szCs w:val="21"/>
            </w:rPr>
            <w:fldChar w:fldCharType="end"/>
          </w:r>
        </w:p>
        <w:p w14:paraId="0DF257CF">
          <w:pPr>
            <w:pStyle w:val="13"/>
            <w:keepNext w:val="0"/>
            <w:keepLines w:val="0"/>
            <w:pageBreakBefore w:val="0"/>
            <w:widowControl w:val="0"/>
            <w:tabs>
              <w:tab w:val="right" w:leader="dot" w:pos="8306"/>
              <w:tab w:val="clear" w:pos="8296"/>
            </w:tabs>
            <w:kinsoku/>
            <w:wordWrap/>
            <w:overflowPunct/>
            <w:topLinePunct w:val="0"/>
            <w:autoSpaceDE/>
            <w:autoSpaceDN/>
            <w:bidi w:val="0"/>
            <w:adjustRightInd/>
            <w:spacing w:line="576" w:lineRule="exact"/>
            <w:ind w:left="0" w:leftChars="0"/>
            <w:textAlignment w:val="auto"/>
            <w:rPr>
              <w:rFonts w:hint="eastAsia" w:ascii="黑体" w:hAnsi="黑体" w:eastAsia="黑体" w:cs="黑体"/>
              <w:b/>
              <w:bCs/>
              <w:sz w:val="21"/>
              <w:szCs w:val="21"/>
            </w:rPr>
          </w:pPr>
          <w:r>
            <w:rPr>
              <w:rFonts w:hint="eastAsia" w:ascii="黑体" w:hAnsi="黑体" w:eastAsia="黑体" w:cs="黑体"/>
              <w:b/>
              <w:bCs/>
              <w:sz w:val="21"/>
              <w:szCs w:val="21"/>
            </w:rPr>
            <w:fldChar w:fldCharType="begin"/>
          </w:r>
          <w:r>
            <w:rPr>
              <w:rFonts w:hint="eastAsia" w:ascii="黑体" w:hAnsi="黑体" w:eastAsia="黑体" w:cs="黑体"/>
              <w:b/>
              <w:bCs/>
              <w:sz w:val="21"/>
              <w:szCs w:val="21"/>
            </w:rPr>
            <w:instrText xml:space="preserve"> HYPERLINK \l _Toc957 </w:instrText>
          </w:r>
          <w:r>
            <w:rPr>
              <w:rFonts w:hint="eastAsia" w:ascii="黑体" w:hAnsi="黑体" w:eastAsia="黑体" w:cs="黑体"/>
              <w:b/>
              <w:bCs/>
              <w:sz w:val="21"/>
              <w:szCs w:val="21"/>
            </w:rPr>
            <w:fldChar w:fldCharType="separate"/>
          </w:r>
          <w:r>
            <w:rPr>
              <w:rFonts w:hint="eastAsia" w:ascii="黑体" w:hAnsi="黑体" w:eastAsia="黑体" w:cs="黑体"/>
              <w:b/>
              <w:bCs/>
              <w:sz w:val="21"/>
              <w:szCs w:val="21"/>
            </w:rPr>
            <w:t>三、支出决算表</w:t>
          </w:r>
          <w:r>
            <w:rPr>
              <w:rFonts w:hint="eastAsia" w:ascii="黑体" w:hAnsi="黑体" w:eastAsia="黑体" w:cs="黑体"/>
              <w:b/>
              <w:bCs/>
              <w:sz w:val="21"/>
              <w:szCs w:val="21"/>
            </w:rPr>
            <w:tab/>
          </w:r>
          <w:r>
            <w:rPr>
              <w:rFonts w:hint="eastAsia" w:ascii="黑体" w:hAnsi="黑体" w:eastAsia="黑体" w:cs="黑体"/>
              <w:b/>
              <w:bCs/>
              <w:sz w:val="21"/>
              <w:szCs w:val="21"/>
            </w:rPr>
            <w:fldChar w:fldCharType="begin"/>
          </w:r>
          <w:r>
            <w:rPr>
              <w:rFonts w:hint="eastAsia" w:ascii="黑体" w:hAnsi="黑体" w:eastAsia="黑体" w:cs="黑体"/>
              <w:b/>
              <w:bCs/>
              <w:sz w:val="21"/>
              <w:szCs w:val="21"/>
            </w:rPr>
            <w:instrText xml:space="preserve"> PAGEREF _Toc957 \h </w:instrText>
          </w:r>
          <w:r>
            <w:rPr>
              <w:rFonts w:hint="eastAsia" w:ascii="黑体" w:hAnsi="黑体" w:eastAsia="黑体" w:cs="黑体"/>
              <w:b/>
              <w:bCs/>
              <w:sz w:val="21"/>
              <w:szCs w:val="21"/>
            </w:rPr>
            <w:fldChar w:fldCharType="separate"/>
          </w:r>
          <w:r>
            <w:rPr>
              <w:rFonts w:hint="eastAsia" w:ascii="黑体" w:hAnsi="黑体" w:eastAsia="黑体" w:cs="黑体"/>
              <w:b/>
              <w:bCs/>
              <w:sz w:val="21"/>
              <w:szCs w:val="21"/>
            </w:rPr>
            <w:t>- 49 -</w:t>
          </w:r>
          <w:r>
            <w:rPr>
              <w:rFonts w:hint="eastAsia" w:ascii="黑体" w:hAnsi="黑体" w:eastAsia="黑体" w:cs="黑体"/>
              <w:b/>
              <w:bCs/>
              <w:sz w:val="21"/>
              <w:szCs w:val="21"/>
            </w:rPr>
            <w:fldChar w:fldCharType="end"/>
          </w:r>
          <w:r>
            <w:rPr>
              <w:rFonts w:hint="eastAsia" w:ascii="黑体" w:hAnsi="黑体" w:eastAsia="黑体" w:cs="黑体"/>
              <w:b/>
              <w:bCs/>
              <w:sz w:val="21"/>
              <w:szCs w:val="21"/>
            </w:rPr>
            <w:fldChar w:fldCharType="end"/>
          </w:r>
        </w:p>
        <w:p w14:paraId="60BEAE86">
          <w:pPr>
            <w:pStyle w:val="13"/>
            <w:keepNext w:val="0"/>
            <w:keepLines w:val="0"/>
            <w:pageBreakBefore w:val="0"/>
            <w:widowControl w:val="0"/>
            <w:tabs>
              <w:tab w:val="right" w:leader="dot" w:pos="8306"/>
              <w:tab w:val="clear" w:pos="8296"/>
            </w:tabs>
            <w:kinsoku/>
            <w:wordWrap/>
            <w:overflowPunct/>
            <w:topLinePunct w:val="0"/>
            <w:autoSpaceDE/>
            <w:autoSpaceDN/>
            <w:bidi w:val="0"/>
            <w:adjustRightInd/>
            <w:spacing w:line="576" w:lineRule="exact"/>
            <w:ind w:left="0" w:leftChars="0"/>
            <w:textAlignment w:val="auto"/>
            <w:rPr>
              <w:rFonts w:hint="eastAsia" w:ascii="黑体" w:hAnsi="黑体" w:eastAsia="黑体" w:cs="黑体"/>
              <w:b/>
              <w:bCs/>
              <w:sz w:val="21"/>
              <w:szCs w:val="21"/>
            </w:rPr>
          </w:pPr>
          <w:r>
            <w:rPr>
              <w:rFonts w:hint="eastAsia" w:ascii="黑体" w:hAnsi="黑体" w:eastAsia="黑体" w:cs="黑体"/>
              <w:b/>
              <w:bCs/>
              <w:sz w:val="21"/>
              <w:szCs w:val="21"/>
            </w:rPr>
            <w:fldChar w:fldCharType="begin"/>
          </w:r>
          <w:r>
            <w:rPr>
              <w:rFonts w:hint="eastAsia" w:ascii="黑体" w:hAnsi="黑体" w:eastAsia="黑体" w:cs="黑体"/>
              <w:b/>
              <w:bCs/>
              <w:sz w:val="21"/>
              <w:szCs w:val="21"/>
            </w:rPr>
            <w:instrText xml:space="preserve"> HYPERLINK \l _Toc13607 </w:instrText>
          </w:r>
          <w:r>
            <w:rPr>
              <w:rFonts w:hint="eastAsia" w:ascii="黑体" w:hAnsi="黑体" w:eastAsia="黑体" w:cs="黑体"/>
              <w:b/>
              <w:bCs/>
              <w:sz w:val="21"/>
              <w:szCs w:val="21"/>
            </w:rPr>
            <w:fldChar w:fldCharType="separate"/>
          </w:r>
          <w:r>
            <w:rPr>
              <w:rFonts w:hint="eastAsia" w:ascii="黑体" w:hAnsi="黑体" w:eastAsia="黑体" w:cs="黑体"/>
              <w:b/>
              <w:bCs/>
              <w:sz w:val="21"/>
              <w:szCs w:val="21"/>
            </w:rPr>
            <w:t>四、财政拨款收入支出决算总表</w:t>
          </w:r>
          <w:r>
            <w:rPr>
              <w:rFonts w:hint="eastAsia" w:ascii="黑体" w:hAnsi="黑体" w:eastAsia="黑体" w:cs="黑体"/>
              <w:b/>
              <w:bCs/>
              <w:sz w:val="21"/>
              <w:szCs w:val="21"/>
            </w:rPr>
            <w:tab/>
          </w:r>
          <w:r>
            <w:rPr>
              <w:rFonts w:hint="eastAsia" w:ascii="黑体" w:hAnsi="黑体" w:eastAsia="黑体" w:cs="黑体"/>
              <w:b/>
              <w:bCs/>
              <w:sz w:val="21"/>
              <w:szCs w:val="21"/>
            </w:rPr>
            <w:fldChar w:fldCharType="begin"/>
          </w:r>
          <w:r>
            <w:rPr>
              <w:rFonts w:hint="eastAsia" w:ascii="黑体" w:hAnsi="黑体" w:eastAsia="黑体" w:cs="黑体"/>
              <w:b/>
              <w:bCs/>
              <w:sz w:val="21"/>
              <w:szCs w:val="21"/>
            </w:rPr>
            <w:instrText xml:space="preserve"> PAGEREF _Toc13607 \h </w:instrText>
          </w:r>
          <w:r>
            <w:rPr>
              <w:rFonts w:hint="eastAsia" w:ascii="黑体" w:hAnsi="黑体" w:eastAsia="黑体" w:cs="黑体"/>
              <w:b/>
              <w:bCs/>
              <w:sz w:val="21"/>
              <w:szCs w:val="21"/>
            </w:rPr>
            <w:fldChar w:fldCharType="separate"/>
          </w:r>
          <w:r>
            <w:rPr>
              <w:rFonts w:hint="eastAsia" w:ascii="黑体" w:hAnsi="黑体" w:eastAsia="黑体" w:cs="黑体"/>
              <w:b/>
              <w:bCs/>
              <w:sz w:val="21"/>
              <w:szCs w:val="21"/>
            </w:rPr>
            <w:t>- 49 -</w:t>
          </w:r>
          <w:r>
            <w:rPr>
              <w:rFonts w:hint="eastAsia" w:ascii="黑体" w:hAnsi="黑体" w:eastAsia="黑体" w:cs="黑体"/>
              <w:b/>
              <w:bCs/>
              <w:sz w:val="21"/>
              <w:szCs w:val="21"/>
            </w:rPr>
            <w:fldChar w:fldCharType="end"/>
          </w:r>
          <w:r>
            <w:rPr>
              <w:rFonts w:hint="eastAsia" w:ascii="黑体" w:hAnsi="黑体" w:eastAsia="黑体" w:cs="黑体"/>
              <w:b/>
              <w:bCs/>
              <w:sz w:val="21"/>
              <w:szCs w:val="21"/>
            </w:rPr>
            <w:fldChar w:fldCharType="end"/>
          </w:r>
        </w:p>
        <w:p w14:paraId="7904FE38">
          <w:pPr>
            <w:pStyle w:val="13"/>
            <w:keepNext w:val="0"/>
            <w:keepLines w:val="0"/>
            <w:pageBreakBefore w:val="0"/>
            <w:widowControl w:val="0"/>
            <w:tabs>
              <w:tab w:val="right" w:leader="dot" w:pos="8306"/>
              <w:tab w:val="clear" w:pos="8296"/>
            </w:tabs>
            <w:kinsoku/>
            <w:wordWrap/>
            <w:overflowPunct/>
            <w:topLinePunct w:val="0"/>
            <w:autoSpaceDE/>
            <w:autoSpaceDN/>
            <w:bidi w:val="0"/>
            <w:adjustRightInd/>
            <w:spacing w:line="576" w:lineRule="exact"/>
            <w:ind w:left="0" w:leftChars="0"/>
            <w:textAlignment w:val="auto"/>
            <w:rPr>
              <w:rFonts w:hint="eastAsia" w:ascii="黑体" w:hAnsi="黑体" w:eastAsia="黑体" w:cs="黑体"/>
              <w:b/>
              <w:bCs/>
              <w:sz w:val="21"/>
              <w:szCs w:val="21"/>
            </w:rPr>
          </w:pPr>
          <w:r>
            <w:rPr>
              <w:rFonts w:hint="eastAsia" w:ascii="黑体" w:hAnsi="黑体" w:eastAsia="黑体" w:cs="黑体"/>
              <w:b/>
              <w:bCs/>
              <w:sz w:val="21"/>
              <w:szCs w:val="21"/>
            </w:rPr>
            <w:fldChar w:fldCharType="begin"/>
          </w:r>
          <w:r>
            <w:rPr>
              <w:rFonts w:hint="eastAsia" w:ascii="黑体" w:hAnsi="黑体" w:eastAsia="黑体" w:cs="黑体"/>
              <w:b/>
              <w:bCs/>
              <w:sz w:val="21"/>
              <w:szCs w:val="21"/>
            </w:rPr>
            <w:instrText xml:space="preserve"> HYPERLINK \l _Toc25908 </w:instrText>
          </w:r>
          <w:r>
            <w:rPr>
              <w:rFonts w:hint="eastAsia" w:ascii="黑体" w:hAnsi="黑体" w:eastAsia="黑体" w:cs="黑体"/>
              <w:b/>
              <w:bCs/>
              <w:sz w:val="21"/>
              <w:szCs w:val="21"/>
            </w:rPr>
            <w:fldChar w:fldCharType="separate"/>
          </w:r>
          <w:r>
            <w:rPr>
              <w:rFonts w:hint="eastAsia" w:ascii="黑体" w:hAnsi="黑体" w:eastAsia="黑体" w:cs="黑体"/>
              <w:b/>
              <w:bCs/>
              <w:sz w:val="21"/>
              <w:szCs w:val="21"/>
            </w:rPr>
            <w:t>五、财政拨款支出决算明细表</w:t>
          </w:r>
          <w:r>
            <w:rPr>
              <w:rFonts w:hint="eastAsia" w:ascii="黑体" w:hAnsi="黑体" w:eastAsia="黑体" w:cs="黑体"/>
              <w:b/>
              <w:bCs/>
              <w:sz w:val="21"/>
              <w:szCs w:val="21"/>
            </w:rPr>
            <w:tab/>
          </w:r>
          <w:r>
            <w:rPr>
              <w:rFonts w:hint="eastAsia" w:ascii="黑体" w:hAnsi="黑体" w:eastAsia="黑体" w:cs="黑体"/>
              <w:b/>
              <w:bCs/>
              <w:sz w:val="21"/>
              <w:szCs w:val="21"/>
            </w:rPr>
            <w:fldChar w:fldCharType="begin"/>
          </w:r>
          <w:r>
            <w:rPr>
              <w:rFonts w:hint="eastAsia" w:ascii="黑体" w:hAnsi="黑体" w:eastAsia="黑体" w:cs="黑体"/>
              <w:b/>
              <w:bCs/>
              <w:sz w:val="21"/>
              <w:szCs w:val="21"/>
            </w:rPr>
            <w:instrText xml:space="preserve"> PAGEREF _Toc25908 \h </w:instrText>
          </w:r>
          <w:r>
            <w:rPr>
              <w:rFonts w:hint="eastAsia" w:ascii="黑体" w:hAnsi="黑体" w:eastAsia="黑体" w:cs="黑体"/>
              <w:b/>
              <w:bCs/>
              <w:sz w:val="21"/>
              <w:szCs w:val="21"/>
            </w:rPr>
            <w:fldChar w:fldCharType="separate"/>
          </w:r>
          <w:r>
            <w:rPr>
              <w:rFonts w:hint="eastAsia" w:ascii="黑体" w:hAnsi="黑体" w:eastAsia="黑体" w:cs="黑体"/>
              <w:b/>
              <w:bCs/>
              <w:sz w:val="21"/>
              <w:szCs w:val="21"/>
            </w:rPr>
            <w:t>- 49 -</w:t>
          </w:r>
          <w:r>
            <w:rPr>
              <w:rFonts w:hint="eastAsia" w:ascii="黑体" w:hAnsi="黑体" w:eastAsia="黑体" w:cs="黑体"/>
              <w:b/>
              <w:bCs/>
              <w:sz w:val="21"/>
              <w:szCs w:val="21"/>
            </w:rPr>
            <w:fldChar w:fldCharType="end"/>
          </w:r>
          <w:r>
            <w:rPr>
              <w:rFonts w:hint="eastAsia" w:ascii="黑体" w:hAnsi="黑体" w:eastAsia="黑体" w:cs="黑体"/>
              <w:b/>
              <w:bCs/>
              <w:sz w:val="21"/>
              <w:szCs w:val="21"/>
            </w:rPr>
            <w:fldChar w:fldCharType="end"/>
          </w:r>
        </w:p>
        <w:p w14:paraId="4B42D0D6">
          <w:pPr>
            <w:pStyle w:val="13"/>
            <w:keepNext w:val="0"/>
            <w:keepLines w:val="0"/>
            <w:pageBreakBefore w:val="0"/>
            <w:widowControl w:val="0"/>
            <w:tabs>
              <w:tab w:val="right" w:leader="dot" w:pos="8306"/>
              <w:tab w:val="clear" w:pos="8296"/>
            </w:tabs>
            <w:kinsoku/>
            <w:wordWrap/>
            <w:overflowPunct/>
            <w:topLinePunct w:val="0"/>
            <w:autoSpaceDE/>
            <w:autoSpaceDN/>
            <w:bidi w:val="0"/>
            <w:adjustRightInd/>
            <w:spacing w:line="576" w:lineRule="exact"/>
            <w:ind w:left="0" w:leftChars="0"/>
            <w:textAlignment w:val="auto"/>
            <w:rPr>
              <w:rFonts w:hint="eastAsia" w:ascii="黑体" w:hAnsi="黑体" w:eastAsia="黑体" w:cs="黑体"/>
              <w:b/>
              <w:bCs/>
              <w:sz w:val="21"/>
              <w:szCs w:val="21"/>
            </w:rPr>
          </w:pPr>
          <w:r>
            <w:rPr>
              <w:rFonts w:hint="eastAsia" w:ascii="黑体" w:hAnsi="黑体" w:eastAsia="黑体" w:cs="黑体"/>
              <w:b/>
              <w:bCs/>
              <w:sz w:val="21"/>
              <w:szCs w:val="21"/>
            </w:rPr>
            <w:fldChar w:fldCharType="begin"/>
          </w:r>
          <w:r>
            <w:rPr>
              <w:rFonts w:hint="eastAsia" w:ascii="黑体" w:hAnsi="黑体" w:eastAsia="黑体" w:cs="黑体"/>
              <w:b/>
              <w:bCs/>
              <w:sz w:val="21"/>
              <w:szCs w:val="21"/>
            </w:rPr>
            <w:instrText xml:space="preserve"> HYPERLINK \l _Toc22366 </w:instrText>
          </w:r>
          <w:r>
            <w:rPr>
              <w:rFonts w:hint="eastAsia" w:ascii="黑体" w:hAnsi="黑体" w:eastAsia="黑体" w:cs="黑体"/>
              <w:b/>
              <w:bCs/>
              <w:sz w:val="21"/>
              <w:szCs w:val="21"/>
            </w:rPr>
            <w:fldChar w:fldCharType="separate"/>
          </w:r>
          <w:r>
            <w:rPr>
              <w:rFonts w:hint="eastAsia" w:ascii="黑体" w:hAnsi="黑体" w:eastAsia="黑体" w:cs="黑体"/>
              <w:b/>
              <w:bCs/>
              <w:sz w:val="21"/>
              <w:szCs w:val="21"/>
            </w:rPr>
            <w:t>六、一般公共预算财政拨款支出决算表</w:t>
          </w:r>
          <w:r>
            <w:rPr>
              <w:rFonts w:hint="eastAsia" w:ascii="黑体" w:hAnsi="黑体" w:eastAsia="黑体" w:cs="黑体"/>
              <w:b/>
              <w:bCs/>
              <w:sz w:val="21"/>
              <w:szCs w:val="21"/>
            </w:rPr>
            <w:tab/>
          </w:r>
          <w:r>
            <w:rPr>
              <w:rFonts w:hint="eastAsia" w:ascii="黑体" w:hAnsi="黑体" w:eastAsia="黑体" w:cs="黑体"/>
              <w:b/>
              <w:bCs/>
              <w:sz w:val="21"/>
              <w:szCs w:val="21"/>
            </w:rPr>
            <w:fldChar w:fldCharType="begin"/>
          </w:r>
          <w:r>
            <w:rPr>
              <w:rFonts w:hint="eastAsia" w:ascii="黑体" w:hAnsi="黑体" w:eastAsia="黑体" w:cs="黑体"/>
              <w:b/>
              <w:bCs/>
              <w:sz w:val="21"/>
              <w:szCs w:val="21"/>
            </w:rPr>
            <w:instrText xml:space="preserve"> PAGEREF _Toc22366 \h </w:instrText>
          </w:r>
          <w:r>
            <w:rPr>
              <w:rFonts w:hint="eastAsia" w:ascii="黑体" w:hAnsi="黑体" w:eastAsia="黑体" w:cs="黑体"/>
              <w:b/>
              <w:bCs/>
              <w:sz w:val="21"/>
              <w:szCs w:val="21"/>
            </w:rPr>
            <w:fldChar w:fldCharType="separate"/>
          </w:r>
          <w:r>
            <w:rPr>
              <w:rFonts w:hint="eastAsia" w:ascii="黑体" w:hAnsi="黑体" w:eastAsia="黑体" w:cs="黑体"/>
              <w:b/>
              <w:bCs/>
              <w:sz w:val="21"/>
              <w:szCs w:val="21"/>
            </w:rPr>
            <w:t>- 49 -</w:t>
          </w:r>
          <w:r>
            <w:rPr>
              <w:rFonts w:hint="eastAsia" w:ascii="黑体" w:hAnsi="黑体" w:eastAsia="黑体" w:cs="黑体"/>
              <w:b/>
              <w:bCs/>
              <w:sz w:val="21"/>
              <w:szCs w:val="21"/>
            </w:rPr>
            <w:fldChar w:fldCharType="end"/>
          </w:r>
          <w:r>
            <w:rPr>
              <w:rFonts w:hint="eastAsia" w:ascii="黑体" w:hAnsi="黑体" w:eastAsia="黑体" w:cs="黑体"/>
              <w:b/>
              <w:bCs/>
              <w:sz w:val="21"/>
              <w:szCs w:val="21"/>
            </w:rPr>
            <w:fldChar w:fldCharType="end"/>
          </w:r>
        </w:p>
        <w:p w14:paraId="58991196">
          <w:pPr>
            <w:pStyle w:val="13"/>
            <w:keepNext w:val="0"/>
            <w:keepLines w:val="0"/>
            <w:pageBreakBefore w:val="0"/>
            <w:widowControl w:val="0"/>
            <w:tabs>
              <w:tab w:val="right" w:leader="dot" w:pos="8306"/>
              <w:tab w:val="clear" w:pos="8296"/>
            </w:tabs>
            <w:kinsoku/>
            <w:wordWrap/>
            <w:overflowPunct/>
            <w:topLinePunct w:val="0"/>
            <w:autoSpaceDE/>
            <w:autoSpaceDN/>
            <w:bidi w:val="0"/>
            <w:adjustRightInd/>
            <w:spacing w:line="576" w:lineRule="exact"/>
            <w:ind w:left="0" w:leftChars="0"/>
            <w:textAlignment w:val="auto"/>
            <w:rPr>
              <w:rFonts w:hint="eastAsia" w:ascii="黑体" w:hAnsi="黑体" w:eastAsia="黑体" w:cs="黑体"/>
              <w:b/>
              <w:bCs/>
              <w:sz w:val="21"/>
              <w:szCs w:val="21"/>
            </w:rPr>
          </w:pPr>
          <w:r>
            <w:rPr>
              <w:rFonts w:hint="eastAsia" w:ascii="黑体" w:hAnsi="黑体" w:eastAsia="黑体" w:cs="黑体"/>
              <w:b/>
              <w:bCs/>
              <w:sz w:val="21"/>
              <w:szCs w:val="21"/>
            </w:rPr>
            <w:fldChar w:fldCharType="begin"/>
          </w:r>
          <w:r>
            <w:rPr>
              <w:rFonts w:hint="eastAsia" w:ascii="黑体" w:hAnsi="黑体" w:eastAsia="黑体" w:cs="黑体"/>
              <w:b/>
              <w:bCs/>
              <w:sz w:val="21"/>
              <w:szCs w:val="21"/>
            </w:rPr>
            <w:instrText xml:space="preserve"> HYPERLINK \l _Toc19547 </w:instrText>
          </w:r>
          <w:r>
            <w:rPr>
              <w:rFonts w:hint="eastAsia" w:ascii="黑体" w:hAnsi="黑体" w:eastAsia="黑体" w:cs="黑体"/>
              <w:b/>
              <w:bCs/>
              <w:sz w:val="21"/>
              <w:szCs w:val="21"/>
            </w:rPr>
            <w:fldChar w:fldCharType="separate"/>
          </w:r>
          <w:r>
            <w:rPr>
              <w:rFonts w:hint="eastAsia" w:ascii="黑体" w:hAnsi="黑体" w:eastAsia="黑体" w:cs="黑体"/>
              <w:b/>
              <w:bCs/>
              <w:sz w:val="21"/>
              <w:szCs w:val="21"/>
            </w:rPr>
            <w:t>七、一般公共预算财政拨款支出决算明细表</w:t>
          </w:r>
          <w:r>
            <w:rPr>
              <w:rFonts w:hint="eastAsia" w:ascii="黑体" w:hAnsi="黑体" w:eastAsia="黑体" w:cs="黑体"/>
              <w:b/>
              <w:bCs/>
              <w:sz w:val="21"/>
              <w:szCs w:val="21"/>
            </w:rPr>
            <w:tab/>
          </w:r>
          <w:r>
            <w:rPr>
              <w:rFonts w:hint="eastAsia" w:ascii="黑体" w:hAnsi="黑体" w:eastAsia="黑体" w:cs="黑体"/>
              <w:b/>
              <w:bCs/>
              <w:sz w:val="21"/>
              <w:szCs w:val="21"/>
            </w:rPr>
            <w:fldChar w:fldCharType="begin"/>
          </w:r>
          <w:r>
            <w:rPr>
              <w:rFonts w:hint="eastAsia" w:ascii="黑体" w:hAnsi="黑体" w:eastAsia="黑体" w:cs="黑体"/>
              <w:b/>
              <w:bCs/>
              <w:sz w:val="21"/>
              <w:szCs w:val="21"/>
            </w:rPr>
            <w:instrText xml:space="preserve"> PAGEREF _Toc19547 \h </w:instrText>
          </w:r>
          <w:r>
            <w:rPr>
              <w:rFonts w:hint="eastAsia" w:ascii="黑体" w:hAnsi="黑体" w:eastAsia="黑体" w:cs="黑体"/>
              <w:b/>
              <w:bCs/>
              <w:sz w:val="21"/>
              <w:szCs w:val="21"/>
            </w:rPr>
            <w:fldChar w:fldCharType="separate"/>
          </w:r>
          <w:r>
            <w:rPr>
              <w:rFonts w:hint="eastAsia" w:ascii="黑体" w:hAnsi="黑体" w:eastAsia="黑体" w:cs="黑体"/>
              <w:b/>
              <w:bCs/>
              <w:sz w:val="21"/>
              <w:szCs w:val="21"/>
            </w:rPr>
            <w:t>- 49 -</w:t>
          </w:r>
          <w:r>
            <w:rPr>
              <w:rFonts w:hint="eastAsia" w:ascii="黑体" w:hAnsi="黑体" w:eastAsia="黑体" w:cs="黑体"/>
              <w:b/>
              <w:bCs/>
              <w:sz w:val="21"/>
              <w:szCs w:val="21"/>
            </w:rPr>
            <w:fldChar w:fldCharType="end"/>
          </w:r>
          <w:r>
            <w:rPr>
              <w:rFonts w:hint="eastAsia" w:ascii="黑体" w:hAnsi="黑体" w:eastAsia="黑体" w:cs="黑体"/>
              <w:b/>
              <w:bCs/>
              <w:sz w:val="21"/>
              <w:szCs w:val="21"/>
            </w:rPr>
            <w:fldChar w:fldCharType="end"/>
          </w:r>
        </w:p>
        <w:p w14:paraId="3873FAD3">
          <w:pPr>
            <w:pStyle w:val="13"/>
            <w:keepNext w:val="0"/>
            <w:keepLines w:val="0"/>
            <w:pageBreakBefore w:val="0"/>
            <w:widowControl w:val="0"/>
            <w:tabs>
              <w:tab w:val="right" w:leader="dot" w:pos="8306"/>
              <w:tab w:val="clear" w:pos="8296"/>
            </w:tabs>
            <w:kinsoku/>
            <w:wordWrap/>
            <w:overflowPunct/>
            <w:topLinePunct w:val="0"/>
            <w:autoSpaceDE/>
            <w:autoSpaceDN/>
            <w:bidi w:val="0"/>
            <w:adjustRightInd/>
            <w:spacing w:line="576" w:lineRule="exact"/>
            <w:ind w:left="0" w:leftChars="0"/>
            <w:textAlignment w:val="auto"/>
            <w:rPr>
              <w:rFonts w:hint="eastAsia" w:ascii="黑体" w:hAnsi="黑体" w:eastAsia="黑体" w:cs="黑体"/>
              <w:b/>
              <w:bCs/>
              <w:sz w:val="21"/>
              <w:szCs w:val="21"/>
            </w:rPr>
          </w:pPr>
          <w:r>
            <w:rPr>
              <w:rFonts w:hint="eastAsia" w:ascii="黑体" w:hAnsi="黑体" w:eastAsia="黑体" w:cs="黑体"/>
              <w:b/>
              <w:bCs/>
              <w:sz w:val="21"/>
              <w:szCs w:val="21"/>
            </w:rPr>
            <w:fldChar w:fldCharType="begin"/>
          </w:r>
          <w:r>
            <w:rPr>
              <w:rFonts w:hint="eastAsia" w:ascii="黑体" w:hAnsi="黑体" w:eastAsia="黑体" w:cs="黑体"/>
              <w:b/>
              <w:bCs/>
              <w:sz w:val="21"/>
              <w:szCs w:val="21"/>
            </w:rPr>
            <w:instrText xml:space="preserve"> HYPERLINK \l _Toc21413 </w:instrText>
          </w:r>
          <w:r>
            <w:rPr>
              <w:rFonts w:hint="eastAsia" w:ascii="黑体" w:hAnsi="黑体" w:eastAsia="黑体" w:cs="黑体"/>
              <w:b/>
              <w:bCs/>
              <w:sz w:val="21"/>
              <w:szCs w:val="21"/>
            </w:rPr>
            <w:fldChar w:fldCharType="separate"/>
          </w:r>
          <w:r>
            <w:rPr>
              <w:rFonts w:hint="eastAsia" w:ascii="黑体" w:hAnsi="黑体" w:eastAsia="黑体" w:cs="黑体"/>
              <w:b/>
              <w:bCs/>
              <w:sz w:val="21"/>
              <w:szCs w:val="21"/>
            </w:rPr>
            <w:t>八、一般公共预算财政拨款基本支出决算表</w:t>
          </w:r>
          <w:r>
            <w:rPr>
              <w:rFonts w:hint="eastAsia" w:ascii="黑体" w:hAnsi="黑体" w:eastAsia="黑体" w:cs="黑体"/>
              <w:b/>
              <w:bCs/>
              <w:sz w:val="21"/>
              <w:szCs w:val="21"/>
            </w:rPr>
            <w:tab/>
          </w:r>
          <w:r>
            <w:rPr>
              <w:rFonts w:hint="eastAsia" w:ascii="黑体" w:hAnsi="黑体" w:eastAsia="黑体" w:cs="黑体"/>
              <w:b/>
              <w:bCs/>
              <w:sz w:val="21"/>
              <w:szCs w:val="21"/>
            </w:rPr>
            <w:fldChar w:fldCharType="begin"/>
          </w:r>
          <w:r>
            <w:rPr>
              <w:rFonts w:hint="eastAsia" w:ascii="黑体" w:hAnsi="黑体" w:eastAsia="黑体" w:cs="黑体"/>
              <w:b/>
              <w:bCs/>
              <w:sz w:val="21"/>
              <w:szCs w:val="21"/>
            </w:rPr>
            <w:instrText xml:space="preserve"> PAGEREF _Toc21413 \h </w:instrText>
          </w:r>
          <w:r>
            <w:rPr>
              <w:rFonts w:hint="eastAsia" w:ascii="黑体" w:hAnsi="黑体" w:eastAsia="黑体" w:cs="黑体"/>
              <w:b/>
              <w:bCs/>
              <w:sz w:val="21"/>
              <w:szCs w:val="21"/>
            </w:rPr>
            <w:fldChar w:fldCharType="separate"/>
          </w:r>
          <w:r>
            <w:rPr>
              <w:rFonts w:hint="eastAsia" w:ascii="黑体" w:hAnsi="黑体" w:eastAsia="黑体" w:cs="黑体"/>
              <w:b/>
              <w:bCs/>
              <w:sz w:val="21"/>
              <w:szCs w:val="21"/>
            </w:rPr>
            <w:t>- 49 -</w:t>
          </w:r>
          <w:r>
            <w:rPr>
              <w:rFonts w:hint="eastAsia" w:ascii="黑体" w:hAnsi="黑体" w:eastAsia="黑体" w:cs="黑体"/>
              <w:b/>
              <w:bCs/>
              <w:sz w:val="21"/>
              <w:szCs w:val="21"/>
            </w:rPr>
            <w:fldChar w:fldCharType="end"/>
          </w:r>
          <w:r>
            <w:rPr>
              <w:rFonts w:hint="eastAsia" w:ascii="黑体" w:hAnsi="黑体" w:eastAsia="黑体" w:cs="黑体"/>
              <w:b/>
              <w:bCs/>
              <w:sz w:val="21"/>
              <w:szCs w:val="21"/>
            </w:rPr>
            <w:fldChar w:fldCharType="end"/>
          </w:r>
        </w:p>
        <w:p w14:paraId="55E01656">
          <w:pPr>
            <w:pStyle w:val="13"/>
            <w:keepNext w:val="0"/>
            <w:keepLines w:val="0"/>
            <w:pageBreakBefore w:val="0"/>
            <w:widowControl w:val="0"/>
            <w:tabs>
              <w:tab w:val="right" w:leader="dot" w:pos="8306"/>
              <w:tab w:val="clear" w:pos="8296"/>
            </w:tabs>
            <w:kinsoku/>
            <w:wordWrap/>
            <w:overflowPunct/>
            <w:topLinePunct w:val="0"/>
            <w:autoSpaceDE/>
            <w:autoSpaceDN/>
            <w:bidi w:val="0"/>
            <w:adjustRightInd/>
            <w:spacing w:line="576" w:lineRule="exact"/>
            <w:ind w:left="0" w:leftChars="0"/>
            <w:textAlignment w:val="auto"/>
            <w:rPr>
              <w:rFonts w:hint="eastAsia" w:ascii="黑体" w:hAnsi="黑体" w:eastAsia="黑体" w:cs="黑体"/>
              <w:b/>
              <w:bCs/>
              <w:sz w:val="21"/>
              <w:szCs w:val="21"/>
            </w:rPr>
          </w:pPr>
          <w:r>
            <w:rPr>
              <w:rFonts w:hint="eastAsia" w:ascii="黑体" w:hAnsi="黑体" w:eastAsia="黑体" w:cs="黑体"/>
              <w:b/>
              <w:bCs/>
              <w:sz w:val="21"/>
              <w:szCs w:val="21"/>
            </w:rPr>
            <w:fldChar w:fldCharType="begin"/>
          </w:r>
          <w:r>
            <w:rPr>
              <w:rFonts w:hint="eastAsia" w:ascii="黑体" w:hAnsi="黑体" w:eastAsia="黑体" w:cs="黑体"/>
              <w:b/>
              <w:bCs/>
              <w:sz w:val="21"/>
              <w:szCs w:val="21"/>
            </w:rPr>
            <w:instrText xml:space="preserve"> HYPERLINK \l _Toc28916 </w:instrText>
          </w:r>
          <w:r>
            <w:rPr>
              <w:rFonts w:hint="eastAsia" w:ascii="黑体" w:hAnsi="黑体" w:eastAsia="黑体" w:cs="黑体"/>
              <w:b/>
              <w:bCs/>
              <w:sz w:val="21"/>
              <w:szCs w:val="21"/>
            </w:rPr>
            <w:fldChar w:fldCharType="separate"/>
          </w:r>
          <w:r>
            <w:rPr>
              <w:rFonts w:hint="eastAsia" w:ascii="黑体" w:hAnsi="黑体" w:eastAsia="黑体" w:cs="黑体"/>
              <w:b/>
              <w:bCs/>
              <w:sz w:val="21"/>
              <w:szCs w:val="21"/>
            </w:rPr>
            <w:t>九、一般公共预算财政拨款项目支出决算表</w:t>
          </w:r>
          <w:r>
            <w:rPr>
              <w:rFonts w:hint="eastAsia" w:ascii="黑体" w:hAnsi="黑体" w:eastAsia="黑体" w:cs="黑体"/>
              <w:b/>
              <w:bCs/>
              <w:sz w:val="21"/>
              <w:szCs w:val="21"/>
            </w:rPr>
            <w:tab/>
          </w:r>
          <w:r>
            <w:rPr>
              <w:rFonts w:hint="eastAsia" w:ascii="黑体" w:hAnsi="黑体" w:eastAsia="黑体" w:cs="黑体"/>
              <w:b/>
              <w:bCs/>
              <w:sz w:val="21"/>
              <w:szCs w:val="21"/>
            </w:rPr>
            <w:fldChar w:fldCharType="begin"/>
          </w:r>
          <w:r>
            <w:rPr>
              <w:rFonts w:hint="eastAsia" w:ascii="黑体" w:hAnsi="黑体" w:eastAsia="黑体" w:cs="黑体"/>
              <w:b/>
              <w:bCs/>
              <w:sz w:val="21"/>
              <w:szCs w:val="21"/>
            </w:rPr>
            <w:instrText xml:space="preserve"> PAGEREF _Toc28916 \h </w:instrText>
          </w:r>
          <w:r>
            <w:rPr>
              <w:rFonts w:hint="eastAsia" w:ascii="黑体" w:hAnsi="黑体" w:eastAsia="黑体" w:cs="黑体"/>
              <w:b/>
              <w:bCs/>
              <w:sz w:val="21"/>
              <w:szCs w:val="21"/>
            </w:rPr>
            <w:fldChar w:fldCharType="separate"/>
          </w:r>
          <w:r>
            <w:rPr>
              <w:rFonts w:hint="eastAsia" w:ascii="黑体" w:hAnsi="黑体" w:eastAsia="黑体" w:cs="黑体"/>
              <w:b/>
              <w:bCs/>
              <w:sz w:val="21"/>
              <w:szCs w:val="21"/>
            </w:rPr>
            <w:t>- 49 -</w:t>
          </w:r>
          <w:r>
            <w:rPr>
              <w:rFonts w:hint="eastAsia" w:ascii="黑体" w:hAnsi="黑体" w:eastAsia="黑体" w:cs="黑体"/>
              <w:b/>
              <w:bCs/>
              <w:sz w:val="21"/>
              <w:szCs w:val="21"/>
            </w:rPr>
            <w:fldChar w:fldCharType="end"/>
          </w:r>
          <w:r>
            <w:rPr>
              <w:rFonts w:hint="eastAsia" w:ascii="黑体" w:hAnsi="黑体" w:eastAsia="黑体" w:cs="黑体"/>
              <w:b/>
              <w:bCs/>
              <w:sz w:val="21"/>
              <w:szCs w:val="21"/>
            </w:rPr>
            <w:fldChar w:fldCharType="end"/>
          </w:r>
        </w:p>
        <w:p w14:paraId="5C326A1D">
          <w:pPr>
            <w:pStyle w:val="13"/>
            <w:keepNext w:val="0"/>
            <w:keepLines w:val="0"/>
            <w:pageBreakBefore w:val="0"/>
            <w:widowControl w:val="0"/>
            <w:tabs>
              <w:tab w:val="right" w:leader="dot" w:pos="8306"/>
              <w:tab w:val="clear" w:pos="8296"/>
            </w:tabs>
            <w:kinsoku/>
            <w:wordWrap/>
            <w:overflowPunct/>
            <w:topLinePunct w:val="0"/>
            <w:autoSpaceDE/>
            <w:autoSpaceDN/>
            <w:bidi w:val="0"/>
            <w:adjustRightInd/>
            <w:spacing w:line="576" w:lineRule="exact"/>
            <w:ind w:left="0" w:leftChars="0"/>
            <w:textAlignment w:val="auto"/>
            <w:rPr>
              <w:rFonts w:hint="eastAsia" w:ascii="黑体" w:hAnsi="黑体" w:eastAsia="黑体" w:cs="黑体"/>
              <w:b/>
              <w:bCs/>
              <w:sz w:val="21"/>
              <w:szCs w:val="21"/>
            </w:rPr>
          </w:pPr>
          <w:r>
            <w:rPr>
              <w:rFonts w:hint="eastAsia" w:ascii="黑体" w:hAnsi="黑体" w:eastAsia="黑体" w:cs="黑体"/>
              <w:b/>
              <w:bCs/>
              <w:sz w:val="21"/>
              <w:szCs w:val="21"/>
            </w:rPr>
            <w:fldChar w:fldCharType="begin"/>
          </w:r>
          <w:r>
            <w:rPr>
              <w:rFonts w:hint="eastAsia" w:ascii="黑体" w:hAnsi="黑体" w:eastAsia="黑体" w:cs="黑体"/>
              <w:b/>
              <w:bCs/>
              <w:sz w:val="21"/>
              <w:szCs w:val="21"/>
            </w:rPr>
            <w:instrText xml:space="preserve"> HYPERLINK \l _Toc3503 </w:instrText>
          </w:r>
          <w:r>
            <w:rPr>
              <w:rFonts w:hint="eastAsia" w:ascii="黑体" w:hAnsi="黑体" w:eastAsia="黑体" w:cs="黑体"/>
              <w:b/>
              <w:bCs/>
              <w:sz w:val="21"/>
              <w:szCs w:val="21"/>
            </w:rPr>
            <w:fldChar w:fldCharType="separate"/>
          </w:r>
          <w:r>
            <w:rPr>
              <w:rFonts w:hint="eastAsia" w:ascii="黑体" w:hAnsi="黑体" w:eastAsia="黑体" w:cs="黑体"/>
              <w:b/>
              <w:bCs/>
              <w:sz w:val="21"/>
              <w:szCs w:val="21"/>
            </w:rPr>
            <w:t>十、政府性基金预算财政拨款收入支出决算表</w:t>
          </w:r>
          <w:r>
            <w:rPr>
              <w:rFonts w:hint="eastAsia" w:ascii="黑体" w:hAnsi="黑体" w:eastAsia="黑体" w:cs="黑体"/>
              <w:b/>
              <w:bCs/>
              <w:sz w:val="21"/>
              <w:szCs w:val="21"/>
            </w:rPr>
            <w:tab/>
          </w:r>
          <w:r>
            <w:rPr>
              <w:rFonts w:hint="eastAsia" w:ascii="黑体" w:hAnsi="黑体" w:eastAsia="黑体" w:cs="黑体"/>
              <w:b/>
              <w:bCs/>
              <w:sz w:val="21"/>
              <w:szCs w:val="21"/>
            </w:rPr>
            <w:fldChar w:fldCharType="begin"/>
          </w:r>
          <w:r>
            <w:rPr>
              <w:rFonts w:hint="eastAsia" w:ascii="黑体" w:hAnsi="黑体" w:eastAsia="黑体" w:cs="黑体"/>
              <w:b/>
              <w:bCs/>
              <w:sz w:val="21"/>
              <w:szCs w:val="21"/>
            </w:rPr>
            <w:instrText xml:space="preserve"> PAGEREF _Toc3503 \h </w:instrText>
          </w:r>
          <w:r>
            <w:rPr>
              <w:rFonts w:hint="eastAsia" w:ascii="黑体" w:hAnsi="黑体" w:eastAsia="黑体" w:cs="黑体"/>
              <w:b/>
              <w:bCs/>
              <w:sz w:val="21"/>
              <w:szCs w:val="21"/>
            </w:rPr>
            <w:fldChar w:fldCharType="separate"/>
          </w:r>
          <w:r>
            <w:rPr>
              <w:rFonts w:hint="eastAsia" w:ascii="黑体" w:hAnsi="黑体" w:eastAsia="黑体" w:cs="黑体"/>
              <w:b/>
              <w:bCs/>
              <w:sz w:val="21"/>
              <w:szCs w:val="21"/>
            </w:rPr>
            <w:t>- 49 -</w:t>
          </w:r>
          <w:r>
            <w:rPr>
              <w:rFonts w:hint="eastAsia" w:ascii="黑体" w:hAnsi="黑体" w:eastAsia="黑体" w:cs="黑体"/>
              <w:b/>
              <w:bCs/>
              <w:sz w:val="21"/>
              <w:szCs w:val="21"/>
            </w:rPr>
            <w:fldChar w:fldCharType="end"/>
          </w:r>
          <w:r>
            <w:rPr>
              <w:rFonts w:hint="eastAsia" w:ascii="黑体" w:hAnsi="黑体" w:eastAsia="黑体" w:cs="黑体"/>
              <w:b/>
              <w:bCs/>
              <w:sz w:val="21"/>
              <w:szCs w:val="21"/>
            </w:rPr>
            <w:fldChar w:fldCharType="end"/>
          </w:r>
        </w:p>
        <w:p w14:paraId="7DC8E01A">
          <w:pPr>
            <w:pStyle w:val="13"/>
            <w:keepNext w:val="0"/>
            <w:keepLines w:val="0"/>
            <w:pageBreakBefore w:val="0"/>
            <w:widowControl w:val="0"/>
            <w:tabs>
              <w:tab w:val="right" w:leader="dot" w:pos="8306"/>
              <w:tab w:val="clear" w:pos="8296"/>
            </w:tabs>
            <w:kinsoku/>
            <w:wordWrap/>
            <w:overflowPunct/>
            <w:topLinePunct w:val="0"/>
            <w:autoSpaceDE/>
            <w:autoSpaceDN/>
            <w:bidi w:val="0"/>
            <w:adjustRightInd/>
            <w:spacing w:line="576" w:lineRule="exact"/>
            <w:ind w:left="0" w:leftChars="0"/>
            <w:textAlignment w:val="auto"/>
            <w:rPr>
              <w:rFonts w:hint="eastAsia" w:ascii="黑体" w:hAnsi="黑体" w:eastAsia="黑体" w:cs="黑体"/>
              <w:b/>
              <w:bCs/>
              <w:sz w:val="21"/>
              <w:szCs w:val="21"/>
            </w:rPr>
          </w:pPr>
          <w:r>
            <w:rPr>
              <w:rFonts w:hint="eastAsia" w:ascii="黑体" w:hAnsi="黑体" w:eastAsia="黑体" w:cs="黑体"/>
              <w:b/>
              <w:bCs/>
              <w:sz w:val="21"/>
              <w:szCs w:val="21"/>
            </w:rPr>
            <w:fldChar w:fldCharType="begin"/>
          </w:r>
          <w:r>
            <w:rPr>
              <w:rFonts w:hint="eastAsia" w:ascii="黑体" w:hAnsi="黑体" w:eastAsia="黑体" w:cs="黑体"/>
              <w:b/>
              <w:bCs/>
              <w:sz w:val="21"/>
              <w:szCs w:val="21"/>
            </w:rPr>
            <w:instrText xml:space="preserve"> HYPERLINK \l _Toc28409 </w:instrText>
          </w:r>
          <w:r>
            <w:rPr>
              <w:rFonts w:hint="eastAsia" w:ascii="黑体" w:hAnsi="黑体" w:eastAsia="黑体" w:cs="黑体"/>
              <w:b/>
              <w:bCs/>
              <w:sz w:val="21"/>
              <w:szCs w:val="21"/>
            </w:rPr>
            <w:fldChar w:fldCharType="separate"/>
          </w:r>
          <w:r>
            <w:rPr>
              <w:rFonts w:hint="eastAsia" w:ascii="黑体" w:hAnsi="黑体" w:eastAsia="黑体" w:cs="黑体"/>
              <w:b/>
              <w:bCs/>
              <w:sz w:val="21"/>
              <w:szCs w:val="21"/>
            </w:rPr>
            <w:t>十一、国有资本经营预算</w:t>
          </w:r>
          <w:r>
            <w:rPr>
              <w:rFonts w:hint="eastAsia" w:ascii="黑体" w:hAnsi="黑体" w:eastAsia="黑体" w:cs="黑体"/>
              <w:b/>
              <w:bCs/>
              <w:sz w:val="21"/>
              <w:szCs w:val="21"/>
              <w:lang w:eastAsia="zh-CN"/>
            </w:rPr>
            <w:t>财政拨款收入</w:t>
          </w:r>
          <w:r>
            <w:rPr>
              <w:rFonts w:hint="eastAsia" w:ascii="黑体" w:hAnsi="黑体" w:eastAsia="黑体" w:cs="黑体"/>
              <w:b/>
              <w:bCs/>
              <w:sz w:val="21"/>
              <w:szCs w:val="21"/>
            </w:rPr>
            <w:t>支出决算表</w:t>
          </w:r>
          <w:r>
            <w:rPr>
              <w:rFonts w:hint="eastAsia" w:ascii="黑体" w:hAnsi="黑体" w:eastAsia="黑体" w:cs="黑体"/>
              <w:b/>
              <w:bCs/>
              <w:sz w:val="21"/>
              <w:szCs w:val="21"/>
            </w:rPr>
            <w:tab/>
          </w:r>
          <w:r>
            <w:rPr>
              <w:rFonts w:hint="eastAsia" w:ascii="黑体" w:hAnsi="黑体" w:eastAsia="黑体" w:cs="黑体"/>
              <w:b/>
              <w:bCs/>
              <w:sz w:val="21"/>
              <w:szCs w:val="21"/>
            </w:rPr>
            <w:fldChar w:fldCharType="begin"/>
          </w:r>
          <w:r>
            <w:rPr>
              <w:rFonts w:hint="eastAsia" w:ascii="黑体" w:hAnsi="黑体" w:eastAsia="黑体" w:cs="黑体"/>
              <w:b/>
              <w:bCs/>
              <w:sz w:val="21"/>
              <w:szCs w:val="21"/>
            </w:rPr>
            <w:instrText xml:space="preserve"> PAGEREF _Toc28409 \h </w:instrText>
          </w:r>
          <w:r>
            <w:rPr>
              <w:rFonts w:hint="eastAsia" w:ascii="黑体" w:hAnsi="黑体" w:eastAsia="黑体" w:cs="黑体"/>
              <w:b/>
              <w:bCs/>
              <w:sz w:val="21"/>
              <w:szCs w:val="21"/>
            </w:rPr>
            <w:fldChar w:fldCharType="separate"/>
          </w:r>
          <w:r>
            <w:rPr>
              <w:rFonts w:hint="eastAsia" w:ascii="黑体" w:hAnsi="黑体" w:eastAsia="黑体" w:cs="黑体"/>
              <w:b/>
              <w:bCs/>
              <w:sz w:val="21"/>
              <w:szCs w:val="21"/>
            </w:rPr>
            <w:t>- 49 -</w:t>
          </w:r>
          <w:r>
            <w:rPr>
              <w:rFonts w:hint="eastAsia" w:ascii="黑体" w:hAnsi="黑体" w:eastAsia="黑体" w:cs="黑体"/>
              <w:b/>
              <w:bCs/>
              <w:sz w:val="21"/>
              <w:szCs w:val="21"/>
            </w:rPr>
            <w:fldChar w:fldCharType="end"/>
          </w:r>
          <w:r>
            <w:rPr>
              <w:rFonts w:hint="eastAsia" w:ascii="黑体" w:hAnsi="黑体" w:eastAsia="黑体" w:cs="黑体"/>
              <w:b/>
              <w:bCs/>
              <w:sz w:val="21"/>
              <w:szCs w:val="21"/>
            </w:rPr>
            <w:fldChar w:fldCharType="end"/>
          </w:r>
        </w:p>
        <w:p w14:paraId="485427D8">
          <w:pPr>
            <w:pStyle w:val="13"/>
            <w:keepNext w:val="0"/>
            <w:keepLines w:val="0"/>
            <w:pageBreakBefore w:val="0"/>
            <w:widowControl w:val="0"/>
            <w:tabs>
              <w:tab w:val="right" w:leader="dot" w:pos="8306"/>
              <w:tab w:val="clear" w:pos="8296"/>
            </w:tabs>
            <w:kinsoku/>
            <w:wordWrap/>
            <w:overflowPunct/>
            <w:topLinePunct w:val="0"/>
            <w:autoSpaceDE/>
            <w:autoSpaceDN/>
            <w:bidi w:val="0"/>
            <w:adjustRightInd/>
            <w:spacing w:line="576" w:lineRule="exact"/>
            <w:ind w:left="0" w:leftChars="0"/>
            <w:textAlignment w:val="auto"/>
            <w:rPr>
              <w:rFonts w:hint="eastAsia" w:ascii="黑体" w:hAnsi="黑体" w:eastAsia="黑体" w:cs="黑体"/>
              <w:b/>
              <w:bCs/>
              <w:sz w:val="21"/>
              <w:szCs w:val="21"/>
            </w:rPr>
          </w:pPr>
          <w:r>
            <w:rPr>
              <w:rFonts w:hint="eastAsia" w:ascii="黑体" w:hAnsi="黑体" w:eastAsia="黑体" w:cs="黑体"/>
              <w:b/>
              <w:bCs/>
              <w:sz w:val="21"/>
              <w:szCs w:val="21"/>
            </w:rPr>
            <w:fldChar w:fldCharType="begin"/>
          </w:r>
          <w:r>
            <w:rPr>
              <w:rFonts w:hint="eastAsia" w:ascii="黑体" w:hAnsi="黑体" w:eastAsia="黑体" w:cs="黑体"/>
              <w:b/>
              <w:bCs/>
              <w:sz w:val="21"/>
              <w:szCs w:val="21"/>
            </w:rPr>
            <w:instrText xml:space="preserve"> HYPERLINK \l _Toc9303 </w:instrText>
          </w:r>
          <w:r>
            <w:rPr>
              <w:rFonts w:hint="eastAsia" w:ascii="黑体" w:hAnsi="黑体" w:eastAsia="黑体" w:cs="黑体"/>
              <w:b/>
              <w:bCs/>
              <w:sz w:val="21"/>
              <w:szCs w:val="21"/>
            </w:rPr>
            <w:fldChar w:fldCharType="separate"/>
          </w:r>
          <w:r>
            <w:rPr>
              <w:rFonts w:hint="eastAsia" w:ascii="黑体" w:hAnsi="黑体" w:eastAsia="黑体" w:cs="黑体"/>
              <w:b/>
              <w:bCs/>
              <w:sz w:val="21"/>
              <w:szCs w:val="21"/>
            </w:rPr>
            <w:t>十二、</w:t>
          </w:r>
          <w:r>
            <w:rPr>
              <w:rFonts w:hint="eastAsia" w:ascii="黑体" w:hAnsi="黑体" w:eastAsia="黑体" w:cs="黑体"/>
              <w:b/>
              <w:bCs/>
              <w:sz w:val="21"/>
              <w:szCs w:val="21"/>
              <w:lang w:eastAsia="zh-CN"/>
            </w:rPr>
            <w:t>国有资本经营预算财政拨款支出决算表</w:t>
          </w:r>
          <w:r>
            <w:rPr>
              <w:rFonts w:hint="eastAsia" w:ascii="黑体" w:hAnsi="黑体" w:eastAsia="黑体" w:cs="黑体"/>
              <w:b/>
              <w:bCs/>
              <w:sz w:val="21"/>
              <w:szCs w:val="21"/>
            </w:rPr>
            <w:tab/>
          </w:r>
          <w:r>
            <w:rPr>
              <w:rFonts w:hint="eastAsia" w:ascii="黑体" w:hAnsi="黑体" w:eastAsia="黑体" w:cs="黑体"/>
              <w:b/>
              <w:bCs/>
              <w:sz w:val="21"/>
              <w:szCs w:val="21"/>
            </w:rPr>
            <w:fldChar w:fldCharType="begin"/>
          </w:r>
          <w:r>
            <w:rPr>
              <w:rFonts w:hint="eastAsia" w:ascii="黑体" w:hAnsi="黑体" w:eastAsia="黑体" w:cs="黑体"/>
              <w:b/>
              <w:bCs/>
              <w:sz w:val="21"/>
              <w:szCs w:val="21"/>
            </w:rPr>
            <w:instrText xml:space="preserve"> PAGEREF _Toc9303 \h </w:instrText>
          </w:r>
          <w:r>
            <w:rPr>
              <w:rFonts w:hint="eastAsia" w:ascii="黑体" w:hAnsi="黑体" w:eastAsia="黑体" w:cs="黑体"/>
              <w:b/>
              <w:bCs/>
              <w:sz w:val="21"/>
              <w:szCs w:val="21"/>
            </w:rPr>
            <w:fldChar w:fldCharType="separate"/>
          </w:r>
          <w:r>
            <w:rPr>
              <w:rFonts w:hint="eastAsia" w:ascii="黑体" w:hAnsi="黑体" w:eastAsia="黑体" w:cs="黑体"/>
              <w:b/>
              <w:bCs/>
              <w:sz w:val="21"/>
              <w:szCs w:val="21"/>
            </w:rPr>
            <w:t>- 49 -</w:t>
          </w:r>
          <w:r>
            <w:rPr>
              <w:rFonts w:hint="eastAsia" w:ascii="黑体" w:hAnsi="黑体" w:eastAsia="黑体" w:cs="黑体"/>
              <w:b/>
              <w:bCs/>
              <w:sz w:val="21"/>
              <w:szCs w:val="21"/>
            </w:rPr>
            <w:fldChar w:fldCharType="end"/>
          </w:r>
          <w:r>
            <w:rPr>
              <w:rFonts w:hint="eastAsia" w:ascii="黑体" w:hAnsi="黑体" w:eastAsia="黑体" w:cs="黑体"/>
              <w:b/>
              <w:bCs/>
              <w:sz w:val="21"/>
              <w:szCs w:val="21"/>
            </w:rPr>
            <w:fldChar w:fldCharType="end"/>
          </w:r>
        </w:p>
        <w:p w14:paraId="0E560B6C">
          <w:pPr>
            <w:pStyle w:val="13"/>
            <w:keepNext w:val="0"/>
            <w:keepLines w:val="0"/>
            <w:pageBreakBefore w:val="0"/>
            <w:widowControl w:val="0"/>
            <w:tabs>
              <w:tab w:val="right" w:leader="dot" w:pos="8306"/>
              <w:tab w:val="clear" w:pos="8296"/>
            </w:tabs>
            <w:kinsoku/>
            <w:wordWrap/>
            <w:overflowPunct/>
            <w:topLinePunct w:val="0"/>
            <w:autoSpaceDE/>
            <w:autoSpaceDN/>
            <w:bidi w:val="0"/>
            <w:adjustRightInd/>
            <w:spacing w:line="576" w:lineRule="exact"/>
            <w:ind w:left="0" w:leftChars="0"/>
            <w:textAlignment w:val="auto"/>
            <w:rPr>
              <w:rFonts w:hint="eastAsia" w:ascii="黑体" w:hAnsi="黑体" w:eastAsia="黑体" w:cs="黑体"/>
              <w:b/>
              <w:bCs/>
              <w:sz w:val="21"/>
              <w:szCs w:val="21"/>
            </w:rPr>
          </w:pPr>
          <w:r>
            <w:rPr>
              <w:rFonts w:hint="eastAsia" w:ascii="黑体" w:hAnsi="黑体" w:eastAsia="黑体" w:cs="黑体"/>
              <w:b/>
              <w:bCs/>
              <w:sz w:val="21"/>
              <w:szCs w:val="21"/>
            </w:rPr>
            <w:fldChar w:fldCharType="begin"/>
          </w:r>
          <w:r>
            <w:rPr>
              <w:rFonts w:hint="eastAsia" w:ascii="黑体" w:hAnsi="黑体" w:eastAsia="黑体" w:cs="黑体"/>
              <w:b/>
              <w:bCs/>
              <w:sz w:val="21"/>
              <w:szCs w:val="21"/>
            </w:rPr>
            <w:instrText xml:space="preserve"> HYPERLINK \l _Toc14714 </w:instrText>
          </w:r>
          <w:r>
            <w:rPr>
              <w:rFonts w:hint="eastAsia" w:ascii="黑体" w:hAnsi="黑体" w:eastAsia="黑体" w:cs="黑体"/>
              <w:b/>
              <w:bCs/>
              <w:sz w:val="21"/>
              <w:szCs w:val="21"/>
            </w:rPr>
            <w:fldChar w:fldCharType="separate"/>
          </w:r>
          <w:r>
            <w:rPr>
              <w:rFonts w:hint="eastAsia" w:ascii="黑体" w:hAnsi="黑体" w:eastAsia="黑体" w:cs="黑体"/>
              <w:b/>
              <w:bCs/>
              <w:sz w:val="21"/>
              <w:szCs w:val="21"/>
            </w:rPr>
            <w:t>十三、</w:t>
          </w:r>
          <w:r>
            <w:rPr>
              <w:rFonts w:hint="eastAsia" w:ascii="黑体" w:hAnsi="黑体" w:eastAsia="黑体" w:cs="黑体"/>
              <w:b/>
              <w:bCs/>
              <w:sz w:val="21"/>
              <w:szCs w:val="21"/>
              <w:lang w:eastAsia="zh-CN"/>
            </w:rPr>
            <w:t>财政拨款“三公”经费支出决算表</w:t>
          </w:r>
          <w:r>
            <w:rPr>
              <w:rFonts w:hint="eastAsia" w:ascii="黑体" w:hAnsi="黑体" w:eastAsia="黑体" w:cs="黑体"/>
              <w:b/>
              <w:bCs/>
              <w:sz w:val="21"/>
              <w:szCs w:val="21"/>
            </w:rPr>
            <w:tab/>
          </w:r>
          <w:r>
            <w:rPr>
              <w:rFonts w:hint="eastAsia" w:ascii="黑体" w:hAnsi="黑体" w:eastAsia="黑体" w:cs="黑体"/>
              <w:b/>
              <w:bCs/>
              <w:sz w:val="21"/>
              <w:szCs w:val="21"/>
            </w:rPr>
            <w:fldChar w:fldCharType="begin"/>
          </w:r>
          <w:r>
            <w:rPr>
              <w:rFonts w:hint="eastAsia" w:ascii="黑体" w:hAnsi="黑体" w:eastAsia="黑体" w:cs="黑体"/>
              <w:b/>
              <w:bCs/>
              <w:sz w:val="21"/>
              <w:szCs w:val="21"/>
            </w:rPr>
            <w:instrText xml:space="preserve"> PAGEREF _Toc14714 \h </w:instrText>
          </w:r>
          <w:r>
            <w:rPr>
              <w:rFonts w:hint="eastAsia" w:ascii="黑体" w:hAnsi="黑体" w:eastAsia="黑体" w:cs="黑体"/>
              <w:b/>
              <w:bCs/>
              <w:sz w:val="21"/>
              <w:szCs w:val="21"/>
            </w:rPr>
            <w:fldChar w:fldCharType="separate"/>
          </w:r>
          <w:r>
            <w:rPr>
              <w:rFonts w:hint="eastAsia" w:ascii="黑体" w:hAnsi="黑体" w:eastAsia="黑体" w:cs="黑体"/>
              <w:b/>
              <w:bCs/>
              <w:sz w:val="21"/>
              <w:szCs w:val="21"/>
            </w:rPr>
            <w:t>- 49 -</w:t>
          </w:r>
          <w:r>
            <w:rPr>
              <w:rFonts w:hint="eastAsia" w:ascii="黑体" w:hAnsi="黑体" w:eastAsia="黑体" w:cs="黑体"/>
              <w:b/>
              <w:bCs/>
              <w:sz w:val="21"/>
              <w:szCs w:val="21"/>
            </w:rPr>
            <w:fldChar w:fldCharType="end"/>
          </w:r>
          <w:r>
            <w:rPr>
              <w:rFonts w:hint="eastAsia" w:ascii="黑体" w:hAnsi="黑体" w:eastAsia="黑体" w:cs="黑体"/>
              <w:b/>
              <w:bCs/>
              <w:sz w:val="21"/>
              <w:szCs w:val="21"/>
            </w:rPr>
            <w:fldChar w:fldCharType="end"/>
          </w:r>
        </w:p>
        <w:p w14:paraId="47A7D887">
          <w:pPr>
            <w:pStyle w:val="13"/>
            <w:keepNext w:val="0"/>
            <w:keepLines w:val="0"/>
            <w:pageBreakBefore w:val="0"/>
            <w:widowControl w:val="0"/>
            <w:tabs>
              <w:tab w:val="right" w:leader="dot" w:pos="8306"/>
              <w:tab w:val="clear" w:pos="8296"/>
            </w:tabs>
            <w:kinsoku/>
            <w:wordWrap/>
            <w:overflowPunct/>
            <w:topLinePunct w:val="0"/>
            <w:autoSpaceDE/>
            <w:autoSpaceDN/>
            <w:bidi w:val="0"/>
            <w:adjustRightInd/>
            <w:spacing w:line="576" w:lineRule="exact"/>
            <w:ind w:left="0" w:leftChars="0"/>
            <w:textAlignment w:val="auto"/>
            <w:rPr>
              <w:rFonts w:hint="eastAsia" w:ascii="黑体" w:hAnsi="黑体" w:eastAsia="黑体" w:cs="黑体"/>
              <w:b/>
              <w:bCs/>
              <w:kern w:val="2"/>
              <w:sz w:val="21"/>
              <w:szCs w:val="21"/>
              <w:lang w:val="en-US" w:eastAsia="zh-CN" w:bidi="ar-SA"/>
            </w:rPr>
          </w:pPr>
          <w:r>
            <w:rPr>
              <w:rFonts w:hint="eastAsia" w:ascii="黑体" w:hAnsi="黑体" w:eastAsia="黑体" w:cs="黑体"/>
              <w:b/>
              <w:bCs/>
              <w:sz w:val="21"/>
              <w:szCs w:val="21"/>
            </w:rPr>
            <w:fldChar w:fldCharType="end"/>
          </w:r>
        </w:p>
      </w:sdtContent>
    </w:sdt>
    <w:p w14:paraId="34CD6393">
      <w:pPr>
        <w:pStyle w:val="3"/>
        <w:rPr>
          <w:rFonts w:hint="eastAsia"/>
        </w:rPr>
      </w:pPr>
    </w:p>
    <w:p w14:paraId="5FF9B618">
      <w:pPr>
        <w:pStyle w:val="5"/>
        <w:bidi w:val="0"/>
        <w:ind w:firstLine="2200" w:firstLineChars="500"/>
        <w:rPr>
          <w:rFonts w:hint="eastAsia" w:ascii="方正小标宋简体" w:hAnsi="方正小标宋简体" w:eastAsia="方正小标宋简体" w:cs="方正小标宋简体"/>
          <w:b w:val="0"/>
          <w:bCs w:val="0"/>
          <w:lang w:val="en-US" w:eastAsia="zh-CN"/>
        </w:rPr>
      </w:pPr>
      <w:bookmarkStart w:id="12" w:name="_Toc25546"/>
      <w:r>
        <w:rPr>
          <w:rFonts w:hint="eastAsia" w:ascii="方正小标宋简体" w:hAnsi="方正小标宋简体" w:eastAsia="方正小标宋简体" w:cs="方正小标宋简体"/>
          <w:b w:val="0"/>
          <w:bCs w:val="0"/>
        </w:rPr>
        <w:t>第一部分</w:t>
      </w:r>
      <w:r>
        <w:rPr>
          <w:rFonts w:hint="eastAsia" w:ascii="方正小标宋简体" w:hAnsi="方正小标宋简体" w:eastAsia="方正小标宋简体" w:cs="方正小标宋简体"/>
          <w:b w:val="0"/>
          <w:bCs w:val="0"/>
          <w:lang w:val="en-US" w:eastAsia="zh-CN"/>
        </w:rPr>
        <w:t xml:space="preserve"> </w:t>
      </w:r>
      <w:r>
        <w:rPr>
          <w:rFonts w:hint="eastAsia" w:ascii="方正小标宋简体" w:hAnsi="方正小标宋简体" w:eastAsia="方正小标宋简体" w:cs="方正小标宋简体"/>
          <w:b w:val="0"/>
          <w:bCs w:val="0"/>
        </w:rPr>
        <w:t xml:space="preserve"> 部门概况</w:t>
      </w:r>
      <w:bookmarkEnd w:id="12"/>
    </w:p>
    <w:p w14:paraId="26B77F1D">
      <w:pPr>
        <w:pStyle w:val="6"/>
        <w:pageBreakBefore w:val="0"/>
        <w:numPr>
          <w:ilvl w:val="0"/>
          <w:numId w:val="1"/>
        </w:numPr>
        <w:kinsoku/>
        <w:wordWrap/>
        <w:overflowPunct/>
        <w:topLinePunct w:val="0"/>
        <w:autoSpaceDE/>
        <w:autoSpaceDN/>
        <w:bidi w:val="0"/>
        <w:spacing w:before="0" w:after="0" w:line="576" w:lineRule="exact"/>
        <w:ind w:firstLine="640" w:firstLineChars="200"/>
        <w:textAlignment w:val="auto"/>
        <w:rPr>
          <w:rFonts w:hint="eastAsia" w:ascii="黑体" w:hAnsi="黑体" w:eastAsia="黑体" w:cs="黑体"/>
          <w:b w:val="0"/>
          <w:bCs w:val="0"/>
          <w:lang w:val="en-US" w:eastAsia="zh-CN"/>
        </w:rPr>
      </w:pPr>
      <w:bookmarkStart w:id="13" w:name="_Toc5388"/>
      <w:r>
        <w:rPr>
          <w:rFonts w:hint="eastAsia" w:ascii="黑体" w:hAnsi="黑体" w:eastAsia="黑体" w:cs="黑体"/>
          <w:b w:val="0"/>
          <w:bCs w:val="0"/>
          <w:lang w:val="en-US" w:eastAsia="zh-CN"/>
        </w:rPr>
        <w:t>部门职责</w:t>
      </w:r>
      <w:bookmarkEnd w:id="13"/>
    </w:p>
    <w:p w14:paraId="0A26F917">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贯彻执行党和国家的路线方针政策和上级党委、政府各项决策部署，以及本级党员代表大会（党员大会）、人民代表大会的决议决定。</w:t>
      </w:r>
    </w:p>
    <w:p w14:paraId="52A2A50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p>
    <w:p w14:paraId="020B7284">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rPr>
      </w:pPr>
      <w:bookmarkStart w:id="14" w:name="_Toc15377199"/>
      <w:bookmarkStart w:id="15" w:name="_Toc15378446"/>
      <w:bookmarkStart w:id="16" w:name="_Toc79163604"/>
      <w:bookmarkStart w:id="17" w:name="_Toc79163854"/>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强党的建设。坚持全面从严治党，落实管党治党主体责任，全面加强党的政治建设、思想建设、组织建设、作风建设、纪律建设、制度建设等工作。不断强化自身建设和村党组织建设，以及其他隶属镇党委的党组织建设，抓好发展党员工作，加强党员队伍建设。维护和执行党的纪律</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监督党员干部和其他工作人员严格遵守国家法律法规。</w:t>
      </w:r>
    </w:p>
    <w:p w14:paraId="0BE576F5">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统筹区域发展。落实关于辖区发展的重大决策，制定辖区经济和社会发展规划、公共服务设施布局；负责乡村振兴工作，做好民生保障、扶贫开发、民族宗教等工作，推动辖区经济社会健康、有序、可持续发展</w:t>
      </w:r>
      <w:r>
        <w:rPr>
          <w:rFonts w:hint="eastAsia" w:ascii="仿宋_GB2312" w:hAnsi="仿宋_GB2312" w:eastAsia="仿宋_GB2312" w:cs="仿宋_GB2312"/>
          <w:sz w:val="32"/>
          <w:szCs w:val="32"/>
          <w:lang w:eastAsia="zh-CN"/>
        </w:rPr>
        <w:t>。</w:t>
      </w:r>
    </w:p>
    <w:p w14:paraId="6E093BAC">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强化基层治理。负责本辖区社会治理，加强社会主义民主法治建设和精神文明建设，加快推进基层社会治理体系和治理能力现代化；指导村委会建设，健全自治平台，组织群众和单位参与村委会建设和管理。负责统筹协调辖区内依法授权或委托授权的行政执法工作。</w:t>
      </w:r>
    </w:p>
    <w:p w14:paraId="00659DEF">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黑体" w:hAnsi="黑体" w:eastAsia="黑体" w:cs="黑体"/>
          <w:color w:val="auto"/>
          <w:sz w:val="32"/>
          <w:szCs w:val="32"/>
          <w:highlight w:val="none"/>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优化公共服务。推进服务型政府建设，组织实施并优化教育、卫生健康、文化、民政、社会保障、退役军人事务等各项公共服务。</w:t>
      </w:r>
    </w:p>
    <w:p w14:paraId="1C9C9C47">
      <w:pPr>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 xml:space="preserve">）负责本行政区域内的民政、文化教育、卫生、体育等社会公益事业的综合性工作，维护一切经济单位和个人的正当经济权益，取缔非法经济活动，调解和处理民事纠纷，打击刑事犯罪维护社会稳定。 </w:t>
      </w:r>
    </w:p>
    <w:p w14:paraId="43D04D75">
      <w:pPr>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 xml:space="preserve">）抓好精神文明建设，丰富群众文化生活，提倡移风易俗，反对封建迷信，破除陈规陋习，树立社会主义新风尚。 </w:t>
      </w:r>
    </w:p>
    <w:p w14:paraId="440BFDD1">
      <w:pPr>
        <w:pageBreakBefore w:val="0"/>
        <w:kinsoku/>
        <w:wordWrap/>
        <w:overflowPunct/>
        <w:topLinePunct w:val="0"/>
        <w:autoSpaceDE/>
        <w:autoSpaceDN/>
        <w:bidi w:val="0"/>
        <w:spacing w:line="576" w:lineRule="exact"/>
        <w:ind w:firstLine="640" w:firstLineChars="200"/>
        <w:textAlignment w:val="auto"/>
        <w:rPr>
          <w:rStyle w:val="30"/>
          <w:rFonts w:hint="eastAsia" w:ascii="仿宋_GB2312" w:hAnsi="仿宋_GB2312" w:eastAsia="仿宋_GB2312" w:cs="仿宋_GB2312"/>
          <w:b w:val="0"/>
          <w:bCs w:val="0"/>
          <w:color w:val="auto"/>
          <w:highlight w:val="none"/>
          <w:lang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 xml:space="preserve">）完成上级政府交办的其它事项。 </w:t>
      </w:r>
      <w:bookmarkEnd w:id="14"/>
      <w:bookmarkEnd w:id="15"/>
      <w:bookmarkEnd w:id="16"/>
      <w:bookmarkEnd w:id="17"/>
    </w:p>
    <w:p w14:paraId="5254ABD6">
      <w:pPr>
        <w:pStyle w:val="6"/>
        <w:pageBreakBefore w:val="0"/>
        <w:kinsoku/>
        <w:wordWrap/>
        <w:overflowPunct/>
        <w:topLinePunct w:val="0"/>
        <w:autoSpaceDE/>
        <w:autoSpaceDN/>
        <w:bidi w:val="0"/>
        <w:spacing w:before="0" w:after="0" w:line="576" w:lineRule="exact"/>
        <w:ind w:firstLine="640" w:firstLineChars="200"/>
        <w:textAlignment w:val="auto"/>
        <w:rPr>
          <w:rFonts w:hint="eastAsia" w:ascii="黑体" w:hAnsi="黑体" w:eastAsia="黑体" w:cs="黑体"/>
          <w:b w:val="0"/>
          <w:bCs w:val="0"/>
        </w:rPr>
      </w:pPr>
      <w:bookmarkStart w:id="18" w:name="_Toc15396601"/>
      <w:bookmarkStart w:id="19" w:name="_Toc6614"/>
      <w:bookmarkStart w:id="20" w:name="_Toc15377200"/>
      <w:r>
        <w:rPr>
          <w:rFonts w:hint="eastAsia" w:ascii="黑体" w:hAnsi="黑体" w:eastAsia="黑体" w:cs="黑体"/>
          <w:b w:val="0"/>
          <w:bCs w:val="0"/>
        </w:rPr>
        <w:t>二、机构设置</w:t>
      </w:r>
      <w:bookmarkEnd w:id="18"/>
      <w:bookmarkEnd w:id="19"/>
      <w:bookmarkEnd w:id="20"/>
    </w:p>
    <w:p w14:paraId="65582604">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阿坝州茂县沟口镇人民政府（本级）下属二级</w:t>
      </w:r>
      <w:r>
        <w:rPr>
          <w:rFonts w:hint="eastAsia" w:ascii="仿宋_GB2312" w:hAnsi="仿宋_GB2312" w:eastAsia="仿宋_GB2312" w:cs="仿宋_GB2312"/>
          <w:color w:val="auto"/>
          <w:sz w:val="32"/>
          <w:szCs w:val="32"/>
          <w:highlight w:val="none"/>
          <w:lang w:eastAsia="zh-CN"/>
        </w:rPr>
        <w:t>预算</w:t>
      </w:r>
      <w:r>
        <w:rPr>
          <w:rFonts w:hint="eastAsia" w:ascii="仿宋_GB2312" w:hAnsi="仿宋_GB2312" w:eastAsia="仿宋_GB2312" w:cs="仿宋_GB2312"/>
          <w:color w:val="auto"/>
          <w:sz w:val="32"/>
          <w:szCs w:val="32"/>
          <w:highlight w:val="none"/>
        </w:rPr>
        <w:t>单位</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个，其中行政单位</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个，参照公务员法管理的事业单位</w:t>
      </w:r>
      <w:r>
        <w:rPr>
          <w:rFonts w:hint="eastAsia" w:ascii="仿宋_GB2312" w:hAnsi="仿宋_GB2312" w:eastAsia="仿宋_GB2312" w:cs="仿宋_GB2312"/>
          <w:bCs/>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个，其他事业单位</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个。</w:t>
      </w:r>
    </w:p>
    <w:p w14:paraId="0CF80BFC">
      <w:pPr>
        <w:pStyle w:val="8"/>
        <w:keepNext w:val="0"/>
        <w:keepLines w:val="0"/>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纳入阿坝州茂县沟口镇人民政府（本级）2024年度部门决算编制范围二级预算单位包括：茂县沟口镇便民服务中心。</w:t>
      </w:r>
    </w:p>
    <w:p w14:paraId="484BE6D8">
      <w:pPr>
        <w:pageBreakBefore w:val="0"/>
        <w:widowControl/>
        <w:kinsoku/>
        <w:wordWrap/>
        <w:overflowPunct/>
        <w:topLinePunct w:val="0"/>
        <w:autoSpaceDE/>
        <w:autoSpaceDN/>
        <w:bidi w:val="0"/>
        <w:spacing w:line="576" w:lineRule="exact"/>
        <w:ind w:firstLine="640" w:firstLineChars="200"/>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br w:type="page"/>
      </w:r>
    </w:p>
    <w:p w14:paraId="439C10CF">
      <w:pPr>
        <w:pStyle w:val="5"/>
        <w:bidi w:val="0"/>
        <w:ind w:firstLine="880" w:firstLineChars="200"/>
        <w:rPr>
          <w:rFonts w:hint="eastAsia" w:ascii="方正小标宋简体" w:hAnsi="方正小标宋简体" w:eastAsia="方正小标宋简体" w:cs="方正小标宋简体"/>
          <w:b w:val="0"/>
          <w:bCs w:val="0"/>
        </w:rPr>
      </w:pPr>
      <w:bookmarkStart w:id="21" w:name="_Toc15377204"/>
      <w:bookmarkStart w:id="22" w:name="_Toc32567"/>
      <w:bookmarkStart w:id="23" w:name="_Toc15396602"/>
      <w:r>
        <w:rPr>
          <w:rFonts w:hint="eastAsia" w:ascii="方正小标宋简体" w:hAnsi="方正小标宋简体" w:eastAsia="方正小标宋简体" w:cs="方正小标宋简体"/>
          <w:b w:val="0"/>
          <w:bCs w:val="0"/>
        </w:rPr>
        <w:t>第二部分</w:t>
      </w:r>
      <w:r>
        <w:rPr>
          <w:rFonts w:hint="eastAsia" w:ascii="方正小标宋简体" w:hAnsi="方正小标宋简体" w:eastAsia="方正小标宋简体" w:cs="方正小标宋简体"/>
          <w:b w:val="0"/>
          <w:bCs w:val="0"/>
          <w:lang w:val="en-US" w:eastAsia="zh-CN"/>
        </w:rPr>
        <w:t xml:space="preserve"> </w:t>
      </w:r>
      <w:r>
        <w:rPr>
          <w:rFonts w:hint="eastAsia" w:ascii="方正小标宋简体" w:hAnsi="方正小标宋简体" w:eastAsia="方正小标宋简体" w:cs="方正小标宋简体"/>
          <w:b w:val="0"/>
          <w:bCs w:val="0"/>
        </w:rPr>
        <w:t xml:space="preserve"> </w:t>
      </w:r>
      <w:r>
        <w:rPr>
          <w:rFonts w:hint="eastAsia" w:ascii="方正小标宋简体" w:hAnsi="方正小标宋简体" w:eastAsia="方正小标宋简体" w:cs="方正小标宋简体"/>
          <w:b w:val="0"/>
          <w:bCs w:val="0"/>
          <w:lang w:val="en-US" w:eastAsia="zh-CN"/>
        </w:rPr>
        <w:t>2024年度</w:t>
      </w:r>
      <w:r>
        <w:rPr>
          <w:rFonts w:hint="eastAsia" w:ascii="方正小标宋简体" w:hAnsi="方正小标宋简体" w:eastAsia="方正小标宋简体" w:cs="方正小标宋简体"/>
          <w:b w:val="0"/>
          <w:bCs w:val="0"/>
        </w:rPr>
        <w:t>部门决算情况说明</w:t>
      </w:r>
      <w:bookmarkEnd w:id="21"/>
      <w:bookmarkEnd w:id="22"/>
      <w:bookmarkEnd w:id="23"/>
    </w:p>
    <w:p w14:paraId="20D2E355">
      <w:pPr>
        <w:pStyle w:val="6"/>
        <w:keepNext/>
        <w:keepLines/>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hint="eastAsia" w:ascii="黑体" w:hAnsi="黑体" w:eastAsia="黑体" w:cs="黑体"/>
          <w:b w:val="0"/>
          <w:bCs w:val="0"/>
        </w:rPr>
      </w:pPr>
      <w:bookmarkStart w:id="24" w:name="_Toc15396603"/>
      <w:bookmarkStart w:id="25" w:name="_Toc31625"/>
      <w:bookmarkStart w:id="26" w:name="_Toc15377205"/>
      <w:r>
        <w:rPr>
          <w:rFonts w:hint="eastAsia" w:ascii="黑体" w:hAnsi="黑体" w:eastAsia="黑体" w:cs="黑体"/>
          <w:b w:val="0"/>
          <w:bCs w:val="0"/>
          <w:lang w:eastAsia="zh-CN"/>
        </w:rPr>
        <w:t>一、</w:t>
      </w:r>
      <w:r>
        <w:rPr>
          <w:rFonts w:hint="eastAsia" w:ascii="黑体" w:hAnsi="黑体" w:eastAsia="黑体" w:cs="黑体"/>
          <w:b w:val="0"/>
          <w:bCs w:val="0"/>
        </w:rPr>
        <w:t>收入支出决算总体情况说明</w:t>
      </w:r>
      <w:bookmarkEnd w:id="24"/>
      <w:bookmarkEnd w:id="25"/>
      <w:bookmarkEnd w:id="26"/>
    </w:p>
    <w:p w14:paraId="6D56523D">
      <w:pPr>
        <w:spacing w:line="60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2024年度收入</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支出</w:t>
      </w:r>
      <w:r>
        <w:rPr>
          <w:rFonts w:hint="eastAsia" w:ascii="仿宋_GB2312" w:hAnsi="仿宋_GB2312" w:eastAsia="仿宋_GB2312" w:cs="仿宋_GB2312"/>
          <w:color w:val="auto"/>
          <w:sz w:val="32"/>
          <w:szCs w:val="32"/>
          <w:highlight w:val="none"/>
        </w:rPr>
        <w:t>总计</w:t>
      </w:r>
      <w:r>
        <w:rPr>
          <w:rFonts w:hint="eastAsia" w:ascii="仿宋_GB2312" w:hAnsi="仿宋_GB2312" w:eastAsia="仿宋_GB2312" w:cs="仿宋_GB2312"/>
          <w:color w:val="auto"/>
          <w:sz w:val="32"/>
          <w:szCs w:val="32"/>
          <w:highlight w:val="none"/>
          <w:lang w:eastAsia="zh-CN"/>
        </w:rPr>
        <w:t>均为</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476.6</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auto"/>
          <w:sz w:val="32"/>
          <w:szCs w:val="32"/>
          <w:highlight w:val="none"/>
        </w:rPr>
        <w:t>万元。与</w:t>
      </w: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eastAsia="zh-CN"/>
        </w:rPr>
        <w:t>度</w:t>
      </w:r>
      <w:r>
        <w:rPr>
          <w:rFonts w:hint="eastAsia" w:ascii="仿宋_GB2312" w:hAnsi="仿宋_GB2312" w:eastAsia="仿宋_GB2312" w:cs="仿宋_GB2312"/>
          <w:color w:val="auto"/>
          <w:sz w:val="32"/>
          <w:szCs w:val="32"/>
          <w:highlight w:val="none"/>
        </w:rPr>
        <w:t>相比，</w:t>
      </w:r>
      <w:r>
        <w:rPr>
          <w:rFonts w:hint="eastAsia" w:ascii="仿宋_GB2312" w:hAnsi="仿宋_GB2312" w:eastAsia="仿宋_GB2312" w:cs="仿宋_GB2312"/>
          <w:color w:val="auto"/>
          <w:sz w:val="32"/>
          <w:szCs w:val="32"/>
          <w:highlight w:val="none"/>
          <w:lang w:eastAsia="zh-CN"/>
        </w:rPr>
        <w:t>收入</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支出</w:t>
      </w:r>
      <w:r>
        <w:rPr>
          <w:rFonts w:hint="eastAsia" w:ascii="仿宋_GB2312" w:hAnsi="仿宋_GB2312" w:eastAsia="仿宋_GB2312" w:cs="仿宋_GB2312"/>
          <w:color w:val="auto"/>
          <w:sz w:val="32"/>
          <w:szCs w:val="32"/>
          <w:highlight w:val="none"/>
        </w:rPr>
        <w:t>总计各增加</w:t>
      </w:r>
      <w:r>
        <w:rPr>
          <w:rFonts w:hint="eastAsia" w:ascii="仿宋_GB2312" w:hAnsi="仿宋_GB2312" w:eastAsia="仿宋_GB2312" w:cs="仿宋_GB2312"/>
          <w:color w:val="auto"/>
          <w:sz w:val="32"/>
          <w:szCs w:val="32"/>
          <w:highlight w:val="none"/>
          <w:lang w:val="en-US" w:eastAsia="zh-CN"/>
        </w:rPr>
        <w:t>71.42</w:t>
      </w:r>
      <w:r>
        <w:rPr>
          <w:rFonts w:hint="eastAsia" w:ascii="仿宋_GB2312" w:hAnsi="仿宋_GB2312" w:eastAsia="仿宋_GB2312" w:cs="仿宋_GB2312"/>
          <w:color w:val="auto"/>
          <w:sz w:val="32"/>
          <w:szCs w:val="32"/>
          <w:highlight w:val="none"/>
        </w:rPr>
        <w:t>万元，增长</w:t>
      </w:r>
      <w:r>
        <w:rPr>
          <w:rFonts w:hint="eastAsia" w:ascii="仿宋_GB2312" w:hAnsi="仿宋_GB2312" w:eastAsia="仿宋_GB2312" w:cs="仿宋_GB2312"/>
          <w:color w:val="auto"/>
          <w:sz w:val="32"/>
          <w:szCs w:val="32"/>
          <w:highlight w:val="none"/>
          <w:lang w:val="en-US" w:eastAsia="zh-CN"/>
        </w:rPr>
        <w:t>5.08</w:t>
      </w:r>
      <w:r>
        <w:rPr>
          <w:rFonts w:hint="eastAsia" w:ascii="仿宋_GB2312" w:hAnsi="仿宋_GB2312" w:eastAsia="仿宋_GB2312" w:cs="仿宋_GB2312"/>
          <w:color w:val="auto"/>
          <w:sz w:val="32"/>
          <w:szCs w:val="32"/>
          <w:highlight w:val="none"/>
        </w:rPr>
        <w:t>%。主要变动原因</w:t>
      </w:r>
      <w:r>
        <w:rPr>
          <w:rFonts w:hint="eastAsia" w:ascii="仿宋_GB2312" w:hAnsi="仿宋_GB2312" w:eastAsia="仿宋_GB2312" w:cs="仿宋_GB2312"/>
          <w:color w:val="auto"/>
          <w:sz w:val="32"/>
          <w:szCs w:val="32"/>
          <w:highlight w:val="none"/>
          <w:lang w:eastAsia="zh-CN"/>
        </w:rPr>
        <w:t>项目投资增加。</w:t>
      </w:r>
    </w:p>
    <w:p w14:paraId="0E40968B">
      <w:pPr>
        <w:pStyle w:val="14"/>
        <w:rPr>
          <w:rFonts w:hint="eastAsia" w:ascii="Times New Roman" w:hAnsi="Times New Roman" w:eastAsia="仿宋_GB2312" w:cs="仿宋_GB2312"/>
          <w:color w:val="auto"/>
          <w:sz w:val="32"/>
          <w:szCs w:val="32"/>
          <w:highlight w:val="none"/>
        </w:rPr>
      </w:pPr>
      <w:r>
        <w:rPr>
          <w:rFonts w:hint="eastAsia"/>
          <w:lang w:val="en-US" w:eastAsia="zh-CN"/>
        </w:rPr>
        <w:t xml:space="preserve">       </w:t>
      </w:r>
      <w:r>
        <w:drawing>
          <wp:inline distT="0" distB="0" distL="114300" distR="114300">
            <wp:extent cx="4099560" cy="2167890"/>
            <wp:effectExtent l="5080" t="4445" r="10160" b="18415"/>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7898FAD1">
      <w:pPr>
        <w:pStyle w:val="6"/>
        <w:keepNext/>
        <w:keepLines/>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hint="eastAsia" w:ascii="黑体" w:hAnsi="黑体" w:eastAsia="黑体" w:cs="黑体"/>
          <w:b w:val="0"/>
          <w:bCs w:val="0"/>
          <w:lang w:val="en-US" w:eastAsia="zh-CN"/>
        </w:rPr>
      </w:pPr>
      <w:bookmarkStart w:id="27" w:name="_Toc15396604"/>
      <w:bookmarkStart w:id="28" w:name="_Toc15377206"/>
      <w:bookmarkStart w:id="29" w:name="_Toc10787"/>
      <w:r>
        <w:rPr>
          <w:rFonts w:hint="eastAsia" w:ascii="黑体" w:hAnsi="黑体" w:eastAsia="黑体" w:cs="黑体"/>
          <w:b w:val="0"/>
          <w:bCs w:val="0"/>
          <w:lang w:val="en-US" w:eastAsia="zh-CN"/>
        </w:rPr>
        <w:t>二、收入决算情况说明</w:t>
      </w:r>
      <w:bookmarkEnd w:id="27"/>
      <w:bookmarkEnd w:id="28"/>
      <w:bookmarkEnd w:id="29"/>
    </w:p>
    <w:p w14:paraId="7DE7F53B">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仿宋_GB2312" w:hAnsi="仿宋_GB2312" w:eastAsia="仿宋_GB2312" w:cs="仿宋_GB2312"/>
          <w:sz w:val="32"/>
          <w:szCs w:val="32"/>
          <w:lang w:eastAsia="zh-CN"/>
        </w:rPr>
      </w:pPr>
      <w:bookmarkStart w:id="30" w:name="_Toc29620"/>
      <w:bookmarkStart w:id="31" w:name="_Toc30933"/>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476.6</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万元，其中：一般公共预算财政拨款收入1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476.6</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sz w:val="32"/>
          <w:szCs w:val="32"/>
          <w:highlight w:val="none"/>
          <w:lang w:eastAsia="zh-CN"/>
        </w:rPr>
        <w:t>%；政府性基金预算财政拨款收入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sz w:val="32"/>
          <w:szCs w:val="32"/>
          <w:lang w:eastAsia="zh-CN"/>
        </w:rPr>
        <w:t>。</w:t>
      </w:r>
      <w:bookmarkEnd w:id="30"/>
      <w:bookmarkEnd w:id="31"/>
    </w:p>
    <w:p w14:paraId="18F4F493">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jc w:val="left"/>
        <w:textAlignment w:val="auto"/>
        <w:outlineLvl w:val="1"/>
        <w:rPr>
          <w:sz w:val="32"/>
          <w:szCs w:val="32"/>
        </w:rPr>
      </w:pPr>
      <w:r>
        <w:drawing>
          <wp:anchor distT="0" distB="0" distL="114300" distR="114300" simplePos="0" relativeHeight="251660288" behindDoc="0" locked="0" layoutInCell="1" allowOverlap="1">
            <wp:simplePos x="0" y="0"/>
            <wp:positionH relativeFrom="column">
              <wp:posOffset>843280</wp:posOffset>
            </wp:positionH>
            <wp:positionV relativeFrom="paragraph">
              <wp:posOffset>17780</wp:posOffset>
            </wp:positionV>
            <wp:extent cx="3982085" cy="1943100"/>
            <wp:effectExtent l="4445" t="4445" r="13970" b="14605"/>
            <wp:wrapNone/>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43097780">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jc w:val="left"/>
        <w:textAlignment w:val="auto"/>
        <w:outlineLvl w:val="1"/>
      </w:pPr>
    </w:p>
    <w:p w14:paraId="13622FE9">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jc w:val="left"/>
        <w:textAlignment w:val="auto"/>
        <w:outlineLvl w:val="1"/>
      </w:pPr>
    </w:p>
    <w:p w14:paraId="710C6AB9">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jc w:val="left"/>
        <w:textAlignment w:val="auto"/>
        <w:outlineLvl w:val="1"/>
      </w:pPr>
    </w:p>
    <w:p w14:paraId="4E734491">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0"/>
          <w:rFonts w:hint="eastAsia" w:ascii="Times New Roman" w:hAnsi="Times New Roman" w:eastAsia="黑体"/>
          <w:b w:val="0"/>
          <w:color w:val="auto"/>
          <w:highlight w:val="none"/>
        </w:rPr>
      </w:pPr>
      <w:bookmarkStart w:id="32" w:name="_Toc23315"/>
      <w:bookmarkStart w:id="33" w:name="_Toc15377207"/>
      <w:bookmarkStart w:id="34" w:name="_Toc15396605"/>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0"/>
          <w:rFonts w:hint="eastAsia" w:ascii="Times New Roman" w:hAnsi="Times New Roman" w:eastAsia="黑体"/>
          <w:b w:val="0"/>
          <w:color w:val="auto"/>
          <w:highlight w:val="none"/>
        </w:rPr>
        <w:t>出决算情况说明</w:t>
      </w:r>
      <w:bookmarkEnd w:id="32"/>
      <w:bookmarkEnd w:id="33"/>
      <w:bookmarkEnd w:id="34"/>
    </w:p>
    <w:p w14:paraId="31E68262">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color w:val="auto"/>
          <w:sz w:val="32"/>
          <w:szCs w:val="32"/>
          <w:highlight w:val="none"/>
          <w:lang w:eastAsia="zh-CN"/>
        </w:rPr>
      </w:pPr>
      <w:bookmarkStart w:id="35" w:name="_Toc8970"/>
      <w:bookmarkStart w:id="36" w:name="_Toc5302"/>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476.6</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rPr>
        <w:t>558.2</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37.8</w:t>
      </w:r>
      <w:r>
        <w:rPr>
          <w:rFonts w:hint="eastAsia" w:ascii="仿宋_GB2312" w:hAnsi="仿宋_GB2312" w:eastAsia="仿宋_GB2312" w:cs="仿宋_GB2312"/>
          <w:color w:val="auto"/>
          <w:sz w:val="32"/>
          <w:szCs w:val="32"/>
          <w:highlight w:val="none"/>
          <w:lang w:eastAsia="zh-CN"/>
        </w:rPr>
        <w:t>%；项目支出</w:t>
      </w:r>
      <w:r>
        <w:rPr>
          <w:rFonts w:hint="eastAsia" w:ascii="仿宋_GB2312" w:hAnsi="仿宋_GB2312" w:eastAsia="仿宋_GB2312" w:cs="仿宋_GB2312"/>
          <w:sz w:val="32"/>
          <w:szCs w:val="32"/>
        </w:rPr>
        <w:t>918.39</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62.19</w:t>
      </w:r>
      <w:r>
        <w:rPr>
          <w:rFonts w:hint="eastAsia" w:ascii="仿宋_GB2312" w:hAnsi="仿宋_GB2312" w:eastAsia="仿宋_GB2312" w:cs="仿宋_GB2312"/>
          <w:color w:val="auto"/>
          <w:sz w:val="32"/>
          <w:szCs w:val="32"/>
          <w:highlight w:val="none"/>
          <w:lang w:eastAsia="zh-CN"/>
        </w:rPr>
        <w:t>%。</w:t>
      </w:r>
      <w:bookmarkEnd w:id="35"/>
      <w:bookmarkEnd w:id="36"/>
    </w:p>
    <w:p w14:paraId="368BA05C">
      <w:pPr>
        <w:ind w:firstLine="525" w:firstLineChars="250"/>
        <w:rPr>
          <w:rFonts w:hint="eastAsia" w:ascii="Times New Roman" w:hAnsi="Times New Roman" w:eastAsia="仿宋_GB2312" w:cs="仿宋_GB2312"/>
          <w:color w:val="auto"/>
          <w:sz w:val="32"/>
          <w:szCs w:val="32"/>
          <w:highlight w:val="none"/>
          <w:lang w:eastAsia="zh-CN"/>
        </w:rPr>
      </w:pPr>
      <w:r>
        <w:rPr>
          <w:rFonts w:hint="eastAsia"/>
          <w:lang w:val="en-US" w:eastAsia="zh-CN"/>
        </w:rPr>
        <w:t xml:space="preserve">                </w:t>
      </w:r>
      <w:r>
        <w:drawing>
          <wp:inline distT="0" distB="0" distL="114300" distR="114300">
            <wp:extent cx="3333115" cy="2475865"/>
            <wp:effectExtent l="4445" t="4445" r="15240" b="15240"/>
            <wp:docPr id="1"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B79C1F9">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37" w:name="_Toc15396606"/>
      <w:bookmarkStart w:id="38" w:name="_Toc15377208"/>
      <w:bookmarkStart w:id="39" w:name="_Toc32466"/>
      <w:r>
        <w:rPr>
          <w:rFonts w:hint="eastAsia" w:ascii="Times New Roman" w:hAnsi="Times New Roman" w:eastAsia="黑体"/>
          <w:color w:val="auto"/>
          <w:sz w:val="32"/>
          <w:szCs w:val="32"/>
          <w:highlight w:val="none"/>
          <w:lang w:eastAsia="zh-CN"/>
        </w:rPr>
        <w:t>四、财政拨款收入支出决算总体情况说明</w:t>
      </w:r>
      <w:bookmarkEnd w:id="37"/>
      <w:bookmarkEnd w:id="38"/>
      <w:bookmarkEnd w:id="39"/>
    </w:p>
    <w:p w14:paraId="569698F7">
      <w:pPr>
        <w:spacing w:line="600" w:lineRule="exact"/>
        <w:ind w:firstLine="64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kern w:val="2"/>
          <w:sz w:val="32"/>
          <w:szCs w:val="32"/>
          <w:highlight w:val="none"/>
          <w:lang w:val="en-US" w:eastAsia="zh-CN" w:bidi="ar-SA"/>
        </w:rPr>
        <w:t>2024年度财政拨款收入、支出总计均为</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476.6</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auto"/>
          <w:kern w:val="2"/>
          <w:sz w:val="32"/>
          <w:szCs w:val="32"/>
          <w:highlight w:val="none"/>
          <w:lang w:val="en-US" w:eastAsia="zh-CN" w:bidi="ar-SA"/>
        </w:rPr>
        <w:t>万元。与2023年度相比，财政拨款收入、支出总计各增加71.42万元，增长5.08%,主要变动原因</w:t>
      </w:r>
      <w:r>
        <w:rPr>
          <w:rFonts w:hint="eastAsia" w:ascii="仿宋_GB2312" w:hAnsi="仿宋_GB2312" w:eastAsia="仿宋_GB2312" w:cs="仿宋_GB2312"/>
          <w:color w:val="auto"/>
          <w:sz w:val="32"/>
          <w:szCs w:val="32"/>
          <w:highlight w:val="none"/>
        </w:rPr>
        <w:t>是</w:t>
      </w:r>
      <w:r>
        <w:rPr>
          <w:rFonts w:hint="eastAsia" w:ascii="仿宋_GB2312" w:hAnsi="仿宋_GB2312" w:eastAsia="仿宋_GB2312" w:cs="仿宋_GB2312"/>
          <w:color w:val="auto"/>
          <w:sz w:val="32"/>
          <w:szCs w:val="32"/>
          <w:highlight w:val="none"/>
          <w:lang w:eastAsia="zh-CN"/>
        </w:rPr>
        <w:t>项目投资增加。</w:t>
      </w:r>
    </w:p>
    <w:p w14:paraId="78B30712">
      <w:pPr>
        <w:rPr>
          <w:rFonts w:hint="eastAsia" w:ascii="仿宋" w:hAnsi="仿宋" w:eastAsia="仿宋"/>
          <w:color w:val="auto"/>
          <w:sz w:val="32"/>
          <w:szCs w:val="32"/>
          <w:highlight w:val="none"/>
          <w:lang w:eastAsia="zh-CN"/>
        </w:rPr>
      </w:pPr>
      <w:r>
        <w:rPr>
          <w:rFonts w:hint="eastAsia"/>
          <w:lang w:val="en-US" w:eastAsia="zh-CN"/>
        </w:rPr>
        <w:t xml:space="preserve">         </w:t>
      </w:r>
      <w:r>
        <w:drawing>
          <wp:inline distT="0" distB="0" distL="114300" distR="114300">
            <wp:extent cx="4606925" cy="1945640"/>
            <wp:effectExtent l="4445" t="4445" r="17780" b="12065"/>
            <wp:docPr id="2"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EC96D9F">
      <w:pPr>
        <w:spacing w:line="600" w:lineRule="exact"/>
        <w:ind w:firstLine="640" w:firstLineChars="200"/>
        <w:outlineLvl w:val="1"/>
        <w:rPr>
          <w:rStyle w:val="30"/>
          <w:rFonts w:ascii="Times New Roman" w:hAnsi="Times New Roman" w:eastAsia="黑体"/>
          <w:b w:val="0"/>
          <w:color w:val="auto"/>
          <w:highlight w:val="none"/>
        </w:rPr>
      </w:pPr>
      <w:bookmarkStart w:id="40" w:name="_Toc25569"/>
      <w:bookmarkStart w:id="41" w:name="_Toc15377209"/>
      <w:bookmarkStart w:id="42" w:name="_Toc15396607"/>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般公共预算财政拨款支出决算情况说明</w:t>
      </w:r>
      <w:bookmarkEnd w:id="40"/>
      <w:bookmarkEnd w:id="41"/>
      <w:bookmarkEnd w:id="42"/>
    </w:p>
    <w:p w14:paraId="0FE49100">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3"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43"/>
    </w:p>
    <w:p w14:paraId="5F4CD5D1">
      <w:pPr>
        <w:spacing w:line="600" w:lineRule="exact"/>
        <w:ind w:firstLine="64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476.6</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%。与2023年度相比，一般公共预算财政拨款支出增加77.42万元，增长5.53%。</w:t>
      </w:r>
      <w:r>
        <w:rPr>
          <w:rFonts w:hint="eastAsia" w:ascii="仿宋_GB2312" w:hAnsi="仿宋_GB2312" w:eastAsia="仿宋_GB2312" w:cs="仿宋_GB2312"/>
          <w:color w:val="auto"/>
          <w:sz w:val="32"/>
          <w:szCs w:val="32"/>
          <w:highlight w:val="none"/>
          <w:lang w:eastAsia="zh-CN"/>
        </w:rPr>
        <w:t>项目投资增加。</w:t>
      </w:r>
    </w:p>
    <w:p w14:paraId="77D2DA9D">
      <w:pPr>
        <w:spacing w:line="600" w:lineRule="exact"/>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sz w:val="32"/>
          <w:szCs w:val="32"/>
        </w:rPr>
        <w:drawing>
          <wp:anchor distT="0" distB="0" distL="114300" distR="114300" simplePos="0" relativeHeight="251661312" behindDoc="0" locked="0" layoutInCell="1" allowOverlap="1">
            <wp:simplePos x="0" y="0"/>
            <wp:positionH relativeFrom="column">
              <wp:posOffset>873760</wp:posOffset>
            </wp:positionH>
            <wp:positionV relativeFrom="paragraph">
              <wp:posOffset>127635</wp:posOffset>
            </wp:positionV>
            <wp:extent cx="3762375" cy="2066925"/>
            <wp:effectExtent l="4445" t="4445" r="5080" b="5080"/>
            <wp:wrapNone/>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078F0C28">
      <w:pPr>
        <w:spacing w:line="600" w:lineRule="exact"/>
        <w:ind w:firstLine="640"/>
        <w:rPr>
          <w:rFonts w:hint="eastAsia" w:ascii="仿宋" w:hAnsi="仿宋" w:eastAsia="仿宋"/>
          <w:color w:val="auto"/>
          <w:sz w:val="32"/>
          <w:szCs w:val="32"/>
          <w:highlight w:val="none"/>
          <w:lang w:val="en-US" w:eastAsia="zh-CN"/>
        </w:rPr>
      </w:pPr>
      <w:r>
        <w:rPr>
          <w:rFonts w:hint="eastAsia" w:ascii="仿宋" w:hAnsi="仿宋" w:eastAsia="仿宋"/>
          <w:color w:val="auto"/>
          <w:sz w:val="32"/>
          <w:szCs w:val="32"/>
          <w:highlight w:val="none"/>
          <w:lang w:val="en-US" w:eastAsia="zh-CN"/>
        </w:rPr>
        <w:t xml:space="preserve">   </w:t>
      </w:r>
    </w:p>
    <w:p w14:paraId="1EAC1BD4">
      <w:pPr>
        <w:rPr>
          <w:rFonts w:hint="default"/>
          <w:lang w:val="en-US" w:eastAsia="zh-CN"/>
        </w:rPr>
      </w:pPr>
    </w:p>
    <w:p w14:paraId="6AB5A137">
      <w:pPr>
        <w:spacing w:line="600" w:lineRule="exact"/>
        <w:ind w:firstLine="640"/>
        <w:rPr>
          <w:rFonts w:hint="eastAsia" w:ascii="仿宋" w:hAnsi="仿宋" w:eastAsia="仿宋"/>
          <w:color w:val="auto"/>
          <w:sz w:val="32"/>
          <w:szCs w:val="32"/>
          <w:highlight w:val="none"/>
          <w:lang w:eastAsia="zh-CN"/>
        </w:rPr>
      </w:pPr>
    </w:p>
    <w:p w14:paraId="740F4945">
      <w:pPr>
        <w:spacing w:line="600" w:lineRule="exact"/>
        <w:ind w:firstLine="640"/>
        <w:rPr>
          <w:rFonts w:hint="eastAsia" w:ascii="仿宋" w:hAnsi="仿宋" w:eastAsia="仿宋"/>
          <w:color w:val="auto"/>
          <w:sz w:val="32"/>
          <w:szCs w:val="32"/>
          <w:highlight w:val="none"/>
          <w:lang w:eastAsia="zh-CN"/>
        </w:rPr>
      </w:pPr>
    </w:p>
    <w:p w14:paraId="4ABF7B1E">
      <w:pPr>
        <w:rPr>
          <w:rFonts w:hint="eastAsia"/>
          <w:lang w:eastAsia="zh-CN"/>
        </w:rPr>
      </w:pPr>
    </w:p>
    <w:p w14:paraId="37DF4E1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78B38115">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4"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44"/>
    </w:p>
    <w:p w14:paraId="64220CC6">
      <w:pPr>
        <w:spacing w:line="600" w:lineRule="exact"/>
        <w:ind w:firstLine="640"/>
        <w:rPr>
          <w:rFonts w:hint="eastAsia"/>
          <w:lang w:val="en-US" w:eastAsia="zh-CN"/>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476.6</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auto"/>
          <w:kern w:val="2"/>
          <w:sz w:val="32"/>
          <w:szCs w:val="32"/>
          <w:highlight w:val="none"/>
          <w:lang w:val="en-US" w:eastAsia="zh-CN" w:bidi="ar-SA"/>
        </w:rPr>
        <w:t>万元，主要用于以下方面：一般公共服务支出537.91万元，占36.43%；文化旅游体育与传媒支出18.46万元，占1.25%；农林水支出763.94万元，占51.74%；灾害防治及应急管理支出10.00万元，占0.68%；社会保障和就业支出72.77万元，占4.93%；卫生健康支出31.63万元，占2.14%；住房保障支出41.89万元，占2.84%。</w:t>
      </w:r>
    </w:p>
    <w:p w14:paraId="49A5B970">
      <w:pPr>
        <w:pStyle w:val="14"/>
        <w:ind w:left="0" w:leftChars="0" w:firstLine="0" w:firstLineChars="0"/>
        <w:rPr>
          <w:rFonts w:hint="eastAsia"/>
          <w:lang w:val="en-US" w:eastAsia="zh-CN"/>
        </w:rPr>
      </w:pPr>
      <w:r>
        <w:rPr>
          <w:rFonts w:hint="eastAsia"/>
          <w:lang w:val="en-US" w:eastAsia="zh-CN"/>
        </w:rPr>
        <w:t xml:space="preserve">         </w:t>
      </w:r>
      <w:r>
        <w:drawing>
          <wp:inline distT="0" distB="0" distL="114300" distR="114300">
            <wp:extent cx="4421505" cy="2423795"/>
            <wp:effectExtent l="5080" t="4445" r="12065" b="10160"/>
            <wp:docPr id="10"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ED10EF6">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5"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45"/>
    </w:p>
    <w:p w14:paraId="43D071CD">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bookmarkStart w:id="46" w:name="_Toc15377444"/>
      <w:bookmarkStart w:id="47" w:name="_Toc15378460"/>
      <w:bookmarkStart w:id="48" w:name="_Toc15377213"/>
      <w:r>
        <w:rPr>
          <w:rFonts w:hint="eastAsia" w:ascii="仿宋_GB2312" w:hAnsi="仿宋_GB2312" w:eastAsia="仿宋_GB2312" w:cs="仿宋_GB2312"/>
          <w:color w:val="auto"/>
          <w:kern w:val="2"/>
          <w:sz w:val="32"/>
          <w:szCs w:val="32"/>
          <w:highlight w:val="none"/>
          <w:lang w:val="en-US" w:eastAsia="zh-CN" w:bidi="ar-SA"/>
        </w:rPr>
        <w:t>2024年度一般公共预算财政拨款支出决算数为</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476.6</w:t>
      </w:r>
      <w:r>
        <w:rPr>
          <w:rFonts w:hint="eastAsia" w:ascii="仿宋_GB2312" w:hAnsi="仿宋_GB2312" w:eastAsia="仿宋_GB2312" w:cs="仿宋_GB2312"/>
          <w:sz w:val="32"/>
          <w:szCs w:val="32"/>
          <w:lang w:val="en-US" w:eastAsia="zh-CN"/>
        </w:rPr>
        <w:t>0万元</w:t>
      </w:r>
      <w:r>
        <w:rPr>
          <w:rFonts w:hint="eastAsia" w:ascii="仿宋_GB2312" w:hAnsi="仿宋_GB2312" w:eastAsia="仿宋_GB2312" w:cs="仿宋_GB2312"/>
          <w:color w:val="auto"/>
          <w:kern w:val="2"/>
          <w:sz w:val="32"/>
          <w:szCs w:val="32"/>
          <w:highlight w:val="none"/>
          <w:lang w:val="en-US" w:eastAsia="zh-CN" w:bidi="ar-SA"/>
        </w:rPr>
        <w:t>，完成预算100%。其中：</w:t>
      </w:r>
      <w:bookmarkEnd w:id="46"/>
      <w:bookmarkEnd w:id="47"/>
      <w:bookmarkEnd w:id="48"/>
    </w:p>
    <w:p w14:paraId="47D72DC2">
      <w:pPr>
        <w:numPr>
          <w:ilvl w:val="0"/>
          <w:numId w:val="0"/>
        </w:numPr>
        <w:spacing w:line="600" w:lineRule="exact"/>
        <w:ind w:firstLine="640" w:firstLineChars="20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1.一般公共服务（201）人大事务（01）代表工作（08）：支出决算为9.98万元，完成预算100%，决算数与预算数持平。</w:t>
      </w:r>
    </w:p>
    <w:p w14:paraId="55ED8028">
      <w:pPr>
        <w:numPr>
          <w:ilvl w:val="0"/>
          <w:numId w:val="0"/>
        </w:numPr>
        <w:spacing w:line="600" w:lineRule="exact"/>
        <w:ind w:firstLine="640" w:firstLineChars="20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2.一般公共服务（201）政府办公厅（室）及相关机构事务（03）行政运行（01）：支出决算为:417.51万元，完成预算100%，决算数与预算数持平。</w:t>
      </w:r>
    </w:p>
    <w:p w14:paraId="6DD80B6A">
      <w:pPr>
        <w:numPr>
          <w:ilvl w:val="0"/>
          <w:numId w:val="0"/>
        </w:numPr>
        <w:spacing w:line="600" w:lineRule="exact"/>
        <w:ind w:firstLine="640" w:firstLineChars="20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3.一般公共服务（201）政府办公厅（室）及相关机构事务（03）其他政府办公厅（室）及相关机构事务支出（99）：支出决算为110.42万元，完成预算100%，决算数与预算数持平。</w:t>
      </w:r>
    </w:p>
    <w:p w14:paraId="2FF4ED81">
      <w:pPr>
        <w:numPr>
          <w:ilvl w:val="0"/>
          <w:numId w:val="0"/>
        </w:numPr>
        <w:spacing w:line="600" w:lineRule="exact"/>
        <w:ind w:firstLine="640" w:firstLineChars="20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4.文化旅游体育与传媒（207）其他文化旅游体育与传媒支出（99）其他文化旅游体育与传媒支出（99）：支出决算为18.46万元，完成预算100%，决算数与预算数持平。</w:t>
      </w:r>
    </w:p>
    <w:p w14:paraId="09791422">
      <w:pPr>
        <w:numPr>
          <w:ilvl w:val="0"/>
          <w:numId w:val="0"/>
        </w:numPr>
        <w:spacing w:line="600" w:lineRule="exact"/>
        <w:ind w:firstLine="640" w:firstLineChars="20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5.社会保障和就业（208）行政事业单位养老支出（05）机关事业单位基本养老保险缴费支出（05）：支出决算为44.04万元，完成预算100%，决算数与预算数持平。</w:t>
      </w:r>
    </w:p>
    <w:p w14:paraId="2E0F7F58">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color w:val="auto"/>
          <w:kern w:val="2"/>
          <w:sz w:val="32"/>
          <w:szCs w:val="32"/>
          <w:highlight w:val="none"/>
          <w:lang w:val="en-US" w:eastAsia="zh-CN" w:bidi="ar-SA"/>
        </w:rPr>
        <w:t>6.社会保障和就业（208）行政事业单位养老支出（05）机关事业单位职业年金缴费支出（06）：支出决算为23.13万元，完成预算100%，决算数与预算数持平。</w:t>
      </w:r>
    </w:p>
    <w:p w14:paraId="36E7C4F7">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7.社会保障和就业（208）就业补助（07）公益性岗位补贴（05）：支出决算为5.60万元，完成预算100%，决算数与预算数持平。</w:t>
      </w:r>
    </w:p>
    <w:p w14:paraId="183C9550">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8.卫生健康（210）行政事业单位医疗（11）行政单位医疗（01）：支出决算为31.63万元，完成预算100%，决算数与预算数持平。</w:t>
      </w:r>
    </w:p>
    <w:p w14:paraId="132AF787">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9.农林水支出（213）农业农村（01）其他农业农村支出（99）：支出决算为5.82万元，完成预算100%，决算数与预算数持平。</w:t>
      </w:r>
    </w:p>
    <w:p w14:paraId="3D48AA7D">
      <w:pPr>
        <w:spacing w:line="600" w:lineRule="exact"/>
        <w:ind w:firstLine="640" w:firstLineChars="20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10.农林水支出（213）巩固脱贫攻坚成果衔接乡村振兴（05）其他巩固脱贫攻坚成果衔接乡村振兴支出（99）：支出决算为525.77万元，完成预算100%，决算数与预算数持平。</w:t>
      </w:r>
    </w:p>
    <w:p w14:paraId="1D7AC5B2">
      <w:pPr>
        <w:spacing w:line="600" w:lineRule="exact"/>
        <w:ind w:firstLine="640" w:firstLineChars="20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11.农林水支出（213）农村综合改革（07）对村民委员会和村党支部的补助（05）：支出决算为232.35万元，完成预算100%，决算数与预算数持平。</w:t>
      </w:r>
    </w:p>
    <w:p w14:paraId="6ADB7D86">
      <w:pPr>
        <w:spacing w:line="600" w:lineRule="exact"/>
        <w:ind w:firstLine="640" w:firstLineChars="20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12.住房保障支出（221）住房改革支出（02）住房公积金（01）：支出决算为40.69万元，完成预算100%，决算数与预算数持平。</w:t>
      </w:r>
    </w:p>
    <w:p w14:paraId="543C3208">
      <w:pPr>
        <w:spacing w:line="600" w:lineRule="exact"/>
        <w:ind w:firstLine="640" w:firstLineChars="20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13.住房保障支出（221）住房改革支出（02）购房补贴（03）：支出决算为1.20万元，完成预算100%，决算数与预算数持平。</w:t>
      </w:r>
    </w:p>
    <w:p w14:paraId="69317BA1">
      <w:pPr>
        <w:spacing w:line="600" w:lineRule="exact"/>
        <w:ind w:firstLine="640" w:firstLineChars="200"/>
        <w:rPr>
          <w:rFonts w:hint="eastAsia"/>
          <w:lang w:val="en-US" w:eastAsia="zh-CN"/>
        </w:rPr>
      </w:pPr>
      <w:r>
        <w:rPr>
          <w:rFonts w:hint="eastAsia" w:ascii="仿宋_GB2312" w:hAnsi="仿宋_GB2312" w:eastAsia="仿宋_GB2312" w:cs="仿宋_GB2312"/>
          <w:color w:val="auto"/>
          <w:kern w:val="2"/>
          <w:sz w:val="32"/>
          <w:szCs w:val="32"/>
          <w:highlight w:val="none"/>
          <w:lang w:val="en-US" w:eastAsia="zh-CN" w:bidi="ar-SA"/>
        </w:rPr>
        <w:t>14.灾害防治及应急管理支出（224）自然灾害救灾及恢复重建支出（07）其他自然灾害救灾及恢复重建支出（99）：支出决算为10.00万元，完成预算100%，决算数与预算数持平。</w:t>
      </w:r>
    </w:p>
    <w:p w14:paraId="31F108D4">
      <w:pPr>
        <w:tabs>
          <w:tab w:val="right" w:pos="8306"/>
        </w:tabs>
        <w:spacing w:line="600" w:lineRule="exact"/>
        <w:ind w:firstLine="640"/>
        <w:outlineLvl w:val="1"/>
        <w:rPr>
          <w:rStyle w:val="30"/>
          <w:rFonts w:ascii="Times New Roman" w:hAnsi="Times New Roman"/>
          <w:color w:val="auto"/>
          <w:highlight w:val="none"/>
        </w:rPr>
      </w:pPr>
      <w:bookmarkStart w:id="49" w:name="_Toc15377214"/>
      <w:bookmarkStart w:id="50" w:name="_Toc15396608"/>
      <w:bookmarkStart w:id="51" w:name="_Toc20787"/>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般公共预算财政拨款基本支出决算情况说明</w:t>
      </w:r>
      <w:bookmarkEnd w:id="49"/>
      <w:bookmarkEnd w:id="50"/>
      <w:bookmarkEnd w:id="51"/>
      <w:r>
        <w:rPr>
          <w:rStyle w:val="30"/>
          <w:rFonts w:ascii="Times New Roman" w:hAnsi="Times New Roman" w:eastAsia="黑体"/>
          <w:b w:val="0"/>
          <w:color w:val="auto"/>
          <w:highlight w:val="none"/>
        </w:rPr>
        <w:tab/>
      </w:r>
    </w:p>
    <w:p w14:paraId="41CD93C1">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rPr>
        <w:t>558.2</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color w:val="auto"/>
          <w:kern w:val="2"/>
          <w:sz w:val="32"/>
          <w:szCs w:val="32"/>
          <w:highlight w:val="none"/>
          <w:lang w:val="en-US" w:eastAsia="zh-CN" w:bidi="ar-SA"/>
        </w:rPr>
        <w:t>万元，其中：</w:t>
      </w:r>
    </w:p>
    <w:p w14:paraId="3C76E53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533.03</w:t>
      </w:r>
      <w:r>
        <w:rPr>
          <w:rFonts w:hint="eastAsia" w:ascii="仿宋_GB2312" w:hAnsi="仿宋_GB2312" w:eastAsia="仿宋_GB2312" w:cs="仿宋_GB2312"/>
          <w:color w:val="auto"/>
          <w:kern w:val="2"/>
          <w:sz w:val="32"/>
          <w:szCs w:val="32"/>
          <w:highlight w:val="none"/>
          <w:lang w:val="en-US" w:eastAsia="zh-CN" w:bidi="ar-SA"/>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仿宋_GB2312" w:hAnsi="仿宋_GB2312" w:eastAsia="仿宋_GB2312" w:cs="仿宋_GB2312"/>
          <w:color w:val="auto"/>
          <w:kern w:val="2"/>
          <w:sz w:val="32"/>
          <w:szCs w:val="32"/>
          <w:highlight w:val="none"/>
          <w:lang w:val="en-US" w:eastAsia="zh-CN" w:bidi="ar-SA"/>
        </w:rPr>
        <w:br w:type="textWrapping"/>
      </w:r>
      <w:r>
        <w:rPr>
          <w:rFonts w:hint="eastAsia" w:ascii="仿宋_GB2312" w:hAnsi="仿宋_GB2312" w:eastAsia="仿宋_GB2312" w:cs="仿宋_GB2312"/>
          <w:color w:val="auto"/>
          <w:kern w:val="2"/>
          <w:sz w:val="32"/>
          <w:szCs w:val="32"/>
          <w:highlight w:val="none"/>
          <w:lang w:val="en-US" w:eastAsia="zh-CN" w:bidi="ar-SA"/>
        </w:rPr>
        <w:t>　　公用经费</w:t>
      </w:r>
      <w:r>
        <w:rPr>
          <w:rFonts w:hint="eastAsia" w:ascii="仿宋_GB2312" w:hAnsi="仿宋_GB2312" w:eastAsia="仿宋_GB2312" w:cs="仿宋_GB2312"/>
          <w:sz w:val="32"/>
          <w:szCs w:val="32"/>
        </w:rPr>
        <w:t>25.17</w:t>
      </w:r>
      <w:r>
        <w:rPr>
          <w:rFonts w:hint="eastAsia" w:ascii="仿宋_GB2312" w:hAnsi="仿宋_GB2312" w:eastAsia="仿宋_GB2312" w:cs="仿宋_GB2312"/>
          <w:color w:val="auto"/>
          <w:kern w:val="2"/>
          <w:sz w:val="32"/>
          <w:szCs w:val="32"/>
          <w:highlight w:val="none"/>
          <w:lang w:val="en-US" w:eastAsia="zh-CN" w:bidi="ar-SA"/>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3359E2AC">
      <w:pPr>
        <w:spacing w:line="600" w:lineRule="exact"/>
        <w:ind w:firstLine="640"/>
        <w:outlineLvl w:val="1"/>
        <w:rPr>
          <w:rStyle w:val="30"/>
          <w:rFonts w:ascii="Times New Roman" w:hAnsi="Times New Roman" w:eastAsia="黑体"/>
          <w:b w:val="0"/>
          <w:color w:val="auto"/>
          <w:highlight w:val="none"/>
        </w:rPr>
      </w:pPr>
      <w:bookmarkStart w:id="52" w:name="_Toc15396609"/>
      <w:bookmarkStart w:id="53" w:name="_Toc25262"/>
      <w:bookmarkStart w:id="54" w:name="_Toc15377215"/>
      <w:r>
        <w:rPr>
          <w:rFonts w:hint="eastAsia" w:ascii="Times New Roman" w:hAnsi="Times New Roman" w:eastAsia="黑体"/>
          <w:color w:val="auto"/>
          <w:sz w:val="32"/>
          <w:szCs w:val="32"/>
          <w:highlight w:val="none"/>
        </w:rPr>
        <w:t>七、</w:t>
      </w:r>
      <w:r>
        <w:rPr>
          <w:rStyle w:val="30"/>
          <w:rFonts w:hint="eastAsia" w:ascii="Times New Roman" w:hAnsi="Times New Roman" w:eastAsia="黑体"/>
          <w:b w:val="0"/>
          <w:color w:val="auto"/>
          <w:highlight w:val="none"/>
        </w:rPr>
        <w:t>财政拨款</w:t>
      </w:r>
      <w:r>
        <w:rPr>
          <w:rStyle w:val="30"/>
          <w:rFonts w:hint="eastAsia" w:ascii="Times New Roman" w:hAnsi="Times New Roman" w:eastAsia="黑体"/>
          <w:color w:val="auto"/>
          <w:highlight w:val="none"/>
        </w:rPr>
        <w:t>“</w:t>
      </w:r>
      <w:r>
        <w:rPr>
          <w:rStyle w:val="30"/>
          <w:rFonts w:hint="eastAsia" w:ascii="Times New Roman" w:hAnsi="Times New Roman" w:eastAsia="黑体"/>
          <w:b w:val="0"/>
          <w:color w:val="auto"/>
          <w:highlight w:val="none"/>
        </w:rPr>
        <w:t>三公”经费支出决算情况说明</w:t>
      </w:r>
      <w:bookmarkEnd w:id="52"/>
      <w:bookmarkEnd w:id="53"/>
      <w:bookmarkEnd w:id="54"/>
    </w:p>
    <w:p w14:paraId="1EE51F07">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55"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55"/>
    </w:p>
    <w:p w14:paraId="7E84CC7C">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2024年度“三公”经费财政拨款支出决算为</w:t>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.00</w:t>
      </w:r>
      <w:r>
        <w:rPr>
          <w:rFonts w:hint="eastAsia" w:ascii="仿宋_GB2312" w:hAnsi="仿宋_GB2312" w:eastAsia="仿宋_GB2312" w:cs="仿宋_GB2312"/>
          <w:color w:val="auto"/>
          <w:kern w:val="2"/>
          <w:sz w:val="32"/>
          <w:szCs w:val="32"/>
          <w:highlight w:val="none"/>
          <w:lang w:val="en-US" w:eastAsia="zh-CN" w:bidi="ar-SA"/>
        </w:rPr>
        <w:t>万元，完成预算</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%，与2023年相比无变化</w:t>
      </w:r>
      <w:r>
        <w:rPr>
          <w:rFonts w:hint="eastAsia" w:ascii="仿宋_GB2312" w:hAnsi="仿宋_GB2312" w:eastAsia="仿宋_GB2312" w:cs="仿宋_GB2312"/>
          <w:color w:val="auto"/>
          <w:sz w:val="32"/>
          <w:szCs w:val="32"/>
          <w:highlight w:val="none"/>
          <w:lang w:eastAsia="zh-CN"/>
        </w:rPr>
        <w:t>。</w:t>
      </w:r>
    </w:p>
    <w:p w14:paraId="08362688">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56"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56"/>
    </w:p>
    <w:p w14:paraId="7D44F3A2">
      <w:pPr>
        <w:spacing w:line="600" w:lineRule="exact"/>
        <w:ind w:firstLine="640"/>
      </w:pPr>
      <w:r>
        <w:rPr>
          <w:rFonts w:hint="eastAsia" w:ascii="仿宋_GB2312" w:hAnsi="仿宋_GB2312" w:eastAsia="仿宋_GB2312" w:cs="仿宋_GB2312"/>
          <w:color w:val="auto"/>
          <w:kern w:val="2"/>
          <w:sz w:val="32"/>
          <w:szCs w:val="32"/>
          <w:highlight w:val="none"/>
          <w:lang w:val="en-US" w:eastAsia="zh-CN" w:bidi="ar-SA"/>
        </w:rPr>
        <w:t>2024年度“三公”经费财政拨款支出决算中，因公出国（境）费支出决算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万元，占0%；公务用车购置及运行维护费支出决算</w:t>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.00</w:t>
      </w:r>
      <w:r>
        <w:rPr>
          <w:rFonts w:hint="eastAsia" w:ascii="仿宋_GB2312" w:hAnsi="仿宋_GB2312" w:eastAsia="仿宋_GB2312" w:cs="仿宋_GB2312"/>
          <w:color w:val="auto"/>
          <w:kern w:val="2"/>
          <w:sz w:val="32"/>
          <w:szCs w:val="32"/>
          <w:highlight w:val="none"/>
          <w:lang w:val="en-US" w:eastAsia="zh-CN" w:bidi="ar-SA"/>
        </w:rPr>
        <w:t>万元，占100%；公务接待费支出决算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万元，占0%。具体情况如下：</w:t>
      </w:r>
    </w:p>
    <w:p w14:paraId="2D8B6EE6">
      <w:pPr>
        <w:pStyle w:val="14"/>
        <w:ind w:left="0" w:leftChars="0" w:firstLine="1890" w:firstLineChars="900"/>
      </w:pPr>
      <w:r>
        <w:object>
          <v:shape id="_x0000_i1025" o:spt="75" type="#_x0000_t75" style="height:149.55pt;width:248.35pt;" o:ole="t" filled="f" o:preferrelative="t" stroked="f" coordsize="21600,21600" o:gfxdata="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">
            <v:path/>
            <v:fill on="f" focussize="0,0"/>
            <v:stroke on="f"/>
            <v:imagedata r:id="rId14" o:title=""/>
            <o:lock v:ext="edit" aspectratio="t"/>
            <w10:wrap type="none"/>
            <w10:anchorlock/>
          </v:shape>
          <o:OLEObject Type="Embed" ProgID="excel.sheet.8" ShapeID="_x0000_i1025" DrawAspect="Content" ObjectID="_1468075725" r:id="rId13">
            <o:LockedField>false</o:LockedField>
          </o:OLEObject>
        </w:object>
      </w:r>
    </w:p>
    <w:p w14:paraId="06BCADE9">
      <w:pPr>
        <w:numPr>
          <w:ilvl w:val="0"/>
          <w:numId w:val="0"/>
        </w:numPr>
        <w:spacing w:line="600" w:lineRule="exact"/>
        <w:ind w:firstLine="643" w:firstLineChars="200"/>
        <w:rPr>
          <w:rFonts w:hint="eastAsia" w:ascii="Times New Roman" w:hAnsi="Times New Roman" w:eastAsia="仿宋_GB2312" w:cs="仿宋_GB2312"/>
          <w:color w:val="auto"/>
          <w:kern w:val="2"/>
          <w:sz w:val="32"/>
          <w:szCs w:val="32"/>
          <w:highlight w:val="none"/>
          <w:lang w:val="en-US" w:eastAsia="zh-CN" w:bidi="ar-SA"/>
        </w:rPr>
      </w:pPr>
      <w:bookmarkStart w:id="57" w:name="_Toc15377218"/>
      <w:bookmarkStart w:id="58" w:name="_Toc15396610"/>
      <w:r>
        <w:rPr>
          <w:rFonts w:hint="eastAsia" w:eastAsia="仿宋_GB2312" w:cs="仿宋_GB2312"/>
          <w:b/>
          <w:bCs/>
          <w:color w:val="auto"/>
          <w:kern w:val="2"/>
          <w:sz w:val="32"/>
          <w:szCs w:val="32"/>
          <w:highlight w:val="none"/>
          <w:lang w:val="en-US" w:eastAsia="zh-CN" w:bidi="ar-SA"/>
        </w:rPr>
        <w:t>1.</w:t>
      </w:r>
      <w:r>
        <w:rPr>
          <w:rFonts w:hint="eastAsia" w:ascii="Times New Roman" w:hAnsi="Times New Roman" w:eastAsia="仿宋_GB2312" w:cs="仿宋_GB2312"/>
          <w:b/>
          <w:bCs/>
          <w:color w:val="auto"/>
          <w:kern w:val="2"/>
          <w:sz w:val="32"/>
          <w:szCs w:val="32"/>
          <w:highlight w:val="none"/>
          <w:lang w:val="en-US" w:eastAsia="zh-CN" w:bidi="ar-SA"/>
        </w:rPr>
        <w:t>因公出国（境）经费支出</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全年安排因公出国（境）团</w:t>
      </w:r>
      <w:r>
        <w:rPr>
          <w:rFonts w:hint="eastAsia" w:ascii="仿宋_GB2312" w:hAnsi="仿宋_GB2312" w:eastAsia="仿宋_GB2312" w:cs="仿宋_GB2312"/>
          <w:color w:val="auto"/>
          <w:kern w:val="2"/>
          <w:sz w:val="32"/>
          <w:szCs w:val="32"/>
          <w:highlight w:val="none"/>
          <w:lang w:val="en-US" w:eastAsia="zh-CN" w:bidi="ar-SA"/>
        </w:rPr>
        <w:t>组</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次，出国（境）</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人</w:t>
      </w:r>
      <w:r>
        <w:rPr>
          <w:rFonts w:hint="eastAsia" w:ascii="Times New Roman" w:hAnsi="Times New Roman" w:eastAsia="仿宋_GB2312" w:cs="仿宋_GB2312"/>
          <w:color w:val="auto"/>
          <w:kern w:val="2"/>
          <w:sz w:val="32"/>
          <w:szCs w:val="32"/>
          <w:highlight w:val="none"/>
          <w:lang w:val="en-US" w:eastAsia="zh-CN" w:bidi="ar-SA"/>
        </w:rPr>
        <w:t>。</w:t>
      </w:r>
    </w:p>
    <w:p w14:paraId="6F25E12F">
      <w:pPr>
        <w:numPr>
          <w:ilvl w:val="0"/>
          <w:numId w:val="0"/>
        </w:numPr>
        <w:spacing w:line="600" w:lineRule="exact"/>
        <w:ind w:firstLine="643"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hAnsi="仿宋_GB2312" w:eastAsia="仿宋_GB2312" w:cs="仿宋_GB2312"/>
          <w:b/>
          <w:bCs/>
          <w:color w:val="auto"/>
          <w:kern w:val="2"/>
          <w:sz w:val="32"/>
          <w:szCs w:val="32"/>
          <w:highlight w:val="none"/>
          <w:lang w:val="en-US" w:eastAsia="zh-CN" w:bidi="ar-SA"/>
        </w:rPr>
        <w:t>4.00万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w:t>
      </w:r>
      <w:r>
        <w:rPr>
          <w:rFonts w:hint="eastAsia" w:eastAsia="仿宋_GB2312" w:cs="仿宋_GB2312"/>
          <w:color w:val="auto"/>
          <w:kern w:val="2"/>
          <w:sz w:val="32"/>
          <w:szCs w:val="32"/>
          <w:highlight w:val="none"/>
          <w:lang w:val="en-US" w:eastAsia="zh-CN" w:bidi="ar-SA"/>
        </w:rPr>
        <w:t>与</w:t>
      </w:r>
      <w:r>
        <w:rPr>
          <w:rFonts w:hint="eastAsia" w:ascii="Times New Roman" w:hAnsi="Times New Roman" w:eastAsia="仿宋_GB2312" w:cs="仿宋_GB2312"/>
          <w:color w:val="auto"/>
          <w:kern w:val="2"/>
          <w:sz w:val="32"/>
          <w:szCs w:val="32"/>
          <w:highlight w:val="none"/>
          <w:lang w:val="en-US" w:eastAsia="zh-CN" w:bidi="ar-SA"/>
        </w:rPr>
        <w:t>2023年度</w:t>
      </w:r>
      <w:r>
        <w:rPr>
          <w:rFonts w:hint="eastAsia" w:eastAsia="仿宋_GB2312" w:cs="仿宋_GB2312"/>
          <w:color w:val="auto"/>
          <w:kern w:val="2"/>
          <w:sz w:val="32"/>
          <w:szCs w:val="32"/>
          <w:highlight w:val="none"/>
          <w:lang w:val="en-US" w:eastAsia="zh-CN" w:bidi="ar-SA"/>
        </w:rPr>
        <w:t>相比无变化。</w:t>
      </w:r>
    </w:p>
    <w:p w14:paraId="7C2574F5">
      <w:pPr>
        <w:spacing w:line="600" w:lineRule="exact"/>
        <w:ind w:firstLine="640" w:firstLineChars="200"/>
        <w:rPr>
          <w:rFonts w:hint="eastAsia" w:ascii="仿宋_GB2312" w:hAnsi="仿宋_GB2312" w:eastAsia="仿宋_GB2312" w:cs="仿宋_GB2312"/>
          <w:b/>
          <w:color w:val="auto"/>
          <w:sz w:val="32"/>
          <w:szCs w:val="32"/>
          <w:highlight w:val="none"/>
          <w:lang w:val="en-US" w:eastAsia="zh-CN"/>
        </w:rPr>
      </w:pPr>
      <w:r>
        <w:rPr>
          <w:rFonts w:hint="eastAsia" w:ascii="仿宋_GB2312" w:hAnsi="仿宋_GB2312" w:eastAsia="仿宋_GB2312" w:cs="仿宋_GB2312"/>
          <w:color w:val="auto"/>
          <w:kern w:val="2"/>
          <w:sz w:val="32"/>
          <w:szCs w:val="32"/>
          <w:highlight w:val="none"/>
          <w:lang w:val="en-US" w:eastAsia="zh-CN" w:bidi="ar-SA"/>
        </w:rPr>
        <w:t>其中：公务用车购置支出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万元。全年按规定更新购置公务用车0辆，其中：轿车0辆、金额0万元，越野车0辆、金额0万元，载客汽车0辆、金额0万元。截至2024年12月31日，单位共有公务用车2辆，</w:t>
      </w:r>
      <w:r>
        <w:rPr>
          <w:rFonts w:hint="eastAsia" w:ascii="仿宋_GB2312" w:hAnsi="仿宋_GB2312" w:eastAsia="仿宋_GB2312" w:cs="仿宋_GB2312"/>
          <w:color w:val="auto"/>
          <w:sz w:val="32"/>
          <w:szCs w:val="32"/>
          <w:highlight w:val="none"/>
        </w:rPr>
        <w:t>其中：轿车</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辆</w:t>
      </w:r>
      <w:r>
        <w:rPr>
          <w:rFonts w:hint="eastAsia" w:ascii="仿宋_GB2312" w:hAnsi="仿宋_GB2312" w:eastAsia="仿宋_GB2312" w:cs="仿宋_GB2312"/>
          <w:color w:val="auto"/>
          <w:sz w:val="32"/>
          <w:szCs w:val="32"/>
          <w:highlight w:val="none"/>
          <w:lang w:eastAsia="zh-CN"/>
        </w:rPr>
        <w:t>，消防用车</w:t>
      </w:r>
      <w:r>
        <w:rPr>
          <w:rFonts w:hint="eastAsia" w:ascii="仿宋_GB2312" w:hAnsi="仿宋_GB2312" w:eastAsia="仿宋_GB2312" w:cs="仿宋_GB2312"/>
          <w:color w:val="auto"/>
          <w:sz w:val="32"/>
          <w:szCs w:val="32"/>
          <w:highlight w:val="none"/>
          <w:lang w:val="en-US" w:eastAsia="zh-CN"/>
        </w:rPr>
        <w:t>1 辆。</w:t>
      </w:r>
    </w:p>
    <w:p w14:paraId="38D49A9E">
      <w:pPr>
        <w:spacing w:line="600" w:lineRule="exact"/>
        <w:ind w:firstLine="64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公务用车运行维护费支出</w:t>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.00</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仿宋_GB2312" w:hAnsi="仿宋_GB2312" w:eastAsia="仿宋_GB2312" w:cs="仿宋_GB2312"/>
          <w:color w:val="auto"/>
          <w:sz w:val="32"/>
          <w:szCs w:val="32"/>
          <w:highlight w:val="none"/>
        </w:rPr>
        <w:t>主要用于</w:t>
      </w:r>
      <w:r>
        <w:rPr>
          <w:rFonts w:hint="eastAsia" w:ascii="仿宋_GB2312" w:hAnsi="仿宋_GB2312" w:eastAsia="仿宋_GB2312" w:cs="仿宋_GB2312"/>
          <w:color w:val="auto"/>
          <w:sz w:val="32"/>
          <w:szCs w:val="32"/>
          <w:highlight w:val="none"/>
          <w:lang w:eastAsia="zh-CN"/>
        </w:rPr>
        <w:t>职工干部</w:t>
      </w:r>
      <w:r>
        <w:rPr>
          <w:rFonts w:hint="eastAsia" w:ascii="仿宋_GB2312" w:hAnsi="仿宋_GB2312" w:eastAsia="仿宋_GB2312" w:cs="仿宋_GB2312"/>
          <w:color w:val="000000"/>
          <w:sz w:val="32"/>
          <w:szCs w:val="32"/>
          <w:lang w:eastAsia="zh-CN"/>
        </w:rPr>
        <w:t>森林防火、产业发展、下乡扶贫</w:t>
      </w:r>
      <w:r>
        <w:rPr>
          <w:rFonts w:hint="eastAsia" w:ascii="仿宋_GB2312" w:hAnsi="仿宋_GB2312" w:eastAsia="仿宋_GB2312" w:cs="仿宋_GB2312"/>
          <w:color w:val="auto"/>
          <w:sz w:val="32"/>
          <w:szCs w:val="32"/>
          <w:highlight w:val="none"/>
        </w:rPr>
        <w:t>等所需的公务用车燃料费、维修费、过路过桥费、保险费等支出。</w:t>
      </w:r>
    </w:p>
    <w:p w14:paraId="543A5855">
      <w:pPr>
        <w:numPr>
          <w:ilvl w:val="0"/>
          <w:numId w:val="0"/>
        </w:numPr>
        <w:spacing w:line="600" w:lineRule="exact"/>
        <w:ind w:firstLine="643" w:firstLineChars="20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3.公务接待费支出</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w:t>
      </w:r>
      <w:r>
        <w:rPr>
          <w:rStyle w:val="18"/>
          <w:rFonts w:hint="eastAsia" w:ascii="仿宋_GB2312" w:hAnsi="仿宋_GB2312" w:eastAsia="仿宋_GB2312" w:cs="仿宋_GB2312"/>
          <w:b w:val="0"/>
          <w:bCs/>
          <w:color w:val="auto"/>
          <w:sz w:val="32"/>
          <w:szCs w:val="32"/>
          <w:highlight w:val="none"/>
        </w:rPr>
        <w:t>完成预算</w:t>
      </w:r>
      <w:r>
        <w:rPr>
          <w:rStyle w:val="18"/>
          <w:rFonts w:hint="eastAsia" w:ascii="仿宋_GB2312" w:hAnsi="仿宋_GB2312" w:eastAsia="仿宋_GB2312" w:cs="仿宋_GB2312"/>
          <w:b w:val="0"/>
          <w:bCs/>
          <w:color w:val="auto"/>
          <w:sz w:val="32"/>
          <w:szCs w:val="32"/>
          <w:highlight w:val="none"/>
          <w:lang w:val="en-US" w:eastAsia="zh-CN"/>
        </w:rPr>
        <w:t>100</w:t>
      </w:r>
      <w:r>
        <w:rPr>
          <w:rStyle w:val="18"/>
          <w:rFonts w:hint="eastAsia" w:ascii="仿宋_GB2312" w:hAnsi="仿宋_GB2312" w:eastAsia="仿宋_GB2312" w:cs="仿宋_GB2312"/>
          <w:b w:val="0"/>
          <w:bCs/>
          <w:color w:val="auto"/>
          <w:sz w:val="32"/>
          <w:szCs w:val="32"/>
          <w:highlight w:val="none"/>
        </w:rPr>
        <w:t>%。</w:t>
      </w:r>
      <w:r>
        <w:rPr>
          <w:rFonts w:hint="eastAsia" w:ascii="仿宋_GB2312" w:hAnsi="仿宋_GB2312" w:eastAsia="仿宋_GB2312" w:cs="仿宋_GB2312"/>
          <w:color w:val="auto"/>
          <w:kern w:val="2"/>
          <w:sz w:val="32"/>
          <w:szCs w:val="32"/>
          <w:highlight w:val="none"/>
          <w:lang w:val="en-US" w:eastAsia="zh-CN" w:bidi="ar-SA"/>
        </w:rPr>
        <w:t>公务接待费支出决算与2023年度相比无变化。</w:t>
      </w:r>
    </w:p>
    <w:p w14:paraId="052A6BE5">
      <w:pPr>
        <w:spacing w:line="600" w:lineRule="exact"/>
        <w:ind w:firstLine="640"/>
        <w:outlineLvl w:val="1"/>
        <w:rPr>
          <w:rStyle w:val="30"/>
          <w:rFonts w:ascii="Times New Roman" w:hAnsi="Times New Roman" w:eastAsia="黑体"/>
          <w:color w:val="auto"/>
          <w:highlight w:val="none"/>
        </w:rPr>
      </w:pPr>
      <w:bookmarkStart w:id="59" w:name="_Toc21781"/>
      <w:r>
        <w:rPr>
          <w:rFonts w:hint="eastAsia" w:ascii="Times New Roman" w:hAnsi="Times New Roman" w:eastAsia="黑体"/>
          <w:color w:val="auto"/>
          <w:sz w:val="32"/>
          <w:szCs w:val="32"/>
          <w:highlight w:val="none"/>
        </w:rPr>
        <w:t>八、</w:t>
      </w:r>
      <w:r>
        <w:rPr>
          <w:rStyle w:val="30"/>
          <w:rFonts w:hint="eastAsia" w:ascii="Times New Roman" w:hAnsi="Times New Roman" w:eastAsia="黑体"/>
          <w:b w:val="0"/>
          <w:color w:val="auto"/>
          <w:highlight w:val="none"/>
        </w:rPr>
        <w:t>政府性基金预算支出决算情况说明</w:t>
      </w:r>
      <w:bookmarkEnd w:id="57"/>
      <w:bookmarkEnd w:id="58"/>
      <w:bookmarkEnd w:id="59"/>
    </w:p>
    <w:p w14:paraId="49687D43">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bookmarkStart w:id="60" w:name="_Toc15396611"/>
      <w:bookmarkStart w:id="61" w:name="_Toc15377219"/>
      <w:r>
        <w:rPr>
          <w:rFonts w:hint="eastAsia" w:ascii="仿宋_GB2312" w:hAnsi="仿宋_GB2312" w:eastAsia="仿宋_GB2312" w:cs="仿宋_GB2312"/>
          <w:color w:val="auto"/>
          <w:kern w:val="2"/>
          <w:sz w:val="32"/>
          <w:szCs w:val="32"/>
          <w:highlight w:val="none"/>
          <w:lang w:val="en-US" w:eastAsia="zh-CN" w:bidi="ar-SA"/>
        </w:rPr>
        <w:t>2024年度政府性基金预算财政拨款支出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%。与2023年度相比政府性基金预算财政拨款支出减少6.00万元，下降100%。主要变动原因是：2024年度无政府性基金财政拨款支出。</w:t>
      </w:r>
    </w:p>
    <w:p w14:paraId="4DA20547">
      <w:pPr>
        <w:numPr>
          <w:ilvl w:val="0"/>
          <w:numId w:val="0"/>
        </w:numPr>
        <w:spacing w:line="600" w:lineRule="exact"/>
        <w:ind w:left="630" w:leftChars="0"/>
        <w:outlineLvl w:val="1"/>
        <w:rPr>
          <w:rStyle w:val="30"/>
          <w:rFonts w:ascii="Times New Roman" w:hAnsi="Times New Roman" w:eastAsia="黑体"/>
          <w:b w:val="0"/>
          <w:color w:val="auto"/>
          <w:highlight w:val="none"/>
        </w:rPr>
      </w:pPr>
      <w:bookmarkStart w:id="62" w:name="_Toc12236"/>
      <w:r>
        <w:rPr>
          <w:rStyle w:val="30"/>
          <w:rFonts w:hint="eastAsia" w:ascii="Times New Roman" w:hAnsi="Times New Roman" w:eastAsia="黑体"/>
          <w:b w:val="0"/>
          <w:color w:val="auto"/>
          <w:highlight w:val="none"/>
          <w:lang w:eastAsia="zh-CN"/>
        </w:rPr>
        <w:t>九、</w:t>
      </w:r>
      <w:r>
        <w:rPr>
          <w:rStyle w:val="30"/>
          <w:rFonts w:hint="eastAsia" w:ascii="Times New Roman" w:hAnsi="Times New Roman" w:eastAsia="黑体"/>
          <w:b w:val="0"/>
          <w:color w:val="auto"/>
          <w:highlight w:val="none"/>
        </w:rPr>
        <w:t>国有资本经营预算支出决算情况说明</w:t>
      </w:r>
      <w:bookmarkEnd w:id="60"/>
      <w:bookmarkEnd w:id="61"/>
      <w:bookmarkEnd w:id="62"/>
    </w:p>
    <w:p w14:paraId="6719CDDE">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2024年度国有资本经营预算财政拨款支出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%。与2023年度相比，国有资本经营预算财政拨款无变化。</w:t>
      </w:r>
    </w:p>
    <w:p w14:paraId="6FCDBAFC">
      <w:pPr>
        <w:numPr>
          <w:ilvl w:val="0"/>
          <w:numId w:val="0"/>
        </w:numPr>
        <w:spacing w:line="600" w:lineRule="exact"/>
        <w:ind w:left="630" w:leftChars="0"/>
        <w:outlineLvl w:val="1"/>
        <w:rPr>
          <w:rStyle w:val="30"/>
          <w:rFonts w:hint="eastAsia" w:ascii="Times New Roman" w:hAnsi="Times New Roman" w:eastAsia="黑体"/>
          <w:b w:val="0"/>
          <w:color w:val="auto"/>
          <w:highlight w:val="none"/>
        </w:rPr>
      </w:pPr>
      <w:bookmarkStart w:id="63" w:name="_Toc22165"/>
      <w:bookmarkStart w:id="64" w:name="_Toc15377221"/>
      <w:bookmarkStart w:id="65" w:name="_Toc15396612"/>
      <w:r>
        <w:rPr>
          <w:rStyle w:val="30"/>
          <w:rFonts w:hint="eastAsia" w:ascii="Times New Roman" w:hAnsi="Times New Roman" w:eastAsia="黑体"/>
          <w:b w:val="0"/>
          <w:color w:val="auto"/>
          <w:highlight w:val="none"/>
          <w:lang w:eastAsia="zh-CN"/>
        </w:rPr>
        <w:t>十、</w:t>
      </w:r>
      <w:r>
        <w:rPr>
          <w:rStyle w:val="30"/>
          <w:rFonts w:hint="eastAsia" w:ascii="Times New Roman" w:hAnsi="Times New Roman" w:eastAsia="黑体"/>
          <w:b w:val="0"/>
          <w:color w:val="auto"/>
          <w:highlight w:val="none"/>
        </w:rPr>
        <w:t>其他重要事项的情况说明</w:t>
      </w:r>
      <w:bookmarkEnd w:id="63"/>
      <w:bookmarkEnd w:id="64"/>
      <w:bookmarkEnd w:id="65"/>
    </w:p>
    <w:p w14:paraId="1D23096B">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66" w:name="_Toc15377222"/>
      <w:r>
        <w:rPr>
          <w:rFonts w:hint="eastAsia" w:ascii="Times New Roman" w:hAnsi="Times New Roman" w:eastAsia="楷体_GB2312" w:cs="楷体_GB2312"/>
          <w:b/>
          <w:color w:val="auto"/>
          <w:sz w:val="32"/>
          <w:szCs w:val="32"/>
          <w:highlight w:val="none"/>
        </w:rPr>
        <w:t>（一）机关运行经费支出情况</w:t>
      </w:r>
      <w:bookmarkEnd w:id="66"/>
    </w:p>
    <w:p w14:paraId="3E9D4297">
      <w:pPr>
        <w:pageBreakBefore w:val="0"/>
        <w:widowControl w:val="0"/>
        <w:kinsoku/>
        <w:wordWrap/>
        <w:overflowPunct/>
        <w:topLinePunct w:val="0"/>
        <w:spacing w:line="560" w:lineRule="atLeast"/>
        <w:ind w:firstLine="640" w:firstLineChars="20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茂县沟口镇人民政府</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rPr>
        <w:t>25.17</w:t>
      </w:r>
      <w:r>
        <w:rPr>
          <w:rFonts w:hint="eastAsia" w:ascii="仿宋_GB2312" w:hAnsi="仿宋_GB2312" w:eastAsia="仿宋_GB2312" w:cs="仿宋_GB2312"/>
          <w:color w:val="auto"/>
          <w:kern w:val="2"/>
          <w:sz w:val="32"/>
          <w:szCs w:val="32"/>
          <w:highlight w:val="none"/>
          <w:lang w:val="en-US" w:eastAsia="zh-CN" w:bidi="ar-SA"/>
        </w:rPr>
        <w:t>万元，比2023年度减少0.09万元，下降0.36%。主要原因是：人员减少，机关运行经费支出减少</w:t>
      </w:r>
      <w:r>
        <w:rPr>
          <w:rFonts w:hint="eastAsia" w:ascii="仿宋_GB2312" w:hAnsi="仿宋_GB2312" w:eastAsia="仿宋_GB2312" w:cs="仿宋_GB2312"/>
          <w:color w:val="auto"/>
          <w:sz w:val="32"/>
          <w:szCs w:val="32"/>
          <w:highlight w:val="none"/>
          <w:lang w:eastAsia="zh-CN"/>
        </w:rPr>
        <w:t>。</w:t>
      </w:r>
    </w:p>
    <w:p w14:paraId="50BCE813">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67" w:name="_Toc15377223"/>
      <w:r>
        <w:rPr>
          <w:rFonts w:hint="eastAsia" w:ascii="Times New Roman" w:hAnsi="Times New Roman" w:eastAsia="楷体_GB2312" w:cs="楷体_GB2312"/>
          <w:b/>
          <w:color w:val="auto"/>
          <w:sz w:val="32"/>
          <w:szCs w:val="32"/>
          <w:highlight w:val="none"/>
        </w:rPr>
        <w:t>（二）政府采购支出情况</w:t>
      </w:r>
      <w:bookmarkEnd w:id="67"/>
    </w:p>
    <w:p w14:paraId="495FDB9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阿坝州茂县沟口镇人民政府（本级）</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p>
    <w:p w14:paraId="7823802E">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68" w:name="_Toc15377224"/>
      <w:r>
        <w:rPr>
          <w:rFonts w:hint="eastAsia" w:ascii="Times New Roman" w:hAnsi="Times New Roman" w:eastAsia="楷体_GB2312" w:cs="楷体_GB2312"/>
          <w:b/>
          <w:color w:val="auto"/>
          <w:sz w:val="32"/>
          <w:szCs w:val="32"/>
          <w:highlight w:val="none"/>
        </w:rPr>
        <w:t>（三）国有资产占有使用情况</w:t>
      </w:r>
      <w:bookmarkEnd w:id="68"/>
    </w:p>
    <w:p w14:paraId="4351F44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rPr>
        <w:t>茂县沟口镇人民政府</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2</w:t>
      </w:r>
      <w:r>
        <w:rPr>
          <w:rFonts w:hint="eastAsia" w:ascii="仿宋_GB2312" w:hAnsi="仿宋_GB2312" w:eastAsia="仿宋_GB2312" w:cs="仿宋_GB2312"/>
          <w:color w:val="auto"/>
          <w:kern w:val="2"/>
          <w:sz w:val="32"/>
          <w:szCs w:val="32"/>
          <w:highlight w:val="none"/>
          <w:lang w:val="en-US" w:eastAsia="zh-CN" w:bidi="ar-SA"/>
        </w:rPr>
        <w:t>辆，其中：主要负责人用车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rPr>
        <w:t>2</w:t>
      </w:r>
      <w:r>
        <w:rPr>
          <w:rFonts w:hint="eastAsia" w:ascii="仿宋_GB2312" w:hAnsi="仿宋_GB2312" w:eastAsia="仿宋_GB2312" w:cs="仿宋_GB2312"/>
          <w:color w:val="auto"/>
          <w:kern w:val="2"/>
          <w:sz w:val="32"/>
          <w:szCs w:val="32"/>
          <w:highlight w:val="none"/>
          <w:lang w:val="en-US" w:eastAsia="zh-CN" w:bidi="ar-SA"/>
        </w:rPr>
        <w:t>辆、其他用车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辆，单价100万元（含）以上设备（不含车辆）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台（套）</w:t>
      </w:r>
      <w:r>
        <w:rPr>
          <w:rFonts w:hint="eastAsia" w:ascii="Times New Roman" w:hAnsi="Times New Roman" w:eastAsia="仿宋_GB2312" w:cs="仿宋_GB2312"/>
          <w:color w:val="auto"/>
          <w:kern w:val="2"/>
          <w:sz w:val="32"/>
          <w:szCs w:val="32"/>
          <w:highlight w:val="none"/>
          <w:lang w:val="en-US" w:eastAsia="zh-CN" w:bidi="ar-SA"/>
        </w:rPr>
        <w:t>。</w:t>
      </w:r>
    </w:p>
    <w:p w14:paraId="06E20540">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14:paraId="7374D4C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根据预算绩效管理要求，</w:t>
      </w:r>
      <w:r>
        <w:rPr>
          <w:rFonts w:hint="eastAsia" w:ascii="仿宋_GB2312" w:eastAsia="仿宋_GB2312"/>
          <w:color w:val="000000"/>
          <w:sz w:val="32"/>
          <w:szCs w:val="32"/>
          <w:lang w:val="en-US" w:eastAsia="zh-CN"/>
        </w:rPr>
        <w:t>茂县沟口镇人民</w:t>
      </w:r>
      <w:r>
        <w:rPr>
          <w:rFonts w:hint="eastAsia" w:ascii="仿宋_GB2312" w:eastAsia="仿宋_GB2312"/>
          <w:color w:val="000000"/>
          <w:sz w:val="32"/>
          <w:szCs w:val="32"/>
        </w:rPr>
        <w:t>政府</w:t>
      </w:r>
      <w:r>
        <w:rPr>
          <w:rFonts w:hint="eastAsia" w:ascii="Times New Roman" w:hAnsi="Times New Roman" w:eastAsia="仿宋_GB2312" w:cs="仿宋_GB2312"/>
          <w:color w:val="auto"/>
          <w:kern w:val="2"/>
          <w:sz w:val="32"/>
          <w:szCs w:val="32"/>
          <w:highlight w:val="none"/>
          <w:lang w:val="en-US" w:eastAsia="zh-CN" w:bidi="ar-SA"/>
        </w:rPr>
        <w:t>在2024年度预算编制阶段，组织</w:t>
      </w:r>
      <w:r>
        <w:rPr>
          <w:rFonts w:hint="eastAsia" w:ascii="仿宋_GB2312" w:hAnsi="仿宋_GB2312" w:eastAsia="仿宋_GB2312" w:cs="仿宋_GB2312"/>
          <w:color w:val="auto"/>
          <w:sz w:val="32"/>
          <w:szCs w:val="32"/>
          <w:highlight w:val="none"/>
          <w:lang w:eastAsia="zh-CN"/>
        </w:rPr>
        <w:t>茂县沟口大桥桥梁建设</w:t>
      </w:r>
      <w:r>
        <w:rPr>
          <w:rFonts w:hint="eastAsia" w:ascii="Times New Roman" w:hAnsi="Times New Roman" w:eastAsia="仿宋_GB2312" w:cs="仿宋_GB2312"/>
          <w:color w:val="auto"/>
          <w:kern w:val="2"/>
          <w:sz w:val="32"/>
          <w:szCs w:val="32"/>
          <w:highlight w:val="none"/>
          <w:lang w:val="en-US" w:eastAsia="zh-CN" w:bidi="ar-SA"/>
        </w:rPr>
        <w:t>等</w:t>
      </w:r>
      <w:r>
        <w:rPr>
          <w:rFonts w:hint="eastAsia" w:eastAsia="仿宋_GB2312" w:cs="仿宋_GB2312"/>
          <w:color w:val="auto"/>
          <w:kern w:val="2"/>
          <w:sz w:val="32"/>
          <w:szCs w:val="32"/>
          <w:highlight w:val="none"/>
          <w:lang w:val="en-US" w:eastAsia="zh-CN" w:bidi="ar-SA"/>
        </w:rPr>
        <w:t>34</w:t>
      </w:r>
      <w:r>
        <w:rPr>
          <w:rFonts w:hint="eastAsia" w:ascii="Times New Roman" w:hAnsi="Times New Roman" w:eastAsia="仿宋_GB2312" w:cs="仿宋_GB2312"/>
          <w:color w:val="auto"/>
          <w:kern w:val="2"/>
          <w:sz w:val="32"/>
          <w:szCs w:val="32"/>
          <w:highlight w:val="none"/>
          <w:lang w:val="en-US" w:eastAsia="zh-CN" w:bidi="ar-SA"/>
        </w:rPr>
        <w:t>个项目开展了预算事前绩效评估，对</w:t>
      </w:r>
      <w:r>
        <w:rPr>
          <w:rFonts w:hint="eastAsia" w:eastAsia="仿宋_GB2312" w:cs="仿宋_GB2312"/>
          <w:color w:val="auto"/>
          <w:kern w:val="2"/>
          <w:sz w:val="32"/>
          <w:szCs w:val="32"/>
          <w:highlight w:val="none"/>
          <w:lang w:val="en-US" w:eastAsia="zh-CN" w:bidi="ar-SA"/>
        </w:rPr>
        <w:t>34</w:t>
      </w:r>
      <w:r>
        <w:rPr>
          <w:rFonts w:hint="eastAsia" w:ascii="Times New Roman" w:hAnsi="Times New Roman" w:eastAsia="仿宋_GB2312" w:cs="仿宋_GB2312"/>
          <w:color w:val="auto"/>
          <w:kern w:val="2"/>
          <w:sz w:val="32"/>
          <w:szCs w:val="32"/>
          <w:highlight w:val="none"/>
          <w:lang w:val="en-US" w:eastAsia="zh-CN" w:bidi="ar-SA"/>
        </w:rPr>
        <w:t>个项目编制了绩效目标，预算执行过程中，选取</w:t>
      </w:r>
      <w:r>
        <w:rPr>
          <w:rFonts w:hint="eastAsia" w:eastAsia="仿宋_GB2312" w:cs="仿宋_GB2312"/>
          <w:color w:val="auto"/>
          <w:kern w:val="2"/>
          <w:sz w:val="32"/>
          <w:szCs w:val="32"/>
          <w:highlight w:val="none"/>
          <w:lang w:val="en-US" w:eastAsia="zh-CN" w:bidi="ar-SA"/>
        </w:rPr>
        <w:t>34</w:t>
      </w:r>
      <w:r>
        <w:rPr>
          <w:rFonts w:hint="eastAsia" w:ascii="Times New Roman" w:hAnsi="Times New Roman" w:eastAsia="仿宋_GB2312" w:cs="仿宋_GB2312"/>
          <w:color w:val="auto"/>
          <w:kern w:val="2"/>
          <w:sz w:val="32"/>
          <w:szCs w:val="32"/>
          <w:highlight w:val="none"/>
          <w:lang w:val="en-US" w:eastAsia="zh-CN" w:bidi="ar-SA"/>
        </w:rPr>
        <w:t>个项目开展绩效监控。</w:t>
      </w:r>
    </w:p>
    <w:p w14:paraId="231E967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组织对2024年度一般公共预算、政府性基金预算、国有资本经营预算、社会保险基金预算以及资本资产、债券资金等全面开展绩效自评，形成</w:t>
      </w:r>
      <w:r>
        <w:rPr>
          <w:rFonts w:hint="eastAsia" w:ascii="仿宋_GB2312" w:eastAsia="仿宋_GB2312"/>
          <w:color w:val="000000"/>
          <w:sz w:val="32"/>
          <w:szCs w:val="32"/>
          <w:lang w:val="en-US" w:eastAsia="zh-CN"/>
        </w:rPr>
        <w:t>茂县沟口镇人民</w:t>
      </w:r>
      <w:r>
        <w:rPr>
          <w:rFonts w:hint="eastAsia" w:ascii="仿宋_GB2312" w:eastAsia="仿宋_GB2312"/>
          <w:color w:val="000000"/>
          <w:sz w:val="32"/>
          <w:szCs w:val="32"/>
        </w:rPr>
        <w:t>政府</w:t>
      </w:r>
      <w:r>
        <w:rPr>
          <w:rFonts w:hint="eastAsia" w:ascii="Times New Roman" w:hAnsi="Times New Roman" w:eastAsia="仿宋_GB2312" w:cs="仿宋_GB2312"/>
          <w:color w:val="auto"/>
          <w:kern w:val="2"/>
          <w:sz w:val="32"/>
          <w:szCs w:val="32"/>
          <w:highlight w:val="none"/>
          <w:lang w:val="en-US" w:eastAsia="zh-CN" w:bidi="ar-SA"/>
        </w:rPr>
        <w:t>部门整体（含部门预算项目）绩效自评报告、</w:t>
      </w:r>
      <w:r>
        <w:rPr>
          <w:rFonts w:hint="eastAsia" w:ascii="仿宋_GB2312" w:hAnsi="仿宋_GB2312" w:eastAsia="仿宋_GB2312" w:cs="仿宋_GB2312"/>
          <w:color w:val="auto"/>
          <w:sz w:val="32"/>
          <w:szCs w:val="32"/>
          <w:highlight w:val="none"/>
          <w:lang w:eastAsia="zh-CN"/>
        </w:rPr>
        <w:t>茂县沟口大桥桥梁建设</w:t>
      </w:r>
      <w:r>
        <w:rPr>
          <w:rFonts w:hint="eastAsia" w:ascii="Times New Roman" w:hAnsi="Times New Roman" w:eastAsia="仿宋_GB2312" w:cs="仿宋_GB2312"/>
          <w:color w:val="auto"/>
          <w:kern w:val="2"/>
          <w:sz w:val="32"/>
          <w:szCs w:val="32"/>
          <w:highlight w:val="none"/>
          <w:lang w:val="en-US" w:eastAsia="zh-CN" w:bidi="ar-SA"/>
        </w:rPr>
        <w:t>等专项预算项目绩效自评报告，其中，</w:t>
      </w:r>
      <w:r>
        <w:rPr>
          <w:rFonts w:hint="eastAsia" w:ascii="仿宋_GB2312" w:eastAsia="仿宋_GB2312"/>
          <w:color w:val="000000"/>
          <w:sz w:val="32"/>
          <w:szCs w:val="32"/>
          <w:highlight w:val="none"/>
          <w:lang w:val="en-US" w:eastAsia="zh-CN"/>
        </w:rPr>
        <w:t>茂县沟口镇人民</w:t>
      </w:r>
      <w:r>
        <w:rPr>
          <w:rFonts w:hint="eastAsia" w:ascii="仿宋_GB2312" w:eastAsia="仿宋_GB2312"/>
          <w:color w:val="000000"/>
          <w:sz w:val="32"/>
          <w:szCs w:val="32"/>
          <w:highlight w:val="none"/>
        </w:rPr>
        <w:t>政府</w:t>
      </w:r>
      <w:r>
        <w:rPr>
          <w:rFonts w:hint="eastAsia" w:ascii="Times New Roman" w:hAnsi="Times New Roman" w:eastAsia="仿宋_GB2312" w:cs="仿宋_GB2312"/>
          <w:color w:val="auto"/>
          <w:kern w:val="2"/>
          <w:sz w:val="32"/>
          <w:szCs w:val="32"/>
          <w:highlight w:val="none"/>
          <w:lang w:val="en-US" w:eastAsia="zh-CN" w:bidi="ar-SA"/>
        </w:rPr>
        <w:t>部门整体（含部门预算项目）绩效自评得分为</w:t>
      </w:r>
      <w:r>
        <w:rPr>
          <w:rFonts w:hint="eastAsia" w:eastAsia="仿宋_GB2312" w:cs="仿宋_GB2312"/>
          <w:color w:val="auto"/>
          <w:kern w:val="2"/>
          <w:sz w:val="32"/>
          <w:szCs w:val="32"/>
          <w:highlight w:val="none"/>
          <w:lang w:val="en-US" w:eastAsia="zh-CN" w:bidi="ar-SA"/>
        </w:rPr>
        <w:t>94</w:t>
      </w:r>
      <w:r>
        <w:rPr>
          <w:rFonts w:hint="eastAsia" w:ascii="Times New Roman" w:hAnsi="Times New Roman" w:eastAsia="仿宋_GB2312" w:cs="仿宋_GB2312"/>
          <w:color w:val="auto"/>
          <w:kern w:val="2"/>
          <w:sz w:val="32"/>
          <w:szCs w:val="32"/>
          <w:highlight w:val="none"/>
          <w:lang w:val="en-US" w:eastAsia="zh-CN" w:bidi="ar-SA"/>
        </w:rPr>
        <w:t>分，绩效自评综述</w:t>
      </w:r>
      <w:r>
        <w:rPr>
          <w:rFonts w:hint="eastAsia" w:eastAsia="仿宋_GB2312" w:cs="仿宋_GB2312"/>
          <w:color w:val="auto"/>
          <w:kern w:val="2"/>
          <w:sz w:val="32"/>
          <w:szCs w:val="32"/>
          <w:highlight w:val="none"/>
          <w:lang w:val="en-US" w:eastAsia="zh-CN" w:bidi="ar-SA"/>
        </w:rPr>
        <w:t>整体实施优秀</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茂县沟口镇</w:t>
      </w:r>
      <w:r>
        <w:rPr>
          <w:rFonts w:hint="eastAsia" w:ascii="Times New Roman" w:hAnsi="Times New Roman" w:eastAsia="仿宋_GB2312" w:cs="仿宋_GB2312"/>
          <w:color w:val="auto"/>
          <w:kern w:val="2"/>
          <w:sz w:val="32"/>
          <w:szCs w:val="32"/>
          <w:highlight w:val="none"/>
          <w:lang w:val="en-US" w:eastAsia="zh-CN" w:bidi="ar-SA"/>
        </w:rPr>
        <w:t>专项预算项目绩效自评得分为</w:t>
      </w:r>
      <w:r>
        <w:rPr>
          <w:rFonts w:hint="eastAsia" w:eastAsia="仿宋_GB2312" w:cs="仿宋_GB2312"/>
          <w:color w:val="auto"/>
          <w:kern w:val="2"/>
          <w:sz w:val="32"/>
          <w:szCs w:val="32"/>
          <w:highlight w:val="none"/>
          <w:lang w:val="en-US" w:eastAsia="zh-CN" w:bidi="ar-SA"/>
        </w:rPr>
        <w:t>95</w:t>
      </w:r>
      <w:r>
        <w:rPr>
          <w:rFonts w:hint="eastAsia" w:ascii="Times New Roman" w:hAnsi="Times New Roman" w:eastAsia="仿宋_GB2312" w:cs="仿宋_GB2312"/>
          <w:color w:val="auto"/>
          <w:kern w:val="2"/>
          <w:sz w:val="32"/>
          <w:szCs w:val="32"/>
          <w:highlight w:val="none"/>
          <w:lang w:val="en-US" w:eastAsia="zh-CN" w:bidi="ar-SA"/>
        </w:rPr>
        <w:t>分，绩效自评综述</w:t>
      </w:r>
      <w:r>
        <w:rPr>
          <w:rFonts w:hint="eastAsia" w:eastAsia="仿宋_GB2312" w:cs="仿宋_GB2312"/>
          <w:color w:val="auto"/>
          <w:kern w:val="2"/>
          <w:sz w:val="32"/>
          <w:szCs w:val="32"/>
          <w:highlight w:val="none"/>
          <w:lang w:val="en-US" w:eastAsia="zh-CN" w:bidi="ar-SA"/>
        </w:rPr>
        <w:t>整体实施优秀</w:t>
      </w:r>
      <w:r>
        <w:rPr>
          <w:rFonts w:hint="eastAsia" w:ascii="Times New Roman" w:hAnsi="Times New Roman" w:eastAsia="仿宋_GB2312" w:cs="仿宋_GB2312"/>
          <w:color w:val="auto"/>
          <w:kern w:val="2"/>
          <w:sz w:val="32"/>
          <w:szCs w:val="32"/>
          <w:highlight w:val="none"/>
          <w:lang w:val="en-US" w:eastAsia="zh-CN" w:bidi="ar-SA"/>
        </w:rPr>
        <w:t>。茂县沟口镇基层政权建设补助资金—办公楼及宿舍楼安全维修绩效自评得分为</w:t>
      </w:r>
      <w:r>
        <w:rPr>
          <w:rFonts w:hint="eastAsia" w:eastAsia="仿宋_GB2312" w:cs="仿宋_GB2312"/>
          <w:color w:val="auto"/>
          <w:kern w:val="2"/>
          <w:sz w:val="32"/>
          <w:szCs w:val="32"/>
          <w:highlight w:val="none"/>
          <w:lang w:val="en-US" w:eastAsia="zh-CN" w:bidi="ar-SA"/>
        </w:rPr>
        <w:t>95</w:t>
      </w:r>
      <w:r>
        <w:rPr>
          <w:rFonts w:hint="eastAsia" w:ascii="Times New Roman" w:hAnsi="Times New Roman" w:eastAsia="仿宋_GB2312" w:cs="仿宋_GB2312"/>
          <w:color w:val="auto"/>
          <w:kern w:val="2"/>
          <w:sz w:val="32"/>
          <w:szCs w:val="32"/>
          <w:highlight w:val="none"/>
          <w:lang w:val="en-US" w:eastAsia="zh-CN" w:bidi="ar-SA"/>
        </w:rPr>
        <w:t>分，绩效自评综述</w:t>
      </w:r>
      <w:r>
        <w:rPr>
          <w:rFonts w:hint="eastAsia" w:eastAsia="仿宋_GB2312" w:cs="仿宋_GB2312"/>
          <w:color w:val="auto"/>
          <w:kern w:val="2"/>
          <w:sz w:val="32"/>
          <w:szCs w:val="32"/>
          <w:highlight w:val="none"/>
          <w:lang w:val="en-US" w:eastAsia="zh-CN" w:bidi="ar-SA"/>
        </w:rPr>
        <w:t>整体实施优秀</w:t>
      </w:r>
      <w:r>
        <w:rPr>
          <w:rFonts w:hint="eastAsia" w:ascii="Times New Roman" w:hAnsi="Times New Roman" w:eastAsia="仿宋_GB2312" w:cs="仿宋_GB2312"/>
          <w:color w:val="auto"/>
          <w:kern w:val="2"/>
          <w:sz w:val="32"/>
          <w:szCs w:val="32"/>
          <w:highlight w:val="none"/>
          <w:lang w:val="en-US" w:eastAsia="zh-CN" w:bidi="ar-SA"/>
        </w:rPr>
        <w:t>。水若村文化休闲居家养老建改项目自评得分为</w:t>
      </w:r>
      <w:r>
        <w:rPr>
          <w:rFonts w:hint="eastAsia" w:eastAsia="仿宋_GB2312" w:cs="仿宋_GB2312"/>
          <w:color w:val="auto"/>
          <w:kern w:val="2"/>
          <w:sz w:val="32"/>
          <w:szCs w:val="32"/>
          <w:highlight w:val="none"/>
          <w:lang w:val="en-US" w:eastAsia="zh-CN" w:bidi="ar-SA"/>
        </w:rPr>
        <w:t>93</w:t>
      </w:r>
      <w:r>
        <w:rPr>
          <w:rFonts w:hint="eastAsia" w:ascii="Times New Roman" w:hAnsi="Times New Roman" w:eastAsia="仿宋_GB2312" w:cs="仿宋_GB2312"/>
          <w:color w:val="auto"/>
          <w:kern w:val="2"/>
          <w:sz w:val="32"/>
          <w:szCs w:val="32"/>
          <w:highlight w:val="none"/>
          <w:lang w:val="en-US" w:eastAsia="zh-CN" w:bidi="ar-SA"/>
        </w:rPr>
        <w:t>分，绩效自评综述</w:t>
      </w:r>
      <w:r>
        <w:rPr>
          <w:rFonts w:hint="eastAsia" w:eastAsia="仿宋_GB2312" w:cs="仿宋_GB2312"/>
          <w:color w:val="auto"/>
          <w:kern w:val="2"/>
          <w:sz w:val="32"/>
          <w:szCs w:val="32"/>
          <w:highlight w:val="none"/>
          <w:lang w:val="en-US" w:eastAsia="zh-CN" w:bidi="ar-SA"/>
        </w:rPr>
        <w:t>整体实施优秀</w:t>
      </w:r>
      <w:r>
        <w:rPr>
          <w:rFonts w:hint="eastAsia" w:ascii="Times New Roman" w:hAnsi="Times New Roman" w:eastAsia="仿宋_GB2312" w:cs="仿宋_GB2312"/>
          <w:color w:val="auto"/>
          <w:kern w:val="2"/>
          <w:sz w:val="32"/>
          <w:szCs w:val="32"/>
          <w:highlight w:val="none"/>
          <w:lang w:val="en-US" w:eastAsia="zh-CN" w:bidi="ar-SA"/>
        </w:rPr>
        <w:t>。沟口镇产业结构调整示范点项目自评得分为</w:t>
      </w:r>
      <w:r>
        <w:rPr>
          <w:rFonts w:hint="eastAsia" w:eastAsia="仿宋_GB2312" w:cs="仿宋_GB2312"/>
          <w:color w:val="auto"/>
          <w:kern w:val="2"/>
          <w:sz w:val="32"/>
          <w:szCs w:val="32"/>
          <w:highlight w:val="none"/>
          <w:lang w:val="en-US" w:eastAsia="zh-CN" w:bidi="ar-SA"/>
        </w:rPr>
        <w:t>93</w:t>
      </w:r>
      <w:r>
        <w:rPr>
          <w:rFonts w:hint="eastAsia" w:ascii="Times New Roman" w:hAnsi="Times New Roman" w:eastAsia="仿宋_GB2312" w:cs="仿宋_GB2312"/>
          <w:color w:val="auto"/>
          <w:kern w:val="2"/>
          <w:sz w:val="32"/>
          <w:szCs w:val="32"/>
          <w:highlight w:val="none"/>
          <w:lang w:val="en-US" w:eastAsia="zh-CN" w:bidi="ar-SA"/>
        </w:rPr>
        <w:t>分，绩效自评综述</w:t>
      </w:r>
      <w:r>
        <w:rPr>
          <w:rFonts w:hint="eastAsia" w:eastAsia="仿宋_GB2312" w:cs="仿宋_GB2312"/>
          <w:color w:val="auto"/>
          <w:kern w:val="2"/>
          <w:sz w:val="32"/>
          <w:szCs w:val="32"/>
          <w:highlight w:val="none"/>
          <w:lang w:val="en-US" w:eastAsia="zh-CN" w:bidi="ar-SA"/>
        </w:rPr>
        <w:t>整体实施优秀</w:t>
      </w:r>
      <w:r>
        <w:rPr>
          <w:rFonts w:hint="eastAsia" w:ascii="Times New Roman" w:hAnsi="Times New Roman" w:eastAsia="仿宋_GB2312" w:cs="仿宋_GB2312"/>
          <w:color w:val="auto"/>
          <w:kern w:val="2"/>
          <w:sz w:val="32"/>
          <w:szCs w:val="32"/>
          <w:highlight w:val="none"/>
          <w:lang w:val="en-US" w:eastAsia="zh-CN" w:bidi="ar-SA"/>
        </w:rPr>
        <w:t>。</w:t>
      </w:r>
    </w:p>
    <w:p w14:paraId="21C1435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绩效自评报告详见附件。</w:t>
      </w:r>
    </w:p>
    <w:p w14:paraId="78217C2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0F69D47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0F5C252B">
      <w:pPr>
        <w:pStyle w:val="14"/>
        <w:rPr>
          <w:rFonts w:hint="eastAsia" w:ascii="Times New Roman" w:hAnsi="Times New Roman" w:eastAsia="仿宋_GB2312" w:cs="仿宋_GB2312"/>
          <w:color w:val="auto"/>
          <w:kern w:val="2"/>
          <w:sz w:val="32"/>
          <w:szCs w:val="32"/>
          <w:highlight w:val="none"/>
          <w:lang w:val="en-US" w:eastAsia="zh-CN" w:bidi="ar-SA"/>
        </w:rPr>
      </w:pPr>
    </w:p>
    <w:p w14:paraId="7B5FF64B">
      <w:pPr>
        <w:rPr>
          <w:rFonts w:hint="eastAsia" w:ascii="Times New Roman" w:hAnsi="Times New Roman" w:eastAsia="仿宋_GB2312" w:cs="仿宋_GB2312"/>
          <w:color w:val="auto"/>
          <w:kern w:val="2"/>
          <w:sz w:val="32"/>
          <w:szCs w:val="32"/>
          <w:highlight w:val="none"/>
          <w:lang w:val="en-US" w:eastAsia="zh-CN" w:bidi="ar-SA"/>
        </w:rPr>
      </w:pPr>
    </w:p>
    <w:p w14:paraId="028DB61B">
      <w:pPr>
        <w:pStyle w:val="14"/>
        <w:rPr>
          <w:rFonts w:hint="eastAsia" w:ascii="Times New Roman" w:hAnsi="Times New Roman" w:eastAsia="仿宋_GB2312" w:cs="仿宋_GB2312"/>
          <w:color w:val="auto"/>
          <w:kern w:val="2"/>
          <w:sz w:val="32"/>
          <w:szCs w:val="32"/>
          <w:highlight w:val="none"/>
          <w:lang w:val="en-US" w:eastAsia="zh-CN" w:bidi="ar-SA"/>
        </w:rPr>
      </w:pPr>
    </w:p>
    <w:p w14:paraId="615B8028">
      <w:pPr>
        <w:rPr>
          <w:rFonts w:hint="eastAsia"/>
          <w:lang w:val="en-US" w:eastAsia="zh-CN"/>
        </w:rPr>
      </w:pPr>
    </w:p>
    <w:p w14:paraId="6522996E">
      <w:pPr>
        <w:pStyle w:val="5"/>
        <w:bidi w:val="0"/>
        <w:ind w:firstLine="1767" w:firstLineChars="400"/>
        <w:rPr>
          <w:rFonts w:hint="eastAsia"/>
        </w:rPr>
      </w:pPr>
      <w:bookmarkStart w:id="69" w:name="_Toc15396613"/>
      <w:bookmarkStart w:id="70" w:name="_Toc15377225"/>
      <w:bookmarkStart w:id="71" w:name="_Toc5985"/>
      <w:bookmarkStart w:id="72" w:name="_Toc15377226"/>
    </w:p>
    <w:p w14:paraId="0563F849">
      <w:pPr>
        <w:rPr>
          <w:rFonts w:hint="eastAsia"/>
        </w:rPr>
      </w:pPr>
    </w:p>
    <w:p w14:paraId="21423BB4">
      <w:pPr>
        <w:pStyle w:val="2"/>
        <w:rPr>
          <w:rFonts w:hint="eastAsia"/>
        </w:rPr>
      </w:pPr>
    </w:p>
    <w:p w14:paraId="139C8578">
      <w:pPr>
        <w:pStyle w:val="3"/>
        <w:rPr>
          <w:rFonts w:hint="eastAsia"/>
        </w:rPr>
      </w:pPr>
    </w:p>
    <w:p w14:paraId="5FC79A52">
      <w:pPr>
        <w:pStyle w:val="5"/>
        <w:tabs>
          <w:tab w:val="left" w:pos="1006"/>
        </w:tabs>
        <w:bidi w:val="0"/>
        <w:rPr>
          <w:rFonts w:hint="eastAsia" w:ascii="方正小标宋简体" w:hAnsi="方正小标宋简体" w:eastAsia="方正小标宋简体" w:cs="方正小标宋简体"/>
          <w:b w:val="0"/>
          <w:bCs w:val="0"/>
          <w:lang w:eastAsia="zh-CN"/>
        </w:rPr>
      </w:pPr>
    </w:p>
    <w:p w14:paraId="398CB31C">
      <w:pPr>
        <w:rPr>
          <w:rFonts w:hint="eastAsia"/>
          <w:lang w:eastAsia="zh-CN"/>
        </w:rPr>
      </w:pPr>
    </w:p>
    <w:p w14:paraId="283B460C">
      <w:pPr>
        <w:pStyle w:val="5"/>
        <w:tabs>
          <w:tab w:val="left" w:pos="1006"/>
        </w:tabs>
        <w:bidi w:val="0"/>
        <w:ind w:firstLine="2200" w:firstLineChars="500"/>
        <w:rPr>
          <w:rFonts w:ascii="Times New Roman" w:hAnsi="Times New Roman"/>
          <w:b/>
          <w:color w:val="auto"/>
          <w:sz w:val="44"/>
          <w:szCs w:val="44"/>
          <w:highlight w:val="none"/>
        </w:rPr>
      </w:pPr>
      <w:r>
        <w:rPr>
          <w:rFonts w:hint="eastAsia" w:ascii="方正小标宋简体" w:hAnsi="方正小标宋简体" w:eastAsia="方正小标宋简体" w:cs="方正小标宋简体"/>
          <w:b w:val="0"/>
          <w:bCs w:val="0"/>
          <w:lang w:eastAsia="zh-CN"/>
        </w:rPr>
        <w:tab/>
      </w:r>
      <w:r>
        <w:rPr>
          <w:rFonts w:hint="eastAsia" w:ascii="方正小标宋简体" w:hAnsi="方正小标宋简体" w:eastAsia="方正小标宋简体" w:cs="方正小标宋简体"/>
          <w:b w:val="0"/>
          <w:bCs w:val="0"/>
        </w:rPr>
        <w:t>第</w:t>
      </w:r>
      <w:r>
        <w:rPr>
          <w:rFonts w:hint="eastAsia" w:ascii="方正小标宋简体" w:hAnsi="方正小标宋简体" w:eastAsia="方正小标宋简体" w:cs="方正小标宋简体"/>
          <w:b w:val="0"/>
          <w:bCs w:val="0"/>
          <w:lang w:eastAsia="zh-CN"/>
        </w:rPr>
        <w:t>三</w:t>
      </w:r>
      <w:r>
        <w:rPr>
          <w:rFonts w:hint="eastAsia" w:ascii="方正小标宋简体" w:hAnsi="方正小标宋简体" w:eastAsia="方正小标宋简体" w:cs="方正小标宋简体"/>
          <w:b w:val="0"/>
          <w:bCs w:val="0"/>
        </w:rPr>
        <w:t>部分</w:t>
      </w:r>
      <w:r>
        <w:rPr>
          <w:rFonts w:hint="eastAsia" w:ascii="方正小标宋简体" w:hAnsi="方正小标宋简体" w:eastAsia="方正小标宋简体" w:cs="方正小标宋简体"/>
          <w:b w:val="0"/>
          <w:bCs w:val="0"/>
          <w:lang w:val="en-US" w:eastAsia="zh-CN"/>
        </w:rPr>
        <w:t xml:space="preserve">  </w:t>
      </w:r>
      <w:r>
        <w:rPr>
          <w:rFonts w:hint="eastAsia" w:ascii="方正小标宋简体" w:hAnsi="方正小标宋简体" w:eastAsia="方正小标宋简体" w:cs="方正小标宋简体"/>
          <w:b w:val="0"/>
          <w:bCs w:val="0"/>
        </w:rPr>
        <w:t>名词解释</w:t>
      </w:r>
      <w:bookmarkEnd w:id="69"/>
      <w:bookmarkEnd w:id="70"/>
      <w:bookmarkEnd w:id="71"/>
    </w:p>
    <w:p w14:paraId="7C525502">
      <w:pPr>
        <w:pStyle w:val="27"/>
        <w:pageBreakBefore w:val="0"/>
        <w:widowControl w:val="0"/>
        <w:kinsoku/>
        <w:wordWrap/>
        <w:overflowPunct/>
        <w:topLinePunct w:val="0"/>
        <w:bidi w:val="0"/>
        <w:snapToGrid/>
        <w:spacing w:line="576" w:lineRule="exact"/>
        <w:ind w:firstLine="640" w:firstLineChars="200"/>
        <w:textAlignment w:val="auto"/>
        <w:outlineLvl w:val="1"/>
        <w:rPr>
          <w:rFonts w:ascii="仿宋_GB2312" w:eastAsia="仿宋_GB2312"/>
          <w:color w:val="auto"/>
          <w:sz w:val="32"/>
          <w:szCs w:val="32"/>
          <w:highlight w:val="none"/>
        </w:rPr>
      </w:pPr>
      <w:bookmarkStart w:id="73" w:name="_Toc12880"/>
      <w:bookmarkStart w:id="74" w:name="_Toc14089"/>
      <w:bookmarkStart w:id="75" w:name="_Toc26550"/>
      <w:r>
        <w:rPr>
          <w:rFonts w:ascii="仿宋_GB2312" w:eastAsia="仿宋_GB2312"/>
          <w:color w:val="auto"/>
          <w:sz w:val="32"/>
          <w:szCs w:val="32"/>
          <w:highlight w:val="none"/>
        </w:rPr>
        <w:t>1.</w:t>
      </w:r>
      <w:r>
        <w:rPr>
          <w:rFonts w:hint="eastAsia" w:ascii="仿宋_GB2312" w:eastAsia="仿宋_GB2312"/>
          <w:color w:val="auto"/>
          <w:sz w:val="32"/>
          <w:szCs w:val="32"/>
          <w:highlight w:val="none"/>
        </w:rPr>
        <w:t>财政拨款收入：指单位从同级财政部门取得的财政预算资金。</w:t>
      </w:r>
      <w:bookmarkEnd w:id="73"/>
      <w:bookmarkEnd w:id="74"/>
      <w:bookmarkEnd w:id="75"/>
    </w:p>
    <w:p w14:paraId="3128B6E9">
      <w:pPr>
        <w:pStyle w:val="27"/>
        <w:pageBreakBefore w:val="0"/>
        <w:widowControl w:val="0"/>
        <w:kinsoku/>
        <w:wordWrap/>
        <w:overflowPunct/>
        <w:topLinePunct w:val="0"/>
        <w:bidi w:val="0"/>
        <w:snapToGrid/>
        <w:spacing w:line="576" w:lineRule="exact"/>
        <w:ind w:firstLine="640" w:firstLineChars="200"/>
        <w:textAlignment w:val="auto"/>
        <w:rPr>
          <w:rFonts w:hint="eastAsia" w:ascii="仿宋_GB2312" w:eastAsia="仿宋_GB2312"/>
          <w:color w:val="auto"/>
          <w:sz w:val="32"/>
          <w:szCs w:val="32"/>
          <w:highlight w:val="none"/>
        </w:rPr>
      </w:pPr>
      <w:r>
        <w:rPr>
          <w:rFonts w:ascii="仿宋_GB2312" w:eastAsia="仿宋_GB2312"/>
          <w:color w:val="auto"/>
          <w:sz w:val="32"/>
          <w:szCs w:val="32"/>
          <w:highlight w:val="none"/>
        </w:rPr>
        <w:t>2.</w:t>
      </w:r>
      <w:r>
        <w:rPr>
          <w:rFonts w:hint="eastAsia" w:ascii="仿宋_GB2312" w:eastAsia="仿宋_GB2312"/>
          <w:color w:val="auto"/>
          <w:sz w:val="32"/>
          <w:szCs w:val="32"/>
          <w:highlight w:val="none"/>
        </w:rPr>
        <w:t>事业收入：指事业单位开展专业业务活动及辅助活动取得的收入。</w:t>
      </w:r>
    </w:p>
    <w:p w14:paraId="6BE51612">
      <w:pPr>
        <w:pStyle w:val="27"/>
        <w:pageBreakBefore w:val="0"/>
        <w:widowControl w:val="0"/>
        <w:kinsoku/>
        <w:wordWrap/>
        <w:overflowPunct/>
        <w:topLinePunct w:val="0"/>
        <w:bidi w:val="0"/>
        <w:snapToGrid/>
        <w:spacing w:line="576" w:lineRule="exact"/>
        <w:ind w:firstLine="640" w:firstLineChars="200"/>
        <w:textAlignment w:val="auto"/>
        <w:rPr>
          <w:rFonts w:hint="eastAsia" w:ascii="仿宋_GB2312" w:eastAsia="仿宋_GB2312"/>
          <w:color w:val="auto"/>
          <w:sz w:val="32"/>
          <w:szCs w:val="32"/>
          <w:highlight w:val="none"/>
        </w:rPr>
      </w:pPr>
      <w:r>
        <w:rPr>
          <w:rFonts w:ascii="仿宋_GB2312" w:eastAsia="仿宋_GB2312"/>
          <w:color w:val="auto"/>
          <w:sz w:val="32"/>
          <w:szCs w:val="32"/>
          <w:highlight w:val="none"/>
        </w:rPr>
        <w:t>3.</w:t>
      </w:r>
      <w:r>
        <w:rPr>
          <w:rFonts w:hint="eastAsia" w:ascii="仿宋_GB2312" w:eastAsia="仿宋_GB2312"/>
          <w:color w:val="auto"/>
          <w:sz w:val="32"/>
          <w:szCs w:val="32"/>
          <w:highlight w:val="none"/>
        </w:rPr>
        <w:t>经营收入：指事业单位在专业业务活动及其辅助活动之外开展非独立核算经营活动取得的收入。</w:t>
      </w:r>
    </w:p>
    <w:p w14:paraId="2A0EE07C">
      <w:pPr>
        <w:pStyle w:val="27"/>
        <w:pageBreakBefore w:val="0"/>
        <w:widowControl w:val="0"/>
        <w:kinsoku/>
        <w:wordWrap/>
        <w:overflowPunct/>
        <w:topLinePunct w:val="0"/>
        <w:bidi w:val="0"/>
        <w:snapToGrid/>
        <w:spacing w:line="576" w:lineRule="exact"/>
        <w:ind w:firstLine="640" w:firstLineChars="200"/>
        <w:textAlignment w:val="auto"/>
        <w:outlineLvl w:val="1"/>
        <w:rPr>
          <w:rFonts w:ascii="仿宋_GB2312" w:eastAsia="仿宋_GB2312"/>
          <w:color w:val="auto"/>
          <w:sz w:val="32"/>
          <w:szCs w:val="32"/>
          <w:highlight w:val="none"/>
        </w:rPr>
      </w:pPr>
      <w:bookmarkStart w:id="76" w:name="_Toc29469"/>
      <w:bookmarkStart w:id="77" w:name="_Toc724"/>
      <w:bookmarkStart w:id="78" w:name="_Toc26613"/>
      <w:r>
        <w:rPr>
          <w:rFonts w:ascii="仿宋_GB2312" w:eastAsia="仿宋_GB2312"/>
          <w:color w:val="auto"/>
          <w:sz w:val="32"/>
          <w:szCs w:val="32"/>
          <w:highlight w:val="none"/>
        </w:rPr>
        <w:t>4.</w:t>
      </w:r>
      <w:r>
        <w:rPr>
          <w:rFonts w:hint="eastAsia" w:ascii="仿宋_GB2312" w:eastAsia="仿宋_GB2312"/>
          <w:color w:val="auto"/>
          <w:sz w:val="32"/>
          <w:szCs w:val="32"/>
          <w:highlight w:val="none"/>
        </w:rPr>
        <w:t>其他收入：指单位取得的除上述收入以外的各项收入。</w:t>
      </w:r>
      <w:bookmarkEnd w:id="76"/>
      <w:bookmarkEnd w:id="77"/>
      <w:bookmarkEnd w:id="78"/>
      <w:r>
        <w:rPr>
          <w:rFonts w:ascii="仿宋_GB2312" w:eastAsia="仿宋_GB2312"/>
          <w:color w:val="auto"/>
          <w:sz w:val="32"/>
          <w:szCs w:val="32"/>
          <w:highlight w:val="none"/>
        </w:rPr>
        <w:t xml:space="preserve"> </w:t>
      </w:r>
    </w:p>
    <w:p w14:paraId="1EE51355">
      <w:pPr>
        <w:pStyle w:val="27"/>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auto"/>
          <w:sz w:val="32"/>
          <w:szCs w:val="32"/>
          <w:highlight w:val="none"/>
        </w:rPr>
      </w:pPr>
      <w:r>
        <w:rPr>
          <w:rFonts w:ascii="仿宋_GB2312" w:eastAsia="仿宋_GB2312"/>
          <w:color w:val="auto"/>
          <w:sz w:val="32"/>
          <w:szCs w:val="32"/>
          <w:highlight w:val="none"/>
        </w:rPr>
        <w:t>5.</w:t>
      </w:r>
      <w:r>
        <w:rPr>
          <w:rFonts w:hint="eastAsia" w:ascii="仿宋_GB2312" w:hAnsi="华文中宋" w:eastAsia="仿宋_GB2312"/>
          <w:sz w:val="32"/>
          <w:szCs w:val="32"/>
          <w:u w:val="none"/>
          <w:lang w:eastAsia="zh-CN"/>
        </w:rPr>
        <w:t>使用非财政拨款结余（含专用结余）</w:t>
      </w:r>
      <w:r>
        <w:rPr>
          <w:rFonts w:hint="eastAsia" w:ascii="仿宋_GB2312" w:eastAsia="仿宋_GB2312"/>
          <w:color w:val="auto"/>
          <w:sz w:val="32"/>
          <w:szCs w:val="32"/>
          <w:highlight w:val="none"/>
        </w:rPr>
        <w:t>：指事业单位</w:t>
      </w:r>
      <w:r>
        <w:rPr>
          <w:rFonts w:hint="eastAsia" w:ascii="仿宋_GB2312" w:eastAsia="仿宋_GB2312"/>
          <w:color w:val="auto"/>
          <w:sz w:val="32"/>
          <w:szCs w:val="32"/>
          <w:highlight w:val="none"/>
          <w:lang w:eastAsia="zh-CN"/>
        </w:rPr>
        <w:t>使用以前年度积累的非财政拨款结余弥补当年收支差额的金额。</w:t>
      </w:r>
      <w:r>
        <w:rPr>
          <w:rFonts w:ascii="仿宋_GB2312" w:eastAsia="仿宋_GB2312"/>
          <w:color w:val="auto"/>
          <w:sz w:val="32"/>
          <w:szCs w:val="32"/>
          <w:highlight w:val="none"/>
        </w:rPr>
        <w:t xml:space="preserve"> </w:t>
      </w:r>
    </w:p>
    <w:p w14:paraId="2FB9DDAE">
      <w:pPr>
        <w:pStyle w:val="27"/>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auto"/>
          <w:sz w:val="32"/>
          <w:szCs w:val="32"/>
          <w:highlight w:val="none"/>
        </w:rPr>
      </w:pPr>
      <w:r>
        <w:rPr>
          <w:rFonts w:ascii="仿宋_GB2312" w:eastAsia="仿宋_GB2312"/>
          <w:color w:val="auto"/>
          <w:sz w:val="32"/>
          <w:szCs w:val="32"/>
          <w:highlight w:val="none"/>
        </w:rPr>
        <w:t>6.</w:t>
      </w:r>
      <w:r>
        <w:rPr>
          <w:rFonts w:hint="eastAsia" w:ascii="仿宋_GB2312" w:eastAsia="仿宋_GB2312"/>
          <w:color w:val="auto"/>
          <w:sz w:val="32"/>
          <w:szCs w:val="32"/>
          <w:highlight w:val="none"/>
        </w:rPr>
        <w:t>年初结转和结余：指以前年度尚未完成、结转到本年按有关规定继续使用的资金。</w:t>
      </w:r>
      <w:r>
        <w:rPr>
          <w:rFonts w:ascii="仿宋_GB2312" w:eastAsia="仿宋_GB2312"/>
          <w:color w:val="auto"/>
          <w:sz w:val="32"/>
          <w:szCs w:val="32"/>
          <w:highlight w:val="none"/>
        </w:rPr>
        <w:t xml:space="preserve"> </w:t>
      </w:r>
    </w:p>
    <w:p w14:paraId="15ACA23A">
      <w:pPr>
        <w:pStyle w:val="27"/>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auto"/>
          <w:sz w:val="32"/>
          <w:szCs w:val="32"/>
          <w:highlight w:val="none"/>
        </w:rPr>
      </w:pPr>
      <w:r>
        <w:rPr>
          <w:rFonts w:ascii="仿宋_GB2312" w:eastAsia="仿宋_GB2312"/>
          <w:color w:val="auto"/>
          <w:sz w:val="32"/>
          <w:szCs w:val="32"/>
          <w:highlight w:val="none"/>
        </w:rPr>
        <w:t>7.</w:t>
      </w:r>
      <w:r>
        <w:rPr>
          <w:rFonts w:hint="eastAsia" w:ascii="仿宋_GB2312" w:eastAsia="仿宋_GB2312"/>
          <w:color w:val="auto"/>
          <w:sz w:val="32"/>
          <w:szCs w:val="32"/>
          <w:highlight w:val="none"/>
        </w:rPr>
        <w:t>结余分配：指事业单位按照会计制度规定</w:t>
      </w:r>
      <w:r>
        <w:rPr>
          <w:rFonts w:hint="eastAsia" w:ascii="仿宋_GB2312" w:eastAsia="仿宋_GB2312"/>
          <w:color w:val="auto"/>
          <w:sz w:val="32"/>
          <w:szCs w:val="32"/>
          <w:highlight w:val="none"/>
          <w:lang w:eastAsia="zh-CN"/>
        </w:rPr>
        <w:t>缴纳的所得税、提取的专用结余以及转入非财政拨款结余的金额</w:t>
      </w:r>
      <w:r>
        <w:rPr>
          <w:rFonts w:hint="eastAsia" w:ascii="仿宋_GB2312" w:eastAsia="仿宋_GB2312"/>
          <w:color w:val="auto"/>
          <w:sz w:val="32"/>
          <w:szCs w:val="32"/>
          <w:highlight w:val="none"/>
        </w:rPr>
        <w:t>等。</w:t>
      </w:r>
    </w:p>
    <w:p w14:paraId="11ABF934">
      <w:pPr>
        <w:pStyle w:val="27"/>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auto"/>
          <w:sz w:val="32"/>
          <w:szCs w:val="32"/>
          <w:highlight w:val="none"/>
        </w:rPr>
      </w:pPr>
      <w:r>
        <w:rPr>
          <w:rFonts w:ascii="仿宋_GB2312" w:eastAsia="仿宋_GB2312"/>
          <w:color w:val="auto"/>
          <w:sz w:val="32"/>
          <w:szCs w:val="32"/>
          <w:highlight w:val="none"/>
        </w:rPr>
        <w:t>8</w:t>
      </w:r>
      <w:r>
        <w:rPr>
          <w:rFonts w:hint="eastAsia" w:ascii="仿宋_GB2312" w:eastAsia="仿宋_GB2312"/>
          <w:color w:val="auto"/>
          <w:sz w:val="32"/>
          <w:szCs w:val="32"/>
          <w:highlight w:val="none"/>
          <w:lang w:val="en-US" w:eastAsia="zh-CN"/>
        </w:rPr>
        <w:t>.</w:t>
      </w:r>
      <w:r>
        <w:rPr>
          <w:rFonts w:hint="eastAsia" w:ascii="仿宋_GB2312" w:eastAsia="仿宋_GB2312"/>
          <w:color w:val="auto"/>
          <w:sz w:val="32"/>
          <w:szCs w:val="32"/>
          <w:highlight w:val="none"/>
        </w:rPr>
        <w:t>年末结转和结余：指单位按有关规定结转到下年或以后年度继续使用的资金。</w:t>
      </w:r>
    </w:p>
    <w:p w14:paraId="30A7C1CC">
      <w:pPr>
        <w:spacing w:line="576" w:lineRule="atLeast"/>
        <w:ind w:firstLine="640" w:firstLineChars="200"/>
        <w:rPr>
          <w:rStyle w:val="18"/>
          <w:rFonts w:ascii="仿宋_GB2312" w:eastAsia="仿宋_GB2312"/>
          <w:b w:val="0"/>
          <w:color w:val="0000FF"/>
          <w:sz w:val="32"/>
          <w:szCs w:val="32"/>
        </w:rPr>
      </w:pPr>
      <w:r>
        <w:rPr>
          <w:rFonts w:hint="eastAsia" w:ascii="Times New Roman" w:hAnsi="Times New Roman" w:eastAsia="仿宋_GB2312" w:cs="仿宋_GB2312"/>
          <w:color w:val="auto"/>
          <w:kern w:val="2"/>
          <w:sz w:val="32"/>
          <w:szCs w:val="32"/>
          <w:highlight w:val="none"/>
          <w:lang w:val="en-US" w:eastAsia="zh-CN" w:bidi="ar-SA"/>
        </w:rPr>
        <w:t>9.一般公共服务（</w:t>
      </w:r>
      <w:r>
        <w:rPr>
          <w:rFonts w:hint="eastAsia" w:eastAsia="仿宋_GB2312" w:cs="仿宋_GB2312"/>
          <w:color w:val="auto"/>
          <w:kern w:val="2"/>
          <w:sz w:val="32"/>
          <w:szCs w:val="32"/>
          <w:highlight w:val="none"/>
          <w:lang w:val="en-US" w:eastAsia="zh-CN" w:bidi="ar-SA"/>
        </w:rPr>
        <w:t>类</w:t>
      </w:r>
      <w:r>
        <w:rPr>
          <w:rFonts w:hint="eastAsia" w:ascii="Times New Roman" w:hAnsi="Times New Roman" w:eastAsia="仿宋_GB2312" w:cs="仿宋_GB2312"/>
          <w:color w:val="auto"/>
          <w:kern w:val="2"/>
          <w:sz w:val="32"/>
          <w:szCs w:val="32"/>
          <w:highlight w:val="none"/>
          <w:lang w:val="en-US" w:eastAsia="zh-CN" w:bidi="ar-SA"/>
        </w:rPr>
        <w:t>）人大事务</w:t>
      </w:r>
      <w:r>
        <w:rPr>
          <w:rFonts w:hint="eastAsia" w:eastAsia="仿宋_GB2312" w:cs="仿宋_GB2312"/>
          <w:color w:val="auto"/>
          <w:kern w:val="2"/>
          <w:sz w:val="32"/>
          <w:szCs w:val="32"/>
          <w:highlight w:val="none"/>
          <w:lang w:val="en-US" w:eastAsia="zh-CN" w:bidi="ar-SA"/>
        </w:rPr>
        <w:t>（款）代表工作（项）</w:t>
      </w:r>
      <w:r>
        <w:rPr>
          <w:rFonts w:hint="eastAsia" w:ascii="Times New Roman" w:hAnsi="Times New Roman" w:eastAsia="仿宋_GB2312" w:cs="仿宋_GB2312"/>
          <w:color w:val="auto"/>
          <w:kern w:val="2"/>
          <w:sz w:val="32"/>
          <w:szCs w:val="32"/>
          <w:highlight w:val="none"/>
          <w:lang w:val="en-US" w:eastAsia="zh-CN" w:bidi="ar-SA"/>
        </w:rPr>
        <w:t>：</w:t>
      </w:r>
      <w:r>
        <w:rPr>
          <w:rStyle w:val="18"/>
          <w:rFonts w:hint="eastAsia" w:ascii="仿宋_GB2312" w:eastAsia="仿宋_GB2312" w:cs="仿宋_GB2312"/>
          <w:b w:val="0"/>
          <w:color w:val="000000"/>
          <w:sz w:val="32"/>
          <w:szCs w:val="32"/>
        </w:rPr>
        <w:t>指</w:t>
      </w:r>
      <w:r>
        <w:rPr>
          <w:rFonts w:hint="eastAsia" w:ascii="仿宋_GB2312" w:eastAsia="仿宋_GB2312" w:cs="仿宋_GB2312"/>
          <w:color w:val="000000"/>
          <w:sz w:val="32"/>
          <w:szCs w:val="32"/>
        </w:rPr>
        <w:t>单位人大召开人民代表大会等专门会议的支出</w:t>
      </w:r>
      <w:r>
        <w:rPr>
          <w:rStyle w:val="18"/>
          <w:rFonts w:hint="eastAsia" w:ascii="仿宋_GB2312" w:eastAsia="仿宋_GB2312" w:cs="仿宋_GB2312"/>
          <w:b w:val="0"/>
          <w:color w:val="0000FF"/>
          <w:sz w:val="32"/>
          <w:szCs w:val="32"/>
        </w:rPr>
        <w:t>。</w:t>
      </w:r>
    </w:p>
    <w:p w14:paraId="4C6B1ED7">
      <w:pPr>
        <w:spacing w:line="576" w:lineRule="atLeast"/>
        <w:ind w:firstLine="640" w:firstLineChars="200"/>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10.一般公共服务（</w:t>
      </w:r>
      <w:r>
        <w:rPr>
          <w:rFonts w:hint="eastAsia" w:eastAsia="仿宋_GB2312" w:cs="仿宋_GB2312"/>
          <w:color w:val="auto"/>
          <w:kern w:val="2"/>
          <w:sz w:val="32"/>
          <w:szCs w:val="32"/>
          <w:highlight w:val="none"/>
          <w:lang w:val="en-US" w:eastAsia="zh-CN" w:bidi="ar-SA"/>
        </w:rPr>
        <w:t>类</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政府办公厅（室）及相关机构事务（款）行政运行（项）：</w:t>
      </w:r>
      <w:r>
        <w:rPr>
          <w:rStyle w:val="18"/>
          <w:rFonts w:hint="eastAsia" w:ascii="仿宋_GB2312" w:eastAsia="仿宋_GB2312" w:cs="仿宋_GB2312"/>
          <w:b w:val="0"/>
          <w:color w:val="000000"/>
          <w:sz w:val="32"/>
          <w:szCs w:val="32"/>
        </w:rPr>
        <w:t>指单位（包括实行公务员管理的事业单位）的基本支出。</w:t>
      </w:r>
    </w:p>
    <w:p w14:paraId="6CE15A55">
      <w:pPr>
        <w:spacing w:line="576" w:lineRule="atLeast"/>
        <w:ind w:firstLine="640" w:firstLineChars="200"/>
        <w:rPr>
          <w:rStyle w:val="18"/>
          <w:rFonts w:ascii="仿宋_GB2312" w:eastAsia="仿宋_GB2312"/>
          <w:b w:val="0"/>
          <w:color w:val="000000"/>
          <w:sz w:val="32"/>
          <w:szCs w:val="32"/>
        </w:rPr>
      </w:pPr>
      <w:r>
        <w:rPr>
          <w:rFonts w:hint="eastAsia" w:ascii="Times New Roman" w:hAnsi="Times New Roman" w:eastAsia="仿宋_GB2312" w:cs="仿宋_GB2312"/>
          <w:color w:val="auto"/>
          <w:kern w:val="2"/>
          <w:sz w:val="32"/>
          <w:szCs w:val="32"/>
          <w:highlight w:val="none"/>
          <w:lang w:val="en-US" w:eastAsia="zh-CN" w:bidi="ar-SA"/>
        </w:rPr>
        <w:t>11.一般公共服务（</w:t>
      </w:r>
      <w:r>
        <w:rPr>
          <w:rFonts w:hint="eastAsia" w:eastAsia="仿宋_GB2312" w:cs="仿宋_GB2312"/>
          <w:color w:val="auto"/>
          <w:kern w:val="2"/>
          <w:sz w:val="32"/>
          <w:szCs w:val="32"/>
          <w:highlight w:val="none"/>
          <w:lang w:val="en-US" w:eastAsia="zh-CN" w:bidi="ar-SA"/>
        </w:rPr>
        <w:t>类</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政府办公厅（室）及相关机构事务（款）其他政府办公厅（室）及相关机构事务支出（项）：</w:t>
      </w:r>
      <w:r>
        <w:rPr>
          <w:rStyle w:val="18"/>
          <w:rFonts w:hint="eastAsia" w:ascii="仿宋_GB2312" w:eastAsia="仿宋_GB2312" w:cs="仿宋_GB2312"/>
          <w:b w:val="0"/>
          <w:color w:val="000000"/>
          <w:sz w:val="32"/>
          <w:szCs w:val="32"/>
        </w:rPr>
        <w:t>指单位</w:t>
      </w:r>
      <w:r>
        <w:rPr>
          <w:rFonts w:hint="eastAsia" w:ascii="仿宋_GB2312" w:eastAsia="仿宋_GB2312" w:cs="仿宋_GB2312"/>
          <w:color w:val="000000"/>
          <w:kern w:val="0"/>
          <w:sz w:val="32"/>
          <w:szCs w:val="32"/>
        </w:rPr>
        <w:t>用于保障机构正常运行、开展日常工作的基本支出</w:t>
      </w:r>
      <w:r>
        <w:rPr>
          <w:rStyle w:val="18"/>
          <w:rFonts w:hint="eastAsia" w:ascii="仿宋_GB2312" w:eastAsia="仿宋_GB2312" w:cs="仿宋_GB2312"/>
          <w:b w:val="0"/>
          <w:color w:val="000000"/>
          <w:sz w:val="32"/>
          <w:szCs w:val="32"/>
        </w:rPr>
        <w:t>。</w:t>
      </w:r>
    </w:p>
    <w:p w14:paraId="2CBE1412">
      <w:pPr>
        <w:spacing w:line="600" w:lineRule="exact"/>
        <w:ind w:firstLine="640"/>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12.文化旅游体育与传媒（</w:t>
      </w:r>
      <w:r>
        <w:rPr>
          <w:rFonts w:hint="eastAsia" w:eastAsia="仿宋_GB2312" w:cs="仿宋_GB2312"/>
          <w:color w:val="auto"/>
          <w:kern w:val="2"/>
          <w:sz w:val="32"/>
          <w:szCs w:val="32"/>
          <w:highlight w:val="none"/>
          <w:lang w:val="en-US" w:eastAsia="zh-CN" w:bidi="ar-SA"/>
        </w:rPr>
        <w:t>类</w:t>
      </w:r>
      <w:r>
        <w:rPr>
          <w:rFonts w:hint="eastAsia" w:ascii="Times New Roman" w:hAnsi="Times New Roman" w:eastAsia="仿宋_GB2312" w:cs="仿宋_GB2312"/>
          <w:color w:val="auto"/>
          <w:kern w:val="2"/>
          <w:sz w:val="32"/>
          <w:szCs w:val="32"/>
          <w:highlight w:val="none"/>
          <w:lang w:val="en-US" w:eastAsia="zh-CN" w:bidi="ar-SA"/>
        </w:rPr>
        <w:t>）其他文化旅游体育与传媒支出（</w:t>
      </w:r>
      <w:r>
        <w:rPr>
          <w:rFonts w:hint="eastAsia" w:eastAsia="仿宋_GB2312" w:cs="仿宋_GB2312"/>
          <w:color w:val="auto"/>
          <w:kern w:val="2"/>
          <w:sz w:val="32"/>
          <w:szCs w:val="32"/>
          <w:highlight w:val="none"/>
          <w:lang w:val="en-US" w:eastAsia="zh-CN" w:bidi="ar-SA"/>
        </w:rPr>
        <w:t>款</w:t>
      </w:r>
      <w:r>
        <w:rPr>
          <w:rFonts w:hint="eastAsia" w:ascii="Times New Roman" w:hAnsi="Times New Roman" w:eastAsia="仿宋_GB2312" w:cs="仿宋_GB2312"/>
          <w:color w:val="auto"/>
          <w:kern w:val="2"/>
          <w:sz w:val="32"/>
          <w:szCs w:val="32"/>
          <w:highlight w:val="none"/>
          <w:lang w:val="en-US" w:eastAsia="zh-CN" w:bidi="ar-SA"/>
        </w:rPr>
        <w:t>）其他文化旅游体育与传媒支出（</w:t>
      </w:r>
      <w:r>
        <w:rPr>
          <w:rFonts w:hint="eastAsia" w:eastAsia="仿宋_GB2312" w:cs="仿宋_GB2312"/>
          <w:color w:val="auto"/>
          <w:kern w:val="2"/>
          <w:sz w:val="32"/>
          <w:szCs w:val="32"/>
          <w:highlight w:val="none"/>
          <w:lang w:val="en-US" w:eastAsia="zh-CN" w:bidi="ar-SA"/>
        </w:rPr>
        <w:t>项</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r>
        <w:rPr>
          <w:rStyle w:val="18"/>
          <w:rFonts w:hint="eastAsia" w:ascii="仿宋_GB2312" w:eastAsia="仿宋_GB2312" w:cs="仿宋_GB2312"/>
          <w:b w:val="0"/>
          <w:color w:val="000000"/>
          <w:sz w:val="32"/>
          <w:szCs w:val="32"/>
        </w:rPr>
        <w:t>指单位</w:t>
      </w:r>
      <w:r>
        <w:rPr>
          <w:rFonts w:hint="eastAsia" w:ascii="仿宋_GB2312" w:eastAsia="仿宋_GB2312" w:cs="仿宋_GB2312"/>
          <w:color w:val="000000"/>
          <w:kern w:val="0"/>
          <w:sz w:val="32"/>
          <w:szCs w:val="32"/>
        </w:rPr>
        <w:t>用于</w:t>
      </w:r>
      <w:r>
        <w:rPr>
          <w:rFonts w:hint="eastAsia" w:ascii="仿宋_GB2312" w:eastAsia="仿宋_GB2312" w:cs="仿宋_GB2312"/>
          <w:color w:val="000000"/>
          <w:kern w:val="0"/>
          <w:sz w:val="32"/>
          <w:szCs w:val="32"/>
          <w:lang w:eastAsia="zh-CN"/>
        </w:rPr>
        <w:t>安排的其他文化旅游体育与传媒支出。</w:t>
      </w:r>
    </w:p>
    <w:p w14:paraId="5C514808">
      <w:pPr>
        <w:spacing w:line="576" w:lineRule="atLeast"/>
        <w:ind w:firstLine="640" w:firstLineChars="200"/>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13.社会保障和就业（</w:t>
      </w:r>
      <w:r>
        <w:rPr>
          <w:rFonts w:hint="eastAsia" w:eastAsia="仿宋_GB2312" w:cs="仿宋_GB2312"/>
          <w:color w:val="auto"/>
          <w:kern w:val="2"/>
          <w:sz w:val="32"/>
          <w:szCs w:val="32"/>
          <w:highlight w:val="none"/>
          <w:lang w:val="en-US" w:eastAsia="zh-CN" w:bidi="ar-SA"/>
        </w:rPr>
        <w:t>类</w:t>
      </w:r>
      <w:r>
        <w:rPr>
          <w:rFonts w:hint="eastAsia" w:ascii="Times New Roman" w:hAnsi="Times New Roman" w:eastAsia="仿宋_GB2312" w:cs="仿宋_GB2312"/>
          <w:color w:val="auto"/>
          <w:kern w:val="2"/>
          <w:sz w:val="32"/>
          <w:szCs w:val="32"/>
          <w:highlight w:val="none"/>
          <w:lang w:val="en-US" w:eastAsia="zh-CN" w:bidi="ar-SA"/>
        </w:rPr>
        <w:t>）行政事业单位养老支出（</w:t>
      </w:r>
      <w:r>
        <w:rPr>
          <w:rFonts w:hint="eastAsia" w:eastAsia="仿宋_GB2312" w:cs="仿宋_GB2312"/>
          <w:color w:val="auto"/>
          <w:kern w:val="2"/>
          <w:sz w:val="32"/>
          <w:szCs w:val="32"/>
          <w:highlight w:val="none"/>
          <w:lang w:val="en-US" w:eastAsia="zh-CN" w:bidi="ar-SA"/>
        </w:rPr>
        <w:t>款</w:t>
      </w:r>
      <w:r>
        <w:rPr>
          <w:rFonts w:hint="eastAsia" w:ascii="Times New Roman" w:hAnsi="Times New Roman" w:eastAsia="仿宋_GB2312" w:cs="仿宋_GB2312"/>
          <w:color w:val="auto"/>
          <w:kern w:val="2"/>
          <w:sz w:val="32"/>
          <w:szCs w:val="32"/>
          <w:highlight w:val="none"/>
          <w:lang w:val="en-US" w:eastAsia="zh-CN" w:bidi="ar-SA"/>
        </w:rPr>
        <w:t>）机关事业单位基本养老保险缴费支出（</w:t>
      </w:r>
      <w:r>
        <w:rPr>
          <w:rFonts w:hint="eastAsia" w:eastAsia="仿宋_GB2312" w:cs="仿宋_GB2312"/>
          <w:color w:val="auto"/>
          <w:kern w:val="2"/>
          <w:sz w:val="32"/>
          <w:szCs w:val="32"/>
          <w:highlight w:val="none"/>
          <w:lang w:val="en-US" w:eastAsia="zh-CN" w:bidi="ar-SA"/>
        </w:rPr>
        <w:t>项）：</w:t>
      </w:r>
      <w:r>
        <w:rPr>
          <w:rStyle w:val="18"/>
          <w:rFonts w:hint="eastAsia" w:ascii="仿宋_GB2312" w:eastAsia="仿宋_GB2312" w:cs="仿宋_GB2312"/>
          <w:b w:val="0"/>
          <w:color w:val="000000"/>
          <w:sz w:val="32"/>
          <w:szCs w:val="32"/>
        </w:rPr>
        <w:t>指</w:t>
      </w:r>
      <w:r>
        <w:rPr>
          <w:rFonts w:hint="eastAsia" w:ascii="仿宋_GB2312" w:eastAsia="仿宋_GB2312" w:cs="仿宋_GB2312"/>
          <w:color w:val="000000"/>
          <w:kern w:val="0"/>
          <w:sz w:val="32"/>
          <w:szCs w:val="32"/>
        </w:rPr>
        <w:t>单位实施养老保险制度由单位缴纳的养老保险费的支出</w:t>
      </w:r>
      <w:r>
        <w:rPr>
          <w:rStyle w:val="18"/>
          <w:rFonts w:hint="eastAsia" w:ascii="仿宋_GB2312" w:eastAsia="仿宋_GB2312" w:cs="仿宋_GB2312"/>
          <w:b w:val="0"/>
          <w:color w:val="000000"/>
          <w:sz w:val="32"/>
          <w:szCs w:val="32"/>
        </w:rPr>
        <w:t>。</w:t>
      </w:r>
    </w:p>
    <w:p w14:paraId="75BA3E68">
      <w:pPr>
        <w:spacing w:line="576" w:lineRule="atLeast"/>
        <w:ind w:firstLine="640" w:firstLineChars="200"/>
        <w:rPr>
          <w:rStyle w:val="18"/>
          <w:rFonts w:ascii="仿宋_GB2312" w:eastAsia="仿宋_GB2312"/>
          <w:b w:val="0"/>
          <w:color w:val="000000"/>
          <w:sz w:val="32"/>
          <w:szCs w:val="32"/>
        </w:rPr>
      </w:pPr>
      <w:r>
        <w:rPr>
          <w:rFonts w:hint="eastAsia" w:ascii="Times New Roman" w:hAnsi="Times New Roman" w:eastAsia="仿宋_GB2312" w:cs="仿宋_GB2312"/>
          <w:color w:val="auto"/>
          <w:kern w:val="2"/>
          <w:sz w:val="32"/>
          <w:szCs w:val="32"/>
          <w:highlight w:val="none"/>
          <w:lang w:val="en-US" w:eastAsia="zh-CN" w:bidi="ar-SA"/>
        </w:rPr>
        <w:t>14.文社会保障和就业（</w:t>
      </w:r>
      <w:r>
        <w:rPr>
          <w:rFonts w:hint="eastAsia" w:eastAsia="仿宋_GB2312" w:cs="仿宋_GB2312"/>
          <w:color w:val="auto"/>
          <w:kern w:val="2"/>
          <w:sz w:val="32"/>
          <w:szCs w:val="32"/>
          <w:highlight w:val="none"/>
          <w:lang w:val="en-US" w:eastAsia="zh-CN" w:bidi="ar-SA"/>
        </w:rPr>
        <w:t>类</w:t>
      </w:r>
      <w:r>
        <w:rPr>
          <w:rFonts w:hint="eastAsia" w:ascii="Times New Roman" w:hAnsi="Times New Roman" w:eastAsia="仿宋_GB2312" w:cs="仿宋_GB2312"/>
          <w:color w:val="auto"/>
          <w:kern w:val="2"/>
          <w:sz w:val="32"/>
          <w:szCs w:val="32"/>
          <w:highlight w:val="none"/>
          <w:lang w:val="en-US" w:eastAsia="zh-CN" w:bidi="ar-SA"/>
        </w:rPr>
        <w:t>）行政事业单位养老支出（</w:t>
      </w:r>
      <w:r>
        <w:rPr>
          <w:rFonts w:hint="eastAsia" w:eastAsia="仿宋_GB2312" w:cs="仿宋_GB2312"/>
          <w:color w:val="auto"/>
          <w:kern w:val="2"/>
          <w:sz w:val="32"/>
          <w:szCs w:val="32"/>
          <w:highlight w:val="none"/>
          <w:lang w:val="en-US" w:eastAsia="zh-CN" w:bidi="ar-SA"/>
        </w:rPr>
        <w:t>款</w:t>
      </w:r>
      <w:r>
        <w:rPr>
          <w:rFonts w:hint="eastAsia" w:ascii="Times New Roman" w:hAnsi="Times New Roman" w:eastAsia="仿宋_GB2312" w:cs="仿宋_GB2312"/>
          <w:color w:val="auto"/>
          <w:kern w:val="2"/>
          <w:sz w:val="32"/>
          <w:szCs w:val="32"/>
          <w:highlight w:val="none"/>
          <w:lang w:val="en-US" w:eastAsia="zh-CN" w:bidi="ar-SA"/>
        </w:rPr>
        <w:t>）机关事业单位职业年金缴费支出（</w:t>
      </w:r>
      <w:r>
        <w:rPr>
          <w:rFonts w:hint="eastAsia" w:eastAsia="仿宋_GB2312" w:cs="仿宋_GB2312"/>
          <w:color w:val="auto"/>
          <w:kern w:val="2"/>
          <w:sz w:val="32"/>
          <w:szCs w:val="32"/>
          <w:highlight w:val="none"/>
          <w:lang w:val="en-US" w:eastAsia="zh-CN" w:bidi="ar-SA"/>
        </w:rPr>
        <w:t>项）：</w:t>
      </w:r>
      <w:r>
        <w:rPr>
          <w:rStyle w:val="18"/>
          <w:rFonts w:hint="eastAsia" w:ascii="仿宋_GB2312" w:eastAsia="仿宋_GB2312" w:cs="仿宋_GB2312"/>
          <w:b w:val="0"/>
          <w:color w:val="000000"/>
          <w:sz w:val="32"/>
          <w:szCs w:val="32"/>
        </w:rPr>
        <w:t>指</w:t>
      </w:r>
      <w:r>
        <w:rPr>
          <w:rFonts w:hint="eastAsia" w:ascii="仿宋_GB2312" w:eastAsia="仿宋_GB2312" w:cs="仿宋_GB2312"/>
          <w:color w:val="000000"/>
          <w:kern w:val="0"/>
          <w:sz w:val="32"/>
          <w:szCs w:val="32"/>
        </w:rPr>
        <w:t>单位实施养老保险制度由单位缴纳的职业年金的支出</w:t>
      </w:r>
      <w:r>
        <w:rPr>
          <w:rStyle w:val="18"/>
          <w:rFonts w:hint="eastAsia" w:ascii="仿宋_GB2312" w:eastAsia="仿宋_GB2312" w:cs="仿宋_GB2312"/>
          <w:b w:val="0"/>
          <w:color w:val="000000"/>
          <w:sz w:val="32"/>
          <w:szCs w:val="32"/>
        </w:rPr>
        <w:t>。</w:t>
      </w:r>
    </w:p>
    <w:p w14:paraId="1FF5276C">
      <w:pPr>
        <w:spacing w:line="600" w:lineRule="exact"/>
        <w:ind w:firstLine="640"/>
        <w:rPr>
          <w:rFonts w:hint="eastAsia"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15.</w:t>
      </w:r>
      <w:r>
        <w:rPr>
          <w:rFonts w:hint="eastAsia" w:ascii="Times New Roman" w:hAnsi="Times New Roman" w:eastAsia="仿宋_GB2312" w:cs="仿宋_GB2312"/>
          <w:color w:val="auto"/>
          <w:kern w:val="2"/>
          <w:sz w:val="32"/>
          <w:szCs w:val="32"/>
          <w:highlight w:val="none"/>
          <w:lang w:val="en-US" w:eastAsia="zh-CN" w:bidi="ar-SA"/>
        </w:rPr>
        <w:t>社会保障和就业（</w:t>
      </w:r>
      <w:r>
        <w:rPr>
          <w:rFonts w:hint="eastAsia" w:eastAsia="仿宋_GB2312" w:cs="仿宋_GB2312"/>
          <w:color w:val="auto"/>
          <w:kern w:val="2"/>
          <w:sz w:val="32"/>
          <w:szCs w:val="32"/>
          <w:highlight w:val="none"/>
          <w:lang w:val="en-US" w:eastAsia="zh-CN" w:bidi="ar-SA"/>
        </w:rPr>
        <w:t>类</w:t>
      </w:r>
      <w:r>
        <w:rPr>
          <w:rFonts w:hint="eastAsia" w:ascii="Times New Roman" w:hAnsi="Times New Roman" w:eastAsia="仿宋_GB2312" w:cs="仿宋_GB2312"/>
          <w:color w:val="auto"/>
          <w:kern w:val="2"/>
          <w:sz w:val="32"/>
          <w:szCs w:val="32"/>
          <w:highlight w:val="none"/>
          <w:lang w:val="en-US" w:eastAsia="zh-CN" w:bidi="ar-SA"/>
        </w:rPr>
        <w:t>）就业补助（</w:t>
      </w:r>
      <w:r>
        <w:rPr>
          <w:rFonts w:hint="eastAsia" w:eastAsia="仿宋_GB2312" w:cs="仿宋_GB2312"/>
          <w:color w:val="auto"/>
          <w:kern w:val="2"/>
          <w:sz w:val="32"/>
          <w:szCs w:val="32"/>
          <w:highlight w:val="none"/>
          <w:lang w:val="en-US" w:eastAsia="zh-CN" w:bidi="ar-SA"/>
        </w:rPr>
        <w:t>款</w:t>
      </w:r>
      <w:r>
        <w:rPr>
          <w:rFonts w:hint="eastAsia" w:ascii="Times New Roman" w:hAnsi="Times New Roman" w:eastAsia="仿宋_GB2312" w:cs="仿宋_GB2312"/>
          <w:color w:val="auto"/>
          <w:kern w:val="2"/>
          <w:sz w:val="32"/>
          <w:szCs w:val="32"/>
          <w:highlight w:val="none"/>
          <w:lang w:val="en-US" w:eastAsia="zh-CN" w:bidi="ar-SA"/>
        </w:rPr>
        <w:t>）公益性岗位补贴（</w:t>
      </w:r>
      <w:r>
        <w:rPr>
          <w:rFonts w:hint="eastAsia" w:eastAsia="仿宋_GB2312" w:cs="仿宋_GB2312"/>
          <w:color w:val="auto"/>
          <w:kern w:val="2"/>
          <w:sz w:val="32"/>
          <w:szCs w:val="32"/>
          <w:highlight w:val="none"/>
          <w:lang w:val="en-US" w:eastAsia="zh-CN" w:bidi="ar-SA"/>
        </w:rPr>
        <w:t>项）：</w:t>
      </w:r>
      <w:r>
        <w:rPr>
          <w:rStyle w:val="18"/>
          <w:rFonts w:hint="eastAsia" w:ascii="仿宋_GB2312" w:eastAsia="仿宋_GB2312" w:cs="仿宋_GB2312"/>
          <w:b w:val="0"/>
          <w:color w:val="000000"/>
          <w:sz w:val="32"/>
          <w:szCs w:val="32"/>
        </w:rPr>
        <w:t>指</w:t>
      </w:r>
      <w:r>
        <w:rPr>
          <w:rFonts w:hint="eastAsia" w:ascii="仿宋_GB2312" w:eastAsia="仿宋_GB2312" w:cs="仿宋_GB2312"/>
          <w:color w:val="000000"/>
          <w:kern w:val="0"/>
          <w:sz w:val="32"/>
          <w:szCs w:val="32"/>
        </w:rPr>
        <w:t>单位</w:t>
      </w:r>
      <w:r>
        <w:rPr>
          <w:rFonts w:hint="eastAsia" w:ascii="仿宋_GB2312" w:eastAsia="仿宋_GB2312" w:cs="仿宋_GB2312"/>
          <w:color w:val="000000"/>
          <w:kern w:val="0"/>
          <w:sz w:val="32"/>
          <w:szCs w:val="32"/>
          <w:lang w:eastAsia="zh-CN"/>
        </w:rPr>
        <w:t>对符合条件的就业困难人员在公益性岗位就业给与的岗位补贴支出。</w:t>
      </w:r>
    </w:p>
    <w:p w14:paraId="0F142408">
      <w:pPr>
        <w:spacing w:line="600" w:lineRule="exact"/>
        <w:ind w:firstLine="640"/>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eastAsia="仿宋_GB2312" w:cs="仿宋_GB2312"/>
          <w:color w:val="auto"/>
          <w:kern w:val="2"/>
          <w:sz w:val="32"/>
          <w:szCs w:val="32"/>
          <w:highlight w:val="none"/>
          <w:lang w:val="en-US" w:eastAsia="zh-CN" w:bidi="ar-SA"/>
        </w:rPr>
        <w:t>6</w:t>
      </w:r>
      <w:r>
        <w:rPr>
          <w:rFonts w:hint="eastAsia" w:ascii="Times New Roman" w:hAnsi="Times New Roman" w:eastAsia="仿宋_GB2312" w:cs="仿宋_GB2312"/>
          <w:color w:val="auto"/>
          <w:kern w:val="2"/>
          <w:sz w:val="32"/>
          <w:szCs w:val="32"/>
          <w:highlight w:val="none"/>
          <w:lang w:val="en-US" w:eastAsia="zh-CN" w:bidi="ar-SA"/>
        </w:rPr>
        <w:t>.卫生健康（</w:t>
      </w:r>
      <w:r>
        <w:rPr>
          <w:rFonts w:hint="eastAsia" w:eastAsia="仿宋_GB2312" w:cs="仿宋_GB2312"/>
          <w:color w:val="auto"/>
          <w:kern w:val="2"/>
          <w:sz w:val="32"/>
          <w:szCs w:val="32"/>
          <w:highlight w:val="none"/>
          <w:lang w:val="en-US" w:eastAsia="zh-CN" w:bidi="ar-SA"/>
        </w:rPr>
        <w:t>类</w:t>
      </w:r>
      <w:r>
        <w:rPr>
          <w:rFonts w:hint="eastAsia" w:ascii="Times New Roman" w:hAnsi="Times New Roman" w:eastAsia="仿宋_GB2312" w:cs="仿宋_GB2312"/>
          <w:color w:val="auto"/>
          <w:kern w:val="2"/>
          <w:sz w:val="32"/>
          <w:szCs w:val="32"/>
          <w:highlight w:val="none"/>
          <w:lang w:val="en-US" w:eastAsia="zh-CN" w:bidi="ar-SA"/>
        </w:rPr>
        <w:t>）行政事业单位医疗（</w:t>
      </w:r>
      <w:r>
        <w:rPr>
          <w:rFonts w:hint="eastAsia" w:eastAsia="仿宋_GB2312" w:cs="仿宋_GB2312"/>
          <w:color w:val="auto"/>
          <w:kern w:val="2"/>
          <w:sz w:val="32"/>
          <w:szCs w:val="32"/>
          <w:highlight w:val="none"/>
          <w:lang w:val="en-US" w:eastAsia="zh-CN" w:bidi="ar-SA"/>
        </w:rPr>
        <w:t>款</w:t>
      </w:r>
      <w:r>
        <w:rPr>
          <w:rFonts w:hint="eastAsia" w:ascii="Times New Roman" w:hAnsi="Times New Roman" w:eastAsia="仿宋_GB2312" w:cs="仿宋_GB2312"/>
          <w:color w:val="auto"/>
          <w:kern w:val="2"/>
          <w:sz w:val="32"/>
          <w:szCs w:val="32"/>
          <w:highlight w:val="none"/>
          <w:lang w:val="en-US" w:eastAsia="zh-CN" w:bidi="ar-SA"/>
        </w:rPr>
        <w:t>）行政单位医疗（</w:t>
      </w:r>
      <w:r>
        <w:rPr>
          <w:rFonts w:hint="eastAsia" w:eastAsia="仿宋_GB2312" w:cs="仿宋_GB2312"/>
          <w:color w:val="auto"/>
          <w:kern w:val="2"/>
          <w:sz w:val="32"/>
          <w:szCs w:val="32"/>
          <w:highlight w:val="none"/>
          <w:lang w:val="en-US" w:eastAsia="zh-CN" w:bidi="ar-SA"/>
        </w:rPr>
        <w:t>项</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r>
        <w:rPr>
          <w:rStyle w:val="18"/>
          <w:rFonts w:hint="eastAsia" w:ascii="仿宋_GB2312" w:eastAsia="仿宋_GB2312" w:cs="仿宋_GB2312"/>
          <w:b w:val="0"/>
          <w:color w:val="000000"/>
          <w:sz w:val="32"/>
          <w:szCs w:val="32"/>
        </w:rPr>
        <w:t>指</w:t>
      </w:r>
      <w:r>
        <w:rPr>
          <w:rFonts w:hint="eastAsia" w:ascii="仿宋_GB2312" w:eastAsia="仿宋_GB2312" w:cs="仿宋_GB2312"/>
          <w:color w:val="000000"/>
          <w:kern w:val="0"/>
          <w:sz w:val="32"/>
          <w:szCs w:val="32"/>
        </w:rPr>
        <w:t>单位</w:t>
      </w:r>
      <w:r>
        <w:rPr>
          <w:rFonts w:hint="eastAsia" w:ascii="仿宋_GB2312" w:eastAsia="仿宋_GB2312" w:cs="仿宋_GB2312"/>
          <w:color w:val="000000"/>
          <w:kern w:val="0"/>
          <w:sz w:val="32"/>
          <w:szCs w:val="32"/>
          <w:lang w:eastAsia="zh-CN"/>
        </w:rPr>
        <w:t>安排的行政单位（包括公务员管理的事业单位，同下）基本医疗保险缴纳经费，未参加医疗保险的行政单位的公费医疗经费，按国家规定享受离休人员、红军老战士待遇人员的医疗经费。</w:t>
      </w:r>
    </w:p>
    <w:p w14:paraId="26258CED">
      <w:pPr>
        <w:spacing w:line="600" w:lineRule="exact"/>
        <w:ind w:firstLine="640"/>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eastAsia="仿宋_GB2312" w:cs="仿宋_GB2312"/>
          <w:color w:val="auto"/>
          <w:kern w:val="2"/>
          <w:sz w:val="32"/>
          <w:szCs w:val="32"/>
          <w:highlight w:val="none"/>
          <w:lang w:val="en-US" w:eastAsia="zh-CN" w:bidi="ar-SA"/>
        </w:rPr>
        <w:t>7</w:t>
      </w:r>
      <w:r>
        <w:rPr>
          <w:rFonts w:hint="eastAsia" w:ascii="Times New Roman" w:hAnsi="Times New Roman" w:eastAsia="仿宋_GB2312" w:cs="仿宋_GB2312"/>
          <w:color w:val="auto"/>
          <w:kern w:val="2"/>
          <w:sz w:val="32"/>
          <w:szCs w:val="32"/>
          <w:highlight w:val="none"/>
          <w:lang w:val="en-US" w:eastAsia="zh-CN" w:bidi="ar-SA"/>
        </w:rPr>
        <w:t>.卫生健康（</w:t>
      </w:r>
      <w:r>
        <w:rPr>
          <w:rFonts w:hint="eastAsia" w:eastAsia="仿宋_GB2312" w:cs="仿宋_GB2312"/>
          <w:color w:val="auto"/>
          <w:kern w:val="2"/>
          <w:sz w:val="32"/>
          <w:szCs w:val="32"/>
          <w:highlight w:val="none"/>
          <w:lang w:val="en-US" w:eastAsia="zh-CN" w:bidi="ar-SA"/>
        </w:rPr>
        <w:t>类</w:t>
      </w:r>
      <w:r>
        <w:rPr>
          <w:rFonts w:hint="eastAsia" w:ascii="Times New Roman" w:hAnsi="Times New Roman" w:eastAsia="仿宋_GB2312" w:cs="仿宋_GB2312"/>
          <w:color w:val="auto"/>
          <w:kern w:val="2"/>
          <w:sz w:val="32"/>
          <w:szCs w:val="32"/>
          <w:highlight w:val="none"/>
          <w:lang w:val="en-US" w:eastAsia="zh-CN" w:bidi="ar-SA"/>
        </w:rPr>
        <w:t>）行政事业单位医疗（</w:t>
      </w:r>
      <w:r>
        <w:rPr>
          <w:rFonts w:hint="eastAsia" w:eastAsia="仿宋_GB2312" w:cs="仿宋_GB2312"/>
          <w:color w:val="auto"/>
          <w:kern w:val="2"/>
          <w:sz w:val="32"/>
          <w:szCs w:val="32"/>
          <w:highlight w:val="none"/>
          <w:lang w:val="en-US" w:eastAsia="zh-CN" w:bidi="ar-SA"/>
        </w:rPr>
        <w:t>款</w:t>
      </w:r>
      <w:r>
        <w:rPr>
          <w:rFonts w:hint="eastAsia" w:ascii="Times New Roman" w:hAnsi="Times New Roman" w:eastAsia="仿宋_GB2312" w:cs="仿宋_GB2312"/>
          <w:color w:val="auto"/>
          <w:kern w:val="2"/>
          <w:sz w:val="32"/>
          <w:szCs w:val="32"/>
          <w:highlight w:val="none"/>
          <w:lang w:val="en-US" w:eastAsia="zh-CN" w:bidi="ar-SA"/>
        </w:rPr>
        <w:t>）事业单位医疗（</w:t>
      </w:r>
      <w:r>
        <w:rPr>
          <w:rFonts w:hint="eastAsia" w:eastAsia="仿宋_GB2312" w:cs="仿宋_GB2312"/>
          <w:color w:val="auto"/>
          <w:kern w:val="2"/>
          <w:sz w:val="32"/>
          <w:szCs w:val="32"/>
          <w:highlight w:val="none"/>
          <w:lang w:val="en-US" w:eastAsia="zh-CN" w:bidi="ar-SA"/>
        </w:rPr>
        <w:t>项</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r>
        <w:rPr>
          <w:rStyle w:val="18"/>
          <w:rFonts w:hint="eastAsia" w:ascii="仿宋_GB2312" w:eastAsia="仿宋_GB2312" w:cs="仿宋_GB2312"/>
          <w:b w:val="0"/>
          <w:color w:val="000000"/>
          <w:sz w:val="32"/>
          <w:szCs w:val="32"/>
        </w:rPr>
        <w:t>指</w:t>
      </w:r>
      <w:r>
        <w:rPr>
          <w:rFonts w:hint="eastAsia" w:ascii="仿宋_GB2312" w:eastAsia="仿宋_GB2312" w:cs="仿宋_GB2312"/>
          <w:color w:val="000000"/>
          <w:kern w:val="0"/>
          <w:sz w:val="32"/>
          <w:szCs w:val="32"/>
        </w:rPr>
        <w:t>单位</w:t>
      </w:r>
      <w:r>
        <w:rPr>
          <w:rFonts w:hint="eastAsia" w:ascii="仿宋_GB2312" w:eastAsia="仿宋_GB2312" w:cs="仿宋_GB2312"/>
          <w:color w:val="000000"/>
          <w:kern w:val="0"/>
          <w:sz w:val="32"/>
          <w:szCs w:val="32"/>
          <w:lang w:eastAsia="zh-CN"/>
        </w:rPr>
        <w:t>安排的事业单位基本医疗保险缴纳经费，未参加医疗保险的行政单位的公费医疗经费，按国家规定享受离休人员的医疗经费。</w:t>
      </w:r>
    </w:p>
    <w:p w14:paraId="5EB7BBFC">
      <w:pPr>
        <w:spacing w:line="576" w:lineRule="atLeast"/>
        <w:ind w:firstLine="640" w:firstLineChars="200"/>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eastAsia="仿宋_GB2312" w:cs="仿宋_GB2312"/>
          <w:color w:val="auto"/>
          <w:kern w:val="2"/>
          <w:sz w:val="32"/>
          <w:szCs w:val="32"/>
          <w:highlight w:val="none"/>
          <w:lang w:val="en-US" w:eastAsia="zh-CN" w:bidi="ar-SA"/>
        </w:rPr>
        <w:t>8</w:t>
      </w:r>
      <w:r>
        <w:rPr>
          <w:rFonts w:hint="eastAsia" w:ascii="Times New Roman" w:hAnsi="Times New Roman" w:eastAsia="仿宋_GB2312" w:cs="仿宋_GB2312"/>
          <w:color w:val="auto"/>
          <w:kern w:val="2"/>
          <w:sz w:val="32"/>
          <w:szCs w:val="32"/>
          <w:highlight w:val="none"/>
          <w:lang w:val="en-US" w:eastAsia="zh-CN" w:bidi="ar-SA"/>
        </w:rPr>
        <w:t>.农林水支出（</w:t>
      </w:r>
      <w:r>
        <w:rPr>
          <w:rFonts w:hint="eastAsia" w:eastAsia="仿宋_GB2312" w:cs="仿宋_GB2312"/>
          <w:color w:val="auto"/>
          <w:kern w:val="2"/>
          <w:sz w:val="32"/>
          <w:szCs w:val="32"/>
          <w:highlight w:val="none"/>
          <w:lang w:val="en-US" w:eastAsia="zh-CN" w:bidi="ar-SA"/>
        </w:rPr>
        <w:t>类</w:t>
      </w:r>
      <w:r>
        <w:rPr>
          <w:rFonts w:hint="eastAsia" w:ascii="Times New Roman" w:hAnsi="Times New Roman" w:eastAsia="仿宋_GB2312" w:cs="仿宋_GB2312"/>
          <w:color w:val="auto"/>
          <w:kern w:val="2"/>
          <w:sz w:val="32"/>
          <w:szCs w:val="32"/>
          <w:highlight w:val="none"/>
          <w:lang w:val="en-US" w:eastAsia="zh-CN" w:bidi="ar-SA"/>
        </w:rPr>
        <w:t>）农业农村（</w:t>
      </w:r>
      <w:r>
        <w:rPr>
          <w:rFonts w:hint="eastAsia" w:eastAsia="仿宋_GB2312" w:cs="仿宋_GB2312"/>
          <w:color w:val="auto"/>
          <w:kern w:val="2"/>
          <w:sz w:val="32"/>
          <w:szCs w:val="32"/>
          <w:highlight w:val="none"/>
          <w:lang w:val="en-US" w:eastAsia="zh-CN" w:bidi="ar-SA"/>
        </w:rPr>
        <w:t>款</w:t>
      </w:r>
      <w:r>
        <w:rPr>
          <w:rFonts w:hint="eastAsia" w:ascii="Times New Roman" w:hAnsi="Times New Roman" w:eastAsia="仿宋_GB2312" w:cs="仿宋_GB2312"/>
          <w:color w:val="auto"/>
          <w:kern w:val="2"/>
          <w:sz w:val="32"/>
          <w:szCs w:val="32"/>
          <w:highlight w:val="none"/>
          <w:lang w:val="en-US" w:eastAsia="zh-CN" w:bidi="ar-SA"/>
        </w:rPr>
        <w:t>）事业运行（</w:t>
      </w:r>
      <w:r>
        <w:rPr>
          <w:rFonts w:hint="eastAsia" w:eastAsia="仿宋_GB2312" w:cs="仿宋_GB2312"/>
          <w:color w:val="auto"/>
          <w:kern w:val="2"/>
          <w:sz w:val="32"/>
          <w:szCs w:val="32"/>
          <w:highlight w:val="none"/>
          <w:lang w:val="en-US" w:eastAsia="zh-CN" w:bidi="ar-SA"/>
        </w:rPr>
        <w:t>项</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r>
        <w:rPr>
          <w:rStyle w:val="18"/>
          <w:rFonts w:hint="eastAsia" w:ascii="仿宋_GB2312" w:eastAsia="仿宋_GB2312" w:cs="仿宋_GB2312"/>
          <w:b w:val="0"/>
          <w:color w:val="000000"/>
          <w:sz w:val="32"/>
          <w:szCs w:val="32"/>
        </w:rPr>
        <w:t>指用于农业事业单位基本支出，事业单位设施、系统运行与资产维护等方面的支出。</w:t>
      </w:r>
    </w:p>
    <w:p w14:paraId="702514CC">
      <w:pPr>
        <w:numPr>
          <w:ilvl w:val="0"/>
          <w:numId w:val="2"/>
        </w:numPr>
        <w:spacing w:line="600" w:lineRule="exact"/>
        <w:ind w:firstLine="640"/>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农林水支出（</w:t>
      </w:r>
      <w:r>
        <w:rPr>
          <w:rFonts w:hint="eastAsia" w:eastAsia="仿宋_GB2312" w:cs="仿宋_GB2312"/>
          <w:color w:val="auto"/>
          <w:kern w:val="2"/>
          <w:sz w:val="32"/>
          <w:szCs w:val="32"/>
          <w:highlight w:val="none"/>
          <w:lang w:val="en-US" w:eastAsia="zh-CN" w:bidi="ar-SA"/>
        </w:rPr>
        <w:t>类</w:t>
      </w:r>
      <w:r>
        <w:rPr>
          <w:rFonts w:hint="eastAsia" w:ascii="Times New Roman" w:hAnsi="Times New Roman" w:eastAsia="仿宋_GB2312" w:cs="仿宋_GB2312"/>
          <w:color w:val="auto"/>
          <w:kern w:val="2"/>
          <w:sz w:val="32"/>
          <w:szCs w:val="32"/>
          <w:highlight w:val="none"/>
          <w:lang w:val="en-US" w:eastAsia="zh-CN" w:bidi="ar-SA"/>
        </w:rPr>
        <w:t>）农业农村（</w:t>
      </w:r>
      <w:r>
        <w:rPr>
          <w:rFonts w:hint="eastAsia" w:eastAsia="仿宋_GB2312" w:cs="仿宋_GB2312"/>
          <w:color w:val="auto"/>
          <w:kern w:val="2"/>
          <w:sz w:val="32"/>
          <w:szCs w:val="32"/>
          <w:highlight w:val="none"/>
          <w:lang w:val="en-US" w:eastAsia="zh-CN" w:bidi="ar-SA"/>
        </w:rPr>
        <w:t>款</w:t>
      </w:r>
      <w:r>
        <w:rPr>
          <w:rFonts w:hint="eastAsia" w:ascii="Times New Roman" w:hAnsi="Times New Roman" w:eastAsia="仿宋_GB2312" w:cs="仿宋_GB2312"/>
          <w:color w:val="auto"/>
          <w:kern w:val="2"/>
          <w:sz w:val="32"/>
          <w:szCs w:val="32"/>
          <w:highlight w:val="none"/>
          <w:lang w:val="en-US" w:eastAsia="zh-CN" w:bidi="ar-SA"/>
        </w:rPr>
        <w:t>）其他农业农村支出（</w:t>
      </w:r>
      <w:r>
        <w:rPr>
          <w:rFonts w:hint="eastAsia" w:eastAsia="仿宋_GB2312" w:cs="仿宋_GB2312"/>
          <w:color w:val="auto"/>
          <w:kern w:val="2"/>
          <w:sz w:val="32"/>
          <w:szCs w:val="32"/>
          <w:highlight w:val="none"/>
          <w:lang w:val="en-US" w:eastAsia="zh-CN" w:bidi="ar-SA"/>
        </w:rPr>
        <w:t>项</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r>
        <w:rPr>
          <w:rStyle w:val="18"/>
          <w:rFonts w:hint="eastAsia" w:ascii="仿宋_GB2312" w:eastAsia="仿宋_GB2312" w:cs="仿宋_GB2312"/>
          <w:b w:val="0"/>
          <w:color w:val="000000"/>
          <w:sz w:val="32"/>
          <w:szCs w:val="32"/>
        </w:rPr>
        <w:t>指用于</w:t>
      </w:r>
      <w:r>
        <w:rPr>
          <w:rStyle w:val="18"/>
          <w:rFonts w:hint="eastAsia" w:ascii="仿宋_GB2312" w:eastAsia="仿宋_GB2312" w:cs="仿宋_GB2312"/>
          <w:b w:val="0"/>
          <w:color w:val="000000"/>
          <w:sz w:val="32"/>
          <w:szCs w:val="32"/>
          <w:lang w:eastAsia="zh-CN"/>
        </w:rPr>
        <w:t>上述项目以外的其他用于农业农村方面的支出。</w:t>
      </w:r>
    </w:p>
    <w:p w14:paraId="0F3495BE">
      <w:pPr>
        <w:numPr>
          <w:ilvl w:val="0"/>
          <w:numId w:val="2"/>
        </w:num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农林水支出（</w:t>
      </w:r>
      <w:r>
        <w:rPr>
          <w:rFonts w:hint="eastAsia" w:eastAsia="仿宋_GB2312" w:cs="仿宋_GB2312"/>
          <w:color w:val="auto"/>
          <w:kern w:val="2"/>
          <w:sz w:val="32"/>
          <w:szCs w:val="32"/>
          <w:highlight w:val="none"/>
          <w:lang w:val="en-US" w:eastAsia="zh-CN" w:bidi="ar-SA"/>
        </w:rPr>
        <w:t>类</w:t>
      </w:r>
      <w:r>
        <w:rPr>
          <w:rFonts w:hint="eastAsia" w:ascii="Times New Roman" w:hAnsi="Times New Roman" w:eastAsia="仿宋_GB2312" w:cs="仿宋_GB2312"/>
          <w:color w:val="auto"/>
          <w:kern w:val="2"/>
          <w:sz w:val="32"/>
          <w:szCs w:val="32"/>
          <w:highlight w:val="none"/>
          <w:lang w:val="en-US" w:eastAsia="zh-CN" w:bidi="ar-SA"/>
        </w:rPr>
        <w:t>）巩固脱贫攻坚成果衔接乡村振兴（</w:t>
      </w:r>
      <w:r>
        <w:rPr>
          <w:rFonts w:hint="eastAsia" w:eastAsia="仿宋_GB2312" w:cs="仿宋_GB2312"/>
          <w:color w:val="auto"/>
          <w:kern w:val="2"/>
          <w:sz w:val="32"/>
          <w:szCs w:val="32"/>
          <w:highlight w:val="none"/>
          <w:lang w:val="en-US" w:eastAsia="zh-CN" w:bidi="ar-SA"/>
        </w:rPr>
        <w:t>款</w:t>
      </w:r>
      <w:r>
        <w:rPr>
          <w:rFonts w:hint="eastAsia" w:ascii="Times New Roman" w:hAnsi="Times New Roman" w:eastAsia="仿宋_GB2312" w:cs="仿宋_GB2312"/>
          <w:color w:val="auto"/>
          <w:kern w:val="2"/>
          <w:sz w:val="32"/>
          <w:szCs w:val="32"/>
          <w:highlight w:val="none"/>
          <w:lang w:val="en-US" w:eastAsia="zh-CN" w:bidi="ar-SA"/>
        </w:rPr>
        <w:t>）其他巩固脱贫攻坚成果衔接乡村振兴支出（</w:t>
      </w:r>
      <w:r>
        <w:rPr>
          <w:rFonts w:hint="eastAsia" w:eastAsia="仿宋_GB2312" w:cs="仿宋_GB2312"/>
          <w:color w:val="auto"/>
          <w:kern w:val="2"/>
          <w:sz w:val="32"/>
          <w:szCs w:val="32"/>
          <w:highlight w:val="none"/>
          <w:lang w:val="en-US" w:eastAsia="zh-CN" w:bidi="ar-SA"/>
        </w:rPr>
        <w:t>项</w:t>
      </w:r>
      <w:r>
        <w:rPr>
          <w:rFonts w:hint="eastAsia" w:ascii="Times New Roman" w:hAnsi="Times New Roman" w:eastAsia="仿宋_GB2312" w:cs="仿宋_GB2312"/>
          <w:color w:val="auto"/>
          <w:kern w:val="2"/>
          <w:sz w:val="32"/>
          <w:szCs w:val="32"/>
          <w:highlight w:val="none"/>
          <w:lang w:val="en-US" w:eastAsia="zh-CN" w:bidi="ar-SA"/>
        </w:rPr>
        <w:t>）：</w:t>
      </w:r>
      <w:r>
        <w:rPr>
          <w:rStyle w:val="18"/>
          <w:rFonts w:hint="eastAsia" w:ascii="仿宋_GB2312" w:eastAsia="仿宋_GB2312" w:cs="仿宋_GB2312"/>
          <w:b w:val="0"/>
          <w:color w:val="000000"/>
          <w:sz w:val="32"/>
          <w:szCs w:val="32"/>
        </w:rPr>
        <w:t>指用于</w:t>
      </w:r>
      <w:r>
        <w:rPr>
          <w:rStyle w:val="18"/>
          <w:rFonts w:hint="eastAsia" w:ascii="仿宋_GB2312" w:eastAsia="仿宋_GB2312" w:cs="仿宋_GB2312"/>
          <w:b w:val="0"/>
          <w:color w:val="000000"/>
          <w:sz w:val="32"/>
          <w:szCs w:val="32"/>
          <w:lang w:eastAsia="zh-CN"/>
        </w:rPr>
        <w:t>上述项目以外的其他用于巩固拓展脱贫攻坚成果同乡村振兴有效衔接方面的支出。</w:t>
      </w:r>
    </w:p>
    <w:p w14:paraId="6623BA36">
      <w:pPr>
        <w:spacing w:line="576" w:lineRule="atLeas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21.</w:t>
      </w:r>
      <w:r>
        <w:rPr>
          <w:rFonts w:hint="eastAsia" w:ascii="Times New Roman" w:hAnsi="Times New Roman" w:eastAsia="仿宋_GB2312" w:cs="仿宋_GB2312"/>
          <w:color w:val="auto"/>
          <w:kern w:val="2"/>
          <w:sz w:val="32"/>
          <w:szCs w:val="32"/>
          <w:highlight w:val="none"/>
          <w:lang w:val="en-US" w:eastAsia="zh-CN" w:bidi="ar-SA"/>
        </w:rPr>
        <w:t>农林水支出（</w:t>
      </w:r>
      <w:r>
        <w:rPr>
          <w:rFonts w:hint="eastAsia" w:eastAsia="仿宋_GB2312" w:cs="仿宋_GB2312"/>
          <w:color w:val="auto"/>
          <w:kern w:val="2"/>
          <w:sz w:val="32"/>
          <w:szCs w:val="32"/>
          <w:highlight w:val="none"/>
          <w:lang w:val="en-US" w:eastAsia="zh-CN" w:bidi="ar-SA"/>
        </w:rPr>
        <w:t>类</w:t>
      </w:r>
      <w:r>
        <w:rPr>
          <w:rFonts w:hint="eastAsia" w:ascii="Times New Roman" w:hAnsi="Times New Roman" w:eastAsia="仿宋_GB2312" w:cs="仿宋_GB2312"/>
          <w:color w:val="auto"/>
          <w:kern w:val="2"/>
          <w:sz w:val="32"/>
          <w:szCs w:val="32"/>
          <w:highlight w:val="none"/>
          <w:lang w:val="en-US" w:eastAsia="zh-CN" w:bidi="ar-SA"/>
        </w:rPr>
        <w:t>）农村综合改革（</w:t>
      </w:r>
      <w:r>
        <w:rPr>
          <w:rFonts w:hint="eastAsia" w:eastAsia="仿宋_GB2312" w:cs="仿宋_GB2312"/>
          <w:color w:val="auto"/>
          <w:kern w:val="2"/>
          <w:sz w:val="32"/>
          <w:szCs w:val="32"/>
          <w:highlight w:val="none"/>
          <w:lang w:val="en-US" w:eastAsia="zh-CN" w:bidi="ar-SA"/>
        </w:rPr>
        <w:t>款</w:t>
      </w:r>
      <w:r>
        <w:rPr>
          <w:rFonts w:hint="eastAsia" w:ascii="Times New Roman" w:hAnsi="Times New Roman" w:eastAsia="仿宋_GB2312" w:cs="仿宋_GB2312"/>
          <w:color w:val="auto"/>
          <w:kern w:val="2"/>
          <w:sz w:val="32"/>
          <w:szCs w:val="32"/>
          <w:highlight w:val="none"/>
          <w:lang w:val="en-US" w:eastAsia="zh-CN" w:bidi="ar-SA"/>
        </w:rPr>
        <w:t>）对村民委员会和村党支部的补助（</w:t>
      </w:r>
      <w:r>
        <w:rPr>
          <w:rFonts w:hint="eastAsia" w:eastAsia="仿宋_GB2312" w:cs="仿宋_GB2312"/>
          <w:color w:val="auto"/>
          <w:kern w:val="2"/>
          <w:sz w:val="32"/>
          <w:szCs w:val="32"/>
          <w:highlight w:val="none"/>
          <w:lang w:val="en-US" w:eastAsia="zh-CN" w:bidi="ar-SA"/>
        </w:rPr>
        <w:t>项</w:t>
      </w:r>
      <w:r>
        <w:rPr>
          <w:rFonts w:hint="eastAsia" w:ascii="Times New Roman" w:hAnsi="Times New Roman" w:eastAsia="仿宋_GB2312" w:cs="仿宋_GB2312"/>
          <w:color w:val="auto"/>
          <w:kern w:val="2"/>
          <w:sz w:val="32"/>
          <w:szCs w:val="32"/>
          <w:highlight w:val="none"/>
          <w:lang w:val="en-US" w:eastAsia="zh-CN" w:bidi="ar-SA"/>
        </w:rPr>
        <w:t>）：</w:t>
      </w:r>
      <w:r>
        <w:rPr>
          <w:rStyle w:val="18"/>
          <w:rFonts w:hint="eastAsia" w:ascii="仿宋_GB2312" w:eastAsia="仿宋_GB2312" w:cs="仿宋_GB2312"/>
          <w:b w:val="0"/>
          <w:color w:val="000000"/>
          <w:sz w:val="32"/>
          <w:szCs w:val="32"/>
        </w:rPr>
        <w:t>指对村民委员会和对村党支部的补助支出，以及支持建立县级基本财力保障机制安排的村级组织运转奖补资金。</w:t>
      </w:r>
    </w:p>
    <w:p w14:paraId="69026865">
      <w:pPr>
        <w:spacing w:line="576" w:lineRule="atLeast"/>
        <w:ind w:firstLine="640" w:firstLineChars="200"/>
        <w:rPr>
          <w:rFonts w:ascii="仿宋" w:hAnsi="仿宋" w:eastAsia="仿宋"/>
          <w:b/>
          <w:color w:val="auto"/>
          <w:sz w:val="32"/>
          <w:szCs w:val="32"/>
          <w:highlight w:val="none"/>
        </w:rPr>
      </w:pPr>
      <w:r>
        <w:rPr>
          <w:rFonts w:hint="eastAsia" w:eastAsia="仿宋_GB2312" w:cs="仿宋_GB2312"/>
          <w:color w:val="auto"/>
          <w:kern w:val="2"/>
          <w:sz w:val="32"/>
          <w:szCs w:val="32"/>
          <w:highlight w:val="none"/>
          <w:lang w:val="en-US" w:eastAsia="zh-CN" w:bidi="ar-SA"/>
        </w:rPr>
        <w:t>22.</w:t>
      </w:r>
      <w:r>
        <w:rPr>
          <w:rFonts w:hint="eastAsia" w:ascii="Times New Roman" w:hAnsi="Times New Roman" w:eastAsia="仿宋_GB2312" w:cs="仿宋_GB2312"/>
          <w:color w:val="auto"/>
          <w:kern w:val="2"/>
          <w:sz w:val="32"/>
          <w:szCs w:val="32"/>
          <w:highlight w:val="none"/>
          <w:lang w:val="en-US" w:eastAsia="zh-CN" w:bidi="ar-SA"/>
        </w:rPr>
        <w:t>住房保障支出（</w:t>
      </w:r>
      <w:r>
        <w:rPr>
          <w:rFonts w:hint="eastAsia" w:eastAsia="仿宋_GB2312" w:cs="仿宋_GB2312"/>
          <w:color w:val="auto"/>
          <w:kern w:val="2"/>
          <w:sz w:val="32"/>
          <w:szCs w:val="32"/>
          <w:highlight w:val="none"/>
          <w:lang w:val="en-US" w:eastAsia="zh-CN" w:bidi="ar-SA"/>
        </w:rPr>
        <w:t>类</w:t>
      </w:r>
      <w:r>
        <w:rPr>
          <w:rFonts w:hint="eastAsia" w:ascii="Times New Roman" w:hAnsi="Times New Roman" w:eastAsia="仿宋_GB2312" w:cs="仿宋_GB2312"/>
          <w:color w:val="auto"/>
          <w:kern w:val="2"/>
          <w:sz w:val="32"/>
          <w:szCs w:val="32"/>
          <w:highlight w:val="none"/>
          <w:lang w:val="en-US" w:eastAsia="zh-CN" w:bidi="ar-SA"/>
        </w:rPr>
        <w:t>）住房改革支出（</w:t>
      </w:r>
      <w:r>
        <w:rPr>
          <w:rFonts w:hint="eastAsia" w:eastAsia="仿宋_GB2312" w:cs="仿宋_GB2312"/>
          <w:color w:val="auto"/>
          <w:kern w:val="2"/>
          <w:sz w:val="32"/>
          <w:szCs w:val="32"/>
          <w:highlight w:val="none"/>
          <w:lang w:val="en-US" w:eastAsia="zh-CN" w:bidi="ar-SA"/>
        </w:rPr>
        <w:t>款</w:t>
      </w:r>
      <w:r>
        <w:rPr>
          <w:rFonts w:hint="eastAsia" w:ascii="Times New Roman" w:hAnsi="Times New Roman" w:eastAsia="仿宋_GB2312" w:cs="仿宋_GB2312"/>
          <w:color w:val="auto"/>
          <w:kern w:val="2"/>
          <w:sz w:val="32"/>
          <w:szCs w:val="32"/>
          <w:highlight w:val="none"/>
          <w:lang w:val="en-US" w:eastAsia="zh-CN" w:bidi="ar-SA"/>
        </w:rPr>
        <w:t>）住房公积金（</w:t>
      </w:r>
      <w:r>
        <w:rPr>
          <w:rFonts w:hint="eastAsia" w:eastAsia="仿宋_GB2312" w:cs="仿宋_GB2312"/>
          <w:color w:val="auto"/>
          <w:kern w:val="2"/>
          <w:sz w:val="32"/>
          <w:szCs w:val="32"/>
          <w:highlight w:val="none"/>
          <w:lang w:val="en-US" w:eastAsia="zh-CN" w:bidi="ar-SA"/>
        </w:rPr>
        <w:t>项</w:t>
      </w:r>
      <w:r>
        <w:rPr>
          <w:rFonts w:hint="eastAsia" w:ascii="Times New Roman" w:hAnsi="Times New Roman" w:eastAsia="仿宋_GB2312" w:cs="仿宋_GB2312"/>
          <w:color w:val="auto"/>
          <w:kern w:val="2"/>
          <w:sz w:val="32"/>
          <w:szCs w:val="32"/>
          <w:highlight w:val="none"/>
          <w:lang w:val="en-US" w:eastAsia="zh-CN" w:bidi="ar-SA"/>
        </w:rPr>
        <w:t>）：</w:t>
      </w:r>
      <w:r>
        <w:rPr>
          <w:rStyle w:val="18"/>
          <w:rFonts w:hint="eastAsia" w:ascii="仿宋_GB2312" w:eastAsia="仿宋_GB2312" w:cs="仿宋_GB2312"/>
          <w:b w:val="0"/>
          <w:color w:val="000000"/>
          <w:sz w:val="32"/>
          <w:szCs w:val="32"/>
        </w:rPr>
        <w:t>指</w:t>
      </w:r>
      <w:r>
        <w:rPr>
          <w:rFonts w:hint="eastAsia" w:ascii="仿宋_GB2312" w:eastAsia="仿宋_GB2312" w:cs="仿宋_GB2312"/>
          <w:color w:val="000000"/>
          <w:kern w:val="0"/>
          <w:sz w:val="32"/>
          <w:szCs w:val="32"/>
        </w:rPr>
        <w:t>反映行政事业单位按规定为职工缴纳的住房公积金</w:t>
      </w:r>
      <w:r>
        <w:rPr>
          <w:rStyle w:val="18"/>
          <w:rFonts w:hint="eastAsia" w:ascii="仿宋_GB2312" w:eastAsia="仿宋_GB2312" w:cs="仿宋_GB2312"/>
          <w:b w:val="0"/>
          <w:color w:val="000000"/>
          <w:sz w:val="32"/>
          <w:szCs w:val="32"/>
        </w:rPr>
        <w:t>。</w:t>
      </w:r>
    </w:p>
    <w:p w14:paraId="41711D77">
      <w:pPr>
        <w:keepNext w:val="0"/>
        <w:keepLines w:val="0"/>
        <w:pageBreakBefore w:val="0"/>
        <w:widowControl w:val="0"/>
        <w:kinsoku/>
        <w:wordWrap/>
        <w:overflowPunct/>
        <w:topLinePunct w:val="0"/>
        <w:autoSpaceDE/>
        <w:autoSpaceDN/>
        <w:bidi w:val="0"/>
        <w:adjustRightInd/>
        <w:snapToGrid/>
        <w:spacing w:line="576" w:lineRule="atLeast"/>
        <w:ind w:firstLine="640" w:firstLineChars="20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23.</w:t>
      </w:r>
      <w:r>
        <w:rPr>
          <w:rFonts w:hint="eastAsia" w:ascii="Times New Roman" w:hAnsi="Times New Roman" w:eastAsia="仿宋_GB2312" w:cs="仿宋_GB2312"/>
          <w:color w:val="auto"/>
          <w:kern w:val="2"/>
          <w:sz w:val="32"/>
          <w:szCs w:val="32"/>
          <w:highlight w:val="none"/>
          <w:lang w:val="en-US" w:eastAsia="zh-CN" w:bidi="ar-SA"/>
        </w:rPr>
        <w:t>住房保障支出（</w:t>
      </w:r>
      <w:r>
        <w:rPr>
          <w:rFonts w:hint="eastAsia" w:eastAsia="仿宋_GB2312" w:cs="仿宋_GB2312"/>
          <w:color w:val="auto"/>
          <w:kern w:val="2"/>
          <w:sz w:val="32"/>
          <w:szCs w:val="32"/>
          <w:highlight w:val="none"/>
          <w:lang w:val="en-US" w:eastAsia="zh-CN" w:bidi="ar-SA"/>
        </w:rPr>
        <w:t>类</w:t>
      </w:r>
      <w:r>
        <w:rPr>
          <w:rFonts w:hint="eastAsia" w:ascii="Times New Roman" w:hAnsi="Times New Roman" w:eastAsia="仿宋_GB2312" w:cs="仿宋_GB2312"/>
          <w:color w:val="auto"/>
          <w:kern w:val="2"/>
          <w:sz w:val="32"/>
          <w:szCs w:val="32"/>
          <w:highlight w:val="none"/>
          <w:lang w:val="en-US" w:eastAsia="zh-CN" w:bidi="ar-SA"/>
        </w:rPr>
        <w:t>）住房改革支出（</w:t>
      </w:r>
      <w:r>
        <w:rPr>
          <w:rFonts w:hint="eastAsia" w:eastAsia="仿宋_GB2312" w:cs="仿宋_GB2312"/>
          <w:color w:val="auto"/>
          <w:kern w:val="2"/>
          <w:sz w:val="32"/>
          <w:szCs w:val="32"/>
          <w:highlight w:val="none"/>
          <w:lang w:val="en-US" w:eastAsia="zh-CN" w:bidi="ar-SA"/>
        </w:rPr>
        <w:t>款</w:t>
      </w:r>
      <w:r>
        <w:rPr>
          <w:rFonts w:hint="eastAsia" w:ascii="Times New Roman" w:hAnsi="Times New Roman" w:eastAsia="仿宋_GB2312" w:cs="仿宋_GB2312"/>
          <w:color w:val="auto"/>
          <w:kern w:val="2"/>
          <w:sz w:val="32"/>
          <w:szCs w:val="32"/>
          <w:highlight w:val="none"/>
          <w:lang w:val="en-US" w:eastAsia="zh-CN" w:bidi="ar-SA"/>
        </w:rPr>
        <w:t>）购房补贴（</w:t>
      </w:r>
      <w:r>
        <w:rPr>
          <w:rFonts w:hint="eastAsia" w:eastAsia="仿宋_GB2312" w:cs="仿宋_GB2312"/>
          <w:color w:val="auto"/>
          <w:kern w:val="2"/>
          <w:sz w:val="32"/>
          <w:szCs w:val="32"/>
          <w:highlight w:val="none"/>
          <w:lang w:val="en-US" w:eastAsia="zh-CN" w:bidi="ar-SA"/>
        </w:rPr>
        <w:t>项</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：指按房改政策规定，行政事业单位向符合条件的职工（含离退休人员）、军队（含武警）向转役复员离退休人员发放的用于购买住房的补贴。</w:t>
      </w:r>
    </w:p>
    <w:p w14:paraId="4E685490">
      <w:pPr>
        <w:keepNext w:val="0"/>
        <w:keepLines w:val="0"/>
        <w:pageBreakBefore w:val="0"/>
        <w:widowControl w:val="0"/>
        <w:kinsoku/>
        <w:wordWrap/>
        <w:overflowPunct/>
        <w:topLinePunct w:val="0"/>
        <w:autoSpaceDE/>
        <w:autoSpaceDN/>
        <w:bidi w:val="0"/>
        <w:adjustRightInd/>
        <w:snapToGrid/>
        <w:spacing w:line="576" w:lineRule="atLeast"/>
        <w:ind w:firstLine="640" w:firstLineChars="200"/>
        <w:textAlignment w:val="auto"/>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w:t>
      </w:r>
      <w:r>
        <w:rPr>
          <w:rFonts w:hint="eastAsia"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en-US" w:eastAsia="zh-CN" w:bidi="ar-SA"/>
        </w:rPr>
        <w:t>.灾害防治及应急管理支出（</w:t>
      </w:r>
      <w:r>
        <w:rPr>
          <w:rFonts w:hint="eastAsia" w:eastAsia="仿宋_GB2312" w:cs="仿宋_GB2312"/>
          <w:color w:val="auto"/>
          <w:kern w:val="2"/>
          <w:sz w:val="32"/>
          <w:szCs w:val="32"/>
          <w:highlight w:val="none"/>
          <w:lang w:val="en-US" w:eastAsia="zh-CN" w:bidi="ar-SA"/>
        </w:rPr>
        <w:t>类</w:t>
      </w:r>
      <w:r>
        <w:rPr>
          <w:rFonts w:hint="eastAsia" w:ascii="Times New Roman" w:hAnsi="Times New Roman" w:eastAsia="仿宋_GB2312" w:cs="仿宋_GB2312"/>
          <w:color w:val="auto"/>
          <w:kern w:val="2"/>
          <w:sz w:val="32"/>
          <w:szCs w:val="32"/>
          <w:highlight w:val="none"/>
          <w:lang w:val="en-US" w:eastAsia="zh-CN" w:bidi="ar-SA"/>
        </w:rPr>
        <w:t>）自然灾害救灾及恢复重建支出（</w:t>
      </w:r>
      <w:r>
        <w:rPr>
          <w:rFonts w:hint="eastAsia" w:eastAsia="仿宋_GB2312" w:cs="仿宋_GB2312"/>
          <w:color w:val="auto"/>
          <w:kern w:val="2"/>
          <w:sz w:val="32"/>
          <w:szCs w:val="32"/>
          <w:highlight w:val="none"/>
          <w:lang w:val="en-US" w:eastAsia="zh-CN" w:bidi="ar-SA"/>
        </w:rPr>
        <w:t>款</w:t>
      </w:r>
      <w:r>
        <w:rPr>
          <w:rFonts w:hint="eastAsia" w:ascii="Times New Roman" w:hAnsi="Times New Roman" w:eastAsia="仿宋_GB2312" w:cs="仿宋_GB2312"/>
          <w:color w:val="auto"/>
          <w:kern w:val="2"/>
          <w:sz w:val="32"/>
          <w:szCs w:val="32"/>
          <w:highlight w:val="none"/>
          <w:lang w:val="en-US" w:eastAsia="zh-CN" w:bidi="ar-SA"/>
        </w:rPr>
        <w:t>）其他自然灾害救灾及恢复重建支出（</w:t>
      </w:r>
      <w:r>
        <w:rPr>
          <w:rFonts w:hint="eastAsia" w:eastAsia="仿宋_GB2312" w:cs="仿宋_GB2312"/>
          <w:color w:val="auto"/>
          <w:kern w:val="2"/>
          <w:sz w:val="32"/>
          <w:szCs w:val="32"/>
          <w:highlight w:val="none"/>
          <w:lang w:val="en-US" w:eastAsia="zh-CN" w:bidi="ar-SA"/>
        </w:rPr>
        <w:t>项</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指除上述项目以外的其他用于自然灾害救灾、灾后恢复重建等方面的支出。</w:t>
      </w:r>
    </w:p>
    <w:p w14:paraId="4F484B6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.基本支出：指为保障机构正常运转、完成日常工作任务而发生的人员支出和公用支出。</w:t>
      </w:r>
    </w:p>
    <w:p w14:paraId="5F4F644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w:t>
      </w:r>
      <w:r>
        <w:rPr>
          <w:rFonts w:hint="eastAsia" w:eastAsia="仿宋_GB2312" w:cs="仿宋_GB2312"/>
          <w:color w:val="auto"/>
          <w:kern w:val="2"/>
          <w:sz w:val="32"/>
          <w:szCs w:val="32"/>
          <w:highlight w:val="none"/>
          <w:lang w:val="en-US" w:eastAsia="zh-CN" w:bidi="ar-SA"/>
        </w:rPr>
        <w:t>6</w:t>
      </w:r>
      <w:r>
        <w:rPr>
          <w:rFonts w:hint="eastAsia" w:ascii="Times New Roman" w:hAnsi="Times New Roman" w:eastAsia="仿宋_GB2312" w:cs="仿宋_GB2312"/>
          <w:color w:val="auto"/>
          <w:kern w:val="2"/>
          <w:sz w:val="32"/>
          <w:szCs w:val="32"/>
          <w:highlight w:val="none"/>
          <w:lang w:val="en-US" w:eastAsia="zh-CN" w:bidi="ar-SA"/>
        </w:rPr>
        <w:t xml:space="preserve">.项目支出：指在基本支出之外为完成特定行政任务和事业发展目标所发生的支出。 </w:t>
      </w:r>
    </w:p>
    <w:p w14:paraId="18EAC66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w:t>
      </w:r>
      <w:r>
        <w:rPr>
          <w:rFonts w:hint="eastAsia" w:eastAsia="仿宋_GB2312" w:cs="仿宋_GB2312"/>
          <w:color w:val="auto"/>
          <w:kern w:val="2"/>
          <w:sz w:val="32"/>
          <w:szCs w:val="32"/>
          <w:highlight w:val="none"/>
          <w:lang w:val="en-US" w:eastAsia="zh-CN" w:bidi="ar-SA"/>
        </w:rPr>
        <w:t>7</w:t>
      </w:r>
      <w:r>
        <w:rPr>
          <w:rFonts w:hint="eastAsia" w:ascii="Times New Roman" w:hAnsi="Times New Roman" w:eastAsia="仿宋_GB2312" w:cs="仿宋_GB2312"/>
          <w:color w:val="auto"/>
          <w:kern w:val="2"/>
          <w:sz w:val="32"/>
          <w:szCs w:val="32"/>
          <w:highlight w:val="none"/>
          <w:lang w:val="en-US" w:eastAsia="zh-CN" w:bidi="ar-SA"/>
        </w:rPr>
        <w:t>.经营支出：指事业单位在专业业务活动及其辅助活动之外开展非独立核算经营活动发生的支出。</w:t>
      </w:r>
    </w:p>
    <w:p w14:paraId="3995207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28</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三公</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74A2C45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29</w:t>
      </w:r>
      <w:r>
        <w:rPr>
          <w:rFonts w:hint="eastAsia" w:ascii="Times New Roman" w:hAnsi="Times New Roman" w:eastAsia="仿宋_GB2312" w:cs="仿宋_GB2312"/>
          <w:color w:val="auto"/>
          <w:kern w:val="2"/>
          <w:sz w:val="32"/>
          <w:szCs w:val="32"/>
          <w:highlight w:val="none"/>
          <w:lang w:val="en-US" w:eastAsia="zh-CN" w:bidi="ar-SA"/>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DADB77C">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方正小标宋简体"/>
          <w:color w:val="auto"/>
          <w:sz w:val="44"/>
          <w:szCs w:val="44"/>
          <w:highlight w:val="none"/>
          <w:lang w:val="en-US" w:eastAsia="zh-CN"/>
        </w:rPr>
      </w:pPr>
      <w:r>
        <w:rPr>
          <w:rFonts w:hint="eastAsia" w:ascii="Times New Roman" w:hAnsi="Times New Roman" w:eastAsia="仿宋_GB2312" w:cs="仿宋_GB2312"/>
          <w:color w:val="auto"/>
          <w:kern w:val="2"/>
          <w:szCs w:val="32"/>
          <w:highlight w:val="none"/>
          <w:lang w:val="en-US" w:eastAsia="zh-CN" w:bidi="ar-SA"/>
        </w:rPr>
        <w:br w:type="page"/>
      </w:r>
    </w:p>
    <w:p w14:paraId="161841AC">
      <w:pPr>
        <w:pStyle w:val="5"/>
        <w:bidi w:val="0"/>
        <w:ind w:firstLine="2650" w:firstLineChars="600"/>
        <w:rPr>
          <w:rFonts w:hint="default" w:ascii="Times New Roman" w:hAnsi="Times New Roman" w:eastAsia="方正小标宋简体" w:cs="Times New Roman"/>
          <w:b w:val="0"/>
          <w:bCs/>
          <w:color w:val="FFFFFF" w:themeColor="background1"/>
          <w:sz w:val="44"/>
          <w:szCs w:val="44"/>
          <w:highlight w:val="none"/>
          <w:shd w:val="clear" w:color="auto" w:fill="FFFFFF"/>
          <w14:textFill>
            <w14:solidFill>
              <w14:schemeClr w14:val="bg1"/>
            </w14:solidFill>
          </w14:textFill>
        </w:rPr>
      </w:pPr>
      <w:bookmarkStart w:id="79" w:name="_Toc5182"/>
      <w:r>
        <w:rPr>
          <w:rFonts w:hint="eastAsia"/>
        </w:rPr>
        <w:t>第四部分</w:t>
      </w:r>
      <w:r>
        <w:rPr>
          <w:rFonts w:hint="eastAsia"/>
          <w:lang w:val="en-US" w:eastAsia="zh-CN"/>
        </w:rPr>
        <w:t xml:space="preserve"> </w:t>
      </w:r>
      <w:r>
        <w:rPr>
          <w:rFonts w:hint="eastAsia"/>
        </w:rPr>
        <w:t xml:space="preserve"> 附件</w:t>
      </w:r>
      <w:bookmarkEnd w:id="79"/>
    </w:p>
    <w:p w14:paraId="25EF26AB">
      <w:pPr>
        <w:keepNext w:val="0"/>
        <w:keepLines w:val="0"/>
        <w:pageBreakBefore w:val="0"/>
        <w:widowControl/>
        <w:kinsoku/>
        <w:wordWrap/>
        <w:overflowPunct/>
        <w:topLinePunct w:val="0"/>
        <w:autoSpaceDE/>
        <w:autoSpaceDN/>
        <w:bidi w:val="0"/>
        <w:spacing w:line="578" w:lineRule="exact"/>
        <w:ind w:firstLine="2200" w:firstLineChars="500"/>
        <w:contextualSpacing/>
        <w:jc w:val="both"/>
        <w:textAlignment w:val="auto"/>
        <w:outlineLvl w:val="9"/>
        <w:rPr>
          <w:rFonts w:hint="eastAsia" w:ascii="方正小标宋简体" w:hAnsi="方正小标宋简体" w:eastAsia="方正小标宋简体" w:cs="方正小标宋简体"/>
          <w:b w:val="0"/>
          <w:bCs/>
          <w:sz w:val="44"/>
          <w:szCs w:val="44"/>
          <w:highlight w:val="none"/>
          <w:shd w:val="clear" w:color="auto" w:fill="FFFFFF"/>
          <w:lang w:eastAsia="zh-CN"/>
        </w:rPr>
      </w:pPr>
      <w:r>
        <w:rPr>
          <w:rFonts w:hint="eastAsia" w:ascii="方正小标宋简体" w:hAnsi="方正小标宋简体" w:eastAsia="方正小标宋简体" w:cs="方正小标宋简体"/>
          <w:b w:val="0"/>
          <w:bCs/>
          <w:sz w:val="44"/>
          <w:szCs w:val="44"/>
          <w:highlight w:val="none"/>
          <w:shd w:val="clear" w:color="auto" w:fill="FFFFFF"/>
          <w:lang w:val="en-US" w:eastAsia="zh-CN"/>
        </w:rPr>
        <w:t xml:space="preserve"> </w:t>
      </w:r>
      <w:r>
        <w:rPr>
          <w:rFonts w:hint="eastAsia" w:ascii="方正小标宋简体" w:hAnsi="方正小标宋简体" w:eastAsia="方正小标宋简体" w:cs="方正小标宋简体"/>
          <w:b w:val="0"/>
          <w:bCs/>
          <w:sz w:val="44"/>
          <w:szCs w:val="44"/>
          <w:highlight w:val="none"/>
          <w:shd w:val="clear" w:color="auto" w:fill="FFFFFF"/>
          <w:lang w:eastAsia="zh-CN"/>
        </w:rPr>
        <w:t>茂县沟口镇人民政府</w:t>
      </w:r>
    </w:p>
    <w:p w14:paraId="6BAC7313">
      <w:pPr>
        <w:keepNext w:val="0"/>
        <w:keepLines w:val="0"/>
        <w:pageBreakBefore w:val="0"/>
        <w:widowControl/>
        <w:kinsoku/>
        <w:wordWrap/>
        <w:overflowPunct/>
        <w:topLinePunct w:val="0"/>
        <w:autoSpaceDE/>
        <w:autoSpaceDN/>
        <w:bidi w:val="0"/>
        <w:spacing w:line="578" w:lineRule="exact"/>
        <w:ind w:firstLine="2200" w:firstLineChars="500"/>
        <w:contextualSpacing/>
        <w:jc w:val="both"/>
        <w:textAlignment w:val="auto"/>
        <w:outlineLvl w:val="9"/>
        <w:rPr>
          <w:rFonts w:hint="eastAsia" w:ascii="方正小标宋简体" w:hAnsi="方正小标宋简体" w:eastAsia="方正小标宋简体" w:cs="方正小标宋简体"/>
          <w:b w:val="0"/>
          <w:bCs/>
          <w:sz w:val="44"/>
          <w:szCs w:val="44"/>
          <w:highlight w:val="none"/>
          <w:shd w:val="clear" w:color="auto" w:fill="FFFFFF"/>
          <w:lang w:eastAsia="zh-CN"/>
        </w:rPr>
      </w:pPr>
      <w:r>
        <w:rPr>
          <w:rFonts w:hint="default" w:ascii="方正小标宋简体" w:hAnsi="方正小标宋简体" w:eastAsia="方正小标宋简体" w:cs="方正小标宋简体"/>
          <w:b w:val="0"/>
          <w:bCs/>
          <w:sz w:val="44"/>
          <w:szCs w:val="44"/>
          <w:highlight w:val="none"/>
          <w:shd w:val="clear" w:color="auto" w:fill="FFFFFF"/>
          <w:lang w:eastAsia="zh-CN"/>
        </w:rPr>
        <w:t>部门预算绩效</w:t>
      </w:r>
      <w:r>
        <w:rPr>
          <w:rFonts w:hint="eastAsia" w:ascii="方正小标宋简体" w:hAnsi="方正小标宋简体" w:eastAsia="方正小标宋简体" w:cs="方正小标宋简体"/>
          <w:b w:val="0"/>
          <w:bCs/>
          <w:sz w:val="44"/>
          <w:szCs w:val="44"/>
          <w:highlight w:val="none"/>
          <w:shd w:val="clear" w:color="auto" w:fill="FFFFFF"/>
          <w:lang w:eastAsia="zh-CN"/>
        </w:rPr>
        <w:t>评价</w:t>
      </w:r>
      <w:r>
        <w:rPr>
          <w:rFonts w:hint="default" w:ascii="方正小标宋简体" w:hAnsi="方正小标宋简体" w:eastAsia="方正小标宋简体" w:cs="方正小标宋简体"/>
          <w:b w:val="0"/>
          <w:bCs/>
          <w:sz w:val="44"/>
          <w:szCs w:val="44"/>
          <w:highlight w:val="none"/>
          <w:shd w:val="clear" w:color="auto" w:fill="FFFFFF"/>
          <w:lang w:eastAsia="zh-CN"/>
        </w:rPr>
        <w:t>报告</w:t>
      </w:r>
      <w:r>
        <w:rPr>
          <w:rFonts w:hint="eastAsia" w:ascii="方正小标宋简体" w:hAnsi="方正小标宋简体" w:eastAsia="方正小标宋简体" w:cs="方正小标宋简体"/>
          <w:b w:val="0"/>
          <w:bCs/>
          <w:sz w:val="44"/>
          <w:szCs w:val="44"/>
          <w:highlight w:val="none"/>
          <w:shd w:val="clear" w:color="auto" w:fill="FFFFFF"/>
          <w:lang w:eastAsia="zh-CN"/>
        </w:rPr>
        <w:tab/>
      </w:r>
    </w:p>
    <w:p w14:paraId="07CB5F72">
      <w:pPr>
        <w:keepNext w:val="0"/>
        <w:keepLines w:val="0"/>
        <w:pageBreakBefore w:val="0"/>
        <w:widowControl/>
        <w:kinsoku/>
        <w:wordWrap/>
        <w:overflowPunct/>
        <w:topLinePunct w:val="0"/>
        <w:autoSpaceDE/>
        <w:autoSpaceDN/>
        <w:bidi w:val="0"/>
        <w:adjustRightInd w:val="0"/>
        <w:snapToGrid w:val="0"/>
        <w:spacing w:line="578" w:lineRule="exact"/>
        <w:ind w:firstLine="480" w:firstLineChars="200"/>
        <w:contextualSpacing/>
        <w:jc w:val="left"/>
        <w:textAlignment w:val="auto"/>
        <w:outlineLvl w:val="9"/>
        <w:rPr>
          <w:rFonts w:hint="default" w:ascii="Times New Roman" w:hAnsi="Times New Roman" w:eastAsia="黑体" w:cs="Times New Roman"/>
          <w:color w:val="FFFFFF" w:themeColor="background1"/>
          <w:kern w:val="0"/>
          <w:sz w:val="24"/>
          <w:szCs w:val="32"/>
          <w:highlight w:val="none"/>
          <w:shd w:val="clear" w:color="auto" w:fill="FFFFFF"/>
          <w14:textFill>
            <w14:solidFill>
              <w14:schemeClr w14:val="bg1"/>
            </w14:solidFill>
          </w14:textFill>
        </w:rPr>
      </w:pPr>
    </w:p>
    <w:p w14:paraId="4D8AC01A">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rPr>
      </w:pPr>
      <w:r>
        <w:rPr>
          <w:rFonts w:hint="eastAsia" w:ascii="Times New Roman" w:hAnsi="Times New Roman" w:eastAsia="黑体" w:cs="Times New Roman"/>
          <w:color w:val="000000"/>
          <w:kern w:val="0"/>
          <w:sz w:val="32"/>
          <w:szCs w:val="32"/>
          <w:highlight w:val="none"/>
          <w:shd w:val="clear" w:color="auto" w:fill="FFFFFF"/>
          <w:lang w:val="zh-CN"/>
        </w:rPr>
        <w:t>一、</w:t>
      </w:r>
      <w:r>
        <w:rPr>
          <w:rFonts w:hint="default" w:ascii="Times New Roman" w:hAnsi="Times New Roman" w:eastAsia="黑体" w:cs="Times New Roman"/>
          <w:color w:val="000000"/>
          <w:kern w:val="0"/>
          <w:sz w:val="32"/>
          <w:szCs w:val="32"/>
          <w:highlight w:val="none"/>
          <w:shd w:val="clear" w:color="auto" w:fill="FFFFFF"/>
          <w:lang w:val="zh-CN"/>
        </w:rPr>
        <w:t>部门（单位）基本情况</w:t>
      </w:r>
    </w:p>
    <w:p w14:paraId="164BB7D6">
      <w:pPr>
        <w:widowControl/>
        <w:adjustRightInd w:val="0"/>
        <w:snapToGrid w:val="0"/>
        <w:spacing w:line="580" w:lineRule="exact"/>
        <w:ind w:firstLine="643" w:firstLineChars="200"/>
        <w:contextualSpacing/>
        <w:jc w:val="left"/>
        <w:rPr>
          <w:rFonts w:hint="default" w:ascii="仿宋_GB2312" w:eastAsia="仿宋_GB2312" w:cs="仿宋_GB2312"/>
          <w:sz w:val="32"/>
          <w:szCs w:val="32"/>
          <w:lang w:val="zh-CN"/>
        </w:rPr>
      </w:pPr>
      <w:r>
        <w:rPr>
          <w:rFonts w:hint="eastAsia" w:ascii="Times New Roman" w:hAnsi="Times New Roman" w:eastAsia="楷体_GB2312" w:cs="楷体_GB2312"/>
          <w:b/>
          <w:color w:val="auto"/>
          <w:sz w:val="32"/>
          <w:szCs w:val="32"/>
          <w:highlight w:val="none"/>
          <w:lang w:val="zh-CN"/>
        </w:rPr>
        <w:t>（一）</w:t>
      </w:r>
      <w:r>
        <w:rPr>
          <w:rFonts w:hint="default" w:ascii="Times New Roman" w:hAnsi="Times New Roman" w:eastAsia="楷体_GB2312" w:cs="楷体_GB2312"/>
          <w:b/>
          <w:color w:val="auto"/>
          <w:sz w:val="32"/>
          <w:szCs w:val="32"/>
          <w:highlight w:val="none"/>
          <w:lang w:val="zh-CN"/>
        </w:rPr>
        <w:t>机构组成。</w:t>
      </w:r>
      <w:r>
        <w:rPr>
          <w:rFonts w:hint="eastAsia" w:ascii="仿宋_GB2312" w:eastAsia="仿宋_GB2312" w:cs="仿宋_GB2312"/>
          <w:sz w:val="32"/>
          <w:szCs w:val="32"/>
          <w:lang w:val="zh-CN"/>
        </w:rPr>
        <w:t>沟口镇内设行政办公室2个、财政所1个、事业机构6个，分别是：党政办公室、综合发展办公室、财政所、经济发展中心、社会事业服务中心、就业社会保障服务中心、综合文化服务中心、农技站、兽防站。</w:t>
      </w:r>
    </w:p>
    <w:p w14:paraId="1A3F693C">
      <w:pPr>
        <w:widowControl/>
        <w:numPr>
          <w:ilvl w:val="0"/>
          <w:numId w:val="0"/>
        </w:numPr>
        <w:adjustRightInd w:val="0"/>
        <w:snapToGrid w:val="0"/>
        <w:spacing w:line="580" w:lineRule="exact"/>
        <w:ind w:firstLine="643" w:firstLineChars="200"/>
        <w:contextualSpacing/>
        <w:jc w:val="left"/>
        <w:rPr>
          <w:rFonts w:hint="default" w:ascii="Times New Roman" w:hAnsi="Times New Roman" w:eastAsia="楷体_GB2312" w:cs="Times New Roman"/>
          <w:b/>
          <w:bCs/>
          <w:color w:val="000000"/>
          <w:kern w:val="0"/>
          <w:szCs w:val="32"/>
          <w:highlight w:val="none"/>
          <w:shd w:val="clear" w:color="auto" w:fill="FFFFFF"/>
          <w:lang w:val="zh-CN"/>
        </w:rPr>
      </w:pPr>
      <w:r>
        <w:rPr>
          <w:rFonts w:hint="default" w:ascii="Times New Roman" w:hAnsi="Times New Roman" w:eastAsia="楷体_GB2312" w:cs="楷体_GB2312"/>
          <w:b/>
          <w:color w:val="auto"/>
          <w:sz w:val="32"/>
          <w:szCs w:val="32"/>
          <w:highlight w:val="none"/>
          <w:lang w:val="zh-CN"/>
        </w:rPr>
        <w:t>（二）机构职能</w:t>
      </w:r>
      <w:r>
        <w:rPr>
          <w:rFonts w:hint="eastAsia" w:ascii="Times New Roman" w:hAnsi="Times New Roman" w:eastAsia="楷体_GB2312" w:cs="楷体_GB2312"/>
          <w:b/>
          <w:color w:val="auto"/>
          <w:sz w:val="32"/>
          <w:szCs w:val="32"/>
          <w:highlight w:val="none"/>
          <w:lang w:val="zh-CN"/>
        </w:rPr>
        <w:t>。</w:t>
      </w:r>
      <w:r>
        <w:rPr>
          <w:rFonts w:hint="eastAsia" w:ascii="仿宋_GB2312" w:eastAsia="仿宋_GB2312" w:cs="仿宋_GB2312"/>
          <w:sz w:val="32"/>
          <w:szCs w:val="32"/>
          <w:lang w:val="zh-CN"/>
        </w:rPr>
        <w:t>负责调查了解农业产业结构状况及市场走向，及时提供农业结构调整参考信息；努力提高人口素质；负责组织军烈属慰问、民政救灾救济工作；宣传贯彻国土管理、城建规划的法律法规，拟定全镇国土、城建管理规划措施；宣传教育、文化、科技、卫生等方面的政策、知识；严格按规定做好财务管理工作。</w:t>
      </w:r>
    </w:p>
    <w:p w14:paraId="18F77F3D">
      <w:pPr>
        <w:widowControl/>
        <w:numPr>
          <w:ilvl w:val="0"/>
          <w:numId w:val="0"/>
        </w:numPr>
        <w:adjustRightInd w:val="0"/>
        <w:snapToGrid w:val="0"/>
        <w:spacing w:line="580" w:lineRule="exact"/>
        <w:ind w:firstLine="643" w:firstLineChars="200"/>
        <w:contextualSpacing/>
        <w:jc w:val="left"/>
        <w:rPr>
          <w:rFonts w:hint="default" w:ascii="Times New Roman" w:hAnsi="Times New Roman" w:cs="Times New Roman"/>
          <w:szCs w:val="32"/>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）人员概况</w:t>
      </w:r>
      <w:r>
        <w:rPr>
          <w:rFonts w:hint="eastAsia" w:ascii="Times New Roman" w:hAnsi="Times New Roman" w:eastAsia="楷体_GB2312" w:cs="Times New Roman"/>
          <w:b/>
          <w:bCs/>
          <w:color w:val="000000"/>
          <w:kern w:val="0"/>
          <w:sz w:val="32"/>
          <w:szCs w:val="32"/>
          <w:highlight w:val="none"/>
          <w:shd w:val="clear" w:color="auto" w:fill="FFFFFF"/>
          <w:lang w:val="zh-CN"/>
        </w:rPr>
        <w:t>。</w:t>
      </w:r>
      <w:r>
        <w:rPr>
          <w:rFonts w:hint="eastAsia" w:ascii="仿宋_GB2312" w:eastAsia="仿宋_GB2312" w:cs="仿宋_GB2312"/>
          <w:sz w:val="32"/>
          <w:szCs w:val="32"/>
          <w:lang w:val="zh-CN" w:eastAsia="zh-CN"/>
        </w:rPr>
        <w:t>截至</w:t>
      </w:r>
      <w:r>
        <w:rPr>
          <w:rFonts w:hint="eastAsia" w:ascii="仿宋_GB2312" w:eastAsia="仿宋_GB2312" w:cs="仿宋_GB2312"/>
          <w:sz w:val="32"/>
          <w:szCs w:val="32"/>
          <w:lang w:val="en-US" w:eastAsia="zh-CN"/>
        </w:rPr>
        <w:t>2024年末，</w:t>
      </w:r>
      <w:r>
        <w:rPr>
          <w:rFonts w:hint="eastAsia" w:ascii="仿宋_GB2312" w:eastAsia="仿宋_GB2312" w:cs="仿宋_GB2312"/>
          <w:sz w:val="32"/>
          <w:szCs w:val="32"/>
          <w:lang w:val="zh-CN"/>
        </w:rPr>
        <w:t>沟口镇总编制51个,其中:行政编制27个,行政工勤编制4个，事业编制20个。在职人员</w:t>
      </w:r>
      <w:r>
        <w:rPr>
          <w:rFonts w:hint="eastAsia" w:ascii="仿宋_GB2312" w:eastAsia="仿宋_GB2312" w:cs="仿宋_GB2312"/>
          <w:sz w:val="32"/>
          <w:szCs w:val="32"/>
          <w:lang w:val="en-US" w:eastAsia="zh-CN"/>
        </w:rPr>
        <w:t>39</w:t>
      </w:r>
      <w:r>
        <w:rPr>
          <w:rFonts w:hint="eastAsia" w:ascii="仿宋_GB2312" w:eastAsia="仿宋_GB2312" w:cs="仿宋_GB2312"/>
          <w:sz w:val="32"/>
          <w:szCs w:val="32"/>
          <w:lang w:val="zh-CN"/>
        </w:rPr>
        <w:t>人（其中公务员</w:t>
      </w:r>
      <w:r>
        <w:rPr>
          <w:rFonts w:hint="eastAsia" w:ascii="仿宋_GB2312" w:eastAsia="仿宋_GB2312" w:cs="仿宋_GB2312"/>
          <w:sz w:val="32"/>
          <w:szCs w:val="32"/>
          <w:lang w:val="en-US" w:eastAsia="zh-CN"/>
        </w:rPr>
        <w:t>22</w:t>
      </w:r>
      <w:r>
        <w:rPr>
          <w:rFonts w:hint="eastAsia" w:ascii="仿宋_GB2312" w:eastAsia="仿宋_GB2312" w:cs="仿宋_GB2312"/>
          <w:sz w:val="32"/>
          <w:szCs w:val="32"/>
          <w:lang w:val="zh-CN"/>
        </w:rPr>
        <w:t>人，机关工勤人员</w:t>
      </w:r>
      <w:r>
        <w:rPr>
          <w:rFonts w:hint="eastAsia" w:ascii="仿宋_GB2312" w:eastAsia="仿宋_GB2312" w:cs="仿宋_GB2312"/>
          <w:sz w:val="32"/>
          <w:szCs w:val="32"/>
          <w:lang w:val="en-US" w:eastAsia="zh-CN"/>
        </w:rPr>
        <w:t>2</w:t>
      </w:r>
      <w:r>
        <w:rPr>
          <w:rFonts w:hint="eastAsia" w:ascii="仿宋_GB2312" w:eastAsia="仿宋_GB2312" w:cs="仿宋_GB2312"/>
          <w:sz w:val="32"/>
          <w:szCs w:val="32"/>
          <w:lang w:val="zh-CN"/>
        </w:rPr>
        <w:t>人，事业人员</w:t>
      </w:r>
      <w:r>
        <w:rPr>
          <w:rFonts w:hint="eastAsia" w:ascii="仿宋_GB2312" w:eastAsia="仿宋_GB2312" w:cs="仿宋_GB2312"/>
          <w:sz w:val="32"/>
          <w:szCs w:val="32"/>
          <w:lang w:val="en-US" w:eastAsia="zh-CN"/>
        </w:rPr>
        <w:t>15</w:t>
      </w:r>
      <w:r>
        <w:rPr>
          <w:rFonts w:hint="eastAsia" w:ascii="仿宋_GB2312" w:eastAsia="仿宋_GB2312" w:cs="仿宋_GB2312"/>
          <w:sz w:val="32"/>
          <w:szCs w:val="32"/>
          <w:lang w:val="zh-CN"/>
        </w:rPr>
        <w:t>人）；退休人员</w:t>
      </w:r>
      <w:r>
        <w:rPr>
          <w:rFonts w:hint="eastAsia" w:ascii="仿宋_GB2312" w:eastAsia="仿宋_GB2312" w:cs="仿宋_GB2312"/>
          <w:sz w:val="32"/>
          <w:szCs w:val="32"/>
          <w:lang w:val="en-US" w:eastAsia="zh-CN"/>
        </w:rPr>
        <w:t>12</w:t>
      </w:r>
      <w:r>
        <w:rPr>
          <w:rFonts w:hint="eastAsia" w:ascii="仿宋_GB2312" w:eastAsia="仿宋_GB2312" w:cs="仿宋_GB2312"/>
          <w:sz w:val="32"/>
          <w:szCs w:val="32"/>
          <w:lang w:val="zh-CN"/>
        </w:rPr>
        <w:t>人；遗属3人。</w:t>
      </w:r>
    </w:p>
    <w:p w14:paraId="7EBF5A6F">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eastAsia="zh-CN"/>
        </w:rPr>
      </w:pPr>
      <w:r>
        <w:rPr>
          <w:rFonts w:hint="default" w:ascii="Times New Roman" w:hAnsi="Times New Roman" w:eastAsia="黑体" w:cs="Times New Roman"/>
          <w:color w:val="000000"/>
          <w:kern w:val="0"/>
          <w:sz w:val="32"/>
          <w:szCs w:val="32"/>
          <w:highlight w:val="none"/>
          <w:shd w:val="clear" w:color="auto" w:fill="FFFFFF"/>
          <w:lang w:val="zh-CN" w:eastAsia="zh-CN"/>
        </w:rPr>
        <w:t>二、部门资金收支情况</w:t>
      </w:r>
    </w:p>
    <w:p w14:paraId="70BE3A0A">
      <w:pPr>
        <w:spacing w:line="576" w:lineRule="atLeast"/>
        <w:ind w:firstLine="643" w:firstLineChars="200"/>
        <w:rPr>
          <w:rFonts w:ascii="仿宋_GB2312" w:eastAsia="仿宋_GB2312" w:cs="宋体"/>
          <w:color w:val="000000"/>
          <w:kern w:val="0"/>
          <w:sz w:val="32"/>
          <w:szCs w:val="32"/>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（一）</w:t>
      </w:r>
      <w:r>
        <w:rPr>
          <w:rFonts w:hint="eastAsia" w:ascii="Times New Roman" w:hAnsi="Times New Roman" w:eastAsia="楷体_GB2312" w:cs="Times New Roman"/>
          <w:b/>
          <w:bCs/>
          <w:color w:val="000000"/>
          <w:kern w:val="0"/>
          <w:sz w:val="32"/>
          <w:szCs w:val="32"/>
          <w:highlight w:val="none"/>
          <w:shd w:val="clear" w:color="auto" w:fill="FFFFFF"/>
          <w:lang w:val="zh-CN"/>
        </w:rPr>
        <w:t>收入情况</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ascii="仿宋_GB2312" w:eastAsia="仿宋_GB2312" w:cs="仿宋_GB2312"/>
          <w:sz w:val="32"/>
          <w:szCs w:val="32"/>
        </w:rPr>
        <w:t>20</w:t>
      </w:r>
      <w:r>
        <w:rPr>
          <w:rFonts w:hint="eastAsia" w:ascii="仿宋_GB2312" w:eastAsia="仿宋_GB2312" w:cs="仿宋_GB2312"/>
          <w:sz w:val="32"/>
          <w:szCs w:val="32"/>
        </w:rPr>
        <w:t>2</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年本部门财政拨款收入决算总额为1,476.60</w:t>
      </w:r>
      <w:r>
        <w:rPr>
          <w:rFonts w:hint="eastAsia" w:ascii="仿宋_GB2312" w:eastAsia="仿宋_GB2312" w:cs="仿宋_GB2312"/>
          <w:sz w:val="32"/>
          <w:szCs w:val="32"/>
          <w:lang w:eastAsia="zh-CN"/>
        </w:rPr>
        <w:t>万</w:t>
      </w:r>
      <w:r>
        <w:rPr>
          <w:rFonts w:hint="eastAsia" w:ascii="仿宋_GB2312" w:eastAsia="仿宋_GB2312" w:cs="仿宋_GB2312"/>
          <w:sz w:val="32"/>
          <w:szCs w:val="32"/>
        </w:rPr>
        <w:t>元，其中：当年财政拨款收入</w:t>
      </w:r>
      <w:r>
        <w:rPr>
          <w:rFonts w:hint="eastAsia" w:ascii="仿宋_GB2312" w:eastAsia="仿宋_GB2312" w:cs="仿宋_GB2312"/>
          <w:sz w:val="32"/>
          <w:szCs w:val="32"/>
          <w:lang w:val="en-US" w:eastAsia="zh-CN"/>
        </w:rPr>
        <w:t>1,476.60</w:t>
      </w:r>
      <w:r>
        <w:rPr>
          <w:rFonts w:hint="eastAsia" w:ascii="仿宋_GB2312" w:eastAsia="仿宋_GB2312" w:cs="仿宋_GB2312"/>
          <w:sz w:val="32"/>
          <w:szCs w:val="32"/>
          <w:lang w:eastAsia="zh-CN"/>
        </w:rPr>
        <w:t>万</w:t>
      </w:r>
      <w:r>
        <w:rPr>
          <w:rFonts w:hint="eastAsia" w:ascii="仿宋_GB2312" w:eastAsia="仿宋_GB2312" w:cs="仿宋_GB2312"/>
          <w:sz w:val="32"/>
          <w:szCs w:val="32"/>
        </w:rPr>
        <w:t>元</w:t>
      </w:r>
      <w:r>
        <w:rPr>
          <w:rFonts w:ascii="仿宋_GB2312" w:eastAsia="仿宋_GB2312" w:cs="仿宋_GB2312"/>
          <w:sz w:val="32"/>
          <w:szCs w:val="32"/>
        </w:rPr>
        <w:t>,</w:t>
      </w:r>
      <w:r>
        <w:rPr>
          <w:rFonts w:hint="eastAsia" w:ascii="仿宋_GB2312" w:eastAsia="仿宋_GB2312" w:cs="仿宋_GB2312"/>
          <w:sz w:val="32"/>
          <w:szCs w:val="32"/>
        </w:rPr>
        <w:t>均为一般公共预算财政拨款。</w:t>
      </w:r>
    </w:p>
    <w:p w14:paraId="10AEE307">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outlineLvl w:val="9"/>
        <w:rPr>
          <w:rFonts w:hint="eastAsia" w:ascii="仿宋_GB2312" w:hAnsi="仿宋_GB2312" w:eastAsia="仿宋_GB2312" w:cs="仿宋_GB2312"/>
          <w:color w:val="auto"/>
          <w:kern w:val="2"/>
          <w:sz w:val="32"/>
          <w:szCs w:val="32"/>
          <w:highlight w:val="none"/>
          <w:lang w:val="en-US"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二</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支出情况</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1,476.60</w:t>
      </w:r>
      <w:r>
        <w:rPr>
          <w:rFonts w:hint="eastAsia" w:ascii="仿宋_GB2312" w:hAnsi="仿宋_GB2312" w:eastAsia="仿宋_GB2312" w:cs="仿宋_GB2312"/>
          <w:color w:val="auto"/>
          <w:kern w:val="2"/>
          <w:sz w:val="32"/>
          <w:szCs w:val="32"/>
          <w:highlight w:val="none"/>
          <w:lang w:val="en-US" w:eastAsia="zh-CN" w:bidi="ar-SA"/>
        </w:rPr>
        <w:t>万元，主要用于以下方面：一般公共服务支出537.91万元；文化旅游体育与传媒支出18.46万元；社会保障和就业支出72.77万元；卫生健康支出31.63万元；住房保障支出41.89万元；农林水支出763.94万元；灾害防治及应急管理支出10万元。</w:t>
      </w:r>
    </w:p>
    <w:p w14:paraId="6C465281">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3" w:firstLineChars="200"/>
        <w:contextualSpacing/>
        <w:jc w:val="both"/>
        <w:textAlignment w:val="auto"/>
        <w:outlineLvl w:val="9"/>
        <w:rPr>
          <w:rFonts w:hint="default" w:ascii="仿宋_GB2312" w:hAnsi="仿宋_GB2312" w:eastAsia="仿宋_GB2312" w:cs="仿宋_GB2312"/>
          <w:color w:val="auto"/>
          <w:kern w:val="2"/>
          <w:sz w:val="32"/>
          <w:szCs w:val="32"/>
          <w:highlight w:val="none"/>
          <w:lang w:val="zh-CN"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）结余分配和结转结余情况</w:t>
      </w:r>
      <w:r>
        <w:rPr>
          <w:rFonts w:hint="eastAsia" w:ascii="Times New Roman" w:hAnsi="Times New Roman" w:eastAsia="楷体_GB2312" w:cs="Times New Roman"/>
          <w:b/>
          <w:bCs/>
          <w:color w:val="000000"/>
          <w:kern w:val="0"/>
          <w:sz w:val="32"/>
          <w:szCs w:val="32"/>
          <w:highlight w:val="none"/>
          <w:shd w:val="clear" w:color="auto" w:fill="FFFFFF"/>
          <w:lang w:val="zh-CN" w:eastAsia="zh-CN"/>
        </w:rPr>
        <w:t>。</w:t>
      </w:r>
      <w:r>
        <w:rPr>
          <w:rFonts w:hint="eastAsia" w:ascii="仿宋_GB2312" w:hAnsi="仿宋_GB2312" w:eastAsia="仿宋_GB2312" w:cs="仿宋_GB2312"/>
          <w:color w:val="auto"/>
          <w:kern w:val="2"/>
          <w:sz w:val="32"/>
          <w:szCs w:val="32"/>
          <w:highlight w:val="none"/>
          <w:lang w:val="en-US" w:eastAsia="zh-CN" w:bidi="ar-SA"/>
        </w:rPr>
        <w:t>2024年决算报表无结转结余的情况。</w:t>
      </w:r>
    </w:p>
    <w:p w14:paraId="3F64BE19">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outlineLvl w:val="9"/>
        <w:rPr>
          <w:rFonts w:hint="default" w:ascii="Times New Roman" w:hAnsi="Times New Roman" w:eastAsia="黑体" w:cs="Times New Roman"/>
          <w:color w:val="000000"/>
          <w:kern w:val="0"/>
          <w:sz w:val="32"/>
          <w:szCs w:val="32"/>
          <w:highlight w:val="none"/>
          <w:shd w:val="clear" w:color="auto" w:fill="FFFFFF"/>
          <w:lang w:val="zh-CN" w:eastAsia="zh-CN"/>
        </w:rPr>
      </w:pPr>
      <w:r>
        <w:rPr>
          <w:rFonts w:hint="eastAsia" w:eastAsia="黑体" w:cs="Times New Roman"/>
          <w:color w:val="000000"/>
          <w:kern w:val="0"/>
          <w:sz w:val="32"/>
          <w:szCs w:val="32"/>
          <w:highlight w:val="none"/>
          <w:shd w:val="clear" w:color="auto" w:fill="FFFFFF"/>
          <w:lang w:val="zh-CN" w:eastAsia="zh-CN"/>
        </w:rPr>
        <w:t>二</w:t>
      </w:r>
      <w:r>
        <w:rPr>
          <w:rFonts w:hint="default" w:ascii="Times New Roman" w:hAnsi="Times New Roman" w:eastAsia="黑体" w:cs="Times New Roman"/>
          <w:color w:val="000000"/>
          <w:kern w:val="0"/>
          <w:sz w:val="32"/>
          <w:szCs w:val="32"/>
          <w:highlight w:val="none"/>
          <w:shd w:val="clear" w:color="auto" w:fill="FFFFFF"/>
          <w:lang w:val="zh-CN" w:eastAsia="zh-CN"/>
        </w:rPr>
        <w:t>、部门预算绩效分析</w:t>
      </w:r>
    </w:p>
    <w:p w14:paraId="7B0C4399">
      <w:pPr>
        <w:spacing w:line="600" w:lineRule="exact"/>
        <w:ind w:firstLine="640"/>
        <w:rPr>
          <w:rFonts w:hint="eastAsia" w:ascii="仿宋_GB2312" w:hAnsi="仿宋_GB2312" w:eastAsia="仿宋_GB2312" w:cs="仿宋_GB2312"/>
          <w:color w:val="auto"/>
          <w:sz w:val="32"/>
          <w:szCs w:val="32"/>
          <w:highlight w:val="none"/>
          <w:lang w:val="zh-CN"/>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zh-CN"/>
        </w:rPr>
        <w:t>履职效能。工作成果方面：项目工作人员能够按时完成任务并达到预期目标；财务人员能够按照项目合同资金支付要求，对验收合格的项目按时足额支付项目资金。工作质量方面</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zh-CN"/>
        </w:rPr>
        <w:t>项目工作人员注重细节，保证工作的准确性和可靠性。执行力方面</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zh-CN"/>
        </w:rPr>
        <w:t>项目工作人员能够按照项目要求主动、迅速地执行工作。</w:t>
      </w:r>
    </w:p>
    <w:p w14:paraId="575655CB">
      <w:pPr>
        <w:spacing w:line="600" w:lineRule="exact"/>
        <w:ind w:firstLine="640"/>
        <w:rPr>
          <w:rFonts w:hint="eastAsia" w:ascii="仿宋_GB2312" w:hAnsi="仿宋_GB2312" w:eastAsia="仿宋_GB2312" w:cs="仿宋_GB2312"/>
          <w:color w:val="auto"/>
          <w:sz w:val="32"/>
          <w:szCs w:val="32"/>
          <w:highlight w:val="none"/>
          <w:lang w:val="zh-CN"/>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val="zh-CN"/>
        </w:rPr>
        <w:t>预算管理。我镇严格按照县级部门预算编制通知和有关要求，按时完成基础库、项目库报送工作，按时完成20</w:t>
      </w: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lang w:val="zh-CN"/>
        </w:rPr>
        <w:t>年预算编制工作，并按时提交部门预算草案。按规定编制政府采购预算，预算编制全面、科学。</w:t>
      </w:r>
    </w:p>
    <w:p w14:paraId="1AE2BD5F">
      <w:pPr>
        <w:spacing w:line="600" w:lineRule="exact"/>
        <w:ind w:firstLine="640"/>
        <w:rPr>
          <w:rFonts w:hint="eastAsia" w:ascii="仿宋_GB2312" w:hAnsi="仿宋_GB2312" w:eastAsia="仿宋_GB2312" w:cs="仿宋_GB2312"/>
          <w:color w:val="auto"/>
          <w:sz w:val="32"/>
          <w:szCs w:val="32"/>
          <w:highlight w:val="none"/>
          <w:lang w:val="zh-CN"/>
        </w:rPr>
      </w:pPr>
      <w:r>
        <w:rPr>
          <w:rFonts w:hint="eastAsia" w:ascii="仿宋_GB2312" w:hAnsi="仿宋_GB2312" w:eastAsia="仿宋_GB2312" w:cs="仿宋_GB2312"/>
          <w:color w:val="auto"/>
          <w:sz w:val="32"/>
          <w:szCs w:val="32"/>
          <w:highlight w:val="none"/>
        </w:rPr>
        <w:t>3.</w:t>
      </w:r>
      <w:r>
        <w:rPr>
          <w:rFonts w:hint="eastAsia" w:ascii="仿宋_GB2312" w:hAnsi="仿宋_GB2312" w:eastAsia="仿宋_GB2312" w:cs="仿宋_GB2312"/>
          <w:color w:val="auto"/>
          <w:sz w:val="32"/>
          <w:szCs w:val="32"/>
          <w:highlight w:val="none"/>
          <w:lang w:val="zh-CN"/>
        </w:rPr>
        <w:t>财务管理。在办公室下设财务室，副镇长为财务负责人，下设会计、出纳各一名，负责本单位日常收支。健全单位财务管理制度，成立财务联审会签制度。各项支出按照批准的预算和有关规定审核办理，防止无计划开支。基本支出必须坚持节约的原则，严格执行规定的开支范围及开支标准。专项支出按照计划或预算批准的项目和用途使用。保障项目资金安全，确保资金专款专用。</w:t>
      </w:r>
    </w:p>
    <w:p w14:paraId="168D590C">
      <w:pPr>
        <w:spacing w:line="600" w:lineRule="exact"/>
        <w:ind w:firstLine="640"/>
        <w:rPr>
          <w:rFonts w:hint="eastAsia" w:ascii="仿宋_GB2312" w:hAnsi="仿宋_GB2312" w:eastAsia="仿宋_GB2312" w:cs="仿宋_GB2312"/>
          <w:color w:val="auto"/>
          <w:sz w:val="32"/>
          <w:szCs w:val="32"/>
          <w:highlight w:val="none"/>
          <w:lang w:val="zh-CN" w:eastAsia="zh-CN"/>
        </w:rPr>
      </w:pPr>
      <w:r>
        <w:rPr>
          <w:rFonts w:hint="eastAsia" w:ascii="仿宋_GB2312" w:hAnsi="仿宋_GB2312" w:eastAsia="仿宋_GB2312" w:cs="仿宋_GB2312"/>
          <w:color w:val="auto"/>
          <w:sz w:val="32"/>
          <w:szCs w:val="32"/>
          <w:highlight w:val="none"/>
        </w:rPr>
        <w:t>4.</w:t>
      </w:r>
      <w:r>
        <w:rPr>
          <w:rFonts w:hint="eastAsia" w:ascii="仿宋_GB2312" w:hAnsi="仿宋_GB2312" w:eastAsia="仿宋_GB2312" w:cs="仿宋_GB2312"/>
          <w:color w:val="auto"/>
          <w:sz w:val="32"/>
          <w:szCs w:val="32"/>
          <w:highlight w:val="none"/>
          <w:lang w:val="zh-CN"/>
        </w:rPr>
        <w:t>资产管理。</w:t>
      </w:r>
      <w:r>
        <w:rPr>
          <w:rFonts w:hint="eastAsia" w:ascii="仿宋_GB2312" w:hAnsi="仿宋_GB2312" w:eastAsia="仿宋_GB2312" w:cs="仿宋_GB2312"/>
          <w:color w:val="auto"/>
          <w:sz w:val="32"/>
          <w:szCs w:val="32"/>
          <w:highlight w:val="none"/>
        </w:rPr>
        <w:t>加强对固定资产的管理，规范机关固定资产的配置、使用和管理，强化固定资产的管理责任，建立节约型机关</w:t>
      </w:r>
      <w:r>
        <w:rPr>
          <w:rFonts w:hint="eastAsia" w:ascii="仿宋_GB2312" w:hAnsi="仿宋_GB2312" w:eastAsia="仿宋_GB2312" w:cs="仿宋_GB2312"/>
          <w:color w:val="auto"/>
          <w:sz w:val="32"/>
          <w:szCs w:val="32"/>
          <w:highlight w:val="none"/>
          <w:lang w:eastAsia="zh-CN"/>
        </w:rPr>
        <w:t>。</w:t>
      </w:r>
    </w:p>
    <w:p w14:paraId="1F32790D">
      <w:pPr>
        <w:spacing w:line="600" w:lineRule="exact"/>
        <w:ind w:firstLine="640"/>
        <w:rPr>
          <w:rFonts w:hint="eastAsia" w:ascii="仿宋_GB2312" w:hAnsi="仿宋_GB2312" w:eastAsia="仿宋_GB2312" w:cs="仿宋_GB2312"/>
          <w:color w:val="auto"/>
          <w:kern w:val="2"/>
          <w:sz w:val="32"/>
          <w:szCs w:val="32"/>
          <w:highlight w:val="none"/>
          <w:lang w:val="zh-CN" w:eastAsia="zh-CN" w:bidi="ar-SA"/>
        </w:rPr>
      </w:pPr>
      <w:r>
        <w:rPr>
          <w:rFonts w:hint="eastAsia" w:ascii="仿宋_GB2312" w:hAnsi="仿宋_GB2312" w:eastAsia="仿宋_GB2312" w:cs="仿宋_GB2312"/>
          <w:color w:val="auto"/>
          <w:sz w:val="32"/>
          <w:szCs w:val="32"/>
          <w:highlight w:val="none"/>
        </w:rPr>
        <w:t>5.</w:t>
      </w:r>
      <w:r>
        <w:rPr>
          <w:rFonts w:hint="eastAsia" w:ascii="仿宋_GB2312" w:hAnsi="仿宋_GB2312" w:eastAsia="仿宋_GB2312" w:cs="仿宋_GB2312"/>
          <w:color w:val="auto"/>
          <w:sz w:val="32"/>
          <w:szCs w:val="32"/>
          <w:highlight w:val="none"/>
          <w:lang w:val="zh-CN"/>
        </w:rPr>
        <w:t>采购管理。</w:t>
      </w:r>
      <w:r>
        <w:rPr>
          <w:rFonts w:hint="eastAsia" w:ascii="仿宋_GB2312" w:hAnsi="仿宋_GB2312" w:eastAsia="仿宋_GB2312" w:cs="仿宋_GB2312"/>
          <w:color w:val="auto"/>
          <w:sz w:val="32"/>
          <w:szCs w:val="32"/>
          <w:highlight w:val="none"/>
        </w:rPr>
        <w:t>确保办理采购业务的不相容岗位相互分离制约和监督，并根据具体情况对办理采购业务的人员定期进行岗位轮换。加强采购业务的记录控制。由档案室负责妥善保管采购业务的相关文件。对于大宗设备、物资或重大服务采购业务需求，由单位领导班子集体研究决定，并成立由单位内部资产、财会、审计、纪检监察等部门人员组成的采购工作小组，形成各部门相互协调、相互制约的机制， 加强对采购业务各个环节的控制。</w:t>
      </w:r>
    </w:p>
    <w:p w14:paraId="0DDE9645">
      <w:pPr>
        <w:keepNext w:val="0"/>
        <w:keepLines w:val="0"/>
        <w:pageBreakBefore w:val="0"/>
        <w:kinsoku/>
        <w:wordWrap/>
        <w:overflowPunct/>
        <w:topLinePunct w:val="0"/>
        <w:autoSpaceDE/>
        <w:autoSpaceDN/>
        <w:bidi w:val="0"/>
        <w:adjustRightInd/>
        <w:snapToGrid/>
        <w:spacing w:line="576" w:lineRule="exact"/>
        <w:ind w:left="0" w:firstLine="723" w:firstLineChars="225"/>
        <w:textAlignment w:val="auto"/>
        <w:rPr>
          <w:rFonts w:hint="eastAsia" w:ascii="仿宋" w:hAnsi="仿宋" w:eastAsia="仿宋" w:cs="Times New Roman"/>
          <w:sz w:val="32"/>
          <w:szCs w:val="32"/>
          <w:highlight w:val="none"/>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（二）部门预算项目绩效分析。</w:t>
      </w:r>
      <w:r>
        <w:rPr>
          <w:rFonts w:hint="eastAsia" w:ascii="仿宋" w:hAnsi="仿宋" w:eastAsia="仿宋" w:cs="Times New Roman"/>
          <w:sz w:val="32"/>
          <w:szCs w:val="32"/>
          <w:highlight w:val="none"/>
          <w:lang w:val="zh-CN" w:eastAsia="zh-CN"/>
        </w:rPr>
        <w:t>常年项目绩效分析。该类项目总数</w:t>
      </w:r>
      <w:r>
        <w:rPr>
          <w:rFonts w:hint="eastAsia" w:ascii="仿宋" w:hAnsi="仿宋" w:eastAsia="仿宋" w:cs="Times New Roman"/>
          <w:sz w:val="32"/>
          <w:szCs w:val="32"/>
          <w:highlight w:val="none"/>
          <w:lang w:val="en-US" w:eastAsia="zh-CN"/>
        </w:rPr>
        <w:t>7</w:t>
      </w:r>
      <w:r>
        <w:rPr>
          <w:rFonts w:hint="eastAsia" w:ascii="仿宋" w:hAnsi="仿宋" w:eastAsia="仿宋" w:cs="Times New Roman"/>
          <w:sz w:val="32"/>
          <w:szCs w:val="32"/>
          <w:highlight w:val="none"/>
          <w:lang w:val="zh-CN" w:eastAsia="zh-CN"/>
        </w:rPr>
        <w:t>个，涉及预算总金额</w:t>
      </w:r>
      <w:r>
        <w:rPr>
          <w:rFonts w:hint="eastAsia" w:ascii="仿宋" w:hAnsi="仿宋" w:eastAsia="仿宋" w:cs="Times New Roman"/>
          <w:sz w:val="32"/>
          <w:szCs w:val="32"/>
          <w:highlight w:val="none"/>
          <w:lang w:val="en-US" w:eastAsia="zh-CN"/>
        </w:rPr>
        <w:t>189.54</w:t>
      </w:r>
      <w:r>
        <w:rPr>
          <w:rFonts w:hint="eastAsia" w:ascii="仿宋" w:hAnsi="仿宋" w:eastAsia="仿宋" w:cs="Times New Roman"/>
          <w:sz w:val="32"/>
          <w:szCs w:val="32"/>
          <w:highlight w:val="none"/>
          <w:lang w:val="zh-CN" w:eastAsia="zh-CN"/>
        </w:rPr>
        <w:t>万元，1—12月预算执行总体进度为</w:t>
      </w:r>
      <w:r>
        <w:rPr>
          <w:rFonts w:hint="eastAsia" w:ascii="仿宋" w:hAnsi="仿宋" w:eastAsia="仿宋" w:cs="Times New Roman"/>
          <w:sz w:val="32"/>
          <w:szCs w:val="32"/>
          <w:highlight w:val="none"/>
          <w:lang w:val="en-US" w:eastAsia="zh-CN"/>
        </w:rPr>
        <w:t>100</w:t>
      </w:r>
      <w:r>
        <w:rPr>
          <w:rFonts w:hint="eastAsia" w:ascii="仿宋" w:hAnsi="仿宋" w:eastAsia="仿宋" w:cs="Times New Roman"/>
          <w:sz w:val="32"/>
          <w:szCs w:val="32"/>
          <w:highlight w:val="none"/>
          <w:lang w:val="zh-CN" w:eastAsia="zh-CN"/>
        </w:rPr>
        <w:t xml:space="preserve"> %，其中：预算结余率大于10%的项目共计</w:t>
      </w:r>
      <w:r>
        <w:rPr>
          <w:rFonts w:hint="eastAsia" w:ascii="仿宋" w:hAnsi="仿宋" w:eastAsia="仿宋" w:cs="Times New Roman"/>
          <w:sz w:val="32"/>
          <w:szCs w:val="32"/>
          <w:highlight w:val="none"/>
          <w:lang w:val="en-US" w:eastAsia="zh-CN"/>
        </w:rPr>
        <w:t>0</w:t>
      </w:r>
      <w:r>
        <w:rPr>
          <w:rFonts w:hint="eastAsia" w:ascii="仿宋" w:hAnsi="仿宋" w:eastAsia="仿宋" w:cs="Times New Roman"/>
          <w:sz w:val="32"/>
          <w:szCs w:val="32"/>
          <w:highlight w:val="none"/>
          <w:lang w:val="zh-CN" w:eastAsia="zh-CN"/>
        </w:rPr>
        <w:t>个。</w:t>
      </w:r>
    </w:p>
    <w:p w14:paraId="1DE34983">
      <w:pPr>
        <w:keepNext w:val="0"/>
        <w:keepLines w:val="0"/>
        <w:pageBreakBefore w:val="0"/>
        <w:kinsoku/>
        <w:wordWrap/>
        <w:overflowPunct/>
        <w:topLinePunct w:val="0"/>
        <w:autoSpaceDE/>
        <w:autoSpaceDN/>
        <w:bidi w:val="0"/>
        <w:adjustRightInd/>
        <w:snapToGrid/>
        <w:spacing w:line="576" w:lineRule="exact"/>
        <w:ind w:left="0" w:firstLine="720" w:firstLineChars="225"/>
        <w:textAlignment w:val="auto"/>
        <w:rPr>
          <w:rFonts w:hint="eastAsia" w:ascii="仿宋" w:hAnsi="仿宋" w:eastAsia="仿宋" w:cs="Times New Roman"/>
          <w:sz w:val="32"/>
          <w:szCs w:val="32"/>
          <w:highlight w:val="yellow"/>
          <w:lang w:val="zh-CN" w:eastAsia="zh-CN"/>
        </w:rPr>
      </w:pPr>
      <w:r>
        <w:rPr>
          <w:rFonts w:hint="eastAsia" w:ascii="仿宋" w:hAnsi="仿宋" w:eastAsia="仿宋" w:cs="Times New Roman"/>
          <w:sz w:val="32"/>
          <w:szCs w:val="32"/>
          <w:highlight w:val="none"/>
          <w:lang w:val="zh-CN" w:eastAsia="zh-CN"/>
        </w:rPr>
        <w:t xml:space="preserve">阶段（一次性）项目绩效分析。该类项目总数 </w:t>
      </w:r>
      <w:r>
        <w:rPr>
          <w:rFonts w:hint="eastAsia" w:ascii="仿宋" w:hAnsi="仿宋" w:eastAsia="仿宋" w:cs="Times New Roman"/>
          <w:sz w:val="32"/>
          <w:szCs w:val="32"/>
          <w:highlight w:val="none"/>
          <w:lang w:val="en-US" w:eastAsia="zh-CN"/>
        </w:rPr>
        <w:t>30</w:t>
      </w:r>
      <w:r>
        <w:rPr>
          <w:rFonts w:hint="eastAsia" w:ascii="仿宋" w:hAnsi="仿宋" w:eastAsia="仿宋" w:cs="Times New Roman"/>
          <w:sz w:val="32"/>
          <w:szCs w:val="32"/>
          <w:highlight w:val="none"/>
          <w:lang w:val="zh-CN" w:eastAsia="zh-CN"/>
        </w:rPr>
        <w:t xml:space="preserve">个，涉及预算总金额 </w:t>
      </w:r>
      <w:r>
        <w:rPr>
          <w:rFonts w:hint="eastAsia" w:ascii="仿宋" w:hAnsi="仿宋" w:eastAsia="仿宋" w:cs="Times New Roman"/>
          <w:color w:val="auto"/>
          <w:sz w:val="32"/>
          <w:szCs w:val="32"/>
          <w:highlight w:val="none"/>
          <w:lang w:val="en-US" w:eastAsia="zh-CN"/>
        </w:rPr>
        <w:t>854.23</w:t>
      </w:r>
      <w:r>
        <w:rPr>
          <w:rFonts w:hint="eastAsia" w:ascii="仿宋" w:hAnsi="仿宋" w:eastAsia="仿宋" w:cs="Times New Roman"/>
          <w:sz w:val="32"/>
          <w:szCs w:val="32"/>
          <w:highlight w:val="none"/>
          <w:lang w:val="zh-CN" w:eastAsia="zh-CN"/>
        </w:rPr>
        <w:t>万元，1—12月预算执行总体进度为</w:t>
      </w:r>
      <w:r>
        <w:rPr>
          <w:rFonts w:hint="eastAsia" w:ascii="仿宋" w:hAnsi="仿宋" w:eastAsia="仿宋" w:cs="Times New Roman"/>
          <w:sz w:val="32"/>
          <w:szCs w:val="32"/>
          <w:highlight w:val="none"/>
          <w:lang w:val="en-US" w:eastAsia="zh-CN"/>
        </w:rPr>
        <w:t>95.26</w:t>
      </w:r>
      <w:r>
        <w:rPr>
          <w:rFonts w:hint="eastAsia" w:ascii="仿宋" w:hAnsi="仿宋" w:eastAsia="仿宋" w:cs="Times New Roman"/>
          <w:sz w:val="32"/>
          <w:szCs w:val="32"/>
          <w:highlight w:val="none"/>
          <w:lang w:val="zh-CN" w:eastAsia="zh-CN"/>
        </w:rPr>
        <w:t xml:space="preserve"> %，其中：预算结余率大于10%的项目共计</w:t>
      </w:r>
      <w:r>
        <w:rPr>
          <w:rFonts w:hint="eastAsia" w:ascii="仿宋" w:hAnsi="仿宋" w:eastAsia="仿宋" w:cs="Times New Roman"/>
          <w:sz w:val="32"/>
          <w:szCs w:val="32"/>
          <w:highlight w:val="none"/>
          <w:lang w:val="en-US" w:eastAsia="zh-CN"/>
        </w:rPr>
        <w:t>7</w:t>
      </w:r>
      <w:r>
        <w:rPr>
          <w:rFonts w:hint="eastAsia" w:ascii="仿宋" w:hAnsi="仿宋" w:eastAsia="仿宋" w:cs="Times New Roman"/>
          <w:sz w:val="32"/>
          <w:szCs w:val="32"/>
          <w:highlight w:val="none"/>
          <w:lang w:val="zh-CN" w:eastAsia="zh-CN"/>
        </w:rPr>
        <w:t>个。</w:t>
      </w:r>
    </w:p>
    <w:p w14:paraId="26663EC8">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highlight w:val="none"/>
          <w:lang w:val="zh-CN" w:eastAsia="zh-CN"/>
        </w:rPr>
      </w:pPr>
      <w:r>
        <w:rPr>
          <w:rFonts w:hint="eastAsia" w:ascii="仿宋" w:hAnsi="仿宋" w:eastAsia="仿宋" w:cs="Times New Roman"/>
          <w:sz w:val="32"/>
          <w:szCs w:val="32"/>
          <w:highlight w:val="none"/>
          <w:lang w:val="zh-CN" w:eastAsia="zh-CN"/>
        </w:rPr>
        <w:t>1.项目决策。采购、施工、服务类项目采用政府集采、</w:t>
      </w:r>
      <w:r>
        <w:rPr>
          <w:rFonts w:hint="eastAsia" w:ascii="Times New Roman" w:hAnsi="Times New Roman" w:eastAsia="仿宋_GB2312" w:cs="Times New Roman"/>
          <w:sz w:val="32"/>
          <w:szCs w:val="32"/>
          <w:highlight w:val="none"/>
          <w:lang w:val="zh-CN" w:eastAsia="zh-CN"/>
        </w:rPr>
        <w:t xml:space="preserve">签订合同（协议）方式实施。按程序确定承接机构，通过制定实施方案、图纸设计、财评、项目立项等程序，项目由沟口镇组织实施，由具体项目实施单位承办，项目实施完成后，经验收合格，项目资金支付到具体项目实施单位账户。全部项目实施过程中，我镇负责指导和监督。 </w:t>
      </w:r>
    </w:p>
    <w:p w14:paraId="5D401F45">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sz w:val="32"/>
          <w:szCs w:val="32"/>
          <w:highlight w:val="none"/>
          <w:lang w:val="zh-CN" w:eastAsia="zh-CN"/>
        </w:rPr>
      </w:pPr>
      <w:r>
        <w:rPr>
          <w:rFonts w:hint="eastAsia" w:ascii="Times New Roman" w:hAnsi="Times New Roman" w:eastAsia="仿宋_GB2312" w:cs="Times New Roman"/>
          <w:sz w:val="32"/>
          <w:szCs w:val="32"/>
          <w:highlight w:val="none"/>
          <w:lang w:val="zh-CN" w:eastAsia="zh-CN"/>
        </w:rPr>
        <w:t>2.项目执行。结合项目特点，按照相关法律法规、项目管理制度，按程序进行实施。在项目建设管理中严格按照相关管理制度执行有关建设标准及规范，严格执行招投标、政府采购、项目公示制等相关规定，加强项目质量与安全管理，切实发挥资金投资效益。</w:t>
      </w:r>
    </w:p>
    <w:p w14:paraId="3E34E4DC">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sz w:val="32"/>
          <w:szCs w:val="32"/>
          <w:highlight w:val="none"/>
          <w:lang w:val="zh-CN" w:eastAsia="zh-CN"/>
        </w:rPr>
      </w:pPr>
      <w:r>
        <w:rPr>
          <w:rFonts w:hint="eastAsia" w:ascii="Times New Roman" w:hAnsi="Times New Roman" w:eastAsia="仿宋_GB2312" w:cs="Times New Roman"/>
          <w:sz w:val="32"/>
          <w:szCs w:val="32"/>
          <w:highlight w:val="none"/>
          <w:lang w:val="zh-CN" w:eastAsia="zh-CN"/>
        </w:rPr>
        <w:t>3.目标实现。</w:t>
      </w:r>
      <w:r>
        <w:rPr>
          <w:rFonts w:hint="eastAsia" w:ascii="Times New Roman" w:hAnsi="Times New Roman" w:eastAsia="仿宋_GB2312" w:cs="Times New Roman"/>
          <w:sz w:val="32"/>
          <w:szCs w:val="32"/>
          <w:highlight w:val="none"/>
          <w:lang w:val="en-US" w:eastAsia="zh-CN"/>
        </w:rPr>
        <w:t>202</w:t>
      </w:r>
      <w:r>
        <w:rPr>
          <w:rFonts w:hint="eastAsia" w:eastAsia="仿宋_GB2312" w:cs="Times New Roman"/>
          <w:sz w:val="32"/>
          <w:szCs w:val="32"/>
          <w:highlight w:val="none"/>
          <w:lang w:val="en-US" w:eastAsia="zh-CN"/>
        </w:rPr>
        <w:t>4</w:t>
      </w:r>
      <w:r>
        <w:rPr>
          <w:rFonts w:hint="eastAsia" w:ascii="Times New Roman" w:hAnsi="Times New Roman" w:eastAsia="仿宋_GB2312" w:cs="Times New Roman"/>
          <w:sz w:val="32"/>
          <w:szCs w:val="32"/>
          <w:highlight w:val="none"/>
          <w:lang w:val="en-US" w:eastAsia="zh-CN"/>
        </w:rPr>
        <w:t>年沟口镇项目工作符合年初绩效总体目标，未偏离原定计划。下一步工作将继续按照总体绩效目标要求，不断完善制度，落实政策，保障群众利益。</w:t>
      </w:r>
    </w:p>
    <w:p w14:paraId="483A76C2">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sz w:val="32"/>
          <w:szCs w:val="32"/>
          <w:highlight w:val="none"/>
          <w:lang w:val="zh-CN" w:eastAsia="zh-CN"/>
        </w:rPr>
      </w:pPr>
      <w:r>
        <w:rPr>
          <w:rFonts w:hint="eastAsia" w:ascii="Times New Roman" w:hAnsi="Times New Roman" w:eastAsia="仿宋_GB2312" w:cs="Times New Roman"/>
          <w:sz w:val="32"/>
          <w:szCs w:val="32"/>
          <w:highlight w:val="none"/>
          <w:lang w:val="en-US" w:eastAsia="zh-CN"/>
        </w:rPr>
        <w:t>我镇202</w:t>
      </w:r>
      <w:r>
        <w:rPr>
          <w:rFonts w:hint="eastAsia" w:eastAsia="仿宋_GB2312" w:cs="Times New Roman"/>
          <w:sz w:val="32"/>
          <w:szCs w:val="32"/>
          <w:highlight w:val="none"/>
          <w:lang w:val="en-US" w:eastAsia="zh-CN"/>
        </w:rPr>
        <w:t>4</w:t>
      </w:r>
      <w:r>
        <w:rPr>
          <w:rFonts w:hint="eastAsia" w:ascii="Times New Roman" w:hAnsi="Times New Roman" w:eastAsia="仿宋_GB2312" w:cs="Times New Roman"/>
          <w:sz w:val="32"/>
          <w:szCs w:val="32"/>
          <w:highlight w:val="none"/>
          <w:lang w:val="en-US" w:eastAsia="zh-CN"/>
        </w:rPr>
        <w:t>年度不涉及国有资本经营预算、社会保险基金预算。</w:t>
      </w:r>
    </w:p>
    <w:p w14:paraId="7C9C507F">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default" w:ascii="Times New Roman" w:hAnsi="Times New Roman" w:eastAsia="楷体_GB2312" w:cs="Times New Roman"/>
          <w:b/>
          <w:bCs/>
          <w:color w:val="000000"/>
          <w:kern w:val="0"/>
          <w:sz w:val="32"/>
          <w:szCs w:val="32"/>
          <w:highlight w:val="none"/>
          <w:shd w:val="clear" w:color="auto" w:fill="FFFFFF"/>
          <w:lang w:val="zh-CN" w:eastAsia="zh-CN"/>
        </w:rPr>
        <w:t>重点领域</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p>
    <w:p w14:paraId="3E68EA72">
      <w:pPr>
        <w:pStyle w:val="36"/>
        <w:keepNext w:val="0"/>
        <w:keepLines w:val="0"/>
        <w:pageBreakBefore w:val="0"/>
        <w:numPr>
          <w:ilvl w:val="0"/>
          <w:numId w:val="0"/>
        </w:numPr>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kern w:val="0"/>
          <w:sz w:val="32"/>
          <w:szCs w:val="32"/>
        </w:rPr>
      </w:pPr>
      <w:r>
        <w:rPr>
          <w:rFonts w:hint="eastAsia" w:ascii="仿宋_GB2312" w:hAnsi="仿宋_GB2312" w:eastAsia="仿宋_GB2312" w:cs="仿宋_GB2312"/>
          <w:b/>
          <w:kern w:val="0"/>
          <w:sz w:val="32"/>
          <w:szCs w:val="32"/>
          <w:lang w:val="en-US" w:eastAsia="zh-CN"/>
        </w:rPr>
        <w:t>1.</w:t>
      </w:r>
      <w:r>
        <w:rPr>
          <w:rFonts w:hint="eastAsia" w:ascii="仿宋_GB2312" w:hAnsi="仿宋_GB2312" w:eastAsia="仿宋_GB2312" w:cs="仿宋_GB2312"/>
          <w:b/>
          <w:bCs/>
          <w:kern w:val="0"/>
          <w:sz w:val="32"/>
          <w:szCs w:val="32"/>
        </w:rPr>
        <w:t>资产整体情况</w:t>
      </w:r>
    </w:p>
    <w:p w14:paraId="52FF0A11">
      <w:pPr>
        <w:pStyle w:val="36"/>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茂县沟口镇202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底</w:t>
      </w:r>
      <w:r>
        <w:rPr>
          <w:rFonts w:hint="eastAsia" w:ascii="仿宋_GB2312" w:hAnsi="仿宋_GB2312" w:eastAsia="仿宋_GB2312" w:cs="仿宋_GB2312"/>
          <w:sz w:val="32"/>
          <w:szCs w:val="32"/>
        </w:rPr>
        <w:t>单位资产合计金额为</w:t>
      </w:r>
      <w:r>
        <w:rPr>
          <w:rFonts w:hint="eastAsia" w:ascii="仿宋_GB2312" w:hAnsi="仿宋_GB2312" w:eastAsia="仿宋_GB2312" w:cs="仿宋_GB2312"/>
          <w:sz w:val="32"/>
          <w:szCs w:val="32"/>
          <w:lang w:val="en-US" w:eastAsia="zh-CN"/>
        </w:rPr>
        <w:t>2,616.40万</w:t>
      </w:r>
      <w:r>
        <w:rPr>
          <w:rFonts w:hint="eastAsia" w:ascii="仿宋_GB2312" w:hAnsi="仿宋_GB2312" w:eastAsia="仿宋_GB2312" w:cs="仿宋_GB2312"/>
          <w:sz w:val="32"/>
          <w:szCs w:val="32"/>
        </w:rPr>
        <w:t>元，其中流动资产</w:t>
      </w:r>
      <w:r>
        <w:rPr>
          <w:rFonts w:hint="eastAsia" w:ascii="仿宋_GB2312" w:hAnsi="仿宋_GB2312" w:eastAsia="仿宋_GB2312" w:cs="仿宋_GB2312"/>
          <w:sz w:val="32"/>
          <w:szCs w:val="32"/>
          <w:lang w:val="en-US" w:eastAsia="zh-CN"/>
        </w:rPr>
        <w:t>39.05万</w:t>
      </w:r>
      <w:r>
        <w:rPr>
          <w:rFonts w:hint="eastAsia" w:ascii="仿宋_GB2312" w:hAnsi="仿宋_GB2312" w:eastAsia="仿宋_GB2312" w:cs="仿宋_GB2312"/>
          <w:sz w:val="32"/>
          <w:szCs w:val="32"/>
        </w:rPr>
        <w:t>元，占总资产的</w:t>
      </w:r>
      <w:r>
        <w:rPr>
          <w:rFonts w:hint="eastAsia" w:ascii="仿宋_GB2312" w:hAnsi="仿宋_GB2312" w:eastAsia="仿宋_GB2312" w:cs="仿宋_GB2312"/>
          <w:sz w:val="32"/>
          <w:szCs w:val="32"/>
          <w:lang w:val="en-US" w:eastAsia="zh-CN"/>
        </w:rPr>
        <w:t xml:space="preserve">1.50 </w:t>
      </w:r>
      <w:r>
        <w:rPr>
          <w:rFonts w:hint="eastAsia" w:ascii="仿宋_GB2312" w:hAnsi="仿宋_GB2312" w:eastAsia="仿宋_GB2312" w:cs="仿宋_GB2312"/>
          <w:sz w:val="32"/>
          <w:szCs w:val="32"/>
        </w:rPr>
        <w:t>%；非流动资产</w:t>
      </w:r>
      <w:r>
        <w:rPr>
          <w:rFonts w:hint="eastAsia" w:ascii="仿宋_GB2312" w:hAnsi="仿宋_GB2312" w:eastAsia="仿宋_GB2312" w:cs="仿宋_GB2312"/>
          <w:sz w:val="32"/>
          <w:szCs w:val="32"/>
          <w:lang w:val="en-US" w:eastAsia="zh-CN"/>
        </w:rPr>
        <w:t>2,577.35万</w:t>
      </w:r>
      <w:r>
        <w:rPr>
          <w:rFonts w:hint="eastAsia" w:ascii="仿宋_GB2312" w:hAnsi="仿宋_GB2312" w:eastAsia="仿宋_GB2312" w:cs="仿宋_GB2312"/>
          <w:sz w:val="32"/>
          <w:szCs w:val="32"/>
        </w:rPr>
        <w:t>元，占总资产的</w:t>
      </w:r>
      <w:r>
        <w:rPr>
          <w:rFonts w:hint="eastAsia" w:ascii="仿宋_GB2312" w:hAnsi="仿宋_GB2312" w:eastAsia="仿宋_GB2312" w:cs="仿宋_GB2312"/>
          <w:sz w:val="32"/>
          <w:szCs w:val="32"/>
          <w:lang w:val="en-US" w:eastAsia="zh-CN"/>
        </w:rPr>
        <w:t>98.51</w:t>
      </w:r>
      <w:r>
        <w:rPr>
          <w:rFonts w:hint="eastAsia" w:ascii="仿宋_GB2312" w:hAnsi="仿宋_GB2312" w:eastAsia="仿宋_GB2312" w:cs="仿宋_GB2312"/>
          <w:sz w:val="32"/>
          <w:szCs w:val="32"/>
        </w:rPr>
        <w:t>%；本单位并未拥有无形资产、长期投资、在建工程等其他资产。</w:t>
      </w:r>
    </w:p>
    <w:p w14:paraId="5C6A2812">
      <w:pPr>
        <w:keepNext w:val="0"/>
        <w:keepLines w:val="0"/>
        <w:pageBreakBefore w:val="0"/>
        <w:numPr>
          <w:ilvl w:val="0"/>
          <w:numId w:val="0"/>
        </w:numPr>
        <w:kinsoku/>
        <w:wordWrap/>
        <w:overflowPunct/>
        <w:topLinePunct w:val="0"/>
        <w:autoSpaceDE/>
        <w:autoSpaceDN/>
        <w:bidi w:val="0"/>
        <w:adjustRightInd/>
        <w:snapToGrid/>
        <w:spacing w:line="576" w:lineRule="exact"/>
        <w:ind w:left="640" w:leftChars="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固定资产情况</w:t>
      </w:r>
    </w:p>
    <w:p w14:paraId="34763FB0">
      <w:pPr>
        <w:pStyle w:val="36"/>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经盘点统计，截至2024年底本单位固定资产原值为1,135.88万元，累计折旧为404.92万元，固定资产净值为730.96万元。其中：房屋为951.39万元，占固定资产总额的83.76%；设备为139.10万元，占固定资产总额的12.25%；图书档案0.19万元，占固定资产总额的0.02 %；家具、用具、装具及动植物45.21万元，占固定资产总额的3.98%。公共基础设施为1,186.13万元，</w:t>
      </w:r>
      <w:r>
        <w:rPr>
          <w:rFonts w:hint="eastAsia" w:ascii="仿宋_GB2312" w:hAnsi="仿宋_GB2312" w:eastAsia="仿宋_GB2312" w:cs="仿宋_GB2312"/>
          <w:sz w:val="32"/>
          <w:szCs w:val="32"/>
        </w:rPr>
        <w:t>占非流动资产总额的</w:t>
      </w:r>
      <w:r>
        <w:rPr>
          <w:rFonts w:hint="eastAsia" w:ascii="仿宋_GB2312" w:hAnsi="仿宋_GB2312" w:eastAsia="仿宋_GB2312" w:cs="仿宋_GB2312"/>
          <w:sz w:val="32"/>
          <w:szCs w:val="32"/>
          <w:lang w:val="en-US" w:eastAsia="zh-CN"/>
        </w:rPr>
        <w:t>46.02</w:t>
      </w:r>
      <w:r>
        <w:rPr>
          <w:rFonts w:hint="eastAsia" w:ascii="仿宋_GB2312" w:hAnsi="仿宋_GB2312" w:eastAsia="仿宋_GB2312" w:cs="仿宋_GB2312"/>
          <w:sz w:val="32"/>
          <w:szCs w:val="32"/>
        </w:rPr>
        <w:t>%，为原飞虹乡水草坪村道路硬化和安保。本单位有</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辆公车，净值</w:t>
      </w:r>
      <w:r>
        <w:rPr>
          <w:rFonts w:hint="eastAsia" w:ascii="仿宋_GB2312" w:hAnsi="仿宋_GB2312" w:eastAsia="仿宋_GB2312" w:cs="仿宋_GB2312"/>
          <w:sz w:val="32"/>
          <w:szCs w:val="32"/>
          <w:lang w:val="en-US" w:eastAsia="zh-CN"/>
        </w:rPr>
        <w:t>22.37万</w:t>
      </w:r>
      <w:r>
        <w:rPr>
          <w:rFonts w:hint="eastAsia" w:ascii="仿宋_GB2312" w:hAnsi="仿宋_GB2312" w:eastAsia="仿宋_GB2312" w:cs="仿宋_GB2312"/>
          <w:sz w:val="32"/>
          <w:szCs w:val="32"/>
        </w:rPr>
        <w:t>元。单位无单价50万元（含）以上的通用设备及单价100万元（含）以上的专用设备。</w:t>
      </w:r>
    </w:p>
    <w:p w14:paraId="2C3C577A">
      <w:pPr>
        <w:widowControl/>
        <w:numPr>
          <w:ilvl w:val="0"/>
          <w:numId w:val="3"/>
        </w:numPr>
        <w:adjustRightInd w:val="0"/>
        <w:snapToGrid w:val="0"/>
        <w:spacing w:line="540" w:lineRule="exact"/>
        <w:ind w:left="0" w:leftChars="0" w:firstLine="643" w:firstLineChars="200"/>
        <w:jc w:val="left"/>
        <w:rPr>
          <w:rFonts w:hint="eastAsia" w:ascii="Times New Roman" w:hAnsi="Times New Roman" w:eastAsia="楷体_GB2312" w:cs="Times New Roman"/>
          <w:b/>
          <w:bCs/>
          <w:color w:val="000000"/>
          <w:kern w:val="0"/>
          <w:sz w:val="32"/>
          <w:szCs w:val="32"/>
          <w:highlight w:val="none"/>
          <w:shd w:val="clear" w:color="auto" w:fill="FFFFFF"/>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eastAsia="zh-CN"/>
        </w:rPr>
        <w:t>绩效结果应用情况</w:t>
      </w:r>
    </w:p>
    <w:p w14:paraId="29B4E83D">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我镇对部门预算绩效管理工作开展情况认真进行了自查自评。绩效评价自查开展覆盖下属单位及重点支出，将评价结果作为预算安排的重要依据，参照项目年度预算执行情况、“三年滚动规划”执行情况统筹项目支出需求，保障重点支出，调整支出结构，优化财政资金配置，不断强化绩效理念，推动我镇整体绩效管理水平不断提升</w:t>
      </w:r>
      <w:r>
        <w:rPr>
          <w:rFonts w:hint="eastAsia" w:ascii="仿宋_GB2312" w:hAnsi="仿宋_GB2312" w:eastAsia="仿宋_GB2312" w:cs="仿宋_GB2312"/>
          <w:sz w:val="32"/>
          <w:szCs w:val="32"/>
          <w:lang w:eastAsia="zh-CN"/>
        </w:rPr>
        <w:t>。</w:t>
      </w:r>
    </w:p>
    <w:p w14:paraId="7E53866B">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rPr>
      </w:pPr>
      <w:r>
        <w:rPr>
          <w:rFonts w:hint="default" w:ascii="Times New Roman" w:hAnsi="Times New Roman" w:eastAsia="黑体" w:cs="Times New Roman"/>
          <w:color w:val="000000"/>
          <w:kern w:val="0"/>
          <w:sz w:val="32"/>
          <w:szCs w:val="32"/>
          <w:highlight w:val="none"/>
          <w:shd w:val="clear" w:color="auto" w:fill="FFFFFF"/>
          <w:lang w:val="zh-CN" w:eastAsia="zh-CN"/>
        </w:rPr>
        <w:t>四、</w:t>
      </w:r>
      <w:r>
        <w:rPr>
          <w:rFonts w:hint="default" w:ascii="Times New Roman" w:hAnsi="Times New Roman" w:eastAsia="黑体" w:cs="Times New Roman"/>
          <w:color w:val="000000"/>
          <w:kern w:val="0"/>
          <w:sz w:val="32"/>
          <w:szCs w:val="32"/>
          <w:highlight w:val="none"/>
          <w:shd w:val="clear" w:color="auto" w:fill="FFFFFF"/>
          <w:lang w:val="zh-CN"/>
        </w:rPr>
        <w:t>评价结论及建议</w:t>
      </w:r>
    </w:p>
    <w:p w14:paraId="15224C08">
      <w:pPr>
        <w:spacing w:line="576" w:lineRule="atLeast"/>
        <w:ind w:firstLine="643" w:firstLineChars="200"/>
        <w:rPr>
          <w:rFonts w:hint="default" w:ascii="Times New Roman" w:hAnsi="Times New Roman" w:eastAsia="仿宋_GB2312" w:cs="Times New Roman"/>
          <w:sz w:val="32"/>
          <w:szCs w:val="32"/>
          <w:u w:val="none"/>
          <w:lang w:val="en-US" w:eastAsia="zh-CN" w:bidi="ar"/>
        </w:rPr>
      </w:pPr>
      <w:r>
        <w:rPr>
          <w:rFonts w:hint="default" w:ascii="Times New Roman" w:hAnsi="Times New Roman" w:eastAsia="楷体_GB2312" w:cs="Times New Roman"/>
          <w:b/>
          <w:bCs/>
          <w:color w:val="000000"/>
          <w:kern w:val="0"/>
          <w:sz w:val="32"/>
          <w:szCs w:val="32"/>
          <w:highlight w:val="none"/>
          <w:shd w:val="clear" w:color="auto" w:fill="FFFFFF"/>
          <w:lang w:val="zh-CN"/>
        </w:rPr>
        <w:t>（一）评价结论。</w:t>
      </w:r>
      <w:r>
        <w:rPr>
          <w:rFonts w:ascii="仿宋_GB2312" w:hAnsi="仿宋_GB2312" w:eastAsia="仿宋_GB2312" w:cs="仿宋_GB2312"/>
          <w:color w:val="000000"/>
          <w:kern w:val="0"/>
          <w:sz w:val="32"/>
          <w:szCs w:val="32"/>
        </w:rPr>
        <w:t>20</w:t>
      </w:r>
      <w:r>
        <w:rPr>
          <w:rFonts w:hint="eastAsia" w:ascii="仿宋_GB2312" w:hAnsi="仿宋_GB2312" w:eastAsia="仿宋_GB2312" w:cs="仿宋_GB2312"/>
          <w:color w:val="000000"/>
          <w:kern w:val="0"/>
          <w:sz w:val="32"/>
          <w:szCs w:val="32"/>
        </w:rPr>
        <w:t>2</w:t>
      </w:r>
      <w:r>
        <w:rPr>
          <w:rFonts w:hint="eastAsia" w:ascii="仿宋_GB2312" w:hAnsi="仿宋_GB2312" w:eastAsia="仿宋_GB2312" w:cs="仿宋_GB2312"/>
          <w:color w:val="000000"/>
          <w:kern w:val="0"/>
          <w:sz w:val="32"/>
          <w:szCs w:val="32"/>
          <w:lang w:val="en-US" w:eastAsia="zh-CN"/>
        </w:rPr>
        <w:t>4</w:t>
      </w:r>
      <w:r>
        <w:rPr>
          <w:rFonts w:hint="eastAsia" w:ascii="仿宋_GB2312" w:hAnsi="仿宋_GB2312" w:eastAsia="仿宋_GB2312" w:cs="仿宋_GB2312"/>
          <w:color w:val="000000"/>
          <w:kern w:val="0"/>
          <w:sz w:val="32"/>
          <w:szCs w:val="32"/>
        </w:rPr>
        <w:t>年我单位部门整体支出绩效评价自查自评结果良好，全年基本支出保证了部门的正常运行和日常工作的正常开展，项目支出保障了重点工作的开展，达到预期绩效目标。</w:t>
      </w:r>
    </w:p>
    <w:p w14:paraId="6C2546BD">
      <w:pPr>
        <w:spacing w:line="576" w:lineRule="atLeast"/>
        <w:ind w:firstLine="643" w:firstLineChars="200"/>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（二）存在问题</w:t>
      </w:r>
    </w:p>
    <w:p w14:paraId="4237E564">
      <w:pPr>
        <w:spacing w:line="576" w:lineRule="atLeas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lang w:val="en-US" w:eastAsia="zh-CN"/>
        </w:rPr>
        <w:t>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属于公务卡结算目录内的费用</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应加大使用公务卡结算比例。</w:t>
      </w:r>
    </w:p>
    <w:p w14:paraId="6F5F40A1">
      <w:pPr>
        <w:spacing w:line="576" w:lineRule="atLeas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lang w:val="en-US" w:eastAsia="zh-CN"/>
        </w:rPr>
        <w:t>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需严格报账审批，切实履行各自职能职责，保障会计资料的真实性、完整性。</w:t>
      </w:r>
    </w:p>
    <w:p w14:paraId="612CE1D5">
      <w:pPr>
        <w:spacing w:line="576" w:lineRule="atLeas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lang w:val="en-US" w:eastAsia="zh-CN"/>
        </w:rPr>
        <w:t>3</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财务核算和档案管理需进一步规范。</w:t>
      </w:r>
    </w:p>
    <w:p w14:paraId="2E0FD76A">
      <w:pPr>
        <w:widowControl/>
        <w:adjustRightInd w:val="0"/>
        <w:snapToGrid w:val="0"/>
        <w:spacing w:line="578" w:lineRule="exact"/>
        <w:ind w:firstLine="640" w:firstLineChars="200"/>
        <w:contextualSpacing/>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财务人员工作量大、业务水平要求更高，需要进一步提高会计业务水平。</w:t>
      </w:r>
    </w:p>
    <w:p w14:paraId="48FA1C70">
      <w:pPr>
        <w:spacing w:line="576" w:lineRule="atLeast"/>
        <w:ind w:firstLine="643" w:firstLineChars="200"/>
        <w:rPr>
          <w:rFonts w:hint="default" w:ascii="Times New Roman" w:hAnsi="Times New Roman" w:eastAsia="楷体_GB2312" w:cs="Times New Roman"/>
          <w:b/>
          <w:bCs/>
          <w:color w:val="000000"/>
          <w:kern w:val="0"/>
          <w:sz w:val="32"/>
          <w:szCs w:val="32"/>
          <w:highlight w:val="none"/>
          <w:shd w:val="clear" w:color="auto" w:fill="FFFFFF"/>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eastAsia="zh-CN"/>
        </w:rPr>
        <w:t>（三）改进建议</w:t>
      </w:r>
      <w:bookmarkStart w:id="80" w:name="_Hlk110546638"/>
    </w:p>
    <w:p w14:paraId="561E7FC9">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进一步加强单位预算编制、支出执行、决算编制等工作的管理，特别是应加快专项资金的预算执行进度。</w:t>
      </w:r>
    </w:p>
    <w:p w14:paraId="383FC234">
      <w:pPr>
        <w:spacing w:line="576" w:lineRule="atLeast"/>
        <w:ind w:firstLine="640" w:firstLineChars="200"/>
        <w:rPr>
          <w:rFonts w:hint="eastAsia" w:hAnsi="Times New Roman" w:cs="Times New Roman"/>
          <w:color w:val="auto"/>
          <w:sz w:val="32"/>
          <w:szCs w:val="32"/>
          <w:highlight w:val="none"/>
          <w:lang w:val="zh-CN" w:eastAsia="zh-CN"/>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在会计核算过程中，严格按照单位内控制度、财务管理制度，加强票据审核，报销凭证应为真实、合法、有效的票据；严禁超范围、超标准进行报销。</w:t>
      </w:r>
      <w:r>
        <w:rPr>
          <w:rFonts w:ascii="仿宋_GB2312" w:hAnsi="仿宋_GB2312" w:eastAsia="仿宋_GB2312"/>
          <w:sz w:val="32"/>
          <w:szCs w:val="32"/>
        </w:rPr>
        <w:tab/>
      </w:r>
    </w:p>
    <w:bookmarkEnd w:id="80"/>
    <w:p w14:paraId="09383DC3">
      <w:pPr>
        <w:pStyle w:val="3"/>
        <w:keepNext w:val="0"/>
        <w:keepLines w:val="0"/>
        <w:pageBreakBefore w:val="0"/>
        <w:numPr>
          <w:ilvl w:val="0"/>
          <w:numId w:val="0"/>
        </w:numPr>
        <w:kinsoku/>
        <w:wordWrap/>
        <w:overflowPunct/>
        <w:topLinePunct w:val="0"/>
        <w:autoSpaceDE/>
        <w:autoSpaceDN/>
        <w:bidi w:val="0"/>
        <w:spacing w:line="560" w:lineRule="exact"/>
        <w:textAlignment w:val="auto"/>
        <w:rPr>
          <w:rFonts w:hint="eastAsia" w:ascii="Times New Roman" w:hAnsi="Times New Roman" w:eastAsia="仿宋_GB2312" w:cs="Times New Roman"/>
          <w:kern w:val="2"/>
          <w:sz w:val="32"/>
          <w:szCs w:val="32"/>
          <w:u w:val="none"/>
          <w:lang w:val="zh-CN" w:eastAsia="zh-CN" w:bidi="ar"/>
        </w:rPr>
      </w:pPr>
    </w:p>
    <w:p w14:paraId="2FAE492A">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u w:val="none"/>
          <w:lang w:val="zh-CN" w:eastAsia="zh-CN" w:bidi="ar"/>
        </w:rPr>
      </w:pPr>
    </w:p>
    <w:p w14:paraId="0CC6BC72">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u w:val="none"/>
          <w:lang w:val="zh-CN" w:eastAsia="zh-CN" w:bidi="ar"/>
        </w:rPr>
      </w:pPr>
    </w:p>
    <w:p w14:paraId="08F37357">
      <w:pPr>
        <w:rPr>
          <w:rFonts w:hint="eastAsia" w:ascii="Times New Roman" w:hAnsi="Times New Roman" w:eastAsia="黑体" w:cs="黑体"/>
          <w:color w:val="auto"/>
          <w:kern w:val="0"/>
          <w:sz w:val="32"/>
          <w:szCs w:val="32"/>
          <w:highlight w:val="none"/>
          <w:shd w:val="clear" w:color="auto" w:fill="FFFFFF"/>
          <w:lang w:val="zh-CN"/>
        </w:rPr>
      </w:pPr>
    </w:p>
    <w:p w14:paraId="750F608B">
      <w:pPr>
        <w:keepNext w:val="0"/>
        <w:keepLines w:val="0"/>
        <w:pageBreakBefore w:val="0"/>
        <w:kinsoku/>
        <w:wordWrap/>
        <w:overflowPunct/>
        <w:topLinePunct w:val="0"/>
        <w:autoSpaceDE/>
        <w:autoSpaceDN/>
        <w:bidi w:val="0"/>
        <w:adjustRightInd/>
        <w:snapToGrid/>
        <w:spacing w:line="576" w:lineRule="exact"/>
        <w:textAlignment w:val="auto"/>
        <w:rPr>
          <w:rFonts w:hint="eastAsia" w:ascii="黑体" w:hAnsi="黑体" w:eastAsia="黑体" w:cs="黑体"/>
          <w:b w:val="0"/>
          <w:bCs w:val="0"/>
          <w:color w:val="000000"/>
          <w:kern w:val="0"/>
          <w:sz w:val="32"/>
          <w:szCs w:val="32"/>
          <w:highlight w:val="none"/>
          <w:shd w:val="clear" w:color="auto" w:fill="FFFFFF"/>
          <w:lang w:val="zh-CN"/>
        </w:rPr>
      </w:pPr>
      <w:r>
        <w:rPr>
          <w:rFonts w:hint="eastAsia" w:ascii="黑体" w:hAnsi="黑体" w:eastAsia="黑体" w:cs="黑体"/>
          <w:b w:val="0"/>
          <w:bCs w:val="0"/>
          <w:color w:val="000000"/>
          <w:kern w:val="0"/>
          <w:sz w:val="32"/>
          <w:szCs w:val="32"/>
          <w:highlight w:val="none"/>
          <w:shd w:val="clear" w:color="auto" w:fill="FFFFFF"/>
          <w:lang w:val="zh-CN"/>
        </w:rPr>
        <w:t>附表</w:t>
      </w:r>
    </w:p>
    <w:p w14:paraId="3140E6B2">
      <w:pPr>
        <w:widowControl/>
        <w:spacing w:line="600" w:lineRule="exact"/>
        <w:jc w:val="center"/>
        <w:textAlignment w:val="center"/>
        <w:rPr>
          <w:rFonts w:eastAsia="方正小标宋简体"/>
          <w:color w:val="000000"/>
          <w:kern w:val="0"/>
          <w:sz w:val="44"/>
          <w:szCs w:val="44"/>
          <w:lang w:bidi="ar"/>
        </w:rPr>
      </w:pPr>
      <w:r>
        <w:rPr>
          <w:rFonts w:hint="eastAsia" w:eastAsia="方正小标宋简体"/>
          <w:color w:val="000000"/>
          <w:kern w:val="0"/>
          <w:sz w:val="44"/>
          <w:szCs w:val="44"/>
          <w:lang w:bidi="ar"/>
        </w:rPr>
        <w:t>部门预算绩效自评打分表</w:t>
      </w:r>
    </w:p>
    <w:tbl>
      <w:tblPr>
        <w:tblStyle w:val="16"/>
        <w:tblW w:w="10819" w:type="dxa"/>
        <w:jc w:val="center"/>
        <w:tblLayout w:type="fixed"/>
        <w:tblCellMar>
          <w:top w:w="0" w:type="dxa"/>
          <w:left w:w="108" w:type="dxa"/>
          <w:bottom w:w="0" w:type="dxa"/>
          <w:right w:w="108" w:type="dxa"/>
        </w:tblCellMar>
      </w:tblPr>
      <w:tblGrid>
        <w:gridCol w:w="1252"/>
        <w:gridCol w:w="1214"/>
        <w:gridCol w:w="1665"/>
        <w:gridCol w:w="720"/>
        <w:gridCol w:w="4734"/>
        <w:gridCol w:w="756"/>
        <w:gridCol w:w="478"/>
      </w:tblGrid>
      <w:tr w14:paraId="7E14B751">
        <w:tblPrEx>
          <w:tblCellMar>
            <w:top w:w="0" w:type="dxa"/>
            <w:left w:w="108" w:type="dxa"/>
            <w:bottom w:w="0" w:type="dxa"/>
            <w:right w:w="108" w:type="dxa"/>
          </w:tblCellMar>
        </w:tblPrEx>
        <w:trPr>
          <w:trHeight w:val="23" w:hRule="atLeast"/>
          <w:jc w:val="center"/>
        </w:trPr>
        <w:tc>
          <w:tcPr>
            <w:tcW w:w="48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641E089">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绩效评价指标指标分值</w:t>
            </w:r>
          </w:p>
        </w:tc>
        <w:tc>
          <w:tcPr>
            <w:tcW w:w="4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92C03D">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指标解释</w:t>
            </w:r>
          </w:p>
        </w:tc>
        <w:tc>
          <w:tcPr>
            <w:tcW w:w="756" w:type="dxa"/>
            <w:vMerge w:val="restart"/>
            <w:tcBorders>
              <w:top w:val="single" w:color="000000" w:sz="4" w:space="0"/>
              <w:left w:val="single" w:color="000000" w:sz="4" w:space="0"/>
              <w:right w:val="single" w:color="000000" w:sz="4" w:space="0"/>
            </w:tcBorders>
            <w:shd w:val="clear" w:color="auto" w:fill="auto"/>
            <w:vAlign w:val="center"/>
          </w:tcPr>
          <w:p w14:paraId="22D56EB6">
            <w:pPr>
              <w:widowControl/>
              <w:spacing w:line="240" w:lineRule="exact"/>
              <w:jc w:val="center"/>
              <w:textAlignment w:val="center"/>
              <w:rPr>
                <w:rFonts w:ascii="黑体" w:hAnsi="宋体" w:eastAsia="黑体" w:cs="黑体"/>
                <w:color w:val="000000"/>
                <w:kern w:val="0"/>
                <w:sz w:val="24"/>
                <w:lang w:bidi="ar"/>
              </w:rPr>
            </w:pPr>
            <w:r>
              <w:rPr>
                <w:rFonts w:hint="eastAsia" w:ascii="黑体" w:hAnsi="宋体" w:eastAsia="黑体" w:cs="黑体"/>
                <w:color w:val="000000"/>
                <w:kern w:val="0"/>
                <w:sz w:val="24"/>
                <w:lang w:bidi="ar"/>
              </w:rPr>
              <w:t>自评得分</w:t>
            </w:r>
          </w:p>
        </w:tc>
        <w:tc>
          <w:tcPr>
            <w:tcW w:w="478" w:type="dxa"/>
            <w:vMerge w:val="restart"/>
            <w:tcBorders>
              <w:top w:val="single" w:color="000000" w:sz="4" w:space="0"/>
              <w:left w:val="single" w:color="000000" w:sz="4" w:space="0"/>
              <w:right w:val="single" w:color="000000" w:sz="4" w:space="0"/>
            </w:tcBorders>
            <w:shd w:val="clear" w:color="auto" w:fill="auto"/>
            <w:vAlign w:val="center"/>
          </w:tcPr>
          <w:p w14:paraId="4C0D8702">
            <w:pPr>
              <w:widowControl/>
              <w:spacing w:line="240" w:lineRule="exact"/>
              <w:jc w:val="center"/>
              <w:textAlignment w:val="center"/>
              <w:rPr>
                <w:rFonts w:ascii="黑体" w:hAnsi="宋体" w:eastAsia="黑体" w:cs="黑体"/>
                <w:color w:val="000000"/>
                <w:kern w:val="0"/>
                <w:sz w:val="24"/>
                <w:lang w:bidi="ar"/>
              </w:rPr>
            </w:pPr>
            <w:r>
              <w:rPr>
                <w:rFonts w:hint="eastAsia" w:ascii="黑体" w:hAnsi="宋体" w:eastAsia="黑体" w:cs="黑体"/>
                <w:color w:val="000000"/>
                <w:kern w:val="0"/>
                <w:sz w:val="24"/>
                <w:lang w:bidi="ar"/>
              </w:rPr>
              <w:t>备注</w:t>
            </w:r>
          </w:p>
        </w:tc>
      </w:tr>
      <w:tr w14:paraId="6F947BFD">
        <w:tblPrEx>
          <w:tblCellMar>
            <w:top w:w="0" w:type="dxa"/>
            <w:left w:w="108" w:type="dxa"/>
            <w:bottom w:w="0" w:type="dxa"/>
            <w:right w:w="108" w:type="dxa"/>
          </w:tblCellMar>
        </w:tblPrEx>
        <w:trPr>
          <w:trHeight w:val="23" w:hRule="atLeast"/>
          <w:jc w:val="center"/>
        </w:trPr>
        <w:tc>
          <w:tcPr>
            <w:tcW w:w="1252" w:type="dxa"/>
            <w:tcBorders>
              <w:top w:val="single" w:color="000000" w:sz="4" w:space="0"/>
              <w:left w:val="single" w:color="000000" w:sz="4" w:space="0"/>
              <w:bottom w:val="single" w:color="000000" w:sz="4" w:space="0"/>
              <w:right w:val="nil"/>
            </w:tcBorders>
            <w:shd w:val="clear" w:color="auto" w:fill="auto"/>
            <w:vAlign w:val="center"/>
          </w:tcPr>
          <w:p w14:paraId="70D67DA4">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一级指标</w:t>
            </w: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3A882">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二级指标</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22027">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三级指标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4EC13">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指标</w:t>
            </w:r>
            <w:r>
              <w:rPr>
                <w:rFonts w:hint="eastAsia" w:ascii="黑体" w:hAnsi="宋体" w:eastAsia="黑体" w:cs="黑体"/>
                <w:color w:val="000000"/>
                <w:kern w:val="0"/>
                <w:sz w:val="24"/>
                <w:lang w:bidi="ar"/>
              </w:rPr>
              <w:br w:type="textWrapping"/>
            </w:r>
            <w:r>
              <w:rPr>
                <w:rFonts w:hint="eastAsia" w:ascii="黑体" w:hAnsi="宋体" w:eastAsia="黑体" w:cs="黑体"/>
                <w:color w:val="000000"/>
                <w:kern w:val="0"/>
                <w:sz w:val="24"/>
                <w:lang w:bidi="ar"/>
              </w:rPr>
              <w:t>分值</w:t>
            </w:r>
          </w:p>
        </w:tc>
        <w:tc>
          <w:tcPr>
            <w:tcW w:w="4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CE9808">
            <w:pPr>
              <w:widowControl/>
              <w:spacing w:line="240" w:lineRule="exact"/>
              <w:jc w:val="center"/>
              <w:rPr>
                <w:rFonts w:ascii="黑体" w:hAnsi="宋体" w:eastAsia="黑体" w:cs="黑体"/>
                <w:color w:val="000000"/>
                <w:sz w:val="24"/>
              </w:rPr>
            </w:pPr>
          </w:p>
        </w:tc>
        <w:tc>
          <w:tcPr>
            <w:tcW w:w="756" w:type="dxa"/>
            <w:vMerge w:val="continue"/>
            <w:tcBorders>
              <w:left w:val="single" w:color="000000" w:sz="4" w:space="0"/>
              <w:bottom w:val="single" w:color="000000" w:sz="4" w:space="0"/>
              <w:right w:val="single" w:color="000000" w:sz="4" w:space="0"/>
            </w:tcBorders>
            <w:shd w:val="clear" w:color="auto" w:fill="auto"/>
            <w:vAlign w:val="center"/>
          </w:tcPr>
          <w:p w14:paraId="5C4C4451">
            <w:pPr>
              <w:widowControl/>
              <w:spacing w:line="240" w:lineRule="exact"/>
              <w:jc w:val="center"/>
              <w:rPr>
                <w:rFonts w:ascii="黑体" w:hAnsi="宋体" w:eastAsia="黑体" w:cs="黑体"/>
                <w:color w:val="000000"/>
                <w:sz w:val="24"/>
              </w:rPr>
            </w:pPr>
          </w:p>
        </w:tc>
        <w:tc>
          <w:tcPr>
            <w:tcW w:w="478" w:type="dxa"/>
            <w:vMerge w:val="continue"/>
            <w:tcBorders>
              <w:left w:val="single" w:color="000000" w:sz="4" w:space="0"/>
              <w:bottom w:val="single" w:color="000000" w:sz="4" w:space="0"/>
              <w:right w:val="single" w:color="000000" w:sz="4" w:space="0"/>
            </w:tcBorders>
            <w:shd w:val="clear" w:color="auto" w:fill="auto"/>
            <w:vAlign w:val="center"/>
          </w:tcPr>
          <w:p w14:paraId="4413F794">
            <w:pPr>
              <w:widowControl/>
              <w:spacing w:line="240" w:lineRule="exact"/>
              <w:jc w:val="center"/>
              <w:rPr>
                <w:rFonts w:ascii="黑体" w:hAnsi="宋体" w:eastAsia="黑体" w:cs="黑体"/>
                <w:color w:val="000000"/>
                <w:sz w:val="24"/>
              </w:rPr>
            </w:pPr>
          </w:p>
        </w:tc>
      </w:tr>
      <w:tr w14:paraId="1DE8B276">
        <w:tblPrEx>
          <w:tblCellMar>
            <w:top w:w="0" w:type="dxa"/>
            <w:left w:w="108" w:type="dxa"/>
            <w:bottom w:w="0" w:type="dxa"/>
            <w:right w:w="108" w:type="dxa"/>
          </w:tblCellMar>
        </w:tblPrEx>
        <w:trPr>
          <w:trHeight w:val="23" w:hRule="atLeast"/>
          <w:jc w:val="center"/>
        </w:trPr>
        <w:tc>
          <w:tcPr>
            <w:tcW w:w="12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D3B4B8">
            <w:pPr>
              <w:widowControl/>
              <w:spacing w:line="240" w:lineRule="exact"/>
              <w:jc w:val="center"/>
              <w:textAlignment w:val="center"/>
              <w:rPr>
                <w:rFonts w:ascii="宋体" w:hAnsi="宋体" w:eastAsia="宋体" w:cs="宋体"/>
                <w:b/>
                <w:color w:val="000000"/>
                <w:sz w:val="21"/>
                <w:szCs w:val="21"/>
              </w:rPr>
            </w:pPr>
            <w:r>
              <w:rPr>
                <w:rFonts w:hint="eastAsia" w:ascii="宋体" w:hAnsi="宋体" w:eastAsia="宋体" w:cs="宋体"/>
                <w:b/>
                <w:color w:val="000000"/>
                <w:kern w:val="0"/>
                <w:sz w:val="21"/>
                <w:szCs w:val="21"/>
                <w:lang w:bidi="ar"/>
              </w:rPr>
              <w:t>总体绩效</w:t>
            </w:r>
            <w:r>
              <w:rPr>
                <w:rFonts w:hint="eastAsia" w:ascii="宋体" w:hAnsi="宋体" w:eastAsia="宋体" w:cs="宋体"/>
                <w:b/>
                <w:color w:val="000000"/>
                <w:kern w:val="0"/>
                <w:sz w:val="21"/>
                <w:szCs w:val="21"/>
                <w:lang w:bidi="ar"/>
              </w:rPr>
              <w:br w:type="textWrapping"/>
            </w:r>
            <w:r>
              <w:rPr>
                <w:rFonts w:hint="eastAsia" w:ascii="宋体" w:hAnsi="宋体" w:eastAsia="宋体" w:cs="宋体"/>
                <w:b/>
                <w:color w:val="000000"/>
                <w:kern w:val="0"/>
                <w:sz w:val="21"/>
                <w:szCs w:val="21"/>
                <w:lang w:bidi="ar"/>
              </w:rPr>
              <w:t>（65分）</w:t>
            </w: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6F817">
            <w:pPr>
              <w:widowControl/>
              <w:spacing w:line="240" w:lineRule="exact"/>
              <w:jc w:val="center"/>
              <w:textAlignment w:val="center"/>
              <w:rPr>
                <w:rFonts w:ascii="宋体" w:hAnsi="宋体" w:eastAsia="宋体" w:cs="宋体"/>
                <w:b/>
                <w:color w:val="000000"/>
                <w:sz w:val="21"/>
                <w:szCs w:val="21"/>
              </w:rPr>
            </w:pPr>
            <w:r>
              <w:rPr>
                <w:rFonts w:hint="eastAsia" w:ascii="宋体" w:hAnsi="宋体" w:eastAsia="宋体" w:cs="宋体"/>
                <w:b/>
                <w:color w:val="000000"/>
                <w:kern w:val="0"/>
                <w:sz w:val="21"/>
                <w:szCs w:val="21"/>
                <w:lang w:bidi="ar"/>
              </w:rPr>
              <w:t>履职效能</w:t>
            </w:r>
            <w:r>
              <w:rPr>
                <w:rFonts w:hint="eastAsia" w:ascii="宋体" w:hAnsi="宋体" w:eastAsia="宋体" w:cs="宋体"/>
                <w:b/>
                <w:color w:val="000000"/>
                <w:kern w:val="0"/>
                <w:sz w:val="21"/>
                <w:szCs w:val="21"/>
                <w:lang w:bidi="ar"/>
              </w:rPr>
              <w:br w:type="textWrapping"/>
            </w:r>
            <w:r>
              <w:rPr>
                <w:rFonts w:hint="eastAsia" w:ascii="宋体" w:hAnsi="宋体" w:eastAsia="宋体" w:cs="宋体"/>
                <w:b/>
                <w:color w:val="000000"/>
                <w:kern w:val="0"/>
                <w:sz w:val="21"/>
                <w:szCs w:val="21"/>
                <w:lang w:bidi="ar"/>
              </w:rPr>
              <w:t>（15分）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44BFB">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XX履职效果</w:t>
            </w:r>
          </w:p>
        </w:tc>
        <w:tc>
          <w:tcPr>
            <w:tcW w:w="720" w:type="dxa"/>
            <w:tcBorders>
              <w:top w:val="nil"/>
              <w:left w:val="single" w:color="000000" w:sz="4" w:space="0"/>
              <w:bottom w:val="single" w:color="000000" w:sz="4" w:space="0"/>
              <w:right w:val="single" w:color="000000" w:sz="4" w:space="0"/>
            </w:tcBorders>
            <w:shd w:val="clear" w:color="auto" w:fill="auto"/>
            <w:vAlign w:val="center"/>
          </w:tcPr>
          <w:p w14:paraId="5BDBD4F5">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15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6A866">
            <w:pPr>
              <w:widowControl/>
              <w:spacing w:line="240" w:lineRule="exact"/>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部门整体绩效目标中选定3-5个核心职能目标，反映该项职能目标完成效果情况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8723F">
            <w:pPr>
              <w:widowControl/>
              <w:spacing w:line="240" w:lineRule="exact"/>
              <w:jc w:val="left"/>
              <w:textAlignment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15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8CECB">
            <w:pPr>
              <w:widowControl/>
              <w:spacing w:line="240" w:lineRule="exact"/>
              <w:jc w:val="left"/>
              <w:textAlignment w:val="center"/>
              <w:rPr>
                <w:rFonts w:ascii="宋体" w:hAnsi="宋体" w:eastAsia="宋体" w:cs="宋体"/>
                <w:color w:val="000000"/>
                <w:kern w:val="0"/>
                <w:sz w:val="21"/>
                <w:szCs w:val="21"/>
                <w:lang w:bidi="ar"/>
              </w:rPr>
            </w:pPr>
          </w:p>
        </w:tc>
      </w:tr>
      <w:tr w14:paraId="3DF6B8FB">
        <w:tblPrEx>
          <w:tblCellMar>
            <w:top w:w="0" w:type="dxa"/>
            <w:left w:w="108" w:type="dxa"/>
            <w:bottom w:w="0" w:type="dxa"/>
            <w:right w:w="108" w:type="dxa"/>
          </w:tblCellMar>
        </w:tblPrEx>
        <w:trPr>
          <w:trHeight w:val="23" w:hRule="atLeast"/>
          <w:jc w:val="center"/>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8145C7">
            <w:pPr>
              <w:widowControl/>
              <w:spacing w:line="240" w:lineRule="exact"/>
              <w:jc w:val="center"/>
              <w:rPr>
                <w:rFonts w:ascii="宋体" w:hAnsi="宋体" w:eastAsia="宋体" w:cs="宋体"/>
                <w:b/>
                <w:color w:val="000000"/>
                <w:sz w:val="21"/>
                <w:szCs w:val="21"/>
              </w:rPr>
            </w:pPr>
          </w:p>
        </w:tc>
        <w:tc>
          <w:tcPr>
            <w:tcW w:w="12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321905">
            <w:pPr>
              <w:widowControl/>
              <w:spacing w:line="240" w:lineRule="exact"/>
              <w:jc w:val="center"/>
              <w:textAlignment w:val="center"/>
              <w:rPr>
                <w:rFonts w:ascii="宋体" w:hAnsi="宋体" w:eastAsia="宋体" w:cs="宋体"/>
                <w:b/>
                <w:color w:val="000000"/>
                <w:sz w:val="21"/>
                <w:szCs w:val="21"/>
              </w:rPr>
            </w:pPr>
            <w:r>
              <w:rPr>
                <w:rFonts w:hint="eastAsia" w:ascii="宋体" w:hAnsi="宋体" w:eastAsia="宋体" w:cs="宋体"/>
                <w:b/>
                <w:color w:val="000000"/>
                <w:kern w:val="0"/>
                <w:sz w:val="21"/>
                <w:szCs w:val="21"/>
                <w:lang w:bidi="ar"/>
              </w:rPr>
              <w:t>预算管理</w:t>
            </w:r>
            <w:r>
              <w:rPr>
                <w:rFonts w:hint="eastAsia" w:ascii="宋体" w:hAnsi="宋体" w:eastAsia="宋体" w:cs="宋体"/>
                <w:b/>
                <w:color w:val="000000"/>
                <w:kern w:val="0"/>
                <w:sz w:val="21"/>
                <w:szCs w:val="21"/>
                <w:lang w:bidi="ar"/>
              </w:rPr>
              <w:br w:type="textWrapping"/>
            </w:r>
            <w:r>
              <w:rPr>
                <w:rFonts w:hint="eastAsia" w:ascii="宋体" w:hAnsi="宋体" w:eastAsia="宋体" w:cs="宋体"/>
                <w:b/>
                <w:color w:val="000000"/>
                <w:kern w:val="0"/>
                <w:sz w:val="21"/>
                <w:szCs w:val="21"/>
                <w:lang w:bidi="ar"/>
              </w:rPr>
              <w:t>（25分）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9880A">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预算编制质量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05146">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8</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A9B5B">
            <w:pPr>
              <w:widowControl/>
              <w:spacing w:line="240" w:lineRule="exact"/>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部门是否严格按要求编制年初部门预算，年初预算编制的科学性和准确性</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FD209">
            <w:pPr>
              <w:widowControl/>
              <w:spacing w:line="240" w:lineRule="exact"/>
              <w:jc w:val="left"/>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8</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75ACD">
            <w:pPr>
              <w:widowControl/>
              <w:spacing w:line="240" w:lineRule="exact"/>
              <w:jc w:val="left"/>
              <w:textAlignment w:val="center"/>
              <w:rPr>
                <w:rFonts w:ascii="宋体" w:hAnsi="宋体" w:eastAsia="宋体" w:cs="宋体"/>
                <w:color w:val="000000"/>
                <w:kern w:val="0"/>
                <w:sz w:val="21"/>
                <w:szCs w:val="21"/>
                <w:lang w:bidi="ar"/>
              </w:rPr>
            </w:pPr>
          </w:p>
        </w:tc>
      </w:tr>
      <w:tr w14:paraId="1FE780FF">
        <w:tblPrEx>
          <w:tblCellMar>
            <w:top w:w="0" w:type="dxa"/>
            <w:left w:w="108" w:type="dxa"/>
            <w:bottom w:w="0" w:type="dxa"/>
            <w:right w:w="108" w:type="dxa"/>
          </w:tblCellMar>
        </w:tblPrEx>
        <w:trPr>
          <w:trHeight w:val="23" w:hRule="atLeast"/>
          <w:jc w:val="center"/>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E31646">
            <w:pPr>
              <w:widowControl/>
              <w:spacing w:line="240" w:lineRule="exact"/>
              <w:jc w:val="center"/>
              <w:rPr>
                <w:rFonts w:ascii="宋体" w:hAnsi="宋体" w:eastAsia="宋体" w:cs="宋体"/>
                <w:b/>
                <w:color w:val="000000"/>
                <w:sz w:val="21"/>
                <w:szCs w:val="21"/>
              </w:rPr>
            </w:pPr>
          </w:p>
        </w:tc>
        <w:tc>
          <w:tcPr>
            <w:tcW w:w="12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068A6B">
            <w:pPr>
              <w:widowControl/>
              <w:spacing w:line="240" w:lineRule="exact"/>
              <w:jc w:val="center"/>
              <w:rPr>
                <w:rFonts w:ascii="宋体" w:hAnsi="宋体" w:eastAsia="宋体" w:cs="宋体"/>
                <w:b/>
                <w:color w:val="000000"/>
                <w:sz w:val="21"/>
                <w:szCs w:val="21"/>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46F66">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单位收入统筹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2275C">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8B5CB">
            <w:pPr>
              <w:widowControl/>
              <w:spacing w:line="240" w:lineRule="exact"/>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部门统筹自有收入程度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D60A8">
            <w:pPr>
              <w:widowControl/>
              <w:spacing w:line="240" w:lineRule="exact"/>
              <w:jc w:val="left"/>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47D6E">
            <w:pPr>
              <w:widowControl/>
              <w:spacing w:line="240" w:lineRule="exact"/>
              <w:jc w:val="left"/>
              <w:textAlignment w:val="center"/>
              <w:rPr>
                <w:rFonts w:ascii="宋体" w:hAnsi="宋体" w:eastAsia="宋体" w:cs="宋体"/>
                <w:color w:val="000000"/>
                <w:kern w:val="0"/>
                <w:sz w:val="21"/>
                <w:szCs w:val="21"/>
                <w:lang w:bidi="ar"/>
              </w:rPr>
            </w:pPr>
          </w:p>
        </w:tc>
      </w:tr>
      <w:tr w14:paraId="0C1DBCAE">
        <w:tblPrEx>
          <w:tblCellMar>
            <w:top w:w="0" w:type="dxa"/>
            <w:left w:w="108" w:type="dxa"/>
            <w:bottom w:w="0" w:type="dxa"/>
            <w:right w:w="108" w:type="dxa"/>
          </w:tblCellMar>
        </w:tblPrEx>
        <w:trPr>
          <w:trHeight w:val="23" w:hRule="atLeast"/>
          <w:jc w:val="center"/>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AD2C9A">
            <w:pPr>
              <w:widowControl/>
              <w:spacing w:line="240" w:lineRule="exact"/>
              <w:jc w:val="center"/>
              <w:rPr>
                <w:rFonts w:ascii="宋体" w:hAnsi="宋体" w:eastAsia="宋体" w:cs="宋体"/>
                <w:b/>
                <w:color w:val="000000"/>
                <w:sz w:val="21"/>
                <w:szCs w:val="21"/>
              </w:rPr>
            </w:pPr>
          </w:p>
        </w:tc>
        <w:tc>
          <w:tcPr>
            <w:tcW w:w="12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56210B">
            <w:pPr>
              <w:widowControl/>
              <w:spacing w:line="240" w:lineRule="exact"/>
              <w:jc w:val="center"/>
              <w:rPr>
                <w:rFonts w:ascii="宋体" w:hAnsi="宋体" w:eastAsia="宋体" w:cs="宋体"/>
                <w:b/>
                <w:color w:val="000000"/>
                <w:sz w:val="21"/>
                <w:szCs w:val="21"/>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B6D1D">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支出执行进度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A89F8">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6</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91F0C">
            <w:pPr>
              <w:widowControl/>
              <w:spacing w:line="240" w:lineRule="exact"/>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部门1至6月、1至10月预算执行情况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F4B7B">
            <w:pPr>
              <w:widowControl/>
              <w:spacing w:line="240" w:lineRule="exact"/>
              <w:jc w:val="left"/>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6</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2EEA8">
            <w:pPr>
              <w:widowControl/>
              <w:spacing w:line="240" w:lineRule="exact"/>
              <w:jc w:val="left"/>
              <w:textAlignment w:val="center"/>
              <w:rPr>
                <w:rFonts w:ascii="宋体" w:hAnsi="宋体" w:eastAsia="宋体" w:cs="宋体"/>
                <w:color w:val="000000"/>
                <w:kern w:val="0"/>
                <w:sz w:val="21"/>
                <w:szCs w:val="21"/>
                <w:lang w:bidi="ar"/>
              </w:rPr>
            </w:pPr>
          </w:p>
        </w:tc>
      </w:tr>
      <w:tr w14:paraId="25391CB4">
        <w:tblPrEx>
          <w:tblCellMar>
            <w:top w:w="0" w:type="dxa"/>
            <w:left w:w="108" w:type="dxa"/>
            <w:bottom w:w="0" w:type="dxa"/>
            <w:right w:w="108" w:type="dxa"/>
          </w:tblCellMar>
        </w:tblPrEx>
        <w:trPr>
          <w:trHeight w:val="23" w:hRule="atLeast"/>
          <w:jc w:val="center"/>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2787E1">
            <w:pPr>
              <w:widowControl/>
              <w:spacing w:line="240" w:lineRule="exact"/>
              <w:jc w:val="center"/>
              <w:rPr>
                <w:rFonts w:ascii="宋体" w:hAnsi="宋体" w:eastAsia="宋体" w:cs="宋体"/>
                <w:b/>
                <w:color w:val="000000"/>
                <w:sz w:val="21"/>
                <w:szCs w:val="21"/>
              </w:rPr>
            </w:pPr>
          </w:p>
        </w:tc>
        <w:tc>
          <w:tcPr>
            <w:tcW w:w="12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1CD46E">
            <w:pPr>
              <w:widowControl/>
              <w:spacing w:line="240" w:lineRule="exact"/>
              <w:jc w:val="center"/>
              <w:rPr>
                <w:rFonts w:ascii="宋体" w:hAnsi="宋体" w:eastAsia="宋体" w:cs="宋体"/>
                <w:b/>
                <w:color w:val="000000"/>
                <w:sz w:val="21"/>
                <w:szCs w:val="21"/>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7BE6E">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预算年终结余</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B1B93">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2C14D">
            <w:pPr>
              <w:widowControl/>
              <w:spacing w:line="240" w:lineRule="exact"/>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部门整体年终预算结余情况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F19A6">
            <w:pPr>
              <w:widowControl/>
              <w:spacing w:line="240" w:lineRule="exact"/>
              <w:jc w:val="left"/>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8F3C3">
            <w:pPr>
              <w:widowControl/>
              <w:spacing w:line="240" w:lineRule="exact"/>
              <w:jc w:val="left"/>
              <w:textAlignment w:val="center"/>
              <w:rPr>
                <w:rFonts w:ascii="宋体" w:hAnsi="宋体" w:eastAsia="宋体" w:cs="宋体"/>
                <w:color w:val="000000"/>
                <w:kern w:val="0"/>
                <w:sz w:val="21"/>
                <w:szCs w:val="21"/>
                <w:lang w:bidi="ar"/>
              </w:rPr>
            </w:pPr>
          </w:p>
        </w:tc>
      </w:tr>
      <w:tr w14:paraId="4F45D759">
        <w:tblPrEx>
          <w:tblCellMar>
            <w:top w:w="0" w:type="dxa"/>
            <w:left w:w="108" w:type="dxa"/>
            <w:bottom w:w="0" w:type="dxa"/>
            <w:right w:w="108" w:type="dxa"/>
          </w:tblCellMar>
        </w:tblPrEx>
        <w:trPr>
          <w:trHeight w:val="23" w:hRule="atLeast"/>
          <w:jc w:val="center"/>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A83B6E">
            <w:pPr>
              <w:widowControl/>
              <w:spacing w:line="240" w:lineRule="exact"/>
              <w:jc w:val="center"/>
              <w:rPr>
                <w:rFonts w:ascii="宋体" w:hAnsi="宋体" w:eastAsia="宋体" w:cs="宋体"/>
                <w:b/>
                <w:color w:val="000000"/>
                <w:sz w:val="21"/>
                <w:szCs w:val="21"/>
              </w:rPr>
            </w:pPr>
          </w:p>
        </w:tc>
        <w:tc>
          <w:tcPr>
            <w:tcW w:w="12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BE6029">
            <w:pPr>
              <w:widowControl/>
              <w:spacing w:line="240" w:lineRule="exact"/>
              <w:jc w:val="center"/>
              <w:rPr>
                <w:rFonts w:ascii="宋体" w:hAnsi="宋体" w:eastAsia="宋体" w:cs="宋体"/>
                <w:b/>
                <w:color w:val="000000"/>
                <w:sz w:val="21"/>
                <w:szCs w:val="21"/>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0D75E">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严控一般性支出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363CA">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E3B51">
            <w:pPr>
              <w:widowControl/>
              <w:spacing w:line="240" w:lineRule="exact"/>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部门严控“三公”经费、会议、培训、差旅、办节办展、办公设备购置、信息网络及软件购置更新、课题经费等8项一般性支出情况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7FD64">
            <w:pPr>
              <w:widowControl/>
              <w:spacing w:line="240" w:lineRule="exact"/>
              <w:jc w:val="left"/>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55811">
            <w:pPr>
              <w:widowControl/>
              <w:spacing w:line="240" w:lineRule="exact"/>
              <w:jc w:val="left"/>
              <w:textAlignment w:val="center"/>
              <w:rPr>
                <w:rFonts w:ascii="宋体" w:hAnsi="宋体" w:eastAsia="宋体" w:cs="宋体"/>
                <w:color w:val="000000"/>
                <w:kern w:val="0"/>
                <w:sz w:val="21"/>
                <w:szCs w:val="21"/>
                <w:lang w:bidi="ar"/>
              </w:rPr>
            </w:pPr>
          </w:p>
        </w:tc>
      </w:tr>
      <w:tr w14:paraId="04665662">
        <w:tblPrEx>
          <w:tblCellMar>
            <w:top w:w="0" w:type="dxa"/>
            <w:left w:w="108" w:type="dxa"/>
            <w:bottom w:w="0" w:type="dxa"/>
            <w:right w:w="108" w:type="dxa"/>
          </w:tblCellMar>
        </w:tblPrEx>
        <w:trPr>
          <w:trHeight w:val="23" w:hRule="atLeast"/>
          <w:jc w:val="center"/>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159CA9">
            <w:pPr>
              <w:widowControl/>
              <w:spacing w:line="240" w:lineRule="exact"/>
              <w:jc w:val="center"/>
              <w:rPr>
                <w:rFonts w:ascii="宋体" w:hAnsi="宋体" w:eastAsia="宋体" w:cs="宋体"/>
                <w:b/>
                <w:color w:val="000000"/>
                <w:sz w:val="21"/>
                <w:szCs w:val="21"/>
              </w:rPr>
            </w:pPr>
          </w:p>
        </w:tc>
        <w:tc>
          <w:tcPr>
            <w:tcW w:w="12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CDC56A">
            <w:pPr>
              <w:widowControl/>
              <w:spacing w:line="240" w:lineRule="exact"/>
              <w:jc w:val="center"/>
              <w:textAlignment w:val="center"/>
              <w:rPr>
                <w:rFonts w:ascii="宋体" w:hAnsi="宋体" w:eastAsia="宋体" w:cs="宋体"/>
                <w:b/>
                <w:color w:val="000000"/>
                <w:sz w:val="21"/>
                <w:szCs w:val="21"/>
              </w:rPr>
            </w:pPr>
            <w:r>
              <w:rPr>
                <w:rFonts w:hint="eastAsia" w:ascii="宋体" w:hAnsi="宋体" w:eastAsia="宋体" w:cs="宋体"/>
                <w:b/>
                <w:color w:val="000000"/>
                <w:kern w:val="0"/>
                <w:sz w:val="21"/>
                <w:szCs w:val="21"/>
                <w:lang w:bidi="ar"/>
              </w:rPr>
              <w:t>财务管理</w:t>
            </w:r>
            <w:r>
              <w:rPr>
                <w:rFonts w:hint="eastAsia" w:ascii="宋体" w:hAnsi="宋体" w:eastAsia="宋体" w:cs="宋体"/>
                <w:b/>
                <w:color w:val="000000"/>
                <w:kern w:val="0"/>
                <w:sz w:val="21"/>
                <w:szCs w:val="21"/>
                <w:lang w:bidi="ar"/>
              </w:rPr>
              <w:br w:type="textWrapping"/>
            </w:r>
            <w:r>
              <w:rPr>
                <w:rFonts w:hint="eastAsia" w:ascii="宋体" w:hAnsi="宋体" w:eastAsia="宋体" w:cs="宋体"/>
                <w:b/>
                <w:color w:val="000000"/>
                <w:kern w:val="0"/>
                <w:sz w:val="21"/>
                <w:szCs w:val="21"/>
                <w:lang w:bidi="ar"/>
              </w:rPr>
              <w:t>（10分）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96CC2">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财务管理制度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5544F">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12591">
            <w:pPr>
              <w:widowControl/>
              <w:spacing w:line="240" w:lineRule="exact"/>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部门财务管理制度建立情况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EE2D2">
            <w:pPr>
              <w:widowControl/>
              <w:spacing w:line="240" w:lineRule="exact"/>
              <w:jc w:val="left"/>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7A221">
            <w:pPr>
              <w:widowControl/>
              <w:spacing w:line="240" w:lineRule="exact"/>
              <w:jc w:val="left"/>
              <w:textAlignment w:val="center"/>
              <w:rPr>
                <w:rFonts w:ascii="宋体" w:hAnsi="宋体" w:eastAsia="宋体" w:cs="宋体"/>
                <w:color w:val="000000"/>
                <w:kern w:val="0"/>
                <w:sz w:val="21"/>
                <w:szCs w:val="21"/>
                <w:lang w:bidi="ar"/>
              </w:rPr>
            </w:pPr>
          </w:p>
        </w:tc>
      </w:tr>
      <w:tr w14:paraId="5C0589F3">
        <w:tblPrEx>
          <w:tblCellMar>
            <w:top w:w="0" w:type="dxa"/>
            <w:left w:w="108" w:type="dxa"/>
            <w:bottom w:w="0" w:type="dxa"/>
            <w:right w:w="108" w:type="dxa"/>
          </w:tblCellMar>
        </w:tblPrEx>
        <w:trPr>
          <w:trHeight w:val="23" w:hRule="atLeast"/>
          <w:jc w:val="center"/>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FC925D">
            <w:pPr>
              <w:widowControl/>
              <w:spacing w:line="240" w:lineRule="exact"/>
              <w:jc w:val="center"/>
              <w:rPr>
                <w:rFonts w:ascii="宋体" w:hAnsi="宋体" w:eastAsia="宋体" w:cs="宋体"/>
                <w:b/>
                <w:color w:val="000000"/>
                <w:sz w:val="21"/>
                <w:szCs w:val="21"/>
              </w:rPr>
            </w:pPr>
          </w:p>
        </w:tc>
        <w:tc>
          <w:tcPr>
            <w:tcW w:w="12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4B985E">
            <w:pPr>
              <w:widowControl/>
              <w:spacing w:line="240" w:lineRule="exact"/>
              <w:jc w:val="center"/>
              <w:rPr>
                <w:rFonts w:ascii="宋体" w:hAnsi="宋体" w:eastAsia="宋体" w:cs="宋体"/>
                <w:b/>
                <w:color w:val="000000"/>
                <w:sz w:val="21"/>
                <w:szCs w:val="21"/>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FE2E7">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财务岗位设置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DD48A">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E8034">
            <w:pPr>
              <w:widowControl/>
              <w:spacing w:line="240" w:lineRule="exact"/>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部门财务岗位设置是否符合相关财务管理制度要求</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B243B">
            <w:pPr>
              <w:widowControl/>
              <w:spacing w:line="240" w:lineRule="exact"/>
              <w:jc w:val="left"/>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07CC0">
            <w:pPr>
              <w:widowControl/>
              <w:spacing w:line="240" w:lineRule="exact"/>
              <w:jc w:val="left"/>
              <w:textAlignment w:val="center"/>
              <w:rPr>
                <w:rFonts w:ascii="宋体" w:hAnsi="宋体" w:eastAsia="宋体" w:cs="宋体"/>
                <w:color w:val="000000"/>
                <w:kern w:val="0"/>
                <w:sz w:val="21"/>
                <w:szCs w:val="21"/>
                <w:lang w:bidi="ar"/>
              </w:rPr>
            </w:pPr>
          </w:p>
        </w:tc>
      </w:tr>
      <w:tr w14:paraId="17FEAD69">
        <w:tblPrEx>
          <w:tblCellMar>
            <w:top w:w="0" w:type="dxa"/>
            <w:left w:w="108" w:type="dxa"/>
            <w:bottom w:w="0" w:type="dxa"/>
            <w:right w:w="108" w:type="dxa"/>
          </w:tblCellMar>
        </w:tblPrEx>
        <w:trPr>
          <w:trHeight w:val="23" w:hRule="atLeast"/>
          <w:jc w:val="center"/>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38F610">
            <w:pPr>
              <w:widowControl/>
              <w:spacing w:line="240" w:lineRule="exact"/>
              <w:jc w:val="center"/>
              <w:rPr>
                <w:rFonts w:ascii="宋体" w:hAnsi="宋体" w:eastAsia="宋体" w:cs="宋体"/>
                <w:b/>
                <w:color w:val="000000"/>
                <w:sz w:val="21"/>
                <w:szCs w:val="21"/>
              </w:rPr>
            </w:pPr>
          </w:p>
        </w:tc>
        <w:tc>
          <w:tcPr>
            <w:tcW w:w="12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62400B">
            <w:pPr>
              <w:widowControl/>
              <w:spacing w:line="240" w:lineRule="exact"/>
              <w:jc w:val="center"/>
              <w:rPr>
                <w:rFonts w:ascii="宋体" w:hAnsi="宋体" w:eastAsia="宋体" w:cs="宋体"/>
                <w:b/>
                <w:color w:val="000000"/>
                <w:sz w:val="21"/>
                <w:szCs w:val="21"/>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B5FAD">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资金使用规范</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540C2">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28998">
            <w:pPr>
              <w:widowControl/>
              <w:spacing w:line="240" w:lineRule="exact"/>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部门资金使用是否符合相关财务管理制度规定</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901C1">
            <w:pPr>
              <w:widowControl/>
              <w:spacing w:line="240" w:lineRule="exact"/>
              <w:jc w:val="left"/>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EC7C0">
            <w:pPr>
              <w:widowControl/>
              <w:spacing w:line="240" w:lineRule="exact"/>
              <w:jc w:val="left"/>
              <w:textAlignment w:val="center"/>
              <w:rPr>
                <w:rFonts w:ascii="宋体" w:hAnsi="宋体" w:eastAsia="宋体" w:cs="宋体"/>
                <w:color w:val="000000"/>
                <w:kern w:val="0"/>
                <w:sz w:val="21"/>
                <w:szCs w:val="21"/>
                <w:lang w:bidi="ar"/>
              </w:rPr>
            </w:pPr>
          </w:p>
        </w:tc>
      </w:tr>
      <w:tr w14:paraId="7644BE0E">
        <w:tblPrEx>
          <w:tblCellMar>
            <w:top w:w="0" w:type="dxa"/>
            <w:left w:w="108" w:type="dxa"/>
            <w:bottom w:w="0" w:type="dxa"/>
            <w:right w:w="108" w:type="dxa"/>
          </w:tblCellMar>
        </w:tblPrEx>
        <w:trPr>
          <w:trHeight w:val="23" w:hRule="atLeast"/>
          <w:jc w:val="center"/>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743ED0">
            <w:pPr>
              <w:widowControl/>
              <w:spacing w:line="240" w:lineRule="exact"/>
              <w:jc w:val="center"/>
              <w:rPr>
                <w:rFonts w:ascii="宋体" w:hAnsi="宋体" w:eastAsia="宋体" w:cs="宋体"/>
                <w:b/>
                <w:color w:val="000000"/>
                <w:sz w:val="21"/>
                <w:szCs w:val="21"/>
              </w:rPr>
            </w:pPr>
          </w:p>
        </w:tc>
        <w:tc>
          <w:tcPr>
            <w:tcW w:w="12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0A3136">
            <w:pPr>
              <w:widowControl/>
              <w:spacing w:line="240" w:lineRule="exact"/>
              <w:jc w:val="center"/>
              <w:textAlignment w:val="center"/>
              <w:rPr>
                <w:rFonts w:ascii="宋体" w:hAnsi="宋体" w:eastAsia="宋体" w:cs="宋体"/>
                <w:b/>
                <w:color w:val="000000"/>
                <w:sz w:val="21"/>
                <w:szCs w:val="21"/>
              </w:rPr>
            </w:pPr>
            <w:r>
              <w:rPr>
                <w:rFonts w:hint="eastAsia" w:ascii="宋体" w:hAnsi="宋体" w:eastAsia="宋体" w:cs="宋体"/>
                <w:b/>
                <w:color w:val="000000"/>
                <w:kern w:val="0"/>
                <w:sz w:val="21"/>
                <w:szCs w:val="21"/>
                <w:lang w:bidi="ar"/>
              </w:rPr>
              <w:t>资产管理</w:t>
            </w:r>
            <w:r>
              <w:rPr>
                <w:rFonts w:hint="eastAsia" w:ascii="宋体" w:hAnsi="宋体" w:eastAsia="宋体" w:cs="宋体"/>
                <w:b/>
                <w:color w:val="000000"/>
                <w:kern w:val="0"/>
                <w:sz w:val="21"/>
                <w:szCs w:val="21"/>
                <w:lang w:bidi="ar"/>
              </w:rPr>
              <w:br w:type="textWrapping"/>
            </w:r>
            <w:r>
              <w:rPr>
                <w:rFonts w:hint="eastAsia" w:ascii="宋体" w:hAnsi="宋体" w:eastAsia="宋体" w:cs="宋体"/>
                <w:b/>
                <w:color w:val="000000"/>
                <w:kern w:val="0"/>
                <w:sz w:val="21"/>
                <w:szCs w:val="21"/>
                <w:lang w:bidi="ar"/>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C8499">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人均资产变化率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08E04">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536FF">
            <w:pPr>
              <w:widowControl/>
              <w:spacing w:line="240" w:lineRule="exact"/>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部门人均资产变化情况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BFE00">
            <w:pPr>
              <w:widowControl/>
              <w:spacing w:line="240" w:lineRule="exact"/>
              <w:jc w:val="left"/>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F9584">
            <w:pPr>
              <w:widowControl/>
              <w:spacing w:line="240" w:lineRule="exact"/>
              <w:jc w:val="left"/>
              <w:textAlignment w:val="center"/>
              <w:rPr>
                <w:rFonts w:ascii="宋体" w:hAnsi="宋体" w:eastAsia="宋体" w:cs="宋体"/>
                <w:color w:val="000000"/>
                <w:kern w:val="0"/>
                <w:sz w:val="21"/>
                <w:szCs w:val="21"/>
                <w:lang w:bidi="ar"/>
              </w:rPr>
            </w:pPr>
          </w:p>
        </w:tc>
      </w:tr>
      <w:tr w14:paraId="04D8A7D3">
        <w:tblPrEx>
          <w:tblCellMar>
            <w:top w:w="0" w:type="dxa"/>
            <w:left w:w="108" w:type="dxa"/>
            <w:bottom w:w="0" w:type="dxa"/>
            <w:right w:w="108" w:type="dxa"/>
          </w:tblCellMar>
        </w:tblPrEx>
        <w:trPr>
          <w:trHeight w:val="202" w:hRule="atLeast"/>
          <w:jc w:val="center"/>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DAA071">
            <w:pPr>
              <w:widowControl/>
              <w:spacing w:line="240" w:lineRule="exact"/>
              <w:jc w:val="center"/>
              <w:rPr>
                <w:rFonts w:ascii="宋体" w:hAnsi="宋体" w:eastAsia="宋体" w:cs="宋体"/>
                <w:b/>
                <w:color w:val="000000"/>
                <w:sz w:val="21"/>
                <w:szCs w:val="21"/>
              </w:rPr>
            </w:pPr>
          </w:p>
        </w:tc>
        <w:tc>
          <w:tcPr>
            <w:tcW w:w="12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BCBB4D">
            <w:pPr>
              <w:widowControl/>
              <w:spacing w:line="240" w:lineRule="exact"/>
              <w:jc w:val="center"/>
              <w:rPr>
                <w:rFonts w:ascii="宋体" w:hAnsi="宋体" w:eastAsia="宋体" w:cs="宋体"/>
                <w:b/>
                <w:color w:val="000000"/>
                <w:sz w:val="21"/>
                <w:szCs w:val="21"/>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D5300">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资产利用率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92D86">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F0356">
            <w:pPr>
              <w:widowControl/>
              <w:spacing w:line="240" w:lineRule="exact"/>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部门资产超最低使用年限情况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06943">
            <w:pPr>
              <w:widowControl/>
              <w:spacing w:line="240" w:lineRule="exact"/>
              <w:jc w:val="left"/>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4F1F4">
            <w:pPr>
              <w:widowControl/>
              <w:spacing w:line="240" w:lineRule="exact"/>
              <w:jc w:val="left"/>
              <w:textAlignment w:val="center"/>
              <w:rPr>
                <w:rFonts w:ascii="宋体" w:hAnsi="宋体" w:eastAsia="宋体" w:cs="宋体"/>
                <w:color w:val="000000"/>
                <w:kern w:val="0"/>
                <w:sz w:val="21"/>
                <w:szCs w:val="21"/>
                <w:lang w:bidi="ar"/>
              </w:rPr>
            </w:pPr>
          </w:p>
        </w:tc>
      </w:tr>
      <w:tr w14:paraId="4C6BD0F5">
        <w:tblPrEx>
          <w:tblCellMar>
            <w:top w:w="0" w:type="dxa"/>
            <w:left w:w="108" w:type="dxa"/>
            <w:bottom w:w="0" w:type="dxa"/>
            <w:right w:w="108" w:type="dxa"/>
          </w:tblCellMar>
        </w:tblPrEx>
        <w:trPr>
          <w:trHeight w:val="23" w:hRule="atLeast"/>
          <w:jc w:val="center"/>
        </w:trPr>
        <w:tc>
          <w:tcPr>
            <w:tcW w:w="12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A4522C">
            <w:pPr>
              <w:widowControl/>
              <w:spacing w:line="240" w:lineRule="exact"/>
              <w:jc w:val="center"/>
              <w:textAlignment w:val="center"/>
              <w:rPr>
                <w:rFonts w:ascii="宋体" w:hAnsi="宋体" w:eastAsia="宋体" w:cs="宋体"/>
                <w:b/>
                <w:color w:val="000000"/>
                <w:sz w:val="21"/>
                <w:szCs w:val="21"/>
              </w:rPr>
            </w:pPr>
            <w:r>
              <w:rPr>
                <w:rFonts w:hint="eastAsia" w:ascii="宋体" w:hAnsi="宋体" w:eastAsia="宋体" w:cs="宋体"/>
                <w:b/>
                <w:color w:val="000000"/>
                <w:kern w:val="0"/>
                <w:sz w:val="21"/>
                <w:szCs w:val="21"/>
                <w:lang w:bidi="ar"/>
              </w:rPr>
              <w:t>总体绩效</w:t>
            </w:r>
            <w:r>
              <w:rPr>
                <w:rFonts w:hint="eastAsia" w:ascii="宋体" w:hAnsi="宋体" w:eastAsia="宋体" w:cs="宋体"/>
                <w:b/>
                <w:color w:val="000000"/>
                <w:kern w:val="0"/>
                <w:sz w:val="21"/>
                <w:szCs w:val="21"/>
                <w:lang w:bidi="ar"/>
              </w:rPr>
              <w:br w:type="textWrapping"/>
            </w:r>
            <w:r>
              <w:rPr>
                <w:rFonts w:hint="eastAsia" w:ascii="宋体" w:hAnsi="宋体" w:eastAsia="宋体" w:cs="宋体"/>
                <w:b/>
                <w:color w:val="000000"/>
                <w:kern w:val="0"/>
                <w:sz w:val="21"/>
                <w:szCs w:val="21"/>
                <w:lang w:bidi="ar"/>
              </w:rPr>
              <w:t>（65分）</w:t>
            </w: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80C64">
            <w:pPr>
              <w:widowControl/>
              <w:spacing w:line="240" w:lineRule="exact"/>
              <w:jc w:val="center"/>
              <w:textAlignment w:val="center"/>
              <w:rPr>
                <w:rFonts w:ascii="宋体" w:hAnsi="宋体" w:eastAsia="宋体" w:cs="宋体"/>
                <w:b/>
                <w:color w:val="000000"/>
                <w:sz w:val="21"/>
                <w:szCs w:val="21"/>
              </w:rPr>
            </w:pPr>
            <w:r>
              <w:rPr>
                <w:rFonts w:hint="eastAsia" w:ascii="宋体" w:hAnsi="宋体" w:eastAsia="宋体" w:cs="宋体"/>
                <w:b/>
                <w:color w:val="000000"/>
                <w:kern w:val="0"/>
                <w:sz w:val="21"/>
                <w:szCs w:val="21"/>
                <w:lang w:bidi="ar"/>
              </w:rPr>
              <w:t>资产管理</w:t>
            </w:r>
            <w:r>
              <w:rPr>
                <w:rFonts w:hint="eastAsia" w:ascii="宋体" w:hAnsi="宋体" w:eastAsia="宋体" w:cs="宋体"/>
                <w:b/>
                <w:color w:val="000000"/>
                <w:kern w:val="0"/>
                <w:sz w:val="21"/>
                <w:szCs w:val="21"/>
                <w:lang w:bidi="ar"/>
              </w:rPr>
              <w:br w:type="textWrapping"/>
            </w:r>
            <w:r>
              <w:rPr>
                <w:rFonts w:hint="eastAsia" w:ascii="宋体" w:hAnsi="宋体" w:eastAsia="宋体" w:cs="宋体"/>
                <w:b/>
                <w:color w:val="000000"/>
                <w:kern w:val="0"/>
                <w:sz w:val="21"/>
                <w:szCs w:val="21"/>
                <w:lang w:bidi="ar"/>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1CBAC">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资产盘活率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488D3">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59859">
            <w:pPr>
              <w:widowControl/>
              <w:spacing w:line="240" w:lineRule="exact"/>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部门闲置一年以上的资产盘活情况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7FA11">
            <w:pPr>
              <w:widowControl/>
              <w:spacing w:line="240" w:lineRule="exact"/>
              <w:jc w:val="left"/>
              <w:textAlignment w:val="center"/>
              <w:rPr>
                <w:rFonts w:hint="eastAsia"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C68A9">
            <w:pPr>
              <w:widowControl/>
              <w:spacing w:line="240" w:lineRule="exact"/>
              <w:jc w:val="left"/>
              <w:textAlignment w:val="center"/>
              <w:rPr>
                <w:rFonts w:ascii="宋体" w:hAnsi="宋体" w:eastAsia="宋体" w:cs="宋体"/>
                <w:color w:val="000000"/>
                <w:kern w:val="0"/>
                <w:sz w:val="21"/>
                <w:szCs w:val="21"/>
                <w:lang w:bidi="ar"/>
              </w:rPr>
            </w:pPr>
          </w:p>
        </w:tc>
      </w:tr>
      <w:tr w14:paraId="61D5C3C7">
        <w:tblPrEx>
          <w:tblCellMar>
            <w:top w:w="0" w:type="dxa"/>
            <w:left w:w="108" w:type="dxa"/>
            <w:bottom w:w="0" w:type="dxa"/>
            <w:right w:w="108" w:type="dxa"/>
          </w:tblCellMar>
        </w:tblPrEx>
        <w:trPr>
          <w:trHeight w:val="23" w:hRule="atLeast"/>
          <w:jc w:val="center"/>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5BEC7E">
            <w:pPr>
              <w:widowControl/>
              <w:spacing w:line="240" w:lineRule="exact"/>
              <w:jc w:val="center"/>
              <w:rPr>
                <w:rFonts w:ascii="宋体" w:hAnsi="宋体" w:eastAsia="宋体" w:cs="宋体"/>
                <w:b/>
                <w:color w:val="000000"/>
                <w:sz w:val="21"/>
                <w:szCs w:val="21"/>
              </w:rPr>
            </w:pPr>
          </w:p>
        </w:tc>
        <w:tc>
          <w:tcPr>
            <w:tcW w:w="12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2D09BE">
            <w:pPr>
              <w:widowControl/>
              <w:spacing w:line="240" w:lineRule="exact"/>
              <w:jc w:val="center"/>
              <w:textAlignment w:val="center"/>
              <w:rPr>
                <w:rFonts w:ascii="宋体" w:hAnsi="宋体" w:eastAsia="宋体" w:cs="宋体"/>
                <w:b/>
                <w:color w:val="000000"/>
                <w:sz w:val="21"/>
                <w:szCs w:val="21"/>
              </w:rPr>
            </w:pPr>
            <w:r>
              <w:rPr>
                <w:rFonts w:hint="eastAsia" w:ascii="宋体" w:hAnsi="宋体" w:eastAsia="宋体" w:cs="宋体"/>
                <w:b/>
                <w:color w:val="000000"/>
                <w:kern w:val="0"/>
                <w:sz w:val="21"/>
                <w:szCs w:val="21"/>
                <w:lang w:bidi="ar"/>
              </w:rPr>
              <w:t>采购管理</w:t>
            </w:r>
            <w:r>
              <w:rPr>
                <w:rFonts w:hint="eastAsia" w:ascii="宋体" w:hAnsi="宋体" w:eastAsia="宋体" w:cs="宋体"/>
                <w:b/>
                <w:color w:val="000000"/>
                <w:kern w:val="0"/>
                <w:sz w:val="21"/>
                <w:szCs w:val="21"/>
                <w:lang w:bidi="ar"/>
              </w:rPr>
              <w:br w:type="textWrapping"/>
            </w:r>
            <w:r>
              <w:rPr>
                <w:rFonts w:hint="eastAsia" w:ascii="宋体" w:hAnsi="宋体" w:eastAsia="宋体" w:cs="宋体"/>
                <w:b/>
                <w:color w:val="000000"/>
                <w:kern w:val="0"/>
                <w:sz w:val="21"/>
                <w:szCs w:val="21"/>
                <w:lang w:bidi="ar"/>
              </w:rPr>
              <w:t>（6分）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4E568">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支持中小企业发展</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C34B6">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7634A">
            <w:pPr>
              <w:widowControl/>
              <w:spacing w:line="240" w:lineRule="exact"/>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部门是否严格执行政府采购促进中小企业发展相关管理办法</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D9AFB">
            <w:pPr>
              <w:widowControl/>
              <w:spacing w:line="240" w:lineRule="exact"/>
              <w:jc w:val="left"/>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0</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C18A9">
            <w:pPr>
              <w:widowControl/>
              <w:spacing w:line="240" w:lineRule="exact"/>
              <w:jc w:val="left"/>
              <w:textAlignment w:val="center"/>
              <w:rPr>
                <w:rFonts w:ascii="宋体" w:hAnsi="宋体" w:eastAsia="宋体" w:cs="宋体"/>
                <w:color w:val="000000"/>
                <w:kern w:val="0"/>
                <w:sz w:val="21"/>
                <w:szCs w:val="21"/>
                <w:lang w:bidi="ar"/>
              </w:rPr>
            </w:pPr>
          </w:p>
        </w:tc>
      </w:tr>
      <w:tr w14:paraId="60B7E604">
        <w:tblPrEx>
          <w:tblCellMar>
            <w:top w:w="0" w:type="dxa"/>
            <w:left w:w="108" w:type="dxa"/>
            <w:bottom w:w="0" w:type="dxa"/>
            <w:right w:w="108" w:type="dxa"/>
          </w:tblCellMar>
        </w:tblPrEx>
        <w:trPr>
          <w:trHeight w:val="23" w:hRule="atLeast"/>
          <w:jc w:val="center"/>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88CB0C">
            <w:pPr>
              <w:widowControl/>
              <w:spacing w:line="240" w:lineRule="exact"/>
              <w:jc w:val="center"/>
              <w:rPr>
                <w:rFonts w:ascii="宋体" w:hAnsi="宋体" w:eastAsia="宋体" w:cs="宋体"/>
                <w:b/>
                <w:color w:val="000000"/>
                <w:sz w:val="21"/>
                <w:szCs w:val="21"/>
              </w:rPr>
            </w:pPr>
          </w:p>
        </w:tc>
        <w:tc>
          <w:tcPr>
            <w:tcW w:w="12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2180DD">
            <w:pPr>
              <w:widowControl/>
              <w:spacing w:line="240" w:lineRule="exact"/>
              <w:jc w:val="center"/>
              <w:rPr>
                <w:rFonts w:ascii="宋体" w:hAnsi="宋体" w:eastAsia="宋体" w:cs="宋体"/>
                <w:b/>
                <w:color w:val="000000"/>
                <w:sz w:val="21"/>
                <w:szCs w:val="21"/>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DCEF2">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采购执行率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ABA8B">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B68B9">
            <w:pPr>
              <w:widowControl/>
              <w:spacing w:line="240" w:lineRule="exact"/>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部门政府采购项目资金支付比例情况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27095">
            <w:pPr>
              <w:widowControl/>
              <w:spacing w:line="240" w:lineRule="exact"/>
              <w:jc w:val="left"/>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0</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26C9A">
            <w:pPr>
              <w:widowControl/>
              <w:spacing w:line="240" w:lineRule="exact"/>
              <w:jc w:val="left"/>
              <w:textAlignment w:val="center"/>
              <w:rPr>
                <w:rFonts w:ascii="宋体" w:hAnsi="宋体" w:eastAsia="宋体" w:cs="宋体"/>
                <w:color w:val="000000"/>
                <w:kern w:val="0"/>
                <w:sz w:val="21"/>
                <w:szCs w:val="21"/>
                <w:lang w:bidi="ar"/>
              </w:rPr>
            </w:pPr>
          </w:p>
        </w:tc>
      </w:tr>
      <w:tr w14:paraId="1D21EF90">
        <w:tblPrEx>
          <w:tblCellMar>
            <w:top w:w="0" w:type="dxa"/>
            <w:left w:w="108" w:type="dxa"/>
            <w:bottom w:w="0" w:type="dxa"/>
            <w:right w:w="108" w:type="dxa"/>
          </w:tblCellMar>
        </w:tblPrEx>
        <w:trPr>
          <w:trHeight w:val="23" w:hRule="atLeast"/>
          <w:jc w:val="center"/>
        </w:trPr>
        <w:tc>
          <w:tcPr>
            <w:tcW w:w="12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12FF93">
            <w:pPr>
              <w:widowControl/>
              <w:spacing w:line="240" w:lineRule="exact"/>
              <w:jc w:val="center"/>
              <w:textAlignment w:val="center"/>
              <w:rPr>
                <w:rFonts w:ascii="宋体" w:hAnsi="宋体" w:eastAsia="宋体" w:cs="宋体"/>
                <w:b/>
                <w:color w:val="000000"/>
                <w:sz w:val="21"/>
                <w:szCs w:val="21"/>
              </w:rPr>
            </w:pPr>
            <w:r>
              <w:rPr>
                <w:rFonts w:hint="eastAsia" w:ascii="宋体" w:hAnsi="宋体" w:eastAsia="宋体" w:cs="宋体"/>
                <w:b/>
                <w:color w:val="000000"/>
                <w:kern w:val="0"/>
                <w:sz w:val="21"/>
                <w:szCs w:val="21"/>
                <w:lang w:bidi="ar"/>
              </w:rPr>
              <w:t>项目绩效</w:t>
            </w:r>
            <w:r>
              <w:rPr>
                <w:rFonts w:hint="eastAsia" w:ascii="宋体" w:hAnsi="宋体" w:eastAsia="宋体" w:cs="宋体"/>
                <w:b/>
                <w:color w:val="000000"/>
                <w:kern w:val="0"/>
                <w:sz w:val="21"/>
                <w:szCs w:val="21"/>
                <w:lang w:bidi="ar"/>
              </w:rPr>
              <w:br w:type="textWrapping"/>
            </w:r>
            <w:r>
              <w:rPr>
                <w:rFonts w:hint="eastAsia" w:ascii="宋体" w:hAnsi="宋体" w:eastAsia="宋体" w:cs="宋体"/>
                <w:b/>
                <w:color w:val="000000"/>
                <w:kern w:val="0"/>
                <w:sz w:val="21"/>
                <w:szCs w:val="21"/>
                <w:lang w:bidi="ar"/>
              </w:rPr>
              <w:t>（35分）</w:t>
            </w:r>
          </w:p>
        </w:tc>
        <w:tc>
          <w:tcPr>
            <w:tcW w:w="1214" w:type="dxa"/>
            <w:vMerge w:val="restart"/>
            <w:tcBorders>
              <w:top w:val="single" w:color="000000" w:sz="4" w:space="0"/>
              <w:left w:val="single" w:color="000000" w:sz="4" w:space="0"/>
              <w:bottom w:val="nil"/>
              <w:right w:val="single" w:color="000000" w:sz="4" w:space="0"/>
            </w:tcBorders>
            <w:shd w:val="clear" w:color="auto" w:fill="auto"/>
            <w:vAlign w:val="center"/>
          </w:tcPr>
          <w:p w14:paraId="23D2AB05">
            <w:pPr>
              <w:widowControl/>
              <w:spacing w:line="240" w:lineRule="exact"/>
              <w:jc w:val="center"/>
              <w:textAlignment w:val="center"/>
              <w:rPr>
                <w:rFonts w:ascii="宋体" w:hAnsi="宋体" w:eastAsia="宋体" w:cs="宋体"/>
                <w:b/>
                <w:color w:val="000000"/>
                <w:sz w:val="21"/>
                <w:szCs w:val="21"/>
              </w:rPr>
            </w:pPr>
            <w:r>
              <w:rPr>
                <w:rFonts w:hint="eastAsia" w:ascii="宋体" w:hAnsi="宋体" w:eastAsia="宋体" w:cs="宋体"/>
                <w:b/>
                <w:color w:val="000000"/>
                <w:kern w:val="0"/>
                <w:sz w:val="21"/>
                <w:szCs w:val="21"/>
                <w:lang w:bidi="ar"/>
              </w:rPr>
              <w:t>项目决策</w:t>
            </w:r>
            <w:r>
              <w:rPr>
                <w:rFonts w:hint="eastAsia" w:ascii="宋体" w:hAnsi="宋体" w:eastAsia="宋体" w:cs="宋体"/>
                <w:b/>
                <w:color w:val="000000"/>
                <w:kern w:val="0"/>
                <w:sz w:val="21"/>
                <w:szCs w:val="21"/>
                <w:lang w:bidi="ar"/>
              </w:rPr>
              <w:br w:type="textWrapping"/>
            </w:r>
            <w:r>
              <w:rPr>
                <w:rFonts w:hint="eastAsia" w:ascii="宋体" w:hAnsi="宋体" w:eastAsia="宋体" w:cs="宋体"/>
                <w:b/>
                <w:color w:val="000000"/>
                <w:kern w:val="0"/>
                <w:sz w:val="21"/>
                <w:szCs w:val="21"/>
                <w:lang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FB922">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决策程序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8DD2D">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320B6">
            <w:pPr>
              <w:widowControl/>
              <w:spacing w:line="240" w:lineRule="exact"/>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部门预算项目设立是否按规定履行评估论证、申报程序</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423C3">
            <w:pPr>
              <w:widowControl/>
              <w:spacing w:line="240" w:lineRule="exact"/>
              <w:jc w:val="left"/>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8739E">
            <w:pPr>
              <w:widowControl/>
              <w:spacing w:line="240" w:lineRule="exact"/>
              <w:jc w:val="left"/>
              <w:textAlignment w:val="center"/>
              <w:rPr>
                <w:rFonts w:ascii="宋体" w:hAnsi="宋体" w:eastAsia="宋体" w:cs="宋体"/>
                <w:color w:val="000000"/>
                <w:kern w:val="0"/>
                <w:sz w:val="21"/>
                <w:szCs w:val="21"/>
                <w:lang w:bidi="ar"/>
              </w:rPr>
            </w:pPr>
          </w:p>
        </w:tc>
      </w:tr>
      <w:tr w14:paraId="16FBBB30">
        <w:tblPrEx>
          <w:tblCellMar>
            <w:top w:w="0" w:type="dxa"/>
            <w:left w:w="108" w:type="dxa"/>
            <w:bottom w:w="0" w:type="dxa"/>
            <w:right w:w="108" w:type="dxa"/>
          </w:tblCellMar>
        </w:tblPrEx>
        <w:trPr>
          <w:trHeight w:val="23" w:hRule="atLeast"/>
          <w:jc w:val="center"/>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815A57">
            <w:pPr>
              <w:widowControl/>
              <w:spacing w:line="240" w:lineRule="exact"/>
              <w:jc w:val="center"/>
              <w:rPr>
                <w:rFonts w:ascii="宋体" w:hAnsi="宋体" w:eastAsia="宋体" w:cs="宋体"/>
                <w:b/>
                <w:color w:val="000000"/>
                <w:sz w:val="21"/>
                <w:szCs w:val="21"/>
              </w:rPr>
            </w:pPr>
          </w:p>
        </w:tc>
        <w:tc>
          <w:tcPr>
            <w:tcW w:w="1214" w:type="dxa"/>
            <w:vMerge w:val="continue"/>
            <w:tcBorders>
              <w:top w:val="single" w:color="000000" w:sz="4" w:space="0"/>
              <w:left w:val="single" w:color="000000" w:sz="4" w:space="0"/>
              <w:bottom w:val="nil"/>
              <w:right w:val="single" w:color="000000" w:sz="4" w:space="0"/>
            </w:tcBorders>
            <w:shd w:val="clear" w:color="auto" w:fill="auto"/>
            <w:vAlign w:val="center"/>
          </w:tcPr>
          <w:p w14:paraId="1825146F">
            <w:pPr>
              <w:widowControl/>
              <w:spacing w:line="240" w:lineRule="exact"/>
              <w:jc w:val="center"/>
              <w:rPr>
                <w:rFonts w:ascii="宋体" w:hAnsi="宋体" w:eastAsia="宋体" w:cs="宋体"/>
                <w:b/>
                <w:color w:val="000000"/>
                <w:sz w:val="21"/>
                <w:szCs w:val="21"/>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E7E1D">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目标设置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E7460">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79CAC">
            <w:pPr>
              <w:widowControl/>
              <w:spacing w:line="240" w:lineRule="exact"/>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部门预算项目绩效目标与计划期内的任务量、预算安排的资金量匹配情况，绩效目标设置是否科学合理、规范完整、量化细化、预算匹配</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ADC7F">
            <w:pPr>
              <w:widowControl/>
              <w:spacing w:line="240" w:lineRule="exact"/>
              <w:jc w:val="left"/>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334E1">
            <w:pPr>
              <w:widowControl/>
              <w:spacing w:line="240" w:lineRule="exact"/>
              <w:jc w:val="left"/>
              <w:textAlignment w:val="center"/>
              <w:rPr>
                <w:rFonts w:ascii="宋体" w:hAnsi="宋体" w:eastAsia="宋体" w:cs="宋体"/>
                <w:color w:val="000000"/>
                <w:kern w:val="0"/>
                <w:sz w:val="21"/>
                <w:szCs w:val="21"/>
                <w:lang w:bidi="ar"/>
              </w:rPr>
            </w:pPr>
          </w:p>
        </w:tc>
      </w:tr>
      <w:tr w14:paraId="75D6FEF9">
        <w:tblPrEx>
          <w:tblCellMar>
            <w:top w:w="0" w:type="dxa"/>
            <w:left w:w="108" w:type="dxa"/>
            <w:bottom w:w="0" w:type="dxa"/>
            <w:right w:w="108" w:type="dxa"/>
          </w:tblCellMar>
        </w:tblPrEx>
        <w:trPr>
          <w:trHeight w:val="23" w:hRule="atLeast"/>
          <w:jc w:val="center"/>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80E921">
            <w:pPr>
              <w:widowControl/>
              <w:spacing w:line="240" w:lineRule="exact"/>
              <w:jc w:val="center"/>
              <w:rPr>
                <w:rFonts w:ascii="宋体" w:hAnsi="宋体" w:eastAsia="宋体" w:cs="宋体"/>
                <w:b/>
                <w:color w:val="000000"/>
                <w:sz w:val="21"/>
                <w:szCs w:val="21"/>
              </w:rPr>
            </w:pPr>
          </w:p>
        </w:tc>
        <w:tc>
          <w:tcPr>
            <w:tcW w:w="1214" w:type="dxa"/>
            <w:vMerge w:val="continue"/>
            <w:tcBorders>
              <w:top w:val="single" w:color="000000" w:sz="4" w:space="0"/>
              <w:left w:val="single" w:color="000000" w:sz="4" w:space="0"/>
              <w:bottom w:val="nil"/>
              <w:right w:val="single" w:color="000000" w:sz="4" w:space="0"/>
            </w:tcBorders>
            <w:shd w:val="clear" w:color="auto" w:fill="auto"/>
            <w:vAlign w:val="center"/>
          </w:tcPr>
          <w:p w14:paraId="75E6E791">
            <w:pPr>
              <w:widowControl/>
              <w:spacing w:line="240" w:lineRule="exact"/>
              <w:jc w:val="center"/>
              <w:rPr>
                <w:rFonts w:ascii="宋体" w:hAnsi="宋体" w:eastAsia="宋体" w:cs="宋体"/>
                <w:b/>
                <w:color w:val="000000"/>
                <w:sz w:val="21"/>
                <w:szCs w:val="21"/>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EBB85">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项目入库</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C585A">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80C02">
            <w:pPr>
              <w:widowControl/>
              <w:spacing w:line="240" w:lineRule="exact"/>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部门预算项目是否在规定时间完成项目入库</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A9DDC">
            <w:pPr>
              <w:widowControl/>
              <w:spacing w:line="240" w:lineRule="exact"/>
              <w:jc w:val="left"/>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0F520">
            <w:pPr>
              <w:widowControl/>
              <w:spacing w:line="240" w:lineRule="exact"/>
              <w:jc w:val="left"/>
              <w:textAlignment w:val="center"/>
              <w:rPr>
                <w:rFonts w:ascii="宋体" w:hAnsi="宋体" w:eastAsia="宋体" w:cs="宋体"/>
                <w:color w:val="000000"/>
                <w:kern w:val="0"/>
                <w:sz w:val="21"/>
                <w:szCs w:val="21"/>
                <w:lang w:bidi="ar"/>
              </w:rPr>
            </w:pPr>
          </w:p>
        </w:tc>
      </w:tr>
      <w:tr w14:paraId="2AD4FBC4">
        <w:tblPrEx>
          <w:tblCellMar>
            <w:top w:w="0" w:type="dxa"/>
            <w:left w:w="108" w:type="dxa"/>
            <w:bottom w:w="0" w:type="dxa"/>
            <w:right w:w="108" w:type="dxa"/>
          </w:tblCellMar>
        </w:tblPrEx>
        <w:trPr>
          <w:trHeight w:val="23" w:hRule="atLeast"/>
          <w:jc w:val="center"/>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166BCA">
            <w:pPr>
              <w:widowControl/>
              <w:spacing w:line="240" w:lineRule="exact"/>
              <w:jc w:val="center"/>
              <w:rPr>
                <w:rFonts w:ascii="宋体" w:hAnsi="宋体" w:eastAsia="宋体" w:cs="宋体"/>
                <w:b/>
                <w:color w:val="000000"/>
                <w:sz w:val="21"/>
                <w:szCs w:val="21"/>
              </w:rPr>
            </w:pPr>
          </w:p>
        </w:tc>
        <w:tc>
          <w:tcPr>
            <w:tcW w:w="1214" w:type="dxa"/>
            <w:vMerge w:val="restart"/>
            <w:tcBorders>
              <w:top w:val="single" w:color="000000" w:sz="4" w:space="0"/>
              <w:left w:val="single" w:color="000000" w:sz="4" w:space="0"/>
              <w:bottom w:val="nil"/>
              <w:right w:val="single" w:color="000000" w:sz="4" w:space="0"/>
            </w:tcBorders>
            <w:shd w:val="clear" w:color="auto" w:fill="auto"/>
            <w:vAlign w:val="center"/>
          </w:tcPr>
          <w:p w14:paraId="120145AF">
            <w:pPr>
              <w:widowControl/>
              <w:spacing w:line="240" w:lineRule="exact"/>
              <w:jc w:val="center"/>
              <w:textAlignment w:val="center"/>
              <w:rPr>
                <w:rFonts w:ascii="宋体" w:hAnsi="宋体" w:eastAsia="宋体" w:cs="宋体"/>
                <w:b/>
                <w:color w:val="000000"/>
                <w:sz w:val="21"/>
                <w:szCs w:val="21"/>
              </w:rPr>
            </w:pPr>
            <w:r>
              <w:rPr>
                <w:rFonts w:hint="eastAsia" w:ascii="宋体" w:hAnsi="宋体" w:eastAsia="宋体" w:cs="宋体"/>
                <w:b/>
                <w:color w:val="000000"/>
                <w:kern w:val="0"/>
                <w:sz w:val="21"/>
                <w:szCs w:val="21"/>
                <w:lang w:bidi="ar"/>
              </w:rPr>
              <w:t>项目执行</w:t>
            </w:r>
            <w:r>
              <w:rPr>
                <w:rFonts w:hint="eastAsia" w:ascii="宋体" w:hAnsi="宋体" w:eastAsia="宋体" w:cs="宋体"/>
                <w:b/>
                <w:color w:val="000000"/>
                <w:kern w:val="0"/>
                <w:sz w:val="21"/>
                <w:szCs w:val="21"/>
                <w:lang w:bidi="ar"/>
              </w:rPr>
              <w:br w:type="textWrapping"/>
            </w:r>
            <w:r>
              <w:rPr>
                <w:rFonts w:hint="eastAsia" w:ascii="宋体" w:hAnsi="宋体" w:eastAsia="宋体" w:cs="宋体"/>
                <w:b/>
                <w:color w:val="000000"/>
                <w:kern w:val="0"/>
                <w:sz w:val="21"/>
                <w:szCs w:val="21"/>
                <w:lang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47AA8">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执行同向</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823F6">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C6AC7">
            <w:pPr>
              <w:widowControl/>
              <w:spacing w:line="240" w:lineRule="exact"/>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部门预算项目实际列支内容是否与绩效目标设置方向相符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38EC8">
            <w:pPr>
              <w:widowControl/>
              <w:spacing w:line="240" w:lineRule="exact"/>
              <w:jc w:val="left"/>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2C859">
            <w:pPr>
              <w:widowControl/>
              <w:spacing w:line="240" w:lineRule="exact"/>
              <w:jc w:val="left"/>
              <w:textAlignment w:val="center"/>
              <w:rPr>
                <w:rFonts w:ascii="宋体" w:hAnsi="宋体" w:eastAsia="宋体" w:cs="宋体"/>
                <w:color w:val="000000"/>
                <w:kern w:val="0"/>
                <w:sz w:val="21"/>
                <w:szCs w:val="21"/>
                <w:lang w:bidi="ar"/>
              </w:rPr>
            </w:pPr>
          </w:p>
        </w:tc>
      </w:tr>
      <w:tr w14:paraId="27F060D7">
        <w:tblPrEx>
          <w:tblCellMar>
            <w:top w:w="0" w:type="dxa"/>
            <w:left w:w="108" w:type="dxa"/>
            <w:bottom w:w="0" w:type="dxa"/>
            <w:right w:w="108" w:type="dxa"/>
          </w:tblCellMar>
        </w:tblPrEx>
        <w:trPr>
          <w:trHeight w:val="513" w:hRule="atLeast"/>
          <w:jc w:val="center"/>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9C0A41">
            <w:pPr>
              <w:widowControl/>
              <w:spacing w:line="240" w:lineRule="exact"/>
              <w:jc w:val="center"/>
              <w:rPr>
                <w:rFonts w:ascii="宋体" w:hAnsi="宋体" w:eastAsia="宋体" w:cs="宋体"/>
                <w:b/>
                <w:color w:val="000000"/>
                <w:sz w:val="21"/>
                <w:szCs w:val="21"/>
              </w:rPr>
            </w:pPr>
          </w:p>
        </w:tc>
        <w:tc>
          <w:tcPr>
            <w:tcW w:w="1214" w:type="dxa"/>
            <w:vMerge w:val="continue"/>
            <w:tcBorders>
              <w:top w:val="single" w:color="000000" w:sz="4" w:space="0"/>
              <w:left w:val="single" w:color="000000" w:sz="4" w:space="0"/>
              <w:bottom w:val="nil"/>
              <w:right w:val="single" w:color="000000" w:sz="4" w:space="0"/>
            </w:tcBorders>
            <w:shd w:val="clear" w:color="auto" w:fill="auto"/>
            <w:vAlign w:val="center"/>
          </w:tcPr>
          <w:p w14:paraId="091FFF34">
            <w:pPr>
              <w:widowControl/>
              <w:spacing w:line="240" w:lineRule="exact"/>
              <w:jc w:val="center"/>
              <w:rPr>
                <w:rFonts w:ascii="宋体" w:hAnsi="宋体" w:eastAsia="宋体" w:cs="宋体"/>
                <w:b/>
                <w:color w:val="000000"/>
                <w:sz w:val="21"/>
                <w:szCs w:val="21"/>
              </w:rPr>
            </w:pPr>
          </w:p>
        </w:tc>
        <w:tc>
          <w:tcPr>
            <w:tcW w:w="1665" w:type="dxa"/>
            <w:tcBorders>
              <w:top w:val="single" w:color="000000" w:sz="4" w:space="0"/>
              <w:left w:val="single" w:color="000000" w:sz="4" w:space="0"/>
              <w:bottom w:val="nil"/>
              <w:right w:val="single" w:color="000000" w:sz="4" w:space="0"/>
            </w:tcBorders>
            <w:shd w:val="clear" w:color="auto" w:fill="auto"/>
            <w:vAlign w:val="center"/>
          </w:tcPr>
          <w:p w14:paraId="031DC1BC">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项目调整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4FD7B">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F8664">
            <w:pPr>
              <w:widowControl/>
              <w:spacing w:line="240" w:lineRule="exact"/>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部门预算项目是否采取对应调整措施</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8F7B2">
            <w:pPr>
              <w:widowControl/>
              <w:spacing w:line="240" w:lineRule="exact"/>
              <w:jc w:val="left"/>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F8860">
            <w:pPr>
              <w:widowControl/>
              <w:spacing w:line="240" w:lineRule="exact"/>
              <w:jc w:val="left"/>
              <w:textAlignment w:val="center"/>
              <w:rPr>
                <w:rFonts w:ascii="宋体" w:hAnsi="宋体" w:eastAsia="宋体" w:cs="宋体"/>
                <w:color w:val="000000"/>
                <w:kern w:val="0"/>
                <w:sz w:val="21"/>
                <w:szCs w:val="21"/>
                <w:lang w:bidi="ar"/>
              </w:rPr>
            </w:pPr>
          </w:p>
        </w:tc>
      </w:tr>
      <w:tr w14:paraId="70D58ABD">
        <w:tblPrEx>
          <w:tblCellMar>
            <w:top w:w="0" w:type="dxa"/>
            <w:left w:w="108" w:type="dxa"/>
            <w:bottom w:w="0" w:type="dxa"/>
            <w:right w:w="108" w:type="dxa"/>
          </w:tblCellMar>
        </w:tblPrEx>
        <w:trPr>
          <w:trHeight w:val="249" w:hRule="atLeast"/>
          <w:jc w:val="center"/>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976E77">
            <w:pPr>
              <w:widowControl/>
              <w:spacing w:line="240" w:lineRule="exact"/>
              <w:jc w:val="center"/>
              <w:rPr>
                <w:rFonts w:ascii="宋体" w:hAnsi="宋体" w:eastAsia="宋体" w:cs="宋体"/>
                <w:b/>
                <w:color w:val="000000"/>
                <w:sz w:val="21"/>
                <w:szCs w:val="21"/>
              </w:rPr>
            </w:pPr>
          </w:p>
        </w:tc>
        <w:tc>
          <w:tcPr>
            <w:tcW w:w="1214" w:type="dxa"/>
            <w:vMerge w:val="continue"/>
            <w:tcBorders>
              <w:top w:val="single" w:color="000000" w:sz="4" w:space="0"/>
              <w:left w:val="single" w:color="000000" w:sz="4" w:space="0"/>
              <w:bottom w:val="nil"/>
              <w:right w:val="single" w:color="000000" w:sz="4" w:space="0"/>
            </w:tcBorders>
            <w:shd w:val="clear" w:color="auto" w:fill="auto"/>
            <w:vAlign w:val="center"/>
          </w:tcPr>
          <w:p w14:paraId="3FEEB246">
            <w:pPr>
              <w:widowControl/>
              <w:spacing w:line="240" w:lineRule="exact"/>
              <w:jc w:val="center"/>
              <w:rPr>
                <w:rFonts w:ascii="宋体" w:hAnsi="宋体" w:eastAsia="宋体" w:cs="宋体"/>
                <w:b/>
                <w:color w:val="000000"/>
                <w:sz w:val="21"/>
                <w:szCs w:val="21"/>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D3A56">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执行结果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AE6D7">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A008C">
            <w:pPr>
              <w:widowControl/>
              <w:spacing w:line="240" w:lineRule="exact"/>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部门预算项目预算执行情况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6317A">
            <w:pPr>
              <w:widowControl/>
              <w:spacing w:line="240" w:lineRule="exact"/>
              <w:jc w:val="left"/>
              <w:textAlignment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C64B3">
            <w:pPr>
              <w:widowControl/>
              <w:spacing w:line="240" w:lineRule="exact"/>
              <w:jc w:val="left"/>
              <w:textAlignment w:val="center"/>
              <w:rPr>
                <w:rFonts w:ascii="宋体" w:hAnsi="宋体" w:eastAsia="宋体" w:cs="宋体"/>
                <w:color w:val="000000"/>
                <w:kern w:val="0"/>
                <w:sz w:val="21"/>
                <w:szCs w:val="21"/>
                <w:lang w:bidi="ar"/>
              </w:rPr>
            </w:pPr>
          </w:p>
        </w:tc>
      </w:tr>
      <w:tr w14:paraId="132F879E">
        <w:tblPrEx>
          <w:tblCellMar>
            <w:top w:w="0" w:type="dxa"/>
            <w:left w:w="108" w:type="dxa"/>
            <w:bottom w:w="0" w:type="dxa"/>
            <w:right w:w="108" w:type="dxa"/>
          </w:tblCellMar>
        </w:tblPrEx>
        <w:trPr>
          <w:trHeight w:val="23" w:hRule="atLeast"/>
          <w:jc w:val="center"/>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34BDD5">
            <w:pPr>
              <w:widowControl/>
              <w:spacing w:line="240" w:lineRule="exact"/>
              <w:jc w:val="center"/>
              <w:rPr>
                <w:rFonts w:ascii="宋体" w:hAnsi="宋体" w:eastAsia="宋体" w:cs="宋体"/>
                <w:b/>
                <w:color w:val="000000"/>
                <w:sz w:val="21"/>
                <w:szCs w:val="21"/>
              </w:rPr>
            </w:pPr>
          </w:p>
        </w:tc>
        <w:tc>
          <w:tcPr>
            <w:tcW w:w="12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06480F">
            <w:pPr>
              <w:widowControl/>
              <w:spacing w:line="240" w:lineRule="exact"/>
              <w:jc w:val="center"/>
              <w:textAlignment w:val="center"/>
              <w:rPr>
                <w:rFonts w:ascii="宋体" w:hAnsi="宋体" w:eastAsia="宋体" w:cs="宋体"/>
                <w:b/>
                <w:color w:val="000000"/>
                <w:sz w:val="21"/>
                <w:szCs w:val="21"/>
              </w:rPr>
            </w:pPr>
            <w:r>
              <w:rPr>
                <w:rFonts w:hint="eastAsia" w:ascii="宋体" w:hAnsi="宋体" w:eastAsia="宋体" w:cs="宋体"/>
                <w:b/>
                <w:color w:val="000000"/>
                <w:kern w:val="0"/>
                <w:sz w:val="21"/>
                <w:szCs w:val="21"/>
                <w:lang w:bidi="ar"/>
              </w:rPr>
              <w:t>目标实现</w:t>
            </w:r>
            <w:r>
              <w:rPr>
                <w:rFonts w:hint="eastAsia" w:ascii="宋体" w:hAnsi="宋体" w:eastAsia="宋体" w:cs="宋体"/>
                <w:b/>
                <w:color w:val="000000"/>
                <w:kern w:val="0"/>
                <w:sz w:val="21"/>
                <w:szCs w:val="21"/>
                <w:lang w:bidi="ar"/>
              </w:rPr>
              <w:br w:type="textWrapping"/>
            </w:r>
            <w:r>
              <w:rPr>
                <w:rFonts w:hint="eastAsia" w:ascii="宋体" w:hAnsi="宋体" w:eastAsia="宋体" w:cs="宋体"/>
                <w:b/>
                <w:color w:val="000000"/>
                <w:kern w:val="0"/>
                <w:sz w:val="21"/>
                <w:szCs w:val="21"/>
                <w:lang w:bidi="ar"/>
              </w:rPr>
              <w:t>（11分）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A84E9">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目标完成</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94B3D">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735C2">
            <w:pPr>
              <w:widowControl/>
              <w:spacing w:line="240" w:lineRule="exact"/>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部门预算项目绩效目标数量指标完成情况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9DB93">
            <w:pPr>
              <w:widowControl/>
              <w:spacing w:line="240" w:lineRule="exact"/>
              <w:jc w:val="left"/>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1B204">
            <w:pPr>
              <w:widowControl/>
              <w:spacing w:line="240" w:lineRule="exact"/>
              <w:jc w:val="left"/>
              <w:textAlignment w:val="center"/>
              <w:rPr>
                <w:rFonts w:ascii="宋体" w:hAnsi="宋体" w:eastAsia="宋体" w:cs="宋体"/>
                <w:color w:val="000000"/>
                <w:kern w:val="0"/>
                <w:sz w:val="21"/>
                <w:szCs w:val="21"/>
                <w:lang w:bidi="ar"/>
              </w:rPr>
            </w:pPr>
          </w:p>
        </w:tc>
      </w:tr>
      <w:tr w14:paraId="0A8D7228">
        <w:tblPrEx>
          <w:tblCellMar>
            <w:top w:w="0" w:type="dxa"/>
            <w:left w:w="108" w:type="dxa"/>
            <w:bottom w:w="0" w:type="dxa"/>
            <w:right w:w="108" w:type="dxa"/>
          </w:tblCellMar>
        </w:tblPrEx>
        <w:trPr>
          <w:trHeight w:val="23" w:hRule="atLeast"/>
          <w:jc w:val="center"/>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897BF8">
            <w:pPr>
              <w:widowControl/>
              <w:spacing w:line="240" w:lineRule="exact"/>
              <w:jc w:val="center"/>
              <w:rPr>
                <w:rFonts w:ascii="宋体" w:hAnsi="宋体" w:eastAsia="宋体" w:cs="宋体"/>
                <w:b/>
                <w:color w:val="000000"/>
                <w:sz w:val="21"/>
                <w:szCs w:val="21"/>
              </w:rPr>
            </w:pPr>
          </w:p>
        </w:tc>
        <w:tc>
          <w:tcPr>
            <w:tcW w:w="12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A63D1E">
            <w:pPr>
              <w:widowControl/>
              <w:spacing w:line="240" w:lineRule="exact"/>
              <w:jc w:val="center"/>
              <w:rPr>
                <w:rFonts w:ascii="宋体" w:hAnsi="宋体" w:eastAsia="宋体" w:cs="宋体"/>
                <w:b/>
                <w:color w:val="000000"/>
                <w:sz w:val="21"/>
                <w:szCs w:val="21"/>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3C836">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目标偏离</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A573D">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3290F">
            <w:pPr>
              <w:widowControl/>
              <w:spacing w:line="240" w:lineRule="exact"/>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部门预算项目绩效目标数量指标实现程度与预期目标的偏离情况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EB7EC">
            <w:pPr>
              <w:widowControl/>
              <w:spacing w:line="240" w:lineRule="exact"/>
              <w:jc w:val="left"/>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4D4E8">
            <w:pPr>
              <w:widowControl/>
              <w:spacing w:line="240" w:lineRule="exact"/>
              <w:jc w:val="left"/>
              <w:textAlignment w:val="center"/>
              <w:rPr>
                <w:rFonts w:ascii="宋体" w:hAnsi="宋体" w:eastAsia="宋体" w:cs="宋体"/>
                <w:color w:val="000000"/>
                <w:kern w:val="0"/>
                <w:sz w:val="21"/>
                <w:szCs w:val="21"/>
                <w:lang w:bidi="ar"/>
              </w:rPr>
            </w:pPr>
          </w:p>
        </w:tc>
      </w:tr>
      <w:tr w14:paraId="5A235E80">
        <w:tblPrEx>
          <w:tblCellMar>
            <w:top w:w="0" w:type="dxa"/>
            <w:left w:w="108" w:type="dxa"/>
            <w:bottom w:w="0" w:type="dxa"/>
            <w:right w:w="108" w:type="dxa"/>
          </w:tblCellMar>
        </w:tblPrEx>
        <w:trPr>
          <w:trHeight w:val="23" w:hRule="atLeast"/>
          <w:jc w:val="center"/>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0D62A1">
            <w:pPr>
              <w:widowControl/>
              <w:spacing w:line="240" w:lineRule="exact"/>
              <w:jc w:val="center"/>
              <w:rPr>
                <w:rFonts w:ascii="宋体" w:hAnsi="宋体" w:eastAsia="宋体" w:cs="宋体"/>
                <w:b/>
                <w:color w:val="000000"/>
                <w:sz w:val="21"/>
                <w:szCs w:val="21"/>
              </w:rPr>
            </w:pPr>
          </w:p>
        </w:tc>
        <w:tc>
          <w:tcPr>
            <w:tcW w:w="12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5B15C7">
            <w:pPr>
              <w:widowControl/>
              <w:spacing w:line="240" w:lineRule="exact"/>
              <w:jc w:val="center"/>
              <w:rPr>
                <w:rFonts w:ascii="宋体" w:hAnsi="宋体" w:eastAsia="宋体" w:cs="宋体"/>
                <w:b/>
                <w:color w:val="000000"/>
                <w:sz w:val="21"/>
                <w:szCs w:val="21"/>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45662">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实现效果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D539C">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5B5B0">
            <w:pPr>
              <w:widowControl/>
              <w:spacing w:line="240" w:lineRule="exact"/>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部门预算项目绩效目标效益指标实施效果</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43AD0">
            <w:pPr>
              <w:widowControl/>
              <w:spacing w:line="240" w:lineRule="exact"/>
              <w:jc w:val="left"/>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1CA6E">
            <w:pPr>
              <w:widowControl/>
              <w:spacing w:line="240" w:lineRule="exact"/>
              <w:jc w:val="left"/>
              <w:textAlignment w:val="center"/>
              <w:rPr>
                <w:rFonts w:ascii="宋体" w:hAnsi="宋体" w:eastAsia="宋体" w:cs="宋体"/>
                <w:color w:val="000000"/>
                <w:kern w:val="0"/>
                <w:sz w:val="21"/>
                <w:szCs w:val="21"/>
                <w:lang w:bidi="ar"/>
              </w:rPr>
            </w:pPr>
          </w:p>
        </w:tc>
      </w:tr>
      <w:tr w14:paraId="00CD7B04">
        <w:tblPrEx>
          <w:tblCellMar>
            <w:top w:w="0" w:type="dxa"/>
            <w:left w:w="108" w:type="dxa"/>
            <w:bottom w:w="0" w:type="dxa"/>
            <w:right w:w="108" w:type="dxa"/>
          </w:tblCellMar>
        </w:tblPrEx>
        <w:trPr>
          <w:trHeight w:val="470" w:hRule="atLeast"/>
          <w:jc w:val="center"/>
        </w:trPr>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510E0">
            <w:pPr>
              <w:widowControl/>
              <w:spacing w:line="240" w:lineRule="exact"/>
              <w:jc w:val="center"/>
              <w:textAlignment w:val="center"/>
              <w:rPr>
                <w:rFonts w:ascii="宋体" w:hAnsi="宋体" w:eastAsia="宋体" w:cs="宋体"/>
                <w:b/>
                <w:color w:val="000000"/>
                <w:sz w:val="21"/>
                <w:szCs w:val="21"/>
              </w:rPr>
            </w:pPr>
            <w:r>
              <w:rPr>
                <w:rFonts w:hint="eastAsia" w:ascii="宋体" w:hAnsi="宋体" w:eastAsia="宋体" w:cs="宋体"/>
                <w:b/>
                <w:color w:val="000000"/>
                <w:kern w:val="0"/>
                <w:sz w:val="21"/>
                <w:szCs w:val="21"/>
                <w:lang w:bidi="ar"/>
              </w:rPr>
              <w:t>扣分项</w:t>
            </w:r>
            <w:r>
              <w:rPr>
                <w:rFonts w:hint="eastAsia" w:ascii="宋体" w:hAnsi="宋体" w:eastAsia="宋体" w:cs="宋体"/>
                <w:b/>
                <w:color w:val="000000"/>
                <w:kern w:val="0"/>
                <w:sz w:val="21"/>
                <w:szCs w:val="21"/>
                <w:lang w:bidi="ar"/>
              </w:rPr>
              <w:br w:type="textWrapping"/>
            </w:r>
            <w:r>
              <w:rPr>
                <w:rFonts w:hint="eastAsia" w:ascii="宋体" w:hAnsi="宋体" w:eastAsia="宋体" w:cs="宋体"/>
                <w:b/>
                <w:color w:val="000000"/>
                <w:kern w:val="0"/>
                <w:sz w:val="21"/>
                <w:szCs w:val="21"/>
                <w:lang w:bidi="ar"/>
              </w:rPr>
              <w:t>（10分）</w:t>
            </w:r>
          </w:p>
        </w:tc>
        <w:tc>
          <w:tcPr>
            <w:tcW w:w="28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2350D8">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被评价部门配合度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721BD">
            <w:pPr>
              <w:widowControl/>
              <w:spacing w:line="240" w:lineRule="exact"/>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6E6B4">
            <w:pPr>
              <w:widowControl/>
              <w:spacing w:line="240" w:lineRule="exact"/>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被评价对象工作配合情况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BB232">
            <w:pPr>
              <w:widowControl/>
              <w:spacing w:line="240" w:lineRule="exact"/>
              <w:jc w:val="left"/>
              <w:textAlignment w:val="center"/>
              <w:rPr>
                <w:rFonts w:ascii="宋体" w:hAnsi="宋体" w:eastAsia="宋体" w:cs="宋体"/>
                <w:color w:val="000000"/>
                <w:kern w:val="0"/>
                <w:sz w:val="21"/>
                <w:szCs w:val="21"/>
                <w:lang w:bidi="ar"/>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8EA1C">
            <w:pPr>
              <w:widowControl/>
              <w:spacing w:line="240" w:lineRule="exact"/>
              <w:jc w:val="left"/>
              <w:textAlignment w:val="center"/>
              <w:rPr>
                <w:rFonts w:ascii="宋体" w:hAnsi="宋体" w:eastAsia="宋体" w:cs="宋体"/>
                <w:color w:val="000000"/>
                <w:kern w:val="0"/>
                <w:sz w:val="21"/>
                <w:szCs w:val="21"/>
                <w:lang w:bidi="ar"/>
              </w:rPr>
            </w:pPr>
          </w:p>
        </w:tc>
      </w:tr>
      <w:tr w14:paraId="5EDC6757">
        <w:tblPrEx>
          <w:tblCellMar>
            <w:top w:w="0" w:type="dxa"/>
            <w:left w:w="108" w:type="dxa"/>
            <w:bottom w:w="0" w:type="dxa"/>
            <w:right w:w="108" w:type="dxa"/>
          </w:tblCellMar>
        </w:tblPrEx>
        <w:trPr>
          <w:trHeight w:val="690" w:hRule="atLeast"/>
          <w:jc w:val="center"/>
        </w:trPr>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C4E0B">
            <w:pPr>
              <w:widowControl/>
              <w:spacing w:line="240" w:lineRule="exact"/>
              <w:jc w:val="center"/>
              <w:textAlignment w:val="center"/>
              <w:rPr>
                <w:rFonts w:hint="eastAsia" w:ascii="宋体" w:hAnsi="宋体" w:eastAsia="宋体" w:cs="宋体"/>
                <w:b/>
                <w:color w:val="000000"/>
                <w:kern w:val="0"/>
                <w:sz w:val="21"/>
                <w:szCs w:val="21"/>
                <w:lang w:val="en-US" w:eastAsia="zh-CN" w:bidi="ar"/>
              </w:rPr>
            </w:pPr>
            <w:r>
              <w:rPr>
                <w:rFonts w:hint="eastAsia" w:ascii="宋体" w:hAnsi="宋体" w:cs="宋体"/>
                <w:b/>
                <w:color w:val="000000"/>
                <w:kern w:val="0"/>
                <w:sz w:val="21"/>
                <w:szCs w:val="21"/>
                <w:lang w:val="en-US" w:eastAsia="zh-CN" w:bidi="ar"/>
              </w:rPr>
              <w:t>合计</w:t>
            </w:r>
          </w:p>
        </w:tc>
        <w:tc>
          <w:tcPr>
            <w:tcW w:w="28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1AF127">
            <w:pPr>
              <w:widowControl/>
              <w:spacing w:line="240" w:lineRule="exact"/>
              <w:jc w:val="center"/>
              <w:textAlignment w:val="center"/>
              <w:rPr>
                <w:rFonts w:hint="eastAsia" w:ascii="宋体" w:hAnsi="宋体" w:eastAsia="宋体" w:cs="宋体"/>
                <w:color w:val="000000"/>
                <w:kern w:val="0"/>
                <w:sz w:val="21"/>
                <w:szCs w:val="21"/>
                <w:lang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B6A7B">
            <w:pPr>
              <w:widowControl/>
              <w:spacing w:line="240" w:lineRule="exact"/>
              <w:jc w:val="center"/>
              <w:textAlignment w:val="center"/>
              <w:rPr>
                <w:rFonts w:hint="eastAsia" w:ascii="宋体" w:hAnsi="宋体" w:eastAsia="宋体" w:cs="宋体"/>
                <w:color w:val="000000"/>
                <w:kern w:val="0"/>
                <w:sz w:val="21"/>
                <w:szCs w:val="21"/>
                <w:lang w:bidi="ar"/>
              </w:rPr>
            </w:pP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B157C">
            <w:pPr>
              <w:widowControl/>
              <w:spacing w:line="240" w:lineRule="exact"/>
              <w:jc w:val="left"/>
              <w:textAlignment w:val="center"/>
              <w:rPr>
                <w:rFonts w:hint="eastAsia" w:ascii="宋体" w:hAnsi="宋体" w:eastAsia="宋体" w:cs="宋体"/>
                <w:color w:val="000000"/>
                <w:kern w:val="0"/>
                <w:sz w:val="21"/>
                <w:szCs w:val="21"/>
                <w:lang w:bidi="ar"/>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13C37">
            <w:pPr>
              <w:widowControl/>
              <w:spacing w:line="240" w:lineRule="exact"/>
              <w:jc w:val="left"/>
              <w:textAlignment w:val="center"/>
              <w:rPr>
                <w:rFonts w:hint="default"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94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85E9F">
            <w:pPr>
              <w:widowControl/>
              <w:spacing w:line="240" w:lineRule="exact"/>
              <w:jc w:val="left"/>
              <w:textAlignment w:val="center"/>
              <w:rPr>
                <w:rFonts w:ascii="宋体" w:hAnsi="宋体" w:eastAsia="宋体" w:cs="宋体"/>
                <w:color w:val="000000"/>
                <w:kern w:val="0"/>
                <w:sz w:val="21"/>
                <w:szCs w:val="21"/>
                <w:lang w:bidi="ar"/>
              </w:rPr>
            </w:pPr>
          </w:p>
        </w:tc>
      </w:tr>
    </w:tbl>
    <w:p w14:paraId="6094C1C6">
      <w:pPr>
        <w:pStyle w:val="3"/>
        <w:keepNext w:val="0"/>
        <w:keepLines w:val="0"/>
        <w:pageBreakBefore w:val="0"/>
        <w:numPr>
          <w:ilvl w:val="0"/>
          <w:numId w:val="0"/>
        </w:numPr>
        <w:kinsoku/>
        <w:wordWrap/>
        <w:overflowPunct/>
        <w:topLinePunct w:val="0"/>
        <w:autoSpaceDE/>
        <w:autoSpaceDN/>
        <w:bidi w:val="0"/>
        <w:spacing w:line="560" w:lineRule="exact"/>
        <w:textAlignment w:val="auto"/>
        <w:rPr>
          <w:rFonts w:hint="eastAsia" w:ascii="黑体" w:hAnsi="黑体" w:eastAsia="黑体" w:cs="黑体"/>
          <w:b w:val="0"/>
          <w:bCs w:val="0"/>
          <w:kern w:val="2"/>
          <w:sz w:val="32"/>
          <w:szCs w:val="32"/>
          <w:u w:val="none"/>
          <w:lang w:val="zh-CN" w:eastAsia="zh-CN" w:bidi="ar"/>
        </w:rPr>
      </w:pPr>
      <w:r>
        <w:rPr>
          <w:rFonts w:hint="eastAsia" w:ascii="黑体" w:hAnsi="黑体" w:eastAsia="黑体" w:cs="黑体"/>
          <w:b w:val="0"/>
          <w:bCs w:val="0"/>
          <w:kern w:val="2"/>
          <w:sz w:val="32"/>
          <w:szCs w:val="32"/>
          <w:u w:val="none"/>
          <w:lang w:val="zh-CN" w:eastAsia="zh-CN" w:bidi="ar"/>
        </w:rPr>
        <w:t>附表</w:t>
      </w:r>
    </w:p>
    <w:tbl>
      <w:tblPr>
        <w:tblStyle w:val="16"/>
        <w:tblW w:w="10560" w:type="dxa"/>
        <w:jc w:val="center"/>
        <w:tblLayout w:type="fixed"/>
        <w:tblCellMar>
          <w:top w:w="15" w:type="dxa"/>
          <w:left w:w="15" w:type="dxa"/>
          <w:bottom w:w="15" w:type="dxa"/>
          <w:right w:w="15" w:type="dxa"/>
        </w:tblCellMar>
      </w:tblPr>
      <w:tblGrid>
        <w:gridCol w:w="1308"/>
        <w:gridCol w:w="1347"/>
        <w:gridCol w:w="1273"/>
        <w:gridCol w:w="1270"/>
        <w:gridCol w:w="975"/>
        <w:gridCol w:w="1289"/>
        <w:gridCol w:w="1058"/>
        <w:gridCol w:w="926"/>
        <w:gridCol w:w="1114"/>
      </w:tblGrid>
      <w:tr w14:paraId="73639F3A">
        <w:tblPrEx>
          <w:tblCellMar>
            <w:top w:w="15" w:type="dxa"/>
            <w:left w:w="15" w:type="dxa"/>
            <w:bottom w:w="15" w:type="dxa"/>
            <w:right w:w="15" w:type="dxa"/>
          </w:tblCellMar>
        </w:tblPrEx>
        <w:trPr>
          <w:trHeight w:val="762" w:hRule="exact"/>
          <w:jc w:val="center"/>
        </w:trPr>
        <w:tc>
          <w:tcPr>
            <w:tcW w:w="10560" w:type="dxa"/>
            <w:gridSpan w:val="9"/>
            <w:noWrap w:val="0"/>
            <w:vAlign w:val="center"/>
          </w:tcPr>
          <w:p w14:paraId="6967B49D">
            <w:pPr>
              <w:widowControl/>
              <w:spacing w:line="600" w:lineRule="exact"/>
              <w:jc w:val="center"/>
              <w:textAlignment w:val="center"/>
              <w:rPr>
                <w:rFonts w:eastAsia="黑体"/>
                <w:color w:val="000000"/>
                <w:sz w:val="28"/>
                <w:szCs w:val="28"/>
              </w:rPr>
            </w:pPr>
            <w:r>
              <w:rPr>
                <w:rFonts w:eastAsia="方正小标宋简体"/>
                <w:color w:val="000000"/>
                <w:kern w:val="0"/>
                <w:sz w:val="44"/>
                <w:szCs w:val="44"/>
                <w:lang w:bidi="ar"/>
              </w:rPr>
              <w:t>部门整体支出绩效目标完成情况自评表</w:t>
            </w:r>
          </w:p>
        </w:tc>
      </w:tr>
      <w:tr w14:paraId="00E9577A">
        <w:tblPrEx>
          <w:tblCellMar>
            <w:top w:w="15" w:type="dxa"/>
            <w:left w:w="15" w:type="dxa"/>
            <w:bottom w:w="15" w:type="dxa"/>
            <w:right w:w="15" w:type="dxa"/>
          </w:tblCellMar>
        </w:tblPrEx>
        <w:trPr>
          <w:trHeight w:val="23" w:hRule="atLeast"/>
          <w:jc w:val="center"/>
        </w:trPr>
        <w:tc>
          <w:tcPr>
            <w:tcW w:w="10560" w:type="dxa"/>
            <w:gridSpan w:val="9"/>
            <w:noWrap w:val="0"/>
            <w:vAlign w:val="center"/>
          </w:tcPr>
          <w:p w14:paraId="2C373A73">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（202</w:t>
            </w:r>
            <w:r>
              <w:rPr>
                <w:rFonts w:hint="eastAsia" w:ascii="仿宋_GB2312" w:hAnsi="仿宋_GB2312" w:eastAsia="仿宋_GB2312" w:cs="仿宋_GB2312"/>
                <w:color w:val="000000"/>
                <w:kern w:val="0"/>
                <w:sz w:val="28"/>
                <w:szCs w:val="28"/>
                <w:lang w:val="en-US" w:eastAsia="zh-CN" w:bidi="ar"/>
              </w:rPr>
              <w:t>4</w:t>
            </w:r>
            <w:r>
              <w:rPr>
                <w:rFonts w:hint="eastAsia" w:ascii="仿宋_GB2312" w:hAnsi="仿宋_GB2312" w:eastAsia="仿宋_GB2312" w:cs="仿宋_GB2312"/>
                <w:color w:val="000000"/>
                <w:kern w:val="0"/>
                <w:sz w:val="28"/>
                <w:szCs w:val="28"/>
                <w:lang w:bidi="ar"/>
              </w:rPr>
              <w:t>年度）</w:t>
            </w:r>
          </w:p>
        </w:tc>
      </w:tr>
      <w:tr w14:paraId="606E33A0">
        <w:tblPrEx>
          <w:tblCellMar>
            <w:top w:w="15" w:type="dxa"/>
            <w:left w:w="15" w:type="dxa"/>
            <w:bottom w:w="15" w:type="dxa"/>
            <w:right w:w="15" w:type="dxa"/>
          </w:tblCellMar>
        </w:tblPrEx>
        <w:trPr>
          <w:trHeight w:val="23" w:hRule="atLeast"/>
          <w:jc w:val="center"/>
        </w:trPr>
        <w:tc>
          <w:tcPr>
            <w:tcW w:w="10560" w:type="dxa"/>
            <w:gridSpan w:val="9"/>
            <w:tcBorders>
              <w:bottom w:val="single" w:color="000000" w:sz="4" w:space="0"/>
            </w:tcBorders>
            <w:noWrap w:val="0"/>
            <w:vAlign w:val="center"/>
          </w:tcPr>
          <w:p w14:paraId="259471C1">
            <w:pPr>
              <w:keepNext w:val="0"/>
              <w:keepLines w:val="0"/>
              <w:pageBreakBefore w:val="0"/>
              <w:widowControl/>
              <w:kinsoku/>
              <w:wordWrap/>
              <w:overflowPunct/>
              <w:topLinePunct w:val="0"/>
              <w:autoSpaceDE/>
              <w:autoSpaceDN/>
              <w:bidi w:val="0"/>
              <w:adjustRightInd/>
              <w:snapToGrid/>
              <w:spacing w:line="260" w:lineRule="exact"/>
              <w:jc w:val="righ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单位：万元</w:t>
            </w:r>
          </w:p>
        </w:tc>
      </w:tr>
      <w:tr w14:paraId="34BEB331">
        <w:tblPrEx>
          <w:tblCellMar>
            <w:top w:w="15" w:type="dxa"/>
            <w:left w:w="15" w:type="dxa"/>
            <w:bottom w:w="15" w:type="dxa"/>
            <w:right w:w="15" w:type="dxa"/>
          </w:tblCellMar>
        </w:tblPrEx>
        <w:trPr>
          <w:trHeight w:val="245" w:hRule="atLeast"/>
          <w:jc w:val="center"/>
        </w:trPr>
        <w:tc>
          <w:tcPr>
            <w:tcW w:w="3928" w:type="dxa"/>
            <w:gridSpan w:val="3"/>
            <w:tcBorders>
              <w:top w:val="single" w:color="000000" w:sz="4" w:space="0"/>
              <w:left w:val="single" w:color="000000" w:sz="4" w:space="0"/>
              <w:bottom w:val="single" w:color="000000" w:sz="4" w:space="0"/>
              <w:right w:val="single" w:color="000000" w:sz="4" w:space="0"/>
            </w:tcBorders>
            <w:noWrap w:val="0"/>
            <w:vAlign w:val="center"/>
          </w:tcPr>
          <w:p w14:paraId="135A1D51">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部门名称</w:t>
            </w:r>
          </w:p>
        </w:tc>
        <w:tc>
          <w:tcPr>
            <w:tcW w:w="6632" w:type="dxa"/>
            <w:gridSpan w:val="6"/>
            <w:tcBorders>
              <w:top w:val="single" w:color="000000" w:sz="4" w:space="0"/>
              <w:left w:val="single" w:color="000000" w:sz="4" w:space="0"/>
              <w:bottom w:val="single" w:color="000000" w:sz="4" w:space="0"/>
              <w:right w:val="single" w:color="000000" w:sz="4" w:space="0"/>
            </w:tcBorders>
            <w:noWrap w:val="0"/>
            <w:vAlign w:val="center"/>
          </w:tcPr>
          <w:p w14:paraId="7A47109E">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kern w:val="0"/>
                <w:sz w:val="18"/>
                <w:szCs w:val="18"/>
                <w:lang w:eastAsia="zh-CN" w:bidi="ar"/>
              </w:rPr>
              <w:t>茂县沟口镇人民政府</w:t>
            </w:r>
          </w:p>
        </w:tc>
      </w:tr>
      <w:tr w14:paraId="0C15977B">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noWrap w:val="0"/>
            <w:vAlign w:val="center"/>
          </w:tcPr>
          <w:p w14:paraId="503F9C41">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年度部门整体支出预算</w:t>
            </w:r>
          </w:p>
        </w:tc>
        <w:tc>
          <w:tcPr>
            <w:tcW w:w="2620" w:type="dxa"/>
            <w:gridSpan w:val="2"/>
            <w:tcBorders>
              <w:top w:val="single" w:color="000000" w:sz="4" w:space="0"/>
              <w:left w:val="single" w:color="000000" w:sz="4" w:space="0"/>
              <w:bottom w:val="single" w:color="000000" w:sz="4" w:space="0"/>
              <w:right w:val="single" w:color="000000" w:sz="4" w:space="0"/>
            </w:tcBorders>
            <w:noWrap w:val="0"/>
            <w:vAlign w:val="center"/>
          </w:tcPr>
          <w:p w14:paraId="0653A5D9">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资金总额</w:t>
            </w:r>
          </w:p>
        </w:tc>
        <w:tc>
          <w:tcPr>
            <w:tcW w:w="2245" w:type="dxa"/>
            <w:gridSpan w:val="2"/>
            <w:tcBorders>
              <w:top w:val="single" w:color="000000" w:sz="4" w:space="0"/>
              <w:left w:val="single" w:color="000000" w:sz="4" w:space="0"/>
              <w:bottom w:val="single" w:color="000000" w:sz="4" w:space="0"/>
              <w:right w:val="single" w:color="000000" w:sz="4" w:space="0"/>
            </w:tcBorders>
            <w:noWrap w:val="0"/>
            <w:vAlign w:val="center"/>
          </w:tcPr>
          <w:p w14:paraId="2563CD09">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财政拨款</w:t>
            </w:r>
          </w:p>
        </w:tc>
        <w:tc>
          <w:tcPr>
            <w:tcW w:w="4387" w:type="dxa"/>
            <w:gridSpan w:val="4"/>
            <w:tcBorders>
              <w:top w:val="single" w:color="000000" w:sz="4" w:space="0"/>
              <w:left w:val="single" w:color="000000" w:sz="4" w:space="0"/>
              <w:bottom w:val="single" w:color="000000" w:sz="4" w:space="0"/>
              <w:right w:val="single" w:color="000000" w:sz="4" w:space="0"/>
            </w:tcBorders>
            <w:noWrap w:val="0"/>
            <w:vAlign w:val="center"/>
          </w:tcPr>
          <w:p w14:paraId="1E07A8D8">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其他资金</w:t>
            </w:r>
          </w:p>
        </w:tc>
      </w:tr>
      <w:tr w14:paraId="58CECE33">
        <w:tblPrEx>
          <w:tblCellMar>
            <w:top w:w="15" w:type="dxa"/>
            <w:left w:w="15" w:type="dxa"/>
            <w:bottom w:w="15" w:type="dxa"/>
            <w:right w:w="15" w:type="dxa"/>
          </w:tblCellMar>
        </w:tblPrEx>
        <w:trPr>
          <w:trHeight w:val="329"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1F4048">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p>
        </w:tc>
        <w:tc>
          <w:tcPr>
            <w:tcW w:w="2620" w:type="dxa"/>
            <w:gridSpan w:val="2"/>
            <w:tcBorders>
              <w:top w:val="single" w:color="000000" w:sz="4" w:space="0"/>
              <w:left w:val="single" w:color="000000" w:sz="4" w:space="0"/>
              <w:bottom w:val="single" w:color="000000" w:sz="4" w:space="0"/>
              <w:right w:val="single" w:color="000000" w:sz="4" w:space="0"/>
            </w:tcBorders>
            <w:noWrap w:val="0"/>
            <w:vAlign w:val="center"/>
          </w:tcPr>
          <w:p w14:paraId="1F3C52AB">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kern w:val="0"/>
                <w:sz w:val="18"/>
                <w:szCs w:val="18"/>
                <w:lang w:val="en-US" w:eastAsia="zh-CN" w:bidi="ar"/>
              </w:rPr>
              <w:t>1793.31</w:t>
            </w:r>
          </w:p>
        </w:tc>
        <w:tc>
          <w:tcPr>
            <w:tcW w:w="2245" w:type="dxa"/>
            <w:gridSpan w:val="2"/>
            <w:tcBorders>
              <w:top w:val="single" w:color="000000" w:sz="4" w:space="0"/>
              <w:left w:val="single" w:color="000000" w:sz="4" w:space="0"/>
              <w:bottom w:val="single" w:color="000000" w:sz="4" w:space="0"/>
              <w:right w:val="single" w:color="000000" w:sz="4" w:space="0"/>
            </w:tcBorders>
            <w:noWrap w:val="0"/>
            <w:vAlign w:val="center"/>
          </w:tcPr>
          <w:p w14:paraId="22A44955">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lang w:val="en-US"/>
              </w:rPr>
            </w:pPr>
            <w:r>
              <w:rPr>
                <w:rFonts w:hint="eastAsia" w:ascii="仿宋_GB2312" w:hAnsi="仿宋_GB2312" w:eastAsia="仿宋_GB2312" w:cs="仿宋_GB2312"/>
                <w:color w:val="000000"/>
                <w:kern w:val="0"/>
                <w:sz w:val="18"/>
                <w:szCs w:val="18"/>
                <w:lang w:val="en-US" w:eastAsia="zh-CN" w:bidi="ar"/>
              </w:rPr>
              <w:t>1793.31</w:t>
            </w:r>
          </w:p>
        </w:tc>
        <w:tc>
          <w:tcPr>
            <w:tcW w:w="4387" w:type="dxa"/>
            <w:gridSpan w:val="4"/>
            <w:tcBorders>
              <w:top w:val="single" w:color="000000" w:sz="4" w:space="0"/>
              <w:left w:val="single" w:color="000000" w:sz="4" w:space="0"/>
              <w:bottom w:val="single" w:color="000000" w:sz="4" w:space="0"/>
              <w:right w:val="single" w:color="000000" w:sz="4" w:space="0"/>
            </w:tcBorders>
            <w:noWrap w:val="0"/>
            <w:vAlign w:val="center"/>
          </w:tcPr>
          <w:p w14:paraId="2BE6419B">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kern w:val="0"/>
                <w:sz w:val="18"/>
                <w:szCs w:val="18"/>
                <w:lang w:val="en-US" w:eastAsia="zh-CN" w:bidi="ar"/>
              </w:rPr>
              <w:t>0</w:t>
            </w:r>
          </w:p>
        </w:tc>
      </w:tr>
      <w:tr w14:paraId="523DB756">
        <w:tblPrEx>
          <w:tblCellMar>
            <w:top w:w="15" w:type="dxa"/>
            <w:left w:w="15" w:type="dxa"/>
            <w:bottom w:w="15" w:type="dxa"/>
            <w:right w:w="15" w:type="dxa"/>
          </w:tblCellMar>
        </w:tblPrEx>
        <w:trPr>
          <w:trHeight w:val="23" w:hRule="atLeast"/>
          <w:jc w:val="center"/>
        </w:trPr>
        <w:tc>
          <w:tcPr>
            <w:tcW w:w="1308" w:type="dxa"/>
            <w:tcBorders>
              <w:top w:val="single" w:color="000000" w:sz="4" w:space="0"/>
              <w:left w:val="single" w:color="000000" w:sz="4" w:space="0"/>
              <w:bottom w:val="single" w:color="000000" w:sz="4" w:space="0"/>
              <w:right w:val="single" w:color="000000" w:sz="4" w:space="0"/>
            </w:tcBorders>
            <w:noWrap w:val="0"/>
            <w:vAlign w:val="center"/>
          </w:tcPr>
          <w:p w14:paraId="324C91A4">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年度总体</w:t>
            </w:r>
          </w:p>
          <w:p w14:paraId="79225863">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目标</w:t>
            </w:r>
          </w:p>
        </w:tc>
        <w:tc>
          <w:tcPr>
            <w:tcW w:w="9252" w:type="dxa"/>
            <w:gridSpan w:val="8"/>
            <w:tcBorders>
              <w:top w:val="single" w:color="000000" w:sz="4" w:space="0"/>
              <w:left w:val="single" w:color="000000" w:sz="4" w:space="0"/>
              <w:bottom w:val="single" w:color="000000" w:sz="4" w:space="0"/>
              <w:right w:val="single" w:color="000000" w:sz="4" w:space="0"/>
            </w:tcBorders>
            <w:noWrap w:val="0"/>
            <w:vAlign w:val="center"/>
          </w:tcPr>
          <w:p w14:paraId="0AA0305E">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目标1：贯彻执行上级的各项方针政策，抓好基层党建工作，稳定和完善政府各项决策部署，加强农业基层设施建设，改善农业生产条件，确保各项工作目标任务圆满完成。</w:t>
            </w:r>
          </w:p>
          <w:p w14:paraId="232F692F">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目标2：抓好</w:t>
            </w:r>
            <w:r>
              <w:rPr>
                <w:rFonts w:hint="eastAsia" w:ascii="仿宋_GB2312" w:hAnsi="仿宋_GB2312" w:eastAsia="仿宋_GB2312" w:cs="仿宋_GB2312"/>
                <w:color w:val="000000"/>
                <w:kern w:val="0"/>
                <w:sz w:val="18"/>
                <w:szCs w:val="18"/>
                <w:lang w:eastAsia="zh-CN" w:bidi="ar"/>
              </w:rPr>
              <w:t>沟口</w:t>
            </w:r>
            <w:r>
              <w:rPr>
                <w:rFonts w:hint="eastAsia" w:ascii="仿宋_GB2312" w:hAnsi="仿宋_GB2312" w:eastAsia="仿宋_GB2312" w:cs="仿宋_GB2312"/>
                <w:color w:val="000000"/>
                <w:kern w:val="0"/>
                <w:sz w:val="18"/>
                <w:szCs w:val="18"/>
                <w:lang w:bidi="ar"/>
              </w:rPr>
              <w:t>镇农业、经济、第三产业的发展、安全生产、经济可持续发展等工作，加强农村各项奖扶政策落实到位。</w:t>
            </w:r>
          </w:p>
          <w:p w14:paraId="5129D164">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目标3：抓好</w:t>
            </w:r>
            <w:r>
              <w:rPr>
                <w:rFonts w:hint="eastAsia" w:ascii="仿宋_GB2312" w:hAnsi="仿宋_GB2312" w:eastAsia="仿宋_GB2312" w:cs="仿宋_GB2312"/>
                <w:color w:val="000000"/>
                <w:kern w:val="0"/>
                <w:sz w:val="18"/>
                <w:szCs w:val="18"/>
                <w:lang w:eastAsia="zh-CN" w:bidi="ar"/>
              </w:rPr>
              <w:t>沟口</w:t>
            </w:r>
            <w:r>
              <w:rPr>
                <w:rFonts w:hint="eastAsia" w:ascii="仿宋_GB2312" w:hAnsi="仿宋_GB2312" w:eastAsia="仿宋_GB2312" w:cs="仿宋_GB2312"/>
                <w:color w:val="000000"/>
                <w:kern w:val="0"/>
                <w:sz w:val="18"/>
                <w:szCs w:val="18"/>
                <w:lang w:bidi="ar"/>
              </w:rPr>
              <w:t>镇的行政事业单位和村级财务的管理、集中核算、全面监督，负责农村医疗合作管理、社会养老保险、卫生整治、绿化环保等上级交办的其他各项工作任务。</w:t>
            </w:r>
          </w:p>
          <w:p w14:paraId="26DE622D">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目标4：严格执行相关政策，保障工资及时发放。</w:t>
            </w:r>
          </w:p>
        </w:tc>
      </w:tr>
      <w:tr w14:paraId="7DDEE3F3">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noWrap w:val="0"/>
            <w:vAlign w:val="center"/>
          </w:tcPr>
          <w:p w14:paraId="5E8DF2F8">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年度主要</w:t>
            </w:r>
          </w:p>
          <w:p w14:paraId="04016C76">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任务</w:t>
            </w:r>
          </w:p>
        </w:tc>
        <w:tc>
          <w:tcPr>
            <w:tcW w:w="2620" w:type="dxa"/>
            <w:gridSpan w:val="2"/>
            <w:tcBorders>
              <w:top w:val="single" w:color="000000" w:sz="4" w:space="0"/>
              <w:left w:val="single" w:color="000000" w:sz="4" w:space="0"/>
              <w:bottom w:val="single" w:color="000000" w:sz="4" w:space="0"/>
              <w:right w:val="single" w:color="000000" w:sz="4" w:space="0"/>
            </w:tcBorders>
            <w:noWrap w:val="0"/>
            <w:vAlign w:val="center"/>
          </w:tcPr>
          <w:p w14:paraId="40A2E6B7">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任务名称</w:t>
            </w:r>
          </w:p>
        </w:tc>
        <w:tc>
          <w:tcPr>
            <w:tcW w:w="6632" w:type="dxa"/>
            <w:gridSpan w:val="6"/>
            <w:tcBorders>
              <w:top w:val="single" w:color="000000" w:sz="4" w:space="0"/>
              <w:left w:val="single" w:color="000000" w:sz="4" w:space="0"/>
              <w:bottom w:val="single" w:color="000000" w:sz="4" w:space="0"/>
              <w:right w:val="single" w:color="000000" w:sz="4" w:space="0"/>
            </w:tcBorders>
            <w:noWrap w:val="0"/>
            <w:vAlign w:val="center"/>
          </w:tcPr>
          <w:p w14:paraId="382D28A9">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主要内容</w:t>
            </w:r>
          </w:p>
        </w:tc>
      </w:tr>
      <w:tr w14:paraId="5C10844A">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5F014A">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p>
        </w:tc>
        <w:tc>
          <w:tcPr>
            <w:tcW w:w="2620" w:type="dxa"/>
            <w:gridSpan w:val="2"/>
            <w:tcBorders>
              <w:top w:val="single" w:color="000000" w:sz="4" w:space="0"/>
              <w:left w:val="single" w:color="000000" w:sz="4" w:space="0"/>
              <w:bottom w:val="single" w:color="000000" w:sz="4" w:space="0"/>
              <w:right w:val="single" w:color="000000" w:sz="4" w:space="0"/>
            </w:tcBorders>
            <w:noWrap w:val="0"/>
            <w:vAlign w:val="center"/>
          </w:tcPr>
          <w:p w14:paraId="65C6E4FD">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抓好基层党建及脱贫工作</w:t>
            </w:r>
          </w:p>
        </w:tc>
        <w:tc>
          <w:tcPr>
            <w:tcW w:w="6632" w:type="dxa"/>
            <w:gridSpan w:val="6"/>
            <w:tcBorders>
              <w:top w:val="single" w:color="000000" w:sz="4" w:space="0"/>
              <w:left w:val="single" w:color="000000" w:sz="4" w:space="0"/>
              <w:bottom w:val="single" w:color="000000" w:sz="4" w:space="0"/>
              <w:right w:val="single" w:color="000000" w:sz="4" w:space="0"/>
            </w:tcBorders>
            <w:noWrap w:val="0"/>
            <w:vAlign w:val="center"/>
          </w:tcPr>
          <w:p w14:paraId="69023E63">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抓好基层党建，稳定和完善政府各项决策部署，加强农业基层设施建设，改善农业生产条件，确保各项工作目标任务圆满完成。</w:t>
            </w:r>
          </w:p>
        </w:tc>
      </w:tr>
      <w:tr w14:paraId="3F63C99F">
        <w:tblPrEx>
          <w:tblCellMar>
            <w:top w:w="15" w:type="dxa"/>
            <w:left w:w="15" w:type="dxa"/>
            <w:bottom w:w="15" w:type="dxa"/>
            <w:right w:w="15" w:type="dxa"/>
          </w:tblCellMar>
        </w:tblPrEx>
        <w:trPr>
          <w:trHeight w:val="850"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D4AEEE">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p>
        </w:tc>
        <w:tc>
          <w:tcPr>
            <w:tcW w:w="2620" w:type="dxa"/>
            <w:gridSpan w:val="2"/>
            <w:tcBorders>
              <w:top w:val="single" w:color="000000" w:sz="4" w:space="0"/>
              <w:left w:val="single" w:color="000000" w:sz="4" w:space="0"/>
              <w:bottom w:val="single" w:color="000000" w:sz="4" w:space="0"/>
              <w:right w:val="single" w:color="000000" w:sz="4" w:space="0"/>
            </w:tcBorders>
            <w:noWrap w:val="0"/>
            <w:vAlign w:val="center"/>
          </w:tcPr>
          <w:p w14:paraId="5D658889">
            <w:pPr>
              <w:keepNext w:val="0"/>
              <w:keepLines w:val="0"/>
              <w:pageBreakBefore w:val="0"/>
              <w:widowControl/>
              <w:kinsoku/>
              <w:wordWrap/>
              <w:overflowPunct/>
              <w:topLinePunct w:val="0"/>
              <w:autoSpaceDE/>
              <w:autoSpaceDN/>
              <w:bidi w:val="0"/>
              <w:adjustRightInd/>
              <w:snapToGrid/>
              <w:spacing w:line="260" w:lineRule="exact"/>
              <w:jc w:val="lef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抓好农村基础设施建设</w:t>
            </w:r>
          </w:p>
        </w:tc>
        <w:tc>
          <w:tcPr>
            <w:tcW w:w="6632" w:type="dxa"/>
            <w:gridSpan w:val="6"/>
            <w:tcBorders>
              <w:top w:val="single" w:color="000000" w:sz="4" w:space="0"/>
              <w:left w:val="single" w:color="000000" w:sz="4" w:space="0"/>
              <w:bottom w:val="single" w:color="000000" w:sz="4" w:space="0"/>
              <w:right w:val="single" w:color="000000" w:sz="4" w:space="0"/>
            </w:tcBorders>
            <w:noWrap w:val="0"/>
            <w:vAlign w:val="center"/>
          </w:tcPr>
          <w:p w14:paraId="341BB6DE">
            <w:pPr>
              <w:keepNext w:val="0"/>
              <w:keepLines w:val="0"/>
              <w:pageBreakBefore w:val="0"/>
              <w:widowControl/>
              <w:kinsoku/>
              <w:wordWrap/>
              <w:overflowPunct/>
              <w:topLinePunct w:val="0"/>
              <w:autoSpaceDE/>
              <w:autoSpaceDN/>
              <w:bidi w:val="0"/>
              <w:adjustRightInd/>
              <w:snapToGrid/>
              <w:spacing w:line="260" w:lineRule="exact"/>
              <w:jc w:val="lef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通过完善基础设施建设，进一步改善了村级的基础设施和公共服务，扩大了农村基层民主，完善了村民自治，密切了党和政府同农民群众的关系，满足了农民群众的需求，也为我镇的村级项目建设起到了示范和引领作用。</w:t>
            </w:r>
          </w:p>
        </w:tc>
      </w:tr>
      <w:tr w14:paraId="0C101FEE">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noWrap w:val="0"/>
            <w:vAlign w:val="center"/>
          </w:tcPr>
          <w:p w14:paraId="2C7CED67">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年度绩效</w:t>
            </w:r>
          </w:p>
          <w:p w14:paraId="06F24A77">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指标</w:t>
            </w:r>
          </w:p>
        </w:tc>
        <w:tc>
          <w:tcPr>
            <w:tcW w:w="1347" w:type="dxa"/>
            <w:tcBorders>
              <w:top w:val="single" w:color="000000" w:sz="4" w:space="0"/>
              <w:left w:val="single" w:color="000000" w:sz="4" w:space="0"/>
              <w:bottom w:val="single" w:color="000000" w:sz="4" w:space="0"/>
              <w:right w:val="single" w:color="000000" w:sz="4" w:space="0"/>
            </w:tcBorders>
            <w:noWrap w:val="0"/>
            <w:vAlign w:val="center"/>
          </w:tcPr>
          <w:p w14:paraId="1603FAFB">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一级指标</w:t>
            </w:r>
          </w:p>
        </w:tc>
        <w:tc>
          <w:tcPr>
            <w:tcW w:w="1273" w:type="dxa"/>
            <w:tcBorders>
              <w:top w:val="single" w:color="000000" w:sz="4" w:space="0"/>
              <w:left w:val="single" w:color="000000" w:sz="4" w:space="0"/>
              <w:bottom w:val="single" w:color="000000" w:sz="4" w:space="0"/>
              <w:right w:val="single" w:color="000000" w:sz="4" w:space="0"/>
            </w:tcBorders>
            <w:noWrap w:val="0"/>
            <w:vAlign w:val="center"/>
          </w:tcPr>
          <w:p w14:paraId="44C9CBC9">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二级指标</w:t>
            </w:r>
          </w:p>
        </w:tc>
        <w:tc>
          <w:tcPr>
            <w:tcW w:w="1270" w:type="dxa"/>
            <w:tcBorders>
              <w:top w:val="single" w:color="000000" w:sz="4" w:space="0"/>
              <w:left w:val="single" w:color="000000" w:sz="4" w:space="0"/>
              <w:bottom w:val="single" w:color="000000" w:sz="4" w:space="0"/>
              <w:right w:val="single" w:color="000000" w:sz="4" w:space="0"/>
            </w:tcBorders>
            <w:noWrap w:val="0"/>
            <w:vAlign w:val="center"/>
          </w:tcPr>
          <w:p w14:paraId="27E0EADA">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三级指标</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14:paraId="40EBD0B2">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绩效指标</w:t>
            </w:r>
          </w:p>
          <w:p w14:paraId="0CC45E20">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性质</w:t>
            </w:r>
          </w:p>
        </w:tc>
        <w:tc>
          <w:tcPr>
            <w:tcW w:w="1289" w:type="dxa"/>
            <w:tcBorders>
              <w:top w:val="single" w:color="000000" w:sz="4" w:space="0"/>
              <w:left w:val="single" w:color="000000" w:sz="4" w:space="0"/>
              <w:bottom w:val="single" w:color="000000" w:sz="4" w:space="0"/>
              <w:right w:val="single" w:color="000000" w:sz="4" w:space="0"/>
            </w:tcBorders>
            <w:noWrap w:val="0"/>
            <w:vAlign w:val="center"/>
          </w:tcPr>
          <w:p w14:paraId="67791EA5">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绩效指标值</w:t>
            </w: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37D1BE54">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绩效度量单位</w:t>
            </w:r>
          </w:p>
        </w:tc>
        <w:tc>
          <w:tcPr>
            <w:tcW w:w="926" w:type="dxa"/>
            <w:tcBorders>
              <w:top w:val="single" w:color="000000" w:sz="4" w:space="0"/>
              <w:left w:val="single" w:color="000000" w:sz="4" w:space="0"/>
              <w:bottom w:val="single" w:color="000000" w:sz="4" w:space="0"/>
            </w:tcBorders>
            <w:noWrap w:val="0"/>
            <w:vAlign w:val="center"/>
          </w:tcPr>
          <w:p w14:paraId="35A55B46">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权重</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14:paraId="275C68B6">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实际完成</w:t>
            </w:r>
          </w:p>
          <w:p w14:paraId="28DDD34D">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指标值</w:t>
            </w:r>
          </w:p>
        </w:tc>
      </w:tr>
      <w:tr w14:paraId="558CCF0B">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0F558F">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p>
        </w:tc>
        <w:tc>
          <w:tcPr>
            <w:tcW w:w="1347" w:type="dxa"/>
            <w:vMerge w:val="restart"/>
            <w:tcBorders>
              <w:top w:val="single" w:color="000000" w:sz="4" w:space="0"/>
              <w:left w:val="single" w:color="000000" w:sz="4" w:space="0"/>
              <w:right w:val="single" w:color="000000" w:sz="4" w:space="0"/>
            </w:tcBorders>
            <w:noWrap w:val="0"/>
            <w:vAlign w:val="center"/>
          </w:tcPr>
          <w:p w14:paraId="703A7275">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eastAsia="zh-CN"/>
              </w:rPr>
              <w:t>产出指标</w:t>
            </w:r>
          </w:p>
        </w:tc>
        <w:tc>
          <w:tcPr>
            <w:tcW w:w="1273" w:type="dxa"/>
            <w:tcBorders>
              <w:top w:val="single" w:color="000000" w:sz="4" w:space="0"/>
              <w:left w:val="single" w:color="000000" w:sz="4" w:space="0"/>
              <w:bottom w:val="single" w:color="000000" w:sz="4" w:space="0"/>
              <w:right w:val="single" w:color="000000" w:sz="4" w:space="0"/>
            </w:tcBorders>
            <w:noWrap w:val="0"/>
            <w:vAlign w:val="center"/>
          </w:tcPr>
          <w:p w14:paraId="4A0487A5">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质量指标</w:t>
            </w:r>
          </w:p>
        </w:tc>
        <w:tc>
          <w:tcPr>
            <w:tcW w:w="1270" w:type="dxa"/>
            <w:tcBorders>
              <w:top w:val="single" w:color="000000" w:sz="4" w:space="0"/>
              <w:left w:val="single" w:color="000000" w:sz="4" w:space="0"/>
              <w:bottom w:val="single" w:color="000000" w:sz="4" w:space="0"/>
              <w:right w:val="single" w:color="000000" w:sz="4" w:space="0"/>
            </w:tcBorders>
            <w:noWrap w:val="0"/>
            <w:vAlign w:val="center"/>
          </w:tcPr>
          <w:p w14:paraId="2DA09444">
            <w:pPr>
              <w:keepNext w:val="0"/>
              <w:keepLines w:val="0"/>
              <w:pageBreakBefore w:val="0"/>
              <w:widowControl/>
              <w:kinsoku/>
              <w:wordWrap/>
              <w:overflowPunct/>
              <w:topLinePunct w:val="0"/>
              <w:autoSpaceDE/>
              <w:autoSpaceDN/>
              <w:bidi w:val="0"/>
              <w:adjustRightInd/>
              <w:snapToGrid/>
              <w:spacing w:line="260" w:lineRule="exact"/>
              <w:jc w:val="lef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工作成绩突出，质量达标率</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14:paraId="7BF777E0">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w:t>
            </w:r>
          </w:p>
        </w:tc>
        <w:tc>
          <w:tcPr>
            <w:tcW w:w="1289" w:type="dxa"/>
            <w:tcBorders>
              <w:top w:val="single" w:color="000000" w:sz="4" w:space="0"/>
              <w:left w:val="single" w:color="000000" w:sz="4" w:space="0"/>
              <w:bottom w:val="single" w:color="000000" w:sz="4" w:space="0"/>
              <w:right w:val="single" w:color="000000" w:sz="4" w:space="0"/>
            </w:tcBorders>
            <w:noWrap w:val="0"/>
            <w:vAlign w:val="center"/>
          </w:tcPr>
          <w:p w14:paraId="063AF330">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lang w:val="en-US" w:eastAsia="zh-CN"/>
              </w:rPr>
              <w:t>95</w:t>
            </w: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269D3A20">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w:t>
            </w:r>
          </w:p>
        </w:tc>
        <w:tc>
          <w:tcPr>
            <w:tcW w:w="926" w:type="dxa"/>
            <w:tcBorders>
              <w:top w:val="single" w:color="000000" w:sz="4" w:space="0"/>
              <w:left w:val="single" w:color="000000" w:sz="4" w:space="0"/>
              <w:bottom w:val="single" w:color="000000" w:sz="4" w:space="0"/>
              <w:right w:val="single" w:color="000000" w:sz="4" w:space="0"/>
            </w:tcBorders>
            <w:noWrap w:val="0"/>
            <w:vAlign w:val="center"/>
          </w:tcPr>
          <w:p w14:paraId="473290F7">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14:paraId="74B97872">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r>
      <w:tr w14:paraId="5A23389F">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228667">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p>
        </w:tc>
        <w:tc>
          <w:tcPr>
            <w:tcW w:w="13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1F3654">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p>
        </w:tc>
        <w:tc>
          <w:tcPr>
            <w:tcW w:w="1273" w:type="dxa"/>
            <w:tcBorders>
              <w:top w:val="single" w:color="000000" w:sz="4" w:space="0"/>
              <w:left w:val="single" w:color="000000" w:sz="4" w:space="0"/>
              <w:bottom w:val="single" w:color="000000" w:sz="4" w:space="0"/>
              <w:right w:val="single" w:color="000000" w:sz="4" w:space="0"/>
            </w:tcBorders>
            <w:noWrap w:val="0"/>
            <w:vAlign w:val="center"/>
          </w:tcPr>
          <w:p w14:paraId="774F5A4F">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时效指标</w:t>
            </w:r>
          </w:p>
        </w:tc>
        <w:tc>
          <w:tcPr>
            <w:tcW w:w="1270" w:type="dxa"/>
            <w:tcBorders>
              <w:top w:val="single" w:color="000000" w:sz="4" w:space="0"/>
              <w:left w:val="single" w:color="000000" w:sz="4" w:space="0"/>
              <w:bottom w:val="single" w:color="000000" w:sz="4" w:space="0"/>
              <w:right w:val="single" w:color="000000" w:sz="4" w:space="0"/>
            </w:tcBorders>
            <w:noWrap w:val="0"/>
            <w:vAlign w:val="center"/>
          </w:tcPr>
          <w:p w14:paraId="36670E2F">
            <w:pPr>
              <w:keepNext w:val="0"/>
              <w:keepLines w:val="0"/>
              <w:pageBreakBefore w:val="0"/>
              <w:widowControl/>
              <w:kinsoku/>
              <w:wordWrap/>
              <w:overflowPunct/>
              <w:topLinePunct w:val="0"/>
              <w:autoSpaceDE/>
              <w:autoSpaceDN/>
              <w:bidi w:val="0"/>
              <w:adjustRightInd/>
              <w:snapToGrid/>
              <w:spacing w:line="260" w:lineRule="exact"/>
              <w:jc w:val="lef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落实</w:t>
            </w:r>
            <w:r>
              <w:rPr>
                <w:rFonts w:hint="eastAsia" w:ascii="仿宋_GB2312" w:hAnsi="仿宋_GB2312" w:eastAsia="仿宋_GB2312" w:cs="仿宋_GB2312"/>
                <w:color w:val="000000"/>
                <w:sz w:val="18"/>
                <w:szCs w:val="18"/>
                <w:lang w:eastAsia="zh-CN"/>
              </w:rPr>
              <w:t>沟口</w:t>
            </w:r>
            <w:r>
              <w:rPr>
                <w:rFonts w:hint="eastAsia" w:ascii="仿宋_GB2312" w:hAnsi="仿宋_GB2312" w:eastAsia="仿宋_GB2312" w:cs="仿宋_GB2312"/>
                <w:color w:val="000000"/>
                <w:sz w:val="18"/>
                <w:szCs w:val="18"/>
              </w:rPr>
              <w:t>镇202</w:t>
            </w:r>
            <w:r>
              <w:rPr>
                <w:rFonts w:hint="eastAsia" w:ascii="仿宋_GB2312" w:hAnsi="仿宋_GB2312" w:eastAsia="仿宋_GB2312" w:cs="仿宋_GB2312"/>
                <w:color w:val="000000"/>
                <w:sz w:val="18"/>
                <w:szCs w:val="18"/>
                <w:lang w:val="en-US" w:eastAsia="zh-CN"/>
              </w:rPr>
              <w:t>4</w:t>
            </w:r>
            <w:r>
              <w:rPr>
                <w:rFonts w:hint="eastAsia" w:ascii="仿宋_GB2312" w:hAnsi="仿宋_GB2312" w:eastAsia="仿宋_GB2312" w:cs="仿宋_GB2312"/>
                <w:color w:val="000000"/>
                <w:sz w:val="18"/>
                <w:szCs w:val="18"/>
              </w:rPr>
              <w:t>年工作目标完成及时率</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14:paraId="0675A80F">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w:t>
            </w:r>
          </w:p>
        </w:tc>
        <w:tc>
          <w:tcPr>
            <w:tcW w:w="1289" w:type="dxa"/>
            <w:tcBorders>
              <w:top w:val="single" w:color="000000" w:sz="4" w:space="0"/>
              <w:left w:val="single" w:color="000000" w:sz="4" w:space="0"/>
              <w:bottom w:val="single" w:color="000000" w:sz="4" w:space="0"/>
              <w:right w:val="single" w:color="000000" w:sz="4" w:space="0"/>
            </w:tcBorders>
            <w:noWrap w:val="0"/>
            <w:vAlign w:val="center"/>
          </w:tcPr>
          <w:p w14:paraId="2521E809">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2024</w:t>
            </w: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0034B82C">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eastAsia="zh-CN"/>
              </w:rPr>
              <w:t>年</w:t>
            </w:r>
          </w:p>
        </w:tc>
        <w:tc>
          <w:tcPr>
            <w:tcW w:w="926" w:type="dxa"/>
            <w:tcBorders>
              <w:top w:val="single" w:color="000000" w:sz="4" w:space="0"/>
              <w:left w:val="single" w:color="000000" w:sz="4" w:space="0"/>
              <w:bottom w:val="single" w:color="000000" w:sz="4" w:space="0"/>
              <w:right w:val="single" w:color="000000" w:sz="4" w:space="0"/>
            </w:tcBorders>
            <w:noWrap w:val="0"/>
            <w:vAlign w:val="center"/>
          </w:tcPr>
          <w:p w14:paraId="5598DDFB">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20%</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14:paraId="40F7D598">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r>
      <w:tr w14:paraId="14DC20B9">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A5E2D8">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p>
        </w:tc>
        <w:tc>
          <w:tcPr>
            <w:tcW w:w="1347" w:type="dxa"/>
            <w:vMerge w:val="restart"/>
            <w:tcBorders>
              <w:top w:val="single" w:color="000000" w:sz="4" w:space="0"/>
              <w:left w:val="single" w:color="000000" w:sz="4" w:space="0"/>
              <w:bottom w:val="single" w:color="000000" w:sz="4" w:space="0"/>
              <w:right w:val="single" w:color="000000" w:sz="4" w:space="0"/>
            </w:tcBorders>
            <w:noWrap w:val="0"/>
            <w:vAlign w:val="center"/>
          </w:tcPr>
          <w:p w14:paraId="5F8A478B">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效益指标</w:t>
            </w:r>
          </w:p>
        </w:tc>
        <w:tc>
          <w:tcPr>
            <w:tcW w:w="1273" w:type="dxa"/>
            <w:tcBorders>
              <w:top w:val="single" w:color="000000" w:sz="4" w:space="0"/>
              <w:left w:val="single" w:color="000000" w:sz="4" w:space="0"/>
              <w:right w:val="single" w:color="000000" w:sz="4" w:space="0"/>
            </w:tcBorders>
            <w:noWrap w:val="0"/>
            <w:vAlign w:val="center"/>
          </w:tcPr>
          <w:p w14:paraId="4CF05540">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社会效益</w:t>
            </w:r>
          </w:p>
          <w:p w14:paraId="440D776F">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指标</w:t>
            </w:r>
          </w:p>
        </w:tc>
        <w:tc>
          <w:tcPr>
            <w:tcW w:w="1270" w:type="dxa"/>
            <w:tcBorders>
              <w:top w:val="single" w:color="000000" w:sz="4" w:space="0"/>
              <w:left w:val="single" w:color="000000" w:sz="4" w:space="0"/>
              <w:bottom w:val="single" w:color="000000" w:sz="4" w:space="0"/>
              <w:right w:val="single" w:color="000000" w:sz="4" w:space="0"/>
            </w:tcBorders>
            <w:noWrap w:val="0"/>
            <w:vAlign w:val="center"/>
          </w:tcPr>
          <w:p w14:paraId="4FB2374B">
            <w:pPr>
              <w:keepNext w:val="0"/>
              <w:keepLines w:val="0"/>
              <w:pageBreakBefore w:val="0"/>
              <w:widowControl/>
              <w:kinsoku/>
              <w:wordWrap/>
              <w:overflowPunct/>
              <w:topLinePunct w:val="0"/>
              <w:autoSpaceDE/>
              <w:autoSpaceDN/>
              <w:bidi w:val="0"/>
              <w:adjustRightInd/>
              <w:snapToGrid/>
              <w:spacing w:line="260" w:lineRule="exact"/>
              <w:jc w:val="lef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社会效益良好</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14:paraId="009E800D">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lang w:eastAsia="zh-CN"/>
              </w:rPr>
              <w:t>定性</w:t>
            </w:r>
          </w:p>
        </w:tc>
        <w:tc>
          <w:tcPr>
            <w:tcW w:w="1289" w:type="dxa"/>
            <w:tcBorders>
              <w:top w:val="single" w:color="000000" w:sz="4" w:space="0"/>
              <w:left w:val="single" w:color="000000" w:sz="4" w:space="0"/>
              <w:bottom w:val="single" w:color="000000" w:sz="4" w:space="0"/>
              <w:right w:val="single" w:color="000000" w:sz="4" w:space="0"/>
            </w:tcBorders>
            <w:noWrap w:val="0"/>
            <w:vAlign w:val="center"/>
          </w:tcPr>
          <w:p w14:paraId="44F44050">
            <w:pPr>
              <w:keepNext w:val="0"/>
              <w:keepLines w:val="0"/>
              <w:pageBreakBefore w:val="0"/>
              <w:widowControl/>
              <w:kinsoku/>
              <w:wordWrap/>
              <w:overflowPunct/>
              <w:topLinePunct w:val="0"/>
              <w:autoSpaceDE/>
              <w:autoSpaceDN/>
              <w:bidi w:val="0"/>
              <w:adjustRightInd/>
              <w:snapToGrid/>
              <w:spacing w:line="260" w:lineRule="exact"/>
              <w:jc w:val="lef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优良中低差</w:t>
            </w: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2F8C31C4">
            <w:pPr>
              <w:keepNext w:val="0"/>
              <w:keepLines w:val="0"/>
              <w:pageBreakBefore w:val="0"/>
              <w:widowControl/>
              <w:kinsoku/>
              <w:wordWrap/>
              <w:overflowPunct/>
              <w:topLinePunct w:val="0"/>
              <w:autoSpaceDE/>
              <w:autoSpaceDN/>
              <w:bidi w:val="0"/>
              <w:adjustRightInd/>
              <w:snapToGrid/>
              <w:spacing w:line="260" w:lineRule="exact"/>
              <w:jc w:val="left"/>
              <w:rPr>
                <w:rFonts w:hint="eastAsia" w:ascii="仿宋_GB2312" w:hAnsi="仿宋_GB2312" w:eastAsia="仿宋_GB2312" w:cs="仿宋_GB2312"/>
                <w:color w:val="000000"/>
                <w:sz w:val="18"/>
                <w:szCs w:val="18"/>
              </w:rPr>
            </w:pPr>
          </w:p>
        </w:tc>
        <w:tc>
          <w:tcPr>
            <w:tcW w:w="926" w:type="dxa"/>
            <w:tcBorders>
              <w:top w:val="single" w:color="000000" w:sz="4" w:space="0"/>
              <w:left w:val="single" w:color="000000" w:sz="4" w:space="0"/>
              <w:bottom w:val="single" w:color="000000" w:sz="4" w:space="0"/>
              <w:right w:val="single" w:color="000000" w:sz="4" w:space="0"/>
            </w:tcBorders>
            <w:noWrap w:val="0"/>
            <w:vAlign w:val="center"/>
          </w:tcPr>
          <w:p w14:paraId="3E182E59">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20%</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14:paraId="6BCE4141">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r>
      <w:tr w14:paraId="242378B5">
        <w:tblPrEx>
          <w:tblCellMar>
            <w:top w:w="15" w:type="dxa"/>
            <w:left w:w="15" w:type="dxa"/>
            <w:bottom w:w="15" w:type="dxa"/>
            <w:right w:w="15" w:type="dxa"/>
          </w:tblCellMar>
        </w:tblPrEx>
        <w:trPr>
          <w:trHeight w:val="941"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AB3ABA">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p>
        </w:tc>
        <w:tc>
          <w:tcPr>
            <w:tcW w:w="13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C2A123">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p>
        </w:tc>
        <w:tc>
          <w:tcPr>
            <w:tcW w:w="1273" w:type="dxa"/>
            <w:tcBorders>
              <w:top w:val="single" w:color="000000" w:sz="4" w:space="0"/>
              <w:left w:val="single" w:color="000000" w:sz="4" w:space="0"/>
              <w:bottom w:val="single" w:color="000000" w:sz="4" w:space="0"/>
              <w:right w:val="single" w:color="000000" w:sz="4" w:space="0"/>
            </w:tcBorders>
            <w:noWrap w:val="0"/>
            <w:vAlign w:val="center"/>
          </w:tcPr>
          <w:p w14:paraId="7556659F">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生态效益指标</w:t>
            </w:r>
          </w:p>
        </w:tc>
        <w:tc>
          <w:tcPr>
            <w:tcW w:w="1270" w:type="dxa"/>
            <w:tcBorders>
              <w:top w:val="single" w:color="000000" w:sz="4" w:space="0"/>
              <w:left w:val="single" w:color="000000" w:sz="4" w:space="0"/>
              <w:bottom w:val="single" w:color="000000" w:sz="4" w:space="0"/>
              <w:right w:val="single" w:color="000000" w:sz="4" w:space="0"/>
            </w:tcBorders>
            <w:noWrap w:val="0"/>
            <w:vAlign w:val="center"/>
          </w:tcPr>
          <w:p w14:paraId="0EA3DD33">
            <w:pPr>
              <w:keepNext w:val="0"/>
              <w:keepLines w:val="0"/>
              <w:pageBreakBefore w:val="0"/>
              <w:widowControl/>
              <w:kinsoku/>
              <w:wordWrap/>
              <w:overflowPunct/>
              <w:topLinePunct w:val="0"/>
              <w:autoSpaceDE/>
              <w:autoSpaceDN/>
              <w:bidi w:val="0"/>
              <w:adjustRightInd/>
              <w:snapToGrid/>
              <w:spacing w:line="260" w:lineRule="exact"/>
              <w:jc w:val="lef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环境卫生及国土合理管理，有效地促进生态发展</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14:paraId="3C3C74CD">
            <w:pPr>
              <w:keepNext w:val="0"/>
              <w:keepLines w:val="0"/>
              <w:pageBreakBefore w:val="0"/>
              <w:widowControl/>
              <w:kinsoku/>
              <w:wordWrap/>
              <w:overflowPunct/>
              <w:topLinePunct w:val="0"/>
              <w:autoSpaceDE/>
              <w:autoSpaceDN/>
              <w:bidi w:val="0"/>
              <w:adjustRightInd/>
              <w:snapToGrid/>
              <w:spacing w:line="260" w:lineRule="exact"/>
              <w:ind w:firstLine="180" w:firstLineChars="100"/>
              <w:jc w:val="left"/>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eastAsia="zh-CN"/>
              </w:rPr>
              <w:t>定性</w:t>
            </w:r>
          </w:p>
        </w:tc>
        <w:tc>
          <w:tcPr>
            <w:tcW w:w="1289" w:type="dxa"/>
            <w:tcBorders>
              <w:top w:val="single" w:color="000000" w:sz="4" w:space="0"/>
              <w:left w:val="single" w:color="000000" w:sz="4" w:space="0"/>
              <w:bottom w:val="single" w:color="000000" w:sz="4" w:space="0"/>
              <w:right w:val="single" w:color="000000" w:sz="4" w:space="0"/>
            </w:tcBorders>
            <w:noWrap w:val="0"/>
            <w:vAlign w:val="center"/>
          </w:tcPr>
          <w:p w14:paraId="56487F1A">
            <w:pPr>
              <w:keepNext w:val="0"/>
              <w:keepLines w:val="0"/>
              <w:pageBreakBefore w:val="0"/>
              <w:widowControl/>
              <w:kinsoku/>
              <w:wordWrap/>
              <w:overflowPunct/>
              <w:topLinePunct w:val="0"/>
              <w:autoSpaceDE/>
              <w:autoSpaceDN/>
              <w:bidi w:val="0"/>
              <w:adjustRightInd/>
              <w:snapToGrid/>
              <w:spacing w:line="260" w:lineRule="exact"/>
              <w:jc w:val="lef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lang w:eastAsia="zh-CN"/>
              </w:rPr>
              <w:t>进一步保障</w:t>
            </w: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2A8D4412">
            <w:pPr>
              <w:keepNext w:val="0"/>
              <w:keepLines w:val="0"/>
              <w:pageBreakBefore w:val="0"/>
              <w:widowControl/>
              <w:kinsoku/>
              <w:wordWrap/>
              <w:overflowPunct/>
              <w:topLinePunct w:val="0"/>
              <w:autoSpaceDE/>
              <w:autoSpaceDN/>
              <w:bidi w:val="0"/>
              <w:adjustRightInd/>
              <w:snapToGrid/>
              <w:spacing w:line="260" w:lineRule="exact"/>
              <w:jc w:val="left"/>
              <w:rPr>
                <w:rFonts w:hint="eastAsia" w:ascii="仿宋_GB2312" w:hAnsi="仿宋_GB2312" w:eastAsia="仿宋_GB2312" w:cs="仿宋_GB2312"/>
                <w:color w:val="000000"/>
                <w:sz w:val="18"/>
                <w:szCs w:val="18"/>
              </w:rPr>
            </w:pPr>
          </w:p>
        </w:tc>
        <w:tc>
          <w:tcPr>
            <w:tcW w:w="926" w:type="dxa"/>
            <w:tcBorders>
              <w:top w:val="single" w:color="000000" w:sz="4" w:space="0"/>
              <w:left w:val="single" w:color="000000" w:sz="4" w:space="0"/>
              <w:bottom w:val="single" w:color="000000" w:sz="4" w:space="0"/>
              <w:right w:val="single" w:color="000000" w:sz="4" w:space="0"/>
            </w:tcBorders>
            <w:noWrap w:val="0"/>
            <w:vAlign w:val="center"/>
          </w:tcPr>
          <w:p w14:paraId="6052BEE8">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20%</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14:paraId="7211595E">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r>
      <w:tr w14:paraId="168B9123">
        <w:tblPrEx>
          <w:tblCellMar>
            <w:top w:w="15" w:type="dxa"/>
            <w:left w:w="15" w:type="dxa"/>
            <w:bottom w:w="15" w:type="dxa"/>
            <w:right w:w="15" w:type="dxa"/>
          </w:tblCellMar>
        </w:tblPrEx>
        <w:trPr>
          <w:trHeight w:val="941"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3B9B45">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p>
        </w:tc>
        <w:tc>
          <w:tcPr>
            <w:tcW w:w="1347" w:type="dxa"/>
            <w:tcBorders>
              <w:top w:val="single" w:color="000000" w:sz="4" w:space="0"/>
              <w:left w:val="single" w:color="000000" w:sz="4" w:space="0"/>
              <w:bottom w:val="single" w:color="000000" w:sz="4" w:space="0"/>
              <w:right w:val="single" w:color="000000" w:sz="4" w:space="0"/>
            </w:tcBorders>
            <w:noWrap w:val="0"/>
            <w:vAlign w:val="center"/>
          </w:tcPr>
          <w:p w14:paraId="76ABC07F">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kern w:val="0"/>
                <w:sz w:val="18"/>
                <w:szCs w:val="18"/>
                <w:lang w:eastAsia="zh-CN" w:bidi="ar"/>
              </w:rPr>
              <w:t>产出指标</w:t>
            </w:r>
          </w:p>
        </w:tc>
        <w:tc>
          <w:tcPr>
            <w:tcW w:w="1273" w:type="dxa"/>
            <w:tcBorders>
              <w:top w:val="single" w:color="000000" w:sz="4" w:space="0"/>
              <w:left w:val="single" w:color="000000" w:sz="4" w:space="0"/>
              <w:bottom w:val="single" w:color="000000" w:sz="4" w:space="0"/>
              <w:right w:val="single" w:color="000000" w:sz="4" w:space="0"/>
            </w:tcBorders>
            <w:noWrap w:val="0"/>
            <w:vAlign w:val="center"/>
          </w:tcPr>
          <w:p w14:paraId="0B004A86">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经济成本指标</w:t>
            </w:r>
          </w:p>
        </w:tc>
        <w:tc>
          <w:tcPr>
            <w:tcW w:w="1270" w:type="dxa"/>
            <w:tcBorders>
              <w:top w:val="single" w:color="000000" w:sz="4" w:space="0"/>
              <w:left w:val="single" w:color="000000" w:sz="4" w:space="0"/>
              <w:bottom w:val="single" w:color="000000" w:sz="4" w:space="0"/>
              <w:right w:val="single" w:color="000000" w:sz="4" w:space="0"/>
            </w:tcBorders>
            <w:noWrap w:val="0"/>
            <w:vAlign w:val="center"/>
          </w:tcPr>
          <w:p w14:paraId="029B06AA">
            <w:pPr>
              <w:keepNext w:val="0"/>
              <w:keepLines w:val="0"/>
              <w:pageBreakBefore w:val="0"/>
              <w:widowControl/>
              <w:kinsoku/>
              <w:wordWrap/>
              <w:overflowPunct/>
              <w:topLinePunct w:val="0"/>
              <w:autoSpaceDE/>
              <w:autoSpaceDN/>
              <w:bidi w:val="0"/>
              <w:adjustRightInd/>
              <w:snapToGrid/>
              <w:spacing w:line="260" w:lineRule="exact"/>
              <w:jc w:val="lef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能有效控制成本，三公经费控制率</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14:paraId="39382C7C">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rPr>
              <w:t>≥</w:t>
            </w:r>
          </w:p>
        </w:tc>
        <w:tc>
          <w:tcPr>
            <w:tcW w:w="1289" w:type="dxa"/>
            <w:tcBorders>
              <w:top w:val="single" w:color="000000" w:sz="4" w:space="0"/>
              <w:left w:val="single" w:color="000000" w:sz="4" w:space="0"/>
              <w:bottom w:val="single" w:color="000000" w:sz="4" w:space="0"/>
              <w:right w:val="single" w:color="000000" w:sz="4" w:space="0"/>
            </w:tcBorders>
            <w:noWrap w:val="0"/>
            <w:vAlign w:val="center"/>
          </w:tcPr>
          <w:p w14:paraId="152E6BA7">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4EC6EEAF">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w:t>
            </w:r>
          </w:p>
        </w:tc>
        <w:tc>
          <w:tcPr>
            <w:tcW w:w="926" w:type="dxa"/>
            <w:tcBorders>
              <w:top w:val="single" w:color="000000" w:sz="4" w:space="0"/>
              <w:left w:val="single" w:color="000000" w:sz="4" w:space="0"/>
              <w:bottom w:val="single" w:color="000000" w:sz="4" w:space="0"/>
              <w:right w:val="single" w:color="000000" w:sz="4" w:space="0"/>
            </w:tcBorders>
            <w:noWrap w:val="0"/>
            <w:vAlign w:val="center"/>
          </w:tcPr>
          <w:p w14:paraId="17040F72">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14:paraId="4FF836EC">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r>
      <w:tr w14:paraId="6E38C377">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CFBE51">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p>
        </w:tc>
        <w:tc>
          <w:tcPr>
            <w:tcW w:w="1347" w:type="dxa"/>
            <w:tcBorders>
              <w:top w:val="single" w:color="000000" w:sz="4" w:space="0"/>
              <w:left w:val="single" w:color="000000" w:sz="4" w:space="0"/>
              <w:bottom w:val="single" w:color="000000" w:sz="4" w:space="0"/>
              <w:right w:val="single" w:color="000000" w:sz="4" w:space="0"/>
            </w:tcBorders>
            <w:noWrap w:val="0"/>
            <w:vAlign w:val="center"/>
          </w:tcPr>
          <w:p w14:paraId="28B12D83">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满意度指标</w:t>
            </w:r>
          </w:p>
        </w:tc>
        <w:tc>
          <w:tcPr>
            <w:tcW w:w="1273" w:type="dxa"/>
            <w:tcBorders>
              <w:top w:val="single" w:color="000000" w:sz="4" w:space="0"/>
              <w:left w:val="single" w:color="000000" w:sz="4" w:space="0"/>
              <w:bottom w:val="single" w:color="000000" w:sz="4" w:space="0"/>
              <w:right w:val="single" w:color="000000" w:sz="4" w:space="0"/>
            </w:tcBorders>
            <w:noWrap w:val="0"/>
            <w:vAlign w:val="center"/>
          </w:tcPr>
          <w:p w14:paraId="0DD4B4A5">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满意度指标</w:t>
            </w:r>
          </w:p>
        </w:tc>
        <w:tc>
          <w:tcPr>
            <w:tcW w:w="1270" w:type="dxa"/>
            <w:tcBorders>
              <w:top w:val="single" w:color="000000" w:sz="4" w:space="0"/>
              <w:left w:val="single" w:color="000000" w:sz="4" w:space="0"/>
              <w:bottom w:val="single" w:color="000000" w:sz="4" w:space="0"/>
              <w:right w:val="single" w:color="000000" w:sz="4" w:space="0"/>
            </w:tcBorders>
            <w:noWrap w:val="0"/>
            <w:vAlign w:val="center"/>
          </w:tcPr>
          <w:p w14:paraId="785C0142">
            <w:pPr>
              <w:keepNext w:val="0"/>
              <w:keepLines w:val="0"/>
              <w:pageBreakBefore w:val="0"/>
              <w:widowControl/>
              <w:kinsoku/>
              <w:wordWrap/>
              <w:overflowPunct/>
              <w:topLinePunct w:val="0"/>
              <w:autoSpaceDE/>
              <w:autoSpaceDN/>
              <w:bidi w:val="0"/>
              <w:adjustRightInd/>
              <w:snapToGrid/>
              <w:spacing w:line="260" w:lineRule="exact"/>
              <w:jc w:val="left"/>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eastAsia="zh-CN"/>
              </w:rPr>
              <w:t>收益群众满意度</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14:paraId="3C6CCA8F">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w:t>
            </w:r>
          </w:p>
        </w:tc>
        <w:tc>
          <w:tcPr>
            <w:tcW w:w="1289" w:type="dxa"/>
            <w:tcBorders>
              <w:top w:val="single" w:color="000000" w:sz="4" w:space="0"/>
              <w:left w:val="single" w:color="000000" w:sz="4" w:space="0"/>
              <w:bottom w:val="single" w:color="000000" w:sz="4" w:space="0"/>
              <w:right w:val="single" w:color="000000" w:sz="4" w:space="0"/>
            </w:tcBorders>
            <w:noWrap w:val="0"/>
            <w:vAlign w:val="center"/>
          </w:tcPr>
          <w:p w14:paraId="70D5FB67">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95</w:t>
            </w: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0EEE7206">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w:t>
            </w:r>
          </w:p>
        </w:tc>
        <w:tc>
          <w:tcPr>
            <w:tcW w:w="926" w:type="dxa"/>
            <w:tcBorders>
              <w:top w:val="single" w:color="000000" w:sz="4" w:space="0"/>
              <w:left w:val="single" w:color="000000" w:sz="4" w:space="0"/>
              <w:bottom w:val="single" w:color="000000" w:sz="4" w:space="0"/>
              <w:right w:val="single" w:color="000000" w:sz="4" w:space="0"/>
            </w:tcBorders>
            <w:noWrap w:val="0"/>
            <w:vAlign w:val="center"/>
          </w:tcPr>
          <w:p w14:paraId="0F205398">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14:paraId="4CC65058">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r>
      <w:tr w14:paraId="7E60A6FA">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424770">
            <w:pPr>
              <w:widowControl/>
              <w:spacing w:line="300" w:lineRule="exact"/>
              <w:jc w:val="center"/>
              <w:rPr>
                <w:rFonts w:hint="eastAsia" w:ascii="仿宋_GB2312" w:hAnsi="仿宋_GB2312" w:eastAsia="仿宋_GB2312" w:cs="仿宋_GB2312"/>
                <w:color w:val="000000"/>
                <w:sz w:val="18"/>
                <w:szCs w:val="18"/>
              </w:rPr>
            </w:pPr>
          </w:p>
        </w:tc>
        <w:tc>
          <w:tcPr>
            <w:tcW w:w="1347" w:type="dxa"/>
            <w:tcBorders>
              <w:top w:val="single" w:color="000000" w:sz="4" w:space="0"/>
              <w:left w:val="single" w:color="000000" w:sz="4" w:space="0"/>
              <w:bottom w:val="single" w:color="000000" w:sz="4" w:space="0"/>
              <w:right w:val="single" w:color="000000" w:sz="4" w:space="0"/>
            </w:tcBorders>
            <w:noWrap w:val="0"/>
            <w:vAlign w:val="center"/>
          </w:tcPr>
          <w:p w14:paraId="3EEC5AEC">
            <w:pPr>
              <w:widowControl/>
              <w:spacing w:line="30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满意度指标</w:t>
            </w:r>
          </w:p>
        </w:tc>
        <w:tc>
          <w:tcPr>
            <w:tcW w:w="1273" w:type="dxa"/>
            <w:tcBorders>
              <w:top w:val="single" w:color="000000" w:sz="4" w:space="0"/>
              <w:left w:val="single" w:color="000000" w:sz="4" w:space="0"/>
              <w:bottom w:val="single" w:color="000000" w:sz="4" w:space="0"/>
              <w:right w:val="single" w:color="000000" w:sz="4" w:space="0"/>
            </w:tcBorders>
            <w:noWrap w:val="0"/>
            <w:vAlign w:val="center"/>
          </w:tcPr>
          <w:p w14:paraId="6EB46BD4">
            <w:pPr>
              <w:widowControl/>
              <w:spacing w:line="30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满意度指标</w:t>
            </w:r>
          </w:p>
        </w:tc>
        <w:tc>
          <w:tcPr>
            <w:tcW w:w="1270" w:type="dxa"/>
            <w:tcBorders>
              <w:top w:val="single" w:color="000000" w:sz="4" w:space="0"/>
              <w:left w:val="single" w:color="000000" w:sz="4" w:space="0"/>
              <w:bottom w:val="single" w:color="000000" w:sz="4" w:space="0"/>
              <w:right w:val="single" w:color="000000" w:sz="4" w:space="0"/>
            </w:tcBorders>
            <w:noWrap w:val="0"/>
            <w:vAlign w:val="center"/>
          </w:tcPr>
          <w:p w14:paraId="3E282BD0">
            <w:pPr>
              <w:widowControl/>
              <w:spacing w:line="300" w:lineRule="exact"/>
              <w:jc w:val="left"/>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eastAsia="zh-CN"/>
              </w:rPr>
              <w:t>收益群众满意度</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14:paraId="7238C1EB">
            <w:pPr>
              <w:widowControl/>
              <w:spacing w:line="30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w:t>
            </w:r>
          </w:p>
        </w:tc>
        <w:tc>
          <w:tcPr>
            <w:tcW w:w="1289" w:type="dxa"/>
            <w:tcBorders>
              <w:top w:val="single" w:color="000000" w:sz="4" w:space="0"/>
              <w:left w:val="single" w:color="000000" w:sz="4" w:space="0"/>
              <w:bottom w:val="single" w:color="000000" w:sz="4" w:space="0"/>
              <w:right w:val="single" w:color="000000" w:sz="4" w:space="0"/>
            </w:tcBorders>
            <w:noWrap w:val="0"/>
            <w:vAlign w:val="center"/>
          </w:tcPr>
          <w:p w14:paraId="65E7E42C">
            <w:pPr>
              <w:widowControl/>
              <w:spacing w:line="30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95</w:t>
            </w:r>
          </w:p>
        </w:tc>
        <w:tc>
          <w:tcPr>
            <w:tcW w:w="1058" w:type="dxa"/>
            <w:tcBorders>
              <w:top w:val="single" w:color="000000" w:sz="4" w:space="0"/>
              <w:left w:val="single" w:color="000000" w:sz="4" w:space="0"/>
              <w:bottom w:val="single" w:color="000000" w:sz="4" w:space="0"/>
              <w:right w:val="single" w:color="000000" w:sz="4" w:space="0"/>
            </w:tcBorders>
            <w:noWrap w:val="0"/>
            <w:vAlign w:val="center"/>
          </w:tcPr>
          <w:p w14:paraId="07F9B494">
            <w:pPr>
              <w:widowControl/>
              <w:spacing w:line="30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w:t>
            </w:r>
          </w:p>
        </w:tc>
        <w:tc>
          <w:tcPr>
            <w:tcW w:w="926" w:type="dxa"/>
            <w:tcBorders>
              <w:top w:val="single" w:color="000000" w:sz="4" w:space="0"/>
              <w:left w:val="single" w:color="000000" w:sz="4" w:space="0"/>
              <w:bottom w:val="single" w:color="000000" w:sz="4" w:space="0"/>
              <w:right w:val="single" w:color="000000" w:sz="4" w:space="0"/>
            </w:tcBorders>
            <w:noWrap w:val="0"/>
            <w:vAlign w:val="center"/>
          </w:tcPr>
          <w:p w14:paraId="768ECD80">
            <w:pPr>
              <w:widowControl/>
              <w:spacing w:line="30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14:paraId="35ABDC03">
            <w:pPr>
              <w:widowControl/>
              <w:spacing w:line="30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r>
    </w:tbl>
    <w:p w14:paraId="16DC5B19">
      <w:pPr>
        <w:pStyle w:val="35"/>
        <w:spacing w:line="578" w:lineRule="exact"/>
        <w:jc w:val="center"/>
        <w:rPr>
          <w:rFonts w:ascii="方正小标宋简体" w:hAnsi="方正小标宋简体" w:eastAsia="方正小标宋简体" w:cs="方正小标宋简体"/>
          <w:color w:val="auto"/>
          <w:kern w:val="2"/>
          <w:sz w:val="44"/>
          <w:szCs w:val="44"/>
          <w:lang w:val="en-US"/>
        </w:rPr>
      </w:pPr>
      <w:r>
        <w:rPr>
          <w:rFonts w:hint="eastAsia" w:ascii="方正小标宋简体" w:hAnsi="方正小标宋简体" w:eastAsia="方正小标宋简体" w:cs="方正小标宋简体"/>
          <w:color w:val="auto"/>
          <w:kern w:val="2"/>
          <w:sz w:val="44"/>
          <w:szCs w:val="44"/>
          <w:lang w:val="en-US" w:eastAsia="zh-CN"/>
        </w:rPr>
        <w:t>茂县沟口镇人民政府</w:t>
      </w:r>
    </w:p>
    <w:p w14:paraId="5849D3D2">
      <w:pPr>
        <w:pStyle w:val="35"/>
        <w:spacing w:line="578" w:lineRule="exact"/>
        <w:jc w:val="center"/>
        <w:rPr>
          <w:rFonts w:ascii="方正小标宋简体" w:hAnsi="方正小标宋简体" w:eastAsia="方正小标宋简体" w:cs="方正小标宋简体"/>
          <w:color w:val="auto"/>
          <w:kern w:val="2"/>
          <w:sz w:val="44"/>
          <w:szCs w:val="44"/>
          <w:lang w:val="en-US"/>
        </w:rPr>
      </w:pPr>
      <w:r>
        <w:rPr>
          <w:rFonts w:hint="eastAsia" w:ascii="方正小标宋简体" w:hAnsi="方正小标宋简体" w:eastAsia="方正小标宋简体" w:cs="方正小标宋简体"/>
          <w:color w:val="auto"/>
          <w:kern w:val="2"/>
          <w:sz w:val="44"/>
          <w:szCs w:val="44"/>
          <w:lang w:val="en-US"/>
        </w:rPr>
        <w:t>专项预算项目绩效评价报告</w:t>
      </w:r>
    </w:p>
    <w:p w14:paraId="72AA1167">
      <w:pPr>
        <w:pStyle w:val="35"/>
        <w:spacing w:line="600" w:lineRule="exact"/>
        <w:ind w:firstLine="2570" w:firstLineChars="800"/>
        <w:jc w:val="both"/>
        <w:rPr>
          <w:rFonts w:hint="eastAsia" w:ascii="仿宋_GB2312" w:eastAsia="仿宋_GB2312"/>
          <w:b/>
          <w:bCs/>
          <w:color w:val="auto"/>
          <w:kern w:val="2"/>
          <w:sz w:val="32"/>
          <w:szCs w:val="32"/>
        </w:rPr>
      </w:pPr>
      <w:r>
        <w:rPr>
          <w:rFonts w:hint="eastAsia" w:ascii="仿宋_GB2312" w:eastAsia="仿宋_GB2312"/>
          <w:b/>
          <w:bCs/>
          <w:color w:val="auto"/>
          <w:kern w:val="2"/>
          <w:sz w:val="32"/>
          <w:szCs w:val="32"/>
        </w:rPr>
        <w:t>（茂县沟口大桥桥梁建设）</w:t>
      </w:r>
    </w:p>
    <w:p w14:paraId="32C599DE">
      <w:pPr>
        <w:pStyle w:val="35"/>
        <w:keepNext w:val="0"/>
        <w:keepLines w:val="0"/>
        <w:pageBreakBefore w:val="0"/>
        <w:widowControl w:val="0"/>
        <w:kinsoku/>
        <w:wordWrap/>
        <w:overflowPunct/>
        <w:topLinePunct w:val="0"/>
        <w:autoSpaceDE/>
        <w:autoSpaceDN/>
        <w:bidi w:val="0"/>
        <w:spacing w:line="578" w:lineRule="exact"/>
        <w:jc w:val="both"/>
        <w:textAlignment w:val="auto"/>
        <w:rPr>
          <w:rFonts w:ascii="Times New Roman" w:hAnsi="Times New Roman"/>
          <w:color w:val="auto"/>
          <w:kern w:val="2"/>
          <w:sz w:val="32"/>
          <w:szCs w:val="32"/>
          <w:highlight w:val="none"/>
        </w:rPr>
      </w:pPr>
    </w:p>
    <w:p w14:paraId="3F626E85">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ascii="Times New Roman" w:hAnsi="Times New Roman" w:eastAsia="黑体"/>
          <w:sz w:val="32"/>
          <w:szCs w:val="32"/>
          <w:highlight w:val="none"/>
          <w:lang w:val="zh-CN"/>
        </w:rPr>
      </w:pPr>
      <w:r>
        <w:rPr>
          <w:rFonts w:hint="eastAsia" w:ascii="Times New Roman" w:hAnsi="Times New Roman" w:eastAsia="黑体"/>
          <w:sz w:val="32"/>
          <w:szCs w:val="32"/>
          <w:highlight w:val="none"/>
        </w:rPr>
        <w:t>一、</w:t>
      </w:r>
      <w:r>
        <w:rPr>
          <w:rFonts w:hint="eastAsia" w:ascii="Times New Roman" w:hAnsi="Times New Roman" w:eastAsia="黑体"/>
          <w:sz w:val="32"/>
          <w:szCs w:val="32"/>
          <w:highlight w:val="none"/>
          <w:lang w:val="zh-CN"/>
        </w:rPr>
        <w:t>项目概况</w:t>
      </w:r>
    </w:p>
    <w:p w14:paraId="0AB05E25">
      <w:pPr>
        <w:widowControl/>
        <w:numPr>
          <w:ilvl w:val="0"/>
          <w:numId w:val="0"/>
        </w:numPr>
        <w:ind w:firstLine="643" w:firstLineChars="200"/>
        <w:jc w:val="left"/>
        <w:rPr>
          <w:rFonts w:hint="eastAsia" w:ascii="Times New Roman" w:hAnsi="Times New Roman" w:eastAsia="仿宋_GB2312" w:cs="仿宋_GB2312"/>
          <w:color w:val="auto"/>
          <w:kern w:val="0"/>
          <w:sz w:val="32"/>
          <w:szCs w:val="32"/>
          <w:highlight w:val="none"/>
          <w:u w:val="none"/>
          <w:shd w:val="clear" w:color="auto" w:fill="FFFFFF"/>
          <w:lang w:val="zh-CN"/>
        </w:rPr>
      </w:pPr>
      <w:r>
        <w:rPr>
          <w:rFonts w:hint="eastAsia" w:ascii="Times New Roman" w:hAnsi="Times New Roman" w:eastAsia="楷体_GB2312"/>
          <w:b/>
          <w:color w:val="auto"/>
          <w:sz w:val="32"/>
          <w:szCs w:val="32"/>
          <w:highlight w:val="none"/>
          <w:u w:val="none"/>
          <w:lang w:val="zh-CN"/>
        </w:rPr>
        <w:t>（一）设立背景及基本情况。</w:t>
      </w:r>
      <w:r>
        <w:rPr>
          <w:rFonts w:hint="eastAsia" w:ascii="仿宋_GB2312" w:hAnsi="宋体" w:eastAsia="仿宋_GB2312"/>
          <w:color w:val="auto"/>
          <w:kern w:val="2"/>
          <w:sz w:val="32"/>
          <w:szCs w:val="32"/>
          <w:lang w:val="zh-CN"/>
        </w:rPr>
        <w:t>茂县沟口大桥桥梁建设。新建一座长110米、宽8米大桥，采用10米现浇板+3*30米预制T 梁，引道长约 235 米；</w:t>
      </w:r>
      <w:r>
        <w:rPr>
          <w:rFonts w:hint="eastAsia" w:ascii="仿宋_GB2312" w:hAnsi="宋体"/>
          <w:color w:val="auto"/>
          <w:kern w:val="2"/>
          <w:sz w:val="32"/>
          <w:szCs w:val="32"/>
          <w:lang w:val="zh-CN" w:eastAsia="zh-CN"/>
        </w:rPr>
        <w:t>今年完成支付金额</w:t>
      </w:r>
      <w:r>
        <w:rPr>
          <w:rFonts w:hint="eastAsia" w:ascii="仿宋_GB2312" w:hAnsi="宋体" w:eastAsia="仿宋_GB2312"/>
          <w:color w:val="auto"/>
          <w:kern w:val="2"/>
          <w:sz w:val="32"/>
          <w:szCs w:val="32"/>
          <w:lang w:val="zh-CN"/>
        </w:rPr>
        <w:t>：</w:t>
      </w:r>
      <w:r>
        <w:rPr>
          <w:rFonts w:hint="eastAsia" w:ascii="仿宋_GB2312" w:hAnsi="宋体"/>
          <w:color w:val="auto"/>
          <w:kern w:val="2"/>
          <w:sz w:val="32"/>
          <w:szCs w:val="32"/>
          <w:lang w:val="en-US" w:eastAsia="zh-CN"/>
        </w:rPr>
        <w:t>509.90万</w:t>
      </w:r>
      <w:r>
        <w:rPr>
          <w:rFonts w:hint="eastAsia" w:ascii="仿宋_GB2312" w:hAnsi="宋体" w:eastAsia="仿宋_GB2312"/>
          <w:color w:val="auto"/>
          <w:kern w:val="2"/>
          <w:sz w:val="32"/>
          <w:szCs w:val="32"/>
          <w:lang w:val="zh-CN"/>
        </w:rPr>
        <w:t>元 。</w:t>
      </w:r>
    </w:p>
    <w:p w14:paraId="5F59918B">
      <w:pPr>
        <w:widowControl/>
        <w:numPr>
          <w:ilvl w:val="0"/>
          <w:numId w:val="0"/>
        </w:numPr>
        <w:ind w:firstLine="643" w:firstLineChars="200"/>
        <w:jc w:val="left"/>
        <w:rPr>
          <w:rFonts w:eastAsia="楷体_GB2312"/>
          <w:b/>
          <w:lang w:val="zh-CN"/>
        </w:rPr>
      </w:pPr>
      <w:r>
        <w:rPr>
          <w:rFonts w:hint="eastAsia" w:ascii="Times New Roman" w:hAnsi="Times New Roman" w:eastAsia="楷体_GB2312" w:cs="Times New Roman"/>
          <w:b/>
          <w:color w:val="auto"/>
          <w:sz w:val="32"/>
          <w:szCs w:val="32"/>
          <w:highlight w:val="none"/>
          <w:u w:val="none"/>
          <w:lang w:val="zh-CN"/>
        </w:rPr>
        <w:t>（二）实施目的及支持方向。</w:t>
      </w:r>
      <w:r>
        <w:rPr>
          <w:rFonts w:hint="eastAsia" w:ascii="仿宋_GB2312" w:hAnsi="宋体" w:eastAsia="仿宋_GB2312"/>
          <w:color w:val="auto"/>
          <w:kern w:val="2"/>
          <w:sz w:val="32"/>
          <w:szCs w:val="32"/>
        </w:rPr>
        <w:t>该项目有利于乡村党群事业发展，为实现乡村振兴添砖加瓦，为发展经济提供基础指挥平台，能为茂县社会经济带来更多正面影响。</w:t>
      </w:r>
    </w:p>
    <w:p w14:paraId="615E49F3">
      <w:pPr>
        <w:widowControl/>
        <w:numPr>
          <w:ilvl w:val="0"/>
          <w:numId w:val="0"/>
        </w:numPr>
        <w:ind w:firstLine="643" w:firstLineChars="200"/>
        <w:jc w:val="left"/>
        <w:rPr>
          <w:rFonts w:hint="default" w:ascii="仿宋_GB2312" w:hAnsi="宋体" w:eastAsia="仿宋_GB2312"/>
          <w:color w:val="auto"/>
          <w:kern w:val="2"/>
          <w:sz w:val="32"/>
          <w:szCs w:val="32"/>
          <w:lang w:val="en-US" w:eastAsia="zh-CN"/>
        </w:rPr>
      </w:pPr>
      <w:r>
        <w:rPr>
          <w:rFonts w:hint="eastAsia" w:ascii="Times New Roman" w:hAnsi="Times New Roman" w:eastAsia="楷体_GB2312" w:cs="Times New Roman"/>
          <w:b/>
          <w:color w:val="auto"/>
          <w:sz w:val="32"/>
          <w:szCs w:val="32"/>
          <w:highlight w:val="none"/>
          <w:u w:val="none"/>
          <w:lang w:val="zh-CN"/>
        </w:rPr>
        <w:t>（三）预算安排及分配管理。</w:t>
      </w:r>
      <w:r>
        <w:rPr>
          <w:rFonts w:hint="eastAsia" w:ascii="仿宋_GB2312" w:hAnsi="宋体" w:eastAsia="仿宋_GB2312"/>
          <w:color w:val="auto"/>
          <w:kern w:val="2"/>
          <w:sz w:val="32"/>
          <w:szCs w:val="32"/>
          <w:lang w:val="zh-CN"/>
        </w:rPr>
        <w:t>我镇</w:t>
      </w:r>
      <w:r>
        <w:rPr>
          <w:rFonts w:hint="eastAsia" w:ascii="仿宋_GB2312" w:hAnsi="宋体" w:eastAsia="仿宋_GB2312"/>
          <w:color w:val="auto"/>
          <w:kern w:val="2"/>
          <w:sz w:val="32"/>
          <w:szCs w:val="32"/>
        </w:rPr>
        <w:t>202</w:t>
      </w:r>
      <w:r>
        <w:rPr>
          <w:rFonts w:hint="eastAsia" w:ascii="仿宋_GB2312" w:hAnsi="宋体" w:eastAsia="仿宋_GB2312"/>
          <w:color w:val="auto"/>
          <w:kern w:val="2"/>
          <w:sz w:val="32"/>
          <w:szCs w:val="32"/>
          <w:lang w:val="en-US" w:eastAsia="zh-CN"/>
        </w:rPr>
        <w:t>4</w:t>
      </w:r>
      <w:r>
        <w:rPr>
          <w:rFonts w:hint="eastAsia" w:ascii="仿宋_GB2312" w:hAnsi="宋体" w:eastAsia="仿宋_GB2312"/>
          <w:color w:val="auto"/>
          <w:kern w:val="2"/>
          <w:sz w:val="32"/>
          <w:szCs w:val="32"/>
        </w:rPr>
        <w:t>年</w:t>
      </w:r>
      <w:r>
        <w:rPr>
          <w:rFonts w:hint="eastAsia" w:ascii="仿宋_GB2312" w:hAnsi="宋体" w:eastAsia="仿宋_GB2312"/>
          <w:color w:val="auto"/>
          <w:kern w:val="2"/>
          <w:sz w:val="32"/>
          <w:szCs w:val="32"/>
          <w:lang w:val="zh-CN"/>
        </w:rPr>
        <w:t>收到财政拨款</w:t>
      </w:r>
      <w:r>
        <w:rPr>
          <w:rFonts w:hint="eastAsia" w:ascii="仿宋_GB2312" w:hAnsi="宋体" w:eastAsia="仿宋_GB2312"/>
          <w:color w:val="auto"/>
          <w:kern w:val="2"/>
          <w:sz w:val="32"/>
          <w:szCs w:val="32"/>
          <w:lang w:val="en-US" w:eastAsia="zh-CN"/>
        </w:rPr>
        <w:t>509.90万</w:t>
      </w:r>
      <w:r>
        <w:rPr>
          <w:rFonts w:hint="eastAsia" w:ascii="仿宋_GB2312" w:hAnsi="宋体" w:eastAsia="仿宋_GB2312"/>
          <w:color w:val="auto"/>
          <w:kern w:val="2"/>
          <w:sz w:val="32"/>
          <w:szCs w:val="32"/>
        </w:rPr>
        <w:t>元，</w:t>
      </w:r>
      <w:r>
        <w:rPr>
          <w:rFonts w:hint="eastAsia" w:ascii="仿宋_GB2312" w:hAnsi="宋体" w:eastAsia="仿宋_GB2312"/>
          <w:color w:val="auto"/>
          <w:kern w:val="2"/>
          <w:sz w:val="32"/>
          <w:szCs w:val="32"/>
          <w:lang w:val="zh-CN"/>
        </w:rPr>
        <w:t>资金到位率100%。实际支出</w:t>
      </w:r>
      <w:r>
        <w:rPr>
          <w:rFonts w:hint="eastAsia" w:ascii="仿宋_GB2312" w:hAnsi="宋体" w:eastAsia="仿宋_GB2312"/>
          <w:color w:val="auto"/>
          <w:kern w:val="2"/>
          <w:sz w:val="32"/>
          <w:szCs w:val="32"/>
          <w:lang w:val="en-US" w:eastAsia="zh-CN"/>
        </w:rPr>
        <w:t>509.90万</w:t>
      </w:r>
      <w:r>
        <w:rPr>
          <w:rFonts w:hint="eastAsia" w:ascii="仿宋_GB2312" w:hAnsi="宋体" w:eastAsia="仿宋_GB2312"/>
          <w:color w:val="auto"/>
          <w:kern w:val="2"/>
          <w:sz w:val="32"/>
          <w:szCs w:val="32"/>
          <w:lang w:val="zh-CN"/>
        </w:rPr>
        <w:t>元，支付完成率</w:t>
      </w:r>
      <w:r>
        <w:rPr>
          <w:rFonts w:hint="eastAsia" w:ascii="仿宋_GB2312" w:hAnsi="宋体" w:eastAsia="仿宋_GB2312"/>
          <w:color w:val="auto"/>
          <w:kern w:val="2"/>
          <w:sz w:val="32"/>
          <w:szCs w:val="32"/>
          <w:lang w:val="en-US" w:eastAsia="zh-CN"/>
        </w:rPr>
        <w:t>100%。</w:t>
      </w:r>
    </w:p>
    <w:p w14:paraId="4BAB192B">
      <w:pPr>
        <w:widowControl/>
        <w:numPr>
          <w:ilvl w:val="0"/>
          <w:numId w:val="0"/>
        </w:numPr>
        <w:ind w:firstLine="643" w:firstLineChars="200"/>
        <w:jc w:val="left"/>
        <w:rPr>
          <w:rFonts w:hint="eastAsia" w:ascii="楷体_GB2312" w:hAnsi="宋体" w:eastAsia="楷体_GB2312"/>
          <w:b/>
          <w:lang w:val="zh-CN"/>
        </w:rPr>
      </w:pPr>
      <w:r>
        <w:rPr>
          <w:rFonts w:hint="eastAsia" w:ascii="Times New Roman" w:hAnsi="Times New Roman" w:eastAsia="楷体_GB2312" w:cs="Times New Roman"/>
          <w:b/>
          <w:color w:val="auto"/>
          <w:sz w:val="32"/>
          <w:szCs w:val="32"/>
          <w:highlight w:val="none"/>
          <w:u w:val="none"/>
          <w:lang w:val="zh-CN"/>
        </w:rPr>
        <w:t>（四）项目绩效目标设置。</w:t>
      </w:r>
      <w:r>
        <w:rPr>
          <w:rFonts w:hint="eastAsia" w:ascii="仿宋_GB2312" w:hAnsi="宋体" w:eastAsia="仿宋_GB2312"/>
          <w:color w:val="auto"/>
          <w:kern w:val="2"/>
          <w:sz w:val="32"/>
          <w:szCs w:val="32"/>
          <w:lang w:val="zh-CN"/>
        </w:rPr>
        <w:t>本项目的建设，对加强各村人民直接的经济联系起到了巨大的作用，也为地方经济发展提供了必要的基础设施。有利于各村人民来往，起到了分流的作用，加强各村人民的来往和联系，改善区域人行交通环境。极大缓解周边人民的出行状况，促进社会经济快速发展，对实现城乡统筹协调发展，建设社会主义新农村，实现小康社会有着促进作用。</w:t>
      </w:r>
    </w:p>
    <w:p w14:paraId="31D1C2D7">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outlineLvl w:val="9"/>
        <w:rPr>
          <w:rFonts w:hint="eastAsia" w:ascii="Times New Roman" w:hAnsi="Times New Roman" w:eastAsia="黑体"/>
          <w:sz w:val="32"/>
          <w:szCs w:val="32"/>
          <w:highlight w:val="none"/>
          <w:lang w:eastAsia="zh-CN"/>
        </w:rPr>
      </w:pPr>
      <w:r>
        <w:rPr>
          <w:rFonts w:hint="eastAsia" w:ascii="Times New Roman" w:hAnsi="Times New Roman" w:eastAsia="黑体"/>
          <w:sz w:val="32"/>
          <w:szCs w:val="32"/>
          <w:highlight w:val="none"/>
        </w:rPr>
        <w:t>二、</w:t>
      </w:r>
      <w:r>
        <w:rPr>
          <w:rFonts w:hint="eastAsia" w:ascii="Times New Roman" w:hAnsi="Times New Roman" w:eastAsia="黑体"/>
          <w:sz w:val="32"/>
          <w:szCs w:val="32"/>
          <w:highlight w:val="none"/>
          <w:lang w:eastAsia="zh-CN"/>
        </w:rPr>
        <w:t>评价实施</w:t>
      </w:r>
    </w:p>
    <w:p w14:paraId="39E4432F">
      <w:pPr>
        <w:keepNext w:val="0"/>
        <w:keepLines w:val="0"/>
        <w:pageBreakBefore w:val="0"/>
        <w:widowControl w:val="0"/>
        <w:kinsoku/>
        <w:wordWrap/>
        <w:overflowPunct/>
        <w:topLinePunct w:val="0"/>
        <w:autoSpaceDE/>
        <w:autoSpaceDN/>
        <w:bidi w:val="0"/>
        <w:spacing w:line="578" w:lineRule="exact"/>
        <w:ind w:firstLine="643" w:firstLineChars="200"/>
        <w:textAlignment w:val="auto"/>
        <w:outlineLvl w:val="9"/>
        <w:rPr>
          <w:rFonts w:hint="eastAsia" w:ascii="仿宋_GB2312" w:hAnsi="宋体" w:eastAsia="仿宋_GB2312" w:cs="Times New Roman"/>
          <w:color w:val="auto"/>
          <w:kern w:val="2"/>
          <w:sz w:val="32"/>
          <w:szCs w:val="32"/>
          <w:lang w:val="zh-CN"/>
        </w:rPr>
      </w:pPr>
      <w:r>
        <w:rPr>
          <w:rFonts w:hint="eastAsia" w:ascii="Times New Roman" w:hAnsi="Times New Roman" w:eastAsia="楷体_GB2312" w:cs="Times New Roman"/>
          <w:b/>
          <w:color w:val="auto"/>
          <w:sz w:val="32"/>
          <w:szCs w:val="32"/>
          <w:highlight w:val="none"/>
          <w:u w:val="none"/>
          <w:lang w:val="zh-CN"/>
        </w:rPr>
        <w:t>（一）评价目的。</w:t>
      </w:r>
      <w:r>
        <w:rPr>
          <w:rFonts w:hint="eastAsia" w:ascii="仿宋_GB2312" w:hAnsi="宋体" w:eastAsia="仿宋_GB2312" w:cs="Times New Roman"/>
          <w:color w:val="auto"/>
          <w:kern w:val="2"/>
          <w:sz w:val="32"/>
          <w:szCs w:val="32"/>
          <w:lang w:val="zh-CN"/>
        </w:rPr>
        <w:t>通为进一步提升预算管理水平、提高公共服务质量、优化公共资源配置提供决策参考，为以后年度类似项目专项资金安排、政策制度建设、预算绩效的推进提供必要的借鉴。</w:t>
      </w:r>
    </w:p>
    <w:p w14:paraId="1FCF7B8C">
      <w:pPr>
        <w:keepNext w:val="0"/>
        <w:keepLines w:val="0"/>
        <w:pageBreakBefore w:val="0"/>
        <w:widowControl w:val="0"/>
        <w:numPr>
          <w:ilvl w:val="0"/>
          <w:numId w:val="0"/>
        </w:numPr>
        <w:kinsoku/>
        <w:wordWrap/>
        <w:overflowPunct/>
        <w:topLinePunct w:val="0"/>
        <w:autoSpaceDE/>
        <w:autoSpaceDN/>
        <w:bidi w:val="0"/>
        <w:spacing w:line="578" w:lineRule="exact"/>
        <w:ind w:firstLine="643" w:firstLineChars="200"/>
        <w:textAlignment w:val="auto"/>
        <w:outlineLvl w:val="9"/>
        <w:rPr>
          <w:rFonts w:hint="eastAsia" w:ascii="仿宋_GB2312" w:hAnsi="宋体" w:eastAsia="仿宋_GB2312" w:cs="Times New Roman"/>
          <w:color w:val="auto"/>
          <w:kern w:val="2"/>
          <w:sz w:val="32"/>
          <w:szCs w:val="32"/>
          <w:lang w:val="zh-CN"/>
        </w:rPr>
      </w:pPr>
      <w:r>
        <w:rPr>
          <w:rFonts w:hint="eastAsia" w:ascii="Times New Roman" w:hAnsi="Times New Roman" w:eastAsia="楷体_GB2312" w:cs="Times New Roman"/>
          <w:b/>
          <w:color w:val="auto"/>
          <w:sz w:val="32"/>
          <w:szCs w:val="32"/>
          <w:highlight w:val="none"/>
          <w:u w:val="none"/>
          <w:lang w:val="zh-CN"/>
        </w:rPr>
        <w:t>（二）预设问题及评价重点。</w:t>
      </w:r>
      <w:r>
        <w:rPr>
          <w:rFonts w:hint="eastAsia" w:ascii="仿宋_GB2312" w:hAnsi="宋体" w:eastAsia="仿宋_GB2312" w:cs="Times New Roman"/>
          <w:color w:val="auto"/>
          <w:kern w:val="2"/>
          <w:sz w:val="32"/>
          <w:szCs w:val="32"/>
          <w:lang w:val="zh-CN" w:eastAsia="zh-CN"/>
        </w:rPr>
        <w:t>重点评价该项目财政专项资金使用的规范性、安全性和有效性及评价项目的社会效益、经济效益、可持续性。</w:t>
      </w:r>
    </w:p>
    <w:p w14:paraId="67736278">
      <w:pPr>
        <w:keepNext w:val="0"/>
        <w:keepLines w:val="0"/>
        <w:pageBreakBefore w:val="0"/>
        <w:widowControl w:val="0"/>
        <w:numPr>
          <w:ilvl w:val="0"/>
          <w:numId w:val="0"/>
        </w:numPr>
        <w:kinsoku/>
        <w:wordWrap/>
        <w:overflowPunct/>
        <w:topLinePunct w:val="0"/>
        <w:autoSpaceDE/>
        <w:autoSpaceDN/>
        <w:bidi w:val="0"/>
        <w:spacing w:line="560" w:lineRule="exact"/>
        <w:ind w:firstLine="643" w:firstLineChars="200"/>
        <w:textAlignment w:val="auto"/>
        <w:outlineLvl w:val="9"/>
        <w:rPr>
          <w:rFonts w:hint="eastAsia" w:ascii="仿宋_GB2312" w:hAnsi="宋体" w:eastAsia="仿宋_GB2312" w:cs="Times New Roman"/>
          <w:color w:val="auto"/>
          <w:kern w:val="2"/>
          <w:sz w:val="32"/>
          <w:szCs w:val="32"/>
          <w:lang w:val="zh-CN" w:eastAsia="zh-CN"/>
        </w:rPr>
      </w:pPr>
      <w:r>
        <w:rPr>
          <w:rFonts w:hint="eastAsia" w:ascii="Times New Roman" w:hAnsi="Times New Roman" w:eastAsia="楷体_GB2312" w:cs="Times New Roman"/>
          <w:b/>
          <w:color w:val="auto"/>
          <w:sz w:val="32"/>
          <w:szCs w:val="32"/>
          <w:highlight w:val="none"/>
          <w:u w:val="none"/>
          <w:lang w:val="zh-CN"/>
        </w:rPr>
        <w:t>（三）评价选点。</w:t>
      </w:r>
      <w:r>
        <w:rPr>
          <w:rFonts w:hint="eastAsia" w:ascii="仿宋_GB2312" w:hAnsi="仿宋_GB2312" w:eastAsia="仿宋_GB2312" w:cs="仿宋_GB2312"/>
          <w:color w:val="000000"/>
          <w:kern w:val="0"/>
          <w:sz w:val="32"/>
          <w:szCs w:val="32"/>
          <w:shd w:val="clear" w:color="auto" w:fill="FFFFFF"/>
        </w:rPr>
        <w:t>项目资金由镇财政所具体管理，按投资计划，对项目资金按项目单独核算</w:t>
      </w:r>
      <w:r>
        <w:rPr>
          <w:rFonts w:hint="eastAsia" w:ascii="仿宋_GB2312" w:hAnsi="仿宋_GB2312" w:eastAsia="仿宋_GB2312" w:cs="仿宋_GB2312"/>
          <w:color w:val="000000"/>
          <w:kern w:val="0"/>
          <w:sz w:val="32"/>
          <w:szCs w:val="32"/>
          <w:shd w:val="clear" w:color="auto" w:fill="FFFFFF"/>
          <w:lang w:eastAsia="zh-CN"/>
        </w:rPr>
        <w:t>，</w:t>
      </w:r>
      <w:r>
        <w:rPr>
          <w:rFonts w:hint="eastAsia" w:ascii="仿宋_GB2312" w:hAnsi="仿宋_GB2312" w:eastAsia="仿宋_GB2312" w:cs="仿宋_GB2312"/>
          <w:color w:val="000000"/>
          <w:kern w:val="0"/>
          <w:sz w:val="32"/>
          <w:szCs w:val="32"/>
          <w:shd w:val="clear" w:color="auto" w:fill="FFFFFF"/>
        </w:rPr>
        <w:t>实行“专款专用、专人管理”，不得挤占</w:t>
      </w:r>
      <w:r>
        <w:rPr>
          <w:rFonts w:hint="eastAsia" w:ascii="仿宋_GB2312" w:hAnsi="仿宋_GB2312" w:eastAsia="仿宋_GB2312" w:cs="仿宋_GB2312"/>
          <w:color w:val="000000"/>
          <w:kern w:val="0"/>
          <w:sz w:val="32"/>
          <w:szCs w:val="32"/>
          <w:shd w:val="clear" w:color="auto" w:fill="FFFFFF"/>
          <w:lang w:eastAsia="zh-CN"/>
        </w:rPr>
        <w:t>、</w:t>
      </w:r>
      <w:r>
        <w:rPr>
          <w:rFonts w:hint="eastAsia" w:ascii="仿宋_GB2312" w:hAnsi="仿宋_GB2312" w:eastAsia="仿宋_GB2312" w:cs="仿宋_GB2312"/>
          <w:color w:val="000000"/>
          <w:kern w:val="0"/>
          <w:sz w:val="32"/>
          <w:szCs w:val="32"/>
          <w:shd w:val="clear" w:color="auto" w:fill="FFFFFF"/>
        </w:rPr>
        <w:t>挪用项目资金</w:t>
      </w:r>
      <w:r>
        <w:rPr>
          <w:rFonts w:hint="eastAsia" w:ascii="仿宋_GB2312" w:hAnsi="仿宋_GB2312" w:eastAsia="仿宋_GB2312" w:cs="仿宋_GB2312"/>
          <w:color w:val="000000"/>
          <w:kern w:val="0"/>
          <w:sz w:val="32"/>
          <w:szCs w:val="32"/>
          <w:shd w:val="clear" w:color="auto" w:fill="FFFFFF"/>
          <w:lang w:eastAsia="zh-CN"/>
        </w:rPr>
        <w:t>。</w:t>
      </w:r>
      <w:r>
        <w:rPr>
          <w:rFonts w:hint="eastAsia" w:ascii="仿宋_GB2312" w:hAnsi="仿宋_GB2312" w:eastAsia="仿宋_GB2312" w:cs="仿宋_GB2312"/>
          <w:color w:val="000000"/>
          <w:kern w:val="0"/>
          <w:sz w:val="32"/>
          <w:szCs w:val="32"/>
          <w:shd w:val="clear" w:color="auto" w:fill="FFFFFF"/>
        </w:rPr>
        <w:t>指派专人对项目的实施定期或不定期的</w:t>
      </w:r>
      <w:r>
        <w:rPr>
          <w:rFonts w:hint="eastAsia" w:ascii="仿宋_GB2312" w:hAnsi="宋体" w:eastAsia="仿宋_GB2312" w:cs="Times New Roman"/>
          <w:color w:val="auto"/>
          <w:kern w:val="2"/>
          <w:sz w:val="32"/>
          <w:szCs w:val="32"/>
          <w:lang w:val="zh-CN" w:eastAsia="zh-CN"/>
        </w:rPr>
        <w:t>进行现场检查和监督，及时协调解决困难和问题，保证工程质量。</w:t>
      </w:r>
    </w:p>
    <w:p w14:paraId="56B2E641">
      <w:pPr>
        <w:keepNext w:val="0"/>
        <w:keepLines w:val="0"/>
        <w:pageBreakBefore w:val="0"/>
        <w:widowControl w:val="0"/>
        <w:numPr>
          <w:ilvl w:val="0"/>
          <w:numId w:val="0"/>
        </w:numPr>
        <w:kinsoku/>
        <w:wordWrap/>
        <w:overflowPunct/>
        <w:topLinePunct w:val="0"/>
        <w:autoSpaceDE/>
        <w:autoSpaceDN/>
        <w:bidi w:val="0"/>
        <w:spacing w:line="578" w:lineRule="exact"/>
        <w:ind w:firstLine="643" w:firstLineChars="200"/>
        <w:textAlignment w:val="auto"/>
        <w:outlineLvl w:val="9"/>
        <w:rPr>
          <w:rFonts w:hint="eastAsia" w:ascii="仿宋_GB2312" w:hAnsi="宋体" w:eastAsia="仿宋_GB2312" w:cs="Times New Roman"/>
          <w:color w:val="auto"/>
          <w:kern w:val="2"/>
          <w:sz w:val="32"/>
          <w:szCs w:val="32"/>
          <w:lang w:val="en-US" w:eastAsia="zh-CN"/>
        </w:rPr>
      </w:pPr>
      <w:r>
        <w:rPr>
          <w:rFonts w:hint="eastAsia" w:ascii="Times New Roman" w:hAnsi="Times New Roman" w:eastAsia="楷体_GB2312" w:cs="Times New Roman"/>
          <w:b/>
          <w:color w:val="auto"/>
          <w:sz w:val="32"/>
          <w:szCs w:val="32"/>
          <w:highlight w:val="none"/>
          <w:u w:val="none"/>
          <w:lang w:val="zh-CN" w:eastAsia="zh-CN"/>
        </w:rPr>
        <w:t>（四）评价方法。</w:t>
      </w:r>
      <w:r>
        <w:rPr>
          <w:rFonts w:hint="eastAsia" w:ascii="仿宋_GB2312" w:hAnsi="宋体" w:eastAsia="仿宋_GB2312" w:cs="Times New Roman"/>
          <w:color w:val="auto"/>
          <w:kern w:val="2"/>
          <w:sz w:val="32"/>
          <w:szCs w:val="32"/>
          <w:lang w:val="zh-CN" w:eastAsia="zh-CN"/>
        </w:rPr>
        <w:t>该项目采用单位自评法。</w:t>
      </w:r>
      <w:r>
        <w:rPr>
          <w:rFonts w:hint="eastAsia" w:ascii="仿宋_GB2312" w:hAnsi="宋体" w:eastAsia="仿宋_GB2312" w:cs="Times New Roman"/>
          <w:color w:val="auto"/>
          <w:kern w:val="2"/>
          <w:sz w:val="32"/>
          <w:szCs w:val="32"/>
          <w:lang w:val="en-US" w:eastAsia="zh-CN"/>
        </w:rPr>
        <w:t xml:space="preserve"> </w:t>
      </w:r>
    </w:p>
    <w:p w14:paraId="6F5713F7">
      <w:pPr>
        <w:keepNext w:val="0"/>
        <w:keepLines w:val="0"/>
        <w:pageBreakBefore w:val="0"/>
        <w:widowControl w:val="0"/>
        <w:numPr>
          <w:ilvl w:val="0"/>
          <w:numId w:val="0"/>
        </w:numPr>
        <w:kinsoku/>
        <w:wordWrap/>
        <w:overflowPunct/>
        <w:topLinePunct w:val="0"/>
        <w:autoSpaceDE/>
        <w:autoSpaceDN/>
        <w:bidi w:val="0"/>
        <w:spacing w:line="578" w:lineRule="exact"/>
        <w:ind w:firstLine="640" w:firstLineChars="200"/>
        <w:textAlignment w:val="auto"/>
        <w:outlineLvl w:val="9"/>
        <w:rPr>
          <w:rFonts w:hint="eastAsia" w:ascii="仿宋_GB2312" w:hAnsi="宋体" w:eastAsia="仿宋_GB2312" w:cs="Times New Roman"/>
          <w:color w:val="auto"/>
          <w:kern w:val="2"/>
          <w:sz w:val="32"/>
          <w:szCs w:val="32"/>
          <w:lang w:val="zh-CN" w:eastAsia="zh-CN"/>
        </w:rPr>
      </w:pPr>
      <w:r>
        <w:rPr>
          <w:rFonts w:hint="eastAsia" w:ascii="仿宋_GB2312" w:hAnsi="宋体" w:eastAsia="仿宋_GB2312" w:cs="Times New Roman"/>
          <w:color w:val="auto"/>
          <w:kern w:val="2"/>
          <w:sz w:val="32"/>
          <w:szCs w:val="32"/>
          <w:lang w:val="zh-CN" w:eastAsia="zh-CN"/>
        </w:rPr>
        <w:t>1.前期工作：成立项目绩效自评领导小组，安排专人收集整理相关数据档案、拟定实地核查方案。</w:t>
      </w:r>
    </w:p>
    <w:p w14:paraId="3126DCFF">
      <w:pPr>
        <w:keepNext w:val="0"/>
        <w:keepLines w:val="0"/>
        <w:pageBreakBefore w:val="0"/>
        <w:widowControl w:val="0"/>
        <w:numPr>
          <w:ilvl w:val="0"/>
          <w:numId w:val="0"/>
        </w:numPr>
        <w:kinsoku/>
        <w:wordWrap/>
        <w:overflowPunct/>
        <w:topLinePunct w:val="0"/>
        <w:autoSpaceDE/>
        <w:autoSpaceDN/>
        <w:bidi w:val="0"/>
        <w:spacing w:line="578" w:lineRule="exact"/>
        <w:ind w:firstLine="640" w:firstLineChars="200"/>
        <w:textAlignment w:val="auto"/>
        <w:outlineLvl w:val="9"/>
        <w:rPr>
          <w:rFonts w:hint="eastAsia" w:ascii="仿宋_GB2312" w:hAnsi="宋体" w:eastAsia="仿宋_GB2312" w:cs="Times New Roman"/>
          <w:color w:val="auto"/>
          <w:kern w:val="2"/>
          <w:sz w:val="32"/>
          <w:szCs w:val="32"/>
          <w:lang w:val="zh-CN" w:eastAsia="zh-CN"/>
        </w:rPr>
      </w:pPr>
      <w:r>
        <w:rPr>
          <w:rFonts w:hint="eastAsia" w:ascii="仿宋_GB2312" w:hAnsi="宋体" w:eastAsia="仿宋_GB2312" w:cs="Times New Roman"/>
          <w:color w:val="auto"/>
          <w:kern w:val="2"/>
          <w:sz w:val="32"/>
          <w:szCs w:val="32"/>
          <w:lang w:val="zh-CN" w:eastAsia="zh-CN"/>
        </w:rPr>
        <w:t>2.实地核查：自评工作小组，根据评价指标对资金使用情况进行调查核实，沟口镇财经审查办公室对项目资金完善进行自评。</w:t>
      </w:r>
    </w:p>
    <w:p w14:paraId="68B08BE2">
      <w:pPr>
        <w:keepNext w:val="0"/>
        <w:keepLines w:val="0"/>
        <w:pageBreakBefore w:val="0"/>
        <w:widowControl w:val="0"/>
        <w:numPr>
          <w:ilvl w:val="0"/>
          <w:numId w:val="0"/>
        </w:numPr>
        <w:kinsoku/>
        <w:wordWrap/>
        <w:overflowPunct/>
        <w:topLinePunct w:val="0"/>
        <w:autoSpaceDE/>
        <w:autoSpaceDN/>
        <w:bidi w:val="0"/>
        <w:spacing w:line="578" w:lineRule="exact"/>
        <w:ind w:firstLine="640" w:firstLineChars="200"/>
        <w:textAlignment w:val="auto"/>
        <w:outlineLvl w:val="9"/>
        <w:rPr>
          <w:rFonts w:hint="eastAsia" w:ascii="仿宋_GB2312" w:hAnsi="宋体" w:eastAsia="仿宋_GB2312" w:cs="Times New Roman"/>
          <w:color w:val="auto"/>
          <w:kern w:val="2"/>
          <w:sz w:val="32"/>
          <w:szCs w:val="32"/>
          <w:lang w:val="zh-CN" w:eastAsia="zh-CN"/>
        </w:rPr>
      </w:pPr>
      <w:r>
        <w:rPr>
          <w:rFonts w:hint="eastAsia" w:ascii="仿宋_GB2312" w:hAnsi="宋体" w:eastAsia="仿宋_GB2312" w:cs="Times New Roman"/>
          <w:color w:val="auto"/>
          <w:kern w:val="2"/>
          <w:sz w:val="32"/>
          <w:szCs w:val="32"/>
          <w:lang w:val="zh-CN" w:eastAsia="zh-CN"/>
        </w:rPr>
        <w:t>3.分析评价：根据自查结果，对绩效评价指标进行全面的分析形成绩效评价报告。</w:t>
      </w:r>
    </w:p>
    <w:p w14:paraId="133850E2">
      <w:pPr>
        <w:keepNext w:val="0"/>
        <w:keepLines w:val="0"/>
        <w:pageBreakBefore w:val="0"/>
        <w:widowControl w:val="0"/>
        <w:numPr>
          <w:ilvl w:val="0"/>
          <w:numId w:val="0"/>
        </w:numPr>
        <w:kinsoku/>
        <w:wordWrap/>
        <w:overflowPunct/>
        <w:topLinePunct w:val="0"/>
        <w:autoSpaceDE/>
        <w:autoSpaceDN/>
        <w:bidi w:val="0"/>
        <w:spacing w:line="578" w:lineRule="exact"/>
        <w:ind w:firstLine="643" w:firstLineChars="200"/>
        <w:textAlignment w:val="auto"/>
        <w:outlineLvl w:val="9"/>
        <w:rPr>
          <w:rFonts w:hint="eastAsia" w:ascii="仿宋_GB2312" w:hAnsi="宋体" w:eastAsia="仿宋_GB2312" w:cs="Times New Roman"/>
          <w:color w:val="auto"/>
          <w:kern w:val="2"/>
          <w:sz w:val="32"/>
          <w:szCs w:val="32"/>
          <w:lang w:val="zh-CN" w:eastAsia="zh-CN"/>
        </w:rPr>
      </w:pPr>
      <w:r>
        <w:rPr>
          <w:rFonts w:hint="eastAsia" w:ascii="Times New Roman" w:hAnsi="Times New Roman" w:eastAsia="楷体_GB2312" w:cs="Times New Roman"/>
          <w:b/>
          <w:color w:val="auto"/>
          <w:sz w:val="32"/>
          <w:szCs w:val="32"/>
          <w:highlight w:val="none"/>
          <w:u w:val="none"/>
          <w:lang w:val="zh-CN" w:eastAsia="zh-CN"/>
        </w:rPr>
        <w:t>（五）评价组织。</w:t>
      </w:r>
      <w:r>
        <w:rPr>
          <w:rFonts w:hint="eastAsia" w:ascii="仿宋_GB2312" w:hAnsi="宋体" w:eastAsia="仿宋_GB2312" w:cs="Times New Roman"/>
          <w:color w:val="auto"/>
          <w:kern w:val="2"/>
          <w:sz w:val="32"/>
          <w:szCs w:val="32"/>
          <w:lang w:val="zh-CN" w:eastAsia="zh-CN"/>
        </w:rPr>
        <w:t>成立项目绩效自评领导小组，由分管财务副镇长牵头，沟口镇财经审查办公室、沟口镇各驻村工作组组成自评小组，通过数据分析、实地核查、分析评价形成绩效评价报告。</w:t>
      </w:r>
    </w:p>
    <w:p w14:paraId="3800C64D">
      <w:pPr>
        <w:adjustRightInd w:val="0"/>
        <w:snapToGrid w:val="0"/>
        <w:spacing w:line="580" w:lineRule="exact"/>
        <w:ind w:firstLine="640" w:firstLineChars="200"/>
        <w:rPr>
          <w:rFonts w:hint="eastAsia" w:ascii="黑体" w:hAnsi="黑体" w:eastAsia="黑体" w:cs="黑体"/>
          <w:b w:val="0"/>
          <w:bCs w:val="0"/>
          <w:color w:val="000000"/>
          <w:kern w:val="0"/>
          <w:sz w:val="32"/>
          <w:szCs w:val="32"/>
          <w:shd w:val="clear" w:color="auto" w:fill="FFFFFF"/>
          <w:lang w:val="zh-CN"/>
        </w:rPr>
      </w:pPr>
      <w:r>
        <w:rPr>
          <w:rFonts w:hint="eastAsia" w:ascii="黑体" w:hAnsi="黑体" w:eastAsia="黑体" w:cs="黑体"/>
          <w:b w:val="0"/>
          <w:bCs w:val="0"/>
          <w:color w:val="000000"/>
          <w:kern w:val="0"/>
          <w:sz w:val="32"/>
          <w:szCs w:val="32"/>
          <w:shd w:val="clear" w:color="auto" w:fill="FFFFFF"/>
          <w:lang w:val="zh-CN"/>
        </w:rPr>
        <w:t>三、</w:t>
      </w:r>
      <w:r>
        <w:rPr>
          <w:rFonts w:hint="eastAsia" w:ascii="黑体" w:hAnsi="黑体" w:eastAsia="黑体" w:cs="黑体"/>
          <w:b w:val="0"/>
          <w:bCs w:val="0"/>
          <w:color w:val="000000"/>
          <w:kern w:val="0"/>
          <w:sz w:val="32"/>
          <w:szCs w:val="32"/>
          <w:shd w:val="clear" w:color="auto" w:fill="FFFFFF"/>
          <w:lang w:val="zh-CN" w:eastAsia="zh-CN"/>
        </w:rPr>
        <w:t>绩效分析</w:t>
      </w:r>
      <w:r>
        <w:rPr>
          <w:rFonts w:hint="eastAsia" w:ascii="黑体" w:hAnsi="黑体" w:eastAsia="黑体" w:cs="黑体"/>
          <w:b w:val="0"/>
          <w:bCs w:val="0"/>
          <w:color w:val="000000"/>
          <w:kern w:val="0"/>
          <w:sz w:val="32"/>
          <w:szCs w:val="32"/>
          <w:shd w:val="clear" w:color="auto" w:fill="FFFFFF"/>
          <w:lang w:val="zh-CN"/>
        </w:rPr>
        <w:tab/>
      </w:r>
    </w:p>
    <w:p w14:paraId="2610D43B">
      <w:pPr>
        <w:adjustRightInd w:val="0"/>
        <w:snapToGrid w:val="0"/>
        <w:spacing w:line="580" w:lineRule="exact"/>
        <w:ind w:firstLine="643" w:firstLineChars="200"/>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（一）通用指标绩效分析</w:t>
      </w:r>
    </w:p>
    <w:p w14:paraId="41701E1D">
      <w:pPr>
        <w:adjustRightInd w:val="0"/>
        <w:snapToGrid w:val="0"/>
        <w:spacing w:line="580" w:lineRule="exact"/>
        <w:ind w:firstLine="640" w:firstLineChars="200"/>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1.项目决策。茂县</w:t>
      </w:r>
      <w:r>
        <w:rPr>
          <w:rFonts w:hint="eastAsia" w:ascii="仿宋_GB2312" w:hAnsi="仿宋_GB2312" w:eastAsia="仿宋_GB2312" w:cs="仿宋_GB2312"/>
          <w:color w:val="000000"/>
          <w:kern w:val="0"/>
          <w:sz w:val="32"/>
          <w:szCs w:val="32"/>
          <w:shd w:val="clear" w:color="auto" w:fill="FFFFFF"/>
          <w:lang w:val="zh-CN" w:eastAsia="zh-CN"/>
        </w:rPr>
        <w:t>沟口镇</w:t>
      </w:r>
      <w:r>
        <w:rPr>
          <w:rFonts w:hint="eastAsia" w:ascii="仿宋_GB2312" w:hAnsi="仿宋_GB2312" w:eastAsia="仿宋_GB2312" w:cs="仿宋_GB2312"/>
          <w:color w:val="000000"/>
          <w:kern w:val="0"/>
          <w:sz w:val="32"/>
          <w:szCs w:val="32"/>
          <w:shd w:val="clear" w:color="auto" w:fill="FFFFFF"/>
          <w:lang w:val="zh-CN"/>
        </w:rPr>
        <w:t>人民政府负责</w:t>
      </w:r>
      <w:r>
        <w:rPr>
          <w:rFonts w:hint="eastAsia" w:ascii="仿宋_GB2312" w:hAnsi="仿宋_GB2312" w:eastAsia="仿宋_GB2312" w:cs="仿宋_GB2312"/>
          <w:color w:val="000000"/>
          <w:kern w:val="0"/>
          <w:sz w:val="32"/>
          <w:szCs w:val="32"/>
          <w:shd w:val="clear" w:color="auto" w:fill="FFFFFF"/>
          <w:lang w:val="zh-CN" w:eastAsia="zh-CN"/>
        </w:rPr>
        <w:t>，</w:t>
      </w:r>
      <w:r>
        <w:rPr>
          <w:rFonts w:hint="eastAsia" w:ascii="仿宋_GB2312" w:hAnsi="仿宋_GB2312" w:eastAsia="仿宋_GB2312" w:cs="仿宋_GB2312"/>
          <w:color w:val="000000"/>
          <w:kern w:val="0"/>
          <w:sz w:val="32"/>
          <w:szCs w:val="32"/>
          <w:shd w:val="clear" w:color="auto" w:fill="FFFFFF"/>
          <w:lang w:val="zh-CN"/>
        </w:rPr>
        <w:t>补助资金根据各村人口、幅员面积、地理区位、村集体收入和工作绩效等因素分村确定具体的补助标准，</w:t>
      </w:r>
      <w:r>
        <w:rPr>
          <w:rFonts w:hint="eastAsia" w:ascii="仿宋_GB2312" w:hAnsi="仿宋_GB2312" w:eastAsia="仿宋_GB2312" w:cs="仿宋_GB2312"/>
          <w:color w:val="000000"/>
          <w:kern w:val="0"/>
          <w:sz w:val="32"/>
          <w:szCs w:val="32"/>
          <w:shd w:val="clear" w:color="auto" w:fill="FFFFFF"/>
          <w:lang w:val="zh-CN" w:eastAsia="zh-CN"/>
        </w:rPr>
        <w:t>沟口镇</w:t>
      </w:r>
      <w:r>
        <w:rPr>
          <w:rFonts w:hint="eastAsia" w:ascii="仿宋_GB2312" w:hAnsi="仿宋_GB2312" w:eastAsia="仿宋_GB2312" w:cs="仿宋_GB2312"/>
          <w:color w:val="000000"/>
          <w:kern w:val="0"/>
          <w:sz w:val="32"/>
          <w:szCs w:val="32"/>
          <w:shd w:val="clear" w:color="auto" w:fill="FFFFFF"/>
          <w:lang w:val="zh-CN"/>
        </w:rPr>
        <w:t>驻村工作组对完工内容进行验收，</w:t>
      </w:r>
      <w:r>
        <w:rPr>
          <w:rFonts w:hint="eastAsia" w:ascii="仿宋_GB2312" w:hAnsi="仿宋_GB2312" w:eastAsia="仿宋_GB2312" w:cs="仿宋_GB2312"/>
          <w:color w:val="000000"/>
          <w:kern w:val="0"/>
          <w:sz w:val="32"/>
          <w:szCs w:val="32"/>
          <w:shd w:val="clear" w:color="auto" w:fill="FFFFFF"/>
          <w:lang w:val="zh-CN" w:eastAsia="zh-CN"/>
        </w:rPr>
        <w:t>沟口镇财务室</w:t>
      </w:r>
      <w:r>
        <w:rPr>
          <w:rFonts w:hint="eastAsia" w:ascii="仿宋_GB2312" w:hAnsi="仿宋_GB2312" w:eastAsia="仿宋_GB2312" w:cs="仿宋_GB2312"/>
          <w:color w:val="000000"/>
          <w:kern w:val="0"/>
          <w:sz w:val="32"/>
          <w:szCs w:val="32"/>
          <w:shd w:val="clear" w:color="auto" w:fill="FFFFFF"/>
          <w:lang w:val="zh-CN"/>
        </w:rPr>
        <w:t>支付资金。</w:t>
      </w:r>
    </w:p>
    <w:p w14:paraId="33110DD5">
      <w:pPr>
        <w:adjustRightInd w:val="0"/>
        <w:snapToGrid w:val="0"/>
        <w:spacing w:line="580" w:lineRule="exact"/>
        <w:ind w:firstLine="640" w:firstLineChars="200"/>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2.项目管理。镇政府统一监督管理，严禁弄虚作假</w:t>
      </w:r>
      <w:r>
        <w:rPr>
          <w:rFonts w:hint="eastAsia" w:ascii="仿宋_GB2312" w:hAnsi="仿宋_GB2312" w:eastAsia="仿宋_GB2312" w:cs="仿宋_GB2312"/>
          <w:color w:val="000000"/>
          <w:kern w:val="0"/>
          <w:sz w:val="32"/>
          <w:szCs w:val="32"/>
          <w:shd w:val="clear" w:color="auto" w:fill="FFFFFF"/>
          <w:lang w:val="zh-CN" w:eastAsia="zh-CN"/>
        </w:rPr>
        <w:t>。</w:t>
      </w:r>
    </w:p>
    <w:p w14:paraId="75DBE7E0">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3.项目实施。为确保项目的顺利实施，负责建设相关事宜，以确保项目保质保量按时完工。对项目资金按项目单独核算实行“专款专用、专人管理”，不得挤占、挪用项目资金。</w:t>
      </w:r>
    </w:p>
    <w:p w14:paraId="404265ED">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4.项目结果。项目在上级有关部门的关心、帮助下，在镇党委政府的领导下，顺利推进，圆满完成任务。截至20</w:t>
      </w:r>
      <w:r>
        <w:rPr>
          <w:rFonts w:hint="eastAsia" w:ascii="仿宋_GB2312" w:hAnsi="仿宋_GB2312" w:eastAsia="仿宋_GB2312" w:cs="仿宋_GB2312"/>
          <w:color w:val="000000"/>
          <w:kern w:val="0"/>
          <w:sz w:val="32"/>
          <w:szCs w:val="32"/>
          <w:shd w:val="clear" w:color="auto" w:fill="FFFFFF"/>
          <w:lang w:val="en-US" w:eastAsia="zh-CN"/>
        </w:rPr>
        <w:t>24</w:t>
      </w:r>
      <w:r>
        <w:rPr>
          <w:rFonts w:hint="eastAsia" w:ascii="仿宋_GB2312" w:hAnsi="仿宋_GB2312" w:eastAsia="仿宋_GB2312" w:cs="仿宋_GB2312"/>
          <w:color w:val="000000"/>
          <w:kern w:val="0"/>
          <w:sz w:val="32"/>
          <w:szCs w:val="32"/>
          <w:shd w:val="clear" w:color="auto" w:fill="FFFFFF"/>
          <w:lang w:val="zh-CN"/>
        </w:rPr>
        <w:t>年12月，项目已全面完成并验收。</w:t>
      </w:r>
    </w:p>
    <w:p w14:paraId="1BA38A82">
      <w:pPr>
        <w:adjustRightInd w:val="0"/>
        <w:snapToGrid w:val="0"/>
        <w:spacing w:line="580" w:lineRule="exact"/>
        <w:ind w:firstLine="643" w:firstLineChars="200"/>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（二）专用指标绩效分析</w:t>
      </w:r>
    </w:p>
    <w:p w14:paraId="32141A29">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color w:val="000000"/>
          <w:kern w:val="0"/>
          <w:sz w:val="32"/>
          <w:szCs w:val="32"/>
          <w:shd w:val="clear" w:color="auto" w:fill="FFFFFF"/>
          <w:lang w:val="zh-CN" w:eastAsia="zh-CN"/>
        </w:rPr>
      </w:pPr>
      <w:r>
        <w:rPr>
          <w:rFonts w:hint="eastAsia" w:ascii="仿宋_GB2312" w:hAnsi="仿宋_GB2312" w:eastAsia="仿宋_GB2312" w:cs="仿宋_GB2312"/>
          <w:color w:val="000000"/>
          <w:kern w:val="0"/>
          <w:sz w:val="32"/>
          <w:szCs w:val="32"/>
          <w:shd w:val="clear" w:color="auto" w:fill="FFFFFF"/>
          <w:lang w:val="zh-CN"/>
        </w:rPr>
        <w:t>1.产业发展类。通过完善基础设施建设，进一步改善了村级的基础设施和公共服务，扩大了农村基层民主</w:t>
      </w:r>
      <w:r>
        <w:rPr>
          <w:rFonts w:hint="eastAsia" w:ascii="仿宋_GB2312" w:hAnsi="仿宋_GB2312" w:eastAsia="仿宋_GB2312" w:cs="仿宋_GB2312"/>
          <w:color w:val="000000"/>
          <w:kern w:val="0"/>
          <w:sz w:val="32"/>
          <w:szCs w:val="32"/>
          <w:shd w:val="clear" w:color="auto" w:fill="FFFFFF"/>
          <w:lang w:val="zh-CN" w:eastAsia="zh-CN"/>
        </w:rPr>
        <w:t>。</w:t>
      </w:r>
    </w:p>
    <w:p w14:paraId="29C5911C">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2.民生保障类。完善了村民自治，密切了党和政府同农民群众的关系，满足了农民群众的需求，也为我镇的村级项目建设起到了示范和引领作用。</w:t>
      </w:r>
    </w:p>
    <w:p w14:paraId="4F1968A8">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zh-CN"/>
        </w:rPr>
        <w:t>3.基础设施类。采取专户核算、专款专用、</w:t>
      </w:r>
      <w:r>
        <w:rPr>
          <w:rFonts w:hint="eastAsia" w:ascii="仿宋_GB2312" w:hAnsi="仿宋_GB2312" w:eastAsia="仿宋_GB2312" w:cs="仿宋_GB2312"/>
          <w:color w:val="000000"/>
          <w:kern w:val="0"/>
          <w:sz w:val="32"/>
          <w:szCs w:val="32"/>
          <w:shd w:val="clear" w:color="auto" w:fill="FFFFFF"/>
          <w:lang w:val="en-US" w:eastAsia="zh-CN"/>
        </w:rPr>
        <w:t>建立台账，明确到村保障资金数额，确保保障资金用于村内</w:t>
      </w:r>
      <w:r>
        <w:rPr>
          <w:rFonts w:hint="eastAsia" w:ascii="仿宋_GB2312" w:hAnsi="仿宋_GB2312" w:eastAsia="仿宋_GB2312" w:cs="仿宋_GB2312"/>
          <w:color w:val="000000"/>
          <w:kern w:val="0"/>
          <w:sz w:val="32"/>
          <w:szCs w:val="32"/>
          <w:shd w:val="clear" w:color="auto" w:fill="FFFFFF"/>
          <w:lang w:val="en-US" w:eastAsia="zh-CN"/>
        </w:rPr>
        <w:fldChar w:fldCharType="begin"/>
      </w:r>
      <w:r>
        <w:rPr>
          <w:rFonts w:hint="eastAsia" w:ascii="仿宋_GB2312" w:hAnsi="仿宋_GB2312" w:eastAsia="仿宋_GB2312" w:cs="仿宋_GB2312"/>
          <w:color w:val="000000"/>
          <w:kern w:val="0"/>
          <w:sz w:val="32"/>
          <w:szCs w:val="32"/>
          <w:shd w:val="clear" w:color="auto" w:fill="FFFFFF"/>
          <w:lang w:val="en-US" w:eastAsia="zh-CN"/>
        </w:rPr>
        <w:instrText xml:space="preserve"> HYPERLINK "https://wenwen.sogou.com/s/?w=%E5%85%AC%E5%85%B1%E6%9C%8D%E5%8A%A1%E8%AE%BE%E6%96%BD&amp;ch=ww.xqy.chain" \t "_blank" </w:instrText>
      </w:r>
      <w:r>
        <w:rPr>
          <w:rFonts w:hint="eastAsia" w:ascii="仿宋_GB2312" w:hAnsi="仿宋_GB2312" w:eastAsia="仿宋_GB2312" w:cs="仿宋_GB2312"/>
          <w:color w:val="000000"/>
          <w:kern w:val="0"/>
          <w:sz w:val="32"/>
          <w:szCs w:val="32"/>
          <w:shd w:val="clear" w:color="auto" w:fill="FFFFFF"/>
          <w:lang w:val="en-US" w:eastAsia="zh-CN"/>
        </w:rPr>
        <w:fldChar w:fldCharType="separate"/>
      </w:r>
      <w:r>
        <w:rPr>
          <w:rFonts w:hint="eastAsia" w:ascii="仿宋_GB2312" w:hAnsi="仿宋_GB2312" w:eastAsia="仿宋_GB2312" w:cs="仿宋_GB2312"/>
          <w:color w:val="000000"/>
          <w:kern w:val="0"/>
          <w:sz w:val="32"/>
          <w:szCs w:val="32"/>
          <w:shd w:val="clear" w:color="auto" w:fill="FFFFFF"/>
          <w:lang w:val="en-US" w:eastAsia="zh-CN"/>
        </w:rPr>
        <w:t>公共服务设施</w:t>
      </w:r>
      <w:r>
        <w:rPr>
          <w:rFonts w:hint="eastAsia" w:ascii="仿宋_GB2312" w:hAnsi="仿宋_GB2312" w:eastAsia="仿宋_GB2312" w:cs="仿宋_GB2312"/>
          <w:color w:val="000000"/>
          <w:kern w:val="0"/>
          <w:sz w:val="32"/>
          <w:szCs w:val="32"/>
          <w:shd w:val="clear" w:color="auto" w:fill="FFFFFF"/>
          <w:lang w:val="en-US" w:eastAsia="zh-CN"/>
        </w:rPr>
        <w:fldChar w:fldCharType="end"/>
      </w:r>
      <w:r>
        <w:rPr>
          <w:rFonts w:hint="eastAsia" w:ascii="仿宋_GB2312" w:hAnsi="仿宋_GB2312" w:eastAsia="仿宋_GB2312" w:cs="仿宋_GB2312"/>
          <w:color w:val="000000"/>
          <w:kern w:val="0"/>
          <w:sz w:val="32"/>
          <w:szCs w:val="32"/>
          <w:shd w:val="clear" w:color="auto" w:fill="FFFFFF"/>
          <w:lang w:val="en-US" w:eastAsia="zh-CN"/>
        </w:rPr>
        <w:t>运行维护，防止挪用和平调。</w:t>
      </w:r>
    </w:p>
    <w:p w14:paraId="7B2B6921">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4.行政运转类。</w:t>
      </w:r>
      <w:r>
        <w:rPr>
          <w:rFonts w:hint="eastAsia" w:ascii="仿宋_GB2312" w:hAnsi="仿宋_GB2312" w:eastAsia="仿宋_GB2312" w:cs="仿宋_GB2312"/>
          <w:color w:val="000000"/>
          <w:kern w:val="0"/>
          <w:sz w:val="32"/>
          <w:szCs w:val="32"/>
          <w:shd w:val="clear" w:color="auto" w:fill="FFFFFF"/>
          <w:lang w:val="zh-CN" w:eastAsia="zh-CN"/>
        </w:rPr>
        <w:t>项目用途合规、程序合规、标准合规，</w:t>
      </w:r>
      <w:r>
        <w:rPr>
          <w:rFonts w:hint="eastAsia" w:ascii="仿宋_GB2312" w:hAnsi="仿宋_GB2312" w:eastAsia="仿宋_GB2312" w:cs="仿宋_GB2312"/>
          <w:color w:val="000000"/>
          <w:kern w:val="0"/>
          <w:sz w:val="32"/>
          <w:szCs w:val="32"/>
          <w:shd w:val="clear" w:color="auto" w:fill="FFFFFF"/>
          <w:lang w:val="en-US" w:eastAsia="zh-CN"/>
        </w:rPr>
        <w:t>收支合理、手续完备、数字准确、帐目清楚。</w:t>
      </w:r>
    </w:p>
    <w:p w14:paraId="5C918F96">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outlineLvl w:val="9"/>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（三）个性指标绩效分析</w:t>
      </w:r>
    </w:p>
    <w:p w14:paraId="1E362ABE">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en-US" w:eastAsia="zh-CN"/>
        </w:rPr>
        <w:t>时效指标：项目于2024年完成，与计划完成时间相一致。资金支付及时，符合相关工作安排及实施办法要求。</w:t>
      </w:r>
    </w:p>
    <w:p w14:paraId="280E2DA0">
      <w:pPr>
        <w:keepNext w:val="0"/>
        <w:keepLines w:val="0"/>
        <w:pageBreakBefore w:val="0"/>
        <w:widowControl w:val="0"/>
        <w:kinsoku/>
        <w:wordWrap/>
        <w:overflowPunct/>
        <w:topLinePunct w:val="0"/>
        <w:autoSpaceDE/>
        <w:autoSpaceDN/>
        <w:bidi w:val="0"/>
        <w:spacing w:line="576" w:lineRule="exact"/>
        <w:ind w:firstLine="640" w:firstLineChars="200"/>
        <w:textAlignment w:val="auto"/>
        <w:outlineLvl w:val="9"/>
        <w:rPr>
          <w:rFonts w:hint="eastAsia" w:ascii="黑体" w:hAnsi="黑体" w:eastAsia="黑体" w:cs="黑体"/>
          <w:b w:val="0"/>
          <w:bCs w:val="0"/>
          <w:kern w:val="0"/>
          <w:position w:val="0"/>
          <w:sz w:val="32"/>
          <w:szCs w:val="32"/>
          <w:highlight w:val="none"/>
          <w:lang w:val="en-US" w:eastAsia="zh-CN" w:bidi="ar-SA"/>
        </w:rPr>
      </w:pPr>
      <w:r>
        <w:rPr>
          <w:rFonts w:hint="eastAsia" w:ascii="黑体" w:hAnsi="黑体" w:eastAsia="黑体" w:cs="黑体"/>
          <w:b w:val="0"/>
          <w:bCs w:val="0"/>
          <w:kern w:val="0"/>
          <w:position w:val="0"/>
          <w:sz w:val="32"/>
          <w:szCs w:val="32"/>
          <w:highlight w:val="none"/>
          <w:lang w:val="en-US" w:eastAsia="zh-CN" w:bidi="ar-SA"/>
        </w:rPr>
        <w:t>四、评价结论</w:t>
      </w:r>
    </w:p>
    <w:p w14:paraId="066993D5">
      <w:pPr>
        <w:keepNext w:val="0"/>
        <w:keepLines w:val="0"/>
        <w:pageBreakBefore w:val="0"/>
        <w:widowControl w:val="0"/>
        <w:kinsoku/>
        <w:wordWrap/>
        <w:overflowPunct/>
        <w:topLinePunct w:val="0"/>
        <w:autoSpaceDE/>
        <w:autoSpaceDN/>
        <w:bidi w:val="0"/>
        <w:spacing w:line="576" w:lineRule="exact"/>
        <w:ind w:firstLine="640" w:firstLineChars="200"/>
        <w:textAlignment w:val="auto"/>
        <w:outlineLvl w:val="9"/>
        <w:rPr>
          <w:rFonts w:hint="eastAsia" w:ascii="仿宋_GB2312" w:hAnsi="宋体" w:eastAsia="仿宋_GB2312"/>
          <w:color w:val="auto"/>
          <w:kern w:val="2"/>
          <w:sz w:val="32"/>
          <w:szCs w:val="32"/>
          <w:lang w:val="zh-CN"/>
        </w:rPr>
      </w:pPr>
      <w:r>
        <w:rPr>
          <w:rFonts w:hint="eastAsia" w:ascii="仿宋_GB2312" w:hAnsi="宋体" w:eastAsia="仿宋_GB2312"/>
          <w:color w:val="auto"/>
          <w:kern w:val="2"/>
          <w:sz w:val="32"/>
          <w:szCs w:val="32"/>
          <w:lang w:val="zh-CN"/>
        </w:rPr>
        <w:t>本项目的建设，对加强各村人民直接的经济联系起到了巨大的作用，也为地方经济发展提供了必要的基础设施。有利于各村人民来往，起到了分流的作用，极大缓解周边人民的出行状况，对建设社会主义新农村，实现小康社会有着促进作用。</w:t>
      </w:r>
    </w:p>
    <w:p w14:paraId="3C93ED44">
      <w:pPr>
        <w:pStyle w:val="8"/>
        <w:keepNext w:val="0"/>
        <w:keepLines w:val="0"/>
        <w:pageBreakBefore w:val="0"/>
        <w:numPr>
          <w:ilvl w:val="0"/>
          <w:numId w:val="4"/>
        </w:numPr>
        <w:tabs>
          <w:tab w:val="left" w:pos="2160"/>
        </w:tabs>
        <w:kinsoku/>
        <w:wordWrap/>
        <w:overflowPunct/>
        <w:topLinePunct w:val="0"/>
        <w:autoSpaceDE/>
        <w:autoSpaceDN/>
        <w:bidi w:val="0"/>
        <w:spacing w:line="560" w:lineRule="exact"/>
        <w:ind w:left="197" w:leftChars="0" w:firstLine="643" w:firstLineChars="0"/>
        <w:textAlignment w:val="auto"/>
        <w:rPr>
          <w:rFonts w:hint="default" w:ascii="黑体" w:hAnsi="黑体" w:eastAsia="黑体" w:cs="黑体"/>
          <w:b w:val="0"/>
          <w:bCs w:val="0"/>
          <w:color w:val="000000"/>
          <w:kern w:val="0"/>
          <w:sz w:val="32"/>
          <w:szCs w:val="32"/>
          <w:shd w:val="clear" w:color="auto" w:fill="FFFFFF"/>
          <w:lang w:val="en-US" w:eastAsia="zh-CN" w:bidi="ar-SA"/>
        </w:rPr>
      </w:pPr>
      <w:r>
        <w:rPr>
          <w:rFonts w:hint="eastAsia" w:ascii="黑体" w:hAnsi="黑体" w:eastAsia="黑体" w:cs="黑体"/>
          <w:b w:val="0"/>
          <w:bCs w:val="0"/>
          <w:color w:val="000000"/>
          <w:kern w:val="0"/>
          <w:sz w:val="32"/>
          <w:szCs w:val="32"/>
          <w:shd w:val="clear" w:color="auto" w:fill="FFFFFF"/>
          <w:lang w:val="zh-CN" w:eastAsia="zh-CN" w:bidi="ar-SA"/>
        </w:rPr>
        <w:t>存在主要问题</w:t>
      </w:r>
    </w:p>
    <w:p w14:paraId="511732ED">
      <w:pPr>
        <w:pStyle w:val="8"/>
        <w:keepNext w:val="0"/>
        <w:keepLines w:val="0"/>
        <w:pageBreakBefore w:val="0"/>
        <w:numPr>
          <w:ilvl w:val="0"/>
          <w:numId w:val="0"/>
        </w:numPr>
        <w:tabs>
          <w:tab w:val="left" w:pos="2160"/>
        </w:tabs>
        <w:kinsoku/>
        <w:wordWrap/>
        <w:overflowPunct/>
        <w:topLinePunct w:val="0"/>
        <w:autoSpaceDE/>
        <w:autoSpaceDN/>
        <w:bidi w:val="0"/>
        <w:spacing w:line="560" w:lineRule="exact"/>
        <w:ind w:firstLine="640" w:firstLineChars="200"/>
        <w:textAlignment w:val="auto"/>
        <w:rPr>
          <w:rFonts w:hint="default" w:ascii="仿宋_GB2312" w:hAnsi="宋体" w:eastAsia="仿宋_GB2312" w:cs="Times New Roman"/>
          <w:color w:val="auto"/>
          <w:kern w:val="2"/>
          <w:position w:val="0"/>
          <w:sz w:val="32"/>
          <w:szCs w:val="32"/>
          <w:lang w:val="en-US" w:eastAsia="zh-CN" w:bidi="ar-SA"/>
        </w:rPr>
      </w:pPr>
      <w:r>
        <w:rPr>
          <w:rFonts w:hint="eastAsia" w:hAnsi="宋体" w:cs="Times New Roman"/>
          <w:color w:val="auto"/>
          <w:kern w:val="2"/>
          <w:position w:val="0"/>
          <w:sz w:val="32"/>
          <w:szCs w:val="32"/>
          <w:lang w:val="en-US" w:eastAsia="zh-CN" w:bidi="ar-SA"/>
        </w:rPr>
        <w:t>专项预算项目绩效自评未发现主要问题。</w:t>
      </w:r>
    </w:p>
    <w:p w14:paraId="4DB888CB">
      <w:pPr>
        <w:pStyle w:val="8"/>
        <w:keepNext w:val="0"/>
        <w:keepLines w:val="0"/>
        <w:pageBreakBefore w:val="0"/>
        <w:numPr>
          <w:ilvl w:val="0"/>
          <w:numId w:val="4"/>
        </w:numPr>
        <w:tabs>
          <w:tab w:val="left" w:pos="2160"/>
        </w:tabs>
        <w:kinsoku/>
        <w:wordWrap/>
        <w:overflowPunct/>
        <w:topLinePunct w:val="0"/>
        <w:autoSpaceDE/>
        <w:autoSpaceDN/>
        <w:bidi w:val="0"/>
        <w:spacing w:line="560" w:lineRule="exact"/>
        <w:ind w:left="197" w:leftChars="0" w:firstLine="643" w:firstLineChars="0"/>
        <w:textAlignment w:val="auto"/>
        <w:rPr>
          <w:rFonts w:hint="eastAsia" w:ascii="黑体" w:hAnsi="黑体" w:eastAsia="黑体" w:cs="黑体"/>
          <w:b w:val="0"/>
          <w:bCs w:val="0"/>
          <w:color w:val="000000"/>
          <w:kern w:val="0"/>
          <w:sz w:val="32"/>
          <w:szCs w:val="32"/>
          <w:shd w:val="clear" w:color="auto" w:fill="FFFFFF"/>
          <w:lang w:val="zh-CN" w:eastAsia="zh-CN" w:bidi="ar-SA"/>
        </w:rPr>
      </w:pPr>
      <w:r>
        <w:rPr>
          <w:rFonts w:hint="eastAsia" w:ascii="黑体" w:hAnsi="黑体" w:eastAsia="黑体" w:cs="黑体"/>
          <w:b w:val="0"/>
          <w:bCs w:val="0"/>
          <w:color w:val="000000"/>
          <w:kern w:val="0"/>
          <w:sz w:val="32"/>
          <w:szCs w:val="32"/>
          <w:shd w:val="clear" w:color="auto" w:fill="FFFFFF"/>
          <w:lang w:val="zh-CN" w:eastAsia="zh-CN" w:bidi="ar-SA"/>
        </w:rPr>
        <w:t>改进建议</w:t>
      </w:r>
    </w:p>
    <w:p w14:paraId="3D3D6EAC">
      <w:pPr>
        <w:snapToGrid w:val="0"/>
        <w:spacing w:line="578" w:lineRule="exact"/>
        <w:ind w:firstLine="640" w:firstLineChars="200"/>
        <w:rPr>
          <w:rFonts w:hint="default" w:ascii="黑体" w:hAnsi="黑体" w:eastAsia="黑体" w:cs="黑体"/>
          <w:kern w:val="0"/>
          <w:sz w:val="32"/>
          <w:szCs w:val="32"/>
          <w:shd w:val="clear" w:color="auto" w:fill="FFFFFF"/>
          <w:lang w:val="en-US" w:eastAsia="zh-CN"/>
        </w:rPr>
      </w:pPr>
      <w:r>
        <w:rPr>
          <w:rFonts w:hint="eastAsia" w:ascii="仿宋_GB2312" w:hAnsi="宋体" w:eastAsia="仿宋_GB2312" w:cs="Times New Roman"/>
          <w:color w:val="auto"/>
          <w:kern w:val="2"/>
          <w:position w:val="0"/>
          <w:sz w:val="32"/>
          <w:szCs w:val="32"/>
          <w:lang w:val="en-US" w:eastAsia="zh-CN" w:bidi="ar-SA"/>
        </w:rPr>
        <w:t>专项预算项目在预算安排、完善政策、改进管理等方面的无措施建设。</w:t>
      </w:r>
    </w:p>
    <w:p w14:paraId="3AE73335">
      <w:pPr>
        <w:snapToGrid w:val="0"/>
        <w:spacing w:line="578" w:lineRule="exact"/>
        <w:rPr>
          <w:rFonts w:eastAsia="黑体"/>
          <w:kern w:val="0"/>
          <w:shd w:val="clear" w:color="auto" w:fill="FFFFFF"/>
          <w:lang w:val="zh-CN"/>
        </w:rPr>
      </w:pPr>
    </w:p>
    <w:p w14:paraId="4F754F7E">
      <w:pPr>
        <w:pStyle w:val="2"/>
        <w:rPr>
          <w:rFonts w:eastAsia="黑体"/>
          <w:kern w:val="0"/>
          <w:shd w:val="clear" w:color="auto" w:fill="FFFFFF"/>
          <w:lang w:val="zh-CN"/>
        </w:rPr>
      </w:pPr>
    </w:p>
    <w:p w14:paraId="318DBBA3">
      <w:pPr>
        <w:pStyle w:val="3"/>
        <w:rPr>
          <w:rFonts w:eastAsia="黑体"/>
          <w:kern w:val="0"/>
          <w:shd w:val="clear" w:color="auto" w:fill="FFFFFF"/>
          <w:lang w:val="zh-CN"/>
        </w:rPr>
      </w:pPr>
    </w:p>
    <w:p w14:paraId="5970E63B">
      <w:pPr>
        <w:pStyle w:val="3"/>
        <w:rPr>
          <w:rFonts w:eastAsia="黑体"/>
          <w:kern w:val="0"/>
          <w:shd w:val="clear" w:color="auto" w:fill="FFFFFF"/>
          <w:lang w:val="zh-CN"/>
        </w:rPr>
      </w:pPr>
    </w:p>
    <w:p w14:paraId="7AD31F4D">
      <w:pPr>
        <w:pStyle w:val="3"/>
        <w:rPr>
          <w:rFonts w:eastAsia="黑体"/>
          <w:kern w:val="0"/>
          <w:shd w:val="clear" w:color="auto" w:fill="FFFFFF"/>
          <w:lang w:val="zh-CN"/>
        </w:rPr>
      </w:pPr>
    </w:p>
    <w:p w14:paraId="25426DE0">
      <w:pPr>
        <w:snapToGrid w:val="0"/>
        <w:spacing w:line="578" w:lineRule="exact"/>
      </w:pPr>
      <w:r>
        <w:rPr>
          <w:rFonts w:eastAsia="黑体"/>
          <w:kern w:val="0"/>
          <w:shd w:val="clear" w:color="auto" w:fill="FFFFFF"/>
          <w:lang w:val="zh-CN"/>
        </w:rPr>
        <w:t>附表</w:t>
      </w:r>
      <w:r>
        <w:rPr>
          <w:rFonts w:eastAsia="黑体"/>
          <w:kern w:val="0"/>
          <w:shd w:val="clear" w:color="auto" w:fill="FFFFFF"/>
        </w:rPr>
        <w:t>1</w:t>
      </w:r>
    </w:p>
    <w:p w14:paraId="070DFA87">
      <w:pPr>
        <w:spacing w:line="578" w:lineRule="exact"/>
        <w:ind w:firstLine="2400" w:firstLineChars="600"/>
        <w:jc w:val="both"/>
        <w:rPr>
          <w:rFonts w:eastAsia="方正小标宋_GBK"/>
          <w:sz w:val="40"/>
          <w:szCs w:val="40"/>
        </w:rPr>
      </w:pPr>
      <w:r>
        <w:rPr>
          <w:rFonts w:hint="eastAsia" w:eastAsia="方正小标宋_GBK"/>
          <w:sz w:val="40"/>
          <w:szCs w:val="40"/>
        </w:rPr>
        <w:t>专项</w:t>
      </w:r>
      <w:r>
        <w:rPr>
          <w:rFonts w:eastAsia="方正小标宋_GBK"/>
          <w:sz w:val="40"/>
          <w:szCs w:val="40"/>
        </w:rPr>
        <w:t>预算绩效自评打分表</w:t>
      </w:r>
    </w:p>
    <w:tbl>
      <w:tblPr>
        <w:tblStyle w:val="16"/>
        <w:tblW w:w="10901" w:type="dxa"/>
        <w:jc w:val="center"/>
        <w:tblLayout w:type="fixed"/>
        <w:tblCellMar>
          <w:top w:w="0" w:type="dxa"/>
          <w:left w:w="108" w:type="dxa"/>
          <w:bottom w:w="0" w:type="dxa"/>
          <w:right w:w="108" w:type="dxa"/>
        </w:tblCellMar>
      </w:tblPr>
      <w:tblGrid>
        <w:gridCol w:w="720"/>
        <w:gridCol w:w="765"/>
        <w:gridCol w:w="825"/>
        <w:gridCol w:w="1355"/>
        <w:gridCol w:w="696"/>
        <w:gridCol w:w="5340"/>
        <w:gridCol w:w="732"/>
        <w:gridCol w:w="468"/>
      </w:tblGrid>
      <w:tr w14:paraId="693DCC19">
        <w:tblPrEx>
          <w:tblCellMar>
            <w:top w:w="0" w:type="dxa"/>
            <w:left w:w="108" w:type="dxa"/>
            <w:bottom w:w="0" w:type="dxa"/>
            <w:right w:w="108" w:type="dxa"/>
          </w:tblCellMar>
        </w:tblPrEx>
        <w:trPr>
          <w:trHeight w:val="23" w:hRule="atLeast"/>
          <w:jc w:val="center"/>
        </w:trPr>
        <w:tc>
          <w:tcPr>
            <w:tcW w:w="4361" w:type="dxa"/>
            <w:gridSpan w:val="5"/>
            <w:tcBorders>
              <w:top w:val="single" w:color="000000" w:sz="4" w:space="0"/>
              <w:left w:val="single" w:color="000000" w:sz="4" w:space="0"/>
              <w:bottom w:val="nil"/>
              <w:right w:val="nil"/>
            </w:tcBorders>
            <w:noWrap w:val="0"/>
            <w:vAlign w:val="center"/>
          </w:tcPr>
          <w:p w14:paraId="0D48D9B1">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绩效评价指标</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14:paraId="55D8D612">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指标解释</w:t>
            </w:r>
          </w:p>
        </w:tc>
        <w:tc>
          <w:tcPr>
            <w:tcW w:w="732" w:type="dxa"/>
            <w:vMerge w:val="restart"/>
            <w:tcBorders>
              <w:top w:val="single" w:color="000000" w:sz="4" w:space="0"/>
              <w:left w:val="single" w:color="000000" w:sz="4" w:space="0"/>
              <w:right w:val="single" w:color="000000" w:sz="4" w:space="0"/>
            </w:tcBorders>
            <w:noWrap w:val="0"/>
            <w:vAlign w:val="center"/>
          </w:tcPr>
          <w:p w14:paraId="6BEEDB13">
            <w:pPr>
              <w:widowControl/>
              <w:spacing w:line="240" w:lineRule="exact"/>
              <w:jc w:val="center"/>
              <w:textAlignment w:val="center"/>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自评得分</w:t>
            </w:r>
          </w:p>
        </w:tc>
        <w:tc>
          <w:tcPr>
            <w:tcW w:w="468" w:type="dxa"/>
            <w:vMerge w:val="restart"/>
            <w:tcBorders>
              <w:top w:val="single" w:color="000000" w:sz="4" w:space="0"/>
              <w:left w:val="single" w:color="000000" w:sz="4" w:space="0"/>
              <w:right w:val="single" w:color="000000" w:sz="4" w:space="0"/>
            </w:tcBorders>
            <w:noWrap w:val="0"/>
            <w:vAlign w:val="center"/>
          </w:tcPr>
          <w:p w14:paraId="276BB074">
            <w:pPr>
              <w:widowControl/>
              <w:spacing w:line="240" w:lineRule="exact"/>
              <w:jc w:val="center"/>
              <w:textAlignment w:val="center"/>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备注</w:t>
            </w:r>
          </w:p>
        </w:tc>
      </w:tr>
      <w:tr w14:paraId="0BCA21E4">
        <w:tblPrEx>
          <w:tblCellMar>
            <w:top w:w="0" w:type="dxa"/>
            <w:left w:w="108" w:type="dxa"/>
            <w:bottom w:w="0" w:type="dxa"/>
            <w:right w:w="108" w:type="dxa"/>
          </w:tblCellMar>
        </w:tblPrEx>
        <w:trPr>
          <w:trHeight w:val="23" w:hRule="atLeast"/>
          <w:jc w:val="center"/>
        </w:trPr>
        <w:tc>
          <w:tcPr>
            <w:tcW w:w="720" w:type="dxa"/>
            <w:tcBorders>
              <w:top w:val="single" w:color="000000" w:sz="4" w:space="0"/>
              <w:left w:val="single" w:color="000000" w:sz="4" w:space="0"/>
              <w:bottom w:val="single" w:color="000000" w:sz="4" w:space="0"/>
              <w:right w:val="single" w:color="000000" w:sz="4" w:space="0"/>
            </w:tcBorders>
            <w:noWrap w:val="0"/>
            <w:vAlign w:val="center"/>
          </w:tcPr>
          <w:p w14:paraId="6E04063D">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一级指标</w:t>
            </w:r>
          </w:p>
        </w:tc>
        <w:tc>
          <w:tcPr>
            <w:tcW w:w="1590" w:type="dxa"/>
            <w:gridSpan w:val="2"/>
            <w:tcBorders>
              <w:top w:val="single" w:color="000000" w:sz="4" w:space="0"/>
              <w:left w:val="single" w:color="000000" w:sz="4" w:space="0"/>
              <w:bottom w:val="single" w:color="000000" w:sz="4" w:space="0"/>
              <w:right w:val="single" w:color="000000" w:sz="4" w:space="0"/>
            </w:tcBorders>
            <w:noWrap w:val="0"/>
            <w:vAlign w:val="center"/>
          </w:tcPr>
          <w:p w14:paraId="43AA1352">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二级指标</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DB397B4">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三级指标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E686F9F">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指标</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分值</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908AB5">
            <w:pPr>
              <w:widowControl/>
              <w:spacing w:line="240" w:lineRule="exact"/>
              <w:jc w:val="center"/>
              <w:rPr>
                <w:rFonts w:hint="eastAsia" w:ascii="仿宋_GB2312" w:hAnsi="仿宋_GB2312" w:eastAsia="仿宋_GB2312" w:cs="仿宋_GB2312"/>
                <w:color w:val="000000"/>
                <w:sz w:val="21"/>
                <w:szCs w:val="21"/>
              </w:rPr>
            </w:pPr>
          </w:p>
        </w:tc>
        <w:tc>
          <w:tcPr>
            <w:tcW w:w="732" w:type="dxa"/>
            <w:vMerge w:val="continue"/>
            <w:tcBorders>
              <w:left w:val="single" w:color="000000" w:sz="4" w:space="0"/>
              <w:bottom w:val="single" w:color="000000" w:sz="4" w:space="0"/>
              <w:right w:val="single" w:color="000000" w:sz="4" w:space="0"/>
            </w:tcBorders>
            <w:noWrap w:val="0"/>
            <w:vAlign w:val="center"/>
          </w:tcPr>
          <w:p w14:paraId="35D133B9">
            <w:pPr>
              <w:widowControl/>
              <w:spacing w:line="240" w:lineRule="exact"/>
              <w:jc w:val="center"/>
              <w:rPr>
                <w:rFonts w:hint="eastAsia" w:ascii="仿宋_GB2312" w:hAnsi="仿宋_GB2312" w:eastAsia="仿宋_GB2312" w:cs="仿宋_GB2312"/>
                <w:color w:val="000000"/>
                <w:sz w:val="21"/>
                <w:szCs w:val="21"/>
              </w:rPr>
            </w:pPr>
          </w:p>
        </w:tc>
        <w:tc>
          <w:tcPr>
            <w:tcW w:w="468" w:type="dxa"/>
            <w:vMerge w:val="continue"/>
            <w:tcBorders>
              <w:left w:val="single" w:color="000000" w:sz="4" w:space="0"/>
              <w:bottom w:val="single" w:color="000000" w:sz="4" w:space="0"/>
              <w:right w:val="single" w:color="000000" w:sz="4" w:space="0"/>
            </w:tcBorders>
            <w:noWrap w:val="0"/>
            <w:vAlign w:val="center"/>
          </w:tcPr>
          <w:p w14:paraId="73BBA8DD">
            <w:pPr>
              <w:widowControl/>
              <w:spacing w:line="240" w:lineRule="exact"/>
              <w:jc w:val="center"/>
              <w:rPr>
                <w:rFonts w:hint="eastAsia" w:ascii="仿宋_GB2312" w:hAnsi="仿宋_GB2312" w:eastAsia="仿宋_GB2312" w:cs="仿宋_GB2312"/>
                <w:color w:val="000000"/>
                <w:sz w:val="21"/>
                <w:szCs w:val="21"/>
              </w:rPr>
            </w:pPr>
          </w:p>
        </w:tc>
      </w:tr>
      <w:tr w14:paraId="0AD319F9">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4A9FECFE">
            <w:pPr>
              <w:widowControl/>
              <w:spacing w:line="24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通用指标</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（54分）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6DC9FF8">
            <w:pPr>
              <w:widowControl/>
              <w:spacing w:line="24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项目决策</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6958C96">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决策程序</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5C826C9">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FF40E79">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项目决策程序是否严密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883A6E5">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63A6235">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4D854C80">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EC7456">
            <w:pPr>
              <w:widowControl/>
              <w:spacing w:line="24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61BC38C">
            <w:pPr>
              <w:widowControl/>
              <w:spacing w:line="24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0373B8A">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规划论证</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9131E49">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27DCE23">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项目规划论证是否符合中省要求，项目绩效目标设置是否科学合理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A1772A8">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AA711B8">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7A62FF58">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FB9BF9">
            <w:pPr>
              <w:widowControl/>
              <w:spacing w:line="24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63D4BC2">
            <w:pPr>
              <w:widowControl/>
              <w:spacing w:line="24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4FBCE18">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资金投向</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9287E20">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DB2343B">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项目资金是否与项目总体规划、相关行业事业发展相匹配，是否聚焦重大任务、重点领域、重点环节和重点项目</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7A6743F">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77467F3">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6431E1BB">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6F582A">
            <w:pPr>
              <w:widowControl/>
              <w:spacing w:line="240" w:lineRule="exact"/>
              <w:jc w:val="center"/>
              <w:rPr>
                <w:rFonts w:hint="eastAsia" w:ascii="仿宋_GB2312" w:hAnsi="仿宋_GB2312" w:eastAsia="仿宋_GB2312" w:cs="仿宋_GB2312"/>
                <w:b/>
                <w:color w:val="000000"/>
                <w:sz w:val="21"/>
                <w:szCs w:val="21"/>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5C447B1">
            <w:pPr>
              <w:widowControl/>
              <w:spacing w:line="24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项目管理</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330DFEC">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制度办法</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16A482F">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2</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678ADCD">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项目制度办法是否体系健全、要素完备</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9FBA43F">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3AED5E7">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5A94070E">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5BFEAD">
            <w:pPr>
              <w:widowControl/>
              <w:spacing w:line="24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5C12101">
            <w:pPr>
              <w:widowControl/>
              <w:spacing w:line="24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9C41712">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分配管理</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211210F">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4FDE9D1">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项目资金分配因素选取、权重设置、区域分布，项目管理、审批是否符合管理要求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D4F9BE5">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8</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8A18B89">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37286C0D">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8A3A89">
            <w:pPr>
              <w:widowControl/>
              <w:spacing w:line="24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859FC1A">
            <w:pPr>
              <w:widowControl/>
              <w:spacing w:line="24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342D1E2">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绩效监管</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062AE19">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9F2B94E">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管资金、项目、政策是否管绩效，项目绩效监管是否按要求开展，对下指导是否有力有效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7FA96CD">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4</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3A8F626">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346D81C9">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0E12AF">
            <w:pPr>
              <w:widowControl/>
              <w:spacing w:line="240" w:lineRule="exact"/>
              <w:jc w:val="center"/>
              <w:rPr>
                <w:rFonts w:hint="eastAsia" w:ascii="仿宋_GB2312" w:hAnsi="仿宋_GB2312" w:eastAsia="仿宋_GB2312" w:cs="仿宋_GB2312"/>
                <w:b/>
                <w:color w:val="000000"/>
                <w:sz w:val="21"/>
                <w:szCs w:val="21"/>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1DA5928">
            <w:pPr>
              <w:widowControl/>
              <w:spacing w:line="24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项目实施</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AF49930">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预算执行</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A48F598">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62BDCDA">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项目资金财政拨付、单位执行和地方配套到位情况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5E271DD">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7B79702">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0B9C32D5">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8233AA">
            <w:pPr>
              <w:widowControl/>
              <w:spacing w:line="24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1338CE0">
            <w:pPr>
              <w:widowControl/>
              <w:spacing w:line="24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242FB69">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资金使用</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A7AAE38">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E109966">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资金使用拨付、项目实施是否符合规定</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4593969">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57987BE">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006D855F">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904046">
            <w:pPr>
              <w:widowControl/>
              <w:spacing w:line="240" w:lineRule="exact"/>
              <w:jc w:val="center"/>
              <w:rPr>
                <w:rFonts w:hint="eastAsia" w:ascii="仿宋_GB2312" w:hAnsi="仿宋_GB2312" w:eastAsia="仿宋_GB2312" w:cs="仿宋_GB2312"/>
                <w:b/>
                <w:color w:val="000000"/>
                <w:sz w:val="21"/>
                <w:szCs w:val="21"/>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2C7271C7">
            <w:pPr>
              <w:widowControl/>
              <w:spacing w:line="24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项目结果</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2935347">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目标完成</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535FE16">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710569B">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项目是否完成预期目标，实施结果是否与绩效目标相匹配，反映目标实现程度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4A4E74C">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1F36186">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716D6F7B">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9C9FA1">
            <w:pPr>
              <w:widowControl/>
              <w:spacing w:line="24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0E94F30">
            <w:pPr>
              <w:widowControl/>
              <w:spacing w:line="24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E44A1A8">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完成时效</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229802A">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FFE72AE">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项目实际完成时间与计划完成时间的比较</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34D682E">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F7C087C">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67F04DE7">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51FE18E4">
            <w:pPr>
              <w:widowControl/>
              <w:spacing w:line="24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专用指标</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7AE8E57">
            <w:pPr>
              <w:widowControl/>
              <w:spacing w:line="24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产业发展</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0644951">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符合性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147540C">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1102C49">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项目实施是否与省委省政府支持重点、产业支持政策符合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07B2C1F">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9</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3E4CAE2">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3EB8249A">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F0012F">
            <w:pPr>
              <w:widowControl/>
              <w:spacing w:line="24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50DFD09">
            <w:pPr>
              <w:widowControl/>
              <w:spacing w:line="24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D1A68AC">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成长性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42F3519">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8CD74C2">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项目实施对相关企业（机构）成长性的促进作用，主要反映支持对象创新创造创业能力情况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44EEC87">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9</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8B26E55">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6F96C15A">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5AFF9C">
            <w:pPr>
              <w:widowControl/>
              <w:spacing w:line="24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51E0B80">
            <w:pPr>
              <w:widowControl/>
              <w:spacing w:line="24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5D71DE7">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经济性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560DF7C">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EE6C98E">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项目实施对相关企业（机构）主营业务收入、净利润、税收、产量等方面增长情况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57F6C24">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9</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21AD7D5">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04BD3FD7">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593764">
            <w:pPr>
              <w:widowControl/>
              <w:spacing w:line="240" w:lineRule="exact"/>
              <w:jc w:val="center"/>
              <w:rPr>
                <w:rFonts w:hint="eastAsia" w:ascii="仿宋_GB2312" w:hAnsi="仿宋_GB2312" w:eastAsia="仿宋_GB2312" w:cs="仿宋_GB2312"/>
                <w:b/>
                <w:color w:val="000000"/>
                <w:sz w:val="21"/>
                <w:szCs w:val="21"/>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7F7CE84">
            <w:pPr>
              <w:widowControl/>
              <w:spacing w:line="24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民生保障</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E99F8E9">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区域均衡性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138CCF0">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B770540">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项目资金分配体现的均衡公平情况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0F1E534">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B1DC44C">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6BCEA07B">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87F57E">
            <w:pPr>
              <w:widowControl/>
              <w:spacing w:line="24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C9A0A34">
            <w:pPr>
              <w:widowControl/>
              <w:spacing w:line="24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33F1389">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对象精准性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D87F681">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73E7D34">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资金实际支持对象是否符合管理要求，是否符合支持对象范围</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FE4EA32">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F7074B0">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4BD36709">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0CAD9A">
            <w:pPr>
              <w:widowControl/>
              <w:spacing w:line="24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64296CC">
            <w:pPr>
              <w:widowControl/>
              <w:spacing w:line="24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2CDE88D">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标准合理性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BEB0F4C">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A2D8D90">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资金实际补贴标准是否符合资金管理办法规定的补助标准，是否及时按标准兑现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B5FDD73">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B3F35DE">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7C66C155">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AC564B">
            <w:pPr>
              <w:widowControl/>
              <w:spacing w:line="24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96BBCBC">
            <w:pPr>
              <w:widowControl/>
              <w:spacing w:line="24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DB6978D">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群众满意度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FCF4473">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3A8EFAB">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资金涉及相关受益群体、支持对象的满意度调查访谈情况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6A176D9">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4</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4A3261C">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7FA26B9F">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E51BCC">
            <w:pPr>
              <w:widowControl/>
              <w:spacing w:line="240" w:lineRule="exact"/>
              <w:jc w:val="center"/>
              <w:rPr>
                <w:rFonts w:hint="eastAsia" w:ascii="仿宋_GB2312" w:hAnsi="仿宋_GB2312" w:eastAsia="仿宋_GB2312" w:cs="仿宋_GB2312"/>
                <w:b/>
                <w:color w:val="000000"/>
                <w:sz w:val="21"/>
                <w:szCs w:val="21"/>
              </w:rPr>
            </w:pPr>
          </w:p>
        </w:tc>
        <w:tc>
          <w:tcPr>
            <w:tcW w:w="765" w:type="dxa"/>
            <w:vMerge w:val="restart"/>
            <w:tcBorders>
              <w:top w:val="single" w:color="000000" w:sz="4" w:space="0"/>
              <w:left w:val="single" w:color="000000" w:sz="4" w:space="0"/>
              <w:bottom w:val="single" w:color="000000" w:sz="4" w:space="0"/>
              <w:right w:val="single" w:color="000000" w:sz="4" w:space="0"/>
            </w:tcBorders>
            <w:noWrap w:val="0"/>
            <w:vAlign w:val="center"/>
          </w:tcPr>
          <w:p w14:paraId="613369BC">
            <w:pPr>
              <w:widowControl/>
              <w:spacing w:line="24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基础</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设施</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（30分）</w:t>
            </w: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14:paraId="6DE6B001">
            <w:pPr>
              <w:widowControl/>
              <w:spacing w:line="24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在建</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236CD5C">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工程进度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6D9A28D">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0D64E46">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项目是否达到计划工程进度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9A7F127">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3852EB3">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44D29CE9">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B0BF83">
            <w:pPr>
              <w:widowControl/>
              <w:spacing w:line="240" w:lineRule="exact"/>
              <w:jc w:val="center"/>
              <w:rPr>
                <w:rFonts w:hint="eastAsia" w:ascii="仿宋_GB2312" w:hAnsi="仿宋_GB2312" w:eastAsia="仿宋_GB2312" w:cs="仿宋_GB2312"/>
                <w:b/>
                <w:color w:val="000000"/>
                <w:sz w:val="21"/>
                <w:szCs w:val="21"/>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94276D">
            <w:pPr>
              <w:widowControl/>
              <w:spacing w:line="240" w:lineRule="exact"/>
              <w:jc w:val="center"/>
              <w:rPr>
                <w:rFonts w:hint="eastAsia" w:ascii="仿宋_GB2312" w:hAnsi="仿宋_GB2312" w:eastAsia="仿宋_GB2312" w:cs="仿宋_GB2312"/>
                <w:b/>
                <w:color w:val="000000"/>
                <w:sz w:val="21"/>
                <w:szCs w:val="21"/>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AA9E4E">
            <w:pPr>
              <w:widowControl/>
              <w:spacing w:line="24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E609681">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资金拨付</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403CB12">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5CAE9B1">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项目是否达到预先确定的资金拨付进度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259DC7B">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712A76D">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2143762B">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01DA51">
            <w:pPr>
              <w:widowControl/>
              <w:spacing w:line="240" w:lineRule="exact"/>
              <w:jc w:val="center"/>
              <w:rPr>
                <w:rFonts w:hint="eastAsia" w:ascii="仿宋_GB2312" w:hAnsi="仿宋_GB2312" w:eastAsia="仿宋_GB2312" w:cs="仿宋_GB2312"/>
                <w:b/>
                <w:color w:val="000000"/>
                <w:sz w:val="21"/>
                <w:szCs w:val="21"/>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107B0E">
            <w:pPr>
              <w:widowControl/>
              <w:spacing w:line="240" w:lineRule="exact"/>
              <w:jc w:val="center"/>
              <w:rPr>
                <w:rFonts w:hint="eastAsia" w:ascii="仿宋_GB2312" w:hAnsi="仿宋_GB2312" w:eastAsia="仿宋_GB2312" w:cs="仿宋_GB2312"/>
                <w:b/>
                <w:color w:val="000000"/>
                <w:sz w:val="21"/>
                <w:szCs w:val="21"/>
              </w:rPr>
            </w:pP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14:paraId="7FEB2B55">
            <w:pPr>
              <w:widowControl/>
              <w:spacing w:line="24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建成</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768E984">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项目验收</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B5BD111">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E08BADD">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项目验收是否及时合格</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72192B3">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157F3E0">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70C2BF14">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BF8479">
            <w:pPr>
              <w:widowControl/>
              <w:spacing w:line="240" w:lineRule="exact"/>
              <w:jc w:val="center"/>
              <w:rPr>
                <w:rFonts w:hint="eastAsia" w:ascii="仿宋_GB2312" w:hAnsi="仿宋_GB2312" w:eastAsia="仿宋_GB2312" w:cs="仿宋_GB2312"/>
                <w:b/>
                <w:color w:val="000000"/>
                <w:sz w:val="21"/>
                <w:szCs w:val="21"/>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7E24CF">
            <w:pPr>
              <w:widowControl/>
              <w:spacing w:line="240" w:lineRule="exact"/>
              <w:jc w:val="center"/>
              <w:rPr>
                <w:rFonts w:hint="eastAsia" w:ascii="仿宋_GB2312" w:hAnsi="仿宋_GB2312" w:eastAsia="仿宋_GB2312" w:cs="仿宋_GB2312"/>
                <w:b/>
                <w:color w:val="000000"/>
                <w:sz w:val="21"/>
                <w:szCs w:val="21"/>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8DBAE3">
            <w:pPr>
              <w:widowControl/>
              <w:spacing w:line="24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7293961">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功能实现</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C4A8633">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5E48B8B">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项目经济社会功能是否实现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7EF00BC">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8B66848">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694C9EB7">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C22A3E">
            <w:pPr>
              <w:widowControl/>
              <w:spacing w:line="240" w:lineRule="exact"/>
              <w:jc w:val="center"/>
              <w:rPr>
                <w:rFonts w:hint="eastAsia" w:ascii="仿宋_GB2312" w:hAnsi="仿宋_GB2312" w:eastAsia="仿宋_GB2312" w:cs="仿宋_GB2312"/>
                <w:b/>
                <w:color w:val="000000"/>
                <w:sz w:val="21"/>
                <w:szCs w:val="21"/>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BD5F7A">
            <w:pPr>
              <w:widowControl/>
              <w:spacing w:line="240" w:lineRule="exact"/>
              <w:jc w:val="center"/>
              <w:rPr>
                <w:rFonts w:hint="eastAsia" w:ascii="仿宋_GB2312" w:hAnsi="仿宋_GB2312" w:eastAsia="仿宋_GB2312" w:cs="仿宋_GB2312"/>
                <w:b/>
                <w:color w:val="000000"/>
                <w:sz w:val="21"/>
                <w:szCs w:val="21"/>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A13779">
            <w:pPr>
              <w:widowControl/>
              <w:spacing w:line="24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0D7191D">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后续管护</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34197F0">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737157E">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项目后续维护是否实现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D08F609">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0AE6901">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5B5EC9DA">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05706D76">
            <w:pPr>
              <w:widowControl/>
              <w:spacing w:line="24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专用指标</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2ECD320C">
            <w:pPr>
              <w:widowControl/>
              <w:spacing w:line="24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行政运转</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（30分）</w:t>
            </w:r>
          </w:p>
        </w:tc>
        <w:tc>
          <w:tcPr>
            <w:tcW w:w="1355" w:type="dxa"/>
            <w:tcBorders>
              <w:top w:val="nil"/>
              <w:left w:val="single" w:color="000000" w:sz="4" w:space="0"/>
              <w:bottom w:val="single" w:color="000000" w:sz="4" w:space="0"/>
              <w:right w:val="single" w:color="000000" w:sz="4" w:space="0"/>
            </w:tcBorders>
            <w:noWrap w:val="0"/>
            <w:vAlign w:val="center"/>
          </w:tcPr>
          <w:p w14:paraId="11CB0893">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用途合规性</w:t>
            </w:r>
          </w:p>
        </w:tc>
        <w:tc>
          <w:tcPr>
            <w:tcW w:w="696" w:type="dxa"/>
            <w:tcBorders>
              <w:top w:val="nil"/>
              <w:left w:val="single" w:color="000000" w:sz="4" w:space="0"/>
              <w:bottom w:val="single" w:color="000000" w:sz="4" w:space="0"/>
              <w:right w:val="single" w:color="000000" w:sz="4" w:space="0"/>
            </w:tcBorders>
            <w:noWrap w:val="0"/>
            <w:vAlign w:val="center"/>
          </w:tcPr>
          <w:p w14:paraId="6C5E0A2D">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nil"/>
              <w:left w:val="single" w:color="000000" w:sz="4" w:space="0"/>
              <w:bottom w:val="single" w:color="000000" w:sz="4" w:space="0"/>
              <w:right w:val="single" w:color="000000" w:sz="4" w:space="0"/>
            </w:tcBorders>
            <w:noWrap w:val="0"/>
            <w:vAlign w:val="center"/>
          </w:tcPr>
          <w:p w14:paraId="53C04280">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是否按规定用途、适用范围进行本地区专项资金分配</w:t>
            </w:r>
          </w:p>
        </w:tc>
        <w:tc>
          <w:tcPr>
            <w:tcW w:w="732" w:type="dxa"/>
            <w:tcBorders>
              <w:top w:val="nil"/>
              <w:left w:val="single" w:color="000000" w:sz="4" w:space="0"/>
              <w:bottom w:val="single" w:color="000000" w:sz="4" w:space="0"/>
              <w:right w:val="single" w:color="000000" w:sz="4" w:space="0"/>
            </w:tcBorders>
            <w:noWrap w:val="0"/>
            <w:vAlign w:val="center"/>
          </w:tcPr>
          <w:p w14:paraId="01672A2E">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nil"/>
              <w:left w:val="single" w:color="000000" w:sz="4" w:space="0"/>
              <w:bottom w:val="single" w:color="000000" w:sz="4" w:space="0"/>
              <w:right w:val="single" w:color="000000" w:sz="4" w:space="0"/>
            </w:tcBorders>
            <w:noWrap w:val="0"/>
            <w:vAlign w:val="center"/>
          </w:tcPr>
          <w:p w14:paraId="7353CCFF">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4AA3D7FB">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CA1087">
            <w:pPr>
              <w:widowControl/>
              <w:spacing w:line="24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2818C27">
            <w:pPr>
              <w:widowControl/>
              <w:spacing w:line="240" w:lineRule="exact"/>
              <w:jc w:val="center"/>
              <w:rPr>
                <w:rFonts w:hint="eastAsia" w:ascii="仿宋_GB2312" w:hAnsi="仿宋_GB2312" w:eastAsia="仿宋_GB2312" w:cs="仿宋_GB2312"/>
                <w:b/>
                <w:color w:val="000000"/>
                <w:sz w:val="21"/>
                <w:szCs w:val="21"/>
              </w:rPr>
            </w:pPr>
          </w:p>
        </w:tc>
        <w:tc>
          <w:tcPr>
            <w:tcW w:w="1355" w:type="dxa"/>
            <w:tcBorders>
              <w:top w:val="nil"/>
              <w:left w:val="single" w:color="000000" w:sz="4" w:space="0"/>
              <w:bottom w:val="single" w:color="000000" w:sz="4" w:space="0"/>
              <w:right w:val="single" w:color="000000" w:sz="4" w:space="0"/>
            </w:tcBorders>
            <w:noWrap w:val="0"/>
            <w:vAlign w:val="center"/>
          </w:tcPr>
          <w:p w14:paraId="3A02819E">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程序合规性</w:t>
            </w:r>
          </w:p>
        </w:tc>
        <w:tc>
          <w:tcPr>
            <w:tcW w:w="696" w:type="dxa"/>
            <w:tcBorders>
              <w:top w:val="nil"/>
              <w:left w:val="single" w:color="000000" w:sz="4" w:space="0"/>
              <w:bottom w:val="single" w:color="000000" w:sz="4" w:space="0"/>
              <w:right w:val="single" w:color="000000" w:sz="4" w:space="0"/>
            </w:tcBorders>
            <w:noWrap w:val="0"/>
            <w:vAlign w:val="center"/>
          </w:tcPr>
          <w:p w14:paraId="5FE2D3D3">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76FA1EA">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资金管理程序是否符合专项资金管理要求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42940BF">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3F8216C">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39A0FE27">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9CDF36">
            <w:pPr>
              <w:widowControl/>
              <w:spacing w:line="24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B5CB4FB">
            <w:pPr>
              <w:widowControl/>
              <w:spacing w:line="240" w:lineRule="exact"/>
              <w:jc w:val="center"/>
              <w:rPr>
                <w:rFonts w:hint="eastAsia" w:ascii="仿宋_GB2312" w:hAnsi="仿宋_GB2312" w:eastAsia="仿宋_GB2312" w:cs="仿宋_GB2312"/>
                <w:b/>
                <w:color w:val="000000"/>
                <w:sz w:val="21"/>
                <w:szCs w:val="21"/>
              </w:rPr>
            </w:pPr>
          </w:p>
        </w:tc>
        <w:tc>
          <w:tcPr>
            <w:tcW w:w="1355" w:type="dxa"/>
            <w:tcBorders>
              <w:top w:val="nil"/>
              <w:left w:val="single" w:color="000000" w:sz="4" w:space="0"/>
              <w:bottom w:val="single" w:color="000000" w:sz="4" w:space="0"/>
              <w:right w:val="single" w:color="000000" w:sz="4" w:space="0"/>
            </w:tcBorders>
            <w:noWrap w:val="0"/>
            <w:vAlign w:val="center"/>
          </w:tcPr>
          <w:p w14:paraId="6E0E3CE1">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标准合规性</w:t>
            </w:r>
          </w:p>
        </w:tc>
        <w:tc>
          <w:tcPr>
            <w:tcW w:w="696" w:type="dxa"/>
            <w:tcBorders>
              <w:top w:val="nil"/>
              <w:left w:val="single" w:color="000000" w:sz="4" w:space="0"/>
              <w:bottom w:val="single" w:color="000000" w:sz="4" w:space="0"/>
              <w:right w:val="single" w:color="000000" w:sz="4" w:space="0"/>
            </w:tcBorders>
            <w:noWrap w:val="0"/>
            <w:vAlign w:val="center"/>
          </w:tcPr>
          <w:p w14:paraId="4346E87A">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A034A05">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资金分配标准是否符合专项资金管理要求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9C96D0D">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B5D62DA">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27EBCF6A">
        <w:tblPrEx>
          <w:tblCellMar>
            <w:top w:w="0" w:type="dxa"/>
            <w:left w:w="108" w:type="dxa"/>
            <w:bottom w:w="0" w:type="dxa"/>
            <w:right w:w="108" w:type="dxa"/>
          </w:tblCellMar>
        </w:tblPrEx>
        <w:trPr>
          <w:trHeight w:val="23" w:hRule="atLeast"/>
          <w:jc w:val="center"/>
        </w:trPr>
        <w:tc>
          <w:tcPr>
            <w:tcW w:w="2310"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3554D982">
            <w:pPr>
              <w:widowControl/>
              <w:spacing w:line="24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个性指标</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（16分）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70D5F5D">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9876206">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14:paraId="1D91D5F3">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根据项目个性自行设定部分指标，反映该项指标执行完成情况。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3A4B47C">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50A53DD">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5437BE2C">
        <w:tblPrEx>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0BC29912">
            <w:pPr>
              <w:widowControl/>
              <w:spacing w:line="24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6430537">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D2E8063">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357799">
            <w:pPr>
              <w:widowControl/>
              <w:spacing w:line="240" w:lineRule="exact"/>
              <w:jc w:val="left"/>
              <w:rPr>
                <w:rFonts w:hint="eastAsia" w:ascii="仿宋_GB2312" w:hAnsi="仿宋_GB2312" w:eastAsia="仿宋_GB2312" w:cs="仿宋_GB2312"/>
                <w:color w:val="000000"/>
                <w:sz w:val="21"/>
                <w:szCs w:val="21"/>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CACA0B9">
            <w:pPr>
              <w:widowControl/>
              <w:spacing w:line="240" w:lineRule="exact"/>
              <w:jc w:val="left"/>
              <w:rPr>
                <w:rFonts w:hint="eastAsia" w:ascii="仿宋_GB2312" w:hAnsi="仿宋_GB2312" w:eastAsia="仿宋_GB2312" w:cs="仿宋_GB2312"/>
                <w:color w:val="000000"/>
                <w:sz w:val="21"/>
                <w:szCs w:val="21"/>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DF1AC56">
            <w:pPr>
              <w:widowControl/>
              <w:spacing w:line="240" w:lineRule="exact"/>
              <w:jc w:val="left"/>
              <w:rPr>
                <w:rFonts w:hint="eastAsia" w:ascii="仿宋_GB2312" w:hAnsi="仿宋_GB2312" w:eastAsia="仿宋_GB2312" w:cs="仿宋_GB2312"/>
                <w:color w:val="000000"/>
                <w:sz w:val="21"/>
                <w:szCs w:val="21"/>
              </w:rPr>
            </w:pPr>
          </w:p>
        </w:tc>
      </w:tr>
      <w:tr w14:paraId="77A97FC0">
        <w:tblPrEx>
          <w:tblCellMar>
            <w:top w:w="0" w:type="dxa"/>
            <w:left w:w="108" w:type="dxa"/>
            <w:bottom w:w="0" w:type="dxa"/>
            <w:right w:w="108" w:type="dxa"/>
          </w:tblCellMar>
        </w:tblPrEx>
        <w:trPr>
          <w:trHeight w:val="373"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14:paraId="30D2E949">
            <w:pPr>
              <w:widowControl/>
              <w:spacing w:line="24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扣分项</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（10分）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AF0173E">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被评价</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部门配合度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1B7264E">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DFE3D64">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被评价对象工作配合情况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EA8D8F7">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1DD6AED">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17A71BAB">
        <w:tblPrEx>
          <w:tblCellMar>
            <w:top w:w="0" w:type="dxa"/>
            <w:left w:w="108" w:type="dxa"/>
            <w:bottom w:w="0" w:type="dxa"/>
            <w:right w:w="108" w:type="dxa"/>
          </w:tblCellMar>
        </w:tblPrEx>
        <w:trPr>
          <w:trHeight w:val="23"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14:paraId="5B98D54E">
            <w:pPr>
              <w:widowControl/>
              <w:spacing w:line="240" w:lineRule="exact"/>
              <w:jc w:val="center"/>
              <w:textAlignment w:val="center"/>
              <w:rPr>
                <w:rFonts w:hint="eastAsia" w:ascii="宋体" w:hAnsi="宋体" w:eastAsia="宋体" w:cs="宋体"/>
                <w:b/>
                <w:color w:val="000000"/>
                <w:kern w:val="0"/>
                <w:sz w:val="21"/>
                <w:szCs w:val="21"/>
                <w:lang w:eastAsia="zh-CN" w:bidi="ar"/>
              </w:rPr>
            </w:pPr>
            <w:r>
              <w:rPr>
                <w:rFonts w:hint="eastAsia" w:ascii="宋体" w:hAnsi="宋体" w:eastAsia="宋体" w:cs="宋体"/>
                <w:b/>
                <w:color w:val="000000"/>
                <w:kern w:val="0"/>
                <w:sz w:val="21"/>
                <w:szCs w:val="21"/>
                <w:lang w:eastAsia="zh-CN" w:bidi="ar"/>
              </w:rPr>
              <w:t>总分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BD86192">
            <w:pPr>
              <w:widowControl/>
              <w:spacing w:line="240" w:lineRule="exact"/>
              <w:jc w:val="center"/>
              <w:textAlignment w:val="center"/>
              <w:rPr>
                <w:rFonts w:hint="eastAsia" w:ascii="宋体" w:hAnsi="宋体" w:eastAsia="宋体" w:cs="宋体"/>
                <w:color w:val="000000"/>
                <w:kern w:val="0"/>
                <w:sz w:val="21"/>
                <w:szCs w:val="21"/>
                <w:lang w:bidi="ar"/>
              </w:rPr>
            </w:pP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A424878">
            <w:pPr>
              <w:widowControl/>
              <w:spacing w:line="240" w:lineRule="exact"/>
              <w:jc w:val="center"/>
              <w:textAlignment w:val="center"/>
              <w:rPr>
                <w:rFonts w:hint="eastAsia" w:ascii="宋体" w:hAnsi="宋体" w:eastAsia="宋体" w:cs="宋体"/>
                <w:color w:val="000000"/>
                <w:kern w:val="0"/>
                <w:sz w:val="21"/>
                <w:szCs w:val="21"/>
                <w:lang w:bidi="ar"/>
              </w:rPr>
            </w:pP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215D12B">
            <w:pPr>
              <w:widowControl/>
              <w:spacing w:line="240" w:lineRule="exact"/>
              <w:jc w:val="left"/>
              <w:textAlignment w:val="center"/>
              <w:rPr>
                <w:rFonts w:hint="eastAsia" w:ascii="宋体" w:hAnsi="宋体" w:eastAsia="宋体" w:cs="宋体"/>
                <w:color w:val="000000"/>
                <w:kern w:val="0"/>
                <w:sz w:val="21"/>
                <w:szCs w:val="21"/>
                <w:lang w:bidi="ar"/>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87EAB08">
            <w:pPr>
              <w:widowControl/>
              <w:spacing w:line="240" w:lineRule="exact"/>
              <w:ind w:firstLine="260" w:firstLineChars="0"/>
              <w:jc w:val="left"/>
              <w:textAlignment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95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D65392B">
            <w:pPr>
              <w:widowControl/>
              <w:spacing w:line="240" w:lineRule="exact"/>
              <w:jc w:val="left"/>
              <w:textAlignment w:val="center"/>
              <w:rPr>
                <w:rFonts w:hint="eastAsia" w:ascii="宋体" w:hAnsi="宋体" w:eastAsia="宋体" w:cs="宋体"/>
                <w:color w:val="000000"/>
                <w:kern w:val="0"/>
                <w:sz w:val="21"/>
                <w:szCs w:val="21"/>
                <w:lang w:bidi="ar"/>
              </w:rPr>
            </w:pPr>
          </w:p>
        </w:tc>
      </w:tr>
    </w:tbl>
    <w:p w14:paraId="59AA9430">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br w:type="page"/>
      </w:r>
    </w:p>
    <w:p w14:paraId="61F1108F">
      <w:pPr>
        <w:spacing w:line="578" w:lineRule="exact"/>
        <w:rPr>
          <w:rFonts w:eastAsia="黑体"/>
          <w:kern w:val="0"/>
          <w:shd w:val="clear" w:color="auto" w:fill="FFFFFF"/>
        </w:rPr>
      </w:pPr>
      <w:r>
        <w:rPr>
          <w:rFonts w:eastAsia="黑体"/>
          <w:kern w:val="0"/>
          <w:shd w:val="clear" w:color="auto" w:fill="FFFFFF"/>
          <w:lang w:val="zh-CN"/>
        </w:rPr>
        <w:t>附表</w:t>
      </w:r>
      <w:r>
        <w:rPr>
          <w:rFonts w:hint="eastAsia" w:eastAsia="黑体"/>
          <w:kern w:val="0"/>
          <w:shd w:val="clear" w:color="auto" w:fill="FFFFFF"/>
        </w:rPr>
        <w:t>2</w:t>
      </w:r>
    </w:p>
    <w:tbl>
      <w:tblPr>
        <w:tblStyle w:val="16"/>
        <w:tblW w:w="10233" w:type="dxa"/>
        <w:jc w:val="center"/>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4D8BAFAC">
        <w:tblPrEx>
          <w:tblCellMar>
            <w:top w:w="15" w:type="dxa"/>
            <w:left w:w="15" w:type="dxa"/>
            <w:bottom w:w="15" w:type="dxa"/>
            <w:right w:w="15" w:type="dxa"/>
          </w:tblCellMar>
        </w:tblPrEx>
        <w:trPr>
          <w:trHeight w:val="576" w:hRule="atLeast"/>
          <w:jc w:val="center"/>
        </w:trPr>
        <w:tc>
          <w:tcPr>
            <w:tcW w:w="10233" w:type="dxa"/>
            <w:gridSpan w:val="9"/>
            <w:noWrap w:val="0"/>
            <w:vAlign w:val="center"/>
          </w:tcPr>
          <w:p w14:paraId="6B843373">
            <w:pPr>
              <w:widowControl/>
              <w:spacing w:line="600" w:lineRule="exact"/>
              <w:jc w:val="center"/>
              <w:textAlignment w:val="center"/>
              <w:rPr>
                <w:rFonts w:eastAsia="黑体"/>
                <w:color w:val="000000"/>
                <w:sz w:val="30"/>
                <w:szCs w:val="30"/>
              </w:rPr>
            </w:pPr>
            <w:r>
              <w:rPr>
                <w:rFonts w:hint="eastAsia" w:eastAsia="方正小标宋简体"/>
                <w:color w:val="000000"/>
                <w:kern w:val="0"/>
                <w:sz w:val="40"/>
                <w:szCs w:val="40"/>
                <w:lang w:val="en-US" w:eastAsia="zh-CN" w:bidi="ar"/>
              </w:rPr>
              <w:t xml:space="preserve"> </w:t>
            </w:r>
            <w:r>
              <w:rPr>
                <w:rFonts w:eastAsia="方正小标宋简体"/>
                <w:color w:val="000000"/>
                <w:kern w:val="0"/>
                <w:sz w:val="40"/>
                <w:szCs w:val="40"/>
                <w:lang w:bidi="ar"/>
              </w:rPr>
              <w:t>专项预算项目绩效目标完成情况自评表</w:t>
            </w:r>
          </w:p>
        </w:tc>
      </w:tr>
      <w:tr w14:paraId="628DBEB9">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04CF7960">
            <w:pPr>
              <w:widowControl/>
              <w:spacing w:line="30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项目名称</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7C6E468D">
            <w:pPr>
              <w:spacing w:line="300" w:lineRule="exact"/>
              <w:ind w:firstLine="540" w:firstLineChars="30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auto"/>
                <w:kern w:val="2"/>
                <w:sz w:val="18"/>
                <w:szCs w:val="18"/>
              </w:rPr>
              <w:t>茂县沟口大桥桥梁建设</w:t>
            </w:r>
          </w:p>
        </w:tc>
      </w:tr>
      <w:tr w14:paraId="37DD1862">
        <w:tblPrEx>
          <w:tblCellMar>
            <w:top w:w="15" w:type="dxa"/>
            <w:left w:w="15" w:type="dxa"/>
            <w:bottom w:w="15" w:type="dxa"/>
            <w:right w:w="15" w:type="dxa"/>
          </w:tblCellMar>
        </w:tblPrEx>
        <w:trPr>
          <w:trHeight w:val="458"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73349FFC">
            <w:pPr>
              <w:widowControl/>
              <w:spacing w:line="30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预算单位</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51834DB5">
            <w:pPr>
              <w:spacing w:line="300" w:lineRule="exact"/>
              <w:ind w:firstLine="720" w:firstLineChars="40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lang w:eastAsia="zh-CN"/>
              </w:rPr>
              <w:t>茂县沟口镇人民政府</w:t>
            </w:r>
          </w:p>
        </w:tc>
      </w:tr>
      <w:tr w14:paraId="7653DE4F">
        <w:tblPrEx>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1BBC70FB">
            <w:pPr>
              <w:widowControl/>
              <w:spacing w:line="30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项目类型</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7F6CABA9">
            <w:pPr>
              <w:spacing w:line="300" w:lineRule="exact"/>
              <w:jc w:val="left"/>
              <w:rPr>
                <w:rFonts w:hint="eastAsia" w:ascii="仿宋_GB2312" w:hAnsi="仿宋_GB2312" w:eastAsia="仿宋_GB2312" w:cs="仿宋_GB2312"/>
                <w:color w:val="000000"/>
                <w:sz w:val="18"/>
                <w:szCs w:val="18"/>
              </w:rPr>
            </w:pPr>
          </w:p>
        </w:tc>
      </w:tr>
      <w:tr w14:paraId="5CA22F61">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55A9A576">
            <w:pPr>
              <w:widowControl/>
              <w:spacing w:line="30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项目 概况</w:t>
            </w: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0A9F0BC7">
            <w:pPr>
              <w:widowControl/>
              <w:spacing w:line="300" w:lineRule="exact"/>
              <w:jc w:val="left"/>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中长期规划（名称、文号，仅指</w:t>
            </w:r>
          </w:p>
          <w:p w14:paraId="22BB0C2E">
            <w:pPr>
              <w:widowControl/>
              <w:spacing w:line="30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常年项目）</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06A6FD1F">
            <w:pPr>
              <w:spacing w:line="300" w:lineRule="exact"/>
              <w:jc w:val="left"/>
              <w:rPr>
                <w:rFonts w:hint="eastAsia" w:ascii="仿宋_GB2312" w:hAnsi="仿宋_GB2312" w:eastAsia="仿宋_GB2312" w:cs="仿宋_GB2312"/>
                <w:color w:val="000000"/>
                <w:sz w:val="18"/>
                <w:szCs w:val="18"/>
              </w:rPr>
            </w:pPr>
          </w:p>
        </w:tc>
      </w:tr>
      <w:tr w14:paraId="1E367AA1">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2AE4C0">
            <w:pPr>
              <w:spacing w:line="300" w:lineRule="exact"/>
              <w:rPr>
                <w:rFonts w:hint="eastAsia" w:ascii="仿宋_GB2312" w:hAnsi="仿宋_GB2312" w:eastAsia="仿宋_GB2312" w:cs="仿宋_GB2312"/>
                <w:color w:val="000000"/>
                <w:sz w:val="18"/>
                <w:szCs w:val="18"/>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1925662F">
            <w:pPr>
              <w:widowControl/>
              <w:spacing w:line="30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051BC98B">
            <w:pPr>
              <w:spacing w:line="300" w:lineRule="exact"/>
              <w:ind w:firstLine="720" w:firstLineChars="400"/>
              <w:jc w:val="left"/>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eastAsia="zh-CN"/>
              </w:rPr>
              <w:t>茂财农</w:t>
            </w:r>
            <w:r>
              <w:rPr>
                <w:rFonts w:hint="eastAsia" w:ascii="仿宋_GB2312" w:hAnsi="仿宋_GB2312" w:eastAsia="仿宋_GB2312" w:cs="仿宋_GB2312"/>
                <w:color w:val="000000"/>
                <w:sz w:val="18"/>
                <w:szCs w:val="18"/>
                <w:lang w:val="en-US" w:eastAsia="zh-CN"/>
              </w:rPr>
              <w:t>〔2024〕</w:t>
            </w:r>
            <w:r>
              <w:rPr>
                <w:rFonts w:hint="eastAsia" w:ascii="仿宋_GB2312" w:hAnsi="仿宋_GB2312" w:eastAsia="仿宋_GB2312" w:cs="仿宋_GB2312"/>
                <w:color w:val="000000"/>
                <w:sz w:val="18"/>
                <w:szCs w:val="18"/>
                <w:lang w:val="en-US" w:eastAsia="zh-CN"/>
              </w:rPr>
              <w:t>60号</w:t>
            </w:r>
          </w:p>
        </w:tc>
      </w:tr>
      <w:tr w14:paraId="12655387">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008AAC">
            <w:pPr>
              <w:spacing w:line="300" w:lineRule="exact"/>
              <w:rPr>
                <w:rFonts w:hint="eastAsia" w:ascii="仿宋_GB2312" w:hAnsi="仿宋_GB2312" w:eastAsia="仿宋_GB2312" w:cs="仿宋_GB2312"/>
                <w:color w:val="000000"/>
                <w:sz w:val="18"/>
                <w:szCs w:val="18"/>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59FF15A7">
            <w:pPr>
              <w:widowControl/>
              <w:spacing w:line="30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绩效分配方式</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788ADE9C">
            <w:pPr>
              <w:widowControl/>
              <w:spacing w:line="30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£因素法</w:t>
            </w:r>
          </w:p>
        </w:tc>
        <w:tc>
          <w:tcPr>
            <w:tcW w:w="2032" w:type="dxa"/>
            <w:gridSpan w:val="2"/>
            <w:tcBorders>
              <w:top w:val="single" w:color="000000" w:sz="4" w:space="0"/>
              <w:left w:val="single" w:color="000000" w:sz="4" w:space="0"/>
              <w:bottom w:val="single" w:color="000000" w:sz="4" w:space="0"/>
              <w:right w:val="single" w:color="000000" w:sz="4" w:space="0"/>
            </w:tcBorders>
            <w:noWrap w:val="0"/>
            <w:vAlign w:val="center"/>
          </w:tcPr>
          <w:p w14:paraId="52C3C03F">
            <w:pPr>
              <w:widowControl/>
              <w:spacing w:line="30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£项目法</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9F2B069">
            <w:pPr>
              <w:widowControl/>
              <w:spacing w:line="30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£据实据效</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01E55E24">
            <w:pPr>
              <w:widowControl/>
              <w:spacing w:line="30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£因素法与项目法相结合</w:t>
            </w:r>
          </w:p>
        </w:tc>
      </w:tr>
      <w:tr w14:paraId="70147C38">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F9DC78">
            <w:pPr>
              <w:spacing w:line="300" w:lineRule="exact"/>
              <w:rPr>
                <w:rFonts w:hint="eastAsia" w:ascii="仿宋_GB2312" w:hAnsi="仿宋_GB2312" w:eastAsia="仿宋_GB2312" w:cs="仿宋_GB2312"/>
                <w:color w:val="000000"/>
                <w:sz w:val="18"/>
                <w:szCs w:val="18"/>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19B8A15D">
            <w:pPr>
              <w:widowControl/>
              <w:spacing w:line="30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立项依据</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7338A1F4">
            <w:pPr>
              <w:spacing w:line="300" w:lineRule="exact"/>
              <w:jc w:val="left"/>
              <w:rPr>
                <w:rFonts w:hint="eastAsia" w:ascii="仿宋_GB2312" w:hAnsi="仿宋_GB2312" w:eastAsia="仿宋_GB2312" w:cs="仿宋_GB2312"/>
                <w:color w:val="000000"/>
                <w:sz w:val="18"/>
                <w:szCs w:val="18"/>
              </w:rPr>
            </w:pPr>
          </w:p>
        </w:tc>
      </w:tr>
      <w:tr w14:paraId="457FD223">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C3D5EB">
            <w:pPr>
              <w:spacing w:line="300" w:lineRule="exact"/>
              <w:rPr>
                <w:rFonts w:hint="eastAsia" w:ascii="仿宋_GB2312" w:hAnsi="仿宋_GB2312" w:eastAsia="仿宋_GB2312" w:cs="仿宋_GB2312"/>
                <w:color w:val="000000"/>
                <w:sz w:val="18"/>
                <w:szCs w:val="18"/>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6FC693E0">
            <w:pPr>
              <w:widowControl/>
              <w:spacing w:line="30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使用范围</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089FFD8A">
            <w:pPr>
              <w:spacing w:line="300" w:lineRule="exact"/>
              <w:jc w:val="left"/>
              <w:rPr>
                <w:rFonts w:hint="eastAsia" w:ascii="仿宋_GB2312" w:hAnsi="仿宋_GB2312" w:eastAsia="仿宋_GB2312" w:cs="仿宋_GB2312"/>
                <w:color w:val="000000"/>
                <w:sz w:val="18"/>
                <w:szCs w:val="18"/>
              </w:rPr>
            </w:pPr>
          </w:p>
        </w:tc>
      </w:tr>
      <w:tr w14:paraId="57DEAC3E">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A240E5">
            <w:pPr>
              <w:spacing w:line="300" w:lineRule="exact"/>
              <w:rPr>
                <w:rFonts w:hint="eastAsia" w:ascii="仿宋_GB2312" w:hAnsi="仿宋_GB2312" w:eastAsia="仿宋_GB2312" w:cs="仿宋_GB2312"/>
                <w:color w:val="000000"/>
                <w:sz w:val="18"/>
                <w:szCs w:val="18"/>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34B3CFC7">
            <w:pPr>
              <w:widowControl/>
              <w:spacing w:line="30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60AD63B0">
            <w:pPr>
              <w:spacing w:line="300" w:lineRule="exact"/>
              <w:jc w:val="left"/>
              <w:rPr>
                <w:rFonts w:hint="eastAsia" w:ascii="仿宋_GB2312" w:hAnsi="仿宋_GB2312" w:eastAsia="仿宋_GB2312" w:cs="仿宋_GB2312"/>
                <w:color w:val="000000"/>
                <w:sz w:val="18"/>
                <w:szCs w:val="18"/>
              </w:rPr>
            </w:pPr>
          </w:p>
        </w:tc>
      </w:tr>
      <w:tr w14:paraId="553F17E5">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BDAB2B">
            <w:pPr>
              <w:spacing w:line="300" w:lineRule="exact"/>
              <w:rPr>
                <w:rFonts w:hint="eastAsia" w:ascii="仿宋_GB2312" w:hAnsi="仿宋_GB2312" w:eastAsia="仿宋_GB2312" w:cs="仿宋_GB2312"/>
                <w:color w:val="000000"/>
                <w:sz w:val="18"/>
                <w:szCs w:val="18"/>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5FAF5D6D">
            <w:pPr>
              <w:widowControl/>
              <w:spacing w:line="30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75C70F11">
            <w:pPr>
              <w:spacing w:line="300" w:lineRule="exact"/>
              <w:ind w:firstLine="1980" w:firstLineChars="110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lang w:val="en-US" w:eastAsia="zh-CN"/>
              </w:rPr>
              <w:t>2024年</w:t>
            </w:r>
          </w:p>
        </w:tc>
      </w:tr>
      <w:tr w14:paraId="5A7C12E8">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AF523BF">
            <w:pPr>
              <w:widowControl/>
              <w:spacing w:line="300" w:lineRule="exact"/>
              <w:jc w:val="center"/>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项目资金</w:t>
            </w:r>
          </w:p>
          <w:p w14:paraId="7E453454">
            <w:pPr>
              <w:widowControl/>
              <w:spacing w:line="30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（万元）</w:t>
            </w: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70683992">
            <w:pPr>
              <w:widowControl/>
              <w:spacing w:line="30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4C6408F3">
            <w:pPr>
              <w:spacing w:line="300" w:lineRule="exact"/>
              <w:jc w:val="right"/>
              <w:rPr>
                <w:rFonts w:hint="eastAsia" w:ascii="仿宋_GB2312" w:hAnsi="仿宋_GB2312" w:eastAsia="仿宋_GB2312" w:cs="仿宋_GB2312"/>
                <w:color w:val="000000"/>
                <w:sz w:val="18"/>
                <w:szCs w:val="18"/>
              </w:rPr>
            </w:pPr>
          </w:p>
        </w:tc>
      </w:tr>
      <w:tr w14:paraId="22474A45">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DCE9962">
            <w:pPr>
              <w:spacing w:line="300" w:lineRule="exact"/>
              <w:rPr>
                <w:rFonts w:hint="eastAsia" w:ascii="仿宋_GB2312" w:hAnsi="仿宋_GB2312" w:eastAsia="仿宋_GB2312" w:cs="仿宋_GB2312"/>
                <w:color w:val="000000"/>
                <w:sz w:val="18"/>
                <w:szCs w:val="18"/>
              </w:rPr>
            </w:pP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450FEBF3">
            <w:pPr>
              <w:widowControl/>
              <w:spacing w:line="30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 xml:space="preserve">      其中：财政拨款</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0AEFF3E1">
            <w:pPr>
              <w:tabs>
                <w:tab w:val="left" w:pos="2038"/>
              </w:tabs>
              <w:spacing w:line="300" w:lineRule="exact"/>
              <w:jc w:val="left"/>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eastAsia="zh-CN"/>
              </w:rPr>
              <w:tab/>
            </w:r>
            <w:r>
              <w:rPr>
                <w:rFonts w:hint="eastAsia" w:ascii="仿宋_GB2312" w:hAnsi="仿宋_GB2312" w:eastAsia="仿宋_GB2312" w:cs="仿宋_GB2312"/>
                <w:color w:val="000000"/>
                <w:sz w:val="18"/>
                <w:szCs w:val="18"/>
                <w:lang w:val="en-US" w:eastAsia="zh-CN"/>
              </w:rPr>
              <w:t>509.90</w:t>
            </w:r>
          </w:p>
        </w:tc>
      </w:tr>
      <w:tr w14:paraId="74C91759">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110E198">
            <w:pPr>
              <w:spacing w:line="300" w:lineRule="exact"/>
              <w:rPr>
                <w:rFonts w:hint="eastAsia" w:ascii="仿宋_GB2312" w:hAnsi="仿宋_GB2312" w:eastAsia="仿宋_GB2312" w:cs="仿宋_GB2312"/>
                <w:color w:val="000000"/>
                <w:sz w:val="18"/>
                <w:szCs w:val="18"/>
              </w:rPr>
            </w:pP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264DD772">
            <w:pPr>
              <w:widowControl/>
              <w:spacing w:line="30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6117C48A">
            <w:pPr>
              <w:spacing w:line="300" w:lineRule="exact"/>
              <w:jc w:val="right"/>
              <w:rPr>
                <w:rFonts w:hint="eastAsia" w:ascii="仿宋_GB2312" w:hAnsi="仿宋_GB2312" w:eastAsia="仿宋_GB2312" w:cs="仿宋_GB2312"/>
                <w:color w:val="000000"/>
                <w:sz w:val="18"/>
                <w:szCs w:val="18"/>
              </w:rPr>
            </w:pPr>
          </w:p>
        </w:tc>
      </w:tr>
      <w:tr w14:paraId="74414142">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62C3FC22">
            <w:pPr>
              <w:widowControl/>
              <w:spacing w:line="30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总体 目标</w:t>
            </w: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6D68DC3F">
            <w:pPr>
              <w:widowControl/>
              <w:spacing w:line="30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年度目标</w:t>
            </w:r>
          </w:p>
        </w:tc>
      </w:tr>
      <w:tr w14:paraId="5C43D186">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0E742A">
            <w:pPr>
              <w:spacing w:line="300" w:lineRule="exact"/>
              <w:rPr>
                <w:rFonts w:hint="eastAsia" w:ascii="仿宋_GB2312" w:hAnsi="仿宋_GB2312" w:eastAsia="仿宋_GB2312" w:cs="仿宋_GB2312"/>
                <w:color w:val="000000"/>
                <w:sz w:val="18"/>
                <w:szCs w:val="18"/>
              </w:rPr>
            </w:pP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6D297114">
            <w:pPr>
              <w:spacing w:line="300" w:lineRule="exact"/>
              <w:ind w:firstLine="360" w:firstLineChars="20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val="zh-CN" w:bidi="ar"/>
              </w:rPr>
              <w:t>本项目的建设，对加强各村人民直接的经济联系起到了巨大的作用，也为地方经济发展提供了必要的基础设施。</w:t>
            </w:r>
          </w:p>
        </w:tc>
      </w:tr>
      <w:tr w14:paraId="64E22795">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noWrap w:val="0"/>
            <w:vAlign w:val="center"/>
          </w:tcPr>
          <w:p w14:paraId="577A79BD">
            <w:pPr>
              <w:widowControl/>
              <w:spacing w:line="30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绩效 指标</w:t>
            </w:r>
          </w:p>
        </w:tc>
        <w:tc>
          <w:tcPr>
            <w:tcW w:w="1081" w:type="dxa"/>
            <w:tcBorders>
              <w:top w:val="single" w:color="000000" w:sz="4" w:space="0"/>
              <w:left w:val="single" w:color="000000" w:sz="4" w:space="0"/>
              <w:bottom w:val="single" w:color="000000" w:sz="4" w:space="0"/>
              <w:right w:val="single" w:color="000000" w:sz="4" w:space="0"/>
            </w:tcBorders>
            <w:noWrap w:val="0"/>
            <w:vAlign w:val="center"/>
          </w:tcPr>
          <w:p w14:paraId="3BC0EEC8">
            <w:pPr>
              <w:widowControl/>
              <w:spacing w:line="30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一级指标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3F1E6A39">
            <w:pPr>
              <w:widowControl/>
              <w:spacing w:line="30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二级指标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4BB8DFF7">
            <w:pPr>
              <w:widowControl/>
              <w:spacing w:line="30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三级指标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7B1CF99B">
            <w:pPr>
              <w:widowControl/>
              <w:spacing w:line="30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指标性质</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20B9FB7F">
            <w:pPr>
              <w:widowControl/>
              <w:spacing w:line="30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指标值</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271310AB">
            <w:pPr>
              <w:widowControl/>
              <w:spacing w:line="30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度量单位</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57EF45A6">
            <w:pPr>
              <w:widowControl/>
              <w:spacing w:line="30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权重</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06A87A78">
            <w:pPr>
              <w:widowControl/>
              <w:spacing w:line="30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实际完成指标值</w:t>
            </w:r>
          </w:p>
        </w:tc>
      </w:tr>
      <w:tr w14:paraId="1DD98204">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52814360">
            <w:pPr>
              <w:spacing w:line="300" w:lineRule="exact"/>
              <w:jc w:val="center"/>
              <w:rPr>
                <w:rFonts w:hint="eastAsia" w:ascii="仿宋_GB2312" w:hAnsi="仿宋_GB2312" w:eastAsia="仿宋_GB2312" w:cs="仿宋_GB2312"/>
                <w:color w:val="000000"/>
                <w:sz w:val="18"/>
                <w:szCs w:val="18"/>
              </w:rPr>
            </w:pPr>
          </w:p>
        </w:tc>
        <w:tc>
          <w:tcPr>
            <w:tcW w:w="1081" w:type="dxa"/>
            <w:vMerge w:val="restart"/>
            <w:tcBorders>
              <w:top w:val="single" w:color="000000" w:sz="4" w:space="0"/>
              <w:left w:val="single" w:color="000000" w:sz="4" w:space="0"/>
              <w:bottom w:val="single" w:color="000000" w:sz="4" w:space="0"/>
              <w:right w:val="single" w:color="000000" w:sz="4" w:space="0"/>
            </w:tcBorders>
            <w:noWrap w:val="0"/>
            <w:vAlign w:val="center"/>
          </w:tcPr>
          <w:p w14:paraId="4336EA84">
            <w:pPr>
              <w:widowControl/>
              <w:spacing w:line="30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产出指标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697ECEEF">
            <w:pPr>
              <w:widowControl/>
              <w:spacing w:line="30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数量指标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0238C24A">
            <w:pPr>
              <w:spacing w:line="30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eastAsia="zh-CN"/>
              </w:rPr>
              <w:t>沟口镇（沟口村）</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1C81C07B">
            <w:pPr>
              <w:spacing w:line="30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1FC0DB6D">
            <w:pPr>
              <w:spacing w:line="30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2F73B4B0">
            <w:pPr>
              <w:spacing w:line="300" w:lineRule="exact"/>
              <w:jc w:val="center"/>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eastAsia="zh-CN"/>
              </w:rPr>
              <w:t>个</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3FB68849">
            <w:pPr>
              <w:spacing w:line="30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4CEFEB37">
            <w:pPr>
              <w:spacing w:line="30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r>
      <w:tr w14:paraId="153274AE">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262FE9E4">
            <w:pPr>
              <w:spacing w:line="300" w:lineRule="exact"/>
              <w:jc w:val="center"/>
              <w:rPr>
                <w:rFonts w:hint="eastAsia" w:ascii="仿宋_GB2312" w:hAnsi="仿宋_GB2312" w:eastAsia="仿宋_GB2312" w:cs="仿宋_GB2312"/>
                <w:color w:val="000000"/>
                <w:sz w:val="18"/>
                <w:szCs w:val="18"/>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5C4239">
            <w:pPr>
              <w:spacing w:line="300" w:lineRule="exact"/>
              <w:jc w:val="center"/>
              <w:rPr>
                <w:rFonts w:hint="eastAsia" w:ascii="仿宋_GB2312" w:hAnsi="仿宋_GB2312" w:eastAsia="仿宋_GB2312" w:cs="仿宋_GB2312"/>
                <w:color w:val="000000"/>
                <w:sz w:val="18"/>
                <w:szCs w:val="18"/>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2097E2D9">
            <w:pPr>
              <w:widowControl/>
              <w:spacing w:line="30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质量指标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21684966">
            <w:pPr>
              <w:spacing w:line="300" w:lineRule="exac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lang w:eastAsia="zh-CN"/>
              </w:rPr>
              <w:t>大桥</w:t>
            </w:r>
            <w:r>
              <w:rPr>
                <w:rFonts w:hint="eastAsia" w:ascii="仿宋_GB2312" w:hAnsi="仿宋_GB2312" w:eastAsia="仿宋_GB2312" w:cs="仿宋_GB2312"/>
                <w:color w:val="000000"/>
                <w:sz w:val="18"/>
                <w:szCs w:val="18"/>
              </w:rPr>
              <w:t>基础设施维护率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538E1C06">
            <w:pPr>
              <w:spacing w:line="30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68EDF668">
            <w:pPr>
              <w:spacing w:line="30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96</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08A67DCA">
            <w:pPr>
              <w:spacing w:line="30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9EE7B4E">
            <w:pPr>
              <w:spacing w:line="30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7A53D435">
            <w:pPr>
              <w:spacing w:line="30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r>
      <w:tr w14:paraId="74B938F4">
        <w:tblPrEx>
          <w:tblCellMar>
            <w:top w:w="15" w:type="dxa"/>
            <w:left w:w="15" w:type="dxa"/>
            <w:bottom w:w="15" w:type="dxa"/>
            <w:right w:w="15" w:type="dxa"/>
          </w:tblCellMar>
        </w:tblPrEx>
        <w:trPr>
          <w:trHeight w:val="545"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67438464">
            <w:pPr>
              <w:spacing w:line="300" w:lineRule="exact"/>
              <w:jc w:val="center"/>
              <w:rPr>
                <w:rFonts w:hint="eastAsia" w:ascii="仿宋_GB2312" w:hAnsi="仿宋_GB2312" w:eastAsia="仿宋_GB2312" w:cs="仿宋_GB2312"/>
                <w:color w:val="000000"/>
                <w:sz w:val="18"/>
                <w:szCs w:val="18"/>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431B22">
            <w:pPr>
              <w:spacing w:line="300" w:lineRule="exact"/>
              <w:jc w:val="center"/>
              <w:rPr>
                <w:rFonts w:hint="eastAsia" w:ascii="仿宋_GB2312" w:hAnsi="仿宋_GB2312" w:eastAsia="仿宋_GB2312" w:cs="仿宋_GB2312"/>
                <w:color w:val="000000"/>
                <w:sz w:val="18"/>
                <w:szCs w:val="18"/>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677DEDF6">
            <w:pPr>
              <w:widowControl/>
              <w:spacing w:line="30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时效指标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60D24019">
            <w:pPr>
              <w:spacing w:line="300" w:lineRule="exact"/>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eastAsia="zh-CN"/>
              </w:rPr>
              <w:t>该项目完成按时率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243A6E95">
            <w:pPr>
              <w:spacing w:line="30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63BD35C3">
            <w:pPr>
              <w:spacing w:line="30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98</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5273F6F1">
            <w:pPr>
              <w:spacing w:line="30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011A06E4">
            <w:pPr>
              <w:spacing w:line="30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714C5881">
            <w:pPr>
              <w:spacing w:line="30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r>
      <w:tr w14:paraId="0957CEAE">
        <w:tblPrEx>
          <w:tblCellMar>
            <w:top w:w="15" w:type="dxa"/>
            <w:left w:w="15" w:type="dxa"/>
            <w:bottom w:w="15" w:type="dxa"/>
            <w:right w:w="15" w:type="dxa"/>
          </w:tblCellMar>
        </w:tblPrEx>
        <w:trPr>
          <w:trHeight w:val="1342"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11D9F386">
            <w:pPr>
              <w:spacing w:line="300" w:lineRule="exact"/>
              <w:jc w:val="center"/>
              <w:rPr>
                <w:rFonts w:hint="eastAsia" w:ascii="仿宋_GB2312" w:hAnsi="仿宋_GB2312" w:eastAsia="仿宋_GB2312" w:cs="仿宋_GB2312"/>
                <w:color w:val="000000"/>
                <w:sz w:val="18"/>
                <w:szCs w:val="18"/>
              </w:rPr>
            </w:pPr>
          </w:p>
        </w:tc>
        <w:tc>
          <w:tcPr>
            <w:tcW w:w="1081" w:type="dxa"/>
            <w:vMerge w:val="restart"/>
            <w:tcBorders>
              <w:top w:val="single" w:color="000000" w:sz="4" w:space="0"/>
              <w:left w:val="single" w:color="000000" w:sz="4" w:space="0"/>
              <w:bottom w:val="single" w:color="000000" w:sz="4" w:space="0"/>
              <w:right w:val="single" w:color="000000" w:sz="4" w:space="0"/>
            </w:tcBorders>
            <w:noWrap w:val="0"/>
            <w:vAlign w:val="center"/>
          </w:tcPr>
          <w:p w14:paraId="2FA47E35">
            <w:pPr>
              <w:widowControl/>
              <w:spacing w:line="30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效益指标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40B956EC">
            <w:pPr>
              <w:widowControl/>
              <w:spacing w:line="300" w:lineRule="exact"/>
              <w:jc w:val="center"/>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经济效益</w:t>
            </w:r>
          </w:p>
          <w:p w14:paraId="4D547708">
            <w:pPr>
              <w:widowControl/>
              <w:spacing w:line="30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167192C8">
            <w:pPr>
              <w:spacing w:line="300" w:lineRule="exact"/>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rPr>
              <w:t>促进农村繁荣稳定</w:t>
            </w:r>
            <w:r>
              <w:rPr>
                <w:rFonts w:hint="eastAsia" w:ascii="仿宋_GB2312" w:hAnsi="仿宋_GB2312" w:eastAsia="仿宋_GB2312" w:cs="仿宋_GB2312"/>
                <w:color w:val="000000"/>
                <w:sz w:val="18"/>
                <w:szCs w:val="18"/>
                <w:lang w:eastAsia="zh-CN"/>
              </w:rPr>
              <w:t>，良好的交通方便农产品运输</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6E7BC93E">
            <w:pPr>
              <w:spacing w:line="300" w:lineRule="exact"/>
              <w:jc w:val="center"/>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eastAsia="zh-CN"/>
              </w:rPr>
              <w:t>定性</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3E5FC4E0">
            <w:pPr>
              <w:spacing w:line="300" w:lineRule="exact"/>
              <w:jc w:val="center"/>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eastAsia="zh-CN"/>
              </w:rPr>
              <w:t>进一步保障</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19DC3CD1">
            <w:pPr>
              <w:spacing w:line="300" w:lineRule="exact"/>
              <w:jc w:val="center"/>
              <w:rPr>
                <w:rFonts w:hint="eastAsia" w:ascii="仿宋_GB2312" w:hAnsi="仿宋_GB2312" w:eastAsia="仿宋_GB2312" w:cs="仿宋_GB2312"/>
                <w:color w:val="000000"/>
                <w:sz w:val="18"/>
                <w:szCs w:val="18"/>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256D891">
            <w:pPr>
              <w:spacing w:line="30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0AC963A1">
            <w:pPr>
              <w:spacing w:line="30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r>
      <w:tr w14:paraId="5C7AFF47">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1CE3CFD0">
            <w:pPr>
              <w:spacing w:line="300" w:lineRule="exact"/>
              <w:jc w:val="center"/>
              <w:rPr>
                <w:rFonts w:hint="eastAsia" w:ascii="仿宋_GB2312" w:hAnsi="仿宋_GB2312" w:eastAsia="仿宋_GB2312" w:cs="仿宋_GB2312"/>
                <w:color w:val="000000"/>
                <w:sz w:val="18"/>
                <w:szCs w:val="18"/>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DE9507">
            <w:pPr>
              <w:spacing w:line="300" w:lineRule="exact"/>
              <w:jc w:val="center"/>
              <w:rPr>
                <w:rFonts w:hint="eastAsia" w:ascii="仿宋_GB2312" w:hAnsi="仿宋_GB2312" w:eastAsia="仿宋_GB2312" w:cs="仿宋_GB2312"/>
                <w:color w:val="000000"/>
                <w:sz w:val="18"/>
                <w:szCs w:val="18"/>
              </w:rPr>
            </w:pPr>
          </w:p>
        </w:tc>
        <w:tc>
          <w:tcPr>
            <w:tcW w:w="1250" w:type="dxa"/>
            <w:tcBorders>
              <w:top w:val="single" w:color="000000" w:sz="4" w:space="0"/>
              <w:left w:val="single" w:color="000000" w:sz="4" w:space="0"/>
              <w:right w:val="single" w:color="000000" w:sz="4" w:space="0"/>
            </w:tcBorders>
            <w:noWrap w:val="0"/>
            <w:vAlign w:val="center"/>
          </w:tcPr>
          <w:p w14:paraId="7535D95E">
            <w:pPr>
              <w:widowControl/>
              <w:spacing w:line="300" w:lineRule="exact"/>
              <w:jc w:val="center"/>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社会效益</w:t>
            </w:r>
          </w:p>
          <w:p w14:paraId="7F4FBCA5">
            <w:pPr>
              <w:widowControl/>
              <w:spacing w:line="30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6E1B1611">
            <w:pPr>
              <w:spacing w:line="300" w:lineRule="exac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提高群众生活水平</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60509996">
            <w:pPr>
              <w:spacing w:line="300" w:lineRule="exact"/>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eastAsia="zh-CN"/>
              </w:rPr>
              <w:t>定性</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7B149594">
            <w:pPr>
              <w:spacing w:line="300" w:lineRule="exact"/>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eastAsia="zh-CN"/>
              </w:rPr>
              <w:t>进一步保障</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28157FAA">
            <w:pPr>
              <w:spacing w:line="300" w:lineRule="exact"/>
              <w:jc w:val="center"/>
              <w:rPr>
                <w:rFonts w:hint="eastAsia" w:ascii="仿宋_GB2312" w:hAnsi="仿宋_GB2312" w:eastAsia="仿宋_GB2312" w:cs="仿宋_GB2312"/>
                <w:color w:val="000000"/>
                <w:sz w:val="18"/>
                <w:szCs w:val="18"/>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57C88C23">
            <w:pPr>
              <w:spacing w:line="30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1C497B31">
            <w:pPr>
              <w:spacing w:line="30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r>
      <w:tr w14:paraId="757E7A09">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4E457DA4">
            <w:pPr>
              <w:spacing w:line="300" w:lineRule="exact"/>
              <w:jc w:val="center"/>
              <w:rPr>
                <w:rFonts w:hint="eastAsia" w:ascii="仿宋_GB2312" w:hAnsi="仿宋_GB2312" w:eastAsia="仿宋_GB2312" w:cs="仿宋_GB2312"/>
                <w:color w:val="000000"/>
                <w:sz w:val="18"/>
                <w:szCs w:val="18"/>
              </w:rPr>
            </w:pPr>
          </w:p>
        </w:tc>
        <w:tc>
          <w:tcPr>
            <w:tcW w:w="1081" w:type="dxa"/>
            <w:tcBorders>
              <w:top w:val="single" w:color="000000" w:sz="4" w:space="0"/>
              <w:left w:val="single" w:color="000000" w:sz="4" w:space="0"/>
              <w:right w:val="single" w:color="000000" w:sz="4" w:space="0"/>
            </w:tcBorders>
            <w:noWrap w:val="0"/>
            <w:vAlign w:val="center"/>
          </w:tcPr>
          <w:p w14:paraId="7DE8BB70">
            <w:pPr>
              <w:widowControl/>
              <w:spacing w:line="300" w:lineRule="exact"/>
              <w:jc w:val="center"/>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满意度</w:t>
            </w:r>
          </w:p>
          <w:p w14:paraId="4A98B26C">
            <w:pPr>
              <w:widowControl/>
              <w:spacing w:line="30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指标</w:t>
            </w:r>
          </w:p>
        </w:tc>
        <w:tc>
          <w:tcPr>
            <w:tcW w:w="1250" w:type="dxa"/>
            <w:tcBorders>
              <w:top w:val="single" w:color="000000" w:sz="4" w:space="0"/>
              <w:left w:val="single" w:color="000000" w:sz="4" w:space="0"/>
              <w:right w:val="single" w:color="000000" w:sz="4" w:space="0"/>
            </w:tcBorders>
            <w:noWrap w:val="0"/>
            <w:vAlign w:val="center"/>
          </w:tcPr>
          <w:p w14:paraId="12352B08">
            <w:pPr>
              <w:widowControl/>
              <w:spacing w:line="300" w:lineRule="exact"/>
              <w:jc w:val="center"/>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服务对象</w:t>
            </w:r>
          </w:p>
          <w:p w14:paraId="0D85106A">
            <w:pPr>
              <w:widowControl/>
              <w:spacing w:line="30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满意度指标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35858021">
            <w:pPr>
              <w:spacing w:line="300" w:lineRule="exac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lang w:eastAsia="zh-CN"/>
              </w:rPr>
              <w:t>受益群众满意度</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039FCDDF">
            <w:pPr>
              <w:spacing w:line="30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3CD22852">
            <w:pPr>
              <w:spacing w:line="30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98</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495201CD">
            <w:pPr>
              <w:spacing w:line="30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3F704044">
            <w:pPr>
              <w:spacing w:line="30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661DFB30">
            <w:pPr>
              <w:spacing w:line="30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r>
      <w:tr w14:paraId="7CC0F586">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42EFB38D">
            <w:pPr>
              <w:spacing w:line="300" w:lineRule="exact"/>
              <w:jc w:val="center"/>
              <w:rPr>
                <w:rFonts w:hint="eastAsia" w:ascii="仿宋_GB2312" w:hAnsi="仿宋_GB2312" w:eastAsia="仿宋_GB2312" w:cs="仿宋_GB2312"/>
                <w:color w:val="000000"/>
                <w:sz w:val="18"/>
                <w:szCs w:val="18"/>
              </w:rPr>
            </w:pPr>
          </w:p>
        </w:tc>
        <w:tc>
          <w:tcPr>
            <w:tcW w:w="1081" w:type="dxa"/>
            <w:tcBorders>
              <w:top w:val="single" w:color="000000" w:sz="4" w:space="0"/>
              <w:left w:val="single" w:color="000000" w:sz="4" w:space="0"/>
              <w:bottom w:val="single" w:color="000000" w:sz="4" w:space="0"/>
              <w:right w:val="single" w:color="000000" w:sz="4" w:space="0"/>
            </w:tcBorders>
            <w:noWrap w:val="0"/>
            <w:vAlign w:val="center"/>
          </w:tcPr>
          <w:p w14:paraId="61CC7055">
            <w:pPr>
              <w:widowControl/>
              <w:spacing w:line="30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成本指标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0F6718E0">
            <w:pPr>
              <w:widowControl/>
              <w:spacing w:line="300" w:lineRule="exact"/>
              <w:jc w:val="center"/>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经济成本</w:t>
            </w:r>
          </w:p>
          <w:p w14:paraId="6F5F9CC1">
            <w:pPr>
              <w:widowControl/>
              <w:spacing w:line="30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指标</w:t>
            </w:r>
          </w:p>
        </w:tc>
        <w:tc>
          <w:tcPr>
            <w:tcW w:w="1312" w:type="dxa"/>
            <w:tcBorders>
              <w:top w:val="single" w:color="000000" w:sz="4" w:space="0"/>
              <w:bottom w:val="single" w:color="000000" w:sz="4" w:space="0"/>
              <w:right w:val="single" w:color="000000" w:sz="4" w:space="0"/>
            </w:tcBorders>
            <w:noWrap w:val="0"/>
            <w:vAlign w:val="center"/>
          </w:tcPr>
          <w:p w14:paraId="6485676C">
            <w:pPr>
              <w:spacing w:line="300" w:lineRule="exact"/>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kern w:val="0"/>
                <w:sz w:val="18"/>
                <w:szCs w:val="18"/>
                <w:lang w:bidi="ar"/>
              </w:rPr>
              <w:t>茂县沟口大桥桥梁建设</w:t>
            </w:r>
            <w:r>
              <w:rPr>
                <w:rFonts w:hint="eastAsia" w:ascii="仿宋_GB2312" w:hAnsi="仿宋_GB2312" w:eastAsia="仿宋_GB2312" w:cs="仿宋_GB2312"/>
                <w:color w:val="000000"/>
                <w:kern w:val="0"/>
                <w:sz w:val="18"/>
                <w:szCs w:val="18"/>
                <w:lang w:eastAsia="zh-CN" w:bidi="ar"/>
              </w:rPr>
              <w:t>成本控制范围</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6CD6D2CF">
            <w:pPr>
              <w:spacing w:line="30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7E1714A1">
            <w:pPr>
              <w:spacing w:line="30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509.90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2FA47C13">
            <w:pPr>
              <w:spacing w:line="300" w:lineRule="exact"/>
              <w:jc w:val="center"/>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eastAsia="zh-CN"/>
              </w:rPr>
              <w:t>万元</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5A9AB05D">
            <w:pPr>
              <w:spacing w:line="30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70B11352">
            <w:pPr>
              <w:spacing w:line="30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r>
    </w:tbl>
    <w:p w14:paraId="300BC472">
      <w:pPr>
        <w:spacing w:line="578" w:lineRule="exact"/>
        <w:rPr>
          <w:rFonts w:hint="eastAsia" w:ascii="黑体" w:hAnsi="黑体" w:eastAsia="黑体" w:cs="黑体"/>
          <w:b w:val="0"/>
          <w:bCs/>
          <w:color w:val="auto"/>
          <w:kern w:val="2"/>
          <w:sz w:val="32"/>
          <w:szCs w:val="32"/>
          <w:lang w:val="en-US" w:eastAsia="zh-CN" w:bidi="ar-SA"/>
        </w:rPr>
      </w:pPr>
      <w:r>
        <w:rPr>
          <w:rFonts w:hint="eastAsia" w:ascii="黑体" w:hAnsi="黑体" w:eastAsia="黑体" w:cs="黑体"/>
          <w:b w:val="0"/>
          <w:bCs/>
          <w:color w:val="auto"/>
          <w:kern w:val="2"/>
          <w:sz w:val="32"/>
          <w:szCs w:val="32"/>
          <w:lang w:val="en-US" w:eastAsia="zh-CN" w:bidi="ar-SA"/>
        </w:rPr>
        <w:t>附件2</w:t>
      </w:r>
    </w:p>
    <w:p w14:paraId="69B895A0">
      <w:pPr>
        <w:keepNext w:val="0"/>
        <w:keepLines w:val="0"/>
        <w:pageBreakBefore w:val="0"/>
        <w:widowControl w:val="0"/>
        <w:kinsoku/>
        <w:wordWrap/>
        <w:overflowPunct/>
        <w:topLinePunct w:val="0"/>
        <w:autoSpaceDE/>
        <w:autoSpaceDN/>
        <w:bidi w:val="0"/>
        <w:spacing w:line="578" w:lineRule="exact"/>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3C4B0228">
      <w:pPr>
        <w:pStyle w:val="35"/>
        <w:spacing w:line="578" w:lineRule="exact"/>
        <w:jc w:val="center"/>
        <w:rPr>
          <w:rFonts w:ascii="Times New Roman" w:hAnsi="Times New Roman" w:eastAsia="方正小标宋简体"/>
          <w:color w:val="auto"/>
          <w:kern w:val="2"/>
          <w:sz w:val="44"/>
          <w:szCs w:val="44"/>
          <w:lang w:val="en-US"/>
        </w:rPr>
      </w:pPr>
      <w:r>
        <w:rPr>
          <w:rFonts w:ascii="Times New Roman" w:hAnsi="Times New Roman" w:eastAsia="方正小标宋简体"/>
          <w:color w:val="auto"/>
          <w:kern w:val="2"/>
          <w:sz w:val="44"/>
          <w:szCs w:val="44"/>
          <w:lang w:val="en-US"/>
        </w:rPr>
        <w:t>专项预算绩效自评报告</w:t>
      </w:r>
    </w:p>
    <w:p w14:paraId="07EF1B76">
      <w:pPr>
        <w:pStyle w:val="35"/>
        <w:spacing w:line="578" w:lineRule="exact"/>
        <w:jc w:val="center"/>
        <w:rPr>
          <w:rFonts w:hint="eastAsia" w:ascii="仿宋_GB2312" w:hAnsi="仿宋_GB2312" w:eastAsia="仿宋_GB2312" w:cs="仿宋_GB2312"/>
          <w:b w:val="0"/>
          <w:bCs/>
          <w:color w:val="auto"/>
          <w:kern w:val="2"/>
          <w:sz w:val="36"/>
          <w:szCs w:val="36"/>
          <w:lang w:val="en-US" w:eastAsia="zh-CN" w:bidi="ar-SA"/>
        </w:rPr>
      </w:pPr>
      <w:r>
        <w:rPr>
          <w:rFonts w:hint="eastAsia" w:ascii="Times New Roman" w:hAnsi="Times New Roman" w:eastAsia="楷体_GB2312" w:cs="Times New Roman"/>
          <w:b w:val="0"/>
          <w:bCs/>
          <w:color w:val="auto"/>
          <w:kern w:val="2"/>
          <w:sz w:val="36"/>
          <w:szCs w:val="36"/>
          <w:lang w:val="en-US" w:eastAsia="zh-CN" w:bidi="ar-SA"/>
        </w:rPr>
        <w:t>（</w:t>
      </w:r>
      <w:r>
        <w:rPr>
          <w:rFonts w:hint="eastAsia" w:ascii="仿宋_GB2312" w:hAnsi="仿宋_GB2312" w:eastAsia="仿宋_GB2312" w:cs="仿宋_GB2312"/>
          <w:b w:val="0"/>
          <w:bCs/>
          <w:color w:val="auto"/>
          <w:kern w:val="2"/>
          <w:sz w:val="36"/>
          <w:szCs w:val="36"/>
          <w:lang w:val="en-US" w:eastAsia="zh-CN" w:bidi="ar-SA"/>
        </w:rPr>
        <w:t>茂县沟口镇基层政权建设补助资金</w:t>
      </w:r>
    </w:p>
    <w:p w14:paraId="10FEAC52">
      <w:pPr>
        <w:pStyle w:val="35"/>
        <w:spacing w:line="578" w:lineRule="exact"/>
        <w:jc w:val="center"/>
        <w:rPr>
          <w:rFonts w:hint="eastAsia" w:ascii="Times New Roman" w:hAnsi="Times New Roman" w:eastAsia="楷体_GB2312" w:cs="Times New Roman"/>
          <w:b w:val="0"/>
          <w:bCs/>
          <w:color w:val="auto"/>
          <w:kern w:val="2"/>
          <w:sz w:val="36"/>
          <w:szCs w:val="36"/>
          <w:lang w:val="en-US" w:eastAsia="zh-CN" w:bidi="ar-SA"/>
        </w:rPr>
      </w:pPr>
      <w:r>
        <w:rPr>
          <w:rFonts w:hint="eastAsia" w:ascii="仿宋_GB2312" w:hAnsi="仿宋_GB2312" w:eastAsia="仿宋_GB2312" w:cs="仿宋_GB2312"/>
          <w:b w:val="0"/>
          <w:bCs/>
          <w:color w:val="auto"/>
          <w:kern w:val="2"/>
          <w:sz w:val="36"/>
          <w:szCs w:val="36"/>
          <w:lang w:val="en-US" w:eastAsia="zh-CN" w:bidi="ar-SA"/>
        </w:rPr>
        <w:t>—办公楼及宿舍楼安全维修）</w:t>
      </w:r>
    </w:p>
    <w:p w14:paraId="61173218">
      <w:pPr>
        <w:pStyle w:val="35"/>
        <w:spacing w:line="578" w:lineRule="exact"/>
        <w:ind w:firstLine="640"/>
        <w:jc w:val="center"/>
        <w:rPr>
          <w:rFonts w:ascii="Times New Roman" w:hAnsi="Times New Roman" w:eastAsia="楷体_GB2312" w:cs="Times New Roman"/>
          <w:b/>
          <w:color w:val="auto"/>
          <w:kern w:val="2"/>
          <w:sz w:val="32"/>
          <w:szCs w:val="32"/>
          <w:lang w:val="zh-CN" w:eastAsia="zh-CN" w:bidi="ar-SA"/>
        </w:rPr>
      </w:pPr>
    </w:p>
    <w:p w14:paraId="1AF72DA4">
      <w:pPr>
        <w:suppressAutoHyphens/>
        <w:bidi w:val="0"/>
        <w:adjustRightInd w:val="0"/>
        <w:snapToGrid w:val="0"/>
        <w:spacing w:line="578" w:lineRule="exact"/>
        <w:ind w:firstLine="640" w:firstLineChars="200"/>
        <w:outlineLvl w:val="1"/>
        <w:rPr>
          <w:rFonts w:hint="eastAsia" w:ascii="黑体" w:hAnsi="黑体" w:eastAsia="黑体" w:cs="黑体"/>
          <w:b w:val="0"/>
          <w:bCs w:val="0"/>
          <w:i w:val="0"/>
          <w:iCs w:val="0"/>
          <w:sz w:val="32"/>
          <w:szCs w:val="32"/>
          <w:lang w:val="zh-CN"/>
        </w:rPr>
      </w:pPr>
      <w:bookmarkStart w:id="81" w:name="_Toc15569"/>
      <w:bookmarkStart w:id="82" w:name="_Toc6835"/>
      <w:r>
        <w:rPr>
          <w:rFonts w:hint="eastAsia" w:ascii="黑体" w:hAnsi="黑体" w:eastAsia="黑体" w:cs="黑体"/>
          <w:b w:val="0"/>
          <w:bCs w:val="0"/>
          <w:i w:val="0"/>
          <w:iCs w:val="0"/>
          <w:sz w:val="32"/>
          <w:szCs w:val="32"/>
        </w:rPr>
        <w:t>一、</w:t>
      </w:r>
      <w:r>
        <w:rPr>
          <w:rFonts w:hint="eastAsia" w:ascii="黑体" w:hAnsi="黑体" w:eastAsia="黑体" w:cs="黑体"/>
          <w:b w:val="0"/>
          <w:bCs w:val="0"/>
          <w:i w:val="0"/>
          <w:iCs w:val="0"/>
          <w:sz w:val="32"/>
          <w:szCs w:val="32"/>
          <w:lang w:val="zh-CN"/>
        </w:rPr>
        <w:t>项目概况</w:t>
      </w:r>
      <w:bookmarkEnd w:id="81"/>
      <w:bookmarkEnd w:id="82"/>
    </w:p>
    <w:p w14:paraId="50B6CFEA">
      <w:pPr>
        <w:widowControl/>
        <w:numPr>
          <w:ilvl w:val="0"/>
          <w:numId w:val="0"/>
        </w:numPr>
        <w:ind w:firstLine="643" w:firstLineChars="200"/>
        <w:jc w:val="left"/>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（一）设立背景及基本情况</w:t>
      </w:r>
    </w:p>
    <w:p w14:paraId="6087BB76">
      <w:pPr>
        <w:widowControl/>
        <w:numPr>
          <w:ilvl w:val="0"/>
          <w:numId w:val="0"/>
        </w:numPr>
        <w:ind w:firstLine="640" w:firstLineChars="200"/>
        <w:jc w:val="left"/>
        <w:rPr>
          <w:rFonts w:hint="eastAsia" w:ascii="仿宋_GB2312" w:hAnsi="宋体" w:eastAsia="仿宋_GB2312" w:cs="Times New Roman"/>
          <w:color w:val="auto"/>
          <w:kern w:val="2"/>
          <w:sz w:val="32"/>
          <w:szCs w:val="32"/>
          <w:lang w:val="en-US" w:eastAsia="zh-CN"/>
        </w:rPr>
      </w:pPr>
      <w:r>
        <w:rPr>
          <w:rFonts w:hint="eastAsia" w:ascii="仿宋_GB2312" w:hAnsi="宋体" w:eastAsia="仿宋_GB2312" w:cs="Times New Roman"/>
          <w:color w:val="auto"/>
          <w:kern w:val="2"/>
          <w:sz w:val="32"/>
          <w:szCs w:val="32"/>
          <w:lang w:val="zh-CN" w:eastAsia="zh-CN"/>
        </w:rPr>
        <w:t>茂县沟口镇基层政权建设补助资金—办公楼及宿舍楼安全维修项目，金额：</w:t>
      </w:r>
      <w:r>
        <w:rPr>
          <w:rFonts w:hint="eastAsia" w:ascii="仿宋_GB2312" w:hAnsi="宋体" w:eastAsia="仿宋_GB2312" w:cs="Times New Roman"/>
          <w:color w:val="auto"/>
          <w:kern w:val="2"/>
          <w:sz w:val="32"/>
          <w:szCs w:val="32"/>
          <w:lang w:val="en-US" w:eastAsia="zh-CN"/>
        </w:rPr>
        <w:t>100.00万元；资金文号：茂财预〔2024〕45号。</w:t>
      </w:r>
    </w:p>
    <w:p w14:paraId="35F6A155">
      <w:pPr>
        <w:widowControl/>
        <w:numPr>
          <w:ilvl w:val="0"/>
          <w:numId w:val="0"/>
        </w:numPr>
        <w:ind w:firstLine="640" w:firstLineChars="200"/>
        <w:jc w:val="left"/>
        <w:rPr>
          <w:rFonts w:hint="eastAsia" w:ascii="仿宋_GB2312" w:hAnsi="宋体" w:eastAsia="仿宋_GB2312" w:cs="Times New Roman"/>
          <w:color w:val="auto"/>
          <w:kern w:val="2"/>
          <w:sz w:val="32"/>
          <w:szCs w:val="32"/>
          <w:lang w:val="en-US" w:eastAsia="zh-CN"/>
        </w:rPr>
      </w:pPr>
      <w:r>
        <w:rPr>
          <w:rFonts w:hint="eastAsia" w:ascii="仿宋_GB2312" w:hAnsi="宋体" w:eastAsia="仿宋_GB2312" w:cs="Times New Roman"/>
          <w:color w:val="auto"/>
          <w:kern w:val="2"/>
          <w:sz w:val="32"/>
          <w:szCs w:val="32"/>
          <w:lang w:val="en-US" w:eastAsia="zh-CN"/>
        </w:rPr>
        <w:t>改造目标：（一）办公楼提升改造：一是对全镇机关办公用房改造提升，消除安全隐患，更新办公设备，优化用房布局，满足办公服务需求。二是对全镇机关干部职工居住用房提升改造：改善居住环境，提升居住舒适度，如配套卫生间、供水和污水管网等，满足干部基本生活需求。（二）基础设施提升改造：为办公居住用房增加办公设施设备，改造提升供水管网，满足干部职工基本办公生活需求。</w:t>
      </w:r>
    </w:p>
    <w:p w14:paraId="1128A219">
      <w:pPr>
        <w:widowControl/>
        <w:numPr>
          <w:ilvl w:val="0"/>
          <w:numId w:val="0"/>
        </w:numPr>
        <w:ind w:firstLine="640" w:firstLineChars="200"/>
        <w:jc w:val="left"/>
        <w:rPr>
          <w:rFonts w:hint="eastAsia" w:ascii="仿宋_GB2312" w:hAnsi="宋体" w:eastAsia="仿宋_GB2312" w:cs="Times New Roman"/>
          <w:color w:val="auto"/>
          <w:kern w:val="2"/>
          <w:sz w:val="32"/>
          <w:szCs w:val="32"/>
          <w:lang w:val="en-US" w:eastAsia="zh-CN"/>
        </w:rPr>
      </w:pPr>
      <w:r>
        <w:rPr>
          <w:rFonts w:hint="eastAsia" w:ascii="仿宋_GB2312" w:hAnsi="宋体" w:eastAsia="仿宋_GB2312" w:cs="Times New Roman"/>
          <w:color w:val="auto"/>
          <w:kern w:val="2"/>
          <w:sz w:val="32"/>
          <w:szCs w:val="32"/>
          <w:lang w:val="en-US" w:eastAsia="zh-CN"/>
        </w:rPr>
        <w:t>建设内容及规模：一、办公楼维修加固；二、职工宿舍安全维修。</w:t>
      </w:r>
    </w:p>
    <w:p w14:paraId="5841B15F">
      <w:pPr>
        <w:pStyle w:val="2"/>
        <w:keepNext w:val="0"/>
        <w:keepLines w:val="0"/>
        <w:pageBreakBefore w:val="0"/>
        <w:widowControl w:val="0"/>
        <w:kinsoku/>
        <w:wordWrap/>
        <w:overflowPunct/>
        <w:topLinePunct w:val="0"/>
        <w:autoSpaceDE/>
        <w:autoSpaceDN/>
        <w:bidi w:val="0"/>
        <w:adjustRightInd/>
        <w:snapToGrid w:val="0"/>
        <w:spacing w:line="576" w:lineRule="exact"/>
        <w:ind w:firstLine="643" w:firstLineChars="200"/>
        <w:textAlignment w:val="auto"/>
        <w:rPr>
          <w:rFonts w:eastAsia="楷体_GB2312"/>
          <w:b/>
          <w:lang w:val="zh-CN"/>
        </w:rPr>
      </w:pPr>
      <w:r>
        <w:rPr>
          <w:rFonts w:hint="eastAsia" w:ascii="楷体" w:hAnsi="楷体" w:eastAsia="楷体" w:cs="楷体"/>
          <w:b/>
          <w:bCs/>
          <w:sz w:val="32"/>
          <w:szCs w:val="32"/>
          <w:lang w:val="zh-CN"/>
        </w:rPr>
        <w:t>（二）</w:t>
      </w:r>
      <w:r>
        <w:rPr>
          <w:rFonts w:hint="eastAsia" w:ascii="楷体" w:hAnsi="楷体" w:eastAsia="楷体" w:cs="楷体"/>
          <w:b/>
          <w:bCs/>
          <w:sz w:val="32"/>
          <w:szCs w:val="32"/>
        </w:rPr>
        <w:t>实施目的及支持方向。</w:t>
      </w:r>
      <w:r>
        <w:rPr>
          <w:rFonts w:hint="eastAsia" w:ascii="仿宋_GB2312" w:hAnsi="宋体" w:eastAsia="仿宋_GB2312"/>
          <w:color w:val="auto"/>
          <w:kern w:val="2"/>
          <w:sz w:val="32"/>
          <w:szCs w:val="32"/>
        </w:rPr>
        <w:t>该项目有利于乡村党群事业发展，为实现乡村振兴添砖加瓦，为发展经济提供基础指挥平台，能为茂县社会经济带来更多正面影响。</w:t>
      </w:r>
    </w:p>
    <w:p w14:paraId="2A1BDBA3">
      <w:pPr>
        <w:widowControl/>
        <w:numPr>
          <w:ilvl w:val="0"/>
          <w:numId w:val="0"/>
        </w:numPr>
        <w:ind w:firstLine="643" w:firstLineChars="200"/>
        <w:jc w:val="left"/>
        <w:rPr>
          <w:rFonts w:hint="eastAsia" w:ascii="仿宋_GB2312" w:hAnsi="仿宋_GB2312" w:eastAsia="仿宋_GB2312" w:cs="仿宋_GB2312"/>
          <w:sz w:val="32"/>
          <w:szCs w:val="32"/>
          <w:lang w:val="en-US" w:eastAsia="zh-CN"/>
        </w:rPr>
      </w:pPr>
      <w:r>
        <w:rPr>
          <w:rFonts w:hint="eastAsia" w:ascii="楷体_GB2312" w:hAnsi="宋体" w:eastAsia="楷体_GB2312" w:cs="Times New Roman"/>
          <w:b/>
          <w:sz w:val="32"/>
          <w:szCs w:val="32"/>
          <w:lang w:val="zh-CN"/>
        </w:rPr>
        <w:t>（三）预算安排及分配管理。</w:t>
      </w:r>
      <w:r>
        <w:rPr>
          <w:rFonts w:hint="eastAsia" w:ascii="仿宋_GB2312" w:hAnsi="仿宋_GB2312" w:eastAsia="仿宋_GB2312" w:cs="仿宋_GB2312"/>
          <w:color w:val="auto"/>
          <w:kern w:val="2"/>
          <w:sz w:val="32"/>
          <w:szCs w:val="32"/>
          <w:lang w:val="zh-CN" w:eastAsia="zh-CN"/>
        </w:rPr>
        <w:t>该笔资金于</w:t>
      </w:r>
      <w:r>
        <w:rPr>
          <w:rFonts w:hint="eastAsia" w:ascii="仿宋_GB2312" w:hAnsi="仿宋_GB2312" w:eastAsia="仿宋_GB2312" w:cs="仿宋_GB2312"/>
          <w:color w:val="auto"/>
          <w:kern w:val="2"/>
          <w:sz w:val="32"/>
          <w:szCs w:val="32"/>
          <w:lang w:val="en-US" w:eastAsia="zh-CN"/>
        </w:rPr>
        <w:t>2024年申请到账，</w:t>
      </w:r>
      <w:r>
        <w:rPr>
          <w:rFonts w:hint="eastAsia" w:ascii="仿宋_GB2312" w:hAnsi="仿宋_GB2312" w:eastAsia="仿宋_GB2312" w:cs="仿宋_GB2312"/>
          <w:sz w:val="32"/>
          <w:szCs w:val="32"/>
          <w:lang w:val="en-US" w:eastAsia="zh-CN"/>
        </w:rPr>
        <w:t>2024年完成支付96.42万元，年底决算收回3.58万元，完成率96.42%。</w:t>
      </w:r>
    </w:p>
    <w:p w14:paraId="4A279004">
      <w:pPr>
        <w:adjustRightInd w:val="0"/>
        <w:snapToGrid w:val="0"/>
        <w:spacing w:line="600" w:lineRule="exact"/>
        <w:ind w:firstLine="720"/>
        <w:rPr>
          <w:rFonts w:ascii="仿宋_GB2312" w:hAnsi="仿宋_GB2312" w:eastAsia="仿宋_GB2312" w:cs="仿宋_GB2312"/>
          <w:sz w:val="32"/>
          <w:szCs w:val="32"/>
          <w:lang w:val="zh-CN"/>
        </w:rPr>
      </w:pPr>
      <w:r>
        <w:rPr>
          <w:rFonts w:hint="eastAsia" w:ascii="楷体_GB2312" w:hAnsi="宋体" w:eastAsia="楷体_GB2312" w:cs="Times New Roman"/>
          <w:b/>
          <w:sz w:val="32"/>
          <w:szCs w:val="32"/>
          <w:lang w:val="zh-CN"/>
        </w:rPr>
        <w:t>（四）项目绩效目标设置。</w:t>
      </w:r>
      <w:r>
        <w:rPr>
          <w:rFonts w:hint="eastAsia" w:ascii="仿宋_GB2312" w:hAnsi="仿宋_GB2312" w:eastAsia="仿宋_GB2312" w:cs="仿宋_GB2312"/>
          <w:sz w:val="32"/>
          <w:szCs w:val="32"/>
          <w:lang w:val="zh-CN"/>
        </w:rPr>
        <w:t>该项目有利于</w:t>
      </w:r>
      <w:r>
        <w:rPr>
          <w:rFonts w:hint="eastAsia" w:ascii="仿宋_GB2312" w:hAnsi="仿宋_GB2312" w:eastAsia="仿宋_GB2312" w:cs="仿宋_GB2312"/>
          <w:sz w:val="32"/>
          <w:szCs w:val="32"/>
        </w:rPr>
        <w:t>消除安全隐患，更新办公设备，优化用房布局，满足办公服务需求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满足干部职工基本办公生活需求。</w:t>
      </w:r>
    </w:p>
    <w:p w14:paraId="3044BDBD">
      <w:pPr>
        <w:suppressAutoHyphens/>
        <w:bidi w:val="0"/>
        <w:adjustRightInd w:val="0"/>
        <w:snapToGrid w:val="0"/>
        <w:spacing w:line="578" w:lineRule="exact"/>
        <w:ind w:firstLine="640" w:firstLineChars="200"/>
        <w:outlineLvl w:val="1"/>
        <w:rPr>
          <w:rFonts w:hint="eastAsia" w:ascii="黑体" w:hAnsi="宋体" w:eastAsia="黑体" w:cs="Times New Roman"/>
          <w:sz w:val="32"/>
          <w:szCs w:val="32"/>
        </w:rPr>
      </w:pPr>
      <w:bookmarkStart w:id="83" w:name="_Toc233"/>
      <w:bookmarkStart w:id="84" w:name="_Toc7221"/>
      <w:r>
        <w:rPr>
          <w:rFonts w:hint="eastAsia" w:ascii="黑体" w:hAnsi="宋体" w:eastAsia="黑体" w:cs="Times New Roman"/>
          <w:sz w:val="32"/>
          <w:szCs w:val="32"/>
        </w:rPr>
        <w:t>二、评价实施</w:t>
      </w:r>
      <w:bookmarkEnd w:id="83"/>
      <w:bookmarkEnd w:id="84"/>
    </w:p>
    <w:p w14:paraId="5D7D8BD5">
      <w:pPr>
        <w:keepNext w:val="0"/>
        <w:keepLines w:val="0"/>
        <w:pageBreakBefore w:val="0"/>
        <w:widowControl w:val="0"/>
        <w:suppressAutoHyphens/>
        <w:kinsoku/>
        <w:wordWrap/>
        <w:overflowPunct/>
        <w:topLinePunct w:val="0"/>
        <w:autoSpaceDE/>
        <w:autoSpaceDN/>
        <w:bidi w:val="0"/>
        <w:spacing w:line="578" w:lineRule="exact"/>
        <w:ind w:firstLine="643" w:firstLineChars="200"/>
        <w:textAlignment w:val="auto"/>
        <w:outlineLvl w:val="9"/>
        <w:rPr>
          <w:rFonts w:hint="eastAsia" w:ascii="仿宋_GB2312" w:hAnsi="仿宋_GB2312" w:eastAsia="仿宋_GB2312" w:cs="仿宋_GB2312"/>
          <w:sz w:val="32"/>
          <w:szCs w:val="32"/>
        </w:rPr>
      </w:pPr>
      <w:r>
        <w:rPr>
          <w:rFonts w:hint="eastAsia" w:ascii="楷体_GB2312" w:hAnsi="宋体" w:eastAsia="楷体_GB2312" w:cs="Times New Roman"/>
          <w:b/>
          <w:sz w:val="32"/>
          <w:szCs w:val="32"/>
          <w:lang w:val="zh-CN"/>
        </w:rPr>
        <w:t>（一）评价目的。</w:t>
      </w:r>
      <w:r>
        <w:rPr>
          <w:rFonts w:hint="eastAsia" w:ascii="仿宋_GB2312" w:hAnsi="仿宋_GB2312" w:eastAsia="仿宋_GB2312" w:cs="仿宋_GB2312"/>
          <w:sz w:val="32"/>
          <w:szCs w:val="32"/>
        </w:rPr>
        <w:t>通为进一步提升预算管理水平、提高公共服务质量、优化公共资源配置提供决策参考，为以后年度类似项目专项资金安排、政策制度建设、预算绩效的推进提供必要的借鉴。</w:t>
      </w:r>
    </w:p>
    <w:p w14:paraId="4133D5D9">
      <w:pPr>
        <w:keepNext w:val="0"/>
        <w:keepLines w:val="0"/>
        <w:pageBreakBefore w:val="0"/>
        <w:widowControl w:val="0"/>
        <w:numPr>
          <w:ilvl w:val="0"/>
          <w:numId w:val="0"/>
        </w:numPr>
        <w:kinsoku/>
        <w:wordWrap/>
        <w:overflowPunct/>
        <w:topLinePunct w:val="0"/>
        <w:autoSpaceDE/>
        <w:autoSpaceDN/>
        <w:bidi w:val="0"/>
        <w:spacing w:line="578" w:lineRule="exact"/>
        <w:ind w:firstLine="643" w:firstLineChars="200"/>
        <w:textAlignment w:val="auto"/>
        <w:outlineLvl w:val="9"/>
        <w:rPr>
          <w:rFonts w:hint="eastAsia" w:ascii="仿宋_GB2312" w:hAnsi="仿宋_GB2312" w:eastAsia="仿宋_GB2312" w:cs="仿宋_GB2312"/>
          <w:sz w:val="32"/>
          <w:szCs w:val="32"/>
        </w:rPr>
      </w:pPr>
      <w:r>
        <w:rPr>
          <w:rFonts w:hint="eastAsia" w:ascii="楷体_GB2312" w:hAnsi="宋体" w:eastAsia="楷体_GB2312" w:cs="Times New Roman"/>
          <w:b/>
          <w:sz w:val="32"/>
          <w:szCs w:val="32"/>
          <w:lang w:val="zh-CN"/>
        </w:rPr>
        <w:t>（二）预设问题及评价重点。</w:t>
      </w:r>
      <w:r>
        <w:rPr>
          <w:rFonts w:hint="eastAsia" w:ascii="仿宋_GB2312" w:hAnsi="仿宋_GB2312" w:eastAsia="仿宋_GB2312" w:cs="仿宋_GB2312"/>
          <w:sz w:val="32"/>
          <w:szCs w:val="32"/>
          <w:lang w:val="zh-CN" w:eastAsia="zh-CN"/>
        </w:rPr>
        <w:t>重点评价该项目财政专项资金使用的规范性、安全性和有效性及评价项目的社会效益、经济效益、可持续性。</w:t>
      </w:r>
    </w:p>
    <w:p w14:paraId="2B6B4A4C">
      <w:pPr>
        <w:keepNext w:val="0"/>
        <w:keepLines w:val="0"/>
        <w:pageBreakBefore w:val="0"/>
        <w:widowControl w:val="0"/>
        <w:suppressAutoHyphens/>
        <w:kinsoku/>
        <w:wordWrap/>
        <w:overflowPunct/>
        <w:topLinePunct w:val="0"/>
        <w:autoSpaceDE/>
        <w:autoSpaceDN/>
        <w:bidi w:val="0"/>
        <w:spacing w:line="550" w:lineRule="exact"/>
        <w:ind w:firstLine="643" w:firstLineChars="200"/>
        <w:textAlignment w:val="auto"/>
        <w:outlineLvl w:val="9"/>
        <w:rPr>
          <w:rFonts w:hint="eastAsia" w:ascii="仿宋_GB2312" w:hAnsi="仿宋_GB2312" w:eastAsia="仿宋_GB2312" w:cs="仿宋_GB2312"/>
          <w:sz w:val="32"/>
          <w:szCs w:val="32"/>
        </w:rPr>
      </w:pPr>
      <w:r>
        <w:rPr>
          <w:rFonts w:hint="eastAsia" w:ascii="楷体_GB2312" w:hAnsi="宋体" w:eastAsia="楷体_GB2312" w:cs="Times New Roman"/>
          <w:b/>
          <w:sz w:val="32"/>
          <w:szCs w:val="32"/>
          <w:lang w:val="zh-CN"/>
        </w:rPr>
        <w:t>（三）评价选点。</w:t>
      </w:r>
      <w:r>
        <w:rPr>
          <w:rFonts w:hint="eastAsia" w:ascii="仿宋_GB2312" w:hAnsi="仿宋_GB2312" w:eastAsia="仿宋_GB2312" w:cs="仿宋_GB2312"/>
          <w:color w:val="000000"/>
          <w:kern w:val="0"/>
          <w:sz w:val="32"/>
          <w:szCs w:val="32"/>
          <w:shd w:val="clear" w:color="auto" w:fill="FFFFFF"/>
        </w:rPr>
        <w:t>项目资金由镇财政所具体管理，按投资计划，对项目资金按项目单独核算</w:t>
      </w:r>
      <w:r>
        <w:rPr>
          <w:rFonts w:hint="eastAsia" w:ascii="仿宋_GB2312" w:hAnsi="仿宋_GB2312" w:eastAsia="仿宋_GB2312" w:cs="仿宋_GB2312"/>
          <w:color w:val="000000"/>
          <w:kern w:val="0"/>
          <w:sz w:val="32"/>
          <w:szCs w:val="32"/>
          <w:shd w:val="clear" w:color="auto" w:fill="FFFFFF"/>
          <w:lang w:eastAsia="zh-CN"/>
        </w:rPr>
        <w:t>，</w:t>
      </w:r>
      <w:r>
        <w:rPr>
          <w:rFonts w:hint="eastAsia" w:ascii="仿宋_GB2312" w:hAnsi="仿宋_GB2312" w:eastAsia="仿宋_GB2312" w:cs="仿宋_GB2312"/>
          <w:color w:val="000000"/>
          <w:kern w:val="0"/>
          <w:sz w:val="32"/>
          <w:szCs w:val="32"/>
          <w:shd w:val="clear" w:color="auto" w:fill="FFFFFF"/>
        </w:rPr>
        <w:t>实行“专款专用、专人管理”，不得挤占</w:t>
      </w:r>
      <w:r>
        <w:rPr>
          <w:rFonts w:hint="eastAsia" w:ascii="仿宋_GB2312" w:hAnsi="仿宋_GB2312" w:eastAsia="仿宋_GB2312" w:cs="仿宋_GB2312"/>
          <w:color w:val="000000"/>
          <w:kern w:val="0"/>
          <w:sz w:val="32"/>
          <w:szCs w:val="32"/>
          <w:shd w:val="clear" w:color="auto" w:fill="FFFFFF"/>
          <w:lang w:eastAsia="zh-CN"/>
        </w:rPr>
        <w:t>、</w:t>
      </w:r>
      <w:r>
        <w:rPr>
          <w:rFonts w:hint="eastAsia" w:ascii="仿宋_GB2312" w:hAnsi="仿宋_GB2312" w:eastAsia="仿宋_GB2312" w:cs="仿宋_GB2312"/>
          <w:color w:val="000000"/>
          <w:kern w:val="0"/>
          <w:sz w:val="32"/>
          <w:szCs w:val="32"/>
          <w:shd w:val="clear" w:color="auto" w:fill="FFFFFF"/>
        </w:rPr>
        <w:t>挪用项目资金。指派专人对项目的实施定期或不定期的</w:t>
      </w:r>
      <w:r>
        <w:rPr>
          <w:rFonts w:hint="eastAsia" w:ascii="仿宋_GB2312" w:hAnsi="仿宋_GB2312" w:eastAsia="仿宋_GB2312" w:cs="仿宋_GB2312"/>
          <w:sz w:val="32"/>
          <w:szCs w:val="32"/>
        </w:rPr>
        <w:t>进行现场检查和监督，及时协调解决困难和问题，保证工程质量。</w:t>
      </w:r>
    </w:p>
    <w:p w14:paraId="65AB608D">
      <w:pPr>
        <w:keepNext w:val="0"/>
        <w:keepLines w:val="0"/>
        <w:pageBreakBefore w:val="0"/>
        <w:widowControl w:val="0"/>
        <w:suppressAutoHyphens/>
        <w:kinsoku/>
        <w:wordWrap/>
        <w:overflowPunct/>
        <w:topLinePunct w:val="0"/>
        <w:autoSpaceDE/>
        <w:autoSpaceDN/>
        <w:bidi w:val="0"/>
        <w:spacing w:line="578" w:lineRule="exact"/>
        <w:ind w:firstLine="643"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zh-CN"/>
        </w:rPr>
        <w:t>（四）评价方法。</w:t>
      </w:r>
      <w:r>
        <w:rPr>
          <w:rFonts w:hint="eastAsia" w:ascii="仿宋_GB2312" w:hAnsi="仿宋_GB2312" w:eastAsia="仿宋_GB2312" w:cs="仿宋_GB2312"/>
          <w:sz w:val="32"/>
          <w:szCs w:val="32"/>
          <w:lang w:val="zh-CN"/>
        </w:rPr>
        <w:t>该项目采用</w:t>
      </w:r>
      <w:r>
        <w:rPr>
          <w:rFonts w:hint="eastAsia" w:ascii="仿宋_GB2312" w:hAnsi="仿宋_GB2312" w:eastAsia="仿宋_GB2312" w:cs="仿宋_GB2312"/>
          <w:sz w:val="32"/>
          <w:szCs w:val="32"/>
        </w:rPr>
        <w:t>单位自评法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 xml:space="preserve"> </w:t>
      </w:r>
    </w:p>
    <w:p w14:paraId="7B7CA747">
      <w:pPr>
        <w:keepNext w:val="0"/>
        <w:keepLines w:val="0"/>
        <w:pageBreakBefore w:val="0"/>
        <w:widowControl w:val="0"/>
        <w:suppressAutoHyphens/>
        <w:kinsoku/>
        <w:wordWrap/>
        <w:overflowPunct/>
        <w:topLinePunct w:val="0"/>
        <w:autoSpaceDE/>
        <w:autoSpaceDN/>
        <w:bidi w:val="0"/>
        <w:spacing w:line="578" w:lineRule="exact"/>
        <w:ind w:firstLine="640" w:firstLineChars="200"/>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lang w:val="zh-CN"/>
        </w:rPr>
        <w:t>1.前期工作</w:t>
      </w:r>
      <w:r>
        <w:rPr>
          <w:rFonts w:hint="eastAsia" w:ascii="仿宋_GB2312" w:hAnsi="仿宋_GB2312" w:eastAsia="仿宋_GB2312" w:cs="仿宋_GB2312"/>
          <w:sz w:val="32"/>
          <w:szCs w:val="32"/>
          <w:lang w:val="zh-CN"/>
        </w:rPr>
        <w:t>：成立项目绩效自评领导小组，安排专人收集整理相关数据档案、拟定实地核查方案。</w:t>
      </w:r>
    </w:p>
    <w:p w14:paraId="3E4213BE">
      <w:pPr>
        <w:keepNext w:val="0"/>
        <w:keepLines w:val="0"/>
        <w:pageBreakBefore w:val="0"/>
        <w:widowControl w:val="0"/>
        <w:suppressAutoHyphens/>
        <w:kinsoku/>
        <w:wordWrap/>
        <w:overflowPunct/>
        <w:topLinePunct w:val="0"/>
        <w:autoSpaceDE/>
        <w:autoSpaceDN/>
        <w:bidi w:val="0"/>
        <w:spacing w:line="578" w:lineRule="exact"/>
        <w:ind w:firstLine="643"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2.实地核查：</w:t>
      </w:r>
      <w:r>
        <w:rPr>
          <w:rFonts w:hint="eastAsia" w:ascii="仿宋_GB2312" w:hAnsi="仿宋_GB2312" w:eastAsia="仿宋_GB2312" w:cs="仿宋_GB2312"/>
          <w:sz w:val="32"/>
          <w:szCs w:val="32"/>
        </w:rPr>
        <w:t>自评工作小组，根据评价指标对</w:t>
      </w:r>
      <w:r>
        <w:rPr>
          <w:rFonts w:hint="eastAsia" w:ascii="仿宋_GB2312" w:hAnsi="仿宋_GB2312" w:eastAsia="仿宋_GB2312" w:cs="仿宋_GB2312"/>
          <w:sz w:val="32"/>
          <w:szCs w:val="32"/>
          <w:lang w:eastAsia="zh-CN"/>
        </w:rPr>
        <w:t>资金</w:t>
      </w:r>
      <w:r>
        <w:rPr>
          <w:rFonts w:hint="eastAsia" w:ascii="仿宋_GB2312" w:hAnsi="仿宋_GB2312" w:eastAsia="仿宋_GB2312" w:cs="仿宋_GB2312"/>
          <w:sz w:val="32"/>
          <w:szCs w:val="32"/>
        </w:rPr>
        <w:t>使用</w:t>
      </w:r>
      <w:r>
        <w:rPr>
          <w:rFonts w:hint="eastAsia" w:ascii="仿宋_GB2312" w:hAnsi="仿宋_GB2312" w:eastAsia="仿宋_GB2312" w:cs="仿宋_GB2312"/>
          <w:sz w:val="32"/>
          <w:szCs w:val="32"/>
          <w:lang w:val="zh-CN"/>
        </w:rPr>
        <w:t>情况进行调查核实，沟口镇财经审查办公室对项目资金完善进行自评。</w:t>
      </w:r>
    </w:p>
    <w:p w14:paraId="69CB71BA">
      <w:pPr>
        <w:keepNext w:val="0"/>
        <w:keepLines w:val="0"/>
        <w:pageBreakBefore w:val="0"/>
        <w:widowControl w:val="0"/>
        <w:suppressAutoHyphens/>
        <w:kinsoku/>
        <w:wordWrap/>
        <w:overflowPunct/>
        <w:topLinePunct w:val="0"/>
        <w:autoSpaceDE/>
        <w:autoSpaceDN/>
        <w:bidi w:val="0"/>
        <w:spacing w:line="578" w:lineRule="exact"/>
        <w:ind w:firstLine="643"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zh-CN"/>
        </w:rPr>
        <w:t>3.分析评价：</w:t>
      </w:r>
      <w:r>
        <w:rPr>
          <w:rFonts w:hint="eastAsia" w:ascii="仿宋_GB2312" w:hAnsi="仿宋_GB2312" w:eastAsia="仿宋_GB2312" w:cs="仿宋_GB2312"/>
          <w:sz w:val="32"/>
          <w:szCs w:val="32"/>
          <w:lang w:val="zh-CN"/>
        </w:rPr>
        <w:t>根据自查结果，对绩效评价指标进行全面的分析形成绩效评价报告。</w:t>
      </w:r>
    </w:p>
    <w:p w14:paraId="74A2DDB3">
      <w:pPr>
        <w:keepNext w:val="0"/>
        <w:keepLines w:val="0"/>
        <w:pageBreakBefore w:val="0"/>
        <w:widowControl w:val="0"/>
        <w:suppressAutoHyphens/>
        <w:kinsoku/>
        <w:wordWrap/>
        <w:overflowPunct/>
        <w:topLinePunct w:val="0"/>
        <w:autoSpaceDE/>
        <w:autoSpaceDN/>
        <w:bidi w:val="0"/>
        <w:spacing w:line="578" w:lineRule="exact"/>
        <w:ind w:firstLine="643"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zh-CN"/>
        </w:rPr>
        <w:t>（五）评价组织。</w:t>
      </w:r>
      <w:r>
        <w:rPr>
          <w:rFonts w:hint="eastAsia" w:ascii="仿宋_GB2312" w:hAnsi="仿宋_GB2312" w:eastAsia="仿宋_GB2312" w:cs="仿宋_GB2312"/>
          <w:sz w:val="32"/>
          <w:szCs w:val="32"/>
          <w:lang w:val="zh-CN"/>
        </w:rPr>
        <w:t>成立项目绩效自评领导小组，由分管财务副镇长牵头，沟口镇财经审查办公室、沟口镇各驻村工作组组成自评小组，通过数据分析、实地核查、分析评价形成绩效评价报告。</w:t>
      </w:r>
    </w:p>
    <w:p w14:paraId="70556E94">
      <w:pPr>
        <w:keepNext w:val="0"/>
        <w:keepLines w:val="0"/>
        <w:pageBreakBefore w:val="0"/>
        <w:widowControl w:val="0"/>
        <w:suppressAutoHyphens/>
        <w:kinsoku/>
        <w:wordWrap/>
        <w:overflowPunct/>
        <w:topLinePunct w:val="0"/>
        <w:autoSpaceDE/>
        <w:autoSpaceDN/>
        <w:bidi w:val="0"/>
        <w:spacing w:line="578" w:lineRule="exact"/>
        <w:ind w:firstLine="643" w:firstLineChars="200"/>
        <w:textAlignment w:val="auto"/>
        <w:outlineLvl w:val="9"/>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rPr>
        <w:t>三、绩效分析</w:t>
      </w:r>
      <w:r>
        <w:rPr>
          <w:rFonts w:hint="eastAsia" w:ascii="仿宋_GB2312" w:hAnsi="仿宋_GB2312" w:eastAsia="仿宋_GB2312" w:cs="仿宋_GB2312"/>
          <w:b/>
          <w:bCs/>
          <w:sz w:val="32"/>
          <w:szCs w:val="32"/>
          <w:lang w:val="zh-CN"/>
        </w:rPr>
        <w:tab/>
      </w:r>
    </w:p>
    <w:p w14:paraId="30600FD6">
      <w:pPr>
        <w:keepNext w:val="0"/>
        <w:keepLines w:val="0"/>
        <w:pageBreakBefore w:val="0"/>
        <w:widowControl w:val="0"/>
        <w:suppressAutoHyphens/>
        <w:kinsoku/>
        <w:wordWrap/>
        <w:overflowPunct/>
        <w:topLinePunct w:val="0"/>
        <w:autoSpaceDE/>
        <w:autoSpaceDN/>
        <w:bidi w:val="0"/>
        <w:spacing w:line="578" w:lineRule="exact"/>
        <w:ind w:firstLine="643" w:firstLineChars="200"/>
        <w:textAlignment w:val="auto"/>
        <w:outlineLvl w:val="9"/>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（一）</w:t>
      </w:r>
      <w:r>
        <w:rPr>
          <w:rFonts w:hint="eastAsia" w:ascii="仿宋_GB2312" w:hAnsi="仿宋_GB2312" w:eastAsia="仿宋_GB2312" w:cs="仿宋_GB2312"/>
          <w:b/>
          <w:bCs/>
          <w:sz w:val="32"/>
          <w:szCs w:val="32"/>
        </w:rPr>
        <w:t>通用指标</w:t>
      </w:r>
      <w:r>
        <w:rPr>
          <w:rFonts w:hint="eastAsia" w:ascii="仿宋_GB2312" w:hAnsi="仿宋_GB2312" w:eastAsia="仿宋_GB2312" w:cs="仿宋_GB2312"/>
          <w:b/>
          <w:bCs/>
          <w:sz w:val="32"/>
          <w:szCs w:val="32"/>
          <w:lang w:val="zh-CN"/>
        </w:rPr>
        <w:t>绩效分析</w:t>
      </w:r>
    </w:p>
    <w:p w14:paraId="2A17EBD7">
      <w:pPr>
        <w:keepNext w:val="0"/>
        <w:keepLines w:val="0"/>
        <w:pageBreakBefore w:val="0"/>
        <w:widowControl w:val="0"/>
        <w:suppressAutoHyphens/>
        <w:kinsoku/>
        <w:wordWrap/>
        <w:overflowPunct/>
        <w:topLinePunct w:val="0"/>
        <w:autoSpaceDE/>
        <w:autoSpaceDN/>
        <w:bidi w:val="0"/>
        <w:spacing w:line="578" w:lineRule="exact"/>
        <w:ind w:firstLine="643"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1.项目决策。</w:t>
      </w:r>
      <w:r>
        <w:rPr>
          <w:rFonts w:hint="eastAsia" w:ascii="仿宋_GB2312" w:hAnsi="仿宋_GB2312" w:eastAsia="仿宋_GB2312" w:cs="仿宋_GB2312"/>
          <w:sz w:val="32"/>
          <w:szCs w:val="32"/>
        </w:rPr>
        <w:t>茂县</w:t>
      </w:r>
      <w:r>
        <w:rPr>
          <w:rFonts w:hint="eastAsia" w:ascii="仿宋_GB2312" w:hAnsi="仿宋_GB2312" w:eastAsia="仿宋_GB2312" w:cs="仿宋_GB2312"/>
          <w:sz w:val="32"/>
          <w:szCs w:val="32"/>
          <w:lang w:eastAsia="zh-CN"/>
        </w:rPr>
        <w:t>沟口镇</w:t>
      </w:r>
      <w:r>
        <w:rPr>
          <w:rFonts w:hint="eastAsia" w:ascii="仿宋_GB2312" w:hAnsi="仿宋_GB2312" w:eastAsia="仿宋_GB2312" w:cs="仿宋_GB2312"/>
          <w:sz w:val="32"/>
          <w:szCs w:val="32"/>
        </w:rPr>
        <w:t>人民政府负责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补助资金根据各村人口、幅员面积、地理区位、村集体收入和工作绩效等因素分村确定具体的补助标准，</w:t>
      </w:r>
      <w:r>
        <w:rPr>
          <w:rFonts w:hint="eastAsia" w:ascii="仿宋_GB2312" w:hAnsi="仿宋_GB2312" w:eastAsia="仿宋_GB2312" w:cs="仿宋_GB2312"/>
          <w:sz w:val="32"/>
          <w:szCs w:val="32"/>
          <w:lang w:eastAsia="zh-CN"/>
        </w:rPr>
        <w:t>沟口镇</w:t>
      </w:r>
      <w:r>
        <w:rPr>
          <w:rFonts w:hint="eastAsia" w:ascii="仿宋_GB2312" w:hAnsi="仿宋_GB2312" w:eastAsia="仿宋_GB2312" w:cs="仿宋_GB2312"/>
          <w:sz w:val="32"/>
          <w:szCs w:val="32"/>
        </w:rPr>
        <w:t>驻村工作组对完工内容进行验收，</w:t>
      </w:r>
      <w:r>
        <w:rPr>
          <w:rFonts w:hint="eastAsia" w:ascii="仿宋_GB2312" w:hAnsi="仿宋_GB2312" w:eastAsia="仿宋_GB2312" w:cs="仿宋_GB2312"/>
          <w:sz w:val="32"/>
          <w:szCs w:val="32"/>
          <w:lang w:eastAsia="zh-CN"/>
        </w:rPr>
        <w:t>沟口镇财务室</w:t>
      </w:r>
      <w:r>
        <w:rPr>
          <w:rFonts w:hint="eastAsia" w:ascii="仿宋_GB2312" w:hAnsi="仿宋_GB2312" w:eastAsia="仿宋_GB2312" w:cs="仿宋_GB2312"/>
          <w:sz w:val="32"/>
          <w:szCs w:val="32"/>
        </w:rPr>
        <w:t>支付资金。</w:t>
      </w:r>
    </w:p>
    <w:p w14:paraId="239275F3">
      <w:pPr>
        <w:keepNext w:val="0"/>
        <w:keepLines w:val="0"/>
        <w:pageBreakBefore w:val="0"/>
        <w:widowControl w:val="0"/>
        <w:suppressAutoHyphens/>
        <w:kinsoku/>
        <w:wordWrap/>
        <w:overflowPunct/>
        <w:topLinePunct w:val="0"/>
        <w:autoSpaceDE/>
        <w:autoSpaceDN/>
        <w:bidi w:val="0"/>
        <w:spacing w:line="578" w:lineRule="exact"/>
        <w:ind w:firstLine="643"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2.项目管理。</w:t>
      </w:r>
      <w:r>
        <w:rPr>
          <w:rFonts w:hint="eastAsia" w:ascii="仿宋_GB2312" w:hAnsi="仿宋_GB2312" w:eastAsia="仿宋_GB2312" w:cs="仿宋_GB2312"/>
          <w:sz w:val="32"/>
          <w:szCs w:val="32"/>
        </w:rPr>
        <w:t>镇政府统一监督管理，严禁弄虚作假</w:t>
      </w:r>
      <w:r>
        <w:rPr>
          <w:rFonts w:hint="eastAsia" w:ascii="仿宋_GB2312" w:hAnsi="仿宋_GB2312" w:eastAsia="仿宋_GB2312" w:cs="仿宋_GB2312"/>
          <w:sz w:val="32"/>
          <w:szCs w:val="32"/>
          <w:lang w:eastAsia="zh-CN"/>
        </w:rPr>
        <w:t>。</w:t>
      </w:r>
    </w:p>
    <w:p w14:paraId="7C0F6372">
      <w:pPr>
        <w:keepNext w:val="0"/>
        <w:keepLines w:val="0"/>
        <w:pageBreakBefore w:val="0"/>
        <w:widowControl w:val="0"/>
        <w:suppressAutoHyphens/>
        <w:kinsoku/>
        <w:wordWrap/>
        <w:overflowPunct/>
        <w:topLinePunct w:val="0"/>
        <w:autoSpaceDE/>
        <w:autoSpaceDN/>
        <w:bidi w:val="0"/>
        <w:spacing w:line="550" w:lineRule="exact"/>
        <w:ind w:firstLine="643"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3.项目实施</w:t>
      </w:r>
      <w:r>
        <w:rPr>
          <w:rFonts w:hint="eastAsia" w:ascii="仿宋_GB2312" w:hAnsi="仿宋_GB2312" w:eastAsia="仿宋_GB2312" w:cs="仿宋_GB2312"/>
          <w:sz w:val="32"/>
          <w:szCs w:val="32"/>
        </w:rPr>
        <w:t>。为确保项目的顺利实施，负责建设相关事宜，以确保项目保质保量按时完工。对项目资金按项目单独核算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实行“专款专用、专人管理”，不得挤占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挪用项目资金。</w:t>
      </w:r>
    </w:p>
    <w:p w14:paraId="45B08DB6">
      <w:pPr>
        <w:keepNext w:val="0"/>
        <w:keepLines w:val="0"/>
        <w:pageBreakBefore w:val="0"/>
        <w:widowControl w:val="0"/>
        <w:suppressAutoHyphens/>
        <w:kinsoku/>
        <w:wordWrap/>
        <w:overflowPunct/>
        <w:topLinePunct w:val="0"/>
        <w:autoSpaceDE/>
        <w:autoSpaceDN/>
        <w:bidi w:val="0"/>
        <w:spacing w:line="578" w:lineRule="exact"/>
        <w:ind w:firstLine="643"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4.项目结果。</w:t>
      </w:r>
      <w:r>
        <w:rPr>
          <w:rFonts w:hint="eastAsia" w:ascii="仿宋_GB2312" w:hAnsi="仿宋_GB2312" w:eastAsia="仿宋_GB2312" w:cs="仿宋_GB2312"/>
          <w:sz w:val="32"/>
          <w:szCs w:val="32"/>
          <w:lang w:eastAsia="zh-CN"/>
        </w:rPr>
        <w:t>该项目已完成支付。</w:t>
      </w:r>
    </w:p>
    <w:p w14:paraId="06298C41">
      <w:pPr>
        <w:keepNext w:val="0"/>
        <w:keepLines w:val="0"/>
        <w:pageBreakBefore w:val="0"/>
        <w:widowControl w:val="0"/>
        <w:suppressAutoHyphens/>
        <w:kinsoku/>
        <w:wordWrap/>
        <w:overflowPunct/>
        <w:topLinePunct w:val="0"/>
        <w:autoSpaceDE/>
        <w:autoSpaceDN/>
        <w:bidi w:val="0"/>
        <w:spacing w:line="578" w:lineRule="exact"/>
        <w:ind w:firstLine="643" w:firstLineChars="200"/>
        <w:textAlignment w:val="auto"/>
        <w:outlineLvl w:val="9"/>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（二）专用指标绩效分析</w:t>
      </w:r>
    </w:p>
    <w:p w14:paraId="58B84666">
      <w:pPr>
        <w:keepNext w:val="0"/>
        <w:keepLines w:val="0"/>
        <w:pageBreakBefore w:val="0"/>
        <w:widowControl w:val="0"/>
        <w:suppressAutoHyphens/>
        <w:kinsoku/>
        <w:wordWrap/>
        <w:overflowPunct/>
        <w:topLinePunct w:val="0"/>
        <w:autoSpaceDE/>
        <w:autoSpaceDN/>
        <w:bidi w:val="0"/>
        <w:spacing w:line="578"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1.产业发展类。通过完善基础设施建设，进一步改善了村级的基础设施和公共服务，扩大了农村基层民主</w:t>
      </w:r>
      <w:r>
        <w:rPr>
          <w:rFonts w:hint="eastAsia" w:ascii="仿宋_GB2312" w:hAnsi="仿宋_GB2312" w:eastAsia="仿宋_GB2312" w:cs="仿宋_GB2312"/>
          <w:sz w:val="32"/>
          <w:szCs w:val="32"/>
          <w:lang w:eastAsia="zh-CN"/>
        </w:rPr>
        <w:t>。</w:t>
      </w:r>
    </w:p>
    <w:p w14:paraId="3CEAB0D1">
      <w:pPr>
        <w:keepNext w:val="0"/>
        <w:keepLines w:val="0"/>
        <w:pageBreakBefore w:val="0"/>
        <w:widowControl w:val="0"/>
        <w:suppressAutoHyphens/>
        <w:kinsoku/>
        <w:wordWrap/>
        <w:overflowPunct/>
        <w:topLinePunct w:val="0"/>
        <w:autoSpaceDE/>
        <w:autoSpaceDN/>
        <w:bidi w:val="0"/>
        <w:spacing w:line="578" w:lineRule="exact"/>
        <w:ind w:firstLine="640" w:firstLineChars="200"/>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zh-CN"/>
        </w:rPr>
        <w:t>民生保障</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完善了村民自治，密切了党和政府同农民群众的关系，满足了农民群众的需求，也为我镇的村级项目建设起到了示范和引领作用。</w:t>
      </w:r>
    </w:p>
    <w:p w14:paraId="525B39FE">
      <w:pPr>
        <w:keepNext w:val="0"/>
        <w:keepLines w:val="0"/>
        <w:pageBreakBefore w:val="0"/>
        <w:widowControl w:val="0"/>
        <w:suppressAutoHyphens/>
        <w:kinsoku/>
        <w:wordWrap/>
        <w:overflowPunct/>
        <w:topLinePunct w:val="0"/>
        <w:autoSpaceDE/>
        <w:autoSpaceDN/>
        <w:bidi w:val="0"/>
        <w:spacing w:line="578"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3.基础设施类。采取专户核算、专款专用。</w:t>
      </w:r>
      <w:r>
        <w:rPr>
          <w:rFonts w:hint="eastAsia" w:ascii="仿宋_GB2312" w:hAnsi="仿宋_GB2312" w:eastAsia="仿宋_GB2312" w:cs="仿宋_GB2312"/>
          <w:sz w:val="32"/>
          <w:szCs w:val="32"/>
          <w:lang w:val="en-US" w:eastAsia="zh-CN"/>
        </w:rPr>
        <w:t>建立台账，明确到村保障资金数额，确保保障资金用于村内</w:t>
      </w: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HYPERLINK "https://wenwen.sogou.com/s/?w=%E5%85%AC%E5%85%B1%E6%9C%8D%E5%8A%A1%E8%AE%BE%E6%96%BD&amp;ch=ww.xqy.chain" \t "_blank" </w:instrText>
      </w:r>
      <w:r>
        <w:rPr>
          <w:rFonts w:hint="eastAsia" w:ascii="仿宋_GB2312" w:hAnsi="仿宋_GB2312" w:eastAsia="仿宋_GB2312" w:cs="仿宋_GB2312"/>
          <w:sz w:val="32"/>
          <w:szCs w:val="32"/>
          <w:lang w:val="en-US" w:eastAsia="zh-CN"/>
        </w:rPr>
        <w:fldChar w:fldCharType="separate"/>
      </w:r>
      <w:r>
        <w:rPr>
          <w:rFonts w:hint="eastAsia" w:ascii="仿宋_GB2312" w:hAnsi="仿宋_GB2312" w:eastAsia="仿宋_GB2312" w:cs="仿宋_GB2312"/>
          <w:sz w:val="32"/>
          <w:szCs w:val="32"/>
          <w:lang w:val="en-US" w:eastAsia="zh-CN"/>
        </w:rPr>
        <w:t>公共服务设施</w:t>
      </w:r>
      <w:r>
        <w:rPr>
          <w:rFonts w:hint="eastAsia" w:ascii="仿宋_GB2312" w:hAnsi="仿宋_GB2312" w:eastAsia="仿宋_GB2312" w:cs="仿宋_GB2312"/>
          <w:sz w:val="32"/>
          <w:szCs w:val="32"/>
          <w:lang w:val="en-US" w:eastAsia="zh-CN"/>
        </w:rPr>
        <w:fldChar w:fldCharType="end"/>
      </w:r>
      <w:r>
        <w:rPr>
          <w:rFonts w:hint="eastAsia" w:ascii="仿宋_GB2312" w:hAnsi="仿宋_GB2312" w:eastAsia="仿宋_GB2312" w:cs="仿宋_GB2312"/>
          <w:sz w:val="32"/>
          <w:szCs w:val="32"/>
          <w:lang w:val="en-US" w:eastAsia="zh-CN"/>
        </w:rPr>
        <w:t>运行维护，防止挪用和平调。</w:t>
      </w:r>
    </w:p>
    <w:p w14:paraId="609FE24F">
      <w:pPr>
        <w:keepNext w:val="0"/>
        <w:keepLines w:val="0"/>
        <w:pageBreakBefore w:val="0"/>
        <w:widowControl w:val="0"/>
        <w:suppressAutoHyphens/>
        <w:kinsoku/>
        <w:wordWrap/>
        <w:overflowPunct/>
        <w:topLinePunct w:val="0"/>
        <w:autoSpaceDE/>
        <w:autoSpaceDN/>
        <w:bidi w:val="0"/>
        <w:spacing w:line="578"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zh-CN"/>
        </w:rPr>
        <w:t>行政运转</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zh-CN" w:eastAsia="zh-CN"/>
        </w:rPr>
        <w:t>项目用途合规、程序合规、标准合规，</w:t>
      </w:r>
      <w:r>
        <w:rPr>
          <w:rFonts w:hint="eastAsia" w:ascii="仿宋_GB2312" w:hAnsi="仿宋_GB2312" w:eastAsia="仿宋_GB2312" w:cs="仿宋_GB2312"/>
          <w:sz w:val="32"/>
          <w:szCs w:val="32"/>
          <w:lang w:val="en-US" w:eastAsia="zh-CN"/>
        </w:rPr>
        <w:t>收支合理、手续完备、数字准确、账目清楚。</w:t>
      </w:r>
    </w:p>
    <w:p w14:paraId="6A566919">
      <w:pPr>
        <w:widowControl/>
        <w:numPr>
          <w:ilvl w:val="0"/>
          <w:numId w:val="0"/>
        </w:numPr>
        <w:adjustRightInd w:val="0"/>
        <w:snapToGrid w:val="0"/>
        <w:spacing w:line="578" w:lineRule="exact"/>
        <w:ind w:firstLine="643" w:firstLineChars="200"/>
        <w:contextualSpacing/>
        <w:jc w:val="left"/>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（三）</w:t>
      </w:r>
      <w:r>
        <w:rPr>
          <w:rFonts w:hint="eastAsia" w:ascii="仿宋_GB2312" w:hAnsi="仿宋_GB2312" w:eastAsia="仿宋_GB2312" w:cs="仿宋_GB2312"/>
          <w:b/>
          <w:bCs/>
          <w:sz w:val="32"/>
          <w:szCs w:val="32"/>
        </w:rPr>
        <w:t>个性指标</w:t>
      </w:r>
      <w:r>
        <w:rPr>
          <w:rFonts w:hint="eastAsia" w:ascii="仿宋_GB2312" w:hAnsi="仿宋_GB2312" w:eastAsia="仿宋_GB2312" w:cs="仿宋_GB2312"/>
          <w:b/>
          <w:bCs/>
          <w:sz w:val="32"/>
          <w:szCs w:val="32"/>
          <w:lang w:val="zh-CN"/>
        </w:rPr>
        <w:t>绩效分析</w:t>
      </w:r>
    </w:p>
    <w:p w14:paraId="1EFFD556">
      <w:pPr>
        <w:widowControl/>
        <w:numPr>
          <w:ilvl w:val="0"/>
          <w:numId w:val="0"/>
        </w:numPr>
        <w:adjustRightInd w:val="0"/>
        <w:snapToGrid w:val="0"/>
        <w:spacing w:line="578" w:lineRule="exact"/>
        <w:ind w:firstLine="640" w:firstLineChars="200"/>
        <w:contextualSpacing/>
        <w:jc w:val="left"/>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时效指标：项目计划于2024年底完成，完成支付率96.42%。</w:t>
      </w:r>
    </w:p>
    <w:p w14:paraId="2F195E7C">
      <w:pPr>
        <w:widowControl/>
        <w:numPr>
          <w:ilvl w:val="0"/>
          <w:numId w:val="0"/>
        </w:numPr>
        <w:adjustRightInd w:val="0"/>
        <w:snapToGrid w:val="0"/>
        <w:spacing w:line="578" w:lineRule="exact"/>
        <w:ind w:firstLine="643" w:firstLineChars="200"/>
        <w:contextualSpacing/>
        <w:jc w:val="left"/>
        <w:rPr>
          <w:rFonts w:hint="eastAsia" w:ascii="仿宋_GB2312" w:hAnsi="仿宋_GB2312" w:eastAsia="仿宋_GB2312" w:cs="仿宋_GB2312"/>
          <w:b/>
          <w:bCs/>
          <w:sz w:val="32"/>
          <w:szCs w:val="32"/>
          <w:lang w:val="zh-CN" w:eastAsia="zh-CN"/>
        </w:rPr>
      </w:pPr>
      <w:r>
        <w:rPr>
          <w:rFonts w:hint="eastAsia" w:ascii="仿宋_GB2312" w:hAnsi="仿宋_GB2312" w:eastAsia="仿宋_GB2312" w:cs="仿宋_GB2312"/>
          <w:b/>
          <w:bCs/>
          <w:sz w:val="32"/>
          <w:szCs w:val="32"/>
          <w:lang w:val="zh-CN" w:eastAsia="zh-CN"/>
        </w:rPr>
        <w:t>（四）评价结论</w:t>
      </w:r>
    </w:p>
    <w:p w14:paraId="0916649A">
      <w:pPr>
        <w:widowControl/>
        <w:numPr>
          <w:ilvl w:val="0"/>
          <w:numId w:val="0"/>
        </w:numPr>
        <w:ind w:firstLine="640" w:firstLineChars="200"/>
        <w:jc w:val="left"/>
        <w:rPr>
          <w:rFonts w:ascii="Times New Roman"/>
          <w:sz w:val="32"/>
          <w:szCs w:val="32"/>
          <w:lang w:eastAsia="zh-CN"/>
        </w:rPr>
      </w:pPr>
      <w:r>
        <w:rPr>
          <w:rFonts w:hint="eastAsia" w:ascii="仿宋_GB2312" w:hAnsi="宋体" w:eastAsia="仿宋_GB2312"/>
          <w:color w:val="auto"/>
          <w:kern w:val="2"/>
          <w:sz w:val="32"/>
          <w:szCs w:val="32"/>
        </w:rPr>
        <w:t>该项目消除安全隐患，更新办公设备，优化用房布局，满足办公服务需求。满足干部职工基本办公生活需求。为发展经济提供基础指挥平台，能为茂县社会经济带来更多正面影响。</w:t>
      </w:r>
    </w:p>
    <w:p w14:paraId="03ABE4EB">
      <w:pPr>
        <w:pStyle w:val="8"/>
        <w:keepNext w:val="0"/>
        <w:keepLines w:val="0"/>
        <w:pageBreakBefore w:val="0"/>
        <w:numPr>
          <w:ilvl w:val="0"/>
          <w:numId w:val="5"/>
        </w:numPr>
        <w:tabs>
          <w:tab w:val="left" w:pos="2160"/>
        </w:tabs>
        <w:kinsoku/>
        <w:wordWrap/>
        <w:overflowPunct/>
        <w:topLinePunct w:val="0"/>
        <w:autoSpaceDE/>
        <w:autoSpaceDN/>
        <w:bidi w:val="0"/>
        <w:spacing w:line="560" w:lineRule="exact"/>
        <w:ind w:left="197" w:leftChars="0" w:firstLine="643" w:firstLineChars="0"/>
        <w:textAlignment w:val="auto"/>
        <w:rPr>
          <w:rFonts w:hint="default" w:ascii="黑体" w:hAnsi="黑体" w:eastAsia="黑体" w:cs="黑体"/>
          <w:b w:val="0"/>
          <w:bCs w:val="0"/>
          <w:color w:val="000000"/>
          <w:kern w:val="0"/>
          <w:sz w:val="32"/>
          <w:szCs w:val="32"/>
          <w:shd w:val="clear" w:color="auto" w:fill="FFFFFF"/>
          <w:lang w:val="en-US" w:eastAsia="zh-CN" w:bidi="ar-SA"/>
        </w:rPr>
      </w:pPr>
      <w:r>
        <w:rPr>
          <w:rFonts w:hint="eastAsia" w:ascii="黑体" w:hAnsi="黑体" w:eastAsia="黑体" w:cs="黑体"/>
          <w:b w:val="0"/>
          <w:bCs w:val="0"/>
          <w:color w:val="000000"/>
          <w:kern w:val="0"/>
          <w:sz w:val="32"/>
          <w:szCs w:val="32"/>
          <w:shd w:val="clear" w:color="auto" w:fill="FFFFFF"/>
          <w:lang w:val="zh-CN" w:eastAsia="zh-CN" w:bidi="ar-SA"/>
        </w:rPr>
        <w:t>存在主要问题</w:t>
      </w:r>
    </w:p>
    <w:p w14:paraId="5DF4C0F1">
      <w:pPr>
        <w:pStyle w:val="8"/>
        <w:keepNext w:val="0"/>
        <w:keepLines w:val="0"/>
        <w:pageBreakBefore w:val="0"/>
        <w:numPr>
          <w:ilvl w:val="0"/>
          <w:numId w:val="0"/>
        </w:numPr>
        <w:tabs>
          <w:tab w:val="left" w:pos="2160"/>
        </w:tabs>
        <w:kinsoku/>
        <w:wordWrap/>
        <w:overflowPunct/>
        <w:topLinePunct w:val="0"/>
        <w:autoSpaceDE/>
        <w:autoSpaceDN/>
        <w:bidi w:val="0"/>
        <w:spacing w:line="560" w:lineRule="exact"/>
        <w:ind w:firstLine="640" w:firstLineChars="200"/>
        <w:textAlignment w:val="auto"/>
        <w:rPr>
          <w:rFonts w:hint="default" w:ascii="仿宋_GB2312" w:hAnsi="宋体" w:eastAsia="仿宋_GB2312" w:cs="Times New Roman"/>
          <w:color w:val="auto"/>
          <w:kern w:val="2"/>
          <w:position w:val="0"/>
          <w:sz w:val="32"/>
          <w:szCs w:val="32"/>
          <w:lang w:val="en-US" w:eastAsia="zh-CN" w:bidi="ar-SA"/>
        </w:rPr>
      </w:pPr>
      <w:r>
        <w:rPr>
          <w:rFonts w:hint="eastAsia" w:hAnsi="宋体" w:cs="Times New Roman"/>
          <w:color w:val="auto"/>
          <w:kern w:val="2"/>
          <w:position w:val="0"/>
          <w:sz w:val="32"/>
          <w:szCs w:val="32"/>
          <w:lang w:val="en-US" w:eastAsia="zh-CN" w:bidi="ar-SA"/>
        </w:rPr>
        <w:t>专项预算项目绩效自评未发现主要问题。</w:t>
      </w:r>
    </w:p>
    <w:p w14:paraId="6629FFF4">
      <w:pPr>
        <w:pStyle w:val="8"/>
        <w:keepNext w:val="0"/>
        <w:keepLines w:val="0"/>
        <w:pageBreakBefore w:val="0"/>
        <w:numPr>
          <w:ilvl w:val="0"/>
          <w:numId w:val="5"/>
        </w:numPr>
        <w:tabs>
          <w:tab w:val="left" w:pos="2160"/>
        </w:tabs>
        <w:kinsoku/>
        <w:wordWrap/>
        <w:overflowPunct/>
        <w:topLinePunct w:val="0"/>
        <w:autoSpaceDE/>
        <w:autoSpaceDN/>
        <w:bidi w:val="0"/>
        <w:spacing w:line="560" w:lineRule="exact"/>
        <w:ind w:left="197" w:leftChars="0" w:firstLine="643" w:firstLineChars="0"/>
        <w:textAlignment w:val="auto"/>
        <w:rPr>
          <w:rFonts w:hint="eastAsia" w:ascii="黑体" w:hAnsi="黑体" w:eastAsia="黑体" w:cs="黑体"/>
          <w:b w:val="0"/>
          <w:bCs w:val="0"/>
          <w:color w:val="000000"/>
          <w:kern w:val="0"/>
          <w:sz w:val="32"/>
          <w:szCs w:val="32"/>
          <w:shd w:val="clear" w:color="auto" w:fill="FFFFFF"/>
          <w:lang w:val="zh-CN" w:eastAsia="zh-CN" w:bidi="ar-SA"/>
        </w:rPr>
      </w:pPr>
      <w:r>
        <w:rPr>
          <w:rFonts w:hint="eastAsia" w:ascii="黑体" w:hAnsi="黑体" w:eastAsia="黑体" w:cs="黑体"/>
          <w:b w:val="0"/>
          <w:bCs w:val="0"/>
          <w:color w:val="000000"/>
          <w:kern w:val="0"/>
          <w:sz w:val="32"/>
          <w:szCs w:val="32"/>
          <w:shd w:val="clear" w:color="auto" w:fill="FFFFFF"/>
          <w:lang w:val="zh-CN" w:eastAsia="zh-CN" w:bidi="ar-SA"/>
        </w:rPr>
        <w:t>改进建议</w:t>
      </w:r>
    </w:p>
    <w:p w14:paraId="33C8A071">
      <w:pPr>
        <w:snapToGrid w:val="0"/>
        <w:spacing w:line="578" w:lineRule="exact"/>
        <w:ind w:firstLine="640" w:firstLineChars="200"/>
        <w:rPr>
          <w:rFonts w:hint="default" w:ascii="黑体" w:hAnsi="黑体" w:eastAsia="黑体" w:cs="黑体"/>
          <w:kern w:val="0"/>
          <w:sz w:val="32"/>
          <w:szCs w:val="32"/>
          <w:shd w:val="clear" w:color="auto" w:fill="FFFFFF"/>
          <w:lang w:val="en-US" w:eastAsia="zh-CN"/>
        </w:rPr>
      </w:pPr>
      <w:r>
        <w:rPr>
          <w:rFonts w:hint="eastAsia" w:ascii="仿宋_GB2312" w:hAnsi="宋体" w:eastAsia="仿宋_GB2312" w:cs="Times New Roman"/>
          <w:color w:val="auto"/>
          <w:kern w:val="2"/>
          <w:position w:val="0"/>
          <w:sz w:val="32"/>
          <w:szCs w:val="32"/>
          <w:lang w:val="en-US" w:eastAsia="zh-CN" w:bidi="ar-SA"/>
        </w:rPr>
        <w:t>专项预算项目在预算安排、完善政策、改进管理等方面的无措施建设。</w:t>
      </w:r>
    </w:p>
    <w:p w14:paraId="52E37B58">
      <w:pPr>
        <w:widowControl/>
        <w:numPr>
          <w:ilvl w:val="0"/>
          <w:numId w:val="0"/>
        </w:numPr>
        <w:ind w:firstLine="640" w:firstLineChars="200"/>
        <w:jc w:val="left"/>
        <w:rPr>
          <w:rFonts w:eastAsia="黑体"/>
          <w:kern w:val="0"/>
          <w:shd w:val="clear" w:color="auto" w:fill="FFFFFF"/>
        </w:rPr>
      </w:pPr>
      <w:r>
        <w:rPr>
          <w:rFonts w:hint="eastAsia" w:ascii="仿宋_GB2312" w:hAnsi="宋体" w:eastAsia="仿宋_GB2312" w:cs="Times New Roman"/>
          <w:color w:val="auto"/>
          <w:kern w:val="2"/>
          <w:sz w:val="32"/>
          <w:szCs w:val="32"/>
          <w:lang w:val="zh-CN"/>
        </w:rPr>
        <w:t xml:space="preserve"> </w:t>
      </w:r>
      <w:r>
        <w:rPr>
          <w:rFonts w:hint="eastAsia" w:ascii="仿宋_GB2312" w:hAnsi="宋体" w:eastAsia="仿宋_GB2312" w:cs="Times New Roman"/>
          <w:color w:val="auto"/>
          <w:kern w:val="2"/>
          <w:sz w:val="32"/>
          <w:szCs w:val="32"/>
          <w:lang w:val="zh-CN"/>
        </w:rPr>
        <w:br w:type="page"/>
      </w:r>
      <w:r>
        <w:rPr>
          <w:rFonts w:eastAsia="黑体"/>
          <w:kern w:val="0"/>
          <w:shd w:val="clear" w:color="auto" w:fill="FFFFFF"/>
          <w:lang w:val="zh-CN"/>
        </w:rPr>
        <w:t>附表</w:t>
      </w:r>
      <w:r>
        <w:rPr>
          <w:rFonts w:eastAsia="黑体"/>
          <w:kern w:val="0"/>
          <w:shd w:val="clear" w:color="auto" w:fill="FFFFFF"/>
        </w:rPr>
        <w:t>1</w:t>
      </w:r>
    </w:p>
    <w:p w14:paraId="657456BA">
      <w:pPr>
        <w:spacing w:line="578" w:lineRule="exact"/>
        <w:jc w:val="center"/>
        <w:rPr>
          <w:rFonts w:eastAsia="方正小标宋_GBK"/>
          <w:sz w:val="40"/>
          <w:szCs w:val="40"/>
        </w:rPr>
      </w:pPr>
      <w:r>
        <w:rPr>
          <w:rFonts w:hint="eastAsia" w:eastAsia="方正小标宋_GBK"/>
          <w:sz w:val="40"/>
          <w:szCs w:val="40"/>
        </w:rPr>
        <w:t>专项</w:t>
      </w:r>
      <w:r>
        <w:rPr>
          <w:rFonts w:eastAsia="方正小标宋_GBK"/>
          <w:sz w:val="40"/>
          <w:szCs w:val="40"/>
        </w:rPr>
        <w:t>预算绩效自评打分表</w:t>
      </w:r>
    </w:p>
    <w:tbl>
      <w:tblPr>
        <w:tblStyle w:val="16"/>
        <w:tblW w:w="10901" w:type="dxa"/>
        <w:jc w:val="center"/>
        <w:tblLayout w:type="fixed"/>
        <w:tblCellMar>
          <w:top w:w="0" w:type="dxa"/>
          <w:left w:w="108" w:type="dxa"/>
          <w:bottom w:w="0" w:type="dxa"/>
          <w:right w:w="108" w:type="dxa"/>
        </w:tblCellMar>
      </w:tblPr>
      <w:tblGrid>
        <w:gridCol w:w="720"/>
        <w:gridCol w:w="765"/>
        <w:gridCol w:w="825"/>
        <w:gridCol w:w="1355"/>
        <w:gridCol w:w="696"/>
        <w:gridCol w:w="5340"/>
        <w:gridCol w:w="732"/>
        <w:gridCol w:w="468"/>
      </w:tblGrid>
      <w:tr w14:paraId="54055482">
        <w:tblPrEx>
          <w:tblCellMar>
            <w:top w:w="0" w:type="dxa"/>
            <w:left w:w="108" w:type="dxa"/>
            <w:bottom w:w="0" w:type="dxa"/>
            <w:right w:w="108" w:type="dxa"/>
          </w:tblCellMar>
        </w:tblPrEx>
        <w:trPr>
          <w:trHeight w:val="23" w:hRule="atLeast"/>
          <w:jc w:val="center"/>
        </w:trPr>
        <w:tc>
          <w:tcPr>
            <w:tcW w:w="4361" w:type="dxa"/>
            <w:gridSpan w:val="5"/>
            <w:tcBorders>
              <w:top w:val="single" w:color="000000" w:sz="4" w:space="0"/>
              <w:left w:val="single" w:color="000000" w:sz="4" w:space="0"/>
              <w:bottom w:val="nil"/>
              <w:right w:val="nil"/>
            </w:tcBorders>
            <w:noWrap w:val="0"/>
            <w:vAlign w:val="center"/>
          </w:tcPr>
          <w:p w14:paraId="55048C43">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绩效评价指标</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14:paraId="24B70B27">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指标解释</w:t>
            </w:r>
          </w:p>
        </w:tc>
        <w:tc>
          <w:tcPr>
            <w:tcW w:w="732" w:type="dxa"/>
            <w:vMerge w:val="restart"/>
            <w:tcBorders>
              <w:top w:val="single" w:color="000000" w:sz="4" w:space="0"/>
              <w:left w:val="single" w:color="000000" w:sz="4" w:space="0"/>
              <w:right w:val="single" w:color="000000" w:sz="4" w:space="0"/>
            </w:tcBorders>
            <w:noWrap w:val="0"/>
            <w:vAlign w:val="center"/>
          </w:tcPr>
          <w:p w14:paraId="4A6B567F">
            <w:pPr>
              <w:widowControl/>
              <w:spacing w:line="240" w:lineRule="exact"/>
              <w:jc w:val="center"/>
              <w:textAlignment w:val="center"/>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自评得分</w:t>
            </w:r>
          </w:p>
        </w:tc>
        <w:tc>
          <w:tcPr>
            <w:tcW w:w="468" w:type="dxa"/>
            <w:vMerge w:val="restart"/>
            <w:tcBorders>
              <w:top w:val="single" w:color="000000" w:sz="4" w:space="0"/>
              <w:left w:val="single" w:color="000000" w:sz="4" w:space="0"/>
              <w:right w:val="single" w:color="000000" w:sz="4" w:space="0"/>
            </w:tcBorders>
            <w:noWrap w:val="0"/>
            <w:vAlign w:val="center"/>
          </w:tcPr>
          <w:p w14:paraId="27CDC8B5">
            <w:pPr>
              <w:widowControl/>
              <w:spacing w:line="240" w:lineRule="exact"/>
              <w:jc w:val="center"/>
              <w:textAlignment w:val="center"/>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备注</w:t>
            </w:r>
          </w:p>
        </w:tc>
      </w:tr>
      <w:tr w14:paraId="25F66B46">
        <w:tblPrEx>
          <w:tblCellMar>
            <w:top w:w="0" w:type="dxa"/>
            <w:left w:w="108" w:type="dxa"/>
            <w:bottom w:w="0" w:type="dxa"/>
            <w:right w:w="108" w:type="dxa"/>
          </w:tblCellMar>
        </w:tblPrEx>
        <w:trPr>
          <w:trHeight w:val="23" w:hRule="atLeast"/>
          <w:jc w:val="center"/>
        </w:trPr>
        <w:tc>
          <w:tcPr>
            <w:tcW w:w="720" w:type="dxa"/>
            <w:tcBorders>
              <w:top w:val="single" w:color="000000" w:sz="4" w:space="0"/>
              <w:left w:val="single" w:color="000000" w:sz="4" w:space="0"/>
              <w:bottom w:val="single" w:color="000000" w:sz="4" w:space="0"/>
              <w:right w:val="single" w:color="000000" w:sz="4" w:space="0"/>
            </w:tcBorders>
            <w:noWrap w:val="0"/>
            <w:vAlign w:val="center"/>
          </w:tcPr>
          <w:p w14:paraId="0A50E154">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一级指标</w:t>
            </w:r>
          </w:p>
        </w:tc>
        <w:tc>
          <w:tcPr>
            <w:tcW w:w="1590" w:type="dxa"/>
            <w:gridSpan w:val="2"/>
            <w:tcBorders>
              <w:top w:val="single" w:color="000000" w:sz="4" w:space="0"/>
              <w:left w:val="single" w:color="000000" w:sz="4" w:space="0"/>
              <w:bottom w:val="single" w:color="000000" w:sz="4" w:space="0"/>
              <w:right w:val="single" w:color="000000" w:sz="4" w:space="0"/>
            </w:tcBorders>
            <w:noWrap w:val="0"/>
            <w:vAlign w:val="center"/>
          </w:tcPr>
          <w:p w14:paraId="468DC15F">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二级指标</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2A47BA0">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三级指标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8640091">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指标</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分值</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F9C959">
            <w:pPr>
              <w:widowControl/>
              <w:spacing w:line="240" w:lineRule="exact"/>
              <w:jc w:val="center"/>
              <w:rPr>
                <w:rFonts w:hint="eastAsia" w:ascii="仿宋_GB2312" w:hAnsi="仿宋_GB2312" w:eastAsia="仿宋_GB2312" w:cs="仿宋_GB2312"/>
                <w:color w:val="000000"/>
                <w:sz w:val="21"/>
                <w:szCs w:val="21"/>
              </w:rPr>
            </w:pPr>
          </w:p>
        </w:tc>
        <w:tc>
          <w:tcPr>
            <w:tcW w:w="732" w:type="dxa"/>
            <w:vMerge w:val="continue"/>
            <w:tcBorders>
              <w:left w:val="single" w:color="000000" w:sz="4" w:space="0"/>
              <w:bottom w:val="single" w:color="000000" w:sz="4" w:space="0"/>
              <w:right w:val="single" w:color="000000" w:sz="4" w:space="0"/>
            </w:tcBorders>
            <w:noWrap w:val="0"/>
            <w:vAlign w:val="center"/>
          </w:tcPr>
          <w:p w14:paraId="287E177C">
            <w:pPr>
              <w:widowControl/>
              <w:spacing w:line="240" w:lineRule="exact"/>
              <w:jc w:val="center"/>
              <w:rPr>
                <w:rFonts w:hint="eastAsia" w:ascii="仿宋_GB2312" w:hAnsi="仿宋_GB2312" w:eastAsia="仿宋_GB2312" w:cs="仿宋_GB2312"/>
                <w:color w:val="000000"/>
                <w:sz w:val="21"/>
                <w:szCs w:val="21"/>
              </w:rPr>
            </w:pPr>
          </w:p>
        </w:tc>
        <w:tc>
          <w:tcPr>
            <w:tcW w:w="468" w:type="dxa"/>
            <w:vMerge w:val="continue"/>
            <w:tcBorders>
              <w:left w:val="single" w:color="000000" w:sz="4" w:space="0"/>
              <w:bottom w:val="single" w:color="000000" w:sz="4" w:space="0"/>
              <w:right w:val="single" w:color="000000" w:sz="4" w:space="0"/>
            </w:tcBorders>
            <w:noWrap w:val="0"/>
            <w:vAlign w:val="center"/>
          </w:tcPr>
          <w:p w14:paraId="429226A5">
            <w:pPr>
              <w:widowControl/>
              <w:spacing w:line="240" w:lineRule="exact"/>
              <w:jc w:val="center"/>
              <w:rPr>
                <w:rFonts w:hint="eastAsia" w:ascii="仿宋_GB2312" w:hAnsi="仿宋_GB2312" w:eastAsia="仿宋_GB2312" w:cs="仿宋_GB2312"/>
                <w:color w:val="000000"/>
                <w:sz w:val="21"/>
                <w:szCs w:val="21"/>
              </w:rPr>
            </w:pPr>
          </w:p>
        </w:tc>
      </w:tr>
      <w:tr w14:paraId="1ECDA116">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7143CCAC">
            <w:pPr>
              <w:widowControl/>
              <w:spacing w:line="24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通用指标</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（54分）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AFC6DE2">
            <w:pPr>
              <w:widowControl/>
              <w:spacing w:line="24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项目决策</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2A953A4">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决策程序</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2518ED8">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5B2C853">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项目决策程序是否严密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6A87E3B">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01A9A5C">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4F3CA554">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96883B">
            <w:pPr>
              <w:widowControl/>
              <w:spacing w:line="24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358D90E">
            <w:pPr>
              <w:widowControl/>
              <w:spacing w:line="24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495684D">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规划论证</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D1ED61B">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FB6AC2B">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项目规划论证是否符合中省要求，项目绩效目标设置是否科学合理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066430F">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81151BE">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1244E04E">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7F8FF8">
            <w:pPr>
              <w:widowControl/>
              <w:spacing w:line="24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5758AE4">
            <w:pPr>
              <w:widowControl/>
              <w:spacing w:line="24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1663343">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资金投向</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1D50644">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46A16B3">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项目资金是否与项目总体规划、相关行业事业发展相匹配，是否聚焦重大任务、重点领域、重点环节和重点项目</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7893744">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4B4FAEE">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12183E63">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97BBBA">
            <w:pPr>
              <w:widowControl/>
              <w:spacing w:line="240" w:lineRule="exact"/>
              <w:jc w:val="center"/>
              <w:rPr>
                <w:rFonts w:hint="eastAsia" w:ascii="仿宋_GB2312" w:hAnsi="仿宋_GB2312" w:eastAsia="仿宋_GB2312" w:cs="仿宋_GB2312"/>
                <w:b/>
                <w:color w:val="000000"/>
                <w:sz w:val="21"/>
                <w:szCs w:val="21"/>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7980046">
            <w:pPr>
              <w:widowControl/>
              <w:spacing w:line="24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项目管理</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CCA0439">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制度办法</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6B80865">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2</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9EDC6A3">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项目制度办法是否体系健全、要素完备</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AC2BB0D">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5AF5991">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1ACB8BCF">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BE33C4">
            <w:pPr>
              <w:widowControl/>
              <w:spacing w:line="24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AE7E760">
            <w:pPr>
              <w:widowControl/>
              <w:spacing w:line="24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3DE92BD">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分配管理</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14B23B4">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3DB3E36">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项目资金分配因素选取、权重设置、区域分布，项目管理、审批是否符合管理要求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77A475C">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8</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D908074">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572E07AA">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136849">
            <w:pPr>
              <w:widowControl/>
              <w:spacing w:line="24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03B54F8">
            <w:pPr>
              <w:widowControl/>
              <w:spacing w:line="24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D19BF86">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绩效监管</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2EDC5DB">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1CA88A3">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管资金、项目、政策是否管绩效，项目绩效监管是否按要求开展，对下指导是否有力有效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0101FB2">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4</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DA8A11D">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45E08280">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73D549">
            <w:pPr>
              <w:widowControl/>
              <w:spacing w:line="240" w:lineRule="exact"/>
              <w:jc w:val="center"/>
              <w:rPr>
                <w:rFonts w:hint="eastAsia" w:ascii="仿宋_GB2312" w:hAnsi="仿宋_GB2312" w:eastAsia="仿宋_GB2312" w:cs="仿宋_GB2312"/>
                <w:b/>
                <w:color w:val="000000"/>
                <w:sz w:val="21"/>
                <w:szCs w:val="21"/>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2B3431F6">
            <w:pPr>
              <w:widowControl/>
              <w:spacing w:line="24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项目实施</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CF18B01">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预算执行</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99645DA">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D1275E4">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项目资金财政拨付、单位执行和地方配套到位情况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1449AAB">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B0A57EA">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532C791D">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F65971">
            <w:pPr>
              <w:widowControl/>
              <w:spacing w:line="24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0BF43D5">
            <w:pPr>
              <w:widowControl/>
              <w:spacing w:line="24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F425A11">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资金使用</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4647AE3">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2C48194">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资金使用拨付、项目实施是否符合规定</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4EADFDB">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7ADC909">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18965F78">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D41818">
            <w:pPr>
              <w:widowControl/>
              <w:spacing w:line="240" w:lineRule="exact"/>
              <w:jc w:val="center"/>
              <w:rPr>
                <w:rFonts w:hint="eastAsia" w:ascii="仿宋_GB2312" w:hAnsi="仿宋_GB2312" w:eastAsia="仿宋_GB2312" w:cs="仿宋_GB2312"/>
                <w:b/>
                <w:color w:val="000000"/>
                <w:sz w:val="21"/>
                <w:szCs w:val="21"/>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314C18E">
            <w:pPr>
              <w:widowControl/>
              <w:spacing w:line="24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项目结果</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1C14A8C">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目标完成</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DC1A254">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2CCA495">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项目是否完成预期目标，实施结果是否与绩效目标相匹配，反映目标实现程度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92FFD0A">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29BC2A5">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4427DDCD">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6D6661">
            <w:pPr>
              <w:widowControl/>
              <w:spacing w:line="24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7537DEB">
            <w:pPr>
              <w:widowControl/>
              <w:spacing w:line="24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D73DB43">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完成时效</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BB694B4">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2445A03">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项目实际完成时间与计划完成时间的比较</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F92900C">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14D8A74">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0B71BF4F">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2BF9B840">
            <w:pPr>
              <w:widowControl/>
              <w:spacing w:line="24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专用指标</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B074059">
            <w:pPr>
              <w:widowControl/>
              <w:spacing w:line="24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产业发展</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345A8B8">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符合性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3FDB110">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76906E8">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项目实施是否与省委省政府支持重点、产业支持政策符合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29CEEB4">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9</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7AED0BC">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6413D7A7">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94B3E5">
            <w:pPr>
              <w:widowControl/>
              <w:spacing w:line="24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254962A">
            <w:pPr>
              <w:widowControl/>
              <w:spacing w:line="24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6B661E1">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成长性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47F1974">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4D61943">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项目实施对相关企业（机构）成长性的促进作用，主要反映支持对象创新创造创业能力情况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41B3132">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9</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33E017C">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4675DD7E">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A40AB7">
            <w:pPr>
              <w:widowControl/>
              <w:spacing w:line="24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A902569">
            <w:pPr>
              <w:widowControl/>
              <w:spacing w:line="24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8E7420C">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经济性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4E43BB4">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3C8A5A6">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项目实施对相关企业（机构）主营业务收入、净利润、税收、产量等方面增长情况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18D1FAA">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9</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B5411AA">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4BDE9DC8">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DE7106">
            <w:pPr>
              <w:widowControl/>
              <w:spacing w:line="240" w:lineRule="exact"/>
              <w:jc w:val="center"/>
              <w:rPr>
                <w:rFonts w:hint="eastAsia" w:ascii="仿宋_GB2312" w:hAnsi="仿宋_GB2312" w:eastAsia="仿宋_GB2312" w:cs="仿宋_GB2312"/>
                <w:b/>
                <w:color w:val="000000"/>
                <w:sz w:val="21"/>
                <w:szCs w:val="21"/>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132822E">
            <w:pPr>
              <w:widowControl/>
              <w:spacing w:line="24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民生保障</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0337C2A">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区域均衡性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E3201A3">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2AC3E73">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项目资金分配体现的均衡公平情况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766D344">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198941D">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7A9F7FBD">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EB8F50">
            <w:pPr>
              <w:widowControl/>
              <w:spacing w:line="24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D2616F0">
            <w:pPr>
              <w:widowControl/>
              <w:spacing w:line="24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6F48F0E">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对象精准性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9351CBF">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2FDEF0D">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资金实际支持对象是否符合管理要求，是否符合支持对象范围</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8228550">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76F1420">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65019AA8">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4E8244">
            <w:pPr>
              <w:widowControl/>
              <w:spacing w:line="24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14575AE">
            <w:pPr>
              <w:widowControl/>
              <w:spacing w:line="24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890C752">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标准合理性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32643AD">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BF857AB">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资金实际补贴标准是否符合资金管理办法规定的补助标准，是否及时按标准兑现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16026E3">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F24A62D">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5115EC13">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7D040B">
            <w:pPr>
              <w:widowControl/>
              <w:spacing w:line="24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47190F5">
            <w:pPr>
              <w:widowControl/>
              <w:spacing w:line="24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2A5BC7A">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群众满意度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54821DE">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7AFBA8C">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资金涉及相关受益群体、支持对象的满意度调查访谈情况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6632ECE">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4</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2D536A4">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26D7497B">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3488AA">
            <w:pPr>
              <w:widowControl/>
              <w:spacing w:line="240" w:lineRule="exact"/>
              <w:jc w:val="center"/>
              <w:rPr>
                <w:rFonts w:hint="eastAsia" w:ascii="仿宋_GB2312" w:hAnsi="仿宋_GB2312" w:eastAsia="仿宋_GB2312" w:cs="仿宋_GB2312"/>
                <w:b/>
                <w:color w:val="000000"/>
                <w:sz w:val="21"/>
                <w:szCs w:val="21"/>
              </w:rPr>
            </w:pPr>
          </w:p>
        </w:tc>
        <w:tc>
          <w:tcPr>
            <w:tcW w:w="765" w:type="dxa"/>
            <w:vMerge w:val="restart"/>
            <w:tcBorders>
              <w:top w:val="single" w:color="000000" w:sz="4" w:space="0"/>
              <w:left w:val="single" w:color="000000" w:sz="4" w:space="0"/>
              <w:bottom w:val="single" w:color="000000" w:sz="4" w:space="0"/>
              <w:right w:val="single" w:color="000000" w:sz="4" w:space="0"/>
            </w:tcBorders>
            <w:noWrap w:val="0"/>
            <w:vAlign w:val="center"/>
          </w:tcPr>
          <w:p w14:paraId="2F0C50A0">
            <w:pPr>
              <w:widowControl/>
              <w:spacing w:line="24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基础</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设施</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（30分）</w:t>
            </w: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14:paraId="6037C4A7">
            <w:pPr>
              <w:widowControl/>
              <w:spacing w:line="24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在建</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CD93B3B">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工程进度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BCB2A28">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BB6C726">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项目是否达到计划工程进度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34020A2">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6C08DCB">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2407C78C">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E5AEB4">
            <w:pPr>
              <w:widowControl/>
              <w:spacing w:line="240" w:lineRule="exact"/>
              <w:jc w:val="center"/>
              <w:rPr>
                <w:rFonts w:hint="eastAsia" w:ascii="仿宋_GB2312" w:hAnsi="仿宋_GB2312" w:eastAsia="仿宋_GB2312" w:cs="仿宋_GB2312"/>
                <w:b/>
                <w:color w:val="000000"/>
                <w:sz w:val="21"/>
                <w:szCs w:val="21"/>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F22BD8">
            <w:pPr>
              <w:widowControl/>
              <w:spacing w:line="240" w:lineRule="exact"/>
              <w:jc w:val="center"/>
              <w:rPr>
                <w:rFonts w:hint="eastAsia" w:ascii="仿宋_GB2312" w:hAnsi="仿宋_GB2312" w:eastAsia="仿宋_GB2312" w:cs="仿宋_GB2312"/>
                <w:b/>
                <w:color w:val="000000"/>
                <w:sz w:val="21"/>
                <w:szCs w:val="21"/>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11B1B8">
            <w:pPr>
              <w:widowControl/>
              <w:spacing w:line="24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D0B8B1D">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资金拨付</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84AA52A">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028CA8D">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项目是否达到预先确定的资金拨付进度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7B96219">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4B1192C">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0482F269">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E2BB19">
            <w:pPr>
              <w:widowControl/>
              <w:spacing w:line="240" w:lineRule="exact"/>
              <w:jc w:val="center"/>
              <w:rPr>
                <w:rFonts w:hint="eastAsia" w:ascii="仿宋_GB2312" w:hAnsi="仿宋_GB2312" w:eastAsia="仿宋_GB2312" w:cs="仿宋_GB2312"/>
                <w:b/>
                <w:color w:val="000000"/>
                <w:sz w:val="21"/>
                <w:szCs w:val="21"/>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2CC3F9">
            <w:pPr>
              <w:widowControl/>
              <w:spacing w:line="240" w:lineRule="exact"/>
              <w:jc w:val="center"/>
              <w:rPr>
                <w:rFonts w:hint="eastAsia" w:ascii="仿宋_GB2312" w:hAnsi="仿宋_GB2312" w:eastAsia="仿宋_GB2312" w:cs="仿宋_GB2312"/>
                <w:b/>
                <w:color w:val="000000"/>
                <w:sz w:val="21"/>
                <w:szCs w:val="21"/>
              </w:rPr>
            </w:pP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14:paraId="610CFFFF">
            <w:pPr>
              <w:widowControl/>
              <w:spacing w:line="24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建成</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6377B8E">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项目验收</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10ADD05">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D5E557D">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项目验收是否及时合格</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36CE6DA">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0492343">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62A366DC">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0C89BD">
            <w:pPr>
              <w:widowControl/>
              <w:spacing w:line="240" w:lineRule="exact"/>
              <w:jc w:val="center"/>
              <w:rPr>
                <w:rFonts w:hint="eastAsia" w:ascii="仿宋_GB2312" w:hAnsi="仿宋_GB2312" w:eastAsia="仿宋_GB2312" w:cs="仿宋_GB2312"/>
                <w:b/>
                <w:color w:val="000000"/>
                <w:sz w:val="21"/>
                <w:szCs w:val="21"/>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2159DA">
            <w:pPr>
              <w:widowControl/>
              <w:spacing w:line="240" w:lineRule="exact"/>
              <w:jc w:val="center"/>
              <w:rPr>
                <w:rFonts w:hint="eastAsia" w:ascii="仿宋_GB2312" w:hAnsi="仿宋_GB2312" w:eastAsia="仿宋_GB2312" w:cs="仿宋_GB2312"/>
                <w:b/>
                <w:color w:val="000000"/>
                <w:sz w:val="21"/>
                <w:szCs w:val="21"/>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4D8E8F">
            <w:pPr>
              <w:widowControl/>
              <w:spacing w:line="24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BF5FE1A">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功能实现</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B023954">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7E3C277">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项目经济社会功能是否实现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20C50F1">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FC4BEB9">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596CD301">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CC35A8">
            <w:pPr>
              <w:widowControl/>
              <w:spacing w:line="240" w:lineRule="exact"/>
              <w:jc w:val="center"/>
              <w:rPr>
                <w:rFonts w:hint="eastAsia" w:ascii="仿宋_GB2312" w:hAnsi="仿宋_GB2312" w:eastAsia="仿宋_GB2312" w:cs="仿宋_GB2312"/>
                <w:b/>
                <w:color w:val="000000"/>
                <w:sz w:val="21"/>
                <w:szCs w:val="21"/>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720500">
            <w:pPr>
              <w:widowControl/>
              <w:spacing w:line="240" w:lineRule="exact"/>
              <w:jc w:val="center"/>
              <w:rPr>
                <w:rFonts w:hint="eastAsia" w:ascii="仿宋_GB2312" w:hAnsi="仿宋_GB2312" w:eastAsia="仿宋_GB2312" w:cs="仿宋_GB2312"/>
                <w:b/>
                <w:color w:val="000000"/>
                <w:sz w:val="21"/>
                <w:szCs w:val="21"/>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CA6F7B">
            <w:pPr>
              <w:widowControl/>
              <w:spacing w:line="24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B91AA8B">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后续管护</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068AC9F">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6FFB166">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项目后续维护是否实现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56F368A">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DCB6FEB">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04045AE0">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670E426E">
            <w:pPr>
              <w:widowControl/>
              <w:spacing w:line="24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专用指标</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0851323">
            <w:pPr>
              <w:widowControl/>
              <w:spacing w:line="24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行政运转</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（30分）</w:t>
            </w:r>
          </w:p>
        </w:tc>
        <w:tc>
          <w:tcPr>
            <w:tcW w:w="1355" w:type="dxa"/>
            <w:tcBorders>
              <w:top w:val="nil"/>
              <w:left w:val="single" w:color="000000" w:sz="4" w:space="0"/>
              <w:bottom w:val="single" w:color="000000" w:sz="4" w:space="0"/>
              <w:right w:val="single" w:color="000000" w:sz="4" w:space="0"/>
            </w:tcBorders>
            <w:noWrap w:val="0"/>
            <w:vAlign w:val="center"/>
          </w:tcPr>
          <w:p w14:paraId="4D77284E">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用途合规性</w:t>
            </w:r>
          </w:p>
        </w:tc>
        <w:tc>
          <w:tcPr>
            <w:tcW w:w="696" w:type="dxa"/>
            <w:tcBorders>
              <w:top w:val="nil"/>
              <w:left w:val="single" w:color="000000" w:sz="4" w:space="0"/>
              <w:bottom w:val="single" w:color="000000" w:sz="4" w:space="0"/>
              <w:right w:val="single" w:color="000000" w:sz="4" w:space="0"/>
            </w:tcBorders>
            <w:noWrap w:val="0"/>
            <w:vAlign w:val="center"/>
          </w:tcPr>
          <w:p w14:paraId="18B0E258">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nil"/>
              <w:left w:val="single" w:color="000000" w:sz="4" w:space="0"/>
              <w:bottom w:val="single" w:color="000000" w:sz="4" w:space="0"/>
              <w:right w:val="single" w:color="000000" w:sz="4" w:space="0"/>
            </w:tcBorders>
            <w:noWrap w:val="0"/>
            <w:vAlign w:val="center"/>
          </w:tcPr>
          <w:p w14:paraId="1700227F">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是否按规定用途、适用范围进行本地区专项资金分配</w:t>
            </w:r>
          </w:p>
        </w:tc>
        <w:tc>
          <w:tcPr>
            <w:tcW w:w="732" w:type="dxa"/>
            <w:tcBorders>
              <w:top w:val="nil"/>
              <w:left w:val="single" w:color="000000" w:sz="4" w:space="0"/>
              <w:bottom w:val="single" w:color="000000" w:sz="4" w:space="0"/>
              <w:right w:val="single" w:color="000000" w:sz="4" w:space="0"/>
            </w:tcBorders>
            <w:noWrap w:val="0"/>
            <w:vAlign w:val="center"/>
          </w:tcPr>
          <w:p w14:paraId="7C9C619C">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nil"/>
              <w:left w:val="single" w:color="000000" w:sz="4" w:space="0"/>
              <w:bottom w:val="single" w:color="000000" w:sz="4" w:space="0"/>
              <w:right w:val="single" w:color="000000" w:sz="4" w:space="0"/>
            </w:tcBorders>
            <w:noWrap w:val="0"/>
            <w:vAlign w:val="center"/>
          </w:tcPr>
          <w:p w14:paraId="4A12B969">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6E72010B">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3CF2C5">
            <w:pPr>
              <w:widowControl/>
              <w:spacing w:line="24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A25FD7B">
            <w:pPr>
              <w:widowControl/>
              <w:spacing w:line="240" w:lineRule="exact"/>
              <w:jc w:val="center"/>
              <w:rPr>
                <w:rFonts w:hint="eastAsia" w:ascii="仿宋_GB2312" w:hAnsi="仿宋_GB2312" w:eastAsia="仿宋_GB2312" w:cs="仿宋_GB2312"/>
                <w:b/>
                <w:color w:val="000000"/>
                <w:sz w:val="21"/>
                <w:szCs w:val="21"/>
              </w:rPr>
            </w:pPr>
          </w:p>
        </w:tc>
        <w:tc>
          <w:tcPr>
            <w:tcW w:w="1355" w:type="dxa"/>
            <w:tcBorders>
              <w:top w:val="nil"/>
              <w:left w:val="single" w:color="000000" w:sz="4" w:space="0"/>
              <w:bottom w:val="single" w:color="000000" w:sz="4" w:space="0"/>
              <w:right w:val="single" w:color="000000" w:sz="4" w:space="0"/>
            </w:tcBorders>
            <w:noWrap w:val="0"/>
            <w:vAlign w:val="center"/>
          </w:tcPr>
          <w:p w14:paraId="4B907EBB">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程序合规性</w:t>
            </w:r>
          </w:p>
        </w:tc>
        <w:tc>
          <w:tcPr>
            <w:tcW w:w="696" w:type="dxa"/>
            <w:tcBorders>
              <w:top w:val="nil"/>
              <w:left w:val="single" w:color="000000" w:sz="4" w:space="0"/>
              <w:bottom w:val="single" w:color="000000" w:sz="4" w:space="0"/>
              <w:right w:val="single" w:color="000000" w:sz="4" w:space="0"/>
            </w:tcBorders>
            <w:noWrap w:val="0"/>
            <w:vAlign w:val="center"/>
          </w:tcPr>
          <w:p w14:paraId="5F4516D3">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75E6C59">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资金管理程序是否符合专项资金管理要求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495C81E">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32A71C0">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1BDBDED2">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3BA9B4">
            <w:pPr>
              <w:widowControl/>
              <w:spacing w:line="24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479CF31">
            <w:pPr>
              <w:widowControl/>
              <w:spacing w:line="240" w:lineRule="exact"/>
              <w:jc w:val="center"/>
              <w:rPr>
                <w:rFonts w:hint="eastAsia" w:ascii="仿宋_GB2312" w:hAnsi="仿宋_GB2312" w:eastAsia="仿宋_GB2312" w:cs="仿宋_GB2312"/>
                <w:b/>
                <w:color w:val="000000"/>
                <w:sz w:val="21"/>
                <w:szCs w:val="21"/>
              </w:rPr>
            </w:pPr>
          </w:p>
        </w:tc>
        <w:tc>
          <w:tcPr>
            <w:tcW w:w="1355" w:type="dxa"/>
            <w:tcBorders>
              <w:top w:val="nil"/>
              <w:left w:val="single" w:color="000000" w:sz="4" w:space="0"/>
              <w:bottom w:val="single" w:color="000000" w:sz="4" w:space="0"/>
              <w:right w:val="single" w:color="000000" w:sz="4" w:space="0"/>
            </w:tcBorders>
            <w:noWrap w:val="0"/>
            <w:vAlign w:val="center"/>
          </w:tcPr>
          <w:p w14:paraId="09E43ECA">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标准合规性</w:t>
            </w:r>
          </w:p>
        </w:tc>
        <w:tc>
          <w:tcPr>
            <w:tcW w:w="696" w:type="dxa"/>
            <w:tcBorders>
              <w:top w:val="nil"/>
              <w:left w:val="single" w:color="000000" w:sz="4" w:space="0"/>
              <w:bottom w:val="single" w:color="000000" w:sz="4" w:space="0"/>
              <w:right w:val="single" w:color="000000" w:sz="4" w:space="0"/>
            </w:tcBorders>
            <w:noWrap w:val="0"/>
            <w:vAlign w:val="center"/>
          </w:tcPr>
          <w:p w14:paraId="7311ED23">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59FCC41">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资金分配标准是否符合专项资金管理要求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7AF4251">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0D6482C">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4D19847C">
        <w:tblPrEx>
          <w:tblCellMar>
            <w:top w:w="0" w:type="dxa"/>
            <w:left w:w="108" w:type="dxa"/>
            <w:bottom w:w="0" w:type="dxa"/>
            <w:right w:w="108" w:type="dxa"/>
          </w:tblCellMar>
        </w:tblPrEx>
        <w:trPr>
          <w:trHeight w:val="23" w:hRule="atLeast"/>
          <w:jc w:val="center"/>
        </w:trPr>
        <w:tc>
          <w:tcPr>
            <w:tcW w:w="2310"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70D2C834">
            <w:pPr>
              <w:widowControl/>
              <w:spacing w:line="24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个性指标</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（16分）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6E4B89A">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604638D">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14:paraId="3FA8ED99">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根据项目个性自行设定部分指标，反映该项指标执行完成情况。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8B6DD8E">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67C1D3A">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1F599BCE">
        <w:tblPrEx>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4259F387">
            <w:pPr>
              <w:widowControl/>
              <w:spacing w:line="24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D80806C">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3018CED">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14F343">
            <w:pPr>
              <w:widowControl/>
              <w:spacing w:line="240" w:lineRule="exact"/>
              <w:jc w:val="left"/>
              <w:rPr>
                <w:rFonts w:hint="eastAsia" w:ascii="仿宋_GB2312" w:hAnsi="仿宋_GB2312" w:eastAsia="仿宋_GB2312" w:cs="仿宋_GB2312"/>
                <w:color w:val="000000"/>
                <w:sz w:val="21"/>
                <w:szCs w:val="21"/>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49E0F50">
            <w:pPr>
              <w:widowControl/>
              <w:spacing w:line="240" w:lineRule="exact"/>
              <w:jc w:val="left"/>
              <w:rPr>
                <w:rFonts w:hint="eastAsia" w:ascii="仿宋_GB2312" w:hAnsi="仿宋_GB2312" w:eastAsia="仿宋_GB2312" w:cs="仿宋_GB2312"/>
                <w:color w:val="000000"/>
                <w:sz w:val="21"/>
                <w:szCs w:val="21"/>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E4772DA">
            <w:pPr>
              <w:widowControl/>
              <w:spacing w:line="240" w:lineRule="exact"/>
              <w:jc w:val="left"/>
              <w:rPr>
                <w:rFonts w:hint="eastAsia" w:ascii="仿宋_GB2312" w:hAnsi="仿宋_GB2312" w:eastAsia="仿宋_GB2312" w:cs="仿宋_GB2312"/>
                <w:color w:val="000000"/>
                <w:sz w:val="21"/>
                <w:szCs w:val="21"/>
              </w:rPr>
            </w:pPr>
          </w:p>
        </w:tc>
      </w:tr>
      <w:tr w14:paraId="2956AB30">
        <w:tblPrEx>
          <w:tblCellMar>
            <w:top w:w="0" w:type="dxa"/>
            <w:left w:w="108" w:type="dxa"/>
            <w:bottom w:w="0" w:type="dxa"/>
            <w:right w:w="108" w:type="dxa"/>
          </w:tblCellMar>
        </w:tblPrEx>
        <w:trPr>
          <w:trHeight w:val="373"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14:paraId="511125BA">
            <w:pPr>
              <w:widowControl/>
              <w:spacing w:line="24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扣分项</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（10分）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AA41534">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被评价</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部门配合度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C88A1F9">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9F88811">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被评价对象工作配合情况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6BE53D7">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CBBF6B5">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7EA81A20">
        <w:tblPrEx>
          <w:tblCellMar>
            <w:top w:w="0" w:type="dxa"/>
            <w:left w:w="108" w:type="dxa"/>
            <w:bottom w:w="0" w:type="dxa"/>
            <w:right w:w="108" w:type="dxa"/>
          </w:tblCellMar>
        </w:tblPrEx>
        <w:trPr>
          <w:trHeight w:val="23"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14:paraId="4A0C216A">
            <w:pPr>
              <w:widowControl/>
              <w:spacing w:line="240" w:lineRule="exact"/>
              <w:jc w:val="center"/>
              <w:textAlignment w:val="center"/>
              <w:rPr>
                <w:rFonts w:hint="eastAsia" w:ascii="仿宋_GB2312" w:hAnsi="仿宋_GB2312" w:eastAsia="仿宋_GB2312" w:cs="仿宋_GB2312"/>
                <w:b/>
                <w:color w:val="000000"/>
                <w:kern w:val="0"/>
                <w:sz w:val="21"/>
                <w:szCs w:val="21"/>
                <w:lang w:eastAsia="zh-CN" w:bidi="ar"/>
              </w:rPr>
            </w:pPr>
            <w:r>
              <w:rPr>
                <w:rFonts w:hint="eastAsia" w:ascii="仿宋_GB2312" w:hAnsi="仿宋_GB2312" w:eastAsia="仿宋_GB2312" w:cs="仿宋_GB2312"/>
                <w:b/>
                <w:color w:val="000000"/>
                <w:kern w:val="0"/>
                <w:sz w:val="21"/>
                <w:szCs w:val="21"/>
                <w:lang w:eastAsia="zh-CN" w:bidi="ar"/>
              </w:rPr>
              <w:t>总分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8B431F3">
            <w:pPr>
              <w:widowControl/>
              <w:spacing w:line="240" w:lineRule="exact"/>
              <w:jc w:val="center"/>
              <w:textAlignment w:val="center"/>
              <w:rPr>
                <w:rFonts w:hint="eastAsia" w:ascii="仿宋_GB2312" w:hAnsi="仿宋_GB2312" w:eastAsia="仿宋_GB2312" w:cs="仿宋_GB2312"/>
                <w:color w:val="000000"/>
                <w:kern w:val="0"/>
                <w:sz w:val="21"/>
                <w:szCs w:val="21"/>
                <w:lang w:bidi="ar"/>
              </w:rPr>
            </w:pP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DFC8687">
            <w:pPr>
              <w:widowControl/>
              <w:spacing w:line="240" w:lineRule="exact"/>
              <w:jc w:val="center"/>
              <w:textAlignment w:val="center"/>
              <w:rPr>
                <w:rFonts w:hint="eastAsia" w:ascii="仿宋_GB2312" w:hAnsi="仿宋_GB2312" w:eastAsia="仿宋_GB2312" w:cs="仿宋_GB2312"/>
                <w:color w:val="000000"/>
                <w:kern w:val="0"/>
                <w:sz w:val="21"/>
                <w:szCs w:val="21"/>
                <w:lang w:bidi="ar"/>
              </w:rPr>
            </w:pP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2912602">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6B0E505">
            <w:pPr>
              <w:widowControl/>
              <w:spacing w:line="240" w:lineRule="exact"/>
              <w:ind w:firstLine="260" w:firstLineChars="0"/>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95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04B4F6E">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bl>
    <w:p w14:paraId="1F0D3D23">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仿宋_GB2312" w:hAnsi="仿宋_GB2312" w:eastAsia="仿宋_GB2312" w:cs="仿宋_GB2312"/>
          <w:b w:val="0"/>
          <w:bCs w:val="0"/>
          <w:kern w:val="0"/>
          <w:position w:val="0"/>
          <w:sz w:val="32"/>
          <w:szCs w:val="32"/>
          <w:highlight w:val="none"/>
          <w:lang w:val="en-US" w:eastAsia="zh-CN" w:bidi="ar-SA"/>
        </w:rPr>
        <w:br w:type="page"/>
      </w:r>
    </w:p>
    <w:p w14:paraId="67B8F401">
      <w:pPr>
        <w:spacing w:line="578" w:lineRule="exact"/>
        <w:rPr>
          <w:rFonts w:hint="eastAsia" w:ascii="黑体" w:hAnsi="黑体" w:eastAsia="黑体" w:cs="黑体"/>
          <w:kern w:val="0"/>
          <w:sz w:val="32"/>
          <w:szCs w:val="32"/>
          <w:shd w:val="clear" w:color="auto" w:fill="FFFFFF"/>
        </w:rPr>
      </w:pPr>
      <w:r>
        <w:rPr>
          <w:rFonts w:hint="eastAsia" w:ascii="黑体" w:hAnsi="黑体" w:eastAsia="黑体" w:cs="黑体"/>
          <w:kern w:val="0"/>
          <w:sz w:val="32"/>
          <w:szCs w:val="32"/>
          <w:shd w:val="clear" w:color="auto" w:fill="FFFFFF"/>
          <w:lang w:val="zh-CN"/>
        </w:rPr>
        <w:t>附表</w:t>
      </w:r>
      <w:r>
        <w:rPr>
          <w:rFonts w:hint="eastAsia" w:ascii="黑体" w:hAnsi="黑体" w:eastAsia="黑体" w:cs="黑体"/>
          <w:kern w:val="0"/>
          <w:sz w:val="32"/>
          <w:szCs w:val="32"/>
          <w:shd w:val="clear" w:color="auto" w:fill="FFFFFF"/>
        </w:rPr>
        <w:t>2</w:t>
      </w:r>
    </w:p>
    <w:tbl>
      <w:tblPr>
        <w:tblStyle w:val="16"/>
        <w:tblW w:w="10233" w:type="dxa"/>
        <w:jc w:val="center"/>
        <w:tblLayout w:type="fixed"/>
        <w:tblCellMar>
          <w:top w:w="15" w:type="dxa"/>
          <w:left w:w="15" w:type="dxa"/>
          <w:bottom w:w="15" w:type="dxa"/>
          <w:right w:w="15" w:type="dxa"/>
        </w:tblCellMar>
      </w:tblPr>
      <w:tblGrid>
        <w:gridCol w:w="652"/>
        <w:gridCol w:w="1081"/>
        <w:gridCol w:w="1250"/>
        <w:gridCol w:w="1887"/>
        <w:gridCol w:w="552"/>
        <w:gridCol w:w="971"/>
        <w:gridCol w:w="1061"/>
        <w:gridCol w:w="938"/>
        <w:gridCol w:w="1841"/>
      </w:tblGrid>
      <w:tr w14:paraId="6ACE187B">
        <w:tblPrEx>
          <w:tblCellMar>
            <w:top w:w="15" w:type="dxa"/>
            <w:left w:w="15" w:type="dxa"/>
            <w:bottom w:w="15" w:type="dxa"/>
            <w:right w:w="15" w:type="dxa"/>
          </w:tblCellMar>
        </w:tblPrEx>
        <w:trPr>
          <w:trHeight w:val="680" w:hRule="atLeast"/>
          <w:jc w:val="center"/>
        </w:trPr>
        <w:tc>
          <w:tcPr>
            <w:tcW w:w="10233" w:type="dxa"/>
            <w:gridSpan w:val="9"/>
            <w:noWrap w:val="0"/>
            <w:vAlign w:val="center"/>
          </w:tcPr>
          <w:p w14:paraId="000E3656">
            <w:pPr>
              <w:widowControl/>
              <w:spacing w:line="600" w:lineRule="exact"/>
              <w:jc w:val="center"/>
              <w:textAlignment w:val="center"/>
              <w:rPr>
                <w:rFonts w:eastAsia="黑体"/>
                <w:color w:val="000000"/>
                <w:sz w:val="30"/>
                <w:szCs w:val="30"/>
              </w:rPr>
            </w:pPr>
            <w:r>
              <w:rPr>
                <w:rFonts w:eastAsia="方正小标宋简体"/>
                <w:color w:val="000000"/>
                <w:kern w:val="0"/>
                <w:sz w:val="40"/>
                <w:szCs w:val="40"/>
                <w:lang w:bidi="ar"/>
              </w:rPr>
              <w:t>专项预算项目绩效目标完成情况自评表</w:t>
            </w:r>
          </w:p>
        </w:tc>
      </w:tr>
      <w:tr w14:paraId="272F111F">
        <w:tblPrEx>
          <w:tblCellMar>
            <w:top w:w="15" w:type="dxa"/>
            <w:left w:w="15" w:type="dxa"/>
            <w:bottom w:w="15" w:type="dxa"/>
            <w:right w:w="15" w:type="dxa"/>
          </w:tblCellMar>
        </w:tblPrEx>
        <w:trPr>
          <w:trHeight w:val="536" w:hRule="atLeast"/>
          <w:jc w:val="center"/>
        </w:trPr>
        <w:tc>
          <w:tcPr>
            <w:tcW w:w="4870" w:type="dxa"/>
            <w:gridSpan w:val="4"/>
            <w:tcBorders>
              <w:top w:val="single" w:color="000000" w:sz="4" w:space="0"/>
              <w:left w:val="single" w:color="000000" w:sz="4" w:space="0"/>
              <w:bottom w:val="single" w:color="000000" w:sz="4" w:space="0"/>
              <w:right w:val="single" w:color="000000" w:sz="4" w:space="0"/>
            </w:tcBorders>
            <w:noWrap w:val="0"/>
            <w:vAlign w:val="center"/>
          </w:tcPr>
          <w:p w14:paraId="57EB3BA4">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项目名称</w:t>
            </w:r>
          </w:p>
        </w:tc>
        <w:tc>
          <w:tcPr>
            <w:tcW w:w="5363" w:type="dxa"/>
            <w:gridSpan w:val="5"/>
            <w:tcBorders>
              <w:top w:val="single" w:color="000000" w:sz="4" w:space="0"/>
              <w:left w:val="single" w:color="000000" w:sz="4" w:space="0"/>
              <w:bottom w:val="single" w:color="000000" w:sz="4" w:space="0"/>
              <w:right w:val="single" w:color="000000" w:sz="4" w:space="0"/>
            </w:tcBorders>
            <w:noWrap w:val="0"/>
            <w:vAlign w:val="center"/>
          </w:tcPr>
          <w:p w14:paraId="14DDB750">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eastAsia="zh-CN" w:bidi="ar"/>
              </w:rPr>
            </w:pPr>
            <w:r>
              <w:rPr>
                <w:rFonts w:hint="eastAsia" w:ascii="仿宋_GB2312" w:hAnsi="仿宋_GB2312" w:eastAsia="仿宋_GB2312" w:cs="仿宋_GB2312"/>
                <w:color w:val="000000"/>
                <w:kern w:val="0"/>
                <w:sz w:val="18"/>
                <w:szCs w:val="18"/>
                <w:lang w:val="en-US" w:eastAsia="zh-CN" w:bidi="ar"/>
              </w:rPr>
              <w:t>茂县沟口镇基层政权建设补助资金—办公楼及宿舍楼安全维修</w:t>
            </w:r>
          </w:p>
        </w:tc>
      </w:tr>
      <w:tr w14:paraId="7A7BEC87">
        <w:tblPrEx>
          <w:tblCellMar>
            <w:top w:w="15" w:type="dxa"/>
            <w:left w:w="15" w:type="dxa"/>
            <w:bottom w:w="15" w:type="dxa"/>
            <w:right w:w="15" w:type="dxa"/>
          </w:tblCellMar>
        </w:tblPrEx>
        <w:trPr>
          <w:trHeight w:val="458" w:hRule="atLeast"/>
          <w:jc w:val="center"/>
        </w:trPr>
        <w:tc>
          <w:tcPr>
            <w:tcW w:w="4870" w:type="dxa"/>
            <w:gridSpan w:val="4"/>
            <w:tcBorders>
              <w:top w:val="single" w:color="000000" w:sz="4" w:space="0"/>
              <w:left w:val="single" w:color="000000" w:sz="4" w:space="0"/>
              <w:bottom w:val="single" w:color="000000" w:sz="4" w:space="0"/>
              <w:right w:val="single" w:color="000000" w:sz="4" w:space="0"/>
            </w:tcBorders>
            <w:noWrap w:val="0"/>
            <w:vAlign w:val="center"/>
          </w:tcPr>
          <w:p w14:paraId="065F80AE">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预算单位</w:t>
            </w:r>
          </w:p>
        </w:tc>
        <w:tc>
          <w:tcPr>
            <w:tcW w:w="5363" w:type="dxa"/>
            <w:gridSpan w:val="5"/>
            <w:tcBorders>
              <w:top w:val="single" w:color="000000" w:sz="4" w:space="0"/>
              <w:left w:val="single" w:color="000000" w:sz="4" w:space="0"/>
              <w:bottom w:val="single" w:color="000000" w:sz="4" w:space="0"/>
              <w:right w:val="single" w:color="000000" w:sz="4" w:space="0"/>
            </w:tcBorders>
            <w:noWrap w:val="0"/>
            <w:vAlign w:val="center"/>
          </w:tcPr>
          <w:p w14:paraId="23C55D52">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eastAsia="zh-CN" w:bidi="ar"/>
              </w:rPr>
              <w:t>茂县沟口镇人民政府</w:t>
            </w:r>
          </w:p>
        </w:tc>
      </w:tr>
      <w:tr w14:paraId="43344DA3">
        <w:tblPrEx>
          <w:tblCellMar>
            <w:top w:w="15" w:type="dxa"/>
            <w:left w:w="15" w:type="dxa"/>
            <w:bottom w:w="15" w:type="dxa"/>
            <w:right w:w="15" w:type="dxa"/>
          </w:tblCellMar>
        </w:tblPrEx>
        <w:trPr>
          <w:trHeight w:val="23" w:hRule="atLeast"/>
          <w:jc w:val="center"/>
        </w:trPr>
        <w:tc>
          <w:tcPr>
            <w:tcW w:w="4870" w:type="dxa"/>
            <w:gridSpan w:val="4"/>
            <w:tcBorders>
              <w:top w:val="single" w:color="000000" w:sz="4" w:space="0"/>
              <w:left w:val="single" w:color="000000" w:sz="4" w:space="0"/>
              <w:bottom w:val="single" w:color="000000" w:sz="4" w:space="0"/>
              <w:right w:val="single" w:color="000000" w:sz="4" w:space="0"/>
            </w:tcBorders>
            <w:noWrap w:val="0"/>
            <w:vAlign w:val="center"/>
          </w:tcPr>
          <w:p w14:paraId="353E064C">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项目类型</w:t>
            </w:r>
          </w:p>
        </w:tc>
        <w:tc>
          <w:tcPr>
            <w:tcW w:w="5363" w:type="dxa"/>
            <w:gridSpan w:val="5"/>
            <w:tcBorders>
              <w:top w:val="single" w:color="000000" w:sz="4" w:space="0"/>
              <w:left w:val="single" w:color="000000" w:sz="4" w:space="0"/>
              <w:bottom w:val="single" w:color="000000" w:sz="4" w:space="0"/>
              <w:right w:val="single" w:color="000000" w:sz="4" w:space="0"/>
            </w:tcBorders>
            <w:noWrap w:val="0"/>
            <w:vAlign w:val="center"/>
          </w:tcPr>
          <w:p w14:paraId="0F02D01E">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p>
        </w:tc>
      </w:tr>
      <w:tr w14:paraId="5AC86827">
        <w:tblPrEx>
          <w:tblCellMar>
            <w:top w:w="15" w:type="dxa"/>
            <w:left w:w="15" w:type="dxa"/>
            <w:bottom w:w="15" w:type="dxa"/>
            <w:right w:w="15" w:type="dxa"/>
          </w:tblCellMar>
        </w:tblPrEx>
        <w:trPr>
          <w:trHeight w:val="727"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02BAAF83">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项目 概况</w:t>
            </w:r>
          </w:p>
        </w:tc>
        <w:tc>
          <w:tcPr>
            <w:tcW w:w="4218" w:type="dxa"/>
            <w:gridSpan w:val="3"/>
            <w:tcBorders>
              <w:top w:val="single" w:color="000000" w:sz="4" w:space="0"/>
              <w:left w:val="single" w:color="000000" w:sz="4" w:space="0"/>
              <w:bottom w:val="single" w:color="000000" w:sz="4" w:space="0"/>
              <w:right w:val="single" w:color="000000" w:sz="4" w:space="0"/>
            </w:tcBorders>
            <w:noWrap w:val="0"/>
            <w:vAlign w:val="center"/>
          </w:tcPr>
          <w:p w14:paraId="6F7F1AB0">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中长期规划（名称、文号，仅指</w:t>
            </w:r>
          </w:p>
          <w:p w14:paraId="32BC84D5">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常年项目）</w:t>
            </w:r>
          </w:p>
        </w:tc>
        <w:tc>
          <w:tcPr>
            <w:tcW w:w="5363" w:type="dxa"/>
            <w:gridSpan w:val="5"/>
            <w:tcBorders>
              <w:top w:val="single" w:color="000000" w:sz="4" w:space="0"/>
              <w:left w:val="single" w:color="000000" w:sz="4" w:space="0"/>
              <w:bottom w:val="single" w:color="000000" w:sz="4" w:space="0"/>
              <w:right w:val="single" w:color="000000" w:sz="4" w:space="0"/>
            </w:tcBorders>
            <w:noWrap w:val="0"/>
            <w:vAlign w:val="center"/>
          </w:tcPr>
          <w:p w14:paraId="3ECCB41C">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p>
        </w:tc>
      </w:tr>
      <w:tr w14:paraId="68B952A1">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0637CC">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p>
        </w:tc>
        <w:tc>
          <w:tcPr>
            <w:tcW w:w="4218" w:type="dxa"/>
            <w:gridSpan w:val="3"/>
            <w:tcBorders>
              <w:top w:val="single" w:color="000000" w:sz="4" w:space="0"/>
              <w:left w:val="single" w:color="000000" w:sz="4" w:space="0"/>
              <w:bottom w:val="single" w:color="000000" w:sz="4" w:space="0"/>
              <w:right w:val="single" w:color="000000" w:sz="4" w:space="0"/>
            </w:tcBorders>
            <w:noWrap w:val="0"/>
            <w:vAlign w:val="center"/>
          </w:tcPr>
          <w:p w14:paraId="3D862C96">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资金管理办法（名称、文号）</w:t>
            </w:r>
          </w:p>
        </w:tc>
        <w:tc>
          <w:tcPr>
            <w:tcW w:w="5363" w:type="dxa"/>
            <w:gridSpan w:val="5"/>
            <w:tcBorders>
              <w:top w:val="single" w:color="000000" w:sz="4" w:space="0"/>
              <w:left w:val="single" w:color="000000" w:sz="4" w:space="0"/>
              <w:bottom w:val="single" w:color="000000" w:sz="4" w:space="0"/>
              <w:right w:val="single" w:color="000000" w:sz="4" w:space="0"/>
            </w:tcBorders>
            <w:noWrap w:val="0"/>
            <w:vAlign w:val="center"/>
          </w:tcPr>
          <w:p w14:paraId="6219F22C">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val="en-US" w:eastAsia="zh-CN" w:bidi="ar"/>
              </w:rPr>
            </w:pPr>
            <w:r>
              <w:rPr>
                <w:rFonts w:hint="eastAsia" w:ascii="仿宋_GB2312" w:hAnsi="仿宋_GB2312" w:eastAsia="仿宋_GB2312" w:cs="仿宋_GB2312"/>
                <w:color w:val="000000"/>
                <w:kern w:val="0"/>
                <w:sz w:val="18"/>
                <w:szCs w:val="18"/>
                <w:lang w:val="en-US" w:eastAsia="zh-CN" w:bidi="ar"/>
              </w:rPr>
              <w:t>茂财预</w:t>
            </w:r>
            <w:r>
              <w:rPr>
                <w:rFonts w:hint="eastAsia" w:ascii="仿宋_GB2312" w:hAnsi="宋体" w:eastAsia="仿宋_GB2312" w:cs="Times New Roman"/>
                <w:color w:val="auto"/>
                <w:kern w:val="2"/>
                <w:sz w:val="32"/>
                <w:szCs w:val="32"/>
                <w:lang w:val="en-US" w:eastAsia="zh-CN"/>
              </w:rPr>
              <w:t>〔</w:t>
            </w:r>
            <w:r>
              <w:rPr>
                <w:rFonts w:hint="eastAsia" w:ascii="仿宋_GB2312" w:hAnsi="仿宋_GB2312" w:eastAsia="仿宋_GB2312" w:cs="仿宋_GB2312"/>
                <w:color w:val="000000"/>
                <w:kern w:val="0"/>
                <w:sz w:val="18"/>
                <w:szCs w:val="18"/>
                <w:lang w:val="en-US" w:eastAsia="zh-CN" w:bidi="ar"/>
              </w:rPr>
              <w:t>2024〕</w:t>
            </w:r>
            <w:r>
              <w:rPr>
                <w:rFonts w:hint="eastAsia" w:ascii="仿宋_GB2312" w:hAnsi="仿宋_GB2312" w:eastAsia="仿宋_GB2312" w:cs="仿宋_GB2312"/>
                <w:color w:val="000000"/>
                <w:kern w:val="0"/>
                <w:sz w:val="18"/>
                <w:szCs w:val="18"/>
                <w:lang w:val="en-US" w:eastAsia="zh-CN" w:bidi="ar"/>
              </w:rPr>
              <w:t>45号</w:t>
            </w:r>
          </w:p>
        </w:tc>
      </w:tr>
      <w:tr w14:paraId="78BC9C01">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CB4346">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p>
        </w:tc>
        <w:tc>
          <w:tcPr>
            <w:tcW w:w="4218" w:type="dxa"/>
            <w:gridSpan w:val="3"/>
            <w:tcBorders>
              <w:top w:val="single" w:color="000000" w:sz="4" w:space="0"/>
              <w:left w:val="single" w:color="000000" w:sz="4" w:space="0"/>
              <w:bottom w:val="single" w:color="000000" w:sz="4" w:space="0"/>
              <w:right w:val="single" w:color="000000" w:sz="4" w:space="0"/>
            </w:tcBorders>
            <w:noWrap w:val="0"/>
            <w:vAlign w:val="center"/>
          </w:tcPr>
          <w:p w14:paraId="7ABA7F9D">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绩效分配方式</w:t>
            </w:r>
          </w:p>
        </w:tc>
        <w:tc>
          <w:tcPr>
            <w:tcW w:w="552" w:type="dxa"/>
            <w:tcBorders>
              <w:top w:val="single" w:color="000000" w:sz="4" w:space="0"/>
              <w:left w:val="single" w:color="000000" w:sz="4" w:space="0"/>
              <w:bottom w:val="single" w:color="000000" w:sz="4" w:space="0"/>
              <w:right w:val="single" w:color="000000" w:sz="4" w:space="0"/>
            </w:tcBorders>
            <w:noWrap w:val="0"/>
            <w:vAlign w:val="center"/>
          </w:tcPr>
          <w:p w14:paraId="711BF251">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£因素法</w:t>
            </w:r>
          </w:p>
        </w:tc>
        <w:tc>
          <w:tcPr>
            <w:tcW w:w="2032" w:type="dxa"/>
            <w:gridSpan w:val="2"/>
            <w:tcBorders>
              <w:top w:val="single" w:color="000000" w:sz="4" w:space="0"/>
              <w:left w:val="single" w:color="000000" w:sz="4" w:space="0"/>
              <w:bottom w:val="single" w:color="000000" w:sz="4" w:space="0"/>
              <w:right w:val="single" w:color="000000" w:sz="4" w:space="0"/>
            </w:tcBorders>
            <w:noWrap w:val="0"/>
            <w:vAlign w:val="center"/>
          </w:tcPr>
          <w:p w14:paraId="2B0BAC9E">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£项目法</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403AC542">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£据实据效</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1471E782">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£因素法与项目法相结合</w:t>
            </w:r>
          </w:p>
        </w:tc>
      </w:tr>
      <w:tr w14:paraId="290D912B">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951165">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p>
        </w:tc>
        <w:tc>
          <w:tcPr>
            <w:tcW w:w="4218" w:type="dxa"/>
            <w:gridSpan w:val="3"/>
            <w:tcBorders>
              <w:top w:val="single" w:color="000000" w:sz="4" w:space="0"/>
              <w:left w:val="single" w:color="000000" w:sz="4" w:space="0"/>
              <w:bottom w:val="single" w:color="000000" w:sz="4" w:space="0"/>
              <w:right w:val="single" w:color="000000" w:sz="4" w:space="0"/>
            </w:tcBorders>
            <w:noWrap w:val="0"/>
            <w:vAlign w:val="center"/>
          </w:tcPr>
          <w:p w14:paraId="723D2E9B">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立项依据</w:t>
            </w:r>
          </w:p>
        </w:tc>
        <w:tc>
          <w:tcPr>
            <w:tcW w:w="5363" w:type="dxa"/>
            <w:gridSpan w:val="5"/>
            <w:tcBorders>
              <w:top w:val="single" w:color="000000" w:sz="4" w:space="0"/>
              <w:left w:val="single" w:color="000000" w:sz="4" w:space="0"/>
              <w:bottom w:val="single" w:color="000000" w:sz="4" w:space="0"/>
              <w:right w:val="single" w:color="000000" w:sz="4" w:space="0"/>
            </w:tcBorders>
            <w:noWrap w:val="0"/>
            <w:vAlign w:val="center"/>
          </w:tcPr>
          <w:p w14:paraId="0CE05F9F">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p>
        </w:tc>
      </w:tr>
      <w:tr w14:paraId="0DAE0C1A">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D3BC1A">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p>
        </w:tc>
        <w:tc>
          <w:tcPr>
            <w:tcW w:w="4218" w:type="dxa"/>
            <w:gridSpan w:val="3"/>
            <w:tcBorders>
              <w:top w:val="single" w:color="000000" w:sz="4" w:space="0"/>
              <w:left w:val="single" w:color="000000" w:sz="4" w:space="0"/>
              <w:bottom w:val="single" w:color="000000" w:sz="4" w:space="0"/>
              <w:right w:val="single" w:color="000000" w:sz="4" w:space="0"/>
            </w:tcBorders>
            <w:noWrap w:val="0"/>
            <w:vAlign w:val="center"/>
          </w:tcPr>
          <w:p w14:paraId="66EAAAAA">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使用范围</w:t>
            </w:r>
          </w:p>
        </w:tc>
        <w:tc>
          <w:tcPr>
            <w:tcW w:w="5363" w:type="dxa"/>
            <w:gridSpan w:val="5"/>
            <w:tcBorders>
              <w:top w:val="single" w:color="000000" w:sz="4" w:space="0"/>
              <w:left w:val="single" w:color="000000" w:sz="4" w:space="0"/>
              <w:bottom w:val="single" w:color="000000" w:sz="4" w:space="0"/>
              <w:right w:val="single" w:color="000000" w:sz="4" w:space="0"/>
            </w:tcBorders>
            <w:noWrap w:val="0"/>
            <w:vAlign w:val="center"/>
          </w:tcPr>
          <w:p w14:paraId="5D9653D3">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p>
        </w:tc>
      </w:tr>
      <w:tr w14:paraId="1F99B302">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E21453">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p>
        </w:tc>
        <w:tc>
          <w:tcPr>
            <w:tcW w:w="4218" w:type="dxa"/>
            <w:gridSpan w:val="3"/>
            <w:tcBorders>
              <w:top w:val="single" w:color="000000" w:sz="4" w:space="0"/>
              <w:left w:val="single" w:color="000000" w:sz="4" w:space="0"/>
              <w:bottom w:val="single" w:color="000000" w:sz="4" w:space="0"/>
              <w:right w:val="single" w:color="000000" w:sz="4" w:space="0"/>
            </w:tcBorders>
            <w:noWrap w:val="0"/>
            <w:vAlign w:val="center"/>
          </w:tcPr>
          <w:p w14:paraId="55CEB69F">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申报（补助）条件</w:t>
            </w:r>
          </w:p>
        </w:tc>
        <w:tc>
          <w:tcPr>
            <w:tcW w:w="5363" w:type="dxa"/>
            <w:gridSpan w:val="5"/>
            <w:tcBorders>
              <w:top w:val="single" w:color="000000" w:sz="4" w:space="0"/>
              <w:left w:val="single" w:color="000000" w:sz="4" w:space="0"/>
              <w:bottom w:val="single" w:color="000000" w:sz="4" w:space="0"/>
              <w:right w:val="single" w:color="000000" w:sz="4" w:space="0"/>
            </w:tcBorders>
            <w:noWrap w:val="0"/>
            <w:vAlign w:val="center"/>
          </w:tcPr>
          <w:p w14:paraId="67164002">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p>
        </w:tc>
      </w:tr>
      <w:tr w14:paraId="441721D3">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1740F1">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p>
        </w:tc>
        <w:tc>
          <w:tcPr>
            <w:tcW w:w="4218" w:type="dxa"/>
            <w:gridSpan w:val="3"/>
            <w:tcBorders>
              <w:top w:val="single" w:color="000000" w:sz="4" w:space="0"/>
              <w:left w:val="single" w:color="000000" w:sz="4" w:space="0"/>
              <w:bottom w:val="single" w:color="000000" w:sz="4" w:space="0"/>
              <w:right w:val="single" w:color="000000" w:sz="4" w:space="0"/>
            </w:tcBorders>
            <w:noWrap w:val="0"/>
            <w:vAlign w:val="center"/>
          </w:tcPr>
          <w:p w14:paraId="1BE05D32">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项目起止年限</w:t>
            </w:r>
          </w:p>
        </w:tc>
        <w:tc>
          <w:tcPr>
            <w:tcW w:w="5363" w:type="dxa"/>
            <w:gridSpan w:val="5"/>
            <w:tcBorders>
              <w:top w:val="single" w:color="000000" w:sz="4" w:space="0"/>
              <w:left w:val="single" w:color="000000" w:sz="4" w:space="0"/>
              <w:bottom w:val="single" w:color="000000" w:sz="4" w:space="0"/>
              <w:right w:val="single" w:color="000000" w:sz="4" w:space="0"/>
            </w:tcBorders>
            <w:noWrap w:val="0"/>
            <w:vAlign w:val="center"/>
          </w:tcPr>
          <w:p w14:paraId="5D253042">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val="en-US" w:eastAsia="zh-CN" w:bidi="ar"/>
              </w:rPr>
              <w:t>2024年</w:t>
            </w:r>
          </w:p>
        </w:tc>
      </w:tr>
      <w:tr w14:paraId="4130C3D4">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504E98A">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项目资金</w:t>
            </w:r>
          </w:p>
          <w:p w14:paraId="19DE412E">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（万元）</w:t>
            </w:r>
          </w:p>
        </w:tc>
        <w:tc>
          <w:tcPr>
            <w:tcW w:w="3137" w:type="dxa"/>
            <w:gridSpan w:val="2"/>
            <w:tcBorders>
              <w:top w:val="single" w:color="000000" w:sz="4" w:space="0"/>
              <w:left w:val="single" w:color="000000" w:sz="4" w:space="0"/>
              <w:bottom w:val="single" w:color="000000" w:sz="4" w:space="0"/>
              <w:right w:val="single" w:color="000000" w:sz="4" w:space="0"/>
            </w:tcBorders>
            <w:noWrap w:val="0"/>
            <w:vAlign w:val="center"/>
          </w:tcPr>
          <w:p w14:paraId="372B47E1">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 xml:space="preserve">  年度资金总额：</w:t>
            </w:r>
          </w:p>
        </w:tc>
        <w:tc>
          <w:tcPr>
            <w:tcW w:w="5363" w:type="dxa"/>
            <w:gridSpan w:val="5"/>
            <w:tcBorders>
              <w:top w:val="single" w:color="000000" w:sz="4" w:space="0"/>
              <w:left w:val="single" w:color="000000" w:sz="4" w:space="0"/>
              <w:bottom w:val="single" w:color="000000" w:sz="4" w:space="0"/>
              <w:right w:val="single" w:color="000000" w:sz="4" w:space="0"/>
            </w:tcBorders>
            <w:noWrap w:val="0"/>
            <w:vAlign w:val="center"/>
          </w:tcPr>
          <w:p w14:paraId="6CF5DB8C">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p>
        </w:tc>
      </w:tr>
      <w:tr w14:paraId="66EA05B1">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50BA869">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p>
        </w:tc>
        <w:tc>
          <w:tcPr>
            <w:tcW w:w="3137" w:type="dxa"/>
            <w:gridSpan w:val="2"/>
            <w:tcBorders>
              <w:top w:val="single" w:color="000000" w:sz="4" w:space="0"/>
              <w:left w:val="single" w:color="000000" w:sz="4" w:space="0"/>
              <w:bottom w:val="single" w:color="000000" w:sz="4" w:space="0"/>
              <w:right w:val="single" w:color="000000" w:sz="4" w:space="0"/>
            </w:tcBorders>
            <w:noWrap w:val="0"/>
            <w:vAlign w:val="center"/>
          </w:tcPr>
          <w:p w14:paraId="68EE8759">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 xml:space="preserve">      其中：财政拨款</w:t>
            </w:r>
          </w:p>
        </w:tc>
        <w:tc>
          <w:tcPr>
            <w:tcW w:w="5363" w:type="dxa"/>
            <w:gridSpan w:val="5"/>
            <w:tcBorders>
              <w:top w:val="single" w:color="000000" w:sz="4" w:space="0"/>
              <w:left w:val="single" w:color="000000" w:sz="4" w:space="0"/>
              <w:bottom w:val="single" w:color="000000" w:sz="4" w:space="0"/>
              <w:right w:val="single" w:color="000000" w:sz="4" w:space="0"/>
            </w:tcBorders>
            <w:noWrap w:val="0"/>
            <w:vAlign w:val="center"/>
          </w:tcPr>
          <w:p w14:paraId="2C9FBF67">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val="en-US" w:eastAsia="zh-CN" w:bidi="ar"/>
              </w:rPr>
            </w:pPr>
            <w:r>
              <w:rPr>
                <w:rFonts w:hint="eastAsia" w:ascii="仿宋_GB2312" w:hAnsi="仿宋_GB2312" w:eastAsia="仿宋_GB2312" w:cs="仿宋_GB2312"/>
                <w:color w:val="000000"/>
                <w:kern w:val="0"/>
                <w:sz w:val="18"/>
                <w:szCs w:val="18"/>
                <w:lang w:eastAsia="zh-CN" w:bidi="ar"/>
              </w:rPr>
              <w:tab/>
            </w:r>
            <w:r>
              <w:rPr>
                <w:rFonts w:hint="eastAsia" w:ascii="仿宋_GB2312" w:hAnsi="仿宋_GB2312" w:eastAsia="仿宋_GB2312" w:cs="仿宋_GB2312"/>
                <w:color w:val="000000"/>
                <w:kern w:val="0"/>
                <w:sz w:val="18"/>
                <w:szCs w:val="18"/>
                <w:lang w:val="en-US" w:eastAsia="zh-CN" w:bidi="ar"/>
              </w:rPr>
              <w:t>100</w:t>
            </w:r>
            <w:r>
              <w:rPr>
                <w:rFonts w:hint="eastAsia" w:ascii="仿宋_GB2312" w:hAnsi="仿宋_GB2312" w:eastAsia="仿宋_GB2312" w:cs="仿宋_GB2312"/>
                <w:color w:val="000000"/>
                <w:kern w:val="0"/>
                <w:sz w:val="18"/>
                <w:szCs w:val="18"/>
                <w:lang w:eastAsia="zh-CN" w:bidi="ar"/>
              </w:rPr>
              <w:t>万元</w:t>
            </w:r>
          </w:p>
        </w:tc>
      </w:tr>
      <w:tr w14:paraId="224E5F3C">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73DAD88">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p>
        </w:tc>
        <w:tc>
          <w:tcPr>
            <w:tcW w:w="3137" w:type="dxa"/>
            <w:gridSpan w:val="2"/>
            <w:tcBorders>
              <w:top w:val="single" w:color="000000" w:sz="4" w:space="0"/>
              <w:left w:val="single" w:color="000000" w:sz="4" w:space="0"/>
              <w:bottom w:val="single" w:color="000000" w:sz="4" w:space="0"/>
              <w:right w:val="single" w:color="000000" w:sz="4" w:space="0"/>
            </w:tcBorders>
            <w:noWrap w:val="0"/>
            <w:vAlign w:val="center"/>
          </w:tcPr>
          <w:p w14:paraId="5FD29F76">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 xml:space="preserve">            其他资金</w:t>
            </w:r>
          </w:p>
        </w:tc>
        <w:tc>
          <w:tcPr>
            <w:tcW w:w="5363" w:type="dxa"/>
            <w:gridSpan w:val="5"/>
            <w:tcBorders>
              <w:top w:val="single" w:color="000000" w:sz="4" w:space="0"/>
              <w:left w:val="single" w:color="000000" w:sz="4" w:space="0"/>
              <w:bottom w:val="single" w:color="000000" w:sz="4" w:space="0"/>
              <w:right w:val="single" w:color="000000" w:sz="4" w:space="0"/>
            </w:tcBorders>
            <w:noWrap w:val="0"/>
            <w:vAlign w:val="center"/>
          </w:tcPr>
          <w:p w14:paraId="7C787CA2">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p>
        </w:tc>
      </w:tr>
      <w:tr w14:paraId="74A0352D">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57FA7C84">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总体 目标</w:t>
            </w: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60B8E0B1">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年度目标</w:t>
            </w:r>
          </w:p>
        </w:tc>
      </w:tr>
      <w:tr w14:paraId="7A906DB7">
        <w:tblPrEx>
          <w:tblCellMar>
            <w:top w:w="15" w:type="dxa"/>
            <w:left w:w="15" w:type="dxa"/>
            <w:bottom w:w="15" w:type="dxa"/>
            <w:right w:w="15" w:type="dxa"/>
          </w:tblCellMar>
        </w:tblPrEx>
        <w:trPr>
          <w:trHeight w:val="648"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D277FF">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25A12E7D">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eastAsia="zh-CN" w:bidi="ar"/>
              </w:rPr>
            </w:pPr>
            <w:r>
              <w:rPr>
                <w:rFonts w:hint="eastAsia" w:ascii="仿宋_GB2312" w:hAnsi="仿宋_GB2312" w:eastAsia="仿宋_GB2312" w:cs="仿宋_GB2312"/>
                <w:color w:val="000000"/>
                <w:kern w:val="0"/>
                <w:sz w:val="18"/>
                <w:szCs w:val="18"/>
                <w:lang w:bidi="ar"/>
              </w:rPr>
              <w:t>该项目消除安全隐患，更新办公设备，优化用房布局，满足办公服务需求。满足干部职工基本办公生活需求。为发展经济提供基础指挥平台，能为茂县社会经济带来更多正面影响。</w:t>
            </w:r>
          </w:p>
          <w:p w14:paraId="47DA50A9">
            <w:pPr>
              <w:keepNext w:val="0"/>
              <w:keepLines w:val="0"/>
              <w:pageBreakBefore w:val="0"/>
              <w:widowControl/>
              <w:kinsoku/>
              <w:wordWrap/>
              <w:overflowPunct/>
              <w:topLinePunct w:val="0"/>
              <w:autoSpaceDE/>
              <w:autoSpaceDN/>
              <w:bidi w:val="0"/>
              <w:adjustRightInd/>
              <w:snapToGrid/>
              <w:spacing w:line="220" w:lineRule="exact"/>
              <w:ind w:firstLine="360" w:firstLineChars="200"/>
              <w:jc w:val="left"/>
              <w:textAlignment w:val="center"/>
              <w:rPr>
                <w:rFonts w:hint="eastAsia" w:ascii="仿宋_GB2312" w:hAnsi="仿宋_GB2312" w:eastAsia="仿宋_GB2312" w:cs="仿宋_GB2312"/>
                <w:color w:val="000000"/>
                <w:kern w:val="0"/>
                <w:sz w:val="18"/>
                <w:szCs w:val="18"/>
                <w:lang w:bidi="ar"/>
              </w:rPr>
            </w:pPr>
          </w:p>
        </w:tc>
      </w:tr>
      <w:tr w14:paraId="47DA1FCF">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noWrap w:val="0"/>
            <w:vAlign w:val="center"/>
          </w:tcPr>
          <w:p w14:paraId="6EB5E108">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绩效 指标</w:t>
            </w:r>
          </w:p>
        </w:tc>
        <w:tc>
          <w:tcPr>
            <w:tcW w:w="1081" w:type="dxa"/>
            <w:tcBorders>
              <w:top w:val="single" w:color="000000" w:sz="4" w:space="0"/>
              <w:left w:val="single" w:color="000000" w:sz="4" w:space="0"/>
              <w:bottom w:val="single" w:color="000000" w:sz="4" w:space="0"/>
              <w:right w:val="single" w:color="000000" w:sz="4" w:space="0"/>
            </w:tcBorders>
            <w:noWrap w:val="0"/>
            <w:vAlign w:val="center"/>
          </w:tcPr>
          <w:p w14:paraId="40B15212">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一级指标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4860217E">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二级指标</w:t>
            </w:r>
          </w:p>
        </w:tc>
        <w:tc>
          <w:tcPr>
            <w:tcW w:w="1887" w:type="dxa"/>
            <w:tcBorders>
              <w:top w:val="single" w:color="000000" w:sz="4" w:space="0"/>
              <w:left w:val="single" w:color="000000" w:sz="4" w:space="0"/>
              <w:bottom w:val="single" w:color="000000" w:sz="4" w:space="0"/>
              <w:right w:val="single" w:color="000000" w:sz="4" w:space="0"/>
            </w:tcBorders>
            <w:noWrap w:val="0"/>
            <w:vAlign w:val="center"/>
          </w:tcPr>
          <w:p w14:paraId="21F5AC1E">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三级指标</w:t>
            </w:r>
          </w:p>
        </w:tc>
        <w:tc>
          <w:tcPr>
            <w:tcW w:w="552" w:type="dxa"/>
            <w:tcBorders>
              <w:top w:val="single" w:color="000000" w:sz="4" w:space="0"/>
              <w:left w:val="single" w:color="000000" w:sz="4" w:space="0"/>
              <w:bottom w:val="single" w:color="000000" w:sz="4" w:space="0"/>
              <w:right w:val="single" w:color="000000" w:sz="4" w:space="0"/>
            </w:tcBorders>
            <w:noWrap w:val="0"/>
            <w:vAlign w:val="center"/>
          </w:tcPr>
          <w:p w14:paraId="21A58954">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指标性质</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0EDC4842">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指标值</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3F6F840C">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度量单位</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35F1BABD">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权重</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170257B4">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实际完成指标值</w:t>
            </w:r>
          </w:p>
        </w:tc>
      </w:tr>
      <w:tr w14:paraId="654FDAB7">
        <w:tblPrEx>
          <w:tblCellMar>
            <w:top w:w="15" w:type="dxa"/>
            <w:left w:w="15" w:type="dxa"/>
            <w:bottom w:w="15" w:type="dxa"/>
            <w:right w:w="15" w:type="dxa"/>
          </w:tblCellMar>
        </w:tblPrEx>
        <w:trPr>
          <w:trHeight w:val="330"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7AC85ABE">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rPr>
            </w:pPr>
          </w:p>
        </w:tc>
        <w:tc>
          <w:tcPr>
            <w:tcW w:w="1081" w:type="dxa"/>
            <w:vMerge w:val="restart"/>
            <w:tcBorders>
              <w:top w:val="single" w:color="000000" w:sz="4" w:space="0"/>
              <w:left w:val="single" w:color="000000" w:sz="4" w:space="0"/>
              <w:bottom w:val="single" w:color="000000" w:sz="4" w:space="0"/>
              <w:right w:val="single" w:color="000000" w:sz="4" w:space="0"/>
            </w:tcBorders>
            <w:noWrap w:val="0"/>
            <w:vAlign w:val="center"/>
          </w:tcPr>
          <w:p w14:paraId="23ED2FF3">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产出指标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5BA62AD2">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数量指标</w:t>
            </w:r>
          </w:p>
        </w:tc>
        <w:tc>
          <w:tcPr>
            <w:tcW w:w="1887" w:type="dxa"/>
            <w:tcBorders>
              <w:top w:val="single" w:color="000000" w:sz="4" w:space="0"/>
              <w:left w:val="single" w:color="000000" w:sz="4" w:space="0"/>
              <w:bottom w:val="single" w:color="000000" w:sz="4" w:space="0"/>
              <w:right w:val="single" w:color="000000" w:sz="4" w:space="0"/>
            </w:tcBorders>
            <w:noWrap w:val="0"/>
            <w:vAlign w:val="center"/>
          </w:tcPr>
          <w:p w14:paraId="0A9653D2">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该项目数量（个数）</w:t>
            </w:r>
          </w:p>
        </w:tc>
        <w:tc>
          <w:tcPr>
            <w:tcW w:w="552" w:type="dxa"/>
            <w:tcBorders>
              <w:top w:val="single" w:color="000000" w:sz="4" w:space="0"/>
              <w:left w:val="single" w:color="000000" w:sz="4" w:space="0"/>
              <w:bottom w:val="single" w:color="000000" w:sz="4" w:space="0"/>
              <w:right w:val="single" w:color="000000" w:sz="4" w:space="0"/>
            </w:tcBorders>
            <w:noWrap w:val="0"/>
            <w:vAlign w:val="center"/>
          </w:tcPr>
          <w:p w14:paraId="03D1D2C7">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07DEDA3D">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3B6CB8C8">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eastAsia="zh-CN"/>
              </w:rPr>
              <w:t>个</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09A1FCD4">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517D6221">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r>
      <w:tr w14:paraId="558A4351">
        <w:tblPrEx>
          <w:tblCellMar>
            <w:top w:w="15" w:type="dxa"/>
            <w:left w:w="15" w:type="dxa"/>
            <w:bottom w:w="15" w:type="dxa"/>
            <w:right w:w="15" w:type="dxa"/>
          </w:tblCellMar>
        </w:tblPrEx>
        <w:trPr>
          <w:trHeight w:val="315"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0035EB60">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5C007D">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5BDBC66E">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质量指标</w:t>
            </w:r>
          </w:p>
        </w:tc>
        <w:tc>
          <w:tcPr>
            <w:tcW w:w="1887" w:type="dxa"/>
            <w:tcBorders>
              <w:top w:val="single" w:color="000000" w:sz="4" w:space="0"/>
              <w:left w:val="single" w:color="000000" w:sz="4" w:space="0"/>
              <w:bottom w:val="single" w:color="000000" w:sz="4" w:space="0"/>
              <w:right w:val="single" w:color="000000" w:sz="4" w:space="0"/>
            </w:tcBorders>
            <w:noWrap w:val="0"/>
            <w:vAlign w:val="center"/>
          </w:tcPr>
          <w:p w14:paraId="577D9B9B">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利于乡村党群事业发展</w:t>
            </w:r>
          </w:p>
        </w:tc>
        <w:tc>
          <w:tcPr>
            <w:tcW w:w="552" w:type="dxa"/>
            <w:tcBorders>
              <w:top w:val="single" w:color="000000" w:sz="4" w:space="0"/>
              <w:left w:val="single" w:color="000000" w:sz="4" w:space="0"/>
              <w:bottom w:val="single" w:color="000000" w:sz="4" w:space="0"/>
              <w:right w:val="single" w:color="000000" w:sz="4" w:space="0"/>
            </w:tcBorders>
            <w:noWrap w:val="0"/>
            <w:vAlign w:val="center"/>
          </w:tcPr>
          <w:p w14:paraId="4D618CDB">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78D0E047">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96</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7C5C0851">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0481497">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65614433">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r>
      <w:tr w14:paraId="36B2C6F2">
        <w:tblPrEx>
          <w:tblCellMar>
            <w:top w:w="15" w:type="dxa"/>
            <w:left w:w="15" w:type="dxa"/>
            <w:bottom w:w="15" w:type="dxa"/>
            <w:right w:w="15" w:type="dxa"/>
          </w:tblCellMar>
        </w:tblPrEx>
        <w:trPr>
          <w:trHeight w:val="510"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5A46D8AD">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6A5B4E">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37F4086B">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时效指标</w:t>
            </w:r>
          </w:p>
        </w:tc>
        <w:tc>
          <w:tcPr>
            <w:tcW w:w="1887" w:type="dxa"/>
            <w:tcBorders>
              <w:top w:val="single" w:color="000000" w:sz="4" w:space="0"/>
              <w:left w:val="single" w:color="000000" w:sz="4" w:space="0"/>
              <w:bottom w:val="single" w:color="000000" w:sz="4" w:space="0"/>
              <w:right w:val="single" w:color="000000" w:sz="4" w:space="0"/>
            </w:tcBorders>
            <w:noWrap w:val="0"/>
            <w:vAlign w:val="center"/>
          </w:tcPr>
          <w:p w14:paraId="08FFF100">
            <w:pPr>
              <w:keepNext w:val="0"/>
              <w:keepLines w:val="0"/>
              <w:pageBreakBefore w:val="0"/>
              <w:widowControl/>
              <w:kinsoku/>
              <w:wordWrap/>
              <w:overflowPunct/>
              <w:topLinePunct w:val="0"/>
              <w:autoSpaceDE/>
              <w:autoSpaceDN/>
              <w:bidi w:val="0"/>
              <w:adjustRightInd/>
              <w:snapToGrid/>
              <w:spacing w:line="220" w:lineRule="exact"/>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eastAsia="zh-CN"/>
              </w:rPr>
              <w:t>该项目完成按时率</w:t>
            </w:r>
          </w:p>
        </w:tc>
        <w:tc>
          <w:tcPr>
            <w:tcW w:w="552" w:type="dxa"/>
            <w:tcBorders>
              <w:top w:val="single" w:color="000000" w:sz="4" w:space="0"/>
              <w:left w:val="single" w:color="000000" w:sz="4" w:space="0"/>
              <w:bottom w:val="single" w:color="000000" w:sz="4" w:space="0"/>
              <w:right w:val="single" w:color="000000" w:sz="4" w:space="0"/>
            </w:tcBorders>
            <w:noWrap w:val="0"/>
            <w:vAlign w:val="center"/>
          </w:tcPr>
          <w:p w14:paraId="159B41E7">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0C3A050A">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98</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7174BE96">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3BA0C19F">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2FDAEA51">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r>
      <w:tr w14:paraId="19E84D77">
        <w:tblPrEx>
          <w:tblCellMar>
            <w:top w:w="15" w:type="dxa"/>
            <w:left w:w="15" w:type="dxa"/>
            <w:bottom w:w="15" w:type="dxa"/>
            <w:right w:w="15" w:type="dxa"/>
          </w:tblCellMar>
        </w:tblPrEx>
        <w:trPr>
          <w:trHeight w:val="1201"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67226D60">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rPr>
            </w:pPr>
          </w:p>
        </w:tc>
        <w:tc>
          <w:tcPr>
            <w:tcW w:w="1081" w:type="dxa"/>
            <w:vMerge w:val="restart"/>
            <w:tcBorders>
              <w:top w:val="single" w:color="000000" w:sz="4" w:space="0"/>
              <w:left w:val="single" w:color="000000" w:sz="4" w:space="0"/>
              <w:bottom w:val="single" w:color="000000" w:sz="4" w:space="0"/>
              <w:right w:val="single" w:color="000000" w:sz="4" w:space="0"/>
            </w:tcBorders>
            <w:noWrap w:val="0"/>
            <w:vAlign w:val="center"/>
          </w:tcPr>
          <w:p w14:paraId="51A412F3">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效益指标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2B36B8C8">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经济效益</w:t>
            </w:r>
          </w:p>
          <w:p w14:paraId="192CC66A">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指标</w:t>
            </w:r>
          </w:p>
        </w:tc>
        <w:tc>
          <w:tcPr>
            <w:tcW w:w="1887" w:type="dxa"/>
            <w:tcBorders>
              <w:top w:val="single" w:color="000000" w:sz="4" w:space="0"/>
              <w:left w:val="single" w:color="000000" w:sz="4" w:space="0"/>
              <w:bottom w:val="single" w:color="000000" w:sz="4" w:space="0"/>
              <w:right w:val="single" w:color="000000" w:sz="4" w:space="0"/>
            </w:tcBorders>
            <w:noWrap w:val="0"/>
            <w:vAlign w:val="center"/>
          </w:tcPr>
          <w:p w14:paraId="05898CC5">
            <w:pPr>
              <w:keepNext w:val="0"/>
              <w:keepLines w:val="0"/>
              <w:pageBreakBefore w:val="0"/>
              <w:widowControl/>
              <w:kinsoku/>
              <w:wordWrap/>
              <w:overflowPunct/>
              <w:topLinePunct w:val="0"/>
              <w:autoSpaceDE/>
              <w:autoSpaceDN/>
              <w:bidi w:val="0"/>
              <w:adjustRightInd/>
              <w:snapToGrid/>
              <w:spacing w:line="220" w:lineRule="exact"/>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eastAsia="zh-CN"/>
              </w:rPr>
              <w:t>为发展经济提供基础指挥平台，能为茂县社会经济带来更多正面影响。</w:t>
            </w:r>
          </w:p>
        </w:tc>
        <w:tc>
          <w:tcPr>
            <w:tcW w:w="552" w:type="dxa"/>
            <w:tcBorders>
              <w:top w:val="single" w:color="000000" w:sz="4" w:space="0"/>
              <w:left w:val="single" w:color="000000" w:sz="4" w:space="0"/>
              <w:bottom w:val="single" w:color="000000" w:sz="4" w:space="0"/>
              <w:right w:val="single" w:color="000000" w:sz="4" w:space="0"/>
            </w:tcBorders>
            <w:noWrap w:val="0"/>
            <w:vAlign w:val="center"/>
          </w:tcPr>
          <w:p w14:paraId="1AA7C294">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eastAsia="zh-CN"/>
              </w:rPr>
              <w:t>定性</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1143F87A">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eastAsia="zh-CN"/>
              </w:rPr>
              <w:t>进一步保障</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0D8B70CE">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15CF7719">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6528E292">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r>
      <w:tr w14:paraId="30812336">
        <w:tblPrEx>
          <w:tblCellMar>
            <w:top w:w="15" w:type="dxa"/>
            <w:left w:w="15" w:type="dxa"/>
            <w:bottom w:w="15" w:type="dxa"/>
            <w:right w:w="15" w:type="dxa"/>
          </w:tblCellMar>
        </w:tblPrEx>
        <w:trPr>
          <w:trHeight w:val="635"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0042FB76">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3B4AB1">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rPr>
            </w:pPr>
          </w:p>
        </w:tc>
        <w:tc>
          <w:tcPr>
            <w:tcW w:w="1250" w:type="dxa"/>
            <w:tcBorders>
              <w:top w:val="single" w:color="000000" w:sz="4" w:space="0"/>
              <w:left w:val="single" w:color="000000" w:sz="4" w:space="0"/>
              <w:right w:val="single" w:color="000000" w:sz="4" w:space="0"/>
            </w:tcBorders>
            <w:noWrap w:val="0"/>
            <w:vAlign w:val="center"/>
          </w:tcPr>
          <w:p w14:paraId="0531FE65">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社会效益</w:t>
            </w:r>
          </w:p>
          <w:p w14:paraId="104FA7FF">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指标</w:t>
            </w:r>
          </w:p>
        </w:tc>
        <w:tc>
          <w:tcPr>
            <w:tcW w:w="1887" w:type="dxa"/>
            <w:tcBorders>
              <w:top w:val="single" w:color="000000" w:sz="4" w:space="0"/>
              <w:left w:val="single" w:color="000000" w:sz="4" w:space="0"/>
              <w:bottom w:val="single" w:color="000000" w:sz="4" w:space="0"/>
              <w:right w:val="single" w:color="000000" w:sz="4" w:space="0"/>
            </w:tcBorders>
            <w:noWrap w:val="0"/>
            <w:vAlign w:val="center"/>
          </w:tcPr>
          <w:p w14:paraId="3408B133">
            <w:pPr>
              <w:keepNext w:val="0"/>
              <w:keepLines w:val="0"/>
              <w:pageBreakBefore w:val="0"/>
              <w:widowControl/>
              <w:kinsoku/>
              <w:wordWrap/>
              <w:overflowPunct/>
              <w:topLinePunct w:val="0"/>
              <w:autoSpaceDE/>
              <w:autoSpaceDN/>
              <w:bidi w:val="0"/>
              <w:adjustRightInd/>
              <w:snapToGrid/>
              <w:spacing w:line="220" w:lineRule="exac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提高群众生活水平</w:t>
            </w:r>
          </w:p>
        </w:tc>
        <w:tc>
          <w:tcPr>
            <w:tcW w:w="552" w:type="dxa"/>
            <w:tcBorders>
              <w:top w:val="single" w:color="000000" w:sz="4" w:space="0"/>
              <w:left w:val="single" w:color="000000" w:sz="4" w:space="0"/>
              <w:bottom w:val="single" w:color="000000" w:sz="4" w:space="0"/>
              <w:right w:val="single" w:color="000000" w:sz="4" w:space="0"/>
            </w:tcBorders>
            <w:noWrap w:val="0"/>
            <w:vAlign w:val="center"/>
          </w:tcPr>
          <w:p w14:paraId="1DD5100A">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eastAsia="zh-CN"/>
              </w:rPr>
              <w:t>定性</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58DE2A06">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eastAsia="zh-CN"/>
              </w:rPr>
              <w:t>进一步保障</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1DA76792">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376590EA">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03335943">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r>
      <w:tr w14:paraId="4D014FE4">
        <w:tblPrEx>
          <w:tblCellMar>
            <w:top w:w="15" w:type="dxa"/>
            <w:left w:w="15" w:type="dxa"/>
            <w:bottom w:w="15" w:type="dxa"/>
            <w:right w:w="15" w:type="dxa"/>
          </w:tblCellMar>
        </w:tblPrEx>
        <w:trPr>
          <w:trHeight w:val="815"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401A0D66">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rPr>
            </w:pPr>
          </w:p>
        </w:tc>
        <w:tc>
          <w:tcPr>
            <w:tcW w:w="1081" w:type="dxa"/>
            <w:tcBorders>
              <w:top w:val="single" w:color="000000" w:sz="4" w:space="0"/>
              <w:left w:val="single" w:color="000000" w:sz="4" w:space="0"/>
              <w:right w:val="single" w:color="000000" w:sz="4" w:space="0"/>
            </w:tcBorders>
            <w:noWrap w:val="0"/>
            <w:vAlign w:val="center"/>
          </w:tcPr>
          <w:p w14:paraId="5B43C3DB">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满意度</w:t>
            </w:r>
          </w:p>
          <w:p w14:paraId="178D1E42">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指标</w:t>
            </w:r>
          </w:p>
        </w:tc>
        <w:tc>
          <w:tcPr>
            <w:tcW w:w="1250" w:type="dxa"/>
            <w:tcBorders>
              <w:top w:val="single" w:color="000000" w:sz="4" w:space="0"/>
              <w:left w:val="single" w:color="000000" w:sz="4" w:space="0"/>
              <w:right w:val="single" w:color="000000" w:sz="4" w:space="0"/>
            </w:tcBorders>
            <w:noWrap w:val="0"/>
            <w:vAlign w:val="center"/>
          </w:tcPr>
          <w:p w14:paraId="5C98CD60">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服务对象</w:t>
            </w:r>
          </w:p>
          <w:p w14:paraId="32FD1856">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满意度指标</w:t>
            </w:r>
          </w:p>
        </w:tc>
        <w:tc>
          <w:tcPr>
            <w:tcW w:w="1887" w:type="dxa"/>
            <w:tcBorders>
              <w:top w:val="single" w:color="000000" w:sz="4" w:space="0"/>
              <w:left w:val="single" w:color="000000" w:sz="4" w:space="0"/>
              <w:bottom w:val="single" w:color="000000" w:sz="4" w:space="0"/>
              <w:right w:val="single" w:color="000000" w:sz="4" w:space="0"/>
            </w:tcBorders>
            <w:noWrap w:val="0"/>
            <w:vAlign w:val="center"/>
          </w:tcPr>
          <w:p w14:paraId="34A1367A">
            <w:pPr>
              <w:keepNext w:val="0"/>
              <w:keepLines w:val="0"/>
              <w:pageBreakBefore w:val="0"/>
              <w:widowControl/>
              <w:kinsoku/>
              <w:wordWrap/>
              <w:overflowPunct/>
              <w:topLinePunct w:val="0"/>
              <w:autoSpaceDE/>
              <w:autoSpaceDN/>
              <w:bidi w:val="0"/>
              <w:adjustRightInd/>
              <w:snapToGrid/>
              <w:spacing w:line="220" w:lineRule="exac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lang w:eastAsia="zh-CN"/>
              </w:rPr>
              <w:t>受益群众满意度</w:t>
            </w:r>
          </w:p>
        </w:tc>
        <w:tc>
          <w:tcPr>
            <w:tcW w:w="552" w:type="dxa"/>
            <w:tcBorders>
              <w:top w:val="single" w:color="000000" w:sz="4" w:space="0"/>
              <w:left w:val="single" w:color="000000" w:sz="4" w:space="0"/>
              <w:bottom w:val="single" w:color="000000" w:sz="4" w:space="0"/>
              <w:right w:val="single" w:color="000000" w:sz="4" w:space="0"/>
            </w:tcBorders>
            <w:noWrap w:val="0"/>
            <w:vAlign w:val="center"/>
          </w:tcPr>
          <w:p w14:paraId="7DFDD22D">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69354197">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98</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0E5FA3B2">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1BC0136D">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70C144EF">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r>
      <w:tr w14:paraId="4679DE1F">
        <w:tblPrEx>
          <w:tblCellMar>
            <w:top w:w="15" w:type="dxa"/>
            <w:left w:w="15" w:type="dxa"/>
            <w:bottom w:w="15" w:type="dxa"/>
            <w:right w:w="15" w:type="dxa"/>
          </w:tblCellMar>
        </w:tblPrEx>
        <w:trPr>
          <w:trHeight w:val="920"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1745BD1B">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rPr>
            </w:pPr>
          </w:p>
        </w:tc>
        <w:tc>
          <w:tcPr>
            <w:tcW w:w="1081" w:type="dxa"/>
            <w:tcBorders>
              <w:top w:val="single" w:color="000000" w:sz="4" w:space="0"/>
              <w:left w:val="single" w:color="000000" w:sz="4" w:space="0"/>
              <w:bottom w:val="single" w:color="000000" w:sz="4" w:space="0"/>
              <w:right w:val="single" w:color="000000" w:sz="4" w:space="0"/>
            </w:tcBorders>
            <w:noWrap w:val="0"/>
            <w:vAlign w:val="center"/>
          </w:tcPr>
          <w:p w14:paraId="2C02DDDB">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成本指标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4E1FD715">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经济成本</w:t>
            </w:r>
          </w:p>
          <w:p w14:paraId="6ECACBE2">
            <w:pPr>
              <w:keepNext w:val="0"/>
              <w:keepLines w:val="0"/>
              <w:pageBreakBefore w:val="0"/>
              <w:widowControl/>
              <w:kinsoku/>
              <w:wordWrap/>
              <w:overflowPunct/>
              <w:topLinePunct w:val="0"/>
              <w:autoSpaceDE/>
              <w:autoSpaceDN/>
              <w:bidi w:val="0"/>
              <w:adjustRightInd/>
              <w:snapToGrid/>
              <w:spacing w:line="22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指标</w:t>
            </w:r>
          </w:p>
        </w:tc>
        <w:tc>
          <w:tcPr>
            <w:tcW w:w="1887" w:type="dxa"/>
            <w:tcBorders>
              <w:top w:val="single" w:color="000000" w:sz="4" w:space="0"/>
              <w:bottom w:val="single" w:color="000000" w:sz="4" w:space="0"/>
              <w:right w:val="single" w:color="000000" w:sz="4" w:space="0"/>
            </w:tcBorders>
            <w:noWrap w:val="0"/>
            <w:vAlign w:val="center"/>
          </w:tcPr>
          <w:p w14:paraId="4FD061A3">
            <w:pPr>
              <w:keepNext w:val="0"/>
              <w:keepLines w:val="0"/>
              <w:pageBreakBefore w:val="0"/>
              <w:widowControl/>
              <w:kinsoku/>
              <w:wordWrap/>
              <w:overflowPunct/>
              <w:topLinePunct w:val="0"/>
              <w:autoSpaceDE/>
              <w:autoSpaceDN/>
              <w:bidi w:val="0"/>
              <w:adjustRightInd/>
              <w:snapToGrid/>
              <w:spacing w:line="220" w:lineRule="exact"/>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eastAsia="zh-CN"/>
              </w:rPr>
              <w:t>该项目成本控制范围</w:t>
            </w:r>
          </w:p>
        </w:tc>
        <w:tc>
          <w:tcPr>
            <w:tcW w:w="552" w:type="dxa"/>
            <w:tcBorders>
              <w:top w:val="single" w:color="000000" w:sz="4" w:space="0"/>
              <w:left w:val="single" w:color="000000" w:sz="4" w:space="0"/>
              <w:bottom w:val="single" w:color="000000" w:sz="4" w:space="0"/>
              <w:right w:val="single" w:color="000000" w:sz="4" w:space="0"/>
            </w:tcBorders>
            <w:noWrap w:val="0"/>
            <w:vAlign w:val="center"/>
          </w:tcPr>
          <w:p w14:paraId="0DFD8339">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19698693">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05709750">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eastAsia="zh-CN"/>
              </w:rPr>
              <w:t>万元</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0F318013">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58B028F8">
            <w:pPr>
              <w:keepNext w:val="0"/>
              <w:keepLines w:val="0"/>
              <w:pageBreakBefore w:val="0"/>
              <w:widowControl/>
              <w:kinsoku/>
              <w:wordWrap/>
              <w:overflowPunct/>
              <w:topLinePunct w:val="0"/>
              <w:autoSpaceDE/>
              <w:autoSpaceDN/>
              <w:bidi w:val="0"/>
              <w:adjustRightInd/>
              <w:snapToGrid/>
              <w:spacing w:line="22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r>
    </w:tbl>
    <w:p w14:paraId="029D90D3">
      <w:pPr>
        <w:pStyle w:val="3"/>
        <w:spacing w:after="0" w:line="20" w:lineRule="exact"/>
        <w:ind w:leftChars="0" w:firstLine="480"/>
        <w:rPr>
          <w:rFonts w:hint="eastAsia" w:ascii="仿宋_GB2312" w:hAnsi="仿宋_GB2312" w:eastAsia="仿宋_GB2312" w:cs="仿宋_GB2312"/>
          <w:sz w:val="18"/>
          <w:szCs w:val="18"/>
        </w:rPr>
      </w:pPr>
    </w:p>
    <w:p w14:paraId="230458BD">
      <w:pPr>
        <w:spacing w:line="578" w:lineRule="exact"/>
        <w:rPr>
          <w:rFonts w:hint="eastAsia" w:ascii="黑体" w:hAnsi="黑体" w:eastAsia="黑体" w:cs="黑体"/>
          <w:b w:val="0"/>
          <w:bCs/>
          <w:color w:val="auto"/>
          <w:kern w:val="2"/>
          <w:sz w:val="32"/>
          <w:szCs w:val="32"/>
          <w:lang w:val="en-US" w:eastAsia="zh-CN" w:bidi="ar-SA"/>
        </w:rPr>
      </w:pPr>
      <w:r>
        <w:rPr>
          <w:rFonts w:hint="eastAsia" w:ascii="黑体" w:hAnsi="黑体" w:eastAsia="黑体" w:cs="黑体"/>
          <w:b w:val="0"/>
          <w:bCs/>
          <w:color w:val="auto"/>
          <w:kern w:val="2"/>
          <w:sz w:val="32"/>
          <w:szCs w:val="32"/>
          <w:lang w:val="en-US" w:eastAsia="zh-CN" w:bidi="ar-SA"/>
        </w:rPr>
        <w:t>附件5</w:t>
      </w:r>
    </w:p>
    <w:p w14:paraId="4173AC91">
      <w:pPr>
        <w:pStyle w:val="3"/>
        <w:spacing w:after="0" w:line="20" w:lineRule="exact"/>
        <w:ind w:leftChars="0" w:firstLine="480"/>
        <w:rPr>
          <w:rFonts w:hint="eastAsia" w:ascii="仿宋_GB2312" w:hAnsi="仿宋_GB2312" w:eastAsia="仿宋_GB2312" w:cs="仿宋_GB2312"/>
          <w:sz w:val="18"/>
          <w:szCs w:val="18"/>
        </w:rPr>
      </w:pPr>
    </w:p>
    <w:p w14:paraId="4F1FBAFC">
      <w:pPr>
        <w:keepNext w:val="0"/>
        <w:keepLines w:val="0"/>
        <w:pageBreakBefore w:val="0"/>
        <w:widowControl w:val="0"/>
        <w:kinsoku/>
        <w:wordWrap/>
        <w:overflowPunct/>
        <w:topLinePunct w:val="0"/>
        <w:autoSpaceDE/>
        <w:autoSpaceDN/>
        <w:bidi w:val="0"/>
        <w:spacing w:line="578" w:lineRule="exact"/>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4601B4D1">
      <w:pPr>
        <w:pStyle w:val="35"/>
        <w:spacing w:line="578" w:lineRule="exact"/>
        <w:jc w:val="center"/>
        <w:rPr>
          <w:rFonts w:ascii="Times New Roman" w:hAnsi="Times New Roman" w:eastAsia="方正小标宋简体"/>
          <w:color w:val="auto"/>
          <w:kern w:val="2"/>
          <w:sz w:val="44"/>
          <w:szCs w:val="44"/>
          <w:lang w:val="en-US"/>
        </w:rPr>
      </w:pPr>
      <w:bookmarkStart w:id="85" w:name="_Toc15396618"/>
      <w:r>
        <w:rPr>
          <w:rFonts w:ascii="Times New Roman" w:hAnsi="Times New Roman" w:eastAsia="方正小标宋简体"/>
          <w:color w:val="auto"/>
          <w:kern w:val="2"/>
          <w:sz w:val="44"/>
          <w:szCs w:val="44"/>
          <w:lang w:val="en-US"/>
        </w:rPr>
        <w:t>专项预算绩效自评报告</w:t>
      </w:r>
    </w:p>
    <w:p w14:paraId="02A5264C">
      <w:pPr>
        <w:pStyle w:val="35"/>
        <w:spacing w:line="578" w:lineRule="exact"/>
        <w:jc w:val="center"/>
        <w:rPr>
          <w:rFonts w:hint="eastAsia" w:ascii="Times New Roman" w:hAnsi="Times New Roman" w:eastAsia="楷体_GB2312" w:cs="Times New Roman"/>
          <w:b w:val="0"/>
          <w:bCs/>
          <w:color w:val="auto"/>
          <w:kern w:val="2"/>
          <w:sz w:val="36"/>
          <w:szCs w:val="36"/>
          <w:lang w:val="en-US" w:eastAsia="zh-CN" w:bidi="ar-SA"/>
        </w:rPr>
      </w:pPr>
      <w:r>
        <w:rPr>
          <w:rFonts w:hint="eastAsia" w:ascii="Times New Roman" w:hAnsi="Times New Roman" w:eastAsia="楷体_GB2312" w:cs="Times New Roman"/>
          <w:b w:val="0"/>
          <w:bCs/>
          <w:color w:val="auto"/>
          <w:kern w:val="2"/>
          <w:sz w:val="36"/>
          <w:szCs w:val="36"/>
          <w:lang w:val="en-US" w:eastAsia="zh-CN" w:bidi="ar-SA"/>
        </w:rPr>
        <w:t>（</w:t>
      </w:r>
      <w:r>
        <w:rPr>
          <w:rFonts w:hint="eastAsia" w:ascii="楷体" w:hAnsi="楷体" w:eastAsia="楷体" w:cs="楷体"/>
          <w:b w:val="0"/>
          <w:bCs/>
          <w:color w:val="auto"/>
          <w:kern w:val="2"/>
          <w:sz w:val="36"/>
          <w:szCs w:val="36"/>
          <w:lang w:val="en-US" w:eastAsia="zh-CN" w:bidi="ar-SA"/>
        </w:rPr>
        <w:t>沟口镇产业结构调整示范点项目</w:t>
      </w:r>
      <w:r>
        <w:rPr>
          <w:rFonts w:hint="eastAsia" w:ascii="Times New Roman" w:hAnsi="Times New Roman" w:eastAsia="楷体_GB2312" w:cs="Times New Roman"/>
          <w:b w:val="0"/>
          <w:bCs/>
          <w:color w:val="auto"/>
          <w:kern w:val="2"/>
          <w:sz w:val="36"/>
          <w:szCs w:val="36"/>
          <w:lang w:val="en-US" w:eastAsia="zh-CN" w:bidi="ar-SA"/>
        </w:rPr>
        <w:t>）</w:t>
      </w:r>
    </w:p>
    <w:p w14:paraId="5E07FB2C">
      <w:pPr>
        <w:pStyle w:val="35"/>
        <w:spacing w:line="578" w:lineRule="exact"/>
        <w:ind w:firstLine="640"/>
        <w:jc w:val="center"/>
        <w:rPr>
          <w:rFonts w:ascii="Times New Roman" w:hAnsi="Times New Roman" w:eastAsia="楷体_GB2312" w:cs="Times New Roman"/>
          <w:b/>
          <w:color w:val="auto"/>
          <w:kern w:val="2"/>
          <w:sz w:val="32"/>
          <w:szCs w:val="32"/>
          <w:lang w:val="zh-CN" w:eastAsia="zh-CN" w:bidi="ar-SA"/>
        </w:rPr>
      </w:pPr>
    </w:p>
    <w:p w14:paraId="6325B6EC">
      <w:pPr>
        <w:widowControl/>
        <w:numPr>
          <w:ilvl w:val="0"/>
          <w:numId w:val="0"/>
        </w:numPr>
        <w:ind w:firstLine="640" w:firstLineChars="200"/>
        <w:jc w:val="left"/>
        <w:rPr>
          <w:rFonts w:hint="eastAsia" w:ascii="黑体" w:hAnsi="黑体" w:eastAsia="黑体" w:cs="黑体"/>
          <w:b w:val="0"/>
          <w:bCs w:val="0"/>
          <w:color w:val="auto"/>
          <w:kern w:val="2"/>
          <w:sz w:val="32"/>
          <w:szCs w:val="32"/>
          <w:lang w:val="zh-CN" w:eastAsia="zh-CN"/>
        </w:rPr>
      </w:pPr>
      <w:r>
        <w:rPr>
          <w:rFonts w:hint="eastAsia" w:ascii="黑体" w:hAnsi="黑体" w:eastAsia="黑体" w:cs="黑体"/>
          <w:b w:val="0"/>
          <w:bCs w:val="0"/>
          <w:color w:val="auto"/>
          <w:kern w:val="2"/>
          <w:sz w:val="32"/>
          <w:szCs w:val="32"/>
          <w:lang w:val="zh-CN" w:eastAsia="zh-CN"/>
        </w:rPr>
        <w:t>一、项目概况</w:t>
      </w:r>
    </w:p>
    <w:p w14:paraId="3AD11228">
      <w:pPr>
        <w:widowControl/>
        <w:numPr>
          <w:ilvl w:val="0"/>
          <w:numId w:val="0"/>
        </w:numPr>
        <w:ind w:firstLine="643" w:firstLineChars="200"/>
        <w:jc w:val="left"/>
        <w:rPr>
          <w:rFonts w:hint="eastAsia" w:ascii="楷体" w:hAnsi="楷体" w:eastAsia="楷体" w:cs="楷体"/>
          <w:color w:val="auto"/>
          <w:kern w:val="2"/>
          <w:sz w:val="32"/>
          <w:szCs w:val="32"/>
          <w:lang w:val="zh-CN" w:eastAsia="zh-CN"/>
        </w:rPr>
      </w:pPr>
      <w:r>
        <w:rPr>
          <w:rFonts w:hint="eastAsia" w:ascii="楷体" w:hAnsi="楷体" w:eastAsia="楷体" w:cs="楷体"/>
          <w:b/>
          <w:bCs/>
          <w:color w:val="auto"/>
          <w:kern w:val="2"/>
          <w:sz w:val="32"/>
          <w:szCs w:val="32"/>
          <w:lang w:val="zh-CN" w:eastAsia="zh-CN"/>
        </w:rPr>
        <w:t>（一）设立背景及基本情况。</w:t>
      </w:r>
    </w:p>
    <w:p w14:paraId="571F6B89">
      <w:pPr>
        <w:widowControl/>
        <w:numPr>
          <w:ilvl w:val="0"/>
          <w:numId w:val="0"/>
        </w:numPr>
        <w:ind w:firstLine="640" w:firstLineChars="200"/>
        <w:jc w:val="left"/>
        <w:rPr>
          <w:rFonts w:hint="eastAsia" w:ascii="仿宋_GB2312" w:hAnsi="仿宋_GB2312" w:eastAsia="仿宋_GB2312" w:cs="仿宋_GB2312"/>
          <w:color w:val="auto"/>
          <w:kern w:val="2"/>
          <w:sz w:val="32"/>
          <w:szCs w:val="32"/>
          <w:lang w:val="zh-CN" w:eastAsia="zh-CN"/>
        </w:rPr>
      </w:pPr>
      <w:r>
        <w:rPr>
          <w:rFonts w:hint="eastAsia" w:ascii="仿宋_GB2312" w:hAnsi="仿宋_GB2312" w:eastAsia="仿宋_GB2312" w:cs="仿宋_GB2312"/>
          <w:color w:val="auto"/>
          <w:kern w:val="2"/>
          <w:sz w:val="32"/>
          <w:szCs w:val="32"/>
          <w:lang w:val="zh-CN" w:eastAsia="zh-CN"/>
        </w:rPr>
        <w:t>沟口镇产业结构调整示范点项目。该笔资金资金性质：财政资金</w:t>
      </w:r>
      <w:r>
        <w:rPr>
          <w:rFonts w:hint="eastAsia" w:ascii="仿宋_GB2312" w:hAnsi="仿宋_GB2312" w:eastAsia="仿宋_GB2312" w:cs="仿宋_GB2312"/>
          <w:color w:val="auto"/>
          <w:kern w:val="2"/>
          <w:sz w:val="32"/>
          <w:szCs w:val="32"/>
          <w:lang w:val="en-US" w:eastAsia="zh-CN"/>
        </w:rPr>
        <w:t>,</w:t>
      </w:r>
      <w:r>
        <w:rPr>
          <w:rFonts w:hint="eastAsia" w:ascii="仿宋_GB2312" w:hAnsi="仿宋_GB2312" w:eastAsia="仿宋_GB2312" w:cs="仿宋_GB2312"/>
          <w:color w:val="auto"/>
          <w:kern w:val="2"/>
          <w:sz w:val="32"/>
          <w:szCs w:val="32"/>
          <w:lang w:val="zh-CN" w:eastAsia="zh-CN"/>
        </w:rPr>
        <w:t>金额为：50</w:t>
      </w:r>
      <w:r>
        <w:rPr>
          <w:rFonts w:hint="eastAsia" w:ascii="仿宋_GB2312" w:hAnsi="仿宋_GB2312" w:eastAsia="仿宋_GB2312" w:cs="仿宋_GB2312"/>
          <w:color w:val="auto"/>
          <w:kern w:val="2"/>
          <w:sz w:val="32"/>
          <w:szCs w:val="32"/>
          <w:lang w:val="en-US" w:eastAsia="zh-CN"/>
        </w:rPr>
        <w:t>.00</w:t>
      </w:r>
      <w:r>
        <w:rPr>
          <w:rFonts w:hint="eastAsia" w:ascii="仿宋_GB2312" w:hAnsi="仿宋_GB2312" w:eastAsia="仿宋_GB2312" w:cs="仿宋_GB2312"/>
          <w:color w:val="auto"/>
          <w:kern w:val="2"/>
          <w:sz w:val="32"/>
          <w:szCs w:val="32"/>
          <w:lang w:val="zh-CN" w:eastAsia="zh-CN"/>
        </w:rPr>
        <w:t>万元。</w:t>
      </w:r>
    </w:p>
    <w:p w14:paraId="52DBFAE0">
      <w:pPr>
        <w:widowControl/>
        <w:numPr>
          <w:ilvl w:val="0"/>
          <w:numId w:val="0"/>
        </w:numPr>
        <w:ind w:firstLine="640" w:firstLineChars="200"/>
        <w:jc w:val="left"/>
        <w:rPr>
          <w:rFonts w:hint="eastAsia" w:ascii="仿宋_GB2312" w:hAnsi="仿宋_GB2312" w:eastAsia="仿宋_GB2312" w:cs="仿宋_GB2312"/>
          <w:color w:val="auto"/>
          <w:kern w:val="2"/>
          <w:sz w:val="32"/>
          <w:szCs w:val="32"/>
          <w:lang w:val="zh-CN" w:eastAsia="zh-CN"/>
        </w:rPr>
      </w:pPr>
      <w:r>
        <w:rPr>
          <w:rFonts w:hint="eastAsia" w:ascii="仿宋_GB2312" w:hAnsi="仿宋_GB2312" w:eastAsia="仿宋_GB2312" w:cs="仿宋_GB2312"/>
          <w:color w:val="auto"/>
          <w:kern w:val="2"/>
          <w:sz w:val="32"/>
          <w:szCs w:val="32"/>
          <w:lang w:val="zh-CN" w:eastAsia="zh-CN"/>
        </w:rPr>
        <w:t>主要内容为：1.水若村：修建产业路1500m（435m3）；安装太阳杀虫灯10盏；修建蓄水池50立方一口；低压电线四线1100米购买安装，架设电杆7根。 2.沟口村：农田灌溉，水肥一体化浇灌。资金文号：茂财国代〔</w:t>
      </w:r>
      <w:r>
        <w:rPr>
          <w:rFonts w:hint="eastAsia" w:ascii="仿宋_GB2312" w:hAnsi="仿宋_GB2312" w:eastAsia="仿宋_GB2312" w:cs="仿宋_GB2312"/>
          <w:color w:val="auto"/>
          <w:kern w:val="2"/>
          <w:sz w:val="32"/>
          <w:szCs w:val="32"/>
          <w:lang w:val="en-US" w:eastAsia="zh-CN"/>
        </w:rPr>
        <w:t>2024</w:t>
      </w:r>
      <w:r>
        <w:rPr>
          <w:rFonts w:hint="eastAsia" w:ascii="仿宋_GB2312" w:hAnsi="仿宋_GB2312" w:eastAsia="仿宋_GB2312" w:cs="仿宋_GB2312"/>
          <w:color w:val="auto"/>
          <w:kern w:val="2"/>
          <w:sz w:val="32"/>
          <w:szCs w:val="32"/>
          <w:lang w:val="zh-CN" w:eastAsia="zh-CN"/>
        </w:rPr>
        <w:t>〕198号，于2024年底完成支付。</w:t>
      </w:r>
    </w:p>
    <w:p w14:paraId="4A7ABC53">
      <w:pPr>
        <w:widowControl/>
        <w:numPr>
          <w:ilvl w:val="0"/>
          <w:numId w:val="0"/>
        </w:numPr>
        <w:ind w:firstLine="643" w:firstLineChars="200"/>
        <w:jc w:val="left"/>
        <w:rPr>
          <w:rFonts w:hint="eastAsia" w:ascii="仿宋_GB2312" w:hAnsi="仿宋_GB2312" w:eastAsia="仿宋_GB2312" w:cs="仿宋_GB2312"/>
          <w:color w:val="auto"/>
          <w:kern w:val="2"/>
          <w:sz w:val="32"/>
          <w:szCs w:val="32"/>
          <w:lang w:val="zh-CN" w:eastAsia="zh-CN"/>
        </w:rPr>
      </w:pPr>
      <w:r>
        <w:rPr>
          <w:rFonts w:hint="eastAsia" w:ascii="楷体" w:hAnsi="楷体" w:eastAsia="楷体" w:cs="楷体"/>
          <w:b/>
          <w:bCs/>
          <w:color w:val="auto"/>
          <w:kern w:val="2"/>
          <w:sz w:val="32"/>
          <w:szCs w:val="32"/>
          <w:lang w:val="zh-CN" w:eastAsia="zh-CN"/>
        </w:rPr>
        <w:t>（二）实施目的及支持方向。</w:t>
      </w:r>
      <w:r>
        <w:rPr>
          <w:rFonts w:hint="eastAsia" w:ascii="仿宋_GB2312" w:hAnsi="仿宋_GB2312" w:eastAsia="仿宋_GB2312" w:cs="仿宋_GB2312"/>
          <w:color w:val="auto"/>
          <w:kern w:val="2"/>
          <w:sz w:val="32"/>
          <w:szCs w:val="32"/>
          <w:lang w:val="zh-CN" w:eastAsia="zh-CN"/>
        </w:rPr>
        <w:t>该项目有利于乡村党群事业发展，为实现乡村振兴添砖加瓦，为发展经济提供基础指挥平台，能为茂县社会经济带来更多正面影响。</w:t>
      </w:r>
    </w:p>
    <w:p w14:paraId="5C6E0666">
      <w:pPr>
        <w:widowControl/>
        <w:numPr>
          <w:ilvl w:val="0"/>
          <w:numId w:val="0"/>
        </w:numPr>
        <w:ind w:firstLine="643" w:firstLineChars="200"/>
        <w:jc w:val="left"/>
        <w:rPr>
          <w:rFonts w:hint="default" w:ascii="仿宋_GB2312" w:hAnsi="仿宋_GB2312" w:eastAsia="仿宋_GB2312" w:cs="仿宋_GB2312"/>
          <w:color w:val="auto"/>
          <w:kern w:val="2"/>
          <w:sz w:val="32"/>
          <w:szCs w:val="32"/>
          <w:lang w:val="en-US" w:eastAsia="zh-CN"/>
        </w:rPr>
      </w:pPr>
      <w:r>
        <w:rPr>
          <w:rFonts w:hint="eastAsia" w:ascii="楷体" w:hAnsi="楷体" w:eastAsia="楷体" w:cs="楷体"/>
          <w:b/>
          <w:bCs/>
          <w:color w:val="auto"/>
          <w:kern w:val="2"/>
          <w:sz w:val="32"/>
          <w:szCs w:val="32"/>
          <w:lang w:val="zh-CN" w:eastAsia="zh-CN"/>
        </w:rPr>
        <w:t>（三）预算安排及分配管理。</w:t>
      </w:r>
      <w:r>
        <w:rPr>
          <w:rFonts w:hint="eastAsia" w:ascii="仿宋_GB2312" w:hAnsi="仿宋_GB2312" w:eastAsia="仿宋_GB2312" w:cs="仿宋_GB2312"/>
          <w:color w:val="auto"/>
          <w:kern w:val="2"/>
          <w:sz w:val="32"/>
          <w:szCs w:val="32"/>
          <w:lang w:val="zh-CN" w:eastAsia="zh-CN"/>
        </w:rPr>
        <w:t>沟口镇产业结构调整示范点项目，于</w:t>
      </w:r>
      <w:r>
        <w:rPr>
          <w:rFonts w:hint="eastAsia" w:ascii="仿宋_GB2312" w:hAnsi="仿宋_GB2312" w:eastAsia="仿宋_GB2312" w:cs="仿宋_GB2312"/>
          <w:color w:val="auto"/>
          <w:kern w:val="2"/>
          <w:sz w:val="32"/>
          <w:szCs w:val="32"/>
          <w:lang w:val="en-US" w:eastAsia="zh-CN"/>
        </w:rPr>
        <w:t>2024年申请到账，年底完成支付，完成金额48.44万元，完成率96.88%。预留1.56万元为项目质保金，待一年质保期限满后，项目验收合格退还质保金。</w:t>
      </w:r>
    </w:p>
    <w:p w14:paraId="03D8911D">
      <w:pPr>
        <w:widowControl/>
        <w:numPr>
          <w:ilvl w:val="0"/>
          <w:numId w:val="0"/>
        </w:numPr>
        <w:ind w:firstLine="643" w:firstLineChars="200"/>
        <w:jc w:val="left"/>
        <w:rPr>
          <w:rFonts w:hint="eastAsia" w:ascii="仿宋_GB2312" w:hAnsi="仿宋_GB2312" w:eastAsia="仿宋_GB2312" w:cs="仿宋_GB2312"/>
          <w:color w:val="auto"/>
          <w:kern w:val="2"/>
          <w:sz w:val="32"/>
          <w:szCs w:val="32"/>
          <w:lang w:val="zh-CN" w:eastAsia="zh-CN"/>
        </w:rPr>
      </w:pPr>
      <w:r>
        <w:rPr>
          <w:rFonts w:hint="eastAsia" w:ascii="楷体" w:hAnsi="楷体" w:eastAsia="楷体" w:cs="楷体"/>
          <w:b/>
          <w:bCs/>
          <w:color w:val="auto"/>
          <w:kern w:val="2"/>
          <w:sz w:val="32"/>
          <w:szCs w:val="32"/>
          <w:lang w:val="zh-CN" w:eastAsia="zh-CN"/>
        </w:rPr>
        <w:t>（四）项目绩效目标设置。</w:t>
      </w:r>
      <w:r>
        <w:rPr>
          <w:rFonts w:hint="eastAsia" w:ascii="仿宋_GB2312" w:hAnsi="仿宋_GB2312" w:eastAsia="仿宋_GB2312" w:cs="仿宋_GB2312"/>
          <w:color w:val="auto"/>
          <w:kern w:val="2"/>
          <w:sz w:val="32"/>
          <w:szCs w:val="32"/>
          <w:lang w:val="zh-CN" w:eastAsia="zh-CN"/>
        </w:rPr>
        <w:t>该项目充分调动村支两委、农民群众和社会各界的积极性，共同推进农村公共服名维护机制建设，确保改革取得实效，着力解决村内最急需，群众最急盼、受益最直接的突出问题。</w:t>
      </w:r>
    </w:p>
    <w:p w14:paraId="05969081">
      <w:pPr>
        <w:widowControl/>
        <w:numPr>
          <w:ilvl w:val="0"/>
          <w:numId w:val="0"/>
        </w:numPr>
        <w:ind w:firstLine="640" w:firstLineChars="200"/>
        <w:jc w:val="left"/>
        <w:rPr>
          <w:rFonts w:hint="eastAsia" w:ascii="黑体" w:hAnsi="黑体" w:eastAsia="黑体" w:cs="黑体"/>
          <w:b w:val="0"/>
          <w:bCs w:val="0"/>
          <w:color w:val="auto"/>
          <w:kern w:val="2"/>
          <w:sz w:val="32"/>
          <w:szCs w:val="32"/>
          <w:lang w:val="zh-CN" w:eastAsia="zh-CN"/>
        </w:rPr>
      </w:pPr>
      <w:r>
        <w:rPr>
          <w:rFonts w:hint="eastAsia" w:ascii="黑体" w:hAnsi="黑体" w:eastAsia="黑体" w:cs="黑体"/>
          <w:b w:val="0"/>
          <w:bCs w:val="0"/>
          <w:color w:val="auto"/>
          <w:kern w:val="2"/>
          <w:sz w:val="32"/>
          <w:szCs w:val="32"/>
          <w:lang w:val="zh-CN" w:eastAsia="zh-CN"/>
        </w:rPr>
        <w:t>二、评价实施</w:t>
      </w:r>
    </w:p>
    <w:p w14:paraId="688C5C17">
      <w:pPr>
        <w:widowControl/>
        <w:numPr>
          <w:ilvl w:val="0"/>
          <w:numId w:val="0"/>
        </w:numPr>
        <w:ind w:firstLine="643" w:firstLineChars="200"/>
        <w:jc w:val="left"/>
        <w:rPr>
          <w:rFonts w:hint="eastAsia" w:ascii="仿宋_GB2312" w:hAnsi="仿宋_GB2312" w:eastAsia="仿宋_GB2312" w:cs="仿宋_GB2312"/>
          <w:color w:val="auto"/>
          <w:kern w:val="2"/>
          <w:sz w:val="32"/>
          <w:szCs w:val="32"/>
          <w:lang w:val="zh-CN" w:eastAsia="zh-CN"/>
        </w:rPr>
      </w:pPr>
      <w:r>
        <w:rPr>
          <w:rFonts w:hint="eastAsia" w:ascii="楷体" w:hAnsi="楷体" w:eastAsia="楷体" w:cs="楷体"/>
          <w:b/>
          <w:bCs/>
          <w:color w:val="auto"/>
          <w:kern w:val="2"/>
          <w:sz w:val="32"/>
          <w:szCs w:val="32"/>
          <w:lang w:val="zh-CN" w:eastAsia="zh-CN"/>
        </w:rPr>
        <w:t>（一）评价目的。</w:t>
      </w:r>
      <w:r>
        <w:rPr>
          <w:rFonts w:hint="eastAsia" w:ascii="仿宋_GB2312" w:hAnsi="仿宋_GB2312" w:eastAsia="仿宋_GB2312" w:cs="仿宋_GB2312"/>
          <w:color w:val="auto"/>
          <w:kern w:val="2"/>
          <w:sz w:val="32"/>
          <w:szCs w:val="32"/>
          <w:lang w:val="zh-CN" w:eastAsia="zh-CN"/>
        </w:rPr>
        <w:t>通为进一步提升预算管理水平、提高公共服务质量、优化公共资源配置提供决策参考，为以后年度类似项目专项资金安排、政策制度建设、预算绩效的推进提供必要的借鉴。</w:t>
      </w:r>
    </w:p>
    <w:p w14:paraId="3E45BB2C">
      <w:pPr>
        <w:widowControl/>
        <w:numPr>
          <w:ilvl w:val="0"/>
          <w:numId w:val="0"/>
        </w:numPr>
        <w:ind w:firstLine="643" w:firstLineChars="200"/>
        <w:jc w:val="left"/>
        <w:rPr>
          <w:rFonts w:hint="eastAsia" w:ascii="仿宋_GB2312" w:hAnsi="仿宋_GB2312" w:eastAsia="仿宋_GB2312" w:cs="仿宋_GB2312"/>
          <w:color w:val="auto"/>
          <w:kern w:val="2"/>
          <w:sz w:val="32"/>
          <w:szCs w:val="32"/>
          <w:lang w:val="zh-CN" w:eastAsia="zh-CN"/>
        </w:rPr>
      </w:pPr>
      <w:r>
        <w:rPr>
          <w:rFonts w:hint="eastAsia" w:ascii="楷体" w:hAnsi="楷体" w:eastAsia="楷体" w:cs="楷体"/>
          <w:b/>
          <w:bCs/>
          <w:color w:val="auto"/>
          <w:kern w:val="2"/>
          <w:sz w:val="32"/>
          <w:szCs w:val="32"/>
          <w:lang w:val="zh-CN" w:eastAsia="zh-CN"/>
        </w:rPr>
        <w:t>（二）预设问题及评价重点。</w:t>
      </w:r>
      <w:r>
        <w:rPr>
          <w:rFonts w:hint="eastAsia" w:ascii="仿宋_GB2312" w:hAnsi="仿宋_GB2312" w:eastAsia="仿宋_GB2312" w:cs="仿宋_GB2312"/>
          <w:color w:val="auto"/>
          <w:kern w:val="2"/>
          <w:sz w:val="32"/>
          <w:szCs w:val="32"/>
          <w:lang w:val="zh-CN" w:eastAsia="zh-CN"/>
        </w:rPr>
        <w:t>重点评价该项目财政专项资金使用的规范性、安全性和有效性及评价项目的社会效益、经济效益、可持续性。</w:t>
      </w:r>
    </w:p>
    <w:p w14:paraId="4C22D82D">
      <w:pPr>
        <w:keepNext w:val="0"/>
        <w:keepLines w:val="0"/>
        <w:pageBreakBefore w:val="0"/>
        <w:widowControl w:val="0"/>
        <w:kinsoku/>
        <w:wordWrap/>
        <w:overflowPunct/>
        <w:topLinePunct w:val="0"/>
        <w:autoSpaceDE w:val="0"/>
        <w:autoSpaceDN w:val="0"/>
        <w:bidi w:val="0"/>
        <w:adjustRightInd w:val="0"/>
        <w:snapToGrid/>
        <w:spacing w:line="576" w:lineRule="exact"/>
        <w:ind w:firstLine="643" w:firstLineChars="200"/>
        <w:jc w:val="both"/>
        <w:textAlignment w:val="auto"/>
        <w:rPr>
          <w:rFonts w:hint="eastAsia" w:ascii="仿宋_GB2312" w:hAnsi="宋体" w:eastAsia="仿宋_GB2312" w:cs="Times New Roman"/>
          <w:color w:val="auto"/>
          <w:kern w:val="2"/>
          <w:sz w:val="32"/>
          <w:szCs w:val="32"/>
          <w:lang w:val="en-US" w:eastAsia="zh-CN"/>
        </w:rPr>
      </w:pPr>
      <w:r>
        <w:rPr>
          <w:rFonts w:hint="eastAsia" w:ascii="楷体" w:hAnsi="楷体" w:eastAsia="楷体" w:cs="楷体"/>
          <w:b/>
          <w:bCs/>
          <w:color w:val="auto"/>
          <w:kern w:val="2"/>
          <w:sz w:val="32"/>
          <w:szCs w:val="32"/>
          <w:lang w:val="zh-CN" w:eastAsia="zh-CN"/>
        </w:rPr>
        <w:t>（三）评价选点。</w:t>
      </w:r>
      <w:r>
        <w:rPr>
          <w:rFonts w:hint="eastAsia" w:ascii="仿宋_GB2312" w:hAnsi="宋体" w:eastAsia="仿宋_GB2312" w:cs="Times New Roman"/>
          <w:color w:val="auto"/>
          <w:kern w:val="2"/>
          <w:sz w:val="32"/>
          <w:szCs w:val="32"/>
          <w:lang w:val="en-US" w:eastAsia="zh-CN"/>
        </w:rPr>
        <w:t>项目资金由镇财政所具体管理，按投资计划，对项目资金按项目单独核算，实行“专款专用、专人管理”，不得挤占挪用项目资金。指派专人对项目的实施定期或不定期的进行现场检查和监督，及时协调解决困难和问题，保证工程质量。</w:t>
      </w:r>
    </w:p>
    <w:p w14:paraId="2B38DD14">
      <w:pPr>
        <w:pStyle w:val="2"/>
        <w:keepNext w:val="0"/>
        <w:keepLines w:val="0"/>
        <w:pageBreakBefore w:val="0"/>
        <w:kinsoku/>
        <w:wordWrap/>
        <w:overflowPunct/>
        <w:topLinePunct w:val="0"/>
        <w:bidi w:val="0"/>
        <w:spacing w:line="576" w:lineRule="exact"/>
        <w:ind w:firstLine="643" w:firstLineChars="200"/>
        <w:jc w:val="both"/>
        <w:textAlignment w:val="auto"/>
        <w:rPr>
          <w:rFonts w:hint="eastAsia" w:ascii="仿宋_GB2312" w:hAnsi="宋体" w:eastAsia="仿宋_GB2312" w:cs="Times New Roman"/>
          <w:color w:val="auto"/>
          <w:kern w:val="2"/>
          <w:sz w:val="32"/>
          <w:szCs w:val="32"/>
          <w:lang w:val="en-US" w:eastAsia="zh-CN" w:bidi="ar-SA"/>
        </w:rPr>
      </w:pPr>
      <w:r>
        <w:rPr>
          <w:rFonts w:hint="eastAsia" w:ascii="楷体" w:hAnsi="楷体" w:eastAsia="楷体" w:cs="楷体"/>
          <w:b/>
          <w:bCs/>
          <w:color w:val="auto"/>
          <w:kern w:val="2"/>
          <w:sz w:val="32"/>
          <w:szCs w:val="32"/>
          <w:lang w:val="zh-CN" w:eastAsia="zh-CN"/>
        </w:rPr>
        <w:t>（四）评价方法。</w:t>
      </w:r>
      <w:r>
        <w:rPr>
          <w:rFonts w:hint="eastAsia" w:ascii="仿宋_GB2312" w:hAnsi="宋体" w:eastAsia="仿宋_GB2312" w:cs="Times New Roman"/>
          <w:color w:val="auto"/>
          <w:kern w:val="2"/>
          <w:sz w:val="32"/>
          <w:szCs w:val="32"/>
          <w:lang w:val="zh-CN" w:eastAsia="zh-CN" w:bidi="ar-SA"/>
        </w:rPr>
        <w:t>该项目采用单位自评法。</w:t>
      </w:r>
      <w:r>
        <w:rPr>
          <w:rFonts w:hint="eastAsia" w:ascii="仿宋_GB2312" w:hAnsi="宋体" w:eastAsia="仿宋_GB2312" w:cs="Times New Roman"/>
          <w:color w:val="auto"/>
          <w:kern w:val="2"/>
          <w:sz w:val="32"/>
          <w:szCs w:val="32"/>
          <w:lang w:val="en-US" w:eastAsia="zh-CN" w:bidi="ar-SA"/>
        </w:rPr>
        <w:t xml:space="preserve"> </w:t>
      </w:r>
    </w:p>
    <w:p w14:paraId="27889B07">
      <w:pPr>
        <w:keepNext w:val="0"/>
        <w:keepLines w:val="0"/>
        <w:pageBreakBefore w:val="0"/>
        <w:widowControl/>
        <w:numPr>
          <w:ilvl w:val="0"/>
          <w:numId w:val="0"/>
        </w:numPr>
        <w:kinsoku/>
        <w:wordWrap/>
        <w:overflowPunct/>
        <w:topLinePunct w:val="0"/>
        <w:bidi w:val="0"/>
        <w:spacing w:line="576" w:lineRule="exact"/>
        <w:ind w:firstLine="640" w:firstLineChars="200"/>
        <w:jc w:val="both"/>
        <w:textAlignment w:val="auto"/>
        <w:rPr>
          <w:rFonts w:hint="eastAsia" w:ascii="仿宋_GB2312" w:hAnsi="宋体" w:eastAsia="仿宋_GB2312" w:cs="Times New Roman"/>
          <w:color w:val="auto"/>
          <w:kern w:val="2"/>
          <w:sz w:val="32"/>
          <w:szCs w:val="32"/>
          <w:lang w:val="zh-CN" w:eastAsia="zh-CN" w:bidi="ar-SA"/>
        </w:rPr>
      </w:pPr>
      <w:r>
        <w:rPr>
          <w:rFonts w:hint="eastAsia" w:ascii="仿宋_GB2312" w:hAnsi="宋体" w:eastAsia="仿宋_GB2312" w:cs="Times New Roman"/>
          <w:color w:val="auto"/>
          <w:kern w:val="2"/>
          <w:sz w:val="32"/>
          <w:szCs w:val="32"/>
          <w:lang w:val="zh-CN" w:eastAsia="zh-CN" w:bidi="ar-SA"/>
        </w:rPr>
        <w:t>1.前期工作：成立项目绩效自评领导小组，安排专人收集整理相关数据档案、拟定实地核查方案。</w:t>
      </w:r>
    </w:p>
    <w:p w14:paraId="0A4F751B">
      <w:pPr>
        <w:widowControl/>
        <w:numPr>
          <w:ilvl w:val="0"/>
          <w:numId w:val="0"/>
        </w:numPr>
        <w:ind w:firstLine="640" w:firstLineChars="200"/>
        <w:jc w:val="left"/>
        <w:rPr>
          <w:rFonts w:hint="eastAsia" w:ascii="仿宋_GB2312" w:hAnsi="仿宋_GB2312" w:eastAsia="仿宋_GB2312" w:cs="仿宋_GB2312"/>
          <w:color w:val="auto"/>
          <w:kern w:val="2"/>
          <w:sz w:val="32"/>
          <w:szCs w:val="32"/>
          <w:lang w:val="zh-CN" w:eastAsia="zh-CN"/>
        </w:rPr>
      </w:pPr>
      <w:r>
        <w:rPr>
          <w:rFonts w:hint="eastAsia" w:ascii="仿宋_GB2312" w:hAnsi="仿宋_GB2312" w:eastAsia="仿宋_GB2312" w:cs="仿宋_GB2312"/>
          <w:color w:val="auto"/>
          <w:kern w:val="2"/>
          <w:sz w:val="32"/>
          <w:szCs w:val="32"/>
          <w:lang w:val="zh-CN" w:eastAsia="zh-CN"/>
        </w:rPr>
        <w:t>2.实地核查：自评工作小组，根据评价指标对资金使用情况进行调查核实，沟口镇财经审查办公室对项目资金完善进行自评。</w:t>
      </w:r>
    </w:p>
    <w:p w14:paraId="7C504A24">
      <w:pPr>
        <w:widowControl/>
        <w:numPr>
          <w:ilvl w:val="0"/>
          <w:numId w:val="0"/>
        </w:numPr>
        <w:ind w:firstLine="640" w:firstLineChars="200"/>
        <w:jc w:val="left"/>
        <w:rPr>
          <w:rFonts w:hint="eastAsia" w:ascii="仿宋_GB2312" w:hAnsi="仿宋_GB2312" w:eastAsia="仿宋_GB2312" w:cs="仿宋_GB2312"/>
          <w:color w:val="auto"/>
          <w:kern w:val="2"/>
          <w:sz w:val="32"/>
          <w:szCs w:val="32"/>
          <w:lang w:val="zh-CN" w:eastAsia="zh-CN"/>
        </w:rPr>
      </w:pPr>
      <w:r>
        <w:rPr>
          <w:rFonts w:hint="eastAsia" w:ascii="仿宋_GB2312" w:hAnsi="仿宋_GB2312" w:eastAsia="仿宋_GB2312" w:cs="仿宋_GB2312"/>
          <w:color w:val="auto"/>
          <w:kern w:val="2"/>
          <w:sz w:val="32"/>
          <w:szCs w:val="32"/>
          <w:lang w:val="zh-CN" w:eastAsia="zh-CN"/>
        </w:rPr>
        <w:t>3.分析评价：根据自查结果，对绩效评价指标进行全面的分析形成绩效评价报告。</w:t>
      </w:r>
    </w:p>
    <w:p w14:paraId="676BBC0A">
      <w:pPr>
        <w:widowControl/>
        <w:numPr>
          <w:ilvl w:val="0"/>
          <w:numId w:val="0"/>
        </w:numPr>
        <w:ind w:firstLine="643" w:firstLineChars="200"/>
        <w:jc w:val="left"/>
        <w:rPr>
          <w:rFonts w:hint="eastAsia" w:ascii="仿宋_GB2312" w:hAnsi="仿宋_GB2312" w:eastAsia="仿宋_GB2312" w:cs="仿宋_GB2312"/>
          <w:color w:val="auto"/>
          <w:kern w:val="2"/>
          <w:sz w:val="32"/>
          <w:szCs w:val="32"/>
          <w:lang w:val="zh-CN" w:eastAsia="zh-CN"/>
        </w:rPr>
      </w:pPr>
      <w:r>
        <w:rPr>
          <w:rFonts w:hint="eastAsia" w:ascii="楷体" w:hAnsi="楷体" w:eastAsia="楷体" w:cs="楷体"/>
          <w:b/>
          <w:bCs/>
          <w:color w:val="auto"/>
          <w:kern w:val="2"/>
          <w:sz w:val="32"/>
          <w:szCs w:val="32"/>
          <w:lang w:val="zh-CN" w:eastAsia="zh-CN"/>
        </w:rPr>
        <w:t>（五）评价组织。</w:t>
      </w:r>
      <w:r>
        <w:rPr>
          <w:rFonts w:hint="eastAsia" w:ascii="仿宋_GB2312" w:hAnsi="仿宋_GB2312" w:eastAsia="仿宋_GB2312" w:cs="仿宋_GB2312"/>
          <w:color w:val="auto"/>
          <w:kern w:val="2"/>
          <w:sz w:val="32"/>
          <w:szCs w:val="32"/>
          <w:lang w:val="zh-CN" w:eastAsia="zh-CN"/>
        </w:rPr>
        <w:t>成立项目绩效自评领导小组，由分管财务副镇长牵头，沟口镇财经审查办公室、沟口镇各驻村工作组组成自评小组，通过数据分析、实地核查、分析评价形成绩效评价报告。</w:t>
      </w:r>
    </w:p>
    <w:p w14:paraId="3F26C2FC">
      <w:pPr>
        <w:widowControl/>
        <w:numPr>
          <w:ilvl w:val="0"/>
          <w:numId w:val="0"/>
        </w:numPr>
        <w:ind w:firstLine="640" w:firstLineChars="200"/>
        <w:jc w:val="left"/>
        <w:rPr>
          <w:rFonts w:hint="eastAsia" w:ascii="黑体" w:hAnsi="黑体" w:eastAsia="黑体" w:cs="黑体"/>
          <w:b w:val="0"/>
          <w:bCs w:val="0"/>
          <w:color w:val="auto"/>
          <w:kern w:val="2"/>
          <w:sz w:val="32"/>
          <w:szCs w:val="32"/>
          <w:lang w:val="zh-CN" w:eastAsia="zh-CN"/>
        </w:rPr>
      </w:pPr>
      <w:r>
        <w:rPr>
          <w:rFonts w:hint="eastAsia" w:ascii="黑体" w:hAnsi="黑体" w:eastAsia="黑体" w:cs="黑体"/>
          <w:b w:val="0"/>
          <w:bCs w:val="0"/>
          <w:color w:val="auto"/>
          <w:kern w:val="2"/>
          <w:sz w:val="32"/>
          <w:szCs w:val="32"/>
          <w:lang w:val="zh-CN" w:eastAsia="zh-CN"/>
        </w:rPr>
        <w:t>三、绩效分析</w:t>
      </w:r>
      <w:r>
        <w:rPr>
          <w:rFonts w:hint="eastAsia" w:ascii="黑体" w:hAnsi="黑体" w:eastAsia="黑体" w:cs="黑体"/>
          <w:b w:val="0"/>
          <w:bCs w:val="0"/>
          <w:color w:val="auto"/>
          <w:kern w:val="2"/>
          <w:sz w:val="32"/>
          <w:szCs w:val="32"/>
          <w:lang w:val="zh-CN" w:eastAsia="zh-CN"/>
        </w:rPr>
        <w:tab/>
      </w:r>
    </w:p>
    <w:p w14:paraId="1B2B4FCD">
      <w:pPr>
        <w:widowControl/>
        <w:numPr>
          <w:ilvl w:val="0"/>
          <w:numId w:val="0"/>
        </w:numPr>
        <w:ind w:firstLine="643" w:firstLineChars="200"/>
        <w:jc w:val="left"/>
        <w:rPr>
          <w:rFonts w:hint="eastAsia" w:ascii="楷体" w:hAnsi="楷体" w:eastAsia="楷体" w:cs="楷体"/>
          <w:b/>
          <w:bCs/>
          <w:color w:val="auto"/>
          <w:kern w:val="2"/>
          <w:sz w:val="32"/>
          <w:szCs w:val="32"/>
          <w:lang w:val="zh-CN" w:eastAsia="zh-CN"/>
        </w:rPr>
      </w:pPr>
      <w:r>
        <w:rPr>
          <w:rFonts w:hint="eastAsia" w:ascii="楷体" w:hAnsi="楷体" w:eastAsia="楷体" w:cs="楷体"/>
          <w:b/>
          <w:bCs/>
          <w:color w:val="auto"/>
          <w:kern w:val="2"/>
          <w:sz w:val="32"/>
          <w:szCs w:val="32"/>
          <w:lang w:val="zh-CN" w:eastAsia="zh-CN"/>
        </w:rPr>
        <w:t>（一）通用指标绩效分析</w:t>
      </w:r>
    </w:p>
    <w:p w14:paraId="7D17D003">
      <w:pPr>
        <w:widowControl/>
        <w:numPr>
          <w:ilvl w:val="0"/>
          <w:numId w:val="0"/>
        </w:numPr>
        <w:ind w:firstLine="640" w:firstLineChars="200"/>
        <w:jc w:val="left"/>
        <w:rPr>
          <w:rFonts w:hint="eastAsia" w:ascii="仿宋_GB2312" w:hAnsi="仿宋_GB2312" w:eastAsia="仿宋_GB2312" w:cs="仿宋_GB2312"/>
          <w:color w:val="auto"/>
          <w:kern w:val="2"/>
          <w:sz w:val="32"/>
          <w:szCs w:val="32"/>
          <w:lang w:val="zh-CN" w:eastAsia="zh-CN"/>
        </w:rPr>
      </w:pPr>
      <w:r>
        <w:rPr>
          <w:rFonts w:hint="eastAsia" w:ascii="仿宋_GB2312" w:hAnsi="仿宋_GB2312" w:eastAsia="仿宋_GB2312" w:cs="仿宋_GB2312"/>
          <w:color w:val="auto"/>
          <w:kern w:val="2"/>
          <w:sz w:val="32"/>
          <w:szCs w:val="32"/>
          <w:lang w:val="zh-CN" w:eastAsia="zh-CN"/>
        </w:rPr>
        <w:t>1.项目决策。茂县沟口镇人民政府负责，补助资金根据各村人口、幅员面积、地理区位、村集体收入和工作绩效等因素分村确定具体的补助标准，沟口镇驻村工作组对完工内容进行验收，沟口镇财务室支付资金。</w:t>
      </w:r>
    </w:p>
    <w:p w14:paraId="46B36A34">
      <w:pPr>
        <w:widowControl/>
        <w:numPr>
          <w:ilvl w:val="0"/>
          <w:numId w:val="0"/>
        </w:numPr>
        <w:ind w:firstLine="640" w:firstLineChars="200"/>
        <w:jc w:val="left"/>
        <w:rPr>
          <w:rFonts w:hint="eastAsia" w:ascii="仿宋_GB2312" w:hAnsi="仿宋_GB2312" w:eastAsia="仿宋_GB2312" w:cs="仿宋_GB2312"/>
          <w:color w:val="auto"/>
          <w:kern w:val="2"/>
          <w:sz w:val="32"/>
          <w:szCs w:val="32"/>
          <w:lang w:val="zh-CN" w:eastAsia="zh-CN"/>
        </w:rPr>
      </w:pPr>
      <w:r>
        <w:rPr>
          <w:rFonts w:hint="eastAsia" w:ascii="仿宋_GB2312" w:hAnsi="仿宋_GB2312" w:eastAsia="仿宋_GB2312" w:cs="仿宋_GB2312"/>
          <w:color w:val="auto"/>
          <w:kern w:val="2"/>
          <w:sz w:val="32"/>
          <w:szCs w:val="32"/>
          <w:lang w:val="zh-CN" w:eastAsia="zh-CN"/>
        </w:rPr>
        <w:t>2.项目管理。镇政府统一监督管理，严禁弄虚作假。</w:t>
      </w:r>
    </w:p>
    <w:p w14:paraId="4CEA18D0">
      <w:pPr>
        <w:widowControl/>
        <w:numPr>
          <w:ilvl w:val="0"/>
          <w:numId w:val="0"/>
        </w:numPr>
        <w:ind w:firstLine="640" w:firstLineChars="200"/>
        <w:jc w:val="left"/>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zh-CN" w:eastAsia="zh-CN"/>
        </w:rPr>
        <w:t>3.项目实施。</w:t>
      </w:r>
      <w:r>
        <w:rPr>
          <w:rFonts w:hint="eastAsia" w:ascii="仿宋_GB2312" w:hAnsi="仿宋_GB2312" w:eastAsia="仿宋_GB2312" w:cs="仿宋_GB2312"/>
          <w:color w:val="auto"/>
          <w:kern w:val="2"/>
          <w:sz w:val="32"/>
          <w:szCs w:val="32"/>
          <w:lang w:val="en-US" w:eastAsia="zh-CN"/>
        </w:rPr>
        <w:t>项目资金由镇财政所具体管理，按投资计划，对项目资金按项目单独核算，实行“专款专用、专人管理”，不得挤占挪用项目资金。指派专人对项目的实施定期或不定期的进行现场检查和监督，及时协调解决困难和问题，保证工程质量。</w:t>
      </w:r>
    </w:p>
    <w:p w14:paraId="15641738">
      <w:pPr>
        <w:widowControl/>
        <w:numPr>
          <w:ilvl w:val="0"/>
          <w:numId w:val="0"/>
        </w:numPr>
        <w:ind w:firstLine="640" w:firstLineChars="200"/>
        <w:jc w:val="left"/>
        <w:rPr>
          <w:rFonts w:hint="eastAsia" w:ascii="仿宋_GB2312" w:hAnsi="仿宋_GB2312" w:eastAsia="仿宋_GB2312" w:cs="仿宋_GB2312"/>
          <w:color w:val="auto"/>
          <w:kern w:val="2"/>
          <w:sz w:val="32"/>
          <w:szCs w:val="32"/>
          <w:lang w:val="zh-CN" w:eastAsia="zh-CN"/>
        </w:rPr>
      </w:pPr>
      <w:r>
        <w:rPr>
          <w:rFonts w:hint="eastAsia" w:ascii="仿宋_GB2312" w:hAnsi="仿宋_GB2312" w:eastAsia="仿宋_GB2312" w:cs="仿宋_GB2312"/>
          <w:color w:val="auto"/>
          <w:kern w:val="2"/>
          <w:sz w:val="32"/>
          <w:szCs w:val="32"/>
          <w:lang w:val="zh-CN" w:eastAsia="zh-CN"/>
        </w:rPr>
        <w:t>4.项目结果。该项目已完成支付。</w:t>
      </w:r>
    </w:p>
    <w:p w14:paraId="6A913995">
      <w:pPr>
        <w:widowControl/>
        <w:numPr>
          <w:ilvl w:val="0"/>
          <w:numId w:val="0"/>
        </w:numPr>
        <w:ind w:firstLine="643" w:firstLineChars="200"/>
        <w:jc w:val="left"/>
        <w:rPr>
          <w:rFonts w:hint="eastAsia" w:ascii="楷体" w:hAnsi="楷体" w:eastAsia="楷体" w:cs="楷体"/>
          <w:b/>
          <w:bCs/>
          <w:color w:val="auto"/>
          <w:kern w:val="2"/>
          <w:sz w:val="32"/>
          <w:szCs w:val="32"/>
          <w:lang w:val="zh-CN" w:eastAsia="zh-CN"/>
        </w:rPr>
      </w:pPr>
      <w:r>
        <w:rPr>
          <w:rFonts w:hint="eastAsia" w:ascii="楷体" w:hAnsi="楷体" w:eastAsia="楷体" w:cs="楷体"/>
          <w:b/>
          <w:bCs/>
          <w:color w:val="auto"/>
          <w:kern w:val="2"/>
          <w:sz w:val="32"/>
          <w:szCs w:val="32"/>
          <w:lang w:val="zh-CN" w:eastAsia="zh-CN"/>
        </w:rPr>
        <w:t>（二）专用指标绩效分析</w:t>
      </w:r>
    </w:p>
    <w:p w14:paraId="08E748D6">
      <w:pPr>
        <w:widowControl/>
        <w:numPr>
          <w:ilvl w:val="0"/>
          <w:numId w:val="0"/>
        </w:numPr>
        <w:ind w:firstLine="643" w:firstLineChars="200"/>
        <w:jc w:val="left"/>
        <w:rPr>
          <w:rFonts w:hint="eastAsia" w:ascii="仿宋_GB2312" w:hAnsi="仿宋_GB2312" w:eastAsia="仿宋_GB2312" w:cs="仿宋_GB2312"/>
          <w:color w:val="auto"/>
          <w:kern w:val="2"/>
          <w:sz w:val="32"/>
          <w:szCs w:val="32"/>
          <w:lang w:val="zh-CN" w:eastAsia="zh-CN"/>
        </w:rPr>
      </w:pPr>
      <w:r>
        <w:rPr>
          <w:rFonts w:hint="eastAsia" w:ascii="仿宋_GB2312" w:hAnsi="仿宋_GB2312" w:eastAsia="仿宋_GB2312" w:cs="仿宋_GB2312"/>
          <w:b/>
          <w:bCs/>
          <w:color w:val="auto"/>
          <w:kern w:val="2"/>
          <w:sz w:val="32"/>
          <w:szCs w:val="32"/>
          <w:lang w:val="zh-CN" w:eastAsia="zh-CN"/>
        </w:rPr>
        <w:t>1.产业发展类。</w:t>
      </w:r>
      <w:r>
        <w:rPr>
          <w:rFonts w:hint="eastAsia" w:ascii="仿宋_GB2312" w:hAnsi="仿宋_GB2312" w:eastAsia="仿宋_GB2312" w:cs="仿宋_GB2312"/>
          <w:color w:val="auto"/>
          <w:kern w:val="2"/>
          <w:sz w:val="32"/>
          <w:szCs w:val="32"/>
          <w:lang w:val="zh-CN" w:eastAsia="zh-CN"/>
        </w:rPr>
        <w:t>通过完善基础设施建设，进一步改善了村级的基础设施和公共服务，扩大了农村基层民主。</w:t>
      </w:r>
    </w:p>
    <w:p w14:paraId="0210F08A">
      <w:pPr>
        <w:pStyle w:val="14"/>
        <w:ind w:left="0" w:leftChars="0" w:firstLine="643" w:firstLineChars="200"/>
        <w:rPr>
          <w:rFonts w:hint="eastAsia"/>
          <w:lang w:val="zh-CN" w:eastAsia="zh-CN"/>
        </w:rPr>
      </w:pPr>
      <w:r>
        <w:rPr>
          <w:rFonts w:hint="eastAsia" w:ascii="仿宋_GB2312" w:hAnsi="仿宋_GB2312" w:eastAsia="仿宋_GB2312" w:cs="仿宋_GB2312"/>
          <w:b/>
          <w:bCs/>
          <w:color w:val="auto"/>
          <w:kern w:val="2"/>
          <w:sz w:val="32"/>
          <w:szCs w:val="32"/>
          <w:lang w:val="zh-CN" w:eastAsia="zh-CN"/>
        </w:rPr>
        <w:t>2.民生保障类。</w:t>
      </w:r>
      <w:r>
        <w:rPr>
          <w:rFonts w:hint="eastAsia" w:ascii="仿宋_GB2312" w:hAnsi="仿宋_GB2312" w:eastAsia="仿宋_GB2312" w:cs="仿宋_GB2312"/>
          <w:color w:val="auto"/>
          <w:kern w:val="2"/>
          <w:sz w:val="32"/>
          <w:szCs w:val="32"/>
          <w:lang w:val="zh-CN" w:eastAsia="zh-CN"/>
        </w:rPr>
        <w:t>完善了村民自治，密切了党和政府同农</w:t>
      </w:r>
    </w:p>
    <w:p w14:paraId="00762137">
      <w:pPr>
        <w:widowControl/>
        <w:numPr>
          <w:ilvl w:val="0"/>
          <w:numId w:val="0"/>
        </w:numPr>
        <w:jc w:val="left"/>
        <w:rPr>
          <w:rFonts w:hint="eastAsia" w:ascii="仿宋_GB2312" w:hAnsi="仿宋_GB2312" w:eastAsia="仿宋_GB2312" w:cs="仿宋_GB2312"/>
          <w:color w:val="auto"/>
          <w:kern w:val="2"/>
          <w:sz w:val="32"/>
          <w:szCs w:val="32"/>
          <w:lang w:val="zh-CN" w:eastAsia="zh-CN"/>
        </w:rPr>
      </w:pPr>
      <w:r>
        <w:rPr>
          <w:rFonts w:hint="eastAsia" w:ascii="仿宋_GB2312" w:hAnsi="仿宋_GB2312" w:eastAsia="仿宋_GB2312" w:cs="仿宋_GB2312"/>
          <w:color w:val="auto"/>
          <w:kern w:val="2"/>
          <w:sz w:val="32"/>
          <w:szCs w:val="32"/>
          <w:lang w:val="zh-CN" w:eastAsia="zh-CN"/>
        </w:rPr>
        <w:t>民群众的关系，满足了农民群众的需求，也为我镇的村级项目建设起到了示范和引领作用。</w:t>
      </w:r>
    </w:p>
    <w:p w14:paraId="6705A30D">
      <w:pPr>
        <w:widowControl/>
        <w:numPr>
          <w:ilvl w:val="0"/>
          <w:numId w:val="0"/>
        </w:numPr>
        <w:ind w:firstLine="643" w:firstLineChars="200"/>
        <w:jc w:val="left"/>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b/>
          <w:bCs/>
          <w:color w:val="auto"/>
          <w:kern w:val="2"/>
          <w:sz w:val="32"/>
          <w:szCs w:val="32"/>
          <w:lang w:val="zh-CN" w:eastAsia="zh-CN"/>
        </w:rPr>
        <w:t>3.基础设施类。</w:t>
      </w:r>
      <w:r>
        <w:rPr>
          <w:rFonts w:hint="eastAsia" w:ascii="仿宋_GB2312" w:hAnsi="仿宋_GB2312" w:eastAsia="仿宋_GB2312" w:cs="仿宋_GB2312"/>
          <w:color w:val="auto"/>
          <w:kern w:val="2"/>
          <w:sz w:val="32"/>
          <w:szCs w:val="32"/>
          <w:lang w:val="zh-CN" w:eastAsia="zh-CN"/>
        </w:rPr>
        <w:t>采取专户核算、专款专用。</w:t>
      </w:r>
      <w:r>
        <w:rPr>
          <w:rFonts w:hint="eastAsia" w:ascii="仿宋_GB2312" w:hAnsi="仿宋_GB2312" w:eastAsia="仿宋_GB2312" w:cs="仿宋_GB2312"/>
          <w:color w:val="auto"/>
          <w:kern w:val="2"/>
          <w:sz w:val="32"/>
          <w:szCs w:val="32"/>
          <w:lang w:val="en-US" w:eastAsia="zh-CN"/>
        </w:rPr>
        <w:t>建立台账，明确到村保障资金数额，确保保障资金用于村内</w:t>
      </w:r>
      <w:r>
        <w:rPr>
          <w:rFonts w:hint="eastAsia" w:ascii="仿宋_GB2312" w:hAnsi="仿宋_GB2312" w:eastAsia="仿宋_GB2312" w:cs="仿宋_GB2312"/>
          <w:color w:val="auto"/>
          <w:kern w:val="2"/>
          <w:sz w:val="32"/>
          <w:szCs w:val="32"/>
          <w:lang w:val="en-US" w:eastAsia="zh-CN"/>
        </w:rPr>
        <w:fldChar w:fldCharType="begin"/>
      </w:r>
      <w:r>
        <w:rPr>
          <w:rFonts w:hint="eastAsia" w:ascii="仿宋_GB2312" w:hAnsi="仿宋_GB2312" w:eastAsia="仿宋_GB2312" w:cs="仿宋_GB2312"/>
          <w:color w:val="auto"/>
          <w:kern w:val="2"/>
          <w:sz w:val="32"/>
          <w:szCs w:val="32"/>
          <w:lang w:val="en-US" w:eastAsia="zh-CN"/>
        </w:rPr>
        <w:instrText xml:space="preserve"> HYPERLINK "https://wenwen.sogou.com/s/?w=%E5%85%AC%E5%85%B1%E6%9C%8D%E5%8A%A1%E8%AE%BE%E6%96%BD&amp;ch=ww.xqy.chain" \t "_blank" </w:instrText>
      </w:r>
      <w:r>
        <w:rPr>
          <w:rFonts w:hint="eastAsia" w:ascii="仿宋_GB2312" w:hAnsi="仿宋_GB2312" w:eastAsia="仿宋_GB2312" w:cs="仿宋_GB2312"/>
          <w:color w:val="auto"/>
          <w:kern w:val="2"/>
          <w:sz w:val="32"/>
          <w:szCs w:val="32"/>
          <w:lang w:val="en-US" w:eastAsia="zh-CN"/>
        </w:rPr>
        <w:fldChar w:fldCharType="separate"/>
      </w:r>
      <w:r>
        <w:rPr>
          <w:rFonts w:hint="eastAsia" w:ascii="仿宋_GB2312" w:hAnsi="仿宋_GB2312" w:eastAsia="仿宋_GB2312" w:cs="仿宋_GB2312"/>
          <w:color w:val="auto"/>
          <w:kern w:val="2"/>
          <w:sz w:val="32"/>
          <w:szCs w:val="32"/>
          <w:lang w:val="en-US" w:eastAsia="zh-CN"/>
        </w:rPr>
        <w:t>公共服务设施</w:t>
      </w:r>
      <w:r>
        <w:rPr>
          <w:rFonts w:hint="eastAsia" w:ascii="仿宋_GB2312" w:hAnsi="仿宋_GB2312" w:eastAsia="仿宋_GB2312" w:cs="仿宋_GB2312"/>
          <w:color w:val="auto"/>
          <w:kern w:val="2"/>
          <w:sz w:val="32"/>
          <w:szCs w:val="32"/>
          <w:lang w:val="en-US" w:eastAsia="zh-CN"/>
        </w:rPr>
        <w:fldChar w:fldCharType="end"/>
      </w:r>
      <w:r>
        <w:rPr>
          <w:rFonts w:hint="eastAsia" w:ascii="仿宋_GB2312" w:hAnsi="仿宋_GB2312" w:eastAsia="仿宋_GB2312" w:cs="仿宋_GB2312"/>
          <w:color w:val="auto"/>
          <w:kern w:val="2"/>
          <w:sz w:val="32"/>
          <w:szCs w:val="32"/>
          <w:lang w:val="en-US" w:eastAsia="zh-CN"/>
        </w:rPr>
        <w:t>运行维护，防止挪用和平调。</w:t>
      </w:r>
    </w:p>
    <w:p w14:paraId="13D0AD14">
      <w:pPr>
        <w:widowControl/>
        <w:numPr>
          <w:ilvl w:val="0"/>
          <w:numId w:val="0"/>
        </w:numPr>
        <w:ind w:firstLine="643" w:firstLineChars="200"/>
        <w:jc w:val="left"/>
        <w:rPr>
          <w:rFonts w:hint="eastAsia" w:ascii="仿宋_GB2312" w:hAnsi="仿宋_GB2312" w:eastAsia="仿宋_GB2312" w:cs="仿宋_GB2312"/>
          <w:color w:val="auto"/>
          <w:kern w:val="2"/>
          <w:sz w:val="32"/>
          <w:szCs w:val="32"/>
          <w:lang w:val="zh-CN" w:eastAsia="zh-CN"/>
        </w:rPr>
      </w:pPr>
      <w:r>
        <w:rPr>
          <w:rFonts w:hint="eastAsia" w:ascii="仿宋_GB2312" w:hAnsi="仿宋_GB2312" w:eastAsia="仿宋_GB2312" w:cs="仿宋_GB2312"/>
          <w:b/>
          <w:bCs/>
          <w:color w:val="auto"/>
          <w:kern w:val="2"/>
          <w:sz w:val="32"/>
          <w:szCs w:val="32"/>
          <w:lang w:val="zh-CN" w:eastAsia="zh-CN"/>
        </w:rPr>
        <w:t>4.行政运转类。</w:t>
      </w:r>
      <w:r>
        <w:rPr>
          <w:rFonts w:hint="eastAsia" w:ascii="仿宋_GB2312" w:hAnsi="仿宋_GB2312" w:eastAsia="仿宋_GB2312" w:cs="仿宋_GB2312"/>
          <w:color w:val="auto"/>
          <w:kern w:val="2"/>
          <w:sz w:val="32"/>
          <w:szCs w:val="32"/>
          <w:lang w:val="zh-CN" w:eastAsia="zh-CN"/>
        </w:rPr>
        <w:t>项目用途合规、程序合规、标准合规，</w:t>
      </w:r>
      <w:r>
        <w:rPr>
          <w:rFonts w:hint="eastAsia" w:ascii="仿宋_GB2312" w:hAnsi="仿宋_GB2312" w:eastAsia="仿宋_GB2312" w:cs="仿宋_GB2312"/>
          <w:color w:val="auto"/>
          <w:kern w:val="2"/>
          <w:sz w:val="32"/>
          <w:szCs w:val="32"/>
          <w:lang w:val="en-US" w:eastAsia="zh-CN"/>
        </w:rPr>
        <w:t>收支合理、手续完备、数字准确、账目清楚。</w:t>
      </w:r>
    </w:p>
    <w:p w14:paraId="5B5D1D4E">
      <w:pPr>
        <w:widowControl/>
        <w:numPr>
          <w:ilvl w:val="0"/>
          <w:numId w:val="0"/>
        </w:numPr>
        <w:ind w:firstLine="643" w:firstLineChars="200"/>
        <w:jc w:val="left"/>
        <w:rPr>
          <w:rFonts w:hint="eastAsia" w:ascii="楷体" w:hAnsi="楷体" w:eastAsia="楷体" w:cs="楷体"/>
          <w:b/>
          <w:bCs/>
          <w:color w:val="auto"/>
          <w:kern w:val="2"/>
          <w:sz w:val="32"/>
          <w:szCs w:val="32"/>
          <w:lang w:val="zh-CN" w:eastAsia="zh-CN"/>
        </w:rPr>
      </w:pPr>
      <w:r>
        <w:rPr>
          <w:rFonts w:hint="eastAsia" w:ascii="楷体" w:hAnsi="楷体" w:eastAsia="楷体" w:cs="楷体"/>
          <w:b/>
          <w:bCs/>
          <w:color w:val="auto"/>
          <w:kern w:val="2"/>
          <w:sz w:val="32"/>
          <w:szCs w:val="32"/>
          <w:lang w:val="zh-CN" w:eastAsia="zh-CN"/>
        </w:rPr>
        <w:t>（三）个性指标绩效分析</w:t>
      </w:r>
    </w:p>
    <w:p w14:paraId="2B72F971">
      <w:pPr>
        <w:widowControl/>
        <w:numPr>
          <w:ilvl w:val="0"/>
          <w:numId w:val="0"/>
        </w:numPr>
        <w:ind w:firstLine="640" w:firstLineChars="200"/>
        <w:jc w:val="left"/>
        <w:rPr>
          <w:rFonts w:hint="default"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时效指标：项目于2024年底完成支付，完成率96.88%。</w:t>
      </w:r>
    </w:p>
    <w:p w14:paraId="7EEDEBBE">
      <w:pPr>
        <w:widowControl/>
        <w:numPr>
          <w:ilvl w:val="0"/>
          <w:numId w:val="0"/>
        </w:numPr>
        <w:ind w:firstLine="643" w:firstLineChars="200"/>
        <w:jc w:val="left"/>
        <w:rPr>
          <w:rFonts w:hint="eastAsia" w:ascii="仿宋_GB2312" w:hAnsi="仿宋_GB2312" w:eastAsia="仿宋_GB2312" w:cs="仿宋_GB2312"/>
          <w:b/>
          <w:bCs/>
          <w:color w:val="auto"/>
          <w:kern w:val="2"/>
          <w:sz w:val="32"/>
          <w:szCs w:val="32"/>
          <w:lang w:val="en-US" w:eastAsia="zh-CN"/>
        </w:rPr>
      </w:pPr>
      <w:r>
        <w:rPr>
          <w:rFonts w:hint="eastAsia" w:ascii="仿宋_GB2312" w:hAnsi="仿宋_GB2312" w:eastAsia="仿宋_GB2312" w:cs="仿宋_GB2312"/>
          <w:b/>
          <w:bCs/>
          <w:color w:val="auto"/>
          <w:kern w:val="2"/>
          <w:sz w:val="32"/>
          <w:szCs w:val="32"/>
          <w:lang w:val="en-US" w:eastAsia="zh-CN"/>
        </w:rPr>
        <w:t>（四）评价结论</w:t>
      </w:r>
    </w:p>
    <w:p w14:paraId="262D2203">
      <w:pPr>
        <w:pStyle w:val="2"/>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_GB2312" w:eastAsia="仿宋_GB2312" w:cs="仿宋_GB2312"/>
          <w:color w:val="auto"/>
          <w:kern w:val="2"/>
          <w:sz w:val="32"/>
          <w:szCs w:val="32"/>
          <w:lang w:val="en-US" w:eastAsia="zh-CN"/>
        </w:rPr>
      </w:pPr>
      <w:r>
        <w:rPr>
          <w:rFonts w:hint="eastAsia" w:ascii="仿宋_GB2312" w:hAnsi="宋体" w:eastAsia="仿宋_GB2312"/>
          <w:color w:val="auto"/>
          <w:kern w:val="2"/>
          <w:sz w:val="32"/>
          <w:szCs w:val="32"/>
        </w:rPr>
        <w:t>该项目有利于乡村党群事业发展，为实现乡村振兴添砖加瓦，</w:t>
      </w:r>
      <w:r>
        <w:rPr>
          <w:rFonts w:hint="eastAsia" w:ascii="仿宋_GB2312" w:hAnsi="仿宋_GB2312" w:eastAsia="仿宋_GB2312" w:cs="仿宋_GB2312"/>
          <w:color w:val="auto"/>
          <w:kern w:val="2"/>
          <w:sz w:val="32"/>
          <w:szCs w:val="32"/>
          <w:lang w:val="en-US" w:eastAsia="zh-CN"/>
        </w:rPr>
        <w:t>保障农民利益，拓展乡村产业融合渠道与合作开发领域，有利于促进当地经济发展，早日实现乡村振兴。</w:t>
      </w:r>
    </w:p>
    <w:p w14:paraId="6F76B275">
      <w:pPr>
        <w:pStyle w:val="8"/>
        <w:keepNext w:val="0"/>
        <w:keepLines w:val="0"/>
        <w:pageBreakBefore w:val="0"/>
        <w:numPr>
          <w:ilvl w:val="0"/>
          <w:numId w:val="6"/>
        </w:numPr>
        <w:tabs>
          <w:tab w:val="left" w:pos="2160"/>
        </w:tabs>
        <w:kinsoku/>
        <w:wordWrap/>
        <w:overflowPunct/>
        <w:topLinePunct w:val="0"/>
        <w:autoSpaceDE/>
        <w:autoSpaceDN/>
        <w:bidi w:val="0"/>
        <w:spacing w:line="560" w:lineRule="exact"/>
        <w:ind w:left="197" w:leftChars="0" w:firstLine="643" w:firstLineChars="0"/>
        <w:textAlignment w:val="auto"/>
        <w:rPr>
          <w:rFonts w:hint="default" w:ascii="黑体" w:hAnsi="黑体" w:eastAsia="黑体" w:cs="黑体"/>
          <w:b w:val="0"/>
          <w:bCs w:val="0"/>
          <w:color w:val="000000"/>
          <w:kern w:val="0"/>
          <w:sz w:val="32"/>
          <w:szCs w:val="32"/>
          <w:shd w:val="clear" w:color="auto" w:fill="FFFFFF"/>
          <w:lang w:val="en-US" w:eastAsia="zh-CN" w:bidi="ar-SA"/>
        </w:rPr>
      </w:pPr>
      <w:r>
        <w:rPr>
          <w:rFonts w:hint="eastAsia" w:ascii="黑体" w:hAnsi="黑体" w:eastAsia="黑体" w:cs="黑体"/>
          <w:b w:val="0"/>
          <w:bCs w:val="0"/>
          <w:color w:val="000000"/>
          <w:kern w:val="0"/>
          <w:sz w:val="32"/>
          <w:szCs w:val="32"/>
          <w:shd w:val="clear" w:color="auto" w:fill="FFFFFF"/>
          <w:lang w:val="zh-CN" w:eastAsia="zh-CN" w:bidi="ar-SA"/>
        </w:rPr>
        <w:t>存在主要问题</w:t>
      </w:r>
    </w:p>
    <w:p w14:paraId="7339AE4C">
      <w:pPr>
        <w:pStyle w:val="8"/>
        <w:keepNext w:val="0"/>
        <w:keepLines w:val="0"/>
        <w:pageBreakBefore w:val="0"/>
        <w:numPr>
          <w:ilvl w:val="0"/>
          <w:numId w:val="0"/>
        </w:numPr>
        <w:tabs>
          <w:tab w:val="left" w:pos="2160"/>
        </w:tabs>
        <w:kinsoku/>
        <w:wordWrap/>
        <w:overflowPunct/>
        <w:topLinePunct w:val="0"/>
        <w:autoSpaceDE/>
        <w:autoSpaceDN/>
        <w:bidi w:val="0"/>
        <w:spacing w:line="560" w:lineRule="exact"/>
        <w:ind w:firstLine="640" w:firstLineChars="200"/>
        <w:textAlignment w:val="auto"/>
        <w:rPr>
          <w:rFonts w:hint="default" w:ascii="仿宋_GB2312" w:hAnsi="宋体" w:eastAsia="仿宋_GB2312" w:cs="Times New Roman"/>
          <w:color w:val="auto"/>
          <w:kern w:val="2"/>
          <w:position w:val="0"/>
          <w:sz w:val="32"/>
          <w:szCs w:val="32"/>
          <w:lang w:val="en-US" w:eastAsia="zh-CN" w:bidi="ar-SA"/>
        </w:rPr>
      </w:pPr>
      <w:r>
        <w:rPr>
          <w:rFonts w:hint="eastAsia" w:hAnsi="宋体" w:cs="Times New Roman"/>
          <w:color w:val="auto"/>
          <w:kern w:val="2"/>
          <w:position w:val="0"/>
          <w:sz w:val="32"/>
          <w:szCs w:val="32"/>
          <w:lang w:val="en-US" w:eastAsia="zh-CN" w:bidi="ar-SA"/>
        </w:rPr>
        <w:t>专项预算项目绩效自评未发现主要问题。</w:t>
      </w:r>
    </w:p>
    <w:p w14:paraId="349ACEFE">
      <w:pPr>
        <w:pStyle w:val="8"/>
        <w:keepNext w:val="0"/>
        <w:keepLines w:val="0"/>
        <w:pageBreakBefore w:val="0"/>
        <w:numPr>
          <w:ilvl w:val="0"/>
          <w:numId w:val="6"/>
        </w:numPr>
        <w:tabs>
          <w:tab w:val="left" w:pos="2160"/>
        </w:tabs>
        <w:kinsoku/>
        <w:wordWrap/>
        <w:overflowPunct/>
        <w:topLinePunct w:val="0"/>
        <w:autoSpaceDE/>
        <w:autoSpaceDN/>
        <w:bidi w:val="0"/>
        <w:spacing w:line="560" w:lineRule="exact"/>
        <w:ind w:left="197" w:leftChars="0" w:firstLine="643" w:firstLineChars="0"/>
        <w:textAlignment w:val="auto"/>
        <w:rPr>
          <w:rFonts w:hint="eastAsia" w:ascii="黑体" w:hAnsi="黑体" w:eastAsia="黑体" w:cs="黑体"/>
          <w:b w:val="0"/>
          <w:bCs w:val="0"/>
          <w:color w:val="000000"/>
          <w:kern w:val="0"/>
          <w:sz w:val="32"/>
          <w:szCs w:val="32"/>
          <w:shd w:val="clear" w:color="auto" w:fill="FFFFFF"/>
          <w:lang w:val="zh-CN" w:eastAsia="zh-CN" w:bidi="ar-SA"/>
        </w:rPr>
      </w:pPr>
      <w:r>
        <w:rPr>
          <w:rFonts w:hint="eastAsia" w:ascii="黑体" w:hAnsi="黑体" w:eastAsia="黑体" w:cs="黑体"/>
          <w:b w:val="0"/>
          <w:bCs w:val="0"/>
          <w:color w:val="000000"/>
          <w:kern w:val="0"/>
          <w:sz w:val="32"/>
          <w:szCs w:val="32"/>
          <w:shd w:val="clear" w:color="auto" w:fill="FFFFFF"/>
          <w:lang w:val="zh-CN" w:eastAsia="zh-CN" w:bidi="ar-SA"/>
        </w:rPr>
        <w:t>改进建议</w:t>
      </w:r>
    </w:p>
    <w:p w14:paraId="79B82BDC">
      <w:pPr>
        <w:snapToGrid w:val="0"/>
        <w:spacing w:line="578" w:lineRule="exact"/>
        <w:ind w:firstLine="640" w:firstLineChars="200"/>
        <w:rPr>
          <w:rFonts w:hint="default" w:ascii="黑体" w:hAnsi="黑体" w:eastAsia="黑体" w:cs="黑体"/>
          <w:kern w:val="0"/>
          <w:sz w:val="32"/>
          <w:szCs w:val="32"/>
          <w:shd w:val="clear" w:color="auto" w:fill="FFFFFF"/>
          <w:lang w:val="en-US" w:eastAsia="zh-CN"/>
        </w:rPr>
      </w:pPr>
      <w:r>
        <w:rPr>
          <w:rFonts w:hint="eastAsia" w:ascii="仿宋_GB2312" w:hAnsi="宋体" w:eastAsia="仿宋_GB2312" w:cs="Times New Roman"/>
          <w:color w:val="auto"/>
          <w:kern w:val="2"/>
          <w:position w:val="0"/>
          <w:sz w:val="32"/>
          <w:szCs w:val="32"/>
          <w:lang w:val="en-US" w:eastAsia="zh-CN" w:bidi="ar-SA"/>
        </w:rPr>
        <w:t>专项预算项目在预算安排、完善政策、改进管理等方面的无措施建设。</w:t>
      </w:r>
    </w:p>
    <w:p w14:paraId="63586DB4">
      <w:pPr>
        <w:widowControl/>
        <w:numPr>
          <w:ilvl w:val="0"/>
          <w:numId w:val="0"/>
        </w:numPr>
        <w:ind w:firstLine="960" w:firstLineChars="300"/>
        <w:jc w:val="left"/>
        <w:rPr>
          <w:rFonts w:hint="eastAsia" w:ascii="仿宋_GB2312" w:hAnsi="仿宋_GB2312" w:eastAsia="仿宋_GB2312" w:cs="仿宋_GB2312"/>
          <w:color w:val="auto"/>
          <w:kern w:val="2"/>
          <w:sz w:val="32"/>
          <w:szCs w:val="32"/>
          <w:lang w:val="zh-CN" w:eastAsia="zh-CN"/>
        </w:rPr>
      </w:pPr>
    </w:p>
    <w:p w14:paraId="52B392EF">
      <w:pPr>
        <w:widowControl/>
        <w:numPr>
          <w:ilvl w:val="0"/>
          <w:numId w:val="0"/>
        </w:numPr>
        <w:ind w:firstLine="640" w:firstLineChars="200"/>
        <w:jc w:val="left"/>
        <w:rPr>
          <w:rFonts w:eastAsia="黑体"/>
          <w:kern w:val="0"/>
          <w:shd w:val="clear" w:color="auto" w:fill="FFFFFF"/>
        </w:rPr>
      </w:pPr>
      <w:r>
        <w:rPr>
          <w:rFonts w:hint="eastAsia" w:ascii="仿宋_GB2312" w:hAnsi="仿宋_GB2312" w:eastAsia="仿宋_GB2312" w:cs="仿宋_GB2312"/>
          <w:color w:val="auto"/>
          <w:kern w:val="2"/>
          <w:sz w:val="32"/>
          <w:szCs w:val="32"/>
          <w:lang w:val="zh-CN" w:eastAsia="zh-CN"/>
        </w:rPr>
        <w:br w:type="page"/>
      </w:r>
      <w:r>
        <w:rPr>
          <w:rFonts w:eastAsia="黑体"/>
          <w:kern w:val="0"/>
          <w:shd w:val="clear" w:color="auto" w:fill="FFFFFF"/>
          <w:lang w:val="zh-CN"/>
        </w:rPr>
        <w:t>附表</w:t>
      </w:r>
      <w:r>
        <w:rPr>
          <w:rFonts w:eastAsia="黑体"/>
          <w:kern w:val="0"/>
          <w:shd w:val="clear" w:color="auto" w:fill="FFFFFF"/>
        </w:rPr>
        <w:t>1</w:t>
      </w:r>
    </w:p>
    <w:p w14:paraId="6FACB35C">
      <w:pPr>
        <w:spacing w:line="578" w:lineRule="exact"/>
        <w:jc w:val="center"/>
        <w:rPr>
          <w:rFonts w:eastAsia="方正小标宋_GBK"/>
          <w:sz w:val="40"/>
          <w:szCs w:val="40"/>
        </w:rPr>
      </w:pPr>
      <w:r>
        <w:rPr>
          <w:rFonts w:hint="eastAsia" w:eastAsia="方正小标宋_GBK"/>
          <w:sz w:val="40"/>
          <w:szCs w:val="40"/>
        </w:rPr>
        <w:t>专项</w:t>
      </w:r>
      <w:r>
        <w:rPr>
          <w:rFonts w:eastAsia="方正小标宋_GBK"/>
          <w:sz w:val="40"/>
          <w:szCs w:val="40"/>
        </w:rPr>
        <w:t>预算绩效自评打分表</w:t>
      </w:r>
    </w:p>
    <w:tbl>
      <w:tblPr>
        <w:tblStyle w:val="16"/>
        <w:tblW w:w="10901" w:type="dxa"/>
        <w:jc w:val="center"/>
        <w:tblLayout w:type="fixed"/>
        <w:tblCellMar>
          <w:top w:w="0" w:type="dxa"/>
          <w:left w:w="108" w:type="dxa"/>
          <w:bottom w:w="0" w:type="dxa"/>
          <w:right w:w="108" w:type="dxa"/>
        </w:tblCellMar>
      </w:tblPr>
      <w:tblGrid>
        <w:gridCol w:w="720"/>
        <w:gridCol w:w="765"/>
        <w:gridCol w:w="825"/>
        <w:gridCol w:w="1355"/>
        <w:gridCol w:w="696"/>
        <w:gridCol w:w="5340"/>
        <w:gridCol w:w="732"/>
        <w:gridCol w:w="468"/>
      </w:tblGrid>
      <w:tr w14:paraId="09926EDF">
        <w:tblPrEx>
          <w:tblCellMar>
            <w:top w:w="0" w:type="dxa"/>
            <w:left w:w="108" w:type="dxa"/>
            <w:bottom w:w="0" w:type="dxa"/>
            <w:right w:w="108" w:type="dxa"/>
          </w:tblCellMar>
        </w:tblPrEx>
        <w:trPr>
          <w:trHeight w:val="23" w:hRule="atLeast"/>
          <w:jc w:val="center"/>
        </w:trPr>
        <w:tc>
          <w:tcPr>
            <w:tcW w:w="4361" w:type="dxa"/>
            <w:gridSpan w:val="5"/>
            <w:tcBorders>
              <w:top w:val="single" w:color="000000" w:sz="4" w:space="0"/>
              <w:left w:val="single" w:color="000000" w:sz="4" w:space="0"/>
              <w:bottom w:val="nil"/>
              <w:right w:val="nil"/>
            </w:tcBorders>
            <w:noWrap w:val="0"/>
            <w:vAlign w:val="center"/>
          </w:tcPr>
          <w:p w14:paraId="06E19CB7">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绩效评价指标</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14:paraId="31AC00F1">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指标解释</w:t>
            </w:r>
          </w:p>
        </w:tc>
        <w:tc>
          <w:tcPr>
            <w:tcW w:w="732" w:type="dxa"/>
            <w:vMerge w:val="restart"/>
            <w:tcBorders>
              <w:top w:val="single" w:color="000000" w:sz="4" w:space="0"/>
              <w:left w:val="single" w:color="000000" w:sz="4" w:space="0"/>
              <w:right w:val="single" w:color="000000" w:sz="4" w:space="0"/>
            </w:tcBorders>
            <w:noWrap w:val="0"/>
            <w:vAlign w:val="center"/>
          </w:tcPr>
          <w:p w14:paraId="0E545746">
            <w:pPr>
              <w:widowControl/>
              <w:spacing w:line="240" w:lineRule="exact"/>
              <w:jc w:val="center"/>
              <w:textAlignment w:val="center"/>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自评得分</w:t>
            </w:r>
          </w:p>
        </w:tc>
        <w:tc>
          <w:tcPr>
            <w:tcW w:w="468" w:type="dxa"/>
            <w:vMerge w:val="restart"/>
            <w:tcBorders>
              <w:top w:val="single" w:color="000000" w:sz="4" w:space="0"/>
              <w:left w:val="single" w:color="000000" w:sz="4" w:space="0"/>
              <w:right w:val="single" w:color="000000" w:sz="4" w:space="0"/>
            </w:tcBorders>
            <w:noWrap w:val="0"/>
            <w:vAlign w:val="center"/>
          </w:tcPr>
          <w:p w14:paraId="381E6CE2">
            <w:pPr>
              <w:widowControl/>
              <w:spacing w:line="240" w:lineRule="exact"/>
              <w:jc w:val="center"/>
              <w:textAlignment w:val="center"/>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备注</w:t>
            </w:r>
          </w:p>
        </w:tc>
      </w:tr>
      <w:tr w14:paraId="5FDBAF24">
        <w:tblPrEx>
          <w:tblCellMar>
            <w:top w:w="0" w:type="dxa"/>
            <w:left w:w="108" w:type="dxa"/>
            <w:bottom w:w="0" w:type="dxa"/>
            <w:right w:w="108" w:type="dxa"/>
          </w:tblCellMar>
        </w:tblPrEx>
        <w:trPr>
          <w:trHeight w:val="23" w:hRule="atLeast"/>
          <w:jc w:val="center"/>
        </w:trPr>
        <w:tc>
          <w:tcPr>
            <w:tcW w:w="720" w:type="dxa"/>
            <w:tcBorders>
              <w:top w:val="single" w:color="000000" w:sz="4" w:space="0"/>
              <w:left w:val="single" w:color="000000" w:sz="4" w:space="0"/>
              <w:bottom w:val="single" w:color="000000" w:sz="4" w:space="0"/>
              <w:right w:val="single" w:color="000000" w:sz="4" w:space="0"/>
            </w:tcBorders>
            <w:noWrap w:val="0"/>
            <w:vAlign w:val="center"/>
          </w:tcPr>
          <w:p w14:paraId="437BDF00">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一级指标</w:t>
            </w:r>
          </w:p>
        </w:tc>
        <w:tc>
          <w:tcPr>
            <w:tcW w:w="1590" w:type="dxa"/>
            <w:gridSpan w:val="2"/>
            <w:tcBorders>
              <w:top w:val="single" w:color="000000" w:sz="4" w:space="0"/>
              <w:left w:val="single" w:color="000000" w:sz="4" w:space="0"/>
              <w:bottom w:val="single" w:color="000000" w:sz="4" w:space="0"/>
              <w:right w:val="single" w:color="000000" w:sz="4" w:space="0"/>
            </w:tcBorders>
            <w:noWrap w:val="0"/>
            <w:vAlign w:val="center"/>
          </w:tcPr>
          <w:p w14:paraId="54918F87">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二级指标</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7733925">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三级指标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F23BF60">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指标</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分值</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A9BAAE">
            <w:pPr>
              <w:widowControl/>
              <w:spacing w:line="240" w:lineRule="exact"/>
              <w:jc w:val="center"/>
              <w:rPr>
                <w:rFonts w:hint="eastAsia" w:ascii="仿宋_GB2312" w:hAnsi="仿宋_GB2312" w:eastAsia="仿宋_GB2312" w:cs="仿宋_GB2312"/>
                <w:color w:val="000000"/>
                <w:sz w:val="21"/>
                <w:szCs w:val="21"/>
              </w:rPr>
            </w:pPr>
          </w:p>
        </w:tc>
        <w:tc>
          <w:tcPr>
            <w:tcW w:w="732" w:type="dxa"/>
            <w:vMerge w:val="continue"/>
            <w:tcBorders>
              <w:left w:val="single" w:color="000000" w:sz="4" w:space="0"/>
              <w:bottom w:val="single" w:color="000000" w:sz="4" w:space="0"/>
              <w:right w:val="single" w:color="000000" w:sz="4" w:space="0"/>
            </w:tcBorders>
            <w:noWrap w:val="0"/>
            <w:vAlign w:val="center"/>
          </w:tcPr>
          <w:p w14:paraId="6A0E1AA7">
            <w:pPr>
              <w:widowControl/>
              <w:spacing w:line="240" w:lineRule="exact"/>
              <w:jc w:val="center"/>
              <w:rPr>
                <w:rFonts w:hint="eastAsia" w:ascii="仿宋_GB2312" w:hAnsi="仿宋_GB2312" w:eastAsia="仿宋_GB2312" w:cs="仿宋_GB2312"/>
                <w:color w:val="000000"/>
                <w:sz w:val="21"/>
                <w:szCs w:val="21"/>
              </w:rPr>
            </w:pPr>
          </w:p>
        </w:tc>
        <w:tc>
          <w:tcPr>
            <w:tcW w:w="468" w:type="dxa"/>
            <w:vMerge w:val="continue"/>
            <w:tcBorders>
              <w:left w:val="single" w:color="000000" w:sz="4" w:space="0"/>
              <w:bottom w:val="single" w:color="000000" w:sz="4" w:space="0"/>
              <w:right w:val="single" w:color="000000" w:sz="4" w:space="0"/>
            </w:tcBorders>
            <w:noWrap w:val="0"/>
            <w:vAlign w:val="center"/>
          </w:tcPr>
          <w:p w14:paraId="49973615">
            <w:pPr>
              <w:widowControl/>
              <w:spacing w:line="240" w:lineRule="exact"/>
              <w:jc w:val="center"/>
              <w:rPr>
                <w:rFonts w:hint="eastAsia" w:ascii="仿宋_GB2312" w:hAnsi="仿宋_GB2312" w:eastAsia="仿宋_GB2312" w:cs="仿宋_GB2312"/>
                <w:color w:val="000000"/>
                <w:sz w:val="21"/>
                <w:szCs w:val="21"/>
              </w:rPr>
            </w:pPr>
          </w:p>
        </w:tc>
      </w:tr>
      <w:tr w14:paraId="3A0A19D0">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7B27D2FE">
            <w:pPr>
              <w:widowControl/>
              <w:spacing w:line="24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通用指标</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（54分）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4C47734">
            <w:pPr>
              <w:widowControl/>
              <w:spacing w:line="24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项目决策</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99E7954">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决策程序</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7898FC7">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E8AF2B4">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项目决策程序是否严密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FFDFFC8">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326F2F8">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7C027B62">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C1C892">
            <w:pPr>
              <w:widowControl/>
              <w:spacing w:line="24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65211C8">
            <w:pPr>
              <w:widowControl/>
              <w:spacing w:line="24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70C5BBE">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规划论证</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5FA2B66">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31DCB50">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项目规划论证是否符合中省要求，项目绩效目标设置是否科学合理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19BCB2F">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36B123B">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2B12CC4C">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E98C8D">
            <w:pPr>
              <w:widowControl/>
              <w:spacing w:line="24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DFF0575">
            <w:pPr>
              <w:widowControl/>
              <w:spacing w:line="24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AA9C1E9">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资金投向</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FED8804">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55C1BEB">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项目资金是否与项目总体规划、相关行业事业发展相匹配，是否聚焦重大任务、重点领域、重点环节和重点项目</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19BC305">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5D6B15E">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38563800">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636E52">
            <w:pPr>
              <w:widowControl/>
              <w:spacing w:line="240" w:lineRule="exact"/>
              <w:jc w:val="center"/>
              <w:rPr>
                <w:rFonts w:hint="eastAsia" w:ascii="仿宋_GB2312" w:hAnsi="仿宋_GB2312" w:eastAsia="仿宋_GB2312" w:cs="仿宋_GB2312"/>
                <w:b/>
                <w:color w:val="000000"/>
                <w:sz w:val="21"/>
                <w:szCs w:val="21"/>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58C0BFF">
            <w:pPr>
              <w:widowControl/>
              <w:spacing w:line="24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项目管理</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2557BAB">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制度办法</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093EF96">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2</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FE81A0D">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项目制度办法是否体系健全、要素完备</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E407A93">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3DBF2EB">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0CD6F455">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C29754">
            <w:pPr>
              <w:widowControl/>
              <w:spacing w:line="24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EEF74C3">
            <w:pPr>
              <w:widowControl/>
              <w:spacing w:line="24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0B97714">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分配管理</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7E68826">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50704B4">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项目资金分配因素选取、权重设置、区域分布，项目管理、审批是否符合管理要求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9617AF8">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8AA417A">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08190805">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D7C49F">
            <w:pPr>
              <w:widowControl/>
              <w:spacing w:line="24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BB777F9">
            <w:pPr>
              <w:widowControl/>
              <w:spacing w:line="24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0EF0BC4">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绩效监管</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E166F0A">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AE3A5F1">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管资金、项目、政策是否管绩效，项目绩效监管是否按要求开展，对下指导是否有力有效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3D0CA84">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8B8A4CF">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6BF25EB1">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B4A710">
            <w:pPr>
              <w:widowControl/>
              <w:spacing w:line="240" w:lineRule="exact"/>
              <w:jc w:val="center"/>
              <w:rPr>
                <w:rFonts w:hint="eastAsia" w:ascii="仿宋_GB2312" w:hAnsi="仿宋_GB2312" w:eastAsia="仿宋_GB2312" w:cs="仿宋_GB2312"/>
                <w:b/>
                <w:color w:val="000000"/>
                <w:sz w:val="21"/>
                <w:szCs w:val="21"/>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60FD653">
            <w:pPr>
              <w:widowControl/>
              <w:spacing w:line="24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项目实施</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966B787">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预算执行</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A9EE7BB">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A48B317">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项目资金财政拨付、单位执行和地方配套到位情况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719BCDF">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99AF8AC">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6D0D8CC8">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DF7FC4">
            <w:pPr>
              <w:widowControl/>
              <w:spacing w:line="24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1AD541F">
            <w:pPr>
              <w:widowControl/>
              <w:spacing w:line="24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9B93018">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资金使用</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44203B7">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C2121A4">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资金使用拨付、项目实施是否符合规定</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D66ED3C">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7105324">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1A954A24">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00D33C">
            <w:pPr>
              <w:widowControl/>
              <w:spacing w:line="240" w:lineRule="exact"/>
              <w:jc w:val="center"/>
              <w:rPr>
                <w:rFonts w:hint="eastAsia" w:ascii="仿宋_GB2312" w:hAnsi="仿宋_GB2312" w:eastAsia="仿宋_GB2312" w:cs="仿宋_GB2312"/>
                <w:b/>
                <w:color w:val="000000"/>
                <w:sz w:val="21"/>
                <w:szCs w:val="21"/>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C6B3516">
            <w:pPr>
              <w:widowControl/>
              <w:spacing w:line="24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项目结果</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DDA3856">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目标完成</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586B368">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6C70AD0">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项目是否完成预期目标，实施结果是否与绩效目标相匹配，反映目标实现程度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4B5DA82">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ED71932">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55047DBC">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552BBF">
            <w:pPr>
              <w:widowControl/>
              <w:spacing w:line="24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BC1C9B3">
            <w:pPr>
              <w:widowControl/>
              <w:spacing w:line="24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D38A2AC">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完成时效</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FF0BD5C">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7C64372">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项目实际完成时间与计划完成时间的比较</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4139F03">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3E3361F">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7B7F7278">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5E713324">
            <w:pPr>
              <w:widowControl/>
              <w:spacing w:line="24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专用指标</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B5C5971">
            <w:pPr>
              <w:widowControl/>
              <w:spacing w:line="24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产业发展</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69781DE">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符合性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1C666A2">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2B10639">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项目实施是否与省委省政府支持重点、产业支持政策符合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B428E07">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9</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5E4700D">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789AEE2F">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043ECE">
            <w:pPr>
              <w:widowControl/>
              <w:spacing w:line="24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21E6C5F">
            <w:pPr>
              <w:widowControl/>
              <w:spacing w:line="24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3301CB6">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成长性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B2ADE72">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A16D713">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项目实施对相关企业（机构）成长性的促进作用，主要反映支持对象创新创造创业能力情况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2B7FB1A">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9</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ABE892B">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36F3E289">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2FFD74">
            <w:pPr>
              <w:widowControl/>
              <w:spacing w:line="24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7F552E4">
            <w:pPr>
              <w:widowControl/>
              <w:spacing w:line="24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9C22B1A">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经济性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DCCE7AA">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43D3834">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项目实施对相关企业（机构）主营业务收入、净利润、税收、产量等方面增长情况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B047FF1">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9</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5F31581">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7DB0AE06">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106425">
            <w:pPr>
              <w:widowControl/>
              <w:spacing w:line="240" w:lineRule="exact"/>
              <w:jc w:val="center"/>
              <w:rPr>
                <w:rFonts w:hint="eastAsia" w:ascii="仿宋_GB2312" w:hAnsi="仿宋_GB2312" w:eastAsia="仿宋_GB2312" w:cs="仿宋_GB2312"/>
                <w:b/>
                <w:color w:val="000000"/>
                <w:sz w:val="21"/>
                <w:szCs w:val="21"/>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8EA5551">
            <w:pPr>
              <w:widowControl/>
              <w:spacing w:line="24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民生保障</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5C33152">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区域均衡性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052A532">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88F2449">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项目资金分配体现的均衡公平情况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17438FA">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F27607E">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6A1E07D1">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184801">
            <w:pPr>
              <w:widowControl/>
              <w:spacing w:line="24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88FB4EB">
            <w:pPr>
              <w:widowControl/>
              <w:spacing w:line="24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C37F6D0">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对象精准性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660D55C">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8F108C1">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资金实际支持对象是否符合管理要求，是否符合支持对象范围</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ACFE05C">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EC80360">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113958A5">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2952CD">
            <w:pPr>
              <w:widowControl/>
              <w:spacing w:line="24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B7465E8">
            <w:pPr>
              <w:widowControl/>
              <w:spacing w:line="24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BB48837">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标准合理性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5D97FDD">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367EB9E">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资金实际补贴标准是否符合资金管理办法规定的补助标准，是否及时按标准兑现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87C3706">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F87CC7A">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0E0470FB">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6B2AD8">
            <w:pPr>
              <w:widowControl/>
              <w:spacing w:line="24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57F7624">
            <w:pPr>
              <w:widowControl/>
              <w:spacing w:line="24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A2600F9">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群众满意度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EFB9BE8">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00F5E13">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资金涉及相关受益群体、支持对象的满意度调查访谈情况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9A7D7E5">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4</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2FE0D33">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254A85DF">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D3FF1F">
            <w:pPr>
              <w:widowControl/>
              <w:spacing w:line="240" w:lineRule="exact"/>
              <w:jc w:val="center"/>
              <w:rPr>
                <w:rFonts w:hint="eastAsia" w:ascii="仿宋_GB2312" w:hAnsi="仿宋_GB2312" w:eastAsia="仿宋_GB2312" w:cs="仿宋_GB2312"/>
                <w:b/>
                <w:color w:val="000000"/>
                <w:sz w:val="21"/>
                <w:szCs w:val="21"/>
              </w:rPr>
            </w:pPr>
          </w:p>
        </w:tc>
        <w:tc>
          <w:tcPr>
            <w:tcW w:w="765" w:type="dxa"/>
            <w:vMerge w:val="restart"/>
            <w:tcBorders>
              <w:top w:val="single" w:color="000000" w:sz="4" w:space="0"/>
              <w:left w:val="single" w:color="000000" w:sz="4" w:space="0"/>
              <w:bottom w:val="single" w:color="000000" w:sz="4" w:space="0"/>
              <w:right w:val="single" w:color="000000" w:sz="4" w:space="0"/>
            </w:tcBorders>
            <w:noWrap w:val="0"/>
            <w:vAlign w:val="center"/>
          </w:tcPr>
          <w:p w14:paraId="55659D07">
            <w:pPr>
              <w:widowControl/>
              <w:spacing w:line="24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基础</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设施</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（30分）</w:t>
            </w: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14:paraId="398378F4">
            <w:pPr>
              <w:widowControl/>
              <w:spacing w:line="24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在建</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00D1ED7">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工程进度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9B40AAB">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2B7E011">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项目是否达到计划工程进度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C4B736F">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09D0FBB">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4FDF7309">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C18C0F">
            <w:pPr>
              <w:widowControl/>
              <w:spacing w:line="240" w:lineRule="exact"/>
              <w:jc w:val="center"/>
              <w:rPr>
                <w:rFonts w:hint="eastAsia" w:ascii="仿宋_GB2312" w:hAnsi="仿宋_GB2312" w:eastAsia="仿宋_GB2312" w:cs="仿宋_GB2312"/>
                <w:b/>
                <w:color w:val="000000"/>
                <w:sz w:val="21"/>
                <w:szCs w:val="21"/>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BFEACC">
            <w:pPr>
              <w:widowControl/>
              <w:spacing w:line="240" w:lineRule="exact"/>
              <w:jc w:val="center"/>
              <w:rPr>
                <w:rFonts w:hint="eastAsia" w:ascii="仿宋_GB2312" w:hAnsi="仿宋_GB2312" w:eastAsia="仿宋_GB2312" w:cs="仿宋_GB2312"/>
                <w:b/>
                <w:color w:val="000000"/>
                <w:sz w:val="21"/>
                <w:szCs w:val="21"/>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97B07B">
            <w:pPr>
              <w:widowControl/>
              <w:spacing w:line="24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B4479DD">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资金拨付</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AF4D791">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39898DF">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项目是否达到预先确定的资金拨付进度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5DBA929">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2C3C0DE">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03A9F288">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BAB19F">
            <w:pPr>
              <w:widowControl/>
              <w:spacing w:line="240" w:lineRule="exact"/>
              <w:jc w:val="center"/>
              <w:rPr>
                <w:rFonts w:hint="eastAsia" w:ascii="仿宋_GB2312" w:hAnsi="仿宋_GB2312" w:eastAsia="仿宋_GB2312" w:cs="仿宋_GB2312"/>
                <w:b/>
                <w:color w:val="000000"/>
                <w:sz w:val="21"/>
                <w:szCs w:val="21"/>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32B8A3">
            <w:pPr>
              <w:widowControl/>
              <w:spacing w:line="240" w:lineRule="exact"/>
              <w:jc w:val="center"/>
              <w:rPr>
                <w:rFonts w:hint="eastAsia" w:ascii="仿宋_GB2312" w:hAnsi="仿宋_GB2312" w:eastAsia="仿宋_GB2312" w:cs="仿宋_GB2312"/>
                <w:b/>
                <w:color w:val="000000"/>
                <w:sz w:val="21"/>
                <w:szCs w:val="21"/>
              </w:rPr>
            </w:pP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14:paraId="25A44BE9">
            <w:pPr>
              <w:widowControl/>
              <w:spacing w:line="24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建成</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811B070">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项目验收</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A8F5268">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270CE02">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项目验收是否及时合格</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B787005">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C95A97E">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01175A82">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973C16">
            <w:pPr>
              <w:widowControl/>
              <w:spacing w:line="240" w:lineRule="exact"/>
              <w:jc w:val="center"/>
              <w:rPr>
                <w:rFonts w:hint="eastAsia" w:ascii="仿宋_GB2312" w:hAnsi="仿宋_GB2312" w:eastAsia="仿宋_GB2312" w:cs="仿宋_GB2312"/>
                <w:b/>
                <w:color w:val="000000"/>
                <w:sz w:val="21"/>
                <w:szCs w:val="21"/>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6F92B3">
            <w:pPr>
              <w:widowControl/>
              <w:spacing w:line="240" w:lineRule="exact"/>
              <w:jc w:val="center"/>
              <w:rPr>
                <w:rFonts w:hint="eastAsia" w:ascii="仿宋_GB2312" w:hAnsi="仿宋_GB2312" w:eastAsia="仿宋_GB2312" w:cs="仿宋_GB2312"/>
                <w:b/>
                <w:color w:val="000000"/>
                <w:sz w:val="21"/>
                <w:szCs w:val="21"/>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6752D0">
            <w:pPr>
              <w:widowControl/>
              <w:spacing w:line="24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341D970">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功能实现</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4135A95">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4088403">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项目经济社会功能是否实现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1C5B13E">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679D1EF">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0162BC06">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029A0A">
            <w:pPr>
              <w:widowControl/>
              <w:spacing w:line="240" w:lineRule="exact"/>
              <w:jc w:val="center"/>
              <w:rPr>
                <w:rFonts w:hint="eastAsia" w:ascii="仿宋_GB2312" w:hAnsi="仿宋_GB2312" w:eastAsia="仿宋_GB2312" w:cs="仿宋_GB2312"/>
                <w:b/>
                <w:color w:val="000000"/>
                <w:sz w:val="21"/>
                <w:szCs w:val="21"/>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3DA00B">
            <w:pPr>
              <w:widowControl/>
              <w:spacing w:line="240" w:lineRule="exact"/>
              <w:jc w:val="center"/>
              <w:rPr>
                <w:rFonts w:hint="eastAsia" w:ascii="仿宋_GB2312" w:hAnsi="仿宋_GB2312" w:eastAsia="仿宋_GB2312" w:cs="仿宋_GB2312"/>
                <w:b/>
                <w:color w:val="000000"/>
                <w:sz w:val="21"/>
                <w:szCs w:val="21"/>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55D498">
            <w:pPr>
              <w:widowControl/>
              <w:spacing w:line="24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86A793D">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后续管护</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A80DF89">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D76A788">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项目后续维护是否实现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812B7E1">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327C5F3">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501A1706">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48CE2FAB">
            <w:pPr>
              <w:widowControl/>
              <w:spacing w:line="24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专用指标</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0A051DD">
            <w:pPr>
              <w:widowControl/>
              <w:spacing w:line="24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行政运转</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（30分）</w:t>
            </w:r>
          </w:p>
        </w:tc>
        <w:tc>
          <w:tcPr>
            <w:tcW w:w="1355" w:type="dxa"/>
            <w:tcBorders>
              <w:top w:val="nil"/>
              <w:left w:val="single" w:color="000000" w:sz="4" w:space="0"/>
              <w:bottom w:val="single" w:color="000000" w:sz="4" w:space="0"/>
              <w:right w:val="single" w:color="000000" w:sz="4" w:space="0"/>
            </w:tcBorders>
            <w:noWrap w:val="0"/>
            <w:vAlign w:val="center"/>
          </w:tcPr>
          <w:p w14:paraId="4CD6847D">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用途合规性</w:t>
            </w:r>
          </w:p>
        </w:tc>
        <w:tc>
          <w:tcPr>
            <w:tcW w:w="696" w:type="dxa"/>
            <w:tcBorders>
              <w:top w:val="nil"/>
              <w:left w:val="single" w:color="000000" w:sz="4" w:space="0"/>
              <w:bottom w:val="single" w:color="000000" w:sz="4" w:space="0"/>
              <w:right w:val="single" w:color="000000" w:sz="4" w:space="0"/>
            </w:tcBorders>
            <w:noWrap w:val="0"/>
            <w:vAlign w:val="center"/>
          </w:tcPr>
          <w:p w14:paraId="7B924F36">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nil"/>
              <w:left w:val="single" w:color="000000" w:sz="4" w:space="0"/>
              <w:bottom w:val="single" w:color="000000" w:sz="4" w:space="0"/>
              <w:right w:val="single" w:color="000000" w:sz="4" w:space="0"/>
            </w:tcBorders>
            <w:noWrap w:val="0"/>
            <w:vAlign w:val="center"/>
          </w:tcPr>
          <w:p w14:paraId="05FF5E48">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是否按规定用途、适用范围进行本地区专项资金分配</w:t>
            </w:r>
          </w:p>
        </w:tc>
        <w:tc>
          <w:tcPr>
            <w:tcW w:w="732" w:type="dxa"/>
            <w:tcBorders>
              <w:top w:val="nil"/>
              <w:left w:val="single" w:color="000000" w:sz="4" w:space="0"/>
              <w:bottom w:val="single" w:color="000000" w:sz="4" w:space="0"/>
              <w:right w:val="single" w:color="000000" w:sz="4" w:space="0"/>
            </w:tcBorders>
            <w:noWrap w:val="0"/>
            <w:vAlign w:val="center"/>
          </w:tcPr>
          <w:p w14:paraId="66D1A916">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nil"/>
              <w:left w:val="single" w:color="000000" w:sz="4" w:space="0"/>
              <w:bottom w:val="single" w:color="000000" w:sz="4" w:space="0"/>
              <w:right w:val="single" w:color="000000" w:sz="4" w:space="0"/>
            </w:tcBorders>
            <w:noWrap w:val="0"/>
            <w:vAlign w:val="center"/>
          </w:tcPr>
          <w:p w14:paraId="135F694D">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0D3C4D50">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C26BB9">
            <w:pPr>
              <w:widowControl/>
              <w:spacing w:line="24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9D84E15">
            <w:pPr>
              <w:widowControl/>
              <w:spacing w:line="240" w:lineRule="exact"/>
              <w:jc w:val="center"/>
              <w:rPr>
                <w:rFonts w:hint="eastAsia" w:ascii="仿宋_GB2312" w:hAnsi="仿宋_GB2312" w:eastAsia="仿宋_GB2312" w:cs="仿宋_GB2312"/>
                <w:b/>
                <w:color w:val="000000"/>
                <w:sz w:val="21"/>
                <w:szCs w:val="21"/>
              </w:rPr>
            </w:pPr>
          </w:p>
        </w:tc>
        <w:tc>
          <w:tcPr>
            <w:tcW w:w="1355" w:type="dxa"/>
            <w:tcBorders>
              <w:top w:val="nil"/>
              <w:left w:val="single" w:color="000000" w:sz="4" w:space="0"/>
              <w:bottom w:val="single" w:color="000000" w:sz="4" w:space="0"/>
              <w:right w:val="single" w:color="000000" w:sz="4" w:space="0"/>
            </w:tcBorders>
            <w:noWrap w:val="0"/>
            <w:vAlign w:val="center"/>
          </w:tcPr>
          <w:p w14:paraId="4CB34C2B">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程序合规性</w:t>
            </w:r>
          </w:p>
        </w:tc>
        <w:tc>
          <w:tcPr>
            <w:tcW w:w="696" w:type="dxa"/>
            <w:tcBorders>
              <w:top w:val="nil"/>
              <w:left w:val="single" w:color="000000" w:sz="4" w:space="0"/>
              <w:bottom w:val="single" w:color="000000" w:sz="4" w:space="0"/>
              <w:right w:val="single" w:color="000000" w:sz="4" w:space="0"/>
            </w:tcBorders>
            <w:noWrap w:val="0"/>
            <w:vAlign w:val="center"/>
          </w:tcPr>
          <w:p w14:paraId="534591C7">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F42CE35">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资金管理程序是否符合专项资金管理要求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C3FCD81">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394C2F2">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6813D7CA">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3A9BDB">
            <w:pPr>
              <w:widowControl/>
              <w:spacing w:line="240" w:lineRule="exact"/>
              <w:jc w:val="center"/>
              <w:rPr>
                <w:rFonts w:hint="eastAsia" w:ascii="仿宋_GB2312" w:hAnsi="仿宋_GB2312" w:eastAsia="仿宋_GB2312" w:cs="仿宋_GB2312"/>
                <w:b/>
                <w:color w:val="000000"/>
                <w:sz w:val="21"/>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F34B957">
            <w:pPr>
              <w:widowControl/>
              <w:spacing w:line="240" w:lineRule="exact"/>
              <w:jc w:val="center"/>
              <w:rPr>
                <w:rFonts w:hint="eastAsia" w:ascii="仿宋_GB2312" w:hAnsi="仿宋_GB2312" w:eastAsia="仿宋_GB2312" w:cs="仿宋_GB2312"/>
                <w:b/>
                <w:color w:val="000000"/>
                <w:sz w:val="21"/>
                <w:szCs w:val="21"/>
              </w:rPr>
            </w:pPr>
          </w:p>
        </w:tc>
        <w:tc>
          <w:tcPr>
            <w:tcW w:w="1355" w:type="dxa"/>
            <w:tcBorders>
              <w:top w:val="nil"/>
              <w:left w:val="single" w:color="000000" w:sz="4" w:space="0"/>
              <w:bottom w:val="single" w:color="000000" w:sz="4" w:space="0"/>
              <w:right w:val="single" w:color="000000" w:sz="4" w:space="0"/>
            </w:tcBorders>
            <w:noWrap w:val="0"/>
            <w:vAlign w:val="center"/>
          </w:tcPr>
          <w:p w14:paraId="3A7D9F7A">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标准合规性</w:t>
            </w:r>
          </w:p>
        </w:tc>
        <w:tc>
          <w:tcPr>
            <w:tcW w:w="696" w:type="dxa"/>
            <w:tcBorders>
              <w:top w:val="nil"/>
              <w:left w:val="single" w:color="000000" w:sz="4" w:space="0"/>
              <w:bottom w:val="single" w:color="000000" w:sz="4" w:space="0"/>
              <w:right w:val="single" w:color="000000" w:sz="4" w:space="0"/>
            </w:tcBorders>
            <w:noWrap w:val="0"/>
            <w:vAlign w:val="center"/>
          </w:tcPr>
          <w:p w14:paraId="58B3B254">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0024749">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资金分配标准是否符合专项资金管理要求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29D0F60">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3BEDE65">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5A5644A4">
        <w:tblPrEx>
          <w:tblCellMar>
            <w:top w:w="0" w:type="dxa"/>
            <w:left w:w="108" w:type="dxa"/>
            <w:bottom w:w="0" w:type="dxa"/>
            <w:right w:w="108" w:type="dxa"/>
          </w:tblCellMar>
        </w:tblPrEx>
        <w:trPr>
          <w:trHeight w:val="23" w:hRule="atLeast"/>
          <w:jc w:val="center"/>
        </w:trPr>
        <w:tc>
          <w:tcPr>
            <w:tcW w:w="2310"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0CC098E2">
            <w:pPr>
              <w:widowControl/>
              <w:spacing w:line="24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个性指标</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（16分）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F3A9FB0">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2347196">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14:paraId="344F5FA5">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根据项目个性自行设定部分指标，反映该项指标执行完成情况。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B9C23FC">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85BDF7A">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23F96525">
        <w:tblPrEx>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69E7B5E9">
            <w:pPr>
              <w:widowControl/>
              <w:spacing w:line="24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20A5BB2">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FB54ECC">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C95714">
            <w:pPr>
              <w:widowControl/>
              <w:spacing w:line="240" w:lineRule="exact"/>
              <w:jc w:val="left"/>
              <w:rPr>
                <w:rFonts w:hint="eastAsia" w:ascii="仿宋_GB2312" w:hAnsi="仿宋_GB2312" w:eastAsia="仿宋_GB2312" w:cs="仿宋_GB2312"/>
                <w:color w:val="000000"/>
                <w:sz w:val="21"/>
                <w:szCs w:val="21"/>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2297FCD">
            <w:pPr>
              <w:widowControl/>
              <w:spacing w:line="240" w:lineRule="exact"/>
              <w:jc w:val="left"/>
              <w:rPr>
                <w:rFonts w:hint="eastAsia" w:ascii="仿宋_GB2312" w:hAnsi="仿宋_GB2312" w:eastAsia="仿宋_GB2312" w:cs="仿宋_GB2312"/>
                <w:color w:val="000000"/>
                <w:sz w:val="21"/>
                <w:szCs w:val="21"/>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7024322">
            <w:pPr>
              <w:widowControl/>
              <w:spacing w:line="240" w:lineRule="exact"/>
              <w:jc w:val="left"/>
              <w:rPr>
                <w:rFonts w:hint="eastAsia" w:ascii="仿宋_GB2312" w:hAnsi="仿宋_GB2312" w:eastAsia="仿宋_GB2312" w:cs="仿宋_GB2312"/>
                <w:color w:val="000000"/>
                <w:sz w:val="21"/>
                <w:szCs w:val="21"/>
              </w:rPr>
            </w:pPr>
          </w:p>
        </w:tc>
      </w:tr>
      <w:tr w14:paraId="62EBEE62">
        <w:tblPrEx>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7ED3C60A">
            <w:pPr>
              <w:widowControl/>
              <w:spacing w:line="240" w:lineRule="exact"/>
              <w:jc w:val="center"/>
              <w:rPr>
                <w:rFonts w:hint="eastAsia" w:ascii="仿宋_GB2312" w:hAnsi="仿宋_GB2312" w:eastAsia="仿宋_GB2312" w:cs="仿宋_GB2312"/>
                <w:b/>
                <w:color w:val="000000"/>
                <w:sz w:val="21"/>
                <w:szCs w:val="21"/>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C555635">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5C1597B">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19F244">
            <w:pPr>
              <w:widowControl/>
              <w:spacing w:line="240" w:lineRule="exact"/>
              <w:jc w:val="left"/>
              <w:rPr>
                <w:rFonts w:hint="eastAsia" w:ascii="仿宋_GB2312" w:hAnsi="仿宋_GB2312" w:eastAsia="仿宋_GB2312" w:cs="仿宋_GB2312"/>
                <w:color w:val="000000"/>
                <w:sz w:val="21"/>
                <w:szCs w:val="21"/>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CC137FA">
            <w:pPr>
              <w:widowControl/>
              <w:spacing w:line="240" w:lineRule="exact"/>
              <w:jc w:val="left"/>
              <w:rPr>
                <w:rFonts w:hint="eastAsia" w:ascii="仿宋_GB2312" w:hAnsi="仿宋_GB2312" w:eastAsia="仿宋_GB2312" w:cs="仿宋_GB2312"/>
                <w:color w:val="000000"/>
                <w:sz w:val="21"/>
                <w:szCs w:val="21"/>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C569998">
            <w:pPr>
              <w:widowControl/>
              <w:spacing w:line="240" w:lineRule="exact"/>
              <w:jc w:val="left"/>
              <w:rPr>
                <w:rFonts w:hint="eastAsia" w:ascii="仿宋_GB2312" w:hAnsi="仿宋_GB2312" w:eastAsia="仿宋_GB2312" w:cs="仿宋_GB2312"/>
                <w:color w:val="000000"/>
                <w:sz w:val="21"/>
                <w:szCs w:val="21"/>
              </w:rPr>
            </w:pPr>
          </w:p>
        </w:tc>
      </w:tr>
      <w:tr w14:paraId="04244D6D">
        <w:tblPrEx>
          <w:tblCellMar>
            <w:top w:w="0" w:type="dxa"/>
            <w:left w:w="108" w:type="dxa"/>
            <w:bottom w:w="0" w:type="dxa"/>
            <w:right w:w="108" w:type="dxa"/>
          </w:tblCellMar>
        </w:tblPrEx>
        <w:trPr>
          <w:trHeight w:val="373"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14:paraId="67015F5B">
            <w:pPr>
              <w:widowControl/>
              <w:spacing w:line="240" w:lineRule="exact"/>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lang w:bidi="ar"/>
              </w:rPr>
              <w:t>扣分项</w:t>
            </w:r>
            <w:r>
              <w:rPr>
                <w:rFonts w:hint="eastAsia" w:ascii="仿宋_GB2312" w:hAnsi="仿宋_GB2312" w:eastAsia="仿宋_GB2312" w:cs="仿宋_GB2312"/>
                <w:b/>
                <w:color w:val="000000"/>
                <w:kern w:val="0"/>
                <w:sz w:val="21"/>
                <w:szCs w:val="21"/>
                <w:lang w:bidi="ar"/>
              </w:rPr>
              <w:br w:type="textWrapping"/>
            </w:r>
            <w:r>
              <w:rPr>
                <w:rFonts w:hint="eastAsia" w:ascii="仿宋_GB2312" w:hAnsi="仿宋_GB2312" w:eastAsia="仿宋_GB2312" w:cs="仿宋_GB2312"/>
                <w:b/>
                <w:color w:val="000000"/>
                <w:kern w:val="0"/>
                <w:sz w:val="21"/>
                <w:szCs w:val="21"/>
                <w:lang w:bidi="ar"/>
              </w:rPr>
              <w:t>（10分）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7D3529D">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被评价</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部门配合度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124E537">
            <w:pPr>
              <w:widowControl/>
              <w:spacing w:line="24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42583FA">
            <w:pPr>
              <w:widowControl/>
              <w:spacing w:line="240" w:lineRule="exact"/>
              <w:jc w:val="left"/>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lang w:bidi="ar"/>
              </w:rPr>
              <w:t>被评价对象工作配合情况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3FFC2EF">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A020046">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r w14:paraId="29BA4E37">
        <w:tblPrEx>
          <w:tblCellMar>
            <w:top w:w="0" w:type="dxa"/>
            <w:left w:w="108" w:type="dxa"/>
            <w:bottom w:w="0" w:type="dxa"/>
            <w:right w:w="108" w:type="dxa"/>
          </w:tblCellMar>
        </w:tblPrEx>
        <w:trPr>
          <w:trHeight w:val="23"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14:paraId="2EEF9BD7">
            <w:pPr>
              <w:widowControl/>
              <w:spacing w:line="240" w:lineRule="exact"/>
              <w:jc w:val="center"/>
              <w:textAlignment w:val="center"/>
              <w:rPr>
                <w:rFonts w:hint="eastAsia" w:ascii="仿宋_GB2312" w:hAnsi="仿宋_GB2312" w:eastAsia="仿宋_GB2312" w:cs="仿宋_GB2312"/>
                <w:b/>
                <w:color w:val="000000"/>
                <w:kern w:val="0"/>
                <w:sz w:val="21"/>
                <w:szCs w:val="21"/>
                <w:lang w:eastAsia="zh-CN" w:bidi="ar"/>
              </w:rPr>
            </w:pPr>
            <w:r>
              <w:rPr>
                <w:rFonts w:hint="eastAsia" w:ascii="仿宋_GB2312" w:hAnsi="仿宋_GB2312" w:eastAsia="仿宋_GB2312" w:cs="仿宋_GB2312"/>
                <w:b/>
                <w:color w:val="000000"/>
                <w:kern w:val="0"/>
                <w:sz w:val="21"/>
                <w:szCs w:val="21"/>
                <w:lang w:eastAsia="zh-CN" w:bidi="ar"/>
              </w:rPr>
              <w:t>总分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465982B">
            <w:pPr>
              <w:widowControl/>
              <w:spacing w:line="240" w:lineRule="exact"/>
              <w:jc w:val="center"/>
              <w:textAlignment w:val="center"/>
              <w:rPr>
                <w:rFonts w:hint="eastAsia" w:ascii="仿宋_GB2312" w:hAnsi="仿宋_GB2312" w:eastAsia="仿宋_GB2312" w:cs="仿宋_GB2312"/>
                <w:color w:val="000000"/>
                <w:kern w:val="0"/>
                <w:sz w:val="21"/>
                <w:szCs w:val="21"/>
                <w:lang w:bidi="ar"/>
              </w:rPr>
            </w:pP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779A4D3">
            <w:pPr>
              <w:widowControl/>
              <w:spacing w:line="240" w:lineRule="exact"/>
              <w:jc w:val="center"/>
              <w:textAlignment w:val="center"/>
              <w:rPr>
                <w:rFonts w:hint="eastAsia" w:ascii="仿宋_GB2312" w:hAnsi="仿宋_GB2312" w:eastAsia="仿宋_GB2312" w:cs="仿宋_GB2312"/>
                <w:color w:val="000000"/>
                <w:kern w:val="0"/>
                <w:sz w:val="21"/>
                <w:szCs w:val="21"/>
                <w:lang w:bidi="ar"/>
              </w:rPr>
            </w:pP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A9677FE">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4D0E092">
            <w:pPr>
              <w:widowControl/>
              <w:spacing w:line="240" w:lineRule="exact"/>
              <w:jc w:val="left"/>
              <w:textAlignment w:val="center"/>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93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976C717">
            <w:pPr>
              <w:widowControl/>
              <w:spacing w:line="240" w:lineRule="exact"/>
              <w:jc w:val="left"/>
              <w:textAlignment w:val="center"/>
              <w:rPr>
                <w:rFonts w:hint="eastAsia" w:ascii="仿宋_GB2312" w:hAnsi="仿宋_GB2312" w:eastAsia="仿宋_GB2312" w:cs="仿宋_GB2312"/>
                <w:color w:val="000000"/>
                <w:kern w:val="0"/>
                <w:sz w:val="21"/>
                <w:szCs w:val="21"/>
                <w:lang w:bidi="ar"/>
              </w:rPr>
            </w:pPr>
          </w:p>
        </w:tc>
      </w:tr>
    </w:tbl>
    <w:p w14:paraId="4B4B09A3">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仿宋_GB2312" w:hAnsi="仿宋_GB2312" w:eastAsia="仿宋_GB2312" w:cs="仿宋_GB2312"/>
          <w:kern w:val="0"/>
          <w:shd w:val="clear" w:color="auto" w:fill="FFFFFF"/>
          <w:lang w:val="zh-CN"/>
        </w:rPr>
        <w:br w:type="page"/>
      </w:r>
    </w:p>
    <w:tbl>
      <w:tblPr>
        <w:tblStyle w:val="16"/>
        <w:tblW w:w="10233" w:type="dxa"/>
        <w:jc w:val="center"/>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08C87A93">
        <w:tblPrEx>
          <w:tblCellMar>
            <w:top w:w="15" w:type="dxa"/>
            <w:left w:w="15" w:type="dxa"/>
            <w:bottom w:w="15" w:type="dxa"/>
            <w:right w:w="15" w:type="dxa"/>
          </w:tblCellMar>
        </w:tblPrEx>
        <w:trPr>
          <w:trHeight w:val="817" w:hRule="atLeast"/>
          <w:jc w:val="center"/>
        </w:trPr>
        <w:tc>
          <w:tcPr>
            <w:tcW w:w="10233" w:type="dxa"/>
            <w:gridSpan w:val="9"/>
            <w:noWrap w:val="0"/>
            <w:vAlign w:val="center"/>
          </w:tcPr>
          <w:p w14:paraId="231D5D34">
            <w:pPr>
              <w:widowControl/>
              <w:spacing w:line="600" w:lineRule="exact"/>
              <w:jc w:val="center"/>
              <w:textAlignment w:val="center"/>
              <w:rPr>
                <w:rFonts w:eastAsia="黑体"/>
                <w:color w:val="000000"/>
                <w:sz w:val="30"/>
                <w:szCs w:val="30"/>
              </w:rPr>
            </w:pPr>
            <w:bookmarkStart w:id="86" w:name="_Toc12303"/>
            <w:r>
              <w:rPr>
                <w:rFonts w:eastAsia="方正小标宋简体"/>
                <w:color w:val="000000"/>
                <w:kern w:val="0"/>
                <w:sz w:val="40"/>
                <w:szCs w:val="40"/>
                <w:lang w:bidi="ar"/>
              </w:rPr>
              <w:t>专项预算项目绩效目标完成情况自评表</w:t>
            </w:r>
          </w:p>
        </w:tc>
      </w:tr>
      <w:tr w14:paraId="10D407E6">
        <w:tblPrEx>
          <w:tblCellMar>
            <w:top w:w="15" w:type="dxa"/>
            <w:left w:w="15" w:type="dxa"/>
            <w:bottom w:w="15" w:type="dxa"/>
            <w:right w:w="15" w:type="dxa"/>
          </w:tblCellMar>
        </w:tblPrEx>
        <w:trPr>
          <w:trHeight w:val="510"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6041188A">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项目名称</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25715C58">
            <w:pPr>
              <w:keepNext w:val="0"/>
              <w:keepLines w:val="0"/>
              <w:pageBreakBefore w:val="0"/>
              <w:kinsoku/>
              <w:wordWrap/>
              <w:overflowPunct/>
              <w:topLinePunct w:val="0"/>
              <w:autoSpaceDE/>
              <w:autoSpaceDN/>
              <w:bidi w:val="0"/>
              <w:adjustRightInd/>
              <w:snapToGrid/>
              <w:spacing w:line="260" w:lineRule="exact"/>
              <w:ind w:firstLine="720" w:firstLineChars="400"/>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val="zh-CN" w:eastAsia="zh-CN"/>
              </w:rPr>
              <w:t>沟口镇产业结构调整示范点项目</w:t>
            </w:r>
          </w:p>
        </w:tc>
      </w:tr>
      <w:tr w14:paraId="592540BD">
        <w:tblPrEx>
          <w:tblCellMar>
            <w:top w:w="15" w:type="dxa"/>
            <w:left w:w="15" w:type="dxa"/>
            <w:bottom w:w="15" w:type="dxa"/>
            <w:right w:w="15" w:type="dxa"/>
          </w:tblCellMar>
        </w:tblPrEx>
        <w:trPr>
          <w:trHeight w:val="365"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5AE308BC">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预算单位</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0844CCD1">
            <w:pPr>
              <w:keepNext w:val="0"/>
              <w:keepLines w:val="0"/>
              <w:pageBreakBefore w:val="0"/>
              <w:kinsoku/>
              <w:wordWrap/>
              <w:overflowPunct/>
              <w:topLinePunct w:val="0"/>
              <w:autoSpaceDE/>
              <w:autoSpaceDN/>
              <w:bidi w:val="0"/>
              <w:adjustRightInd/>
              <w:snapToGrid/>
              <w:spacing w:line="260" w:lineRule="exact"/>
              <w:ind w:firstLine="720" w:firstLineChars="400"/>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eastAsia="zh-CN"/>
              </w:rPr>
              <w:t>茂县沟口镇人民政府</w:t>
            </w:r>
          </w:p>
        </w:tc>
      </w:tr>
      <w:tr w14:paraId="0EB935BF">
        <w:tblPrEx>
          <w:tblCellMar>
            <w:top w:w="15" w:type="dxa"/>
            <w:left w:w="15" w:type="dxa"/>
            <w:bottom w:w="15" w:type="dxa"/>
            <w:right w:w="15" w:type="dxa"/>
          </w:tblCellMar>
        </w:tblPrEx>
        <w:trPr>
          <w:trHeight w:val="311"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noWrap w:val="0"/>
            <w:vAlign w:val="center"/>
          </w:tcPr>
          <w:p w14:paraId="3C87D561">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项目类型</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62A76421">
            <w:pPr>
              <w:keepNext w:val="0"/>
              <w:keepLines w:val="0"/>
              <w:pageBreakBefore w:val="0"/>
              <w:kinsoku/>
              <w:wordWrap/>
              <w:overflowPunct/>
              <w:topLinePunct w:val="0"/>
              <w:autoSpaceDE/>
              <w:autoSpaceDN/>
              <w:bidi w:val="0"/>
              <w:adjustRightInd/>
              <w:snapToGrid/>
              <w:spacing w:line="260" w:lineRule="exact"/>
              <w:jc w:val="left"/>
              <w:rPr>
                <w:rFonts w:hint="eastAsia" w:ascii="仿宋_GB2312" w:hAnsi="仿宋_GB2312" w:eastAsia="仿宋_GB2312" w:cs="仿宋_GB2312"/>
                <w:color w:val="000000"/>
                <w:sz w:val="18"/>
                <w:szCs w:val="18"/>
              </w:rPr>
            </w:pPr>
          </w:p>
        </w:tc>
      </w:tr>
      <w:tr w14:paraId="505CBF41">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73A21580">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项目 概况</w:t>
            </w: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19941191">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中长期规划（名称、文号，仅指</w:t>
            </w:r>
          </w:p>
          <w:p w14:paraId="71C9C9BF">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常年项目）</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69BDD2B3">
            <w:pPr>
              <w:keepNext w:val="0"/>
              <w:keepLines w:val="0"/>
              <w:pageBreakBefore w:val="0"/>
              <w:kinsoku/>
              <w:wordWrap/>
              <w:overflowPunct/>
              <w:topLinePunct w:val="0"/>
              <w:autoSpaceDE/>
              <w:autoSpaceDN/>
              <w:bidi w:val="0"/>
              <w:adjustRightInd/>
              <w:snapToGrid/>
              <w:spacing w:line="260" w:lineRule="exact"/>
              <w:jc w:val="left"/>
              <w:rPr>
                <w:rFonts w:hint="eastAsia" w:ascii="仿宋_GB2312" w:hAnsi="仿宋_GB2312" w:eastAsia="仿宋_GB2312" w:cs="仿宋_GB2312"/>
                <w:color w:val="000000"/>
                <w:sz w:val="18"/>
                <w:szCs w:val="18"/>
              </w:rPr>
            </w:pPr>
          </w:p>
        </w:tc>
      </w:tr>
      <w:tr w14:paraId="7FDCCB31">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A1CAAF">
            <w:pPr>
              <w:keepNext w:val="0"/>
              <w:keepLines w:val="0"/>
              <w:pageBreakBefore w:val="0"/>
              <w:kinsoku/>
              <w:wordWrap/>
              <w:overflowPunct/>
              <w:topLinePunct w:val="0"/>
              <w:autoSpaceDE/>
              <w:autoSpaceDN/>
              <w:bidi w:val="0"/>
              <w:adjustRightInd/>
              <w:snapToGrid/>
              <w:spacing w:line="260" w:lineRule="exact"/>
              <w:rPr>
                <w:rFonts w:hint="eastAsia" w:ascii="仿宋_GB2312" w:hAnsi="仿宋_GB2312" w:eastAsia="仿宋_GB2312" w:cs="仿宋_GB2312"/>
                <w:color w:val="000000"/>
                <w:sz w:val="18"/>
                <w:szCs w:val="18"/>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74C0AAD3">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3E313432">
            <w:pPr>
              <w:keepNext w:val="0"/>
              <w:keepLines w:val="0"/>
              <w:pageBreakBefore w:val="0"/>
              <w:kinsoku/>
              <w:wordWrap/>
              <w:overflowPunct/>
              <w:topLinePunct w:val="0"/>
              <w:autoSpaceDE/>
              <w:autoSpaceDN/>
              <w:bidi w:val="0"/>
              <w:adjustRightInd/>
              <w:snapToGrid/>
              <w:spacing w:line="260" w:lineRule="exact"/>
              <w:ind w:firstLine="360" w:firstLineChars="200"/>
              <w:jc w:val="left"/>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kern w:val="0"/>
                <w:sz w:val="18"/>
                <w:szCs w:val="18"/>
                <w:lang w:val="zh-CN" w:eastAsia="zh-CN" w:bidi="ar"/>
              </w:rPr>
              <w:t>茂财国代</w:t>
            </w:r>
            <w:bookmarkStart w:id="113" w:name="_GoBack"/>
            <w:r>
              <w:rPr>
                <w:rFonts w:hint="eastAsia" w:ascii="仿宋_GB2312" w:hAnsi="仿宋_GB2312" w:eastAsia="仿宋_GB2312" w:cs="仿宋_GB2312"/>
                <w:color w:val="000000"/>
                <w:kern w:val="0"/>
                <w:sz w:val="18"/>
                <w:szCs w:val="18"/>
                <w:lang w:val="en-US" w:eastAsia="zh-CN" w:bidi="ar"/>
              </w:rPr>
              <w:t>〔2024〕</w:t>
            </w:r>
            <w:r>
              <w:rPr>
                <w:rFonts w:hint="eastAsia" w:ascii="仿宋_GB2312" w:hAnsi="仿宋_GB2312" w:eastAsia="仿宋_GB2312" w:cs="仿宋_GB2312"/>
                <w:color w:val="000000"/>
                <w:kern w:val="0"/>
                <w:sz w:val="18"/>
                <w:szCs w:val="18"/>
                <w:lang w:val="zh-CN" w:eastAsia="zh-CN" w:bidi="ar"/>
              </w:rPr>
              <w:t>198号</w:t>
            </w:r>
            <w:bookmarkEnd w:id="113"/>
          </w:p>
        </w:tc>
      </w:tr>
      <w:tr w14:paraId="028134F9">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13EBA1">
            <w:pPr>
              <w:keepNext w:val="0"/>
              <w:keepLines w:val="0"/>
              <w:pageBreakBefore w:val="0"/>
              <w:kinsoku/>
              <w:wordWrap/>
              <w:overflowPunct/>
              <w:topLinePunct w:val="0"/>
              <w:autoSpaceDE/>
              <w:autoSpaceDN/>
              <w:bidi w:val="0"/>
              <w:adjustRightInd/>
              <w:snapToGrid/>
              <w:spacing w:line="260" w:lineRule="exact"/>
              <w:rPr>
                <w:rFonts w:hint="eastAsia" w:ascii="仿宋_GB2312" w:hAnsi="仿宋_GB2312" w:eastAsia="仿宋_GB2312" w:cs="仿宋_GB2312"/>
                <w:color w:val="000000"/>
                <w:sz w:val="18"/>
                <w:szCs w:val="18"/>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417CE9D4">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绩效分配方式</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6A42D821">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£因素法</w:t>
            </w:r>
          </w:p>
        </w:tc>
        <w:tc>
          <w:tcPr>
            <w:tcW w:w="2032" w:type="dxa"/>
            <w:gridSpan w:val="2"/>
            <w:tcBorders>
              <w:top w:val="single" w:color="000000" w:sz="4" w:space="0"/>
              <w:left w:val="single" w:color="000000" w:sz="4" w:space="0"/>
              <w:bottom w:val="single" w:color="000000" w:sz="4" w:space="0"/>
              <w:right w:val="single" w:color="000000" w:sz="4" w:space="0"/>
            </w:tcBorders>
            <w:noWrap w:val="0"/>
            <w:vAlign w:val="center"/>
          </w:tcPr>
          <w:p w14:paraId="7D3FA6E2">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£项目法</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11791B1">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£据实据效</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37F7364E">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£因素法与项目法相结合</w:t>
            </w:r>
          </w:p>
        </w:tc>
      </w:tr>
      <w:tr w14:paraId="0F48945B">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FD0F3D">
            <w:pPr>
              <w:keepNext w:val="0"/>
              <w:keepLines w:val="0"/>
              <w:pageBreakBefore w:val="0"/>
              <w:kinsoku/>
              <w:wordWrap/>
              <w:overflowPunct/>
              <w:topLinePunct w:val="0"/>
              <w:autoSpaceDE/>
              <w:autoSpaceDN/>
              <w:bidi w:val="0"/>
              <w:adjustRightInd/>
              <w:snapToGrid/>
              <w:spacing w:line="260" w:lineRule="exact"/>
              <w:rPr>
                <w:rFonts w:hint="eastAsia" w:ascii="仿宋_GB2312" w:hAnsi="仿宋_GB2312" w:eastAsia="仿宋_GB2312" w:cs="仿宋_GB2312"/>
                <w:color w:val="000000"/>
                <w:sz w:val="18"/>
                <w:szCs w:val="18"/>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1967E4BD">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立项依据</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150DE904">
            <w:pPr>
              <w:keepNext w:val="0"/>
              <w:keepLines w:val="0"/>
              <w:pageBreakBefore w:val="0"/>
              <w:kinsoku/>
              <w:wordWrap/>
              <w:overflowPunct/>
              <w:topLinePunct w:val="0"/>
              <w:autoSpaceDE/>
              <w:autoSpaceDN/>
              <w:bidi w:val="0"/>
              <w:adjustRightInd/>
              <w:snapToGrid/>
              <w:spacing w:line="260" w:lineRule="exact"/>
              <w:jc w:val="left"/>
              <w:rPr>
                <w:rFonts w:hint="eastAsia" w:ascii="仿宋_GB2312" w:hAnsi="仿宋_GB2312" w:eastAsia="仿宋_GB2312" w:cs="仿宋_GB2312"/>
                <w:color w:val="000000"/>
                <w:sz w:val="18"/>
                <w:szCs w:val="18"/>
              </w:rPr>
            </w:pPr>
          </w:p>
        </w:tc>
      </w:tr>
      <w:tr w14:paraId="7FAF28A9">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580CDB">
            <w:pPr>
              <w:keepNext w:val="0"/>
              <w:keepLines w:val="0"/>
              <w:pageBreakBefore w:val="0"/>
              <w:kinsoku/>
              <w:wordWrap/>
              <w:overflowPunct/>
              <w:topLinePunct w:val="0"/>
              <w:autoSpaceDE/>
              <w:autoSpaceDN/>
              <w:bidi w:val="0"/>
              <w:adjustRightInd/>
              <w:snapToGrid/>
              <w:spacing w:line="260" w:lineRule="exact"/>
              <w:rPr>
                <w:rFonts w:hint="eastAsia" w:ascii="仿宋_GB2312" w:hAnsi="仿宋_GB2312" w:eastAsia="仿宋_GB2312" w:cs="仿宋_GB2312"/>
                <w:color w:val="000000"/>
                <w:sz w:val="18"/>
                <w:szCs w:val="18"/>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6C65B72D">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使用范围</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2459FE83">
            <w:pPr>
              <w:keepNext w:val="0"/>
              <w:keepLines w:val="0"/>
              <w:pageBreakBefore w:val="0"/>
              <w:kinsoku/>
              <w:wordWrap/>
              <w:overflowPunct/>
              <w:topLinePunct w:val="0"/>
              <w:autoSpaceDE/>
              <w:autoSpaceDN/>
              <w:bidi w:val="0"/>
              <w:adjustRightInd/>
              <w:snapToGrid/>
              <w:spacing w:line="260" w:lineRule="exact"/>
              <w:jc w:val="left"/>
              <w:rPr>
                <w:rFonts w:hint="eastAsia" w:ascii="仿宋_GB2312" w:hAnsi="仿宋_GB2312" w:eastAsia="仿宋_GB2312" w:cs="仿宋_GB2312"/>
                <w:color w:val="000000"/>
                <w:sz w:val="18"/>
                <w:szCs w:val="18"/>
              </w:rPr>
            </w:pPr>
          </w:p>
        </w:tc>
      </w:tr>
      <w:tr w14:paraId="46826DE9">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755E03">
            <w:pPr>
              <w:keepNext w:val="0"/>
              <w:keepLines w:val="0"/>
              <w:pageBreakBefore w:val="0"/>
              <w:kinsoku/>
              <w:wordWrap/>
              <w:overflowPunct/>
              <w:topLinePunct w:val="0"/>
              <w:autoSpaceDE/>
              <w:autoSpaceDN/>
              <w:bidi w:val="0"/>
              <w:adjustRightInd/>
              <w:snapToGrid/>
              <w:spacing w:line="260" w:lineRule="exact"/>
              <w:rPr>
                <w:rFonts w:hint="eastAsia" w:ascii="仿宋_GB2312" w:hAnsi="仿宋_GB2312" w:eastAsia="仿宋_GB2312" w:cs="仿宋_GB2312"/>
                <w:color w:val="000000"/>
                <w:sz w:val="18"/>
                <w:szCs w:val="18"/>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71C983EA">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3210637D">
            <w:pPr>
              <w:keepNext w:val="0"/>
              <w:keepLines w:val="0"/>
              <w:pageBreakBefore w:val="0"/>
              <w:kinsoku/>
              <w:wordWrap/>
              <w:overflowPunct/>
              <w:topLinePunct w:val="0"/>
              <w:autoSpaceDE/>
              <w:autoSpaceDN/>
              <w:bidi w:val="0"/>
              <w:adjustRightInd/>
              <w:snapToGrid/>
              <w:spacing w:line="260" w:lineRule="exact"/>
              <w:jc w:val="left"/>
              <w:rPr>
                <w:rFonts w:hint="eastAsia" w:ascii="仿宋_GB2312" w:hAnsi="仿宋_GB2312" w:eastAsia="仿宋_GB2312" w:cs="仿宋_GB2312"/>
                <w:color w:val="000000"/>
                <w:sz w:val="18"/>
                <w:szCs w:val="18"/>
              </w:rPr>
            </w:pPr>
          </w:p>
        </w:tc>
      </w:tr>
      <w:tr w14:paraId="07D9476B">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C8F93F">
            <w:pPr>
              <w:keepNext w:val="0"/>
              <w:keepLines w:val="0"/>
              <w:pageBreakBefore w:val="0"/>
              <w:kinsoku/>
              <w:wordWrap/>
              <w:overflowPunct/>
              <w:topLinePunct w:val="0"/>
              <w:autoSpaceDE/>
              <w:autoSpaceDN/>
              <w:bidi w:val="0"/>
              <w:adjustRightInd/>
              <w:snapToGrid/>
              <w:spacing w:line="260" w:lineRule="exact"/>
              <w:rPr>
                <w:rFonts w:hint="eastAsia" w:ascii="仿宋_GB2312" w:hAnsi="仿宋_GB2312" w:eastAsia="仿宋_GB2312" w:cs="仿宋_GB2312"/>
                <w:color w:val="000000"/>
                <w:sz w:val="18"/>
                <w:szCs w:val="18"/>
              </w:rPr>
            </w:pPr>
          </w:p>
        </w:tc>
        <w:tc>
          <w:tcPr>
            <w:tcW w:w="3643" w:type="dxa"/>
            <w:gridSpan w:val="3"/>
            <w:tcBorders>
              <w:top w:val="single" w:color="000000" w:sz="4" w:space="0"/>
              <w:left w:val="single" w:color="000000" w:sz="4" w:space="0"/>
              <w:bottom w:val="single" w:color="000000" w:sz="4" w:space="0"/>
              <w:right w:val="single" w:color="000000" w:sz="4" w:space="0"/>
            </w:tcBorders>
            <w:noWrap w:val="0"/>
            <w:vAlign w:val="center"/>
          </w:tcPr>
          <w:p w14:paraId="01516443">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70F4EB98">
            <w:pPr>
              <w:keepNext w:val="0"/>
              <w:keepLines w:val="0"/>
              <w:pageBreakBefore w:val="0"/>
              <w:kinsoku/>
              <w:wordWrap/>
              <w:overflowPunct/>
              <w:topLinePunct w:val="0"/>
              <w:autoSpaceDE/>
              <w:autoSpaceDN/>
              <w:bidi w:val="0"/>
              <w:adjustRightInd/>
              <w:snapToGrid/>
              <w:spacing w:line="260" w:lineRule="exact"/>
              <w:ind w:firstLine="1440" w:firstLineChars="80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lang w:val="en-US" w:eastAsia="zh-CN"/>
              </w:rPr>
              <w:t>2024年</w:t>
            </w:r>
          </w:p>
        </w:tc>
      </w:tr>
      <w:tr w14:paraId="6329F089">
        <w:tblPrEx>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E915772">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项目资金</w:t>
            </w:r>
          </w:p>
          <w:p w14:paraId="580E7A99">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（万元）</w:t>
            </w: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56E56C28">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42FB0EC3">
            <w:pPr>
              <w:keepNext w:val="0"/>
              <w:keepLines w:val="0"/>
              <w:pageBreakBefore w:val="0"/>
              <w:kinsoku/>
              <w:wordWrap/>
              <w:overflowPunct/>
              <w:topLinePunct w:val="0"/>
              <w:autoSpaceDE/>
              <w:autoSpaceDN/>
              <w:bidi w:val="0"/>
              <w:adjustRightInd/>
              <w:snapToGrid/>
              <w:spacing w:line="260" w:lineRule="exact"/>
              <w:jc w:val="right"/>
              <w:rPr>
                <w:rFonts w:hint="eastAsia" w:ascii="仿宋_GB2312" w:hAnsi="仿宋_GB2312" w:eastAsia="仿宋_GB2312" w:cs="仿宋_GB2312"/>
                <w:color w:val="000000"/>
                <w:sz w:val="18"/>
                <w:szCs w:val="18"/>
              </w:rPr>
            </w:pPr>
          </w:p>
        </w:tc>
      </w:tr>
      <w:tr w14:paraId="3194C229">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91AF83C">
            <w:pPr>
              <w:keepNext w:val="0"/>
              <w:keepLines w:val="0"/>
              <w:pageBreakBefore w:val="0"/>
              <w:kinsoku/>
              <w:wordWrap/>
              <w:overflowPunct/>
              <w:topLinePunct w:val="0"/>
              <w:autoSpaceDE/>
              <w:autoSpaceDN/>
              <w:bidi w:val="0"/>
              <w:adjustRightInd/>
              <w:snapToGrid/>
              <w:spacing w:line="260" w:lineRule="exact"/>
              <w:rPr>
                <w:rFonts w:hint="eastAsia" w:ascii="仿宋_GB2312" w:hAnsi="仿宋_GB2312" w:eastAsia="仿宋_GB2312" w:cs="仿宋_GB2312"/>
                <w:color w:val="000000"/>
                <w:sz w:val="18"/>
                <w:szCs w:val="18"/>
              </w:rPr>
            </w:pP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285C3D92">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 xml:space="preserve">      其中：财政拨款</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22515B9F">
            <w:pPr>
              <w:keepNext w:val="0"/>
              <w:keepLines w:val="0"/>
              <w:pageBreakBefore w:val="0"/>
              <w:tabs>
                <w:tab w:val="left" w:pos="2038"/>
              </w:tabs>
              <w:kinsoku/>
              <w:wordWrap/>
              <w:overflowPunct/>
              <w:topLinePunct w:val="0"/>
              <w:autoSpaceDE/>
              <w:autoSpaceDN/>
              <w:bidi w:val="0"/>
              <w:adjustRightInd/>
              <w:snapToGrid/>
              <w:spacing w:line="260" w:lineRule="exact"/>
              <w:ind w:firstLine="1440" w:firstLineChars="800"/>
              <w:jc w:val="left"/>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50</w:t>
            </w:r>
            <w:r>
              <w:rPr>
                <w:rFonts w:hint="eastAsia" w:ascii="仿宋_GB2312" w:hAnsi="仿宋_GB2312" w:eastAsia="仿宋_GB2312" w:cs="仿宋_GB2312"/>
                <w:color w:val="000000"/>
                <w:sz w:val="18"/>
                <w:szCs w:val="18"/>
                <w:lang w:eastAsia="zh-CN"/>
              </w:rPr>
              <w:t>万元</w:t>
            </w:r>
          </w:p>
        </w:tc>
      </w:tr>
      <w:tr w14:paraId="27378B91">
        <w:tblPrEx>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6714C35">
            <w:pPr>
              <w:keepNext w:val="0"/>
              <w:keepLines w:val="0"/>
              <w:pageBreakBefore w:val="0"/>
              <w:kinsoku/>
              <w:wordWrap/>
              <w:overflowPunct/>
              <w:topLinePunct w:val="0"/>
              <w:autoSpaceDE/>
              <w:autoSpaceDN/>
              <w:bidi w:val="0"/>
              <w:adjustRightInd/>
              <w:snapToGrid/>
              <w:spacing w:line="260" w:lineRule="exact"/>
              <w:rPr>
                <w:rFonts w:hint="eastAsia" w:ascii="仿宋_GB2312" w:hAnsi="仿宋_GB2312" w:eastAsia="仿宋_GB2312" w:cs="仿宋_GB2312"/>
                <w:color w:val="000000"/>
                <w:sz w:val="18"/>
                <w:szCs w:val="18"/>
              </w:rPr>
            </w:pPr>
          </w:p>
        </w:tc>
        <w:tc>
          <w:tcPr>
            <w:tcW w:w="2562" w:type="dxa"/>
            <w:gridSpan w:val="2"/>
            <w:tcBorders>
              <w:top w:val="single" w:color="000000" w:sz="4" w:space="0"/>
              <w:left w:val="single" w:color="000000" w:sz="4" w:space="0"/>
              <w:bottom w:val="single" w:color="000000" w:sz="4" w:space="0"/>
              <w:right w:val="single" w:color="000000" w:sz="4" w:space="0"/>
            </w:tcBorders>
            <w:noWrap w:val="0"/>
            <w:vAlign w:val="center"/>
          </w:tcPr>
          <w:p w14:paraId="74C5C7E7">
            <w:pPr>
              <w:keepNext w:val="0"/>
              <w:keepLines w:val="0"/>
              <w:pageBreakBefore w:val="0"/>
              <w:widowControl/>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noWrap w:val="0"/>
            <w:vAlign w:val="center"/>
          </w:tcPr>
          <w:p w14:paraId="06ED8251">
            <w:pPr>
              <w:keepNext w:val="0"/>
              <w:keepLines w:val="0"/>
              <w:pageBreakBefore w:val="0"/>
              <w:kinsoku/>
              <w:wordWrap/>
              <w:overflowPunct/>
              <w:topLinePunct w:val="0"/>
              <w:autoSpaceDE/>
              <w:autoSpaceDN/>
              <w:bidi w:val="0"/>
              <w:adjustRightInd/>
              <w:snapToGrid/>
              <w:spacing w:line="260" w:lineRule="exact"/>
              <w:jc w:val="right"/>
              <w:rPr>
                <w:rFonts w:hint="eastAsia" w:ascii="仿宋_GB2312" w:hAnsi="仿宋_GB2312" w:eastAsia="仿宋_GB2312" w:cs="仿宋_GB2312"/>
                <w:color w:val="000000"/>
                <w:sz w:val="18"/>
                <w:szCs w:val="18"/>
              </w:rPr>
            </w:pPr>
          </w:p>
        </w:tc>
      </w:tr>
      <w:tr w14:paraId="6EA8EA7B">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noWrap w:val="0"/>
            <w:vAlign w:val="center"/>
          </w:tcPr>
          <w:p w14:paraId="24EBB6A8">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总体 目标</w:t>
            </w: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61DE4292">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年度目标</w:t>
            </w:r>
          </w:p>
        </w:tc>
      </w:tr>
      <w:tr w14:paraId="6A6A9B16">
        <w:tblPrEx>
          <w:tblCellMar>
            <w:top w:w="15" w:type="dxa"/>
            <w:left w:w="15" w:type="dxa"/>
            <w:bottom w:w="15" w:type="dxa"/>
            <w:right w:w="15" w:type="dxa"/>
          </w:tblCellMar>
        </w:tblPrEx>
        <w:trPr>
          <w:trHeight w:val="1226"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30780E">
            <w:pPr>
              <w:keepNext w:val="0"/>
              <w:keepLines w:val="0"/>
              <w:pageBreakBefore w:val="0"/>
              <w:kinsoku/>
              <w:wordWrap/>
              <w:overflowPunct/>
              <w:topLinePunct w:val="0"/>
              <w:autoSpaceDE/>
              <w:autoSpaceDN/>
              <w:bidi w:val="0"/>
              <w:adjustRightInd/>
              <w:snapToGrid/>
              <w:spacing w:line="260" w:lineRule="exact"/>
              <w:rPr>
                <w:rFonts w:hint="eastAsia" w:ascii="仿宋_GB2312" w:hAnsi="仿宋_GB2312" w:eastAsia="仿宋_GB2312" w:cs="仿宋_GB2312"/>
                <w:color w:val="000000"/>
                <w:sz w:val="18"/>
                <w:szCs w:val="18"/>
              </w:rPr>
            </w:pPr>
          </w:p>
        </w:tc>
        <w:tc>
          <w:tcPr>
            <w:tcW w:w="9581" w:type="dxa"/>
            <w:gridSpan w:val="8"/>
            <w:tcBorders>
              <w:top w:val="single" w:color="000000" w:sz="4" w:space="0"/>
              <w:left w:val="single" w:color="000000" w:sz="4" w:space="0"/>
              <w:bottom w:val="single" w:color="000000" w:sz="4" w:space="0"/>
              <w:right w:val="single" w:color="000000" w:sz="4" w:space="0"/>
            </w:tcBorders>
            <w:noWrap w:val="0"/>
            <w:vAlign w:val="center"/>
          </w:tcPr>
          <w:p w14:paraId="0BD22D2D">
            <w:pPr>
              <w:keepNext w:val="0"/>
              <w:keepLines w:val="0"/>
              <w:pageBreakBefore w:val="0"/>
              <w:widowControl/>
              <w:numPr>
                <w:ilvl w:val="0"/>
                <w:numId w:val="0"/>
              </w:numPr>
              <w:kinsoku/>
              <w:wordWrap/>
              <w:overflowPunct/>
              <w:topLinePunct w:val="0"/>
              <w:autoSpaceDE/>
              <w:autoSpaceDN/>
              <w:bidi w:val="0"/>
              <w:adjustRightInd/>
              <w:snapToGrid/>
              <w:spacing w:line="260" w:lineRule="exact"/>
              <w:ind w:firstLine="360" w:firstLineChars="200"/>
              <w:contextualSpacing/>
              <w:jc w:val="left"/>
              <w:rPr>
                <w:rFonts w:hint="eastAsia" w:ascii="仿宋_GB2312" w:hAnsi="仿宋_GB2312" w:eastAsia="仿宋_GB2312" w:cs="仿宋_GB2312"/>
                <w:kern w:val="2"/>
                <w:sz w:val="18"/>
                <w:szCs w:val="18"/>
                <w:lang w:val="en-US" w:eastAsia="zh-CN"/>
              </w:rPr>
            </w:pPr>
            <w:r>
              <w:rPr>
                <w:rFonts w:hint="eastAsia" w:ascii="仿宋_GB2312" w:hAnsi="仿宋_GB2312" w:eastAsia="仿宋_GB2312" w:cs="仿宋_GB2312"/>
                <w:color w:val="000000"/>
                <w:sz w:val="18"/>
                <w:szCs w:val="18"/>
                <w:lang w:val="en-US" w:eastAsia="zh-CN"/>
              </w:rPr>
              <w:t>有力有效推动乡村产业可持续发展，保障农民利益，拓展乡村产业融合渠道与合作开发领域，有利于促进当地经济发展，早日实现乡村振兴。</w:t>
            </w:r>
          </w:p>
          <w:p w14:paraId="308B659E">
            <w:pPr>
              <w:keepNext w:val="0"/>
              <w:keepLines w:val="0"/>
              <w:pageBreakBefore w:val="0"/>
              <w:kinsoku/>
              <w:wordWrap/>
              <w:overflowPunct/>
              <w:topLinePunct w:val="0"/>
              <w:autoSpaceDE/>
              <w:autoSpaceDN/>
              <w:bidi w:val="0"/>
              <w:adjustRightInd/>
              <w:snapToGrid/>
              <w:spacing w:line="260" w:lineRule="exact"/>
              <w:ind w:firstLine="360" w:firstLineChars="200"/>
              <w:rPr>
                <w:rFonts w:hint="eastAsia" w:ascii="仿宋_GB2312" w:hAnsi="仿宋_GB2312" w:eastAsia="仿宋_GB2312" w:cs="仿宋_GB2312"/>
                <w:color w:val="000000"/>
                <w:sz w:val="18"/>
                <w:szCs w:val="18"/>
              </w:rPr>
            </w:pPr>
          </w:p>
        </w:tc>
      </w:tr>
      <w:tr w14:paraId="14F9B9BF">
        <w:tblPrEx>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tcBorders>
            <w:noWrap w:val="0"/>
            <w:vAlign w:val="center"/>
          </w:tcPr>
          <w:p w14:paraId="0E73D565">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绩效 指标</w:t>
            </w:r>
          </w:p>
        </w:tc>
        <w:tc>
          <w:tcPr>
            <w:tcW w:w="1081" w:type="dxa"/>
            <w:tcBorders>
              <w:top w:val="single" w:color="000000" w:sz="4" w:space="0"/>
              <w:left w:val="single" w:color="000000" w:sz="4" w:space="0"/>
              <w:bottom w:val="single" w:color="000000" w:sz="4" w:space="0"/>
              <w:right w:val="single" w:color="000000" w:sz="4" w:space="0"/>
            </w:tcBorders>
            <w:noWrap w:val="0"/>
            <w:vAlign w:val="center"/>
          </w:tcPr>
          <w:p w14:paraId="605D23EC">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一级指标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081C4B38">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二级指标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641E3297">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三级指标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6FF9DE28">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指标性质</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302A1415">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指标值</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5F873989">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度量单位</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2BA2BC5D">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权重</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29E919C7">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实际完成指标值</w:t>
            </w:r>
          </w:p>
        </w:tc>
      </w:tr>
      <w:tr w14:paraId="26770E99">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704B93ED">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p>
        </w:tc>
        <w:tc>
          <w:tcPr>
            <w:tcW w:w="1081" w:type="dxa"/>
            <w:vMerge w:val="restart"/>
            <w:tcBorders>
              <w:top w:val="single" w:color="000000" w:sz="4" w:space="0"/>
              <w:left w:val="single" w:color="000000" w:sz="4" w:space="0"/>
              <w:bottom w:val="single" w:color="000000" w:sz="4" w:space="0"/>
              <w:right w:val="single" w:color="000000" w:sz="4" w:space="0"/>
            </w:tcBorders>
            <w:noWrap w:val="0"/>
            <w:vAlign w:val="center"/>
          </w:tcPr>
          <w:p w14:paraId="11587BD0">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产出指标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318D64D9">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数量指标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2B2EA203">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eastAsia="zh-CN"/>
              </w:rPr>
              <w:t>沟口镇涉及项目村个数</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76429BAC">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34E4AB36">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2</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1E11E400">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eastAsia="zh-CN"/>
              </w:rPr>
              <w:t>个</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76FE26DD">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0C100C03">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r>
      <w:tr w14:paraId="06346DE8">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786800BD">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47BF61">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265B999D">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质量指标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27270AF5">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利于乡村党群事业发展</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21F03595">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649B6DE3">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96</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40AD26DF">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36D77DFF">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0F723A28">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r>
      <w:tr w14:paraId="16B93BCE">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6DC89CC7">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48F81D">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54364F9B">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时效指标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3CFB7F9A">
            <w:pPr>
              <w:keepNext w:val="0"/>
              <w:keepLines w:val="0"/>
              <w:pageBreakBefore w:val="0"/>
              <w:kinsoku/>
              <w:wordWrap/>
              <w:overflowPunct/>
              <w:topLinePunct w:val="0"/>
              <w:autoSpaceDE/>
              <w:autoSpaceDN/>
              <w:bidi w:val="0"/>
              <w:adjustRightInd/>
              <w:snapToGrid/>
              <w:spacing w:line="260" w:lineRule="exact"/>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eastAsia="zh-CN"/>
              </w:rPr>
              <w:t>该项目完成按时率</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65CF6954">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36FADADC">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98</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00BDA339">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16A68192">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20%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2399921C">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r>
      <w:tr w14:paraId="127E1452">
        <w:tblPrEx>
          <w:tblCellMar>
            <w:top w:w="15" w:type="dxa"/>
            <w:left w:w="15" w:type="dxa"/>
            <w:bottom w:w="15" w:type="dxa"/>
            <w:right w:w="15" w:type="dxa"/>
          </w:tblCellMar>
        </w:tblPrEx>
        <w:trPr>
          <w:trHeight w:val="1051"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53933246">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p>
        </w:tc>
        <w:tc>
          <w:tcPr>
            <w:tcW w:w="1081" w:type="dxa"/>
            <w:vMerge w:val="restart"/>
            <w:tcBorders>
              <w:top w:val="single" w:color="000000" w:sz="4" w:space="0"/>
              <w:left w:val="single" w:color="000000" w:sz="4" w:space="0"/>
              <w:bottom w:val="single" w:color="000000" w:sz="4" w:space="0"/>
              <w:right w:val="single" w:color="000000" w:sz="4" w:space="0"/>
            </w:tcBorders>
            <w:noWrap w:val="0"/>
            <w:vAlign w:val="center"/>
          </w:tcPr>
          <w:p w14:paraId="2B27382F">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效益指标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1553C548">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经济效益</w:t>
            </w:r>
          </w:p>
          <w:p w14:paraId="5A6D3CBE">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58AFF6B0">
            <w:pPr>
              <w:keepNext w:val="0"/>
              <w:keepLines w:val="0"/>
              <w:pageBreakBefore w:val="0"/>
              <w:kinsoku/>
              <w:wordWrap/>
              <w:overflowPunct/>
              <w:topLinePunct w:val="0"/>
              <w:autoSpaceDE/>
              <w:autoSpaceDN/>
              <w:bidi w:val="0"/>
              <w:adjustRightInd/>
              <w:snapToGrid/>
              <w:spacing w:line="260" w:lineRule="exact"/>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val="en-US" w:eastAsia="zh-CN"/>
              </w:rPr>
              <w:t>有利于促进当地经济发展，早日实现乡村振兴。</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71F52937">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eastAsia="zh-CN"/>
              </w:rPr>
              <w:t>定性</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60962545">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eastAsia="zh-CN"/>
              </w:rPr>
              <w:t>进一步保障</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69F1EFF5">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E70B5B8">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413FBAD2">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r>
      <w:tr w14:paraId="08105577">
        <w:tblPrEx>
          <w:tblCellMar>
            <w:top w:w="15" w:type="dxa"/>
            <w:left w:w="15" w:type="dxa"/>
            <w:bottom w:w="15" w:type="dxa"/>
            <w:right w:w="15" w:type="dxa"/>
          </w:tblCellMar>
        </w:tblPrEx>
        <w:trPr>
          <w:trHeight w:val="452"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4BAEBC2E">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p>
        </w:tc>
        <w:tc>
          <w:tcPr>
            <w:tcW w:w="10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1EE26E">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p>
        </w:tc>
        <w:tc>
          <w:tcPr>
            <w:tcW w:w="1250" w:type="dxa"/>
            <w:tcBorders>
              <w:top w:val="single" w:color="000000" w:sz="4" w:space="0"/>
              <w:left w:val="single" w:color="000000" w:sz="4" w:space="0"/>
              <w:right w:val="single" w:color="000000" w:sz="4" w:space="0"/>
            </w:tcBorders>
            <w:noWrap w:val="0"/>
            <w:vAlign w:val="center"/>
          </w:tcPr>
          <w:p w14:paraId="3030B6FC">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社会效益</w:t>
            </w:r>
          </w:p>
          <w:p w14:paraId="39A52680">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3E0FCF04">
            <w:pPr>
              <w:keepNext w:val="0"/>
              <w:keepLines w:val="0"/>
              <w:pageBreakBefore w:val="0"/>
              <w:kinsoku/>
              <w:wordWrap/>
              <w:overflowPunct/>
              <w:topLinePunct w:val="0"/>
              <w:autoSpaceDE/>
              <w:autoSpaceDN/>
              <w:bidi w:val="0"/>
              <w:adjustRightInd/>
              <w:snapToGrid/>
              <w:spacing w:line="260" w:lineRule="exac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提高群众生活水平</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541474AE">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eastAsia="zh-CN"/>
              </w:rPr>
              <w:t>定性</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444BA24A">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eastAsia="zh-CN"/>
              </w:rPr>
              <w:t>进一步保障</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4F0790FC">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42CCE561">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236E9D0D">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r>
      <w:tr w14:paraId="1BA2555B">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4345DB55">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p>
        </w:tc>
        <w:tc>
          <w:tcPr>
            <w:tcW w:w="1081" w:type="dxa"/>
            <w:tcBorders>
              <w:top w:val="single" w:color="000000" w:sz="4" w:space="0"/>
              <w:left w:val="single" w:color="000000" w:sz="4" w:space="0"/>
              <w:right w:val="single" w:color="000000" w:sz="4" w:space="0"/>
            </w:tcBorders>
            <w:noWrap w:val="0"/>
            <w:vAlign w:val="center"/>
          </w:tcPr>
          <w:p w14:paraId="75FE94D7">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满意度</w:t>
            </w:r>
          </w:p>
          <w:p w14:paraId="606A427D">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指标</w:t>
            </w:r>
          </w:p>
        </w:tc>
        <w:tc>
          <w:tcPr>
            <w:tcW w:w="1250" w:type="dxa"/>
            <w:tcBorders>
              <w:top w:val="single" w:color="000000" w:sz="4" w:space="0"/>
              <w:left w:val="single" w:color="000000" w:sz="4" w:space="0"/>
              <w:right w:val="single" w:color="000000" w:sz="4" w:space="0"/>
            </w:tcBorders>
            <w:noWrap w:val="0"/>
            <w:vAlign w:val="center"/>
          </w:tcPr>
          <w:p w14:paraId="5CA308B8">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服务对象</w:t>
            </w:r>
          </w:p>
          <w:p w14:paraId="3A579A07">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满意度指标</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2BB8AABE">
            <w:pPr>
              <w:keepNext w:val="0"/>
              <w:keepLines w:val="0"/>
              <w:pageBreakBefore w:val="0"/>
              <w:kinsoku/>
              <w:wordWrap/>
              <w:overflowPunct/>
              <w:topLinePunct w:val="0"/>
              <w:autoSpaceDE/>
              <w:autoSpaceDN/>
              <w:bidi w:val="0"/>
              <w:adjustRightInd/>
              <w:snapToGrid/>
              <w:spacing w:line="260" w:lineRule="exac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lang w:eastAsia="zh-CN"/>
              </w:rPr>
              <w:t>受益群众满意度</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0A985231">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5D286320">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98</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3E02F055">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0CECE85">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3EF328C8">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r>
      <w:tr w14:paraId="64F07C41">
        <w:tblPrEx>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tcBorders>
            <w:noWrap w:val="0"/>
            <w:vAlign w:val="center"/>
          </w:tcPr>
          <w:p w14:paraId="1CDF81D0">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p>
        </w:tc>
        <w:tc>
          <w:tcPr>
            <w:tcW w:w="1081" w:type="dxa"/>
            <w:tcBorders>
              <w:top w:val="single" w:color="000000" w:sz="4" w:space="0"/>
              <w:left w:val="single" w:color="000000" w:sz="4" w:space="0"/>
              <w:bottom w:val="single" w:color="000000" w:sz="4" w:space="0"/>
              <w:right w:val="single" w:color="000000" w:sz="4" w:space="0"/>
            </w:tcBorders>
            <w:noWrap w:val="0"/>
            <w:vAlign w:val="center"/>
          </w:tcPr>
          <w:p w14:paraId="42897E0B">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成本指标</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13F692CE">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kern w:val="0"/>
                <w:sz w:val="18"/>
                <w:szCs w:val="18"/>
                <w:lang w:bidi="ar"/>
              </w:rPr>
            </w:pPr>
            <w:r>
              <w:rPr>
                <w:rFonts w:hint="eastAsia" w:ascii="仿宋_GB2312" w:hAnsi="仿宋_GB2312" w:eastAsia="仿宋_GB2312" w:cs="仿宋_GB2312"/>
                <w:color w:val="000000"/>
                <w:kern w:val="0"/>
                <w:sz w:val="18"/>
                <w:szCs w:val="18"/>
                <w:lang w:bidi="ar"/>
              </w:rPr>
              <w:t>经济成本</w:t>
            </w:r>
          </w:p>
          <w:p w14:paraId="6A4ECC95">
            <w:pPr>
              <w:keepNext w:val="0"/>
              <w:keepLines w:val="0"/>
              <w:pageBreakBefore w:val="0"/>
              <w:widowControl/>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指标</w:t>
            </w:r>
          </w:p>
        </w:tc>
        <w:tc>
          <w:tcPr>
            <w:tcW w:w="1312" w:type="dxa"/>
            <w:tcBorders>
              <w:top w:val="single" w:color="000000" w:sz="4" w:space="0"/>
              <w:bottom w:val="single" w:color="000000" w:sz="4" w:space="0"/>
              <w:right w:val="single" w:color="000000" w:sz="4" w:space="0"/>
            </w:tcBorders>
            <w:noWrap w:val="0"/>
            <w:vAlign w:val="center"/>
          </w:tcPr>
          <w:p w14:paraId="4E8E96AD">
            <w:pPr>
              <w:keepNext w:val="0"/>
              <w:keepLines w:val="0"/>
              <w:pageBreakBefore w:val="0"/>
              <w:kinsoku/>
              <w:wordWrap/>
              <w:overflowPunct/>
              <w:topLinePunct w:val="0"/>
              <w:autoSpaceDE/>
              <w:autoSpaceDN/>
              <w:bidi w:val="0"/>
              <w:adjustRightInd/>
              <w:snapToGrid/>
              <w:spacing w:line="260" w:lineRule="exact"/>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eastAsia="zh-CN"/>
              </w:rPr>
              <w:t>该项目成本控制范围</w:t>
            </w:r>
          </w:p>
        </w:tc>
        <w:tc>
          <w:tcPr>
            <w:tcW w:w="1127" w:type="dxa"/>
            <w:tcBorders>
              <w:top w:val="single" w:color="000000" w:sz="4" w:space="0"/>
              <w:left w:val="single" w:color="000000" w:sz="4" w:space="0"/>
              <w:bottom w:val="single" w:color="000000" w:sz="4" w:space="0"/>
              <w:right w:val="single" w:color="000000" w:sz="4" w:space="0"/>
            </w:tcBorders>
            <w:noWrap w:val="0"/>
            <w:vAlign w:val="center"/>
          </w:tcPr>
          <w:p w14:paraId="328AD875">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w:t>
            </w:r>
          </w:p>
        </w:tc>
        <w:tc>
          <w:tcPr>
            <w:tcW w:w="971" w:type="dxa"/>
            <w:tcBorders>
              <w:top w:val="single" w:color="000000" w:sz="4" w:space="0"/>
              <w:left w:val="single" w:color="000000" w:sz="4" w:space="0"/>
              <w:bottom w:val="single" w:color="000000" w:sz="4" w:space="0"/>
              <w:right w:val="single" w:color="000000" w:sz="4" w:space="0"/>
            </w:tcBorders>
            <w:noWrap w:val="0"/>
            <w:vAlign w:val="center"/>
          </w:tcPr>
          <w:p w14:paraId="07ED69BA">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50</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7DF9E2C5">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eastAsia="zh-CN"/>
              </w:rPr>
              <w:t>万元</w:t>
            </w:r>
          </w:p>
        </w:tc>
        <w:tc>
          <w:tcPr>
            <w:tcW w:w="938" w:type="dxa"/>
            <w:tcBorders>
              <w:top w:val="single" w:color="000000" w:sz="4" w:space="0"/>
              <w:left w:val="single" w:color="000000" w:sz="4" w:space="0"/>
              <w:bottom w:val="single" w:color="000000" w:sz="4" w:space="0"/>
              <w:right w:val="single" w:color="000000" w:sz="4" w:space="0"/>
            </w:tcBorders>
            <w:noWrap w:val="0"/>
            <w:vAlign w:val="center"/>
          </w:tcPr>
          <w:p w14:paraId="6B85F199">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14:paraId="0A3C9888">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100%</w:t>
            </w:r>
          </w:p>
        </w:tc>
      </w:tr>
    </w:tbl>
    <w:p w14:paraId="4BCBC492">
      <w:pPr>
        <w:pStyle w:val="5"/>
        <w:bidi w:val="0"/>
        <w:ind w:firstLine="3092" w:firstLineChars="700"/>
        <w:rPr>
          <w:rFonts w:hint="eastAsia" w:ascii="Times New Roman" w:hAnsi="Times New Roman" w:eastAsia="仿宋_GB2312" w:cs="仿宋_GB2312"/>
          <w:color w:val="auto"/>
          <w:sz w:val="32"/>
          <w:szCs w:val="32"/>
          <w:highlight w:val="none"/>
        </w:rPr>
      </w:pPr>
      <w:r>
        <w:rPr>
          <w:rFonts w:hint="eastAsia" w:ascii="黑体" w:hAnsi="黑体" w:eastAsia="黑体" w:cs="黑体"/>
        </w:rPr>
        <w:t>第五部分 附表</w:t>
      </w:r>
      <w:bookmarkEnd w:id="72"/>
      <w:bookmarkEnd w:id="85"/>
      <w:bookmarkEnd w:id="86"/>
      <w:bookmarkStart w:id="87" w:name="_Toc15396619"/>
    </w:p>
    <w:p w14:paraId="05522B01">
      <w:pPr>
        <w:pStyle w:val="6"/>
        <w:spacing w:line="415" w:lineRule="auto"/>
        <w:ind w:firstLine="640" w:firstLineChars="200"/>
        <w:rPr>
          <w:rFonts w:hint="eastAsia" w:ascii="黑体" w:hAnsi="Cambria" w:eastAsia="黑体" w:cs="Times New Roman"/>
          <w:b w:val="0"/>
          <w:bCs w:val="0"/>
          <w:color w:val="000000"/>
        </w:rPr>
      </w:pPr>
      <w:bookmarkStart w:id="88" w:name="_Toc11091"/>
      <w:r>
        <w:rPr>
          <w:rFonts w:hint="eastAsia" w:ascii="黑体" w:hAnsi="Cambria" w:eastAsia="黑体" w:cs="Times New Roman"/>
          <w:b w:val="0"/>
          <w:bCs w:val="0"/>
          <w:color w:val="000000"/>
        </w:rPr>
        <w:t>一、收入支出决算总表</w:t>
      </w:r>
      <w:bookmarkEnd w:id="87"/>
      <w:bookmarkEnd w:id="88"/>
    </w:p>
    <w:p w14:paraId="5AA944AC">
      <w:pPr>
        <w:pStyle w:val="6"/>
        <w:spacing w:line="415" w:lineRule="auto"/>
        <w:ind w:firstLine="640" w:firstLineChars="200"/>
        <w:rPr>
          <w:rFonts w:hint="eastAsia" w:ascii="黑体" w:hAnsi="Cambria" w:eastAsia="黑体" w:cs="Times New Roman"/>
          <w:b w:val="0"/>
          <w:bCs w:val="0"/>
          <w:color w:val="000000"/>
        </w:rPr>
      </w:pPr>
      <w:bookmarkStart w:id="89" w:name="_Toc15396620"/>
      <w:bookmarkStart w:id="90" w:name="_Toc21824"/>
      <w:r>
        <w:rPr>
          <w:rFonts w:hint="eastAsia" w:ascii="黑体" w:hAnsi="Cambria" w:eastAsia="黑体" w:cs="Times New Roman"/>
          <w:b w:val="0"/>
          <w:bCs w:val="0"/>
          <w:color w:val="000000"/>
        </w:rPr>
        <w:t>二、收入决算表</w:t>
      </w:r>
      <w:bookmarkEnd w:id="89"/>
      <w:bookmarkEnd w:id="90"/>
    </w:p>
    <w:p w14:paraId="11010264">
      <w:pPr>
        <w:pStyle w:val="6"/>
        <w:spacing w:line="415" w:lineRule="auto"/>
        <w:ind w:firstLine="640" w:firstLineChars="200"/>
        <w:rPr>
          <w:rFonts w:hint="eastAsia" w:ascii="黑体" w:hAnsi="Cambria" w:eastAsia="黑体" w:cs="Times New Roman"/>
          <w:b w:val="0"/>
          <w:bCs w:val="0"/>
          <w:color w:val="000000"/>
        </w:rPr>
      </w:pPr>
      <w:bookmarkStart w:id="91" w:name="_Toc15396621"/>
      <w:bookmarkStart w:id="92" w:name="_Toc957"/>
      <w:r>
        <w:rPr>
          <w:rFonts w:hint="eastAsia" w:ascii="黑体" w:hAnsi="Cambria" w:eastAsia="黑体" w:cs="Times New Roman"/>
          <w:b w:val="0"/>
          <w:bCs w:val="0"/>
          <w:color w:val="000000"/>
        </w:rPr>
        <w:t>三、支出决算表</w:t>
      </w:r>
      <w:bookmarkEnd w:id="91"/>
      <w:bookmarkEnd w:id="92"/>
    </w:p>
    <w:p w14:paraId="62E67057">
      <w:pPr>
        <w:pStyle w:val="6"/>
        <w:spacing w:line="415" w:lineRule="auto"/>
        <w:ind w:firstLine="640" w:firstLineChars="200"/>
        <w:rPr>
          <w:rFonts w:hint="eastAsia" w:ascii="黑体" w:hAnsi="Cambria" w:eastAsia="黑体" w:cs="Times New Roman"/>
          <w:b w:val="0"/>
          <w:bCs w:val="0"/>
          <w:color w:val="000000"/>
        </w:rPr>
      </w:pPr>
      <w:bookmarkStart w:id="93" w:name="_Toc15396622"/>
      <w:bookmarkStart w:id="94" w:name="_Toc13607"/>
      <w:r>
        <w:rPr>
          <w:rFonts w:hint="eastAsia" w:ascii="黑体" w:hAnsi="Cambria" w:eastAsia="黑体" w:cs="Times New Roman"/>
          <w:b w:val="0"/>
          <w:bCs w:val="0"/>
          <w:color w:val="000000"/>
        </w:rPr>
        <w:t>四、财政拨款收入支出决算总表</w:t>
      </w:r>
      <w:bookmarkEnd w:id="93"/>
      <w:bookmarkEnd w:id="94"/>
    </w:p>
    <w:p w14:paraId="7EAAF74D">
      <w:pPr>
        <w:pStyle w:val="6"/>
        <w:spacing w:line="415" w:lineRule="auto"/>
        <w:ind w:firstLine="640" w:firstLineChars="200"/>
        <w:rPr>
          <w:rFonts w:hint="eastAsia" w:ascii="黑体" w:hAnsi="Cambria" w:eastAsia="黑体" w:cs="Times New Roman"/>
          <w:b w:val="0"/>
          <w:bCs w:val="0"/>
          <w:color w:val="000000"/>
        </w:rPr>
      </w:pPr>
      <w:bookmarkStart w:id="95" w:name="_Toc15396623"/>
      <w:bookmarkStart w:id="96" w:name="_Toc25908"/>
      <w:r>
        <w:rPr>
          <w:rFonts w:hint="eastAsia" w:ascii="黑体" w:hAnsi="Cambria" w:eastAsia="黑体" w:cs="Times New Roman"/>
          <w:b w:val="0"/>
          <w:bCs w:val="0"/>
          <w:color w:val="000000"/>
        </w:rPr>
        <w:t>五、财政拨款支出决算明细表</w:t>
      </w:r>
      <w:bookmarkEnd w:id="95"/>
      <w:bookmarkEnd w:id="96"/>
      <w:bookmarkStart w:id="97" w:name="_Toc15396624"/>
    </w:p>
    <w:p w14:paraId="03B665F1">
      <w:pPr>
        <w:pStyle w:val="6"/>
        <w:spacing w:line="415" w:lineRule="auto"/>
        <w:ind w:firstLine="640" w:firstLineChars="200"/>
        <w:rPr>
          <w:rFonts w:hint="eastAsia" w:ascii="黑体" w:hAnsi="Cambria" w:eastAsia="黑体" w:cs="Times New Roman"/>
          <w:b w:val="0"/>
          <w:bCs w:val="0"/>
          <w:color w:val="000000"/>
        </w:rPr>
      </w:pPr>
      <w:bookmarkStart w:id="98" w:name="_Toc22366"/>
      <w:r>
        <w:rPr>
          <w:rFonts w:hint="eastAsia" w:ascii="黑体" w:hAnsi="Cambria" w:eastAsia="黑体" w:cs="Times New Roman"/>
          <w:b w:val="0"/>
          <w:bCs w:val="0"/>
          <w:color w:val="000000"/>
        </w:rPr>
        <w:t>六、一般公共预算财政拨款支出决算表</w:t>
      </w:r>
      <w:bookmarkEnd w:id="97"/>
      <w:bookmarkEnd w:id="98"/>
    </w:p>
    <w:p w14:paraId="70A46161">
      <w:pPr>
        <w:pStyle w:val="6"/>
        <w:spacing w:line="415" w:lineRule="auto"/>
        <w:ind w:firstLine="640" w:firstLineChars="200"/>
        <w:rPr>
          <w:rFonts w:hint="eastAsia" w:ascii="黑体" w:hAnsi="Cambria" w:eastAsia="黑体" w:cs="Times New Roman"/>
          <w:b w:val="0"/>
          <w:bCs w:val="0"/>
          <w:color w:val="000000"/>
        </w:rPr>
      </w:pPr>
      <w:bookmarkStart w:id="99" w:name="_Toc15396625"/>
      <w:bookmarkStart w:id="100" w:name="_Toc19547"/>
      <w:r>
        <w:rPr>
          <w:rFonts w:hint="eastAsia" w:ascii="黑体" w:hAnsi="Cambria" w:eastAsia="黑体" w:cs="Times New Roman"/>
          <w:b w:val="0"/>
          <w:bCs w:val="0"/>
          <w:color w:val="000000"/>
        </w:rPr>
        <w:t>七、一般公共预算财政拨款支出决算明细表</w:t>
      </w:r>
      <w:bookmarkEnd w:id="99"/>
      <w:bookmarkEnd w:id="100"/>
    </w:p>
    <w:p w14:paraId="761DF199">
      <w:pPr>
        <w:pStyle w:val="6"/>
        <w:spacing w:line="415" w:lineRule="auto"/>
        <w:ind w:firstLine="640" w:firstLineChars="200"/>
        <w:rPr>
          <w:rFonts w:hint="eastAsia" w:ascii="黑体" w:hAnsi="Cambria" w:eastAsia="黑体" w:cs="Times New Roman"/>
          <w:b w:val="0"/>
          <w:bCs w:val="0"/>
          <w:color w:val="000000"/>
        </w:rPr>
      </w:pPr>
      <w:bookmarkStart w:id="101" w:name="_Toc15396626"/>
      <w:bookmarkStart w:id="102" w:name="_Toc21413"/>
      <w:r>
        <w:rPr>
          <w:rFonts w:hint="eastAsia" w:ascii="黑体" w:hAnsi="Cambria" w:eastAsia="黑体" w:cs="Times New Roman"/>
          <w:b w:val="0"/>
          <w:bCs w:val="0"/>
          <w:color w:val="000000"/>
        </w:rPr>
        <w:t>八、一般公共预算财政拨款基本支出决算表</w:t>
      </w:r>
      <w:bookmarkEnd w:id="101"/>
      <w:bookmarkEnd w:id="102"/>
    </w:p>
    <w:p w14:paraId="18897A37">
      <w:pPr>
        <w:pStyle w:val="6"/>
        <w:spacing w:line="415" w:lineRule="auto"/>
        <w:ind w:firstLine="640" w:firstLineChars="200"/>
        <w:rPr>
          <w:rFonts w:hint="eastAsia" w:ascii="黑体" w:hAnsi="Cambria" w:eastAsia="黑体" w:cs="Times New Roman"/>
          <w:b w:val="0"/>
          <w:bCs w:val="0"/>
          <w:color w:val="000000"/>
        </w:rPr>
      </w:pPr>
      <w:bookmarkStart w:id="103" w:name="_Toc15396627"/>
      <w:bookmarkStart w:id="104" w:name="_Toc28916"/>
      <w:r>
        <w:rPr>
          <w:rFonts w:hint="eastAsia" w:ascii="黑体" w:hAnsi="Cambria" w:eastAsia="黑体" w:cs="Times New Roman"/>
          <w:b w:val="0"/>
          <w:bCs w:val="0"/>
          <w:color w:val="000000"/>
        </w:rPr>
        <w:t>九、一般公共预算财政拨款项目支出决算表</w:t>
      </w:r>
      <w:bookmarkEnd w:id="103"/>
      <w:bookmarkEnd w:id="104"/>
    </w:p>
    <w:p w14:paraId="4CF8316F">
      <w:pPr>
        <w:pStyle w:val="6"/>
        <w:spacing w:line="415" w:lineRule="auto"/>
        <w:ind w:firstLine="640" w:firstLineChars="200"/>
        <w:rPr>
          <w:rFonts w:hint="eastAsia" w:ascii="黑体" w:hAnsi="Cambria" w:eastAsia="黑体" w:cs="Times New Roman"/>
          <w:b w:val="0"/>
          <w:bCs w:val="0"/>
          <w:color w:val="000000"/>
        </w:rPr>
      </w:pPr>
      <w:bookmarkStart w:id="105" w:name="_Toc15396628"/>
      <w:bookmarkStart w:id="106" w:name="_Toc3503"/>
      <w:r>
        <w:rPr>
          <w:rFonts w:hint="eastAsia" w:ascii="黑体" w:hAnsi="Cambria" w:eastAsia="黑体" w:cs="Times New Roman"/>
          <w:b w:val="0"/>
          <w:bCs w:val="0"/>
          <w:color w:val="000000"/>
        </w:rPr>
        <w:t>十、</w:t>
      </w:r>
      <w:bookmarkEnd w:id="105"/>
      <w:r>
        <w:rPr>
          <w:rFonts w:hint="eastAsia" w:ascii="黑体" w:hAnsi="Cambria" w:eastAsia="黑体" w:cs="Times New Roman"/>
          <w:b w:val="0"/>
          <w:bCs w:val="0"/>
          <w:color w:val="000000"/>
        </w:rPr>
        <w:t>政府性基金预算财政拨款收入支出决算表</w:t>
      </w:r>
      <w:bookmarkEnd w:id="106"/>
    </w:p>
    <w:p w14:paraId="51AB6183">
      <w:pPr>
        <w:pStyle w:val="6"/>
        <w:spacing w:line="415" w:lineRule="auto"/>
        <w:ind w:firstLine="640" w:firstLineChars="200"/>
        <w:rPr>
          <w:rFonts w:hint="eastAsia" w:ascii="黑体" w:hAnsi="Cambria" w:eastAsia="黑体" w:cs="Times New Roman"/>
          <w:b w:val="0"/>
          <w:bCs w:val="0"/>
          <w:color w:val="000000"/>
        </w:rPr>
      </w:pPr>
      <w:bookmarkStart w:id="107" w:name="_Toc15396629"/>
      <w:bookmarkStart w:id="108" w:name="_Toc28409"/>
      <w:r>
        <w:rPr>
          <w:rFonts w:hint="eastAsia" w:ascii="黑体" w:hAnsi="Cambria" w:eastAsia="黑体" w:cs="Times New Roman"/>
          <w:b w:val="0"/>
          <w:bCs w:val="0"/>
          <w:color w:val="000000"/>
        </w:rPr>
        <w:t>十一、</w:t>
      </w:r>
      <w:bookmarkEnd w:id="107"/>
      <w:r>
        <w:rPr>
          <w:rFonts w:hint="eastAsia" w:ascii="黑体" w:hAnsi="Cambria" w:eastAsia="黑体" w:cs="Times New Roman"/>
          <w:b w:val="0"/>
          <w:bCs w:val="0"/>
          <w:color w:val="000000"/>
        </w:rPr>
        <w:t>国有资本经营预算</w:t>
      </w:r>
      <w:r>
        <w:rPr>
          <w:rFonts w:hint="eastAsia" w:ascii="黑体" w:hAnsi="Cambria" w:eastAsia="黑体" w:cs="Times New Roman"/>
          <w:b w:val="0"/>
          <w:bCs w:val="0"/>
          <w:color w:val="000000"/>
          <w:lang w:eastAsia="zh-CN"/>
        </w:rPr>
        <w:t>财政拨款收入</w:t>
      </w:r>
      <w:r>
        <w:rPr>
          <w:rFonts w:hint="eastAsia" w:ascii="黑体" w:hAnsi="Cambria" w:eastAsia="黑体" w:cs="Times New Roman"/>
          <w:b w:val="0"/>
          <w:bCs w:val="0"/>
          <w:color w:val="000000"/>
        </w:rPr>
        <w:t>支出决算表</w:t>
      </w:r>
      <w:bookmarkEnd w:id="108"/>
    </w:p>
    <w:p w14:paraId="795B0E7D">
      <w:pPr>
        <w:pStyle w:val="6"/>
        <w:spacing w:line="415" w:lineRule="auto"/>
        <w:ind w:firstLine="640" w:firstLineChars="200"/>
        <w:rPr>
          <w:rFonts w:hint="eastAsia" w:ascii="黑体" w:hAnsi="Cambria" w:eastAsia="黑体" w:cs="Times New Roman"/>
          <w:b w:val="0"/>
          <w:bCs w:val="0"/>
          <w:color w:val="000000"/>
        </w:rPr>
      </w:pPr>
      <w:bookmarkStart w:id="109" w:name="_Toc15396630"/>
      <w:bookmarkStart w:id="110" w:name="_Toc9303"/>
      <w:r>
        <w:rPr>
          <w:rFonts w:hint="eastAsia" w:ascii="黑体" w:hAnsi="Cambria" w:eastAsia="黑体" w:cs="Times New Roman"/>
          <w:b w:val="0"/>
          <w:bCs w:val="0"/>
          <w:color w:val="000000"/>
        </w:rPr>
        <w:t>十二、</w:t>
      </w:r>
      <w:bookmarkEnd w:id="109"/>
      <w:r>
        <w:rPr>
          <w:rFonts w:hint="eastAsia" w:ascii="黑体" w:hAnsi="Cambria" w:eastAsia="黑体" w:cs="Times New Roman"/>
          <w:b w:val="0"/>
          <w:bCs w:val="0"/>
          <w:color w:val="000000"/>
          <w:lang w:eastAsia="zh-CN"/>
        </w:rPr>
        <w:t>国有资本经营预算财政拨款支出决算表</w:t>
      </w:r>
      <w:bookmarkEnd w:id="110"/>
    </w:p>
    <w:p w14:paraId="276638D7">
      <w:pPr>
        <w:pStyle w:val="6"/>
        <w:spacing w:line="415" w:lineRule="auto"/>
        <w:ind w:firstLine="640" w:firstLineChars="200"/>
        <w:rPr>
          <w:rFonts w:hint="eastAsia" w:ascii="Times New Roman" w:hAnsi="Times New Roman"/>
          <w:lang w:eastAsia="zh-CN"/>
        </w:rPr>
      </w:pPr>
      <w:bookmarkStart w:id="111" w:name="_Toc15396631"/>
      <w:bookmarkStart w:id="112" w:name="_Toc14714"/>
      <w:r>
        <w:rPr>
          <w:rFonts w:hint="eastAsia" w:ascii="黑体" w:hAnsi="Cambria" w:eastAsia="黑体" w:cs="Times New Roman"/>
          <w:b w:val="0"/>
          <w:bCs w:val="0"/>
          <w:color w:val="000000"/>
        </w:rPr>
        <w:t>十三、</w:t>
      </w:r>
      <w:bookmarkEnd w:id="111"/>
      <w:r>
        <w:rPr>
          <w:rFonts w:hint="eastAsia" w:ascii="黑体" w:hAnsi="Cambria" w:eastAsia="黑体" w:cs="Times New Roman"/>
          <w:b w:val="0"/>
          <w:bCs w:val="0"/>
          <w:color w:val="000000"/>
          <w:lang w:eastAsia="zh-CN"/>
        </w:rPr>
        <w:t>财政拨款“三公”经费支出决算表</w:t>
      </w:r>
      <w:bookmarkEnd w:id="112"/>
    </w:p>
    <w:sectPr>
      <w:footerReference r:id="rId5" w:type="first"/>
      <w:headerReference r:id="rId3" w:type="default"/>
      <w:footerReference r:id="rId4" w:type="default"/>
      <w:pgSz w:w="11906" w:h="16838"/>
      <w:pgMar w:top="2154" w:right="1417" w:bottom="2041" w:left="1531"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altName w:val="黑体"/>
    <w:panose1 w:val="02010601030101010101"/>
    <w:charset w:val="86"/>
    <w:family w:val="script"/>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中宋">
    <w:altName w:val="宋体"/>
    <w:panose1 w:val="02010600040101010101"/>
    <w:charset w:val="00"/>
    <w:family w:val="auto"/>
    <w:pitch w:val="default"/>
    <w:sig w:usb0="00000000" w:usb1="00000000" w:usb2="00000000" w:usb3="00000000" w:csb0="0004009F" w:csb1="DFD7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09F7A2">
    <w:pPr>
      <w:pStyle w:val="11"/>
      <w:jc w:val="center"/>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F71547">
                          <w:pPr>
                            <w:pStyle w:val="11"/>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CF71547">
                    <w:pPr>
                      <w:pStyle w:val="11"/>
                    </w:pPr>
                    <w:r>
                      <w:fldChar w:fldCharType="begin"/>
                    </w:r>
                    <w:r>
                      <w:instrText xml:space="preserve"> PAGE  \* MERGEFORMAT </w:instrText>
                    </w:r>
                    <w:r>
                      <w:fldChar w:fldCharType="separate"/>
                    </w:r>
                    <w:r>
                      <w:t>- 2 -</w:t>
                    </w:r>
                    <w:r>
                      <w:fldChar w:fldCharType="end"/>
                    </w:r>
                  </w:p>
                </w:txbxContent>
              </v:textbox>
            </v:shape>
          </w:pict>
        </mc:Fallback>
      </mc:AlternateContent>
    </w:r>
  </w:p>
  <w:p w14:paraId="737E13B6">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A7766D">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C673C0">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EC673C0">
                    <w:pPr>
                      <w:pStyle w:val="11"/>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525122">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82C99E"/>
    <w:multiLevelType w:val="singleLevel"/>
    <w:tmpl w:val="9082C99E"/>
    <w:lvl w:ilvl="0" w:tentative="0">
      <w:start w:val="2"/>
      <w:numFmt w:val="chineseCounting"/>
      <w:suff w:val="nothing"/>
      <w:lvlText w:val="（%1）"/>
      <w:lvlJc w:val="left"/>
      <w:rPr>
        <w:rFonts w:hint="eastAsia"/>
      </w:rPr>
    </w:lvl>
  </w:abstractNum>
  <w:abstractNum w:abstractNumId="1">
    <w:nsid w:val="E458CD52"/>
    <w:multiLevelType w:val="singleLevel"/>
    <w:tmpl w:val="E458CD52"/>
    <w:lvl w:ilvl="0" w:tentative="0">
      <w:start w:val="1"/>
      <w:numFmt w:val="chineseCounting"/>
      <w:suff w:val="nothing"/>
      <w:lvlText w:val="%1、"/>
      <w:lvlJc w:val="left"/>
      <w:rPr>
        <w:rFonts w:hint="eastAsia"/>
      </w:rPr>
    </w:lvl>
  </w:abstractNum>
  <w:abstractNum w:abstractNumId="2">
    <w:nsid w:val="FD68EF60"/>
    <w:multiLevelType w:val="singleLevel"/>
    <w:tmpl w:val="FD68EF60"/>
    <w:lvl w:ilvl="0" w:tentative="0">
      <w:start w:val="5"/>
      <w:numFmt w:val="chineseCounting"/>
      <w:suff w:val="nothing"/>
      <w:lvlText w:val="%1、"/>
      <w:lvlJc w:val="left"/>
      <w:rPr>
        <w:rFonts w:hint="eastAsia"/>
      </w:rPr>
    </w:lvl>
  </w:abstractNum>
  <w:abstractNum w:abstractNumId="3">
    <w:nsid w:val="081C4693"/>
    <w:multiLevelType w:val="singleLevel"/>
    <w:tmpl w:val="081C4693"/>
    <w:lvl w:ilvl="0" w:tentative="0">
      <w:start w:val="5"/>
      <w:numFmt w:val="chineseCounting"/>
      <w:suff w:val="nothing"/>
      <w:lvlText w:val="%1、"/>
      <w:lvlJc w:val="left"/>
      <w:rPr>
        <w:rFonts w:hint="eastAsia"/>
      </w:rPr>
    </w:lvl>
  </w:abstractNum>
  <w:abstractNum w:abstractNumId="4">
    <w:nsid w:val="22E137C5"/>
    <w:multiLevelType w:val="singleLevel"/>
    <w:tmpl w:val="22E137C5"/>
    <w:lvl w:ilvl="0" w:tentative="0">
      <w:start w:val="19"/>
      <w:numFmt w:val="decimal"/>
      <w:lvlText w:val="%1."/>
      <w:lvlJc w:val="left"/>
      <w:pPr>
        <w:tabs>
          <w:tab w:val="left" w:pos="312"/>
        </w:tabs>
      </w:pPr>
    </w:lvl>
  </w:abstractNum>
  <w:abstractNum w:abstractNumId="5">
    <w:nsid w:val="751CDD4F"/>
    <w:multiLevelType w:val="singleLevel"/>
    <w:tmpl w:val="751CDD4F"/>
    <w:lvl w:ilvl="0" w:tentative="0">
      <w:start w:val="5"/>
      <w:numFmt w:val="chineseCounting"/>
      <w:suff w:val="nothing"/>
      <w:lvlText w:val="%1、"/>
      <w:lvlJc w:val="left"/>
      <w:rPr>
        <w:rFonts w:hint="eastAsia"/>
      </w:rPr>
    </w:lvl>
  </w:abstractNum>
  <w:num w:numId="1">
    <w:abstractNumId w:val="1"/>
  </w:num>
  <w:num w:numId="2">
    <w:abstractNumId w:val="4"/>
  </w:num>
  <w:num w:numId="3">
    <w:abstractNumId w:val="0"/>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EzMzdkOWRlZjBmNzM5Y2E3YTRjYzk2MThhNjNlNDE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938E8"/>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1440B"/>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23EA9"/>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1A41347"/>
    <w:rsid w:val="01CE3A0A"/>
    <w:rsid w:val="01DD3C4D"/>
    <w:rsid w:val="020E2058"/>
    <w:rsid w:val="02FEBE30"/>
    <w:rsid w:val="036D7FC9"/>
    <w:rsid w:val="03C03826"/>
    <w:rsid w:val="03F014FB"/>
    <w:rsid w:val="0425794B"/>
    <w:rsid w:val="045C4271"/>
    <w:rsid w:val="047D1717"/>
    <w:rsid w:val="04916F1E"/>
    <w:rsid w:val="04ED064B"/>
    <w:rsid w:val="050C2C6B"/>
    <w:rsid w:val="05544226"/>
    <w:rsid w:val="057B33AE"/>
    <w:rsid w:val="05DE188C"/>
    <w:rsid w:val="061E35DE"/>
    <w:rsid w:val="066E0107"/>
    <w:rsid w:val="06BB2074"/>
    <w:rsid w:val="07996F6E"/>
    <w:rsid w:val="07DA5891"/>
    <w:rsid w:val="07DC069D"/>
    <w:rsid w:val="07DFD8BA"/>
    <w:rsid w:val="07F10452"/>
    <w:rsid w:val="07FC6F8D"/>
    <w:rsid w:val="083D0B68"/>
    <w:rsid w:val="085409E1"/>
    <w:rsid w:val="08872B64"/>
    <w:rsid w:val="08931509"/>
    <w:rsid w:val="089808CE"/>
    <w:rsid w:val="08D86F1C"/>
    <w:rsid w:val="09867E8F"/>
    <w:rsid w:val="0A1A0C90"/>
    <w:rsid w:val="0A2032A3"/>
    <w:rsid w:val="0A945AA3"/>
    <w:rsid w:val="0AD41965"/>
    <w:rsid w:val="0AFD2C6A"/>
    <w:rsid w:val="0B445E0F"/>
    <w:rsid w:val="0B4513E2"/>
    <w:rsid w:val="0C32054E"/>
    <w:rsid w:val="0C39293C"/>
    <w:rsid w:val="0CA8290A"/>
    <w:rsid w:val="0D0E0020"/>
    <w:rsid w:val="0D1F511A"/>
    <w:rsid w:val="0D35B1ED"/>
    <w:rsid w:val="0D523741"/>
    <w:rsid w:val="0D927FE1"/>
    <w:rsid w:val="0DBB4AF6"/>
    <w:rsid w:val="0DF540CC"/>
    <w:rsid w:val="0E254B6B"/>
    <w:rsid w:val="0E9432A4"/>
    <w:rsid w:val="0E975393"/>
    <w:rsid w:val="0EC00B7E"/>
    <w:rsid w:val="0ED32660"/>
    <w:rsid w:val="0F1126CB"/>
    <w:rsid w:val="0F277E8D"/>
    <w:rsid w:val="0F5F4446"/>
    <w:rsid w:val="0F661726"/>
    <w:rsid w:val="0F98263C"/>
    <w:rsid w:val="0FB04F84"/>
    <w:rsid w:val="101860EC"/>
    <w:rsid w:val="101F47CC"/>
    <w:rsid w:val="102B2027"/>
    <w:rsid w:val="10C055FF"/>
    <w:rsid w:val="114535BD"/>
    <w:rsid w:val="11694EBD"/>
    <w:rsid w:val="11772AA4"/>
    <w:rsid w:val="118107EC"/>
    <w:rsid w:val="11997759"/>
    <w:rsid w:val="11A227BD"/>
    <w:rsid w:val="11B76E7E"/>
    <w:rsid w:val="123A5B44"/>
    <w:rsid w:val="12E24EE2"/>
    <w:rsid w:val="12EA441C"/>
    <w:rsid w:val="13156E2E"/>
    <w:rsid w:val="13B81E24"/>
    <w:rsid w:val="13BD568C"/>
    <w:rsid w:val="13BE5092"/>
    <w:rsid w:val="13C7650B"/>
    <w:rsid w:val="13D50BC4"/>
    <w:rsid w:val="142C6F1D"/>
    <w:rsid w:val="147F207F"/>
    <w:rsid w:val="14916DF2"/>
    <w:rsid w:val="14B17F78"/>
    <w:rsid w:val="153136DA"/>
    <w:rsid w:val="15FD7C9B"/>
    <w:rsid w:val="16215455"/>
    <w:rsid w:val="162163A6"/>
    <w:rsid w:val="165E0673"/>
    <w:rsid w:val="16B831D5"/>
    <w:rsid w:val="16BB723D"/>
    <w:rsid w:val="17714319"/>
    <w:rsid w:val="17C3523B"/>
    <w:rsid w:val="17DB07D7"/>
    <w:rsid w:val="17E50567"/>
    <w:rsid w:val="18366877"/>
    <w:rsid w:val="186504BB"/>
    <w:rsid w:val="186E164B"/>
    <w:rsid w:val="187C78C4"/>
    <w:rsid w:val="18A60DE5"/>
    <w:rsid w:val="18B41207"/>
    <w:rsid w:val="190653E0"/>
    <w:rsid w:val="196E41F4"/>
    <w:rsid w:val="19A445FC"/>
    <w:rsid w:val="1A454F8C"/>
    <w:rsid w:val="1A5D1977"/>
    <w:rsid w:val="1AF35F88"/>
    <w:rsid w:val="1B701236"/>
    <w:rsid w:val="1BE8440E"/>
    <w:rsid w:val="1C222F92"/>
    <w:rsid w:val="1D0A3566"/>
    <w:rsid w:val="1D155CEE"/>
    <w:rsid w:val="1D1638FE"/>
    <w:rsid w:val="1D803778"/>
    <w:rsid w:val="1D8F1103"/>
    <w:rsid w:val="1DA81EF1"/>
    <w:rsid w:val="1E00770A"/>
    <w:rsid w:val="1E312DEB"/>
    <w:rsid w:val="1E740ACF"/>
    <w:rsid w:val="1E9B5FB2"/>
    <w:rsid w:val="1EBF4F16"/>
    <w:rsid w:val="1F1C58F1"/>
    <w:rsid w:val="1F444EB4"/>
    <w:rsid w:val="1FF24A6E"/>
    <w:rsid w:val="1FF35744"/>
    <w:rsid w:val="1FF52863"/>
    <w:rsid w:val="1FF6BC77"/>
    <w:rsid w:val="1FF82DDD"/>
    <w:rsid w:val="20130DFC"/>
    <w:rsid w:val="20436F19"/>
    <w:rsid w:val="204720DD"/>
    <w:rsid w:val="20773D11"/>
    <w:rsid w:val="20CA49BF"/>
    <w:rsid w:val="20E879FE"/>
    <w:rsid w:val="2186353C"/>
    <w:rsid w:val="21C06CC2"/>
    <w:rsid w:val="21E07116"/>
    <w:rsid w:val="22123047"/>
    <w:rsid w:val="22CA396A"/>
    <w:rsid w:val="232019B9"/>
    <w:rsid w:val="23860B96"/>
    <w:rsid w:val="240371BF"/>
    <w:rsid w:val="240E0A15"/>
    <w:rsid w:val="241C63FF"/>
    <w:rsid w:val="244F3473"/>
    <w:rsid w:val="246B4C91"/>
    <w:rsid w:val="24C97D99"/>
    <w:rsid w:val="250642E7"/>
    <w:rsid w:val="255C2942"/>
    <w:rsid w:val="25A718F0"/>
    <w:rsid w:val="25BB59F6"/>
    <w:rsid w:val="25E14618"/>
    <w:rsid w:val="260F557C"/>
    <w:rsid w:val="26121868"/>
    <w:rsid w:val="264A172F"/>
    <w:rsid w:val="26586904"/>
    <w:rsid w:val="266D516E"/>
    <w:rsid w:val="26970054"/>
    <w:rsid w:val="269E74BF"/>
    <w:rsid w:val="27037402"/>
    <w:rsid w:val="281408E2"/>
    <w:rsid w:val="283F090E"/>
    <w:rsid w:val="28BE093C"/>
    <w:rsid w:val="28F33BD2"/>
    <w:rsid w:val="294E26CD"/>
    <w:rsid w:val="29FD04D3"/>
    <w:rsid w:val="2A4907A6"/>
    <w:rsid w:val="2AE47C95"/>
    <w:rsid w:val="2B173F33"/>
    <w:rsid w:val="2B496A2D"/>
    <w:rsid w:val="2B553042"/>
    <w:rsid w:val="2BFF7BC6"/>
    <w:rsid w:val="2C8A61B5"/>
    <w:rsid w:val="2CFA4E04"/>
    <w:rsid w:val="2CFE2B46"/>
    <w:rsid w:val="2D937FDA"/>
    <w:rsid w:val="2D986AF6"/>
    <w:rsid w:val="2DBD47AF"/>
    <w:rsid w:val="2DCA114E"/>
    <w:rsid w:val="2DCA6ECC"/>
    <w:rsid w:val="2DF04E50"/>
    <w:rsid w:val="2E586DFA"/>
    <w:rsid w:val="2EAB5D2A"/>
    <w:rsid w:val="2EE46F73"/>
    <w:rsid w:val="2EE903D5"/>
    <w:rsid w:val="2EF67C47"/>
    <w:rsid w:val="2F040D46"/>
    <w:rsid w:val="2F5741CE"/>
    <w:rsid w:val="2F582CFC"/>
    <w:rsid w:val="2F6B035B"/>
    <w:rsid w:val="2FAE5751"/>
    <w:rsid w:val="2FB1A395"/>
    <w:rsid w:val="2FD9A7D8"/>
    <w:rsid w:val="2FDBF714"/>
    <w:rsid w:val="308717B0"/>
    <w:rsid w:val="30AB6865"/>
    <w:rsid w:val="30E42053"/>
    <w:rsid w:val="317F4625"/>
    <w:rsid w:val="319F7F4E"/>
    <w:rsid w:val="31A737AC"/>
    <w:rsid w:val="31B870FC"/>
    <w:rsid w:val="327318E0"/>
    <w:rsid w:val="32821FC4"/>
    <w:rsid w:val="32843E49"/>
    <w:rsid w:val="32BD0DAD"/>
    <w:rsid w:val="32BD1EF1"/>
    <w:rsid w:val="32DA195F"/>
    <w:rsid w:val="33042538"/>
    <w:rsid w:val="3304709D"/>
    <w:rsid w:val="33541711"/>
    <w:rsid w:val="33664FA1"/>
    <w:rsid w:val="33727A9C"/>
    <w:rsid w:val="33900270"/>
    <w:rsid w:val="33A773CB"/>
    <w:rsid w:val="33B473EB"/>
    <w:rsid w:val="33B82BEC"/>
    <w:rsid w:val="33D64231"/>
    <w:rsid w:val="3442605B"/>
    <w:rsid w:val="349D6851"/>
    <w:rsid w:val="34A264AC"/>
    <w:rsid w:val="34AD7EA2"/>
    <w:rsid w:val="34D3794B"/>
    <w:rsid w:val="35154772"/>
    <w:rsid w:val="35156C7E"/>
    <w:rsid w:val="358513D6"/>
    <w:rsid w:val="35EE60E8"/>
    <w:rsid w:val="35FA6F8D"/>
    <w:rsid w:val="361C5FF4"/>
    <w:rsid w:val="36200CAA"/>
    <w:rsid w:val="36AA5135"/>
    <w:rsid w:val="36BE0DA7"/>
    <w:rsid w:val="36D007CC"/>
    <w:rsid w:val="36EE3C2B"/>
    <w:rsid w:val="376B6AA6"/>
    <w:rsid w:val="376D39B2"/>
    <w:rsid w:val="37E16F03"/>
    <w:rsid w:val="37F53A3B"/>
    <w:rsid w:val="3890394B"/>
    <w:rsid w:val="389B6C89"/>
    <w:rsid w:val="38D469F0"/>
    <w:rsid w:val="39161217"/>
    <w:rsid w:val="3933586E"/>
    <w:rsid w:val="39592552"/>
    <w:rsid w:val="39627CCD"/>
    <w:rsid w:val="397BAF1F"/>
    <w:rsid w:val="397D27F8"/>
    <w:rsid w:val="397F3D71"/>
    <w:rsid w:val="39DA2245"/>
    <w:rsid w:val="3A1C3C21"/>
    <w:rsid w:val="3A8C79E3"/>
    <w:rsid w:val="3AB79AF3"/>
    <w:rsid w:val="3AE834C0"/>
    <w:rsid w:val="3B0634B5"/>
    <w:rsid w:val="3B4E2EEA"/>
    <w:rsid w:val="3B554279"/>
    <w:rsid w:val="3B7EF35A"/>
    <w:rsid w:val="3B9FDB6C"/>
    <w:rsid w:val="3BC001D3"/>
    <w:rsid w:val="3BF5BC2F"/>
    <w:rsid w:val="3CEBA265"/>
    <w:rsid w:val="3D7C3E01"/>
    <w:rsid w:val="3D8E52AA"/>
    <w:rsid w:val="3D98207C"/>
    <w:rsid w:val="3DB01C3A"/>
    <w:rsid w:val="3DEE7CF3"/>
    <w:rsid w:val="3E0B74D1"/>
    <w:rsid w:val="3E1D4268"/>
    <w:rsid w:val="3E740A63"/>
    <w:rsid w:val="3E78745D"/>
    <w:rsid w:val="3EC412C8"/>
    <w:rsid w:val="3EE17838"/>
    <w:rsid w:val="3F235BB1"/>
    <w:rsid w:val="3F2759C2"/>
    <w:rsid w:val="3F55381A"/>
    <w:rsid w:val="3F5D194E"/>
    <w:rsid w:val="3F74457E"/>
    <w:rsid w:val="3F7F7599"/>
    <w:rsid w:val="3FF4CAE0"/>
    <w:rsid w:val="3FF7B227"/>
    <w:rsid w:val="40010EF3"/>
    <w:rsid w:val="40920B61"/>
    <w:rsid w:val="40CA3013"/>
    <w:rsid w:val="40F167F2"/>
    <w:rsid w:val="410302D3"/>
    <w:rsid w:val="415B010F"/>
    <w:rsid w:val="416157A3"/>
    <w:rsid w:val="417B41BA"/>
    <w:rsid w:val="41D13F2D"/>
    <w:rsid w:val="42121D27"/>
    <w:rsid w:val="42801A62"/>
    <w:rsid w:val="431F6F1A"/>
    <w:rsid w:val="43811D82"/>
    <w:rsid w:val="43BB350B"/>
    <w:rsid w:val="440C192E"/>
    <w:rsid w:val="447C21D5"/>
    <w:rsid w:val="44E268DA"/>
    <w:rsid w:val="44F20732"/>
    <w:rsid w:val="450D13D7"/>
    <w:rsid w:val="452845E0"/>
    <w:rsid w:val="45506656"/>
    <w:rsid w:val="456F5F37"/>
    <w:rsid w:val="45A42941"/>
    <w:rsid w:val="45AC0266"/>
    <w:rsid w:val="46B50DE2"/>
    <w:rsid w:val="470628CB"/>
    <w:rsid w:val="47650446"/>
    <w:rsid w:val="476F3AA9"/>
    <w:rsid w:val="477A307F"/>
    <w:rsid w:val="48035502"/>
    <w:rsid w:val="48050DD4"/>
    <w:rsid w:val="486A6C7A"/>
    <w:rsid w:val="49656BC0"/>
    <w:rsid w:val="49BF6D61"/>
    <w:rsid w:val="49D071C0"/>
    <w:rsid w:val="49E5379C"/>
    <w:rsid w:val="4A627F82"/>
    <w:rsid w:val="4AB61513"/>
    <w:rsid w:val="4B0E749A"/>
    <w:rsid w:val="4B2477C4"/>
    <w:rsid w:val="4B31299F"/>
    <w:rsid w:val="4B4F25DA"/>
    <w:rsid w:val="4B9E7576"/>
    <w:rsid w:val="4BD00917"/>
    <w:rsid w:val="4BDD5A8B"/>
    <w:rsid w:val="4BE068DB"/>
    <w:rsid w:val="4BE62CCB"/>
    <w:rsid w:val="4C0C1541"/>
    <w:rsid w:val="4C3C2A30"/>
    <w:rsid w:val="4C63273B"/>
    <w:rsid w:val="4CCE71C9"/>
    <w:rsid w:val="4CE30FB8"/>
    <w:rsid w:val="4D423F31"/>
    <w:rsid w:val="4D577224"/>
    <w:rsid w:val="4D83412C"/>
    <w:rsid w:val="4DBF1CEB"/>
    <w:rsid w:val="4DC35CD9"/>
    <w:rsid w:val="4DF0007C"/>
    <w:rsid w:val="4E1A6396"/>
    <w:rsid w:val="4E612932"/>
    <w:rsid w:val="4EAB630A"/>
    <w:rsid w:val="4ECE2238"/>
    <w:rsid w:val="4F323574"/>
    <w:rsid w:val="4F833267"/>
    <w:rsid w:val="4F9E480C"/>
    <w:rsid w:val="4FCB2904"/>
    <w:rsid w:val="4FE9BD67"/>
    <w:rsid w:val="4FFB052F"/>
    <w:rsid w:val="50334A8C"/>
    <w:rsid w:val="50346C22"/>
    <w:rsid w:val="50355FCF"/>
    <w:rsid w:val="5052092F"/>
    <w:rsid w:val="509F3452"/>
    <w:rsid w:val="50CE3EF5"/>
    <w:rsid w:val="50EE4AFC"/>
    <w:rsid w:val="50FA1CA7"/>
    <w:rsid w:val="513D513B"/>
    <w:rsid w:val="514B3CFC"/>
    <w:rsid w:val="515D35EC"/>
    <w:rsid w:val="516503C9"/>
    <w:rsid w:val="51E23F34"/>
    <w:rsid w:val="524D13AE"/>
    <w:rsid w:val="528526A1"/>
    <w:rsid w:val="52974D1F"/>
    <w:rsid w:val="52DB2E5E"/>
    <w:rsid w:val="533662E6"/>
    <w:rsid w:val="537E6D0A"/>
    <w:rsid w:val="5394125E"/>
    <w:rsid w:val="53C94A70"/>
    <w:rsid w:val="53F74C96"/>
    <w:rsid w:val="54136627"/>
    <w:rsid w:val="54295E4B"/>
    <w:rsid w:val="5472334E"/>
    <w:rsid w:val="548117E3"/>
    <w:rsid w:val="54930E84"/>
    <w:rsid w:val="55170BA8"/>
    <w:rsid w:val="553218C9"/>
    <w:rsid w:val="5556508A"/>
    <w:rsid w:val="55627866"/>
    <w:rsid w:val="556757E9"/>
    <w:rsid w:val="55766E6E"/>
    <w:rsid w:val="55B95314"/>
    <w:rsid w:val="56237394"/>
    <w:rsid w:val="567E1AA5"/>
    <w:rsid w:val="56A47A0A"/>
    <w:rsid w:val="56BE6D1E"/>
    <w:rsid w:val="56E47B74"/>
    <w:rsid w:val="56E801F8"/>
    <w:rsid w:val="57175D52"/>
    <w:rsid w:val="577B4B3D"/>
    <w:rsid w:val="57933D9E"/>
    <w:rsid w:val="579769B4"/>
    <w:rsid w:val="57B52B1D"/>
    <w:rsid w:val="57BD3DD4"/>
    <w:rsid w:val="57EF5992"/>
    <w:rsid w:val="584E16B7"/>
    <w:rsid w:val="587358E6"/>
    <w:rsid w:val="59274C9C"/>
    <w:rsid w:val="59280AFA"/>
    <w:rsid w:val="595774C6"/>
    <w:rsid w:val="59F02F21"/>
    <w:rsid w:val="5A137381"/>
    <w:rsid w:val="5A272E2C"/>
    <w:rsid w:val="5A4C6CD9"/>
    <w:rsid w:val="5A7C6D24"/>
    <w:rsid w:val="5A8870A9"/>
    <w:rsid w:val="5AB0028C"/>
    <w:rsid w:val="5AF92295"/>
    <w:rsid w:val="5B250254"/>
    <w:rsid w:val="5B3221AA"/>
    <w:rsid w:val="5B337AB6"/>
    <w:rsid w:val="5B383E74"/>
    <w:rsid w:val="5BB57237"/>
    <w:rsid w:val="5BDD79E6"/>
    <w:rsid w:val="5BF561CA"/>
    <w:rsid w:val="5BFF5DFC"/>
    <w:rsid w:val="5C2E04A2"/>
    <w:rsid w:val="5C8E0F41"/>
    <w:rsid w:val="5CD71FC4"/>
    <w:rsid w:val="5D1F11B5"/>
    <w:rsid w:val="5D2D3C87"/>
    <w:rsid w:val="5D695134"/>
    <w:rsid w:val="5D780793"/>
    <w:rsid w:val="5DAE1B18"/>
    <w:rsid w:val="5DE7D9E5"/>
    <w:rsid w:val="5E0577A1"/>
    <w:rsid w:val="5E26772E"/>
    <w:rsid w:val="5E736640"/>
    <w:rsid w:val="5EB37E01"/>
    <w:rsid w:val="5ECEC941"/>
    <w:rsid w:val="5ED13367"/>
    <w:rsid w:val="5F3C6F3C"/>
    <w:rsid w:val="5F473629"/>
    <w:rsid w:val="5F5C7C79"/>
    <w:rsid w:val="5F8E1258"/>
    <w:rsid w:val="5FBF9FF3"/>
    <w:rsid w:val="5FCD4E2C"/>
    <w:rsid w:val="5FEF394A"/>
    <w:rsid w:val="5FF67715"/>
    <w:rsid w:val="60B13450"/>
    <w:rsid w:val="60EC2EEB"/>
    <w:rsid w:val="60F129E1"/>
    <w:rsid w:val="61023CAB"/>
    <w:rsid w:val="611B6B1B"/>
    <w:rsid w:val="611D6D37"/>
    <w:rsid w:val="61265BEC"/>
    <w:rsid w:val="61290B78"/>
    <w:rsid w:val="61455554"/>
    <w:rsid w:val="61A00737"/>
    <w:rsid w:val="620D10D7"/>
    <w:rsid w:val="62A019CE"/>
    <w:rsid w:val="62BC7329"/>
    <w:rsid w:val="62BF3928"/>
    <w:rsid w:val="62C751AC"/>
    <w:rsid w:val="62DB6218"/>
    <w:rsid w:val="633839B4"/>
    <w:rsid w:val="63B3701E"/>
    <w:rsid w:val="647F5392"/>
    <w:rsid w:val="64B82085"/>
    <w:rsid w:val="652705B3"/>
    <w:rsid w:val="65384140"/>
    <w:rsid w:val="654607AD"/>
    <w:rsid w:val="6558033E"/>
    <w:rsid w:val="658E5516"/>
    <w:rsid w:val="65E66580"/>
    <w:rsid w:val="66134265"/>
    <w:rsid w:val="661C5689"/>
    <w:rsid w:val="661C75BD"/>
    <w:rsid w:val="661E1616"/>
    <w:rsid w:val="66292934"/>
    <w:rsid w:val="662A17C1"/>
    <w:rsid w:val="66377F53"/>
    <w:rsid w:val="664B1D71"/>
    <w:rsid w:val="664B4E8E"/>
    <w:rsid w:val="66651E20"/>
    <w:rsid w:val="67277B67"/>
    <w:rsid w:val="67351044"/>
    <w:rsid w:val="67AA3209"/>
    <w:rsid w:val="681A7329"/>
    <w:rsid w:val="686941F4"/>
    <w:rsid w:val="68E65C61"/>
    <w:rsid w:val="698D0931"/>
    <w:rsid w:val="69C97A5C"/>
    <w:rsid w:val="6A042842"/>
    <w:rsid w:val="6A507835"/>
    <w:rsid w:val="6A69329E"/>
    <w:rsid w:val="6A7E25F5"/>
    <w:rsid w:val="6A7FE5F3"/>
    <w:rsid w:val="6ADA35A3"/>
    <w:rsid w:val="6B053271"/>
    <w:rsid w:val="6BA20565"/>
    <w:rsid w:val="6BBA58AE"/>
    <w:rsid w:val="6BC62339"/>
    <w:rsid w:val="6BDD78B3"/>
    <w:rsid w:val="6BE204C1"/>
    <w:rsid w:val="6C4A05C8"/>
    <w:rsid w:val="6C707ECB"/>
    <w:rsid w:val="6C8742B8"/>
    <w:rsid w:val="6CD8343A"/>
    <w:rsid w:val="6D0D5EB2"/>
    <w:rsid w:val="6D323EC4"/>
    <w:rsid w:val="6DA21719"/>
    <w:rsid w:val="6DBF5E93"/>
    <w:rsid w:val="6DBF6E15"/>
    <w:rsid w:val="6DFF077E"/>
    <w:rsid w:val="6E5827C5"/>
    <w:rsid w:val="6E714EF0"/>
    <w:rsid w:val="6E7E3605"/>
    <w:rsid w:val="6E7FDCC7"/>
    <w:rsid w:val="6ED6A62E"/>
    <w:rsid w:val="6EE00B15"/>
    <w:rsid w:val="6EE42C42"/>
    <w:rsid w:val="6F313B88"/>
    <w:rsid w:val="6F3911E0"/>
    <w:rsid w:val="6F6FB3EB"/>
    <w:rsid w:val="6F8731EA"/>
    <w:rsid w:val="6F9B26F2"/>
    <w:rsid w:val="6FA83C70"/>
    <w:rsid w:val="6FCE6052"/>
    <w:rsid w:val="6FD57C00"/>
    <w:rsid w:val="6FE74513"/>
    <w:rsid w:val="6FEFFFD8"/>
    <w:rsid w:val="6FF5CC65"/>
    <w:rsid w:val="6FFB47EC"/>
    <w:rsid w:val="6FFF034A"/>
    <w:rsid w:val="70361D3F"/>
    <w:rsid w:val="70484440"/>
    <w:rsid w:val="7048670A"/>
    <w:rsid w:val="71147555"/>
    <w:rsid w:val="712A28F1"/>
    <w:rsid w:val="7134785E"/>
    <w:rsid w:val="715C0E4B"/>
    <w:rsid w:val="71992E7C"/>
    <w:rsid w:val="71D21EFE"/>
    <w:rsid w:val="71D60F68"/>
    <w:rsid w:val="72233669"/>
    <w:rsid w:val="724C122A"/>
    <w:rsid w:val="72734D90"/>
    <w:rsid w:val="72D40C6C"/>
    <w:rsid w:val="73160E6D"/>
    <w:rsid w:val="731B01FA"/>
    <w:rsid w:val="73260519"/>
    <w:rsid w:val="7332FE48"/>
    <w:rsid w:val="734874ED"/>
    <w:rsid w:val="739F538A"/>
    <w:rsid w:val="73AB61DA"/>
    <w:rsid w:val="73AD73D5"/>
    <w:rsid w:val="73B6EB34"/>
    <w:rsid w:val="73FA497D"/>
    <w:rsid w:val="741D149B"/>
    <w:rsid w:val="7433607B"/>
    <w:rsid w:val="744731E5"/>
    <w:rsid w:val="748B5310"/>
    <w:rsid w:val="74B94472"/>
    <w:rsid w:val="74BBD01D"/>
    <w:rsid w:val="74ED5379"/>
    <w:rsid w:val="756710B7"/>
    <w:rsid w:val="75691C2A"/>
    <w:rsid w:val="75D67789"/>
    <w:rsid w:val="75DEEEC2"/>
    <w:rsid w:val="75E32345"/>
    <w:rsid w:val="75E60837"/>
    <w:rsid w:val="760140DA"/>
    <w:rsid w:val="76117FED"/>
    <w:rsid w:val="765344D8"/>
    <w:rsid w:val="76884BB6"/>
    <w:rsid w:val="76E3355F"/>
    <w:rsid w:val="76FF5125"/>
    <w:rsid w:val="773863DE"/>
    <w:rsid w:val="773872EC"/>
    <w:rsid w:val="776C7C79"/>
    <w:rsid w:val="776F6FFA"/>
    <w:rsid w:val="778769C8"/>
    <w:rsid w:val="77A75DCA"/>
    <w:rsid w:val="77BA69B4"/>
    <w:rsid w:val="77D23F80"/>
    <w:rsid w:val="77D53A70"/>
    <w:rsid w:val="77DC22F5"/>
    <w:rsid w:val="77ED2B68"/>
    <w:rsid w:val="783E271A"/>
    <w:rsid w:val="7849788F"/>
    <w:rsid w:val="78616DE9"/>
    <w:rsid w:val="787A08FC"/>
    <w:rsid w:val="78E875D7"/>
    <w:rsid w:val="79086DAD"/>
    <w:rsid w:val="792508EE"/>
    <w:rsid w:val="79C20A76"/>
    <w:rsid w:val="79D7FD79"/>
    <w:rsid w:val="79EE5BA4"/>
    <w:rsid w:val="7A043AAB"/>
    <w:rsid w:val="7A1D3C4A"/>
    <w:rsid w:val="7A5F39FD"/>
    <w:rsid w:val="7A82285A"/>
    <w:rsid w:val="7A85161C"/>
    <w:rsid w:val="7A894339"/>
    <w:rsid w:val="7AD284E8"/>
    <w:rsid w:val="7AFF7572"/>
    <w:rsid w:val="7B5937C2"/>
    <w:rsid w:val="7B6C7DFB"/>
    <w:rsid w:val="7B8B5094"/>
    <w:rsid w:val="7BB46E71"/>
    <w:rsid w:val="7BBFBED0"/>
    <w:rsid w:val="7BC3E394"/>
    <w:rsid w:val="7BEB1317"/>
    <w:rsid w:val="7C030BAC"/>
    <w:rsid w:val="7C0516B3"/>
    <w:rsid w:val="7C1F3737"/>
    <w:rsid w:val="7CBFC87B"/>
    <w:rsid w:val="7CEF2186"/>
    <w:rsid w:val="7CFB1883"/>
    <w:rsid w:val="7CFE0F48"/>
    <w:rsid w:val="7D1E2869"/>
    <w:rsid w:val="7D272ABC"/>
    <w:rsid w:val="7D7EC23E"/>
    <w:rsid w:val="7DF86670"/>
    <w:rsid w:val="7E1B5075"/>
    <w:rsid w:val="7E7C3F59"/>
    <w:rsid w:val="7E8ADEBF"/>
    <w:rsid w:val="7E9D794F"/>
    <w:rsid w:val="7EC0129C"/>
    <w:rsid w:val="7EEF11D3"/>
    <w:rsid w:val="7EFE4840"/>
    <w:rsid w:val="7F024332"/>
    <w:rsid w:val="7F0971A6"/>
    <w:rsid w:val="7F1D62E7"/>
    <w:rsid w:val="7F3F679B"/>
    <w:rsid w:val="7F4FC4EF"/>
    <w:rsid w:val="7F5931D8"/>
    <w:rsid w:val="7F5E4D54"/>
    <w:rsid w:val="7F6E0135"/>
    <w:rsid w:val="7F7973D7"/>
    <w:rsid w:val="7F79F205"/>
    <w:rsid w:val="7FA30C79"/>
    <w:rsid w:val="7FA79C44"/>
    <w:rsid w:val="7FAF8ABF"/>
    <w:rsid w:val="7FB7269E"/>
    <w:rsid w:val="7FBF128D"/>
    <w:rsid w:val="7FC135B2"/>
    <w:rsid w:val="7FC96657"/>
    <w:rsid w:val="7FDA9588"/>
    <w:rsid w:val="7FDF220F"/>
    <w:rsid w:val="7FEDC5F7"/>
    <w:rsid w:val="7FEDD9DE"/>
    <w:rsid w:val="7FF01447"/>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99"/>
    <w:pPr>
      <w:ind w:firstLine="420" w:firstLineChars="200"/>
    </w:pPr>
  </w:style>
  <w:style w:type="paragraph" w:styleId="4">
    <w:name w:val="Body Text Indent"/>
    <w:basedOn w:val="1"/>
    <w:next w:val="3"/>
    <w:qFormat/>
    <w:uiPriority w:val="0"/>
    <w:pPr>
      <w:spacing w:after="120"/>
      <w:ind w:leftChars="200"/>
    </w:pPr>
    <w:rPr>
      <w:rFonts w:ascii="仿宋_GB2312"/>
      <w:szCs w:val="32"/>
    </w:rPr>
  </w:style>
  <w:style w:type="paragraph" w:styleId="8">
    <w:name w:val="Body Text"/>
    <w:basedOn w:val="1"/>
    <w:link w:val="26"/>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2"/>
    <w:semiHidden/>
    <w:unhideWhenUsed/>
    <w:qFormat/>
    <w:uiPriority w:val="99"/>
    <w:rPr>
      <w:sz w:val="18"/>
      <w:szCs w:val="18"/>
    </w:rPr>
  </w:style>
  <w:style w:type="paragraph" w:styleId="11">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able of figures"/>
    <w:basedOn w:val="1"/>
    <w:next w:val="1"/>
    <w:qFormat/>
    <w:uiPriority w:val="0"/>
    <w:pPr>
      <w:ind w:left="400" w:leftChars="200" w:hanging="200" w:hangingChars="200"/>
    </w:pPr>
  </w:style>
  <w:style w:type="paragraph" w:styleId="15">
    <w:name w:val="toc 2"/>
    <w:basedOn w:val="1"/>
    <w:next w:val="1"/>
    <w:unhideWhenUsed/>
    <w:qFormat/>
    <w:uiPriority w:val="39"/>
    <w:pPr>
      <w:tabs>
        <w:tab w:val="right" w:leader="dot" w:pos="8296"/>
      </w:tabs>
      <w:ind w:left="420" w:leftChars="200"/>
    </w:p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Char"/>
    <w:link w:val="12"/>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Char"/>
    <w:link w:val="11"/>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Char"/>
    <w:link w:val="8"/>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7"/>
    <w:link w:val="5"/>
    <w:qFormat/>
    <w:uiPriority w:val="9"/>
    <w:rPr>
      <w:rFonts w:ascii="Times New Roman" w:hAnsi="Times New Roman"/>
      <w:b/>
      <w:bCs/>
      <w:kern w:val="44"/>
      <w:sz w:val="44"/>
      <w:szCs w:val="44"/>
    </w:rPr>
  </w:style>
  <w:style w:type="character" w:customStyle="1" w:styleId="30">
    <w:name w:val="标题 2 Char"/>
    <w:basedOn w:val="17"/>
    <w:link w:val="6"/>
    <w:qFormat/>
    <w:uiPriority w:val="9"/>
    <w:rPr>
      <w:rFonts w:asciiTheme="majorHAnsi" w:hAnsiTheme="majorHAnsi" w:eastAsiaTheme="majorEastAsia" w:cstheme="majorBidi"/>
      <w:b/>
      <w:bCs/>
      <w:kern w:val="2"/>
      <w:sz w:val="32"/>
      <w:szCs w:val="32"/>
    </w:rPr>
  </w:style>
  <w:style w:type="paragraph" w:customStyle="1" w:styleId="31">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7"/>
    <w:link w:val="10"/>
    <w:semiHidden/>
    <w:qFormat/>
    <w:uiPriority w:val="99"/>
    <w:rPr>
      <w:rFonts w:ascii="Times New Roman" w:hAnsi="Times New Roman"/>
      <w:kern w:val="2"/>
      <w:sz w:val="18"/>
      <w:szCs w:val="18"/>
    </w:rPr>
  </w:style>
  <w:style w:type="character" w:customStyle="1" w:styleId="33">
    <w:name w:val="标题 3 Char"/>
    <w:basedOn w:val="17"/>
    <w:link w:val="7"/>
    <w:qFormat/>
    <w:uiPriority w:val="9"/>
    <w:rPr>
      <w:rFonts w:ascii="Times New Roman" w:hAnsi="Times New Roman"/>
      <w:b/>
      <w:bCs/>
      <w:kern w:val="2"/>
      <w:sz w:val="32"/>
      <w:szCs w:val="32"/>
    </w:rPr>
  </w:style>
  <w:style w:type="paragraph" w:customStyle="1" w:styleId="34">
    <w:name w:val="TOC Heading"/>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eastAsia="宋体"/>
      <w:color w:val="000000"/>
      <w:kern w:val="0"/>
      <w:sz w:val="28"/>
      <w:szCs w:val="21"/>
      <w:lang w:val="zh-CN" w:eastAsia="zh-CN"/>
    </w:rPr>
  </w:style>
  <w:style w:type="paragraph" w:customStyle="1" w:styleId="36">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emf"/><Relationship Id="rId13" Type="http://schemas.openxmlformats.org/officeDocument/2006/relationships/oleObject" Target="embeddings/oleObject1.bin"/><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D:\UserData\Downloads\&#39033;&#30446;&#20837;&#24211;&#26597;&#35810;20250922163822101.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D:\UserData\Downloads\&#39033;&#30446;&#20837;&#24211;&#26597;&#35810;20250922163822101.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D:\UserData\Downloads\&#39033;&#30446;&#20837;&#24211;&#26597;&#35810;20250922163822101.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D:\UserData\Downloads\&#39033;&#30446;&#20837;&#24211;&#26597;&#35810;20250922163822101.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D:\UserData\Downloads\&#39033;&#30446;&#20837;&#24211;&#26597;&#35810;20250922163822101.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D:\UserData\Downloads\&#39033;&#30446;&#20837;&#24211;&#26597;&#35810;202509221638221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200" b="0" i="0" u="none" strike="noStrike" kern="1200" spc="0" baseline="0">
                <a:solidFill>
                  <a:schemeClr val="tx1">
                    <a:lumMod val="65000"/>
                    <a:lumOff val="35000"/>
                  </a:schemeClr>
                </a:solidFill>
                <a:latin typeface="+mn-lt"/>
                <a:ea typeface="+mn-ea"/>
                <a:cs typeface="+mn-cs"/>
              </a:defRPr>
            </a:pPr>
            <a:r>
              <a:rPr sz="1200"/>
              <a:t>收入、支出决算总计（单位：万元）</a:t>
            </a:r>
            <a:endParaRPr sz="1200"/>
          </a:p>
        </c:rich>
      </c:tx>
      <c:layout>
        <c:manualLayout>
          <c:xMode val="edge"/>
          <c:yMode val="edge"/>
          <c:x val="0.177478414429586"/>
          <c:y val="0.0283421284496549"/>
        </c:manualLayout>
      </c:layout>
      <c:overlay val="0"/>
      <c:spPr>
        <a:noFill/>
        <a:ln>
          <a:noFill/>
        </a:ln>
        <a:effectLst/>
      </c:spPr>
    </c:title>
    <c:autoTitleDeleted val="0"/>
    <c:plotArea>
      <c:layout>
        <c:manualLayout>
          <c:layoutTarget val="inner"/>
          <c:xMode val="edge"/>
          <c:yMode val="edge"/>
          <c:x val="0.114805555555556"/>
          <c:y val="0.169444444444444"/>
          <c:w val="0.850472222222222"/>
          <c:h val="0.711666666666667"/>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[项目入库查询20250922163822101.xlsx]Sheet2!$B$2:$B$3</c:f>
              <c:strCache>
                <c:ptCount val="2"/>
                <c:pt idx="0">
                  <c:v>2023年度收入、支出决算总计</c:v>
                </c:pt>
                <c:pt idx="1">
                  <c:v>2024年度收入、支出决算总计</c:v>
                </c:pt>
              </c:strCache>
            </c:strRef>
          </c:cat>
          <c:val>
            <c:numRef>
              <c:f>[项目入库查询20250922163822101.xlsx]Sheet2!$C$2:$C$3</c:f>
              <c:numCache>
                <c:formatCode>0.00_);[Red]\(0.00\)</c:formatCode>
                <c:ptCount val="2"/>
                <c:pt idx="0">
                  <c:v>1405.18</c:v>
                </c:pt>
                <c:pt idx="1">
                  <c:v>1476.6</c:v>
                </c:pt>
              </c:numCache>
            </c:numRef>
          </c:val>
        </c:ser>
        <c:dLbls>
          <c:showLegendKey val="0"/>
          <c:showVal val="1"/>
          <c:showCatName val="0"/>
          <c:showSerName val="0"/>
          <c:showPercent val="0"/>
          <c:showBubbleSize val="0"/>
        </c:dLbls>
        <c:gapWidth val="219"/>
        <c:overlap val="-27"/>
        <c:axId val="230112780"/>
        <c:axId val="643076956"/>
      </c:barChart>
      <c:catAx>
        <c:axId val="23011278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crossAx val="643076956"/>
        <c:crosses val="autoZero"/>
        <c:auto val="1"/>
        <c:lblAlgn val="ctr"/>
        <c:lblOffset val="100"/>
        <c:noMultiLvlLbl val="0"/>
      </c:catAx>
      <c:valAx>
        <c:axId val="643076956"/>
        <c:scaling>
          <c:orientation val="minMax"/>
        </c:scaling>
        <c:delete val="0"/>
        <c:axPos val="l"/>
        <c:majorGridlines>
          <c:spPr>
            <a:ln w="9525" cap="flat" cmpd="sng" algn="ctr">
              <a:solidFill>
                <a:schemeClr val="tx1">
                  <a:lumMod val="15000"/>
                  <a:lumOff val="85000"/>
                </a:schemeClr>
              </a:solidFill>
              <a:round/>
            </a:ln>
            <a:effectLst/>
          </c:spPr>
        </c:majorGridlines>
        <c:numFmt formatCode="0.00_);[Red]\(0.00\)" sourceLinked="1"/>
        <c:majorTickMark val="none"/>
        <c:minorTickMark val="none"/>
        <c:tickLblPos val="nextTo"/>
        <c:spPr>
          <a:noFill/>
          <a:ln>
            <a:noFill/>
          </a:ln>
          <a:effectLst/>
        </c:spPr>
        <c:txPr>
          <a:bodyPr rot="-6000000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crossAx val="230112780"/>
        <c:crosses val="autoZero"/>
        <c:crossBetween val="between"/>
      </c:valAx>
      <c:spPr>
        <a:noFill/>
        <a:ln>
          <a:noFill/>
        </a:ln>
        <a:effectLst/>
      </c:spPr>
    </c:plotArea>
    <c:plotVisOnly val="1"/>
    <c:dispBlanksAs val="gap"/>
    <c:showDLblsOverMax val="0"/>
    <c:extLst>
      <c:ext uri="{0b15fc19-7d7d-44ad-8c2d-2c3a37ce22c3}">
        <chartProps xmlns="https://web.wps.cn/et/2018/main" chartId="{a6fdb00d-6a67-49e1-8dcd-951b98224237}"/>
      </c:ext>
    </c:extLst>
  </c:chart>
  <c:spPr>
    <a:solidFill>
      <a:schemeClr val="bg1"/>
    </a:solidFill>
    <a:ln w="9525" cap="flat" cmpd="sng" algn="ctr">
      <a:solidFill>
        <a:schemeClr val="tx1">
          <a:lumMod val="15000"/>
          <a:lumOff val="85000"/>
        </a:schemeClr>
      </a:solidFill>
      <a:round/>
    </a:ln>
    <a:effectLst/>
  </c:spPr>
  <c:txPr>
    <a:bodyPr/>
    <a:lstStyle/>
    <a:p>
      <a:pPr>
        <a:defRPr lang="zh-CN" sz="1000"/>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本年收入（单位：万元）</a:t>
            </a:r>
          </a:p>
        </c:rich>
      </c:tx>
      <c:layout>
        <c:manualLayout>
          <c:xMode val="edge"/>
          <c:yMode val="edge"/>
          <c:x val="0.155790147152911"/>
          <c:y val="0.0101902173913043"/>
        </c:manualLayout>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[项目入库查询20250922163822101.xlsx]Sheet2!$A$2:$B$3</c:f>
              <c:multiLvlStrCache>
                <c:ptCount val="2"/>
                <c:lvl>
                  <c:pt idx="0">
                    <c:v>一般公共预算财政拨款收入</c:v>
                  </c:pt>
                  <c:pt idx="1">
                    <c:v>政府性基金预算财政拨款收入</c:v>
                  </c:pt>
                </c:lvl>
                <c:lvl>
                  <c:pt idx="0">
                    <c:v>1</c:v>
                  </c:pt>
                  <c:pt idx="1">
                    <c:v>2</c:v>
                  </c:pt>
                </c:lvl>
              </c:multiLvlStrCache>
            </c:multiLvlStrRef>
          </c:cat>
          <c:val>
            <c:numRef>
              <c:f>[项目入库查询20250922163822101.xlsx]Sheet2!$C$2:$C$3</c:f>
              <c:numCache>
                <c:formatCode>0.00_);[Red]\(0.00\)</c:formatCode>
                <c:ptCount val="2"/>
                <c:pt idx="0">
                  <c:v>1476.6</c:v>
                </c:pt>
                <c:pt idx="1">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d93b7b0-2bde-49d1-bfea-ebc7f579f337}"/>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本年支出（单位：万元）</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[项目入库查询20250922163822101.xlsx]Sheet2!$A$2:$B$3</c:f>
              <c:multiLvlStrCache>
                <c:ptCount val="2"/>
                <c:lvl>
                  <c:pt idx="0">
                    <c:v>基本支出</c:v>
                  </c:pt>
                  <c:pt idx="1">
                    <c:v>项目支出</c:v>
                  </c:pt>
                </c:lvl>
                <c:lvl>
                  <c:pt idx="0">
                    <c:v>1</c:v>
                  </c:pt>
                  <c:pt idx="1">
                    <c:v>2</c:v>
                  </c:pt>
                </c:lvl>
              </c:multiLvlStrCache>
            </c:multiLvlStrRef>
          </c:cat>
          <c:val>
            <c:numRef>
              <c:f>[项目入库查询20250922163822101.xlsx]Sheet2!$C$2:$C$3</c:f>
              <c:numCache>
                <c:formatCode>0.00_);[Red]\(0.00\)</c:formatCode>
                <c:ptCount val="2"/>
                <c:pt idx="0">
                  <c:v>558.2</c:v>
                </c:pt>
                <c:pt idx="1">
                  <c:v>918.39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e0f2b1f-8253-4d2e-a1c0-321b1065370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200" b="0" i="0" u="none" strike="noStrike" kern="1200" spc="0" baseline="0">
                <a:solidFill>
                  <a:schemeClr val="tx1">
                    <a:lumMod val="65000"/>
                    <a:lumOff val="35000"/>
                  </a:schemeClr>
                </a:solidFill>
                <a:latin typeface="+mn-lt"/>
                <a:ea typeface="+mn-ea"/>
                <a:cs typeface="+mn-cs"/>
              </a:defRPr>
            </a:pPr>
            <a:r>
              <a:rPr sz="1200"/>
              <a:t>收入、支出决算总计（单位：万元）</a:t>
            </a:r>
            <a:endParaRPr sz="1200"/>
          </a:p>
        </c:rich>
      </c:tx>
      <c:layout>
        <c:manualLayout>
          <c:xMode val="edge"/>
          <c:yMode val="edge"/>
          <c:x val="0.177478414429586"/>
          <c:y val="0.0283421284496549"/>
        </c:manualLayout>
      </c:layout>
      <c:overlay val="0"/>
      <c:spPr>
        <a:noFill/>
        <a:ln>
          <a:noFill/>
        </a:ln>
        <a:effectLst/>
      </c:spPr>
    </c:title>
    <c:autoTitleDeleted val="0"/>
    <c:plotArea>
      <c:layout>
        <c:manualLayout>
          <c:layoutTarget val="inner"/>
          <c:xMode val="edge"/>
          <c:yMode val="edge"/>
          <c:x val="0.114805555555556"/>
          <c:y val="0.169444444444444"/>
          <c:w val="0.850472222222222"/>
          <c:h val="0.711666666666667"/>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[项目入库查询20250922163822101.xlsx]Sheet2!$B$2:$B$3</c:f>
              <c:strCache>
                <c:ptCount val="2"/>
                <c:pt idx="0">
                  <c:v>2023年度收入、支出决算总计</c:v>
                </c:pt>
                <c:pt idx="1">
                  <c:v>2024年度收入、支出决算总计</c:v>
                </c:pt>
              </c:strCache>
            </c:strRef>
          </c:cat>
          <c:val>
            <c:numRef>
              <c:f>[项目入库查询20250922163822101.xlsx]Sheet2!$C$2:$C$3</c:f>
              <c:numCache>
                <c:formatCode>0.00_);[Red]\(0.00\)</c:formatCode>
                <c:ptCount val="2"/>
                <c:pt idx="0">
                  <c:v>1405.18</c:v>
                </c:pt>
                <c:pt idx="1">
                  <c:v>1476.6</c:v>
                </c:pt>
              </c:numCache>
            </c:numRef>
          </c:val>
        </c:ser>
        <c:dLbls>
          <c:showLegendKey val="0"/>
          <c:showVal val="1"/>
          <c:showCatName val="0"/>
          <c:showSerName val="0"/>
          <c:showPercent val="0"/>
          <c:showBubbleSize val="0"/>
        </c:dLbls>
        <c:gapWidth val="219"/>
        <c:overlap val="-27"/>
        <c:axId val="230112780"/>
        <c:axId val="643076956"/>
      </c:barChart>
      <c:catAx>
        <c:axId val="23011278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crossAx val="643076956"/>
        <c:crosses val="autoZero"/>
        <c:auto val="1"/>
        <c:lblAlgn val="ctr"/>
        <c:lblOffset val="100"/>
        <c:noMultiLvlLbl val="0"/>
      </c:catAx>
      <c:valAx>
        <c:axId val="643076956"/>
        <c:scaling>
          <c:orientation val="minMax"/>
        </c:scaling>
        <c:delete val="0"/>
        <c:axPos val="l"/>
        <c:majorGridlines>
          <c:spPr>
            <a:ln w="9525" cap="flat" cmpd="sng" algn="ctr">
              <a:solidFill>
                <a:schemeClr val="tx1">
                  <a:lumMod val="15000"/>
                  <a:lumOff val="85000"/>
                </a:schemeClr>
              </a:solidFill>
              <a:round/>
            </a:ln>
            <a:effectLst/>
          </c:spPr>
        </c:majorGridlines>
        <c:numFmt formatCode="0.00_);[Red]\(0.00\)" sourceLinked="1"/>
        <c:majorTickMark val="none"/>
        <c:minorTickMark val="none"/>
        <c:tickLblPos val="nextTo"/>
        <c:spPr>
          <a:noFill/>
          <a:ln>
            <a:noFill/>
          </a:ln>
          <a:effectLst/>
        </c:spPr>
        <c:txPr>
          <a:bodyPr rot="-6000000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crossAx val="230112780"/>
        <c:crosses val="autoZero"/>
        <c:crossBetween val="between"/>
      </c:valAx>
      <c:spPr>
        <a:noFill/>
        <a:ln>
          <a:noFill/>
        </a:ln>
        <a:effectLst/>
      </c:spPr>
    </c:plotArea>
    <c:plotVisOnly val="1"/>
    <c:dispBlanksAs val="gap"/>
    <c:showDLblsOverMax val="0"/>
    <c:extLst>
      <c:ext uri="{0b15fc19-7d7d-44ad-8c2d-2c3a37ce22c3}">
        <chartProps xmlns="https://web.wps.cn/et/2018/main" chartId="{6d31a7e9-b098-4599-bf9f-3218c7b57066}"/>
      </c:ext>
    </c:extLst>
  </c:chart>
  <c:spPr>
    <a:solidFill>
      <a:schemeClr val="bg1"/>
    </a:solidFill>
    <a:ln w="9525" cap="flat" cmpd="sng" algn="ctr">
      <a:solidFill>
        <a:schemeClr val="tx1">
          <a:lumMod val="15000"/>
          <a:lumOff val="85000"/>
        </a:schemeClr>
      </a:solidFill>
      <a:round/>
    </a:ln>
    <a:effectLst/>
  </c:spPr>
  <c:txPr>
    <a:bodyPr/>
    <a:lstStyle/>
    <a:p>
      <a:pPr>
        <a:defRPr lang="zh-CN" sz="1000"/>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r>
              <a:rPr lang="en-US" altLang="zh-CN"/>
              <a:t>  </a:t>
            </a:r>
            <a:r>
              <a:rPr altLang="en-US"/>
              <a:t>（单位：万元）</a:t>
            </a:r>
            <a:endParaRPr altLang="en-US"/>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[项目入库查询20250922163822101.xlsx]Sheet2!$A$2:$A$3</c:f>
              <c:strCache>
                <c:ptCount val="2"/>
                <c:pt idx="0">
                  <c:v>2023年</c:v>
                </c:pt>
                <c:pt idx="1">
                  <c:v>2024年</c:v>
                </c:pt>
              </c:strCache>
            </c:strRef>
          </c:cat>
          <c:val>
            <c:numRef>
              <c:f>[项目入库查询20250922163822101.xlsx]Sheet2!$B$2:$B$3</c:f>
              <c:numCache>
                <c:formatCode>General</c:formatCode>
                <c:ptCount val="2"/>
                <c:pt idx="0">
                  <c:v>1399.18</c:v>
                </c:pt>
                <c:pt idx="1" c:formatCode="0.00_);[Red]\(0.00\)">
                  <c:v>1476.6</c:v>
                </c:pt>
              </c:numCache>
            </c:numRef>
          </c:val>
        </c:ser>
        <c:dLbls>
          <c:showLegendKey val="0"/>
          <c:showVal val="1"/>
          <c:showCatName val="0"/>
          <c:showSerName val="0"/>
          <c:showPercent val="0"/>
          <c:showBubbleSize val="0"/>
        </c:dLbls>
        <c:gapWidth val="219"/>
        <c:overlap val="-27"/>
        <c:axId val="29727861"/>
        <c:axId val="681447949"/>
      </c:barChart>
      <c:catAx>
        <c:axId val="29727861"/>
        <c:scaling>
          <c:orientation val="minMax"/>
        </c:scaling>
        <c:delete val="0"/>
        <c:axPos val="b"/>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t>一般公共预算财政拨款支出决算变动情况</a:t>
                </a:r>
              </a:p>
            </c:rich>
          </c:tx>
          <c:layout/>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81447949"/>
        <c:crosses val="autoZero"/>
        <c:auto val="1"/>
        <c:lblAlgn val="ctr"/>
        <c:lblOffset val="100"/>
        <c:noMultiLvlLbl val="0"/>
      </c:catAx>
      <c:valAx>
        <c:axId val="68144794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9727861"/>
        <c:crosses val="autoZero"/>
        <c:crossBetween val="between"/>
      </c:valAx>
      <c:spPr>
        <a:noFill/>
        <a:ln>
          <a:noFill/>
        </a:ln>
        <a:effectLst/>
      </c:spPr>
    </c:plotArea>
    <c:plotVisOnly val="1"/>
    <c:dispBlanksAs val="gap"/>
    <c:showDLblsOverMax val="0"/>
    <c:extLst>
      <c:ext uri="{0b15fc19-7d7d-44ad-8c2d-2c3a37ce22c3}">
        <chartProps xmlns="https://web.wps.cn/et/2018/main" chartId="{2f7ef03c-5f12-4f6a-8f4c-139d0bdab56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一般公共预算财政拨款支出决算结构情况（单位：万元）</a:t>
            </a:r>
          </a:p>
        </c:rich>
      </c:tx>
      <c:layout>
        <c:manualLayout>
          <c:xMode val="edge"/>
          <c:yMode val="edge"/>
          <c:x val="0.124444444444444"/>
          <c:y val="0.0208574739281576"/>
        </c:manualLayout>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[项目入库查询20250922163822101.xlsx]Sheet2!$A$1:$A$7</c:f>
              <c:strCache>
                <c:ptCount val="7"/>
                <c:pt idx="0">
                  <c:v>一般公共服务支出</c:v>
                </c:pt>
                <c:pt idx="1">
                  <c:v>文化旅游体育与传媒支出</c:v>
                </c:pt>
                <c:pt idx="2">
                  <c:v>农林水支出</c:v>
                </c:pt>
                <c:pt idx="3">
                  <c:v>灾害防治及应急管理支出</c:v>
                </c:pt>
                <c:pt idx="4">
                  <c:v>社会保障和就业支出</c:v>
                </c:pt>
                <c:pt idx="5">
                  <c:v>卫生健康支出</c:v>
                </c:pt>
                <c:pt idx="6">
                  <c:v>住房保障支出</c:v>
                </c:pt>
              </c:strCache>
            </c:strRef>
          </c:cat>
          <c:val>
            <c:numRef>
              <c:f>[项目入库查询20250922163822101.xlsx]Sheet2!$B$1:$B$7</c:f>
              <c:numCache>
                <c:formatCode>General</c:formatCode>
                <c:ptCount val="7"/>
                <c:pt idx="0">
                  <c:v>537.91</c:v>
                </c:pt>
                <c:pt idx="1" c:formatCode="0.00_);[Red]\(0.00\)">
                  <c:v>18.46</c:v>
                </c:pt>
                <c:pt idx="2">
                  <c:v>763.94</c:v>
                </c:pt>
                <c:pt idx="3">
                  <c:v>10</c:v>
                </c:pt>
                <c:pt idx="4">
                  <c:v>72.77</c:v>
                </c:pt>
                <c:pt idx="5">
                  <c:v>31.63</c:v>
                </c:pt>
                <c:pt idx="6">
                  <c:v>41.89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5a54e5d-6863-4c5b-9f27-a636837a6f7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49</Pages>
  <Words>13056</Words>
  <Characters>14014</Characters>
  <Lines>61</Lines>
  <Paragraphs>17</Paragraphs>
  <TotalTime>0</TotalTime>
  <ScaleCrop>false</ScaleCrop>
  <LinksUpToDate>false</LinksUpToDate>
  <CharactersWithSpaces>14254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WPS_1494997244</cp:lastModifiedBy>
  <cp:lastPrinted>2025-09-25T02:54:00Z</cp:lastPrinted>
  <dcterms:modified xsi:type="dcterms:W3CDTF">2025-09-29T06:53:15Z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6717AA8067C04E47A92727F1D7A06298_13</vt:lpwstr>
  </property>
  <property fmtid="{D5CDD505-2E9C-101B-9397-08002B2CF9AE}" pid="4" name="KSOTemplateDocerSaveRecord">
    <vt:lpwstr>eyJoZGlkIjoiMmRlMDUzYTA2YTQ2NDg3MWFkNTVkN2E1Y2ViMmQxNTciLCJ1c2VySWQiOiIyODA3MTc5NjgifQ==</vt:lpwstr>
  </property>
</Properties>
</file>