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drawings/drawing1.xml" ContentType="application/vnd.openxmlformats-officedocument.drawingml.chartshapes+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44"/>
          <w:szCs w:val="44"/>
        </w:rPr>
      </w:pPr>
      <w:bookmarkStart w:id="1" w:name="_Toc15377193"/>
      <w:bookmarkStart w:id="2" w:name="_Toc15396597"/>
      <w:bookmarkStart w:id="3" w:name="_Toc15396475"/>
      <w:bookmarkStart w:id="4" w:name="_Toc15377425"/>
      <w:bookmarkStart w:id="5" w:name="_Toc15378441"/>
      <w:r>
        <w:rPr>
          <w:rFonts w:ascii="黑体" w:hAnsi="黑体" w:eastAsia="黑体"/>
          <w:color w:val="000000"/>
          <w:sz w:val="44"/>
          <w:szCs w:val="44"/>
        </w:rPr>
        <w:t>201</w:t>
      </w:r>
      <w:r>
        <w:rPr>
          <w:rFonts w:hint="eastAsia" w:ascii="黑体" w:hAnsi="黑体" w:eastAsia="黑体"/>
          <w:color w:val="000000"/>
          <w:sz w:val="44"/>
          <w:szCs w:val="44"/>
        </w:rPr>
        <w:t>9</w:t>
      </w:r>
      <w:r>
        <w:rPr>
          <w:rFonts w:hint="eastAsia" w:ascii="方正小标宋简体" w:hAnsi="宋体" w:eastAsia="方正小标宋简体"/>
          <w:color w:val="000000"/>
          <w:sz w:val="44"/>
          <w:szCs w:val="44"/>
        </w:rPr>
        <w:t>年度</w:t>
      </w:r>
      <w:bookmarkEnd w:id="1"/>
      <w:bookmarkEnd w:id="2"/>
      <w:bookmarkEnd w:id="3"/>
      <w:bookmarkEnd w:id="4"/>
      <w:bookmarkEnd w:id="5"/>
    </w:p>
    <w:p>
      <w:pPr>
        <w:adjustRightInd w:val="0"/>
        <w:snapToGrid w:val="0"/>
        <w:spacing w:line="360" w:lineRule="auto"/>
        <w:jc w:val="center"/>
        <w:outlineLvl w:val="0"/>
        <w:rPr>
          <w:rFonts w:hint="eastAsia" w:ascii="方正小标宋简体" w:hAnsi="宋体" w:eastAsia="方正小标宋简体"/>
          <w:color w:val="000000"/>
          <w:sz w:val="44"/>
          <w:szCs w:val="44"/>
        </w:rPr>
      </w:pPr>
      <w:bookmarkStart w:id="6" w:name="_Toc15396476"/>
      <w:bookmarkStart w:id="7" w:name="_Toc15377426"/>
      <w:bookmarkStart w:id="8" w:name="_Toc15378442"/>
      <w:bookmarkStart w:id="9" w:name="_Toc15377194"/>
      <w:bookmarkStart w:id="10" w:name="_Toc15396598"/>
      <w:r>
        <w:rPr>
          <w:rFonts w:hint="eastAsia" w:ascii="方正小标宋简体" w:hAnsi="宋体" w:eastAsia="方正小标宋简体"/>
          <w:color w:val="000000"/>
          <w:sz w:val="44"/>
          <w:szCs w:val="44"/>
        </w:rPr>
        <w:t>四川省阿坝州</w:t>
      </w:r>
      <w:bookmarkEnd w:id="0"/>
      <w:bookmarkStart w:id="11" w:name="_Toc15306268"/>
      <w:r>
        <w:rPr>
          <w:rFonts w:hint="eastAsia" w:ascii="方正小标宋简体" w:hAnsi="宋体" w:eastAsia="方正小标宋简体"/>
          <w:color w:val="000000"/>
          <w:sz w:val="44"/>
          <w:szCs w:val="44"/>
        </w:rPr>
        <w:t>茂县黑虎镇人民政府</w:t>
      </w:r>
    </w:p>
    <w:p>
      <w:pPr>
        <w:adjustRightInd w:val="0"/>
        <w:snapToGrid w:val="0"/>
        <w:spacing w:line="360" w:lineRule="auto"/>
        <w:jc w:val="center"/>
        <w:outlineLvl w:val="0"/>
        <w:rPr>
          <w:rFonts w:ascii="方正小标宋简体" w:hAnsi="宋体" w:eastAsia="方正小标宋简体"/>
          <w:color w:val="000000"/>
          <w:sz w:val="44"/>
          <w:szCs w:val="44"/>
        </w:rPr>
      </w:pPr>
      <w:r>
        <w:rPr>
          <w:rFonts w:hint="eastAsia" w:ascii="方正小标宋简体" w:hAnsi="宋体" w:eastAsia="方正小标宋简体"/>
          <w:color w:val="000000"/>
          <w:sz w:val="44"/>
          <w:szCs w:val="44"/>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bookmarkStart w:id="71" w:name="_GoBack"/>
      <w:bookmarkEnd w:id="71"/>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pStyle w:val="10"/>
        <w:jc w:val="both"/>
      </w:pPr>
    </w:p>
    <w:p/>
    <w:p>
      <w:pPr>
        <w:pStyle w:val="10"/>
        <w:adjustRightInd w:val="0"/>
        <w:snapToGrid w:val="0"/>
        <w:spacing w:before="0" w:line="440" w:lineRule="exact"/>
        <w:jc w:val="left"/>
        <w:rPr>
          <w:rFonts w:hint="eastAsia" w:ascii="仿宋_GB2312" w:hAnsi="仿宋_GB2312" w:eastAsia="仿宋_GB2312" w:cs="仿宋_GB2312"/>
          <w:sz w:val="24"/>
          <w:szCs w:val="24"/>
        </w:rPr>
      </w:pPr>
      <w:r>
        <w:rPr>
          <w:rFonts w:hint="eastAsia" w:ascii="Times New Roman" w:hAnsi="Times New Roman" w:eastAsia="宋体" w:cs="Times New Roman"/>
          <w:kern w:val="2"/>
          <w:sz w:val="24"/>
          <w:szCs w:val="24"/>
          <w:lang w:val="en-US" w:eastAsia="zh-CN" w:bidi="ar-SA"/>
        </w:rPr>
        <w:t>第一部分 部门概况................................................................................................</w:t>
      </w:r>
      <w:r>
        <w:rPr>
          <w:rFonts w:hint="eastAsia" w:ascii="仿宋_GB2312" w:hAnsi="仿宋_GB2312" w:eastAsia="仿宋_GB2312" w:cs="仿宋_GB2312"/>
          <w:sz w:val="24"/>
          <w:szCs w:val="24"/>
        </w:rPr>
        <w:t>4</w:t>
      </w:r>
    </w:p>
    <w:p>
      <w:pPr>
        <w:pStyle w:val="11"/>
        <w:adjustRightInd w:val="0"/>
        <w:snapToGrid w:val="0"/>
        <w:spacing w:line="440" w:lineRule="exact"/>
        <w:jc w:val="left"/>
        <w:rPr>
          <w:rFonts w:ascii="仿宋" w:hAnsi="仿宋"/>
          <w:sz w:val="24"/>
        </w:rPr>
      </w:pPr>
      <w:r>
        <w:rPr>
          <w:rFonts w:hint="eastAsia"/>
          <w:sz w:val="24"/>
        </w:rPr>
        <w:t>一、基本职能及主要工作...............................................................................4</w:t>
      </w:r>
    </w:p>
    <w:p>
      <w:pPr>
        <w:pStyle w:val="11"/>
        <w:adjustRightInd w:val="0"/>
        <w:snapToGrid w:val="0"/>
        <w:spacing w:line="440" w:lineRule="exact"/>
        <w:jc w:val="left"/>
        <w:rPr>
          <w:rFonts w:ascii="仿宋" w:hAnsi="仿宋" w:cstheme="minorBidi"/>
          <w:sz w:val="24"/>
        </w:rPr>
      </w:pPr>
      <w:r>
        <w:rPr>
          <w:rFonts w:hint="eastAsia"/>
          <w:sz w:val="24"/>
        </w:rPr>
        <w:t>二、机构设置...................................................................................................5</w:t>
      </w:r>
    </w:p>
    <w:p>
      <w:pPr>
        <w:pStyle w:val="10"/>
        <w:adjustRightInd w:val="0"/>
        <w:snapToGrid w:val="0"/>
        <w:spacing w:before="0" w:line="440" w:lineRule="exact"/>
        <w:jc w:val="left"/>
        <w:rPr>
          <w:sz w:val="24"/>
          <w:szCs w:val="24"/>
        </w:rPr>
      </w:pPr>
      <w:r>
        <w:rPr>
          <w:rFonts w:hint="eastAsia" w:ascii="Times New Roman" w:hAnsi="Times New Roman" w:eastAsia="宋体" w:cs="Times New Roman"/>
          <w:kern w:val="2"/>
          <w:sz w:val="24"/>
          <w:szCs w:val="24"/>
          <w:lang w:val="en-US" w:eastAsia="zh-CN" w:bidi="ar-SA"/>
        </w:rPr>
        <w:t>第二部分年度部门决算情况说明..........................................................................</w:t>
      </w:r>
      <w:r>
        <w:rPr>
          <w:rFonts w:hint="eastAsia"/>
          <w:sz w:val="24"/>
        </w:rPr>
        <w:t>6</w:t>
      </w:r>
    </w:p>
    <w:p>
      <w:pPr>
        <w:pStyle w:val="11"/>
        <w:adjustRightInd w:val="0"/>
        <w:snapToGrid w:val="0"/>
        <w:spacing w:line="440" w:lineRule="exact"/>
        <w:jc w:val="left"/>
        <w:rPr>
          <w:rFonts w:ascii="仿宋" w:hAnsi="仿宋" w:cstheme="minorBidi"/>
          <w:sz w:val="24"/>
        </w:rPr>
      </w:pPr>
      <w:r>
        <w:rPr>
          <w:rFonts w:hint="eastAsia"/>
          <w:sz w:val="24"/>
        </w:rPr>
        <w:t>一、收入支出决算总体情况说明...................................................................6</w:t>
      </w:r>
    </w:p>
    <w:p>
      <w:pPr>
        <w:pStyle w:val="11"/>
        <w:adjustRightInd w:val="0"/>
        <w:snapToGrid w:val="0"/>
        <w:spacing w:line="440" w:lineRule="exact"/>
        <w:jc w:val="left"/>
        <w:rPr>
          <w:rFonts w:ascii="仿宋" w:hAnsi="仿宋" w:cstheme="minorBidi"/>
          <w:sz w:val="24"/>
        </w:rPr>
      </w:pPr>
      <w:r>
        <w:rPr>
          <w:rFonts w:hint="eastAsia"/>
          <w:sz w:val="24"/>
        </w:rPr>
        <w:t>二、收入决算情况说明.................................................................................</w:t>
      </w:r>
      <w:r>
        <w:rPr>
          <w:rFonts w:hint="eastAsia"/>
          <w:sz w:val="24"/>
          <w:lang w:val="en-US" w:eastAsia="zh-CN"/>
        </w:rPr>
        <w:t>.</w:t>
      </w:r>
      <w:r>
        <w:rPr>
          <w:rFonts w:hint="eastAsia"/>
          <w:sz w:val="24"/>
        </w:rPr>
        <w:t>.6</w:t>
      </w:r>
    </w:p>
    <w:p>
      <w:pPr>
        <w:pStyle w:val="11"/>
        <w:adjustRightInd w:val="0"/>
        <w:snapToGrid w:val="0"/>
        <w:spacing w:line="440" w:lineRule="exact"/>
        <w:jc w:val="left"/>
        <w:rPr>
          <w:rFonts w:ascii="仿宋" w:hAnsi="仿宋" w:cstheme="minorBidi"/>
          <w:sz w:val="24"/>
        </w:rPr>
      </w:pPr>
      <w:r>
        <w:rPr>
          <w:rFonts w:hint="eastAsia"/>
          <w:sz w:val="24"/>
        </w:rPr>
        <w:t>三、支出决算情况说明................................................................................</w:t>
      </w:r>
      <w:r>
        <w:rPr>
          <w:rFonts w:hint="eastAsia"/>
          <w:sz w:val="24"/>
          <w:lang w:val="en-US" w:eastAsia="zh-CN"/>
        </w:rPr>
        <w:t>.</w:t>
      </w:r>
      <w:r>
        <w:rPr>
          <w:rFonts w:hint="eastAsia"/>
          <w:sz w:val="24"/>
        </w:rPr>
        <w:t>..7</w:t>
      </w:r>
    </w:p>
    <w:p>
      <w:pPr>
        <w:pStyle w:val="11"/>
        <w:adjustRightInd w:val="0"/>
        <w:snapToGrid w:val="0"/>
        <w:spacing w:line="440" w:lineRule="exact"/>
        <w:jc w:val="left"/>
        <w:rPr>
          <w:rFonts w:ascii="仿宋" w:hAnsi="仿宋" w:cstheme="minorBidi"/>
          <w:sz w:val="24"/>
        </w:rPr>
      </w:pPr>
      <w:r>
        <w:rPr>
          <w:rFonts w:hint="eastAsia"/>
          <w:sz w:val="24"/>
        </w:rPr>
        <w:t>四、财政拨款收入支出决算总体情况说明...................................................7</w:t>
      </w:r>
    </w:p>
    <w:p>
      <w:pPr>
        <w:pStyle w:val="11"/>
        <w:adjustRightInd w:val="0"/>
        <w:snapToGrid w:val="0"/>
        <w:spacing w:line="440" w:lineRule="exact"/>
        <w:jc w:val="left"/>
        <w:rPr>
          <w:rFonts w:ascii="仿宋" w:hAnsi="仿宋" w:cstheme="minorBidi"/>
          <w:sz w:val="24"/>
        </w:rPr>
      </w:pPr>
      <w:r>
        <w:rPr>
          <w:rFonts w:hint="eastAsia"/>
          <w:sz w:val="24"/>
        </w:rPr>
        <w:t>五、一般公共预算财政拨款支出决算情况说明........................................</w:t>
      </w:r>
      <w:r>
        <w:rPr>
          <w:rFonts w:hint="eastAsia"/>
          <w:sz w:val="24"/>
          <w:lang w:val="en-US" w:eastAsia="zh-CN"/>
        </w:rPr>
        <w:t>.</w:t>
      </w:r>
      <w:r>
        <w:rPr>
          <w:rFonts w:hint="eastAsia"/>
          <w:sz w:val="24"/>
        </w:rPr>
        <w:t>..8</w:t>
      </w:r>
    </w:p>
    <w:p>
      <w:pPr>
        <w:pStyle w:val="11"/>
        <w:adjustRightInd w:val="0"/>
        <w:snapToGrid w:val="0"/>
        <w:spacing w:line="440" w:lineRule="exact"/>
        <w:jc w:val="left"/>
        <w:rPr>
          <w:rFonts w:ascii="仿宋" w:hAnsi="仿宋" w:cstheme="minorBidi"/>
          <w:sz w:val="24"/>
        </w:rPr>
      </w:pPr>
      <w:r>
        <w:rPr>
          <w:rFonts w:hint="eastAsia"/>
          <w:sz w:val="24"/>
        </w:rPr>
        <w:t>六、一般公共预算财政拨款基本支出决算情况说明..................................13</w:t>
      </w:r>
    </w:p>
    <w:p>
      <w:pPr>
        <w:pStyle w:val="11"/>
        <w:adjustRightInd w:val="0"/>
        <w:snapToGrid w:val="0"/>
        <w:spacing w:line="440" w:lineRule="exact"/>
        <w:jc w:val="left"/>
        <w:rPr>
          <w:rFonts w:ascii="仿宋" w:hAnsi="仿宋" w:cstheme="minorBidi"/>
          <w:sz w:val="24"/>
        </w:rPr>
      </w:pPr>
      <w:r>
        <w:rPr>
          <w:rFonts w:hint="eastAsia"/>
          <w:sz w:val="24"/>
        </w:rPr>
        <w:t>七、</w:t>
      </w:r>
      <w:r>
        <w:rPr>
          <w:sz w:val="24"/>
        </w:rPr>
        <w:t>“</w:t>
      </w:r>
      <w:r>
        <w:rPr>
          <w:rFonts w:hint="eastAsia"/>
          <w:sz w:val="24"/>
        </w:rPr>
        <w:t>三公”经费财政拨款支出决算情况说明............................................13</w:t>
      </w:r>
    </w:p>
    <w:p>
      <w:pPr>
        <w:pStyle w:val="11"/>
        <w:adjustRightInd w:val="0"/>
        <w:snapToGrid w:val="0"/>
        <w:spacing w:line="440" w:lineRule="exact"/>
        <w:jc w:val="left"/>
        <w:rPr>
          <w:rFonts w:ascii="仿宋" w:hAnsi="仿宋" w:cstheme="minorBidi"/>
          <w:sz w:val="24"/>
        </w:rPr>
      </w:pPr>
      <w:r>
        <w:rPr>
          <w:rFonts w:hint="eastAsia"/>
          <w:sz w:val="24"/>
        </w:rPr>
        <w:t>八、政府性基金预算支出决算情况说明......................................................15</w:t>
      </w:r>
    </w:p>
    <w:p>
      <w:pPr>
        <w:pStyle w:val="11"/>
        <w:adjustRightInd w:val="0"/>
        <w:snapToGrid w:val="0"/>
        <w:spacing w:line="440" w:lineRule="exact"/>
        <w:ind w:leftChars="0"/>
        <w:jc w:val="left"/>
        <w:rPr>
          <w:rFonts w:ascii="仿宋" w:hAnsi="仿宋"/>
          <w:sz w:val="24"/>
        </w:rPr>
      </w:pPr>
      <w:r>
        <w:rPr>
          <w:rFonts w:hint="eastAsia" w:ascii="仿宋" w:hAnsi="仿宋" w:eastAsia="仿宋"/>
          <w:sz w:val="24"/>
        </w:rPr>
        <w:t>九、</w:t>
      </w:r>
      <w:r>
        <w:rPr>
          <w:sz w:val="24"/>
        </w:rPr>
        <w:t xml:space="preserve"> 国</w:t>
      </w:r>
      <w:r>
        <w:rPr>
          <w:rFonts w:hint="eastAsia"/>
          <w:sz w:val="24"/>
        </w:rPr>
        <w:t>有资本经营预算支出决算情况说明................................................15</w:t>
      </w:r>
    </w:p>
    <w:p>
      <w:pPr>
        <w:adjustRightInd w:val="0"/>
        <w:snapToGrid w:val="0"/>
        <w:spacing w:line="440" w:lineRule="exact"/>
        <w:ind w:firstLine="480" w:firstLineChars="200"/>
        <w:jc w:val="left"/>
        <w:rPr>
          <w:rFonts w:ascii="仿宋" w:hAnsi="仿宋" w:eastAsia="仿宋" w:cstheme="minorBidi"/>
          <w:sz w:val="24"/>
        </w:rPr>
      </w:pPr>
      <w:r>
        <w:rPr>
          <w:rFonts w:hint="eastAsia" w:ascii="Times New Roman" w:hAnsi="Times New Roman" w:eastAsia="宋体" w:cs="Times New Roman"/>
          <w:kern w:val="2"/>
          <w:sz w:val="24"/>
          <w:szCs w:val="24"/>
          <w:lang w:val="en-US" w:eastAsia="zh-CN" w:bidi="ar-SA"/>
        </w:rPr>
        <w:t>十、</w:t>
      </w:r>
      <w:r>
        <w:rPr>
          <w:rFonts w:hint="eastAsia"/>
          <w:sz w:val="24"/>
        </w:rPr>
        <w:t>其他重要事项的情况说明</w:t>
      </w:r>
      <w:r>
        <w:rPr>
          <w:rFonts w:hint="eastAsia" w:ascii="Times New Roman" w:hAnsi="Times New Roman" w:eastAsia="宋体" w:cs="Times New Roman"/>
          <w:kern w:val="2"/>
          <w:sz w:val="24"/>
          <w:szCs w:val="24"/>
          <w:lang w:val="en-US" w:eastAsia="zh-CN" w:bidi="ar-SA"/>
        </w:rPr>
        <w:tab/>
      </w:r>
      <w:r>
        <w:rPr>
          <w:rFonts w:hint="eastAsia" w:ascii="Times New Roman" w:hAnsi="Times New Roman" w:eastAsia="宋体" w:cs="Times New Roman"/>
          <w:kern w:val="2"/>
          <w:sz w:val="24"/>
          <w:szCs w:val="24"/>
          <w:lang w:val="en-US" w:eastAsia="zh-CN" w:bidi="ar-SA"/>
        </w:rPr>
        <w:t>.............................</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w:t>
      </w:r>
      <w:r>
        <w:rPr>
          <w:rFonts w:hint="eastAsia" w:ascii="仿宋" w:hAnsi="仿宋" w:eastAsia="仿宋"/>
          <w:sz w:val="24"/>
        </w:rPr>
        <w:t>5</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ascii="Times New Roman" w:hAnsi="Times New Roman" w:eastAsia="宋体" w:cs="Times New Roman"/>
          <w:kern w:val="2"/>
          <w:sz w:val="24"/>
          <w:szCs w:val="24"/>
          <w:lang w:val="en-US" w:eastAsia="zh-CN" w:bidi="ar-SA"/>
        </w:rPr>
        <w:t>第三部分 名词解释..............................................................................................</w:t>
      </w:r>
      <w:r>
        <w:rPr>
          <w:rFonts w:hint="eastAsia"/>
          <w:sz w:val="24"/>
          <w:lang w:val="en-US" w:eastAsia="zh-CN"/>
        </w:rPr>
        <w:t>26</w:t>
      </w:r>
    </w:p>
    <w:p>
      <w:pPr>
        <w:pStyle w:val="10"/>
        <w:adjustRightInd w:val="0"/>
        <w:snapToGrid w:val="0"/>
        <w:spacing w:before="0" w:line="440" w:lineRule="exact"/>
        <w:jc w:val="left"/>
        <w:rPr>
          <w:rFonts w:hint="eastAsia" w:ascii="仿宋" w:hAnsi="仿宋" w:eastAsia="仿宋" w:cstheme="minorBidi"/>
          <w:sz w:val="24"/>
          <w:lang w:val="en-US" w:eastAsia="zh-CN"/>
        </w:rPr>
      </w:pPr>
      <w:r>
        <w:rPr>
          <w:rFonts w:hint="eastAsia" w:ascii="Times New Roman" w:hAnsi="Times New Roman" w:eastAsia="宋体" w:cs="Times New Roman"/>
          <w:kern w:val="2"/>
          <w:sz w:val="24"/>
          <w:szCs w:val="24"/>
          <w:lang w:val="en-US" w:eastAsia="zh-CN" w:bidi="ar-SA"/>
        </w:rPr>
        <w:t>第四部分 茂县黑虎镇人民政府2019年部门整体支出绩效评价报告............</w:t>
      </w:r>
      <w:r>
        <w:rPr>
          <w:rFonts w:hint="eastAsia"/>
          <w:sz w:val="24"/>
        </w:rPr>
        <w:t>3</w:t>
      </w:r>
      <w:r>
        <w:rPr>
          <w:rFonts w:hint="eastAsia"/>
          <w:sz w:val="24"/>
          <w:lang w:val="en-US" w:eastAsia="zh-CN"/>
        </w:rPr>
        <w:t>3</w:t>
      </w:r>
    </w:p>
    <w:p>
      <w:pPr>
        <w:pStyle w:val="10"/>
        <w:adjustRightInd w:val="0"/>
        <w:snapToGrid w:val="0"/>
        <w:spacing w:before="0" w:line="440" w:lineRule="exact"/>
        <w:jc w:val="left"/>
        <w:rPr>
          <w:rFonts w:hint="default" w:eastAsia="仿宋" w:cstheme="minorBidi"/>
          <w:sz w:val="24"/>
          <w:szCs w:val="24"/>
          <w:lang w:val="en-US" w:eastAsia="zh-CN"/>
        </w:rPr>
      </w:pPr>
      <w:r>
        <w:rPr>
          <w:rFonts w:hint="eastAsia" w:ascii="Times New Roman" w:hAnsi="Times New Roman" w:eastAsia="宋体" w:cs="Times New Roman"/>
          <w:kern w:val="2"/>
          <w:sz w:val="24"/>
          <w:szCs w:val="24"/>
          <w:lang w:val="en-US" w:eastAsia="zh-CN" w:bidi="ar-SA"/>
        </w:rPr>
        <w:t>第五部分 附表......................................................................................................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一、</w:t>
      </w:r>
      <w:r>
        <w:rPr>
          <w:rFonts w:hint="eastAsia"/>
          <w:sz w:val="24"/>
        </w:rPr>
        <w:t>收入支出决算总表.................................................................................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二、</w:t>
      </w:r>
      <w:r>
        <w:rPr>
          <w:rFonts w:hint="eastAsia"/>
          <w:sz w:val="24"/>
        </w:rPr>
        <w:t>收入</w:t>
      </w:r>
      <w:r>
        <w:rPr>
          <w:rFonts w:hint="eastAsia" w:ascii="仿宋" w:hAnsi="仿宋" w:eastAsia="仿宋"/>
          <w:sz w:val="24"/>
        </w:rPr>
        <w:t>决算</w:t>
      </w:r>
      <w:r>
        <w:rPr>
          <w:rFonts w:hint="eastAsia"/>
          <w:sz w:val="24"/>
        </w:rPr>
        <w:t>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三、</w:t>
      </w:r>
      <w:r>
        <w:rPr>
          <w:rFonts w:hint="eastAsia"/>
          <w:sz w:val="24"/>
        </w:rPr>
        <w:t>支出</w:t>
      </w:r>
      <w:r>
        <w:rPr>
          <w:rFonts w:hint="eastAsia" w:ascii="仿宋" w:hAnsi="仿宋" w:eastAsia="仿宋"/>
          <w:sz w:val="24"/>
        </w:rPr>
        <w:t>决算</w:t>
      </w:r>
      <w:r>
        <w:rPr>
          <w:rFonts w:hint="eastAsia"/>
          <w:sz w:val="24"/>
        </w:rPr>
        <w:t>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四、</w:t>
      </w:r>
      <w:r>
        <w:rPr>
          <w:rFonts w:hint="eastAsia"/>
          <w:sz w:val="24"/>
        </w:rPr>
        <w:t>财政拨款收入支出决算总表..................................................................</w:t>
      </w:r>
      <w:r>
        <w:rPr>
          <w:rFonts w:hint="eastAsia"/>
          <w:sz w:val="24"/>
          <w:lang w:val="en-US" w:eastAsia="zh-CN"/>
        </w:rPr>
        <w:t>38</w:t>
      </w:r>
    </w:p>
    <w:p>
      <w:pPr>
        <w:pStyle w:val="11"/>
        <w:adjustRightInd w:val="0"/>
        <w:snapToGrid w:val="0"/>
        <w:spacing w:line="440" w:lineRule="exact"/>
        <w:jc w:val="left"/>
        <w:rPr>
          <w:rFonts w:hint="default" w:ascii="仿宋" w:hAnsi="仿宋" w:eastAsia="仿宋"/>
          <w:sz w:val="24"/>
          <w:lang w:val="en-US" w:eastAsia="zh-CN"/>
        </w:rPr>
      </w:pPr>
      <w:r>
        <w:rPr>
          <w:rFonts w:hint="eastAsia" w:ascii="仿宋" w:hAnsi="仿宋" w:eastAsia="仿宋"/>
          <w:sz w:val="24"/>
        </w:rPr>
        <w:t>五、财政拨款支出决算明细表</w:t>
      </w:r>
      <w:r>
        <w:rPr>
          <w:rFonts w:hint="eastAsia"/>
          <w:sz w:val="24"/>
        </w:rPr>
        <w:t>...................................</w:t>
      </w:r>
      <w:r>
        <w:rPr>
          <w:rFonts w:hint="eastAsia"/>
          <w:sz w:val="24"/>
          <w:lang w:val="en-US" w:eastAsia="zh-CN"/>
        </w:rPr>
        <w:t>...................................</w:t>
      </w:r>
      <w:r>
        <w:rPr>
          <w:rFonts w:hint="eastAsia" w:ascii="仿宋" w:hAnsi="仿宋" w:eastAsia="仿宋"/>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六、</w:t>
      </w:r>
      <w:r>
        <w:rPr>
          <w:rFonts w:hint="eastAsia"/>
          <w:sz w:val="24"/>
        </w:rPr>
        <w:t>一般公共预算财政拨款支出决算表......................................................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七、</w:t>
      </w:r>
      <w:r>
        <w:rPr>
          <w:rFonts w:hint="eastAsia"/>
          <w:sz w:val="24"/>
        </w:rPr>
        <w:t>一般公共预算财政拨款支出决算明细表...............................................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八、</w:t>
      </w:r>
      <w:r>
        <w:rPr>
          <w:rFonts w:hint="eastAsia"/>
          <w:sz w:val="24"/>
        </w:rPr>
        <w:t>一般公共预算财政拨款基本支出决算表...............................................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九、</w:t>
      </w:r>
      <w:r>
        <w:rPr>
          <w:rFonts w:hint="eastAsia"/>
          <w:sz w:val="24"/>
        </w:rPr>
        <w:t>一般公共预算财政拨款项目支出决算表...............................................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w:t>
      </w:r>
      <w:r>
        <w:rPr>
          <w:rFonts w:hint="eastAsia"/>
          <w:sz w:val="24"/>
        </w:rPr>
        <w:t>一般公共预算财政拨款“三公”经费支出决算表...............................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十一、</w:t>
      </w:r>
      <w:r>
        <w:rPr>
          <w:rFonts w:hint="eastAsia"/>
          <w:sz w:val="24"/>
        </w:rPr>
        <w:t>政府性基金预算财政拨款收入支出决算表........................................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十二、</w:t>
      </w:r>
      <w:r>
        <w:rPr>
          <w:rFonts w:hint="eastAsia"/>
          <w:sz w:val="24"/>
        </w:rPr>
        <w:t>政府性基金预算财政拨款“三公”经费支出决算表.........................</w:t>
      </w:r>
      <w:r>
        <w:rPr>
          <w:rFonts w:hint="eastAsia"/>
          <w:sz w:val="24"/>
          <w:lang w:val="en-US" w:eastAsia="zh-CN"/>
        </w:rPr>
        <w:t>38</w:t>
      </w:r>
    </w:p>
    <w:p>
      <w:pPr>
        <w:pStyle w:val="11"/>
        <w:adjustRightInd w:val="0"/>
        <w:snapToGrid w:val="0"/>
        <w:spacing w:line="440" w:lineRule="exact"/>
        <w:jc w:val="left"/>
        <w:rPr>
          <w:rFonts w:hint="default" w:ascii="仿宋" w:hAnsi="仿宋" w:eastAsia="宋体" w:cstheme="minorBidi"/>
          <w:sz w:val="24"/>
          <w:lang w:val="en-US" w:eastAsia="zh-CN"/>
        </w:rPr>
      </w:pPr>
      <w:r>
        <w:rPr>
          <w:rFonts w:hint="eastAsia" w:ascii="仿宋" w:hAnsi="仿宋" w:eastAsia="仿宋"/>
          <w:sz w:val="24"/>
        </w:rPr>
        <w:t>十三、</w:t>
      </w:r>
      <w:r>
        <w:rPr>
          <w:rFonts w:hint="eastAsia"/>
          <w:sz w:val="24"/>
        </w:rPr>
        <w:t>国有资本经营预算支出决算表.............................................................</w:t>
      </w:r>
      <w:r>
        <w:rPr>
          <w:rFonts w:hint="eastAsia"/>
          <w:sz w:val="24"/>
          <w:lang w:val="en-US" w:eastAsia="zh-CN"/>
        </w:rPr>
        <w:t>38</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ind w:firstLine="640" w:firstLineChars="200"/>
        <w:rPr>
          <w:rStyle w:val="25"/>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spacing w:line="576" w:lineRule="atLeast"/>
        <w:ind w:firstLine="642" w:firstLineChars="200"/>
        <w:outlineLvl w:val="1"/>
        <w:rPr>
          <w:rFonts w:ascii="楷体" w:hAnsi="楷体" w:eastAsia="楷体"/>
          <w:b/>
          <w:bCs/>
          <w:sz w:val="32"/>
          <w:szCs w:val="32"/>
        </w:rPr>
      </w:pPr>
      <w:bookmarkStart w:id="16" w:name="_Toc15377200"/>
      <w:bookmarkStart w:id="17" w:name="_Toc15396601"/>
      <w:r>
        <w:rPr>
          <w:rFonts w:hint="eastAsia" w:ascii="楷体" w:hAnsi="楷体" w:eastAsia="楷体" w:cs="楷体"/>
          <w:b/>
          <w:bCs/>
          <w:color w:val="000000"/>
          <w:sz w:val="32"/>
          <w:szCs w:val="32"/>
        </w:rPr>
        <w:t>（一）基本职能</w:t>
      </w:r>
      <w:bookmarkStart w:id="18" w:name="_Toc15377199"/>
      <w:bookmarkStart w:id="19" w:name="_Toc15378446"/>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sz w:val="32"/>
          <w:szCs w:val="32"/>
        </w:rPr>
        <w:t>负责草拟本镇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镇国土、城建管理规划措施；宣传教育、文化、科技、卫生等方面的政策、知识，严格按规定做好财务管理工作。</w:t>
      </w:r>
    </w:p>
    <w:p>
      <w:pPr>
        <w:spacing w:line="576" w:lineRule="atLeast"/>
        <w:ind w:firstLine="642" w:firstLineChars="200"/>
        <w:outlineLvl w:val="1"/>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（二）2019年重点工作完成情况</w:t>
      </w:r>
      <w:bookmarkEnd w:id="18"/>
      <w:bookmarkEnd w:id="19"/>
    </w:p>
    <w:p>
      <w:pPr>
        <w:spacing w:line="576" w:lineRule="exact"/>
        <w:ind w:firstLine="642" w:firstLineChars="200"/>
        <w:outlineLvl w:val="1"/>
        <w:rPr>
          <w:rFonts w:ascii="仿宋_GB2312" w:hAnsi="仿宋_GB2312" w:eastAsia="仿宋_GB2312" w:cs="仿宋_GB2312"/>
          <w:sz w:val="32"/>
          <w:szCs w:val="32"/>
        </w:rPr>
      </w:pPr>
      <w:r>
        <w:rPr>
          <w:rFonts w:hint="eastAsia" w:ascii="仿宋_GB2312" w:hAnsi="仿宋_GB2312" w:eastAsia="仿宋_GB2312" w:cs="仿宋_GB2312"/>
          <w:b/>
          <w:bCs/>
          <w:sz w:val="32"/>
          <w:szCs w:val="32"/>
        </w:rPr>
        <w:t>1.农业：</w:t>
      </w:r>
      <w:r>
        <w:rPr>
          <w:rFonts w:hint="eastAsia" w:ascii="仿宋_GB2312" w:hAnsi="仿宋_GB2312" w:eastAsia="仿宋_GB2312" w:cs="仿宋_GB2312"/>
          <w:sz w:val="32"/>
          <w:szCs w:val="32"/>
        </w:rPr>
        <w:t>按照“强基础、调结构、拓规模、创品牌”的发展思路，通过新技术、新模式，开展现代生态农业标准化生产管理、品牌创建、市场开拓和机制创新示范建设。积极扶持壮大龙头企业，加快农业结构调整步伐，加强产业基地建设，大力改善农业基础条件，农业和农村经济全面发展。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继续以河坝蔬菜示范基地建设为核心，高山果蔬规模种植为依托，全力以赴引导群众开展产业结构巩固。全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年粮食播面2808亩，农作物播种面积7536亩。开展农技培训5次，培育科技示范20户。</w:t>
      </w:r>
    </w:p>
    <w:p>
      <w:pPr>
        <w:spacing w:line="576" w:lineRule="atLeas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2.林业:</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加强对退耕还林的管护，面积1631.6亩，总资金424216元，全年兑现100%兑现金额424216元，保护退耕还林成果。兑现集体国家公益林生态补偿资金40424.35  亩，兑现金额 596259.08元。</w:t>
      </w:r>
    </w:p>
    <w:p>
      <w:pPr>
        <w:widowControl/>
        <w:ind w:firstLine="642" w:firstLineChars="200"/>
        <w:jc w:val="left"/>
        <w:rPr>
          <w:rFonts w:ascii="仿宋_GB2312" w:hAnsi="仿宋_GB2312" w:eastAsia="仿宋_GB2312" w:cs="仿宋_GB2312"/>
          <w:sz w:val="32"/>
          <w:szCs w:val="32"/>
        </w:rPr>
      </w:pPr>
      <w:r>
        <w:rPr>
          <w:rFonts w:hint="eastAsia" w:ascii="仿宋_GB2312" w:hAnsi="仿宋_GB2312" w:eastAsia="仿宋_GB2312" w:cs="仿宋_GB2312"/>
          <w:b/>
          <w:bCs/>
          <w:sz w:val="32"/>
          <w:szCs w:val="32"/>
        </w:rPr>
        <w:t>3.畜牧业：</w:t>
      </w:r>
      <w:r>
        <w:rPr>
          <w:rFonts w:hint="eastAsia" w:ascii="仿宋_GB2312" w:hAnsi="仿宋_GB2312" w:eastAsia="仿宋_GB2312" w:cs="仿宋_GB2312"/>
          <w:sz w:val="32"/>
          <w:szCs w:val="32"/>
        </w:rPr>
        <w:t>抓好动物疾病防治工作，扎实开展春季冬防免疫及后续免补工作。目前，完成猪口蹄、口蹄疫苗免疫502头，牛羊包虫病、布病、口蹄疫、小反刍兽疫免疫共356头，</w:t>
      </w:r>
      <w:r>
        <w:rPr>
          <w:rFonts w:hint="default" w:ascii="仿宋_GB2312" w:hAnsi="仿宋_GB2312" w:eastAsia="仿宋_GB2312" w:cs="仿宋_GB2312"/>
          <w:sz w:val="32"/>
          <w:szCs w:val="32"/>
        </w:rPr>
        <w:t>截至目前</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w:t>
      </w:r>
      <w:r>
        <w:rPr>
          <w:rFonts w:hint="eastAsia" w:ascii="仿宋_GB2312" w:hAnsi="仿宋_GB2312" w:eastAsia="仿宋_GB2312" w:cs="仿宋_GB2312"/>
          <w:sz w:val="32"/>
          <w:szCs w:val="32"/>
          <w:lang w:eastAsia="zh-CN"/>
        </w:rPr>
        <w:t>非洲</w:t>
      </w:r>
      <w:r>
        <w:rPr>
          <w:rFonts w:hint="eastAsia" w:ascii="仿宋_GB2312" w:hAnsi="仿宋_GB2312" w:eastAsia="仿宋_GB2312" w:cs="仿宋_GB2312"/>
          <w:sz w:val="32"/>
          <w:szCs w:val="32"/>
        </w:rPr>
        <w:t>猪瘟进行了排查，没有发现一起非洲猪瘟疑似病情。全</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各类牲畜共1232头（只）。有养殖合作社一家，养殖示范户2户。</w:t>
      </w:r>
    </w:p>
    <w:p>
      <w:pPr>
        <w:spacing w:line="576" w:lineRule="atLeast"/>
        <w:ind w:firstLine="642" w:firstLineChars="200"/>
        <w:rPr>
          <w:rFonts w:ascii="仿宋_GB2312" w:hAnsi="仿宋_GB2312" w:eastAsia="仿宋_GB2312" w:cs="仿宋_GB2312"/>
          <w:sz w:val="32"/>
          <w:szCs w:val="32"/>
        </w:rPr>
      </w:pPr>
      <w:r>
        <w:rPr>
          <w:rFonts w:hint="eastAsia" w:ascii="仿宋_GB2312" w:hAnsi="仿宋_GB2312" w:eastAsia="仿宋_GB2312" w:cs="仿宋_GB2312"/>
          <w:b/>
          <w:sz w:val="32"/>
          <w:szCs w:val="32"/>
        </w:rPr>
        <w:t>4.脱贫攻坚：</w:t>
      </w:r>
      <w:r>
        <w:rPr>
          <w:rFonts w:hint="eastAsia" w:ascii="仿宋_GB2312" w:hAnsi="仿宋_GB2312" w:eastAsia="仿宋_GB2312" w:cs="仿宋_GB2312"/>
          <w:sz w:val="32"/>
          <w:szCs w:val="32"/>
        </w:rPr>
        <w:t>为认真贯彻落实习近平总书记关于精准扶贫工作系列重要讲话精神，紧紧围绕到2020年所有贫困村和贫困人口一道迈入全面小康社会这个总目标，根据《中共四川省委关于集中力量打赢扶贫开发攻坚战，确保同步</w:t>
      </w:r>
      <w:r>
        <w:rPr>
          <w:rFonts w:hint="eastAsia" w:ascii="仿宋_GB2312" w:hAnsi="仿宋_GB2312" w:eastAsia="仿宋_GB2312" w:cs="仿宋_GB2312"/>
          <w:sz w:val="32"/>
          <w:szCs w:val="32"/>
          <w:lang w:eastAsia="zh-CN"/>
        </w:rPr>
        <w:t>全面建成小康社会</w:t>
      </w:r>
      <w:r>
        <w:rPr>
          <w:rFonts w:hint="eastAsia" w:ascii="仿宋_GB2312" w:hAnsi="仿宋_GB2312" w:eastAsia="仿宋_GB2312" w:cs="仿宋_GB2312"/>
          <w:sz w:val="32"/>
          <w:szCs w:val="32"/>
        </w:rPr>
        <w:t>的决定》的部署和要求，聚焦“两不愁、三保障”、“一低五有”等脱贫对象退出标准，</w:t>
      </w:r>
      <w:r>
        <w:rPr>
          <w:rFonts w:hint="eastAsia" w:ascii="仿宋_GB2312" w:hAnsi="仿宋" w:eastAsia="仿宋_GB2312" w:cs="仿宋"/>
          <w:sz w:val="32"/>
          <w:szCs w:val="32"/>
        </w:rPr>
        <w:t>推进我镇脱贫攻坚工作取得新成效，并严格按照</w:t>
      </w:r>
      <w:r>
        <w:rPr>
          <w:rFonts w:hint="default" w:ascii="仿宋_GB2312" w:hAnsi="仿宋" w:eastAsia="仿宋_GB2312" w:cs="仿宋"/>
          <w:sz w:val="32"/>
          <w:szCs w:val="32"/>
        </w:rPr>
        <w:t>县委县政府</w:t>
      </w:r>
      <w:r>
        <w:rPr>
          <w:rFonts w:hint="eastAsia" w:ascii="仿宋_GB2312" w:hAnsi="仿宋" w:eastAsia="仿宋_GB2312" w:cs="仿宋"/>
          <w:sz w:val="32"/>
          <w:szCs w:val="32"/>
        </w:rPr>
        <w:t>脱贫攻坚部署</w:t>
      </w:r>
      <w:r>
        <w:rPr>
          <w:rFonts w:hint="eastAsia" w:ascii="仿宋_GB2312" w:hAnsi="仿宋_GB2312" w:eastAsia="仿宋_GB2312" w:cs="仿宋_GB2312"/>
          <w:sz w:val="32"/>
          <w:szCs w:val="32"/>
        </w:rPr>
        <w:t>。</w:t>
      </w:r>
    </w:p>
    <w:p>
      <w:pPr>
        <w:pStyle w:val="3"/>
        <w:ind w:firstLine="640" w:firstLineChars="200"/>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adjustRightInd w:val="0"/>
        <w:snapToGrid w:val="0"/>
        <w:spacing w:beforeLines="0" w:line="576" w:lineRule="atLeast"/>
        <w:ind w:firstLine="640" w:firstLineChars="200"/>
        <w:outlineLvl w:val="2"/>
        <w:rPr>
          <w:rStyle w:val="30"/>
          <w:rFonts w:ascii="方正小标宋简体" w:hAnsi="方正小标宋简体" w:eastAsia="方正小标宋简体" w:cs="方正小标宋简体"/>
          <w:b w:val="0"/>
          <w:bCs w:val="0"/>
        </w:rPr>
      </w:pPr>
      <w:r>
        <w:rPr>
          <w:rFonts w:hint="eastAsia" w:ascii="仿宋" w:hAnsi="仿宋" w:eastAsia="仿宋"/>
          <w:color w:val="000000"/>
          <w:sz w:val="32"/>
          <w:szCs w:val="32"/>
        </w:rPr>
        <w:t>茂县黑虎镇人民政府属于行政单位，下设行政单位0个，其中内设机构2个（党政办公室</w:t>
      </w:r>
      <w:r>
        <w:rPr>
          <w:rFonts w:hint="eastAsia" w:ascii="仿宋" w:hAnsi="仿宋" w:eastAsia="仿宋"/>
          <w:color w:val="000000"/>
          <w:sz w:val="32"/>
          <w:szCs w:val="32"/>
          <w:lang w:eastAsia="zh-CN"/>
        </w:rPr>
        <w:t>和</w:t>
      </w:r>
      <w:r>
        <w:rPr>
          <w:rFonts w:hint="eastAsia" w:ascii="仿宋" w:hAnsi="仿宋" w:eastAsia="仿宋"/>
          <w:color w:val="000000"/>
          <w:sz w:val="32"/>
          <w:szCs w:val="32"/>
        </w:rPr>
        <w:t>综合发展办公室）。</w:t>
      </w:r>
    </w:p>
    <w:p>
      <w:pPr>
        <w:widowControl/>
        <w:jc w:val="left"/>
        <w:rPr>
          <w:rFonts w:ascii="仿宋" w:hAnsi="仿宋" w:eastAsia="仿宋"/>
          <w:color w:val="000000"/>
          <w:kern w:val="0"/>
          <w:sz w:val="32"/>
          <w:szCs w:val="32"/>
        </w:rPr>
      </w:pPr>
    </w:p>
    <w:p>
      <w:pPr>
        <w:pStyle w:val="2"/>
        <w:ind w:right="440"/>
        <w:jc w:val="right"/>
        <w:rPr>
          <w:rStyle w:val="24"/>
          <w:rFonts w:ascii="黑体" w:hAnsi="黑体" w:eastAsia="黑体"/>
          <w:b w:val="0"/>
          <w:bCs w:val="0"/>
        </w:rPr>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2019年度部门决算情况说明</w:t>
      </w:r>
      <w:bookmarkEnd w:id="20"/>
      <w:bookmarkEnd w:id="21"/>
    </w:p>
    <w:p/>
    <w:p>
      <w:pPr>
        <w:pStyle w:val="23"/>
        <w:numPr>
          <w:ilvl w:val="0"/>
          <w:numId w:val="1"/>
        </w:numPr>
        <w:spacing w:line="600" w:lineRule="exact"/>
        <w:ind w:firstLineChars="0"/>
        <w:outlineLvl w:val="1"/>
        <w:rPr>
          <w:rStyle w:val="25"/>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茂县黑虎镇人民政府2019年度收入、支出决算总计</w:t>
      </w:r>
      <w:r>
        <w:rPr>
          <w:rFonts w:hint="eastAsia" w:ascii="仿宋_GB2312" w:hAnsi="仿宋_GB2312" w:eastAsia="仿宋_GB2312" w:cs="仿宋_GB2312"/>
          <w:color w:val="000000"/>
          <w:sz w:val="32"/>
          <w:szCs w:val="32"/>
          <w:lang w:val="en-US" w:eastAsia="zh-CN"/>
        </w:rPr>
        <w:t>522.75</w:t>
      </w:r>
      <w:r>
        <w:rPr>
          <w:rFonts w:hint="eastAsia" w:ascii="仿宋_GB2312" w:hAnsi="仿宋_GB2312" w:eastAsia="仿宋_GB2312" w:cs="仿宋_GB2312"/>
          <w:color w:val="000000"/>
          <w:sz w:val="32"/>
          <w:szCs w:val="32"/>
        </w:rPr>
        <w:t>万元。与2018年相比，收入、支出决算总计增加</w:t>
      </w:r>
      <w:r>
        <w:rPr>
          <w:rFonts w:hint="eastAsia" w:ascii="仿宋_GB2312" w:hAnsi="仿宋_GB2312" w:eastAsia="仿宋_GB2312" w:cs="仿宋_GB2312"/>
          <w:color w:val="000000"/>
          <w:sz w:val="32"/>
          <w:szCs w:val="32"/>
          <w:lang w:val="en-US" w:eastAsia="zh-CN"/>
        </w:rPr>
        <w:t>381.91</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42.21</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人员减少</w:t>
      </w:r>
      <w:r>
        <w:rPr>
          <w:rFonts w:hint="eastAsia" w:ascii="仿宋_GB2312" w:hAnsi="仿宋_GB2312" w:eastAsia="仿宋_GB2312" w:cs="仿宋_GB2312"/>
          <w:color w:val="000000"/>
          <w:sz w:val="32"/>
          <w:szCs w:val="32"/>
        </w:rPr>
        <w:t>。</w:t>
      </w:r>
    </w:p>
    <w:p>
      <w:pPr>
        <w:pStyle w:val="23"/>
        <w:spacing w:line="576" w:lineRule="atLeast"/>
        <w:ind w:firstLine="0" w:firstLineChars="0"/>
        <w:jc w:val="center"/>
        <w:outlineLvl w:val="1"/>
      </w:pPr>
      <w:r>
        <w:drawing>
          <wp:inline distT="0" distB="0" distL="114300" distR="114300">
            <wp:extent cx="4034790" cy="2053590"/>
            <wp:effectExtent l="4445" t="4445" r="18415" b="18415"/>
            <wp:docPr id="7"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spacing w:line="576" w:lineRule="atLeast"/>
        <w:ind w:firstLine="640" w:firstLineChars="200"/>
        <w:jc w:val="left"/>
        <w:outlineLvl w:val="1"/>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2019年本年收入合计456.09万元，其中：一般公共预算财政拨款收入454.25万元，占99.59%；政府性基金预算财政拨款收入1.84万元，占0.4%。</w:t>
      </w:r>
    </w:p>
    <w:p>
      <w:pPr>
        <w:spacing w:line="576" w:lineRule="atLeast"/>
        <w:jc w:val="center"/>
        <w:outlineLvl w:val="1"/>
      </w:pPr>
      <w:r>
        <w:drawing>
          <wp:inline distT="0" distB="0" distL="114300" distR="114300">
            <wp:extent cx="4572000" cy="2743200"/>
            <wp:effectExtent l="19050" t="0" r="19050" b="0"/>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rPr>
        <w:t>图2：收入决算结构图（单位：万元）</w:t>
      </w:r>
    </w:p>
    <w:p>
      <w:pPr>
        <w:pStyle w:val="23"/>
        <w:numPr>
          <w:ilvl w:val="0"/>
          <w:numId w:val="1"/>
        </w:numPr>
        <w:spacing w:line="600" w:lineRule="exact"/>
        <w:ind w:firstLineChars="0"/>
        <w:outlineLvl w:val="1"/>
        <w:rPr>
          <w:rStyle w:val="25"/>
          <w:rFonts w:ascii="黑体" w:hAnsi="黑体" w:eastAsia="黑体"/>
          <w:b w:val="0"/>
        </w:rPr>
      </w:pPr>
      <w:bookmarkStart w:id="26" w:name="_Toc15377207"/>
      <w:bookmarkStart w:id="27" w:name="_Toc15396605"/>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spacing w:line="576" w:lineRule="atLeast"/>
        <w:ind w:firstLine="640" w:firstLineChars="200"/>
        <w:jc w:val="left"/>
        <w:rPr>
          <w:rFonts w:ascii="仿宋_GB2312" w:hAnsi="仿宋_GB2312" w:eastAsia="仿宋_GB2312" w:cs="仿宋_GB2312"/>
          <w:color w:val="000000"/>
          <w:sz w:val="32"/>
          <w:szCs w:val="32"/>
        </w:rPr>
      </w:pPr>
      <w:bookmarkStart w:id="28" w:name="_Toc15377208"/>
      <w:bookmarkStart w:id="29" w:name="_Toc15396606"/>
      <w:r>
        <w:rPr>
          <w:rFonts w:hint="eastAsia" w:ascii="仿宋_GB2312" w:hAnsi="仿宋_GB2312" w:eastAsia="仿宋_GB2312" w:cs="仿宋_GB2312"/>
          <w:color w:val="000000"/>
          <w:sz w:val="32"/>
          <w:szCs w:val="32"/>
        </w:rPr>
        <w:t>2019年本年支出合计465.57万元，其中：基本支出304.79万元，占65.47%；项目支出160.78万元，占34.53%。</w:t>
      </w:r>
    </w:p>
    <w:p>
      <w:pPr>
        <w:spacing w:line="576" w:lineRule="atLeast"/>
        <w:jc w:val="center"/>
      </w:pPr>
      <w:r>
        <w:drawing>
          <wp:inline distT="0" distB="0" distL="114300" distR="114300">
            <wp:extent cx="4572000" cy="2743200"/>
            <wp:effectExtent l="19050" t="0" r="19050" b="0"/>
            <wp:docPr id="3" name="图表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Style w:val="3"/>
        <w:keepNext w:val="0"/>
        <w:keepLines w:val="0"/>
        <w:spacing w:before="0" w:after="0" w:line="576" w:lineRule="atLeast"/>
        <w:ind w:firstLine="640" w:firstLineChars="200"/>
        <w:jc w:val="left"/>
        <w:rPr>
          <w:rFonts w:hint="eastAsia" w:ascii="仿宋_GB2312" w:hAnsi="仿宋_GB2312" w:eastAsia="仿宋_GB2312" w:cs="仿宋_GB2312"/>
          <w:b w:val="0"/>
          <w:bCs w:val="0"/>
          <w:color w:val="000000"/>
        </w:rPr>
      </w:pPr>
      <w:bookmarkStart w:id="30" w:name="_Toc15396607"/>
      <w:bookmarkStart w:id="31" w:name="_Toc15377209"/>
      <w:r>
        <w:rPr>
          <w:rFonts w:hint="eastAsia" w:ascii="仿宋_GB2312" w:hAnsi="仿宋_GB2312" w:eastAsia="仿宋_GB2312" w:cs="仿宋_GB2312"/>
          <w:b w:val="0"/>
          <w:bCs w:val="0"/>
          <w:color w:val="000000"/>
        </w:rPr>
        <w:t>茂县黑虎镇人民政府2019年度收入、支出决算总计</w:t>
      </w:r>
      <w:r>
        <w:rPr>
          <w:rFonts w:hint="eastAsia" w:ascii="仿宋_GB2312" w:hAnsi="仿宋_GB2312" w:eastAsia="仿宋_GB2312" w:cs="仿宋_GB2312"/>
          <w:b w:val="0"/>
          <w:bCs w:val="0"/>
          <w:color w:val="000000"/>
          <w:lang w:val="en-US" w:eastAsia="zh-CN"/>
        </w:rPr>
        <w:t>522.75</w:t>
      </w:r>
      <w:r>
        <w:rPr>
          <w:rFonts w:hint="eastAsia" w:ascii="仿宋_GB2312" w:hAnsi="仿宋_GB2312" w:eastAsia="仿宋_GB2312" w:cs="仿宋_GB2312"/>
          <w:b w:val="0"/>
          <w:bCs w:val="0"/>
          <w:color w:val="000000"/>
        </w:rPr>
        <w:t>万元。与2018年相比，收入、支出决算总计增加</w:t>
      </w:r>
      <w:r>
        <w:rPr>
          <w:rFonts w:hint="eastAsia" w:ascii="仿宋_GB2312" w:hAnsi="仿宋_GB2312" w:eastAsia="仿宋_GB2312" w:cs="仿宋_GB2312"/>
          <w:b w:val="0"/>
          <w:bCs w:val="0"/>
          <w:color w:val="000000"/>
          <w:lang w:val="en-US" w:eastAsia="zh-CN"/>
        </w:rPr>
        <w:t>381.91</w:t>
      </w:r>
      <w:r>
        <w:rPr>
          <w:rFonts w:hint="eastAsia" w:ascii="仿宋_GB2312" w:hAnsi="仿宋_GB2312" w:eastAsia="仿宋_GB2312" w:cs="仿宋_GB2312"/>
          <w:b w:val="0"/>
          <w:bCs w:val="0"/>
          <w:color w:val="000000"/>
        </w:rPr>
        <w:t>万元，</w:t>
      </w:r>
      <w:r>
        <w:rPr>
          <w:rFonts w:hint="eastAsia" w:ascii="仿宋_GB2312" w:hAnsi="仿宋_GB2312" w:eastAsia="仿宋_GB2312" w:cs="仿宋_GB2312"/>
          <w:b w:val="0"/>
          <w:bCs w:val="0"/>
          <w:color w:val="000000"/>
          <w:lang w:eastAsia="zh-CN"/>
        </w:rPr>
        <w:t>减少</w:t>
      </w:r>
      <w:r>
        <w:rPr>
          <w:rFonts w:hint="eastAsia" w:ascii="仿宋_GB2312" w:hAnsi="仿宋_GB2312" w:eastAsia="仿宋_GB2312" w:cs="仿宋_GB2312"/>
          <w:b w:val="0"/>
          <w:bCs w:val="0"/>
          <w:color w:val="000000"/>
          <w:lang w:val="en-US" w:eastAsia="zh-CN"/>
        </w:rPr>
        <w:t>42.21</w:t>
      </w:r>
      <w:r>
        <w:rPr>
          <w:rFonts w:hint="eastAsia" w:ascii="仿宋_GB2312" w:hAnsi="仿宋_GB2312" w:eastAsia="仿宋_GB2312" w:cs="仿宋_GB2312"/>
          <w:b w:val="0"/>
          <w:bCs w:val="0"/>
          <w:color w:val="000000"/>
        </w:rPr>
        <w:t>%。主要变动</w:t>
      </w:r>
      <w:r>
        <w:rPr>
          <w:rFonts w:hint="eastAsia" w:ascii="仿宋_GB2312" w:hAnsi="仿宋_GB2312" w:eastAsia="仿宋_GB2312" w:cs="仿宋_GB2312"/>
          <w:b w:val="0"/>
          <w:bCs w:val="0"/>
          <w:color w:val="000000"/>
          <w:lang w:eastAsia="zh-CN"/>
        </w:rPr>
        <w:t>人员减少</w:t>
      </w:r>
      <w:r>
        <w:rPr>
          <w:rFonts w:hint="eastAsia" w:ascii="仿宋_GB2312" w:hAnsi="仿宋_GB2312" w:eastAsia="仿宋_GB2312" w:cs="仿宋_GB2312"/>
          <w:b w:val="0"/>
          <w:bCs w:val="0"/>
          <w:color w:val="000000"/>
        </w:rPr>
        <w:t>。</w:t>
      </w:r>
    </w:p>
    <w:p>
      <w:r>
        <w:drawing>
          <wp:inline distT="0" distB="0" distL="114300" distR="114300">
            <wp:extent cx="4321175" cy="1672590"/>
            <wp:effectExtent l="5080" t="4445" r="17145" b="18415"/>
            <wp:docPr id="9"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spacing w:line="576" w:lineRule="atLeast"/>
        <w:jc w:val="center"/>
        <w:rPr>
          <w:rFonts w:ascii="黑体" w:hAnsi="黑体" w:eastAsia="黑体"/>
          <w:color w:val="000000"/>
          <w:sz w:val="32"/>
          <w:szCs w:val="32"/>
        </w:rPr>
      </w:pPr>
      <w:r>
        <w:rPr>
          <w:rFonts w:hint="eastAsia"/>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2" w:firstLineChars="200"/>
        <w:outlineLvl w:val="2"/>
        <w:rPr>
          <w:rFonts w:ascii="仿宋" w:hAnsi="仿宋" w:eastAsia="仿宋"/>
          <w:b/>
          <w:color w:val="000000"/>
          <w:sz w:val="32"/>
          <w:szCs w:val="32"/>
        </w:rPr>
      </w:pPr>
      <w:bookmarkStart w:id="32" w:name="_Toc15377210"/>
      <w:r>
        <w:rPr>
          <w:rFonts w:hint="eastAsia" w:ascii="楷体" w:hAnsi="楷体" w:eastAsia="楷体" w:cs="楷体"/>
          <w:b/>
          <w:color w:val="000000"/>
          <w:sz w:val="32"/>
          <w:szCs w:val="32"/>
        </w:rPr>
        <w:t>（一）一般公共预算财政拨款支出决算总体情况</w:t>
      </w:r>
      <w:bookmarkEnd w:id="32"/>
    </w:p>
    <w:p>
      <w:pPr>
        <w:spacing w:line="576" w:lineRule="atLeast"/>
        <w:ind w:firstLine="640" w:firstLineChars="200"/>
        <w:rPr>
          <w:rFonts w:ascii="仿宋_GB2312" w:hAnsi="仿宋_GB2312" w:eastAsia="仿宋_GB2312" w:cs="仿宋_GB2312"/>
          <w:color w:val="000000"/>
          <w:w w:val="95"/>
          <w:sz w:val="32"/>
          <w:szCs w:val="32"/>
        </w:rPr>
      </w:pPr>
      <w:r>
        <w:rPr>
          <w:rFonts w:hint="eastAsia" w:ascii="仿宋_GB2312" w:hAnsi="仿宋_GB2312" w:eastAsia="仿宋_GB2312" w:cs="仿宋_GB2312"/>
          <w:color w:val="000000"/>
          <w:sz w:val="32"/>
          <w:szCs w:val="32"/>
        </w:rPr>
        <w:t>2019年一般公共预算财政拨款支出</w:t>
      </w:r>
      <w:r>
        <w:rPr>
          <w:rFonts w:hint="eastAsia" w:ascii="仿宋_GB2312" w:hAnsi="仿宋_GB2312" w:eastAsia="仿宋_GB2312" w:cs="仿宋_GB2312"/>
          <w:color w:val="000000"/>
          <w:sz w:val="32"/>
          <w:szCs w:val="32"/>
          <w:lang w:val="en-US" w:eastAsia="zh-CN"/>
        </w:rPr>
        <w:t>463.72</w:t>
      </w:r>
      <w:r>
        <w:rPr>
          <w:rFonts w:hint="eastAsia" w:ascii="仿宋_GB2312" w:hAnsi="仿宋_GB2312" w:eastAsia="仿宋_GB2312" w:cs="仿宋_GB2312"/>
          <w:color w:val="000000"/>
          <w:sz w:val="32"/>
          <w:szCs w:val="32"/>
        </w:rPr>
        <w:t>万元，占本年支出合计的99.</w:t>
      </w:r>
      <w:r>
        <w:rPr>
          <w:rFonts w:hint="eastAsia" w:ascii="仿宋_GB2312" w:hAnsi="仿宋_GB2312" w:eastAsia="仿宋_GB2312" w:cs="仿宋_GB2312"/>
          <w:color w:val="000000"/>
          <w:sz w:val="32"/>
          <w:szCs w:val="32"/>
          <w:lang w:val="en-US" w:eastAsia="zh-CN"/>
        </w:rPr>
        <w:t>60</w:t>
      </w:r>
      <w:r>
        <w:rPr>
          <w:rFonts w:hint="eastAsia" w:ascii="仿宋_GB2312" w:hAnsi="仿宋_GB2312" w:eastAsia="仿宋_GB2312" w:cs="仿宋_GB2312"/>
          <w:color w:val="000000"/>
          <w:sz w:val="32"/>
          <w:szCs w:val="32"/>
        </w:rPr>
        <w:t>%。与2018年相比，一般公共预算财政拨款</w:t>
      </w:r>
      <w:r>
        <w:rPr>
          <w:rFonts w:hint="eastAsia" w:ascii="仿宋_GB2312" w:hAnsi="仿宋_GB2312" w:eastAsia="仿宋_GB2312" w:cs="仿宋_GB2312"/>
          <w:color w:val="000000"/>
          <w:sz w:val="32"/>
          <w:szCs w:val="32"/>
          <w:lang w:val="en-US" w:eastAsia="zh-CN"/>
        </w:rPr>
        <w:t>减少390.2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减少</w:t>
      </w:r>
      <w:r>
        <w:rPr>
          <w:rFonts w:hint="eastAsia" w:ascii="仿宋_GB2312" w:hAnsi="仿宋_GB2312" w:eastAsia="仿宋_GB2312" w:cs="仿宋_GB2312"/>
          <w:color w:val="000000"/>
          <w:sz w:val="32"/>
          <w:szCs w:val="32"/>
          <w:lang w:val="en-US" w:eastAsia="zh-CN"/>
        </w:rPr>
        <w:t>45.7</w:t>
      </w:r>
      <w:r>
        <w:rPr>
          <w:rFonts w:hint="eastAsia" w:ascii="仿宋_GB2312" w:hAnsi="仿宋_GB2312" w:eastAsia="仿宋_GB2312" w:cs="仿宋_GB2312"/>
          <w:color w:val="000000"/>
          <w:sz w:val="32"/>
          <w:szCs w:val="32"/>
        </w:rPr>
        <w:t>%。主要变动原因是</w:t>
      </w:r>
      <w:r>
        <w:rPr>
          <w:rFonts w:hint="eastAsia" w:ascii="仿宋_GB2312" w:hAnsi="仿宋_GB2312" w:eastAsia="仿宋_GB2312" w:cs="仿宋_GB2312"/>
          <w:color w:val="000000"/>
          <w:sz w:val="32"/>
          <w:szCs w:val="32"/>
          <w:lang w:eastAsia="zh-CN"/>
        </w:rPr>
        <w:t>人员减少</w:t>
      </w:r>
      <w:r>
        <w:rPr>
          <w:rFonts w:hint="eastAsia" w:ascii="仿宋_GB2312" w:hAnsi="仿宋_GB2312" w:eastAsia="仿宋_GB2312" w:cs="仿宋_GB2312"/>
          <w:color w:val="000000"/>
          <w:sz w:val="32"/>
          <w:szCs w:val="32"/>
        </w:rPr>
        <w:t>。</w:t>
      </w:r>
    </w:p>
    <w:p>
      <w:pPr>
        <w:spacing w:line="576" w:lineRule="atLeast"/>
        <w:jc w:val="center"/>
      </w:pPr>
      <w:r>
        <w:drawing>
          <wp:inline distT="0" distB="0" distL="114300" distR="114300">
            <wp:extent cx="4572000" cy="2743200"/>
            <wp:effectExtent l="4445" t="4445" r="14605" b="14605"/>
            <wp:docPr id="5" name="图表 5"/>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576" w:lineRule="atLeast"/>
        <w:jc w:val="center"/>
        <w:rPr>
          <w:rFonts w:ascii="仿宋_GB2312" w:hAnsi="仿宋" w:eastAsia="仿宋_GB2312"/>
          <w:color w:val="000000" w:themeColor="text1"/>
          <w:sz w:val="32"/>
          <w:szCs w:val="32"/>
        </w:rPr>
      </w:pPr>
      <w:r>
        <w:rPr>
          <w:rFonts w:hint="eastAsia" w:ascii="仿宋_GB2312" w:hAnsi="仿宋" w:eastAsia="仿宋_GB2312" w:cs="仿宋"/>
          <w:color w:val="000000"/>
          <w:w w:val="95"/>
          <w:sz w:val="32"/>
          <w:szCs w:val="32"/>
        </w:rPr>
        <w:t>图5 ：一般公共预算财政拨款支出决算变动情况（单位：万元）</w:t>
      </w:r>
    </w:p>
    <w:p>
      <w:pPr>
        <w:spacing w:line="600" w:lineRule="exact"/>
        <w:ind w:firstLine="642" w:firstLineChars="200"/>
        <w:outlineLvl w:val="2"/>
        <w:rPr>
          <w:rFonts w:ascii="仿宋" w:hAnsi="仿宋" w:eastAsia="仿宋"/>
          <w:b/>
          <w:color w:val="000000"/>
          <w:sz w:val="32"/>
          <w:szCs w:val="32"/>
        </w:rPr>
      </w:pPr>
      <w:bookmarkStart w:id="33" w:name="_Toc15377211"/>
      <w:r>
        <w:rPr>
          <w:rFonts w:hint="eastAsia" w:ascii="楷体" w:hAnsi="楷体" w:eastAsia="楷体" w:cs="楷体"/>
          <w:b/>
          <w:color w:val="000000"/>
          <w:sz w:val="32"/>
          <w:szCs w:val="32"/>
        </w:rPr>
        <w:t>（二）一般公共预算财政拨款支出决算结构情况</w:t>
      </w:r>
      <w:bookmarkEnd w:id="33"/>
    </w:p>
    <w:p>
      <w:pPr>
        <w:spacing w:line="576" w:lineRule="atLeast"/>
        <w:ind w:firstLine="640" w:firstLineChars="200"/>
        <w:rPr>
          <w:rFonts w:ascii="仿宋_GB2312" w:hAnsi="仿宋_GB2312" w:eastAsia="仿宋_GB2312" w:cs="仿宋_GB2312"/>
          <w:sz w:val="32"/>
          <w:szCs w:val="32"/>
        </w:rPr>
      </w:pPr>
      <w:bookmarkStart w:id="34" w:name="_Toc15377212"/>
      <w:r>
        <w:rPr>
          <w:rFonts w:hint="eastAsia" w:ascii="仿宋_GB2312" w:hAnsi="仿宋_GB2312" w:eastAsia="仿宋_GB2312" w:cs="仿宋_GB2312"/>
          <w:color w:val="000000"/>
          <w:sz w:val="32"/>
          <w:szCs w:val="32"/>
        </w:rPr>
        <w:t>茂县黑虎镇人民政府2019年支出决算总数</w:t>
      </w:r>
      <w:r>
        <w:rPr>
          <w:rFonts w:hint="eastAsia" w:ascii="仿宋_GB2312" w:hAnsi="仿宋_GB2312" w:eastAsia="仿宋_GB2312" w:cs="仿宋_GB2312"/>
          <w:color w:val="000000"/>
          <w:sz w:val="32"/>
          <w:szCs w:val="32"/>
          <w:lang w:val="en-US" w:eastAsia="zh-CN"/>
        </w:rPr>
        <w:t>463.72</w:t>
      </w:r>
      <w:r>
        <w:rPr>
          <w:rFonts w:hint="eastAsia" w:ascii="仿宋_GB2312" w:hAnsi="仿宋_GB2312" w:eastAsia="仿宋_GB2312" w:cs="仿宋_GB2312"/>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出（类）</w:t>
      </w:r>
      <w:r>
        <w:rPr>
          <w:rFonts w:hint="eastAsia" w:ascii="仿宋_GB2312" w:hAnsi="仿宋_GB2312" w:eastAsia="仿宋_GB2312" w:cs="仿宋_GB2312"/>
          <w:sz w:val="32"/>
          <w:szCs w:val="32"/>
        </w:rPr>
        <w:t>173.17元，占</w:t>
      </w:r>
      <w:bookmarkStart w:id="35" w:name="OLE_LINK1"/>
      <w:r>
        <w:rPr>
          <w:rFonts w:hint="eastAsia" w:ascii="仿宋_GB2312" w:hAnsi="仿宋_GB2312" w:eastAsia="仿宋_GB2312" w:cs="仿宋_GB2312"/>
          <w:sz w:val="32"/>
          <w:szCs w:val="32"/>
        </w:rPr>
        <w:t>本年支出合计的</w:t>
      </w:r>
      <w:bookmarkEnd w:id="35"/>
      <w:r>
        <w:rPr>
          <w:rFonts w:hint="eastAsia" w:ascii="仿宋_GB2312" w:hAnsi="仿宋_GB2312" w:eastAsia="仿宋_GB2312" w:cs="仿宋_GB2312"/>
          <w:sz w:val="32"/>
          <w:szCs w:val="32"/>
        </w:rPr>
        <w:t>37.2%；</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34.83万元，占本年支出合计的7.5%；</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17.85万元，占本年支出合计的3.8%；</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211.83万元，占本年支出合计的45.54%；</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23.44万元，占本年支出合计的5%；</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2.6万元，占本年支出合计的0.56%。</w:t>
      </w:r>
    </w:p>
    <w:p>
      <w:pPr>
        <w:spacing w:line="576" w:lineRule="atLeast"/>
        <w:ind w:firstLine="640" w:firstLineChars="200"/>
        <w:rPr>
          <w:rFonts w:ascii="仿宋_GB2312" w:hAnsi="仿宋_GB2312" w:eastAsia="仿宋_GB2312" w:cs="仿宋_GB2312"/>
          <w:sz w:val="32"/>
          <w:szCs w:val="32"/>
        </w:rPr>
      </w:pPr>
      <w:r>
        <w:rPr>
          <w:rFonts w:ascii="仿宋_GB2312" w:hAnsi="仿宋_GB2312" w:eastAsia="仿宋_GB2312" w:cs="仿宋_GB2312"/>
          <w:sz w:val="32"/>
          <w:szCs w:val="32"/>
        </w:rPr>
        <w:drawing>
          <wp:inline distT="0" distB="0" distL="0" distR="0">
            <wp:extent cx="3933825" cy="2447925"/>
            <wp:effectExtent l="19050" t="0" r="28574" b="0"/>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spacing w:line="576" w:lineRule="atLeast"/>
        <w:rPr>
          <w:rFonts w:ascii="仿宋_GB2312" w:hAnsi="楷体" w:eastAsia="仿宋_GB2312"/>
          <w:bCs/>
          <w:color w:val="000000"/>
          <w:sz w:val="32"/>
          <w:szCs w:val="32"/>
        </w:rPr>
      </w:pPr>
      <w:r>
        <w:rPr>
          <w:rFonts w:hint="eastAsia" w:ascii="仿宋_GB2312" w:hAnsi="仿宋_GB2312" w:eastAsia="仿宋_GB2312" w:cs="仿宋_GB2312"/>
          <w:color w:val="000000"/>
          <w:sz w:val="32"/>
          <w:szCs w:val="32"/>
        </w:rPr>
        <w:t>图6：一般公共预算财政拨款支出决算结构</w:t>
      </w:r>
      <w:r>
        <w:rPr>
          <w:rFonts w:hint="eastAsia" w:ascii="仿宋_GB2312" w:hAnsi="仿宋" w:eastAsia="仿宋_GB2312" w:cs="仿宋"/>
          <w:color w:val="000000"/>
          <w:sz w:val="32"/>
          <w:szCs w:val="32"/>
        </w:rPr>
        <w:t>（单位：万元）</w:t>
      </w:r>
    </w:p>
    <w:p>
      <w:pPr>
        <w:spacing w:line="600" w:lineRule="exact"/>
        <w:ind w:firstLine="642" w:firstLineChars="20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（三）一般公共预算财政拨款支出决算具体情况</w:t>
      </w:r>
      <w:bookmarkEnd w:id="34"/>
    </w:p>
    <w:p>
      <w:pPr>
        <w:spacing w:line="576" w:lineRule="atLeast"/>
        <w:ind w:firstLine="642" w:firstLineChars="200"/>
        <w:outlineLvl w:val="2"/>
        <w:rPr>
          <w:rStyle w:val="14"/>
          <w:rFonts w:ascii="仿宋_GB2312" w:hAnsi="仿宋_GB2312" w:eastAsia="仿宋_GB2312" w:cs="仿宋_GB2312"/>
          <w:bCs/>
          <w:color w:val="000000"/>
          <w:sz w:val="32"/>
          <w:szCs w:val="32"/>
        </w:rPr>
      </w:pPr>
      <w:r>
        <w:rPr>
          <w:rFonts w:hint="eastAsia" w:ascii="仿宋_GB2312" w:hAnsi="仿宋_GB2312" w:eastAsia="仿宋_GB2312" w:cs="仿宋_GB2312"/>
          <w:b/>
          <w:bCs/>
          <w:color w:val="000000"/>
          <w:sz w:val="32"/>
          <w:szCs w:val="32"/>
        </w:rPr>
        <w:t>2019年一般公共预算支出决算数为463.72万元，</w:t>
      </w:r>
      <w:r>
        <w:rPr>
          <w:rStyle w:val="14"/>
          <w:rFonts w:hint="eastAsia" w:ascii="仿宋_GB2312" w:hAnsi="仿宋_GB2312" w:eastAsia="仿宋_GB2312" w:cs="仿宋_GB2312"/>
          <w:bCs/>
          <w:color w:val="000000"/>
          <w:sz w:val="32"/>
          <w:szCs w:val="32"/>
        </w:rPr>
        <w:t>完成预算99.6%。其中：</w:t>
      </w:r>
    </w:p>
    <w:p>
      <w:pPr>
        <w:spacing w:line="576" w:lineRule="atLeast"/>
        <w:ind w:firstLine="642" w:firstLineChars="200"/>
        <w:outlineLvl w:val="2"/>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1.一般公共服务（类）人大事务（款）行政运行（项）: </w:t>
      </w:r>
      <w:r>
        <w:rPr>
          <w:rStyle w:val="14"/>
          <w:rFonts w:hint="eastAsia" w:ascii="仿宋_GB2312" w:hAnsi="仿宋_GB2312" w:eastAsia="仿宋_GB2312" w:cs="仿宋_GB2312"/>
          <w:b w:val="0"/>
          <w:color w:val="000000"/>
          <w:sz w:val="32"/>
          <w:szCs w:val="32"/>
        </w:rPr>
        <w:t>支出决算为0.27万元，完成预算100%，决算数等于预算数。</w:t>
      </w:r>
    </w:p>
    <w:p>
      <w:pPr>
        <w:spacing w:line="576" w:lineRule="atLeast"/>
        <w:ind w:firstLine="642" w:firstLineChars="200"/>
        <w:outlineLvl w:val="2"/>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 xml:space="preserve">2.一般公共服务（类）人大事务（款）人大会议（项）: </w:t>
      </w:r>
      <w:r>
        <w:rPr>
          <w:rStyle w:val="14"/>
          <w:rFonts w:hint="eastAsia" w:ascii="仿宋_GB2312" w:hAnsi="仿宋_GB2312" w:eastAsia="仿宋_GB2312" w:cs="仿宋_GB2312"/>
          <w:b w:val="0"/>
          <w:color w:val="000000"/>
          <w:sz w:val="32"/>
          <w:szCs w:val="32"/>
        </w:rPr>
        <w:t>支出决算为0.68万元，完成预算100%，决算数等于预算数。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.一般公共服务（类）政府办公厅（室）及相关机构事务（款）行政运行（项）:</w:t>
      </w:r>
      <w:r>
        <w:rPr>
          <w:rStyle w:val="14"/>
          <w:rFonts w:hint="eastAsia" w:ascii="仿宋_GB2312" w:hAnsi="仿宋_GB2312" w:eastAsia="仿宋_GB2312" w:cs="仿宋_GB2312"/>
          <w:b w:val="0"/>
          <w:color w:val="000000"/>
          <w:sz w:val="32"/>
          <w:szCs w:val="32"/>
        </w:rPr>
        <w:t xml:space="preserve"> 支出决算为144.05万元，完成预算100%，决算数等于预算数。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 xml:space="preserve">.一般公共服务（类）政府办公厅（室）及相关机构事务（款）其他政府办公厅（室）及相关机构事务支出（项）: </w:t>
      </w:r>
      <w:r>
        <w:rPr>
          <w:rStyle w:val="14"/>
          <w:rFonts w:hint="eastAsia" w:ascii="仿宋_GB2312" w:hAnsi="仿宋_GB2312" w:eastAsia="仿宋_GB2312" w:cs="仿宋_GB2312"/>
          <w:b w:val="0"/>
          <w:color w:val="000000"/>
          <w:sz w:val="32"/>
          <w:szCs w:val="32"/>
        </w:rPr>
        <w:t>支出决算为0.55万元，完成预算100%，决算数等于预算数。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5</w:t>
      </w:r>
      <w:r>
        <w:rPr>
          <w:rStyle w:val="14"/>
          <w:rFonts w:hint="eastAsia" w:ascii="仿宋_GB2312" w:hAnsi="仿宋_GB2312" w:eastAsia="仿宋_GB2312" w:cs="仿宋_GB2312"/>
          <w:bCs/>
          <w:color w:val="000000"/>
          <w:sz w:val="32"/>
          <w:szCs w:val="32"/>
        </w:rPr>
        <w:t xml:space="preserve">.一般公共服务（类）党委办公厅（室）及相关机构事务（款）行政运行（项）: </w:t>
      </w:r>
      <w:r>
        <w:rPr>
          <w:rStyle w:val="14"/>
          <w:rFonts w:hint="eastAsia" w:ascii="仿宋_GB2312" w:hAnsi="仿宋_GB2312" w:eastAsia="仿宋_GB2312" w:cs="仿宋_GB2312"/>
          <w:b w:val="0"/>
          <w:color w:val="000000"/>
          <w:sz w:val="32"/>
          <w:szCs w:val="32"/>
        </w:rPr>
        <w:t>支出决算为27.62万元，完成预算100%，决算数等于预算数。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6</w:t>
      </w:r>
      <w:r>
        <w:rPr>
          <w:rStyle w:val="14"/>
          <w:rFonts w:hint="eastAsia" w:ascii="仿宋_GB2312" w:hAnsi="仿宋_GB2312" w:eastAsia="仿宋_GB2312" w:cs="仿宋_GB2312"/>
          <w:bCs/>
          <w:color w:val="000000"/>
          <w:sz w:val="32"/>
          <w:szCs w:val="32"/>
        </w:rPr>
        <w:t xml:space="preserve">.社会保障和就业（类）行政事业单位离退休（款）机关事业单位基本养老保险缴费支出（项）: </w:t>
      </w:r>
      <w:r>
        <w:rPr>
          <w:rStyle w:val="14"/>
          <w:rFonts w:hint="eastAsia" w:ascii="仿宋_GB2312" w:hAnsi="仿宋_GB2312" w:eastAsia="仿宋_GB2312" w:cs="仿宋_GB2312"/>
          <w:b w:val="0"/>
          <w:color w:val="000000"/>
          <w:sz w:val="32"/>
          <w:szCs w:val="32"/>
        </w:rPr>
        <w:t>支出决算为22.30万元，完成预算100%，决算数等于预算数。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7</w:t>
      </w:r>
      <w:r>
        <w:rPr>
          <w:rStyle w:val="14"/>
          <w:rFonts w:hint="eastAsia" w:ascii="仿宋_GB2312" w:hAnsi="仿宋_GB2312" w:eastAsia="仿宋_GB2312" w:cs="仿宋_GB2312"/>
          <w:bCs/>
          <w:color w:val="000000"/>
          <w:sz w:val="32"/>
          <w:szCs w:val="32"/>
        </w:rPr>
        <w:t>.社会保障和就业（类）行政事业单位离退休（款）机关事业单位职业年金缴费支出（项）:</w:t>
      </w:r>
      <w:r>
        <w:rPr>
          <w:rStyle w:val="14"/>
          <w:rFonts w:hint="eastAsia" w:ascii="仿宋_GB2312" w:hAnsi="仿宋_GB2312" w:eastAsia="仿宋_GB2312" w:cs="仿宋_GB2312"/>
          <w:b w:val="0"/>
          <w:color w:val="000000"/>
          <w:sz w:val="32"/>
          <w:szCs w:val="32"/>
        </w:rPr>
        <w:t xml:space="preserve"> 支出决算为10.28万元，完成预算97.90%，决算数小于预算数，年末人员减少。</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8</w:t>
      </w:r>
      <w:r>
        <w:rPr>
          <w:rStyle w:val="14"/>
          <w:rFonts w:hint="eastAsia" w:ascii="仿宋_GB2312" w:hAnsi="仿宋_GB2312" w:eastAsia="仿宋_GB2312" w:cs="仿宋_GB2312"/>
          <w:bCs/>
          <w:color w:val="000000"/>
          <w:sz w:val="32"/>
          <w:szCs w:val="32"/>
        </w:rPr>
        <w:t xml:space="preserve">.社会保障和就业（类）社会福利（款）老年福利（项）: </w:t>
      </w:r>
      <w:r>
        <w:rPr>
          <w:rStyle w:val="14"/>
          <w:rFonts w:hint="eastAsia" w:ascii="仿宋_GB2312" w:hAnsi="仿宋_GB2312" w:eastAsia="仿宋_GB2312" w:cs="仿宋_GB2312"/>
          <w:b w:val="0"/>
          <w:color w:val="000000"/>
          <w:sz w:val="32"/>
          <w:szCs w:val="32"/>
        </w:rPr>
        <w:t>支出决算为0.68万元，完成预算100%，决算数等于预算数。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9</w:t>
      </w:r>
      <w:r>
        <w:rPr>
          <w:rStyle w:val="14"/>
          <w:rFonts w:hint="eastAsia" w:ascii="仿宋_GB2312" w:hAnsi="仿宋_GB2312" w:eastAsia="仿宋_GB2312" w:cs="仿宋_GB2312"/>
          <w:bCs/>
          <w:color w:val="000000"/>
          <w:sz w:val="32"/>
          <w:szCs w:val="32"/>
        </w:rPr>
        <w:t>.社会保障和就业（类）社会福利（款）其他社会福利支出（项）:</w:t>
      </w:r>
      <w:r>
        <w:rPr>
          <w:rStyle w:val="14"/>
          <w:rFonts w:hint="eastAsia" w:ascii="仿宋_GB2312" w:hAnsi="仿宋_GB2312" w:eastAsia="仿宋_GB2312" w:cs="仿宋_GB2312"/>
          <w:b w:val="0"/>
          <w:color w:val="000000"/>
          <w:sz w:val="32"/>
          <w:szCs w:val="32"/>
        </w:rPr>
        <w:t xml:space="preserve"> 支出决算为1.27万元，完成预算100%，决算数等于预算数。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0</w:t>
      </w:r>
      <w:r>
        <w:rPr>
          <w:rStyle w:val="14"/>
          <w:rFonts w:hint="eastAsia" w:ascii="仿宋_GB2312" w:hAnsi="仿宋_GB2312" w:eastAsia="仿宋_GB2312" w:cs="仿宋_GB2312"/>
          <w:bCs/>
          <w:color w:val="000000"/>
          <w:sz w:val="32"/>
          <w:szCs w:val="32"/>
        </w:rPr>
        <w:t>.社会保障和就业（类）退役军人管理事务（款）拥军优属（项）：</w:t>
      </w:r>
      <w:r>
        <w:rPr>
          <w:rStyle w:val="14"/>
          <w:rFonts w:hint="eastAsia" w:ascii="仿宋_GB2312" w:hAnsi="仿宋_GB2312" w:eastAsia="仿宋_GB2312" w:cs="仿宋_GB2312"/>
          <w:b w:val="0"/>
          <w:color w:val="000000"/>
          <w:sz w:val="32"/>
          <w:szCs w:val="32"/>
        </w:rPr>
        <w:t>支出决算为0.3万元，完成预算100%，决算数等于预算数。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1</w:t>
      </w:r>
      <w:r>
        <w:rPr>
          <w:rStyle w:val="14"/>
          <w:rFonts w:hint="eastAsia" w:ascii="仿宋_GB2312" w:hAnsi="仿宋_GB2312" w:eastAsia="仿宋_GB2312" w:cs="仿宋_GB2312"/>
          <w:bCs/>
          <w:color w:val="000000"/>
          <w:sz w:val="32"/>
          <w:szCs w:val="32"/>
        </w:rPr>
        <w:t>.卫生健康（类）行政事业单位医疗（款）行政单位医疗（项）:</w:t>
      </w:r>
      <w:r>
        <w:rPr>
          <w:rStyle w:val="14"/>
          <w:rFonts w:hint="eastAsia" w:ascii="仿宋_GB2312" w:hAnsi="仿宋_GB2312" w:eastAsia="仿宋_GB2312" w:cs="仿宋_GB2312"/>
          <w:b w:val="0"/>
          <w:color w:val="000000"/>
          <w:sz w:val="32"/>
          <w:szCs w:val="32"/>
        </w:rPr>
        <w:t>支出决算为17.85万元，完成预算100%，决算数等于预算数。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2</w:t>
      </w:r>
      <w:r>
        <w:rPr>
          <w:rStyle w:val="14"/>
          <w:rFonts w:hint="eastAsia" w:ascii="仿宋_GB2312" w:hAnsi="仿宋_GB2312" w:eastAsia="仿宋_GB2312" w:cs="仿宋_GB2312"/>
          <w:bCs/>
          <w:color w:val="000000"/>
          <w:sz w:val="32"/>
          <w:szCs w:val="32"/>
        </w:rPr>
        <w:t>.农林水支出（类）农业（款）事业运行（项）:</w:t>
      </w:r>
      <w:r>
        <w:rPr>
          <w:rStyle w:val="14"/>
          <w:rFonts w:hint="eastAsia" w:ascii="仿宋_GB2312" w:hAnsi="仿宋_GB2312" w:eastAsia="仿宋_GB2312" w:cs="仿宋_GB2312"/>
          <w:b w:val="0"/>
          <w:color w:val="000000"/>
          <w:sz w:val="32"/>
          <w:szCs w:val="32"/>
        </w:rPr>
        <w:t xml:space="preserve"> 支出决算为58.98万元，完成预算85.42%，决算数小于预算数。资金结转下年继续使用。</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3</w:t>
      </w:r>
      <w:r>
        <w:rPr>
          <w:rStyle w:val="14"/>
          <w:rFonts w:hint="eastAsia" w:ascii="仿宋_GB2312" w:hAnsi="仿宋_GB2312" w:eastAsia="仿宋_GB2312" w:cs="仿宋_GB2312"/>
          <w:bCs/>
          <w:color w:val="000000"/>
          <w:sz w:val="32"/>
          <w:szCs w:val="32"/>
        </w:rPr>
        <w:t xml:space="preserve">.农林水支出（类）扶贫（款）其他扶贫支出（项）: </w:t>
      </w:r>
      <w:r>
        <w:rPr>
          <w:rStyle w:val="14"/>
          <w:rFonts w:hint="eastAsia" w:ascii="仿宋_GB2312" w:hAnsi="仿宋_GB2312" w:eastAsia="仿宋_GB2312" w:cs="仿宋_GB2312"/>
          <w:b w:val="0"/>
          <w:color w:val="000000"/>
          <w:sz w:val="32"/>
          <w:szCs w:val="32"/>
        </w:rPr>
        <w:t>支出决算为73.05万元，完成预算100%，决算数等于预算数。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rPr>
        <w:t>1</w:t>
      </w:r>
      <w:r>
        <w:rPr>
          <w:rStyle w:val="14"/>
          <w:rFonts w:hint="eastAsia" w:ascii="仿宋_GB2312" w:hAnsi="仿宋_GB2312" w:eastAsia="仿宋_GB2312" w:cs="仿宋_GB2312"/>
          <w:bCs/>
          <w:color w:val="000000"/>
          <w:sz w:val="32"/>
          <w:szCs w:val="32"/>
          <w:lang w:val="en-US" w:eastAsia="zh-CN"/>
        </w:rPr>
        <w:t>4</w:t>
      </w:r>
      <w:r>
        <w:rPr>
          <w:rStyle w:val="14"/>
          <w:rFonts w:hint="eastAsia" w:ascii="仿宋_GB2312" w:hAnsi="仿宋_GB2312" w:eastAsia="仿宋_GB2312" w:cs="仿宋_GB2312"/>
          <w:bCs/>
          <w:color w:val="000000"/>
          <w:sz w:val="32"/>
          <w:szCs w:val="32"/>
        </w:rPr>
        <w:t xml:space="preserve">.农林水支出（类）农村综合改革（款）对村民委员会和村党支部的支出（项）: </w:t>
      </w:r>
      <w:r>
        <w:rPr>
          <w:rStyle w:val="14"/>
          <w:rFonts w:hint="eastAsia" w:ascii="仿宋_GB2312" w:hAnsi="仿宋_GB2312" w:eastAsia="仿宋_GB2312" w:cs="仿宋_GB2312"/>
          <w:b w:val="0"/>
          <w:color w:val="000000"/>
          <w:sz w:val="32"/>
          <w:szCs w:val="32"/>
        </w:rPr>
        <w:t>支出决算为79.8万元，完成预算77%，决算数小于预算数主要原因是村级运行维护费未使用完。</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15</w:t>
      </w:r>
      <w:r>
        <w:rPr>
          <w:rStyle w:val="14"/>
          <w:rFonts w:hint="eastAsia" w:ascii="仿宋_GB2312" w:hAnsi="仿宋_GB2312" w:eastAsia="仿宋_GB2312" w:cs="仿宋_GB2312"/>
          <w:bCs/>
          <w:color w:val="000000"/>
          <w:sz w:val="32"/>
          <w:szCs w:val="32"/>
        </w:rPr>
        <w:t xml:space="preserve">.住房保障支出（类）住房改革支出（款）住房公积金（项）: </w:t>
      </w:r>
      <w:r>
        <w:rPr>
          <w:rStyle w:val="14"/>
          <w:rFonts w:hint="eastAsia" w:ascii="仿宋_GB2312" w:hAnsi="仿宋_GB2312" w:eastAsia="仿宋_GB2312" w:cs="仿宋_GB2312"/>
          <w:b w:val="0"/>
          <w:color w:val="000000"/>
          <w:sz w:val="32"/>
          <w:szCs w:val="32"/>
        </w:rPr>
        <w:t>支出决算为23.44万元，完成预算100%，决算数等于预算数。</w:t>
      </w:r>
    </w:p>
    <w:p>
      <w:pPr>
        <w:spacing w:line="576" w:lineRule="atLeast"/>
        <w:ind w:firstLine="642" w:firstLineChars="200"/>
        <w:rPr>
          <w:rStyle w:val="14"/>
          <w:rFonts w:ascii="仿宋_GB2312" w:hAnsi="仿宋_GB2312" w:eastAsia="仿宋_GB2312" w:cs="仿宋_GB2312"/>
          <w:b w:val="0"/>
          <w:color w:val="000000"/>
          <w:sz w:val="32"/>
          <w:szCs w:val="32"/>
        </w:rPr>
      </w:pPr>
      <w:r>
        <w:rPr>
          <w:rStyle w:val="14"/>
          <w:rFonts w:hint="eastAsia" w:ascii="仿宋_GB2312" w:hAnsi="仿宋_GB2312" w:eastAsia="仿宋_GB2312" w:cs="仿宋_GB2312"/>
          <w:bCs/>
          <w:color w:val="000000"/>
          <w:sz w:val="32"/>
          <w:szCs w:val="32"/>
          <w:lang w:val="en-US" w:eastAsia="zh-CN"/>
        </w:rPr>
        <w:t>16</w:t>
      </w:r>
      <w:r>
        <w:rPr>
          <w:rStyle w:val="14"/>
          <w:rFonts w:hint="eastAsia" w:ascii="仿宋_GB2312" w:hAnsi="仿宋_GB2312" w:eastAsia="仿宋_GB2312" w:cs="仿宋_GB2312"/>
          <w:bCs/>
          <w:color w:val="000000"/>
          <w:sz w:val="32"/>
          <w:szCs w:val="32"/>
        </w:rPr>
        <w:t>.其他支出（类）其他支出（款）其他支出（项）：</w:t>
      </w:r>
      <w:r>
        <w:rPr>
          <w:rStyle w:val="14"/>
          <w:rFonts w:hint="eastAsia" w:ascii="仿宋_GB2312" w:hAnsi="仿宋_GB2312" w:eastAsia="仿宋_GB2312" w:cs="仿宋_GB2312"/>
          <w:b w:val="0"/>
          <w:color w:val="000000"/>
          <w:sz w:val="32"/>
          <w:szCs w:val="32"/>
        </w:rPr>
        <w:t>支出决算为2.6万元，完成预算100%，决算数等于预算数。</w:t>
      </w:r>
    </w:p>
    <w:p>
      <w:pPr>
        <w:tabs>
          <w:tab w:val="right" w:pos="8306"/>
        </w:tabs>
        <w:spacing w:line="600" w:lineRule="exact"/>
        <w:ind w:firstLine="640"/>
        <w:outlineLvl w:val="1"/>
        <w:rPr>
          <w:rStyle w:val="25"/>
        </w:rPr>
      </w:pPr>
      <w:bookmarkStart w:id="36" w:name="_Toc15396608"/>
      <w:bookmarkStart w:id="37" w:name="_Toc15377214"/>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9年一般公共预算财政拨款基本支出304.79万元，其中：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人员经费285.03万元，主要包括：基本工资、津贴补贴、奖金、伙食补助费、绩效工资、机关事业单位基本养老保险缴费、职业年金缴费、其他社会保障缴费、其他工资福利支出、生活补助、奖励金、住房公积金。</w:t>
      </w:r>
      <w:r>
        <w:rPr>
          <w:rFonts w:ascii="仿宋" w:hAnsi="仿宋" w:eastAsia="仿宋"/>
          <w:color w:val="000000"/>
          <w:sz w:val="32"/>
          <w:szCs w:val="32"/>
        </w:rPr>
        <w:br w:type="textWrapping"/>
      </w:r>
      <w:r>
        <w:rPr>
          <w:rFonts w:hint="eastAsia" w:ascii="仿宋" w:hAnsi="仿宋" w:eastAsia="仿宋"/>
          <w:color w:val="000000"/>
          <w:sz w:val="32"/>
          <w:szCs w:val="32"/>
        </w:rPr>
        <w:t>　　日常公用经费19.76万元，主要包括：办公费、电费、邮电费、差旅费、维修（护）费、培训费、公务用车运行维护费。</w:t>
      </w:r>
    </w:p>
    <w:p>
      <w:pPr>
        <w:spacing w:line="600" w:lineRule="exact"/>
        <w:ind w:firstLine="640"/>
        <w:outlineLvl w:val="1"/>
        <w:rPr>
          <w:rStyle w:val="25"/>
          <w:rFonts w:ascii="黑体" w:hAnsi="黑体" w:eastAsia="黑体"/>
          <w:b w:val="0"/>
        </w:rPr>
      </w:pPr>
      <w:bookmarkStart w:id="38" w:name="_Toc15396609"/>
      <w:bookmarkStart w:id="39" w:name="_Toc15377215"/>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6"/>
      <w:r>
        <w:rPr>
          <w:rFonts w:hint="eastAsia" w:ascii="楷体" w:hAnsi="楷体" w:eastAsia="楷体" w:cs="楷体"/>
          <w:b/>
          <w:color w:val="000000"/>
          <w:sz w:val="32"/>
          <w:szCs w:val="32"/>
        </w:rPr>
        <w:t>（一）“三公”经费财政拨款支出决算总体情况说明</w:t>
      </w:r>
      <w:bookmarkEnd w:id="40"/>
    </w:p>
    <w:p>
      <w:pPr>
        <w:spacing w:line="576" w:lineRule="atLeast"/>
        <w:ind w:firstLine="640" w:firstLineChars="200"/>
        <w:rPr>
          <w:rFonts w:ascii="仿宋" w:hAnsi="仿宋" w:eastAsia="仿宋"/>
          <w:sz w:val="32"/>
          <w:szCs w:val="32"/>
        </w:rPr>
      </w:pPr>
      <w:r>
        <w:rPr>
          <w:rFonts w:hint="eastAsia" w:ascii="仿宋_GB2312" w:hAnsi="仿宋_GB2312" w:eastAsia="仿宋_GB2312" w:cs="仿宋_GB2312"/>
          <w:sz w:val="32"/>
          <w:szCs w:val="32"/>
        </w:rPr>
        <w:t>2019年“三公”经费财政拨款支出决算为3.5万元，完成预算100%，决算数与预算数持平</w:t>
      </w:r>
      <w:r>
        <w:rPr>
          <w:rFonts w:hint="eastAsia" w:ascii="仿宋" w:hAnsi="仿宋" w:eastAsia="仿宋" w:cs="仿宋"/>
          <w:sz w:val="32"/>
          <w:szCs w:val="32"/>
        </w:rPr>
        <w:t>。</w:t>
      </w:r>
    </w:p>
    <w:p>
      <w:pPr>
        <w:spacing w:line="600" w:lineRule="exact"/>
        <w:ind w:firstLine="640"/>
        <w:outlineLvl w:val="2"/>
        <w:rPr>
          <w:rFonts w:hint="eastAsia" w:ascii="楷体" w:hAnsi="楷体" w:eastAsia="楷体" w:cs="楷体"/>
          <w:b/>
          <w:color w:val="000000"/>
          <w:sz w:val="32"/>
          <w:szCs w:val="32"/>
        </w:rPr>
      </w:pPr>
      <w:bookmarkStart w:id="41" w:name="_Toc15377217"/>
      <w:r>
        <w:rPr>
          <w:rFonts w:hint="eastAsia" w:ascii="楷体" w:hAnsi="楷体" w:eastAsia="楷体" w:cs="楷体"/>
          <w:b/>
          <w:color w:val="000000"/>
          <w:sz w:val="32"/>
          <w:szCs w:val="32"/>
        </w:rPr>
        <w:t>（二）“三公”经费财政拨款支出决算具体情况说明</w:t>
      </w:r>
      <w:bookmarkEnd w:id="41"/>
    </w:p>
    <w:p>
      <w:pPr>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2019年“三公”经费财政拨款支出决算中，因公出国（境）费支出决算0万元，占0%；公务用车购置及运行维护费支出决算3.5万元，占100%；公务接待费支出决算0万元，占0%。具体情况如下：</w:t>
      </w:r>
    </w:p>
    <w:p>
      <w:pPr>
        <w:spacing w:line="576" w:lineRule="atLeast"/>
        <w:jc w:val="center"/>
      </w:pPr>
      <w:r>
        <w:drawing>
          <wp:inline distT="0" distB="0" distL="114300" distR="114300">
            <wp:extent cx="4572000" cy="2743200"/>
            <wp:effectExtent l="19050" t="0" r="19050" b="0"/>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spacing w:line="576" w:lineRule="atLeast"/>
        <w:jc w:val="center"/>
        <w:rPr>
          <w:rFonts w:ascii="仿宋" w:hAnsi="仿宋" w:eastAsia="仿宋" w:cs="仿宋"/>
          <w:color w:val="000000"/>
          <w:sz w:val="32"/>
          <w:szCs w:val="32"/>
        </w:rPr>
      </w:pPr>
      <w:r>
        <w:rPr>
          <w:rFonts w:hint="eastAsia" w:ascii="仿宋" w:hAnsi="仿宋" w:eastAsia="仿宋" w:cs="仿宋"/>
          <w:color w:val="000000"/>
          <w:sz w:val="32"/>
          <w:szCs w:val="32"/>
        </w:rPr>
        <w:t>图7：“三公”经费财政拨款支出结构</w:t>
      </w:r>
    </w:p>
    <w:p>
      <w:pPr>
        <w:spacing w:line="600" w:lineRule="exact"/>
        <w:ind w:firstLine="642" w:firstLineChars="200"/>
        <w:rPr>
          <w:rFonts w:ascii="仿宋_GB2312" w:eastAsia="仿宋_GB2312"/>
          <w:color w:val="000000"/>
          <w:sz w:val="32"/>
          <w:szCs w:val="32"/>
        </w:rPr>
      </w:pPr>
      <w:bookmarkStart w:id="42" w:name="_Toc15396610"/>
      <w:bookmarkStart w:id="43" w:name="_Toc15377218"/>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p>
    <w:p>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3.5万元,</w:t>
      </w:r>
      <w:r>
        <w:rPr>
          <w:rStyle w:val="14"/>
          <w:rFonts w:hint="eastAsia" w:ascii="仿宋" w:hAnsi="仿宋" w:eastAsia="仿宋"/>
          <w:b w:val="0"/>
          <w:bCs/>
          <w:color w:val="000000"/>
          <w:sz w:val="32"/>
          <w:szCs w:val="32"/>
        </w:rPr>
        <w:t>完成预算100</w:t>
      </w:r>
      <w:r>
        <w:rPr>
          <w:rStyle w:val="14"/>
          <w:rFonts w:ascii="仿宋" w:hAnsi="仿宋" w:eastAsia="仿宋"/>
          <w:b w:val="0"/>
          <w:bCs/>
          <w:color w:val="000000"/>
          <w:sz w:val="32"/>
          <w:szCs w:val="32"/>
        </w:rPr>
        <w:t>%</w:t>
      </w:r>
      <w:r>
        <w:rPr>
          <w:rStyle w:val="14"/>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相比，减少</w:t>
      </w:r>
      <w:r>
        <w:rPr>
          <w:rFonts w:hint="eastAsia" w:ascii="仿宋_GB2312" w:eastAsia="仿宋_GB2312"/>
          <w:color w:val="000000"/>
          <w:sz w:val="32"/>
          <w:szCs w:val="32"/>
          <w:lang w:val="en-US" w:eastAsia="zh-CN"/>
        </w:rPr>
        <w:t>1.83万元，主要变动原因是厉行节约</w:t>
      </w:r>
      <w:r>
        <w:rPr>
          <w:rFonts w:hint="eastAsia" w:ascii="仿宋_GB2312" w:eastAsia="仿宋_GB2312"/>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w:t>
      </w:r>
      <w:r>
        <w:rPr>
          <w:rFonts w:hint="eastAsia" w:ascii="仿宋_GB2312" w:hAnsi="仿宋_GB2312" w:eastAsia="仿宋_GB2312" w:cs="仿宋_GB2312"/>
          <w:color w:val="000000"/>
          <w:sz w:val="32"/>
          <w:szCs w:val="32"/>
        </w:rPr>
        <w:t>轿车0辆、金额0万元，越野车1辆、金额0万元，载客汽车0辆、金额0万元。</w:t>
      </w:r>
    </w:p>
    <w:p>
      <w:pPr>
        <w:spacing w:line="576" w:lineRule="atLeast"/>
        <w:ind w:firstLine="642" w:firstLineChars="200"/>
        <w:rPr>
          <w:rFonts w:ascii="仿宋_GB2312" w:hAnsi="仿宋_GB2312" w:eastAsia="仿宋_GB2312" w:cs="仿宋_GB2312"/>
          <w:color w:val="000000"/>
          <w:sz w:val="32"/>
          <w:szCs w:val="32"/>
        </w:rPr>
      </w:pPr>
      <w:r>
        <w:rPr>
          <w:rFonts w:hint="eastAsia" w:ascii="仿宋_GB2312" w:eastAsia="仿宋_GB2312"/>
          <w:b/>
          <w:color w:val="000000"/>
          <w:sz w:val="32"/>
          <w:szCs w:val="32"/>
        </w:rPr>
        <w:t>公务用车运行维护费支出3.5</w:t>
      </w:r>
      <w:r>
        <w:rPr>
          <w:rFonts w:hint="eastAsia" w:ascii="仿宋_GB2312" w:eastAsia="仿宋_GB2312"/>
          <w:color w:val="000000"/>
          <w:sz w:val="32"/>
          <w:szCs w:val="32"/>
        </w:rPr>
        <w:t>万元。</w:t>
      </w:r>
      <w:r>
        <w:rPr>
          <w:rFonts w:hint="eastAsia" w:ascii="仿宋_GB2312" w:hAnsi="仿宋_GB2312" w:eastAsia="仿宋_GB2312" w:cs="仿宋_GB2312"/>
          <w:color w:val="000000"/>
          <w:sz w:val="32"/>
          <w:szCs w:val="32"/>
        </w:rPr>
        <w:t>下村开展日常工作所需的公务用车燃料费、维修费、过路过桥费、保险费等支出。</w:t>
      </w:r>
    </w:p>
    <w:p>
      <w:pPr>
        <w:spacing w:line="600" w:lineRule="exact"/>
        <w:ind w:left="640"/>
        <w:rPr>
          <w:rFonts w:ascii="仿宋_GB2312" w:eastAsia="仿宋_GB2312"/>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0万元。</w:t>
      </w:r>
    </w:p>
    <w:p>
      <w:pPr>
        <w:spacing w:line="600" w:lineRule="exact"/>
        <w:ind w:left="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spacing w:line="600" w:lineRule="exact"/>
        <w:ind w:firstLine="642" w:firstLineChars="200"/>
        <w:rPr>
          <w:rFonts w:ascii="仿宋_GB2312" w:eastAsia="仿宋_GB2312"/>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ascii="仿宋_GB2312" w:eastAsia="仿宋_GB2312"/>
          <w:color w:val="000000" w:themeColor="text1"/>
          <w:sz w:val="32"/>
          <w:szCs w:val="32"/>
        </w:rPr>
        <w:t>。</w:t>
      </w:r>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2"/>
      <w:bookmarkEnd w:id="43"/>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s="仿宋_GB2312"/>
          <w:b/>
          <w:bCs/>
          <w:color w:val="000000"/>
          <w:sz w:val="32"/>
          <w:szCs w:val="32"/>
        </w:rPr>
        <w:t>1.85</w:t>
      </w:r>
      <w:r>
        <w:rPr>
          <w:rFonts w:hint="eastAsia" w:ascii="仿宋_GB2312" w:eastAsia="仿宋_GB2312"/>
          <w:color w:val="000000"/>
          <w:sz w:val="32"/>
          <w:szCs w:val="32"/>
        </w:rPr>
        <w:t>万元。</w:t>
      </w:r>
    </w:p>
    <w:p>
      <w:pPr>
        <w:numPr>
          <w:ilvl w:val="0"/>
          <w:numId w:val="2"/>
        </w:numPr>
        <w:spacing w:line="600" w:lineRule="exact"/>
        <w:ind w:firstLine="640"/>
        <w:outlineLvl w:val="1"/>
        <w:rPr>
          <w:rStyle w:val="25"/>
          <w:rFonts w:ascii="黑体" w:hAnsi="黑体" w:eastAsia="黑体"/>
          <w:b w:val="0"/>
        </w:rPr>
      </w:pPr>
      <w:bookmarkStart w:id="44" w:name="_Toc15396611"/>
      <w:bookmarkStart w:id="45" w:name="_Toc15377219"/>
      <w:r>
        <w:rPr>
          <w:rStyle w:val="25"/>
          <w:rFonts w:hint="eastAsia" w:ascii="黑体" w:hAnsi="黑体" w:eastAsia="黑体"/>
          <w:b w:val="0"/>
        </w:rPr>
        <w:t>国有资本经营预算支出决算情况说明</w:t>
      </w:r>
      <w:bookmarkEnd w:id="44"/>
      <w:bookmarkEnd w:id="45"/>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spacing w:line="600" w:lineRule="exact"/>
        <w:ind w:firstLine="640" w:firstLineChars="200"/>
        <w:outlineLvl w:val="1"/>
        <w:rPr>
          <w:rStyle w:val="25"/>
          <w:rFonts w:ascii="黑体" w:hAnsi="黑体" w:eastAsia="黑体"/>
        </w:rPr>
      </w:pPr>
      <w:bookmarkStart w:id="46" w:name="_Toc15377221"/>
      <w:bookmarkStart w:id="47" w:name="_Toc15396612"/>
      <w:r>
        <w:rPr>
          <w:rFonts w:hint="eastAsia" w:ascii="黑体" w:hAnsi="黑体" w:eastAsia="黑体"/>
          <w:color w:val="000000"/>
          <w:sz w:val="32"/>
          <w:szCs w:val="32"/>
        </w:rPr>
        <w:t>十</w:t>
      </w:r>
      <w:r>
        <w:rPr>
          <w:rStyle w:val="25"/>
          <w:rFonts w:hint="eastAsia" w:ascii="黑体" w:hAnsi="黑体" w:eastAsia="黑体"/>
        </w:rPr>
        <w:t>、</w:t>
      </w:r>
      <w:r>
        <w:rPr>
          <w:rStyle w:val="25"/>
          <w:rFonts w:hint="eastAsia" w:ascii="黑体" w:hAnsi="黑体" w:eastAsia="黑体"/>
          <w:b w:val="0"/>
        </w:rPr>
        <w:t>其他重要事项的情况说明</w:t>
      </w:r>
      <w:bookmarkEnd w:id="46"/>
      <w:bookmarkEnd w:id="47"/>
    </w:p>
    <w:p>
      <w:pPr>
        <w:spacing w:line="600" w:lineRule="exact"/>
        <w:ind w:firstLine="640"/>
        <w:outlineLvl w:val="2"/>
        <w:rPr>
          <w:rFonts w:hint="eastAsia" w:ascii="楷体" w:hAnsi="楷体" w:eastAsia="楷体" w:cs="楷体"/>
          <w:b/>
          <w:color w:val="000000"/>
          <w:sz w:val="32"/>
          <w:szCs w:val="32"/>
        </w:rPr>
      </w:pPr>
      <w:bookmarkStart w:id="48" w:name="_Toc15377222"/>
      <w:r>
        <w:rPr>
          <w:rFonts w:hint="eastAsia" w:ascii="楷体" w:hAnsi="楷体" w:eastAsia="楷体" w:cs="楷体"/>
          <w:b/>
          <w:color w:val="000000"/>
          <w:sz w:val="32"/>
          <w:szCs w:val="32"/>
        </w:rPr>
        <w:t>（一）机关运行经费支出情况</w:t>
      </w:r>
      <w:bookmarkEnd w:id="48"/>
    </w:p>
    <w:p>
      <w:pPr>
        <w:autoSpaceDE w:val="0"/>
        <w:autoSpaceDN w:val="0"/>
        <w:adjustRightInd w:val="0"/>
        <w:spacing w:line="576" w:lineRule="atLeast"/>
        <w:ind w:firstLine="640" w:firstLineChars="200"/>
        <w:rPr>
          <w:rFonts w:hint="eastAsia" w:ascii="仿宋_GB2312" w:eastAsia="仿宋_GB2312" w:cs="仿宋_GB2312"/>
          <w:sz w:val="32"/>
          <w:szCs w:val="32"/>
          <w:lang w:eastAsia="zh-CN"/>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9年茂县黑虎镇人民政府机关运行经费支出19.76万元，</w:t>
      </w:r>
      <w:r>
        <w:rPr>
          <w:rFonts w:hint="eastAsia" w:ascii="仿宋_GB2312" w:eastAsia="仿宋_GB2312" w:cs="仿宋_GB2312"/>
          <w:sz w:val="32"/>
          <w:szCs w:val="32"/>
        </w:rPr>
        <w:t>比</w:t>
      </w:r>
      <w:r>
        <w:rPr>
          <w:rFonts w:ascii="仿宋_GB2312" w:eastAsia="仿宋_GB2312" w:cs="仿宋_GB2312"/>
          <w:sz w:val="32"/>
          <w:szCs w:val="32"/>
        </w:rPr>
        <w:t>201</w:t>
      </w:r>
      <w:r>
        <w:rPr>
          <w:rFonts w:hint="eastAsia" w:ascii="仿宋_GB2312" w:eastAsia="仿宋_GB2312" w:cs="仿宋_GB2312"/>
          <w:sz w:val="32"/>
          <w:szCs w:val="32"/>
        </w:rPr>
        <w:t>8年</w:t>
      </w:r>
      <w:r>
        <w:rPr>
          <w:rFonts w:hint="eastAsia" w:ascii="仿宋_GB2312" w:eastAsia="仿宋_GB2312" w:cs="仿宋_GB2312"/>
          <w:sz w:val="32"/>
          <w:szCs w:val="32"/>
          <w:lang w:eastAsia="zh-CN"/>
        </w:rPr>
        <w:t>减少</w:t>
      </w:r>
      <w:r>
        <w:rPr>
          <w:rFonts w:hint="eastAsia" w:ascii="仿宋_GB2312" w:eastAsia="仿宋_GB2312" w:cs="仿宋_GB2312"/>
          <w:sz w:val="32"/>
          <w:szCs w:val="32"/>
        </w:rPr>
        <w:t>12.58万元，减少38.90</w:t>
      </w:r>
      <w:r>
        <w:rPr>
          <w:rFonts w:ascii="仿宋_GB2312" w:eastAsia="仿宋_GB2312" w:cs="仿宋_GB2312"/>
          <w:sz w:val="32"/>
          <w:szCs w:val="32"/>
        </w:rPr>
        <w:t>%</w:t>
      </w:r>
      <w:bookmarkStart w:id="49" w:name="_Toc15377223"/>
      <w:r>
        <w:rPr>
          <w:rFonts w:hint="eastAsia" w:ascii="仿宋_GB2312" w:eastAsia="仿宋_GB2312" w:cs="仿宋_GB2312"/>
          <w:sz w:val="32"/>
          <w:szCs w:val="32"/>
          <w:lang w:eastAsia="zh-CN"/>
        </w:rPr>
        <w:t>，主要减少原因是人员减少。</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（二）政府采购支出情况</w:t>
      </w:r>
      <w:bookmarkEnd w:id="49"/>
    </w:p>
    <w:p>
      <w:pPr>
        <w:autoSpaceDE w:val="0"/>
        <w:autoSpaceDN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201</w:t>
      </w:r>
      <w:r>
        <w:rPr>
          <w:rFonts w:hint="eastAsia" w:ascii="仿宋_GB2312" w:eastAsia="仿宋_GB2312" w:cs="仿宋_GB2312"/>
          <w:color w:val="000000"/>
          <w:sz w:val="32"/>
          <w:szCs w:val="32"/>
        </w:rPr>
        <w:t>9年，茂县黑虎镇人民政府采购支出总额</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万元，其中：政府采购货物支出</w:t>
      </w:r>
      <w:r>
        <w:rPr>
          <w:rFonts w:hint="eastAsia" w:ascii="仿宋_GB2312" w:eastAsia="仿宋_GB2312" w:cs="仿宋_GB2312"/>
          <w:color w:val="000000"/>
          <w:sz w:val="32"/>
          <w:szCs w:val="32"/>
          <w:lang w:val="en-US" w:eastAsia="zh-CN"/>
        </w:rPr>
        <w:t>0</w:t>
      </w:r>
      <w:r>
        <w:rPr>
          <w:rFonts w:hint="eastAsia" w:ascii="仿宋_GB2312" w:eastAsia="仿宋_GB2312" w:cs="仿宋_GB2312"/>
          <w:color w:val="000000"/>
          <w:sz w:val="32"/>
          <w:szCs w:val="32"/>
        </w:rPr>
        <w:t>元、政府采购工程支出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万元、政府采购服务支出</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万元。授予中小企业合同金额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hint="eastAsia" w:ascii="仿宋_GB2312" w:eastAsia="仿宋_GB2312" w:cs="仿宋_GB2312"/>
          <w:color w:val="000000"/>
          <w:sz w:val="32"/>
          <w:szCs w:val="32"/>
          <w:lang w:val="en-US" w:eastAsia="zh-CN"/>
        </w:rPr>
        <w:t>0</w:t>
      </w:r>
      <w:r>
        <w:rPr>
          <w:rFonts w:ascii="仿宋_GB2312" w:eastAsia="仿宋_GB2312" w:cs="仿宋_GB2312"/>
          <w:color w:val="000000"/>
          <w:sz w:val="32"/>
          <w:szCs w:val="32"/>
        </w:rPr>
        <w:t>%</w:t>
      </w:r>
      <w:r>
        <w:rPr>
          <w:rFonts w:hint="eastAsia" w:ascii="仿宋_GB2312" w:eastAsia="仿宋_GB2312" w:cs="仿宋_GB2312"/>
          <w:color w:val="000000"/>
          <w:sz w:val="32"/>
          <w:szCs w:val="32"/>
        </w:rPr>
        <w:t>，其中：授予小微企业合同金额</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万元，占政府采购支出总额的</w:t>
      </w:r>
      <w:r>
        <w:rPr>
          <w:rFonts w:ascii="仿宋_GB2312" w:eastAsia="仿宋_GB2312" w:cs="仿宋_GB2312"/>
          <w:color w:val="000000"/>
          <w:sz w:val="32"/>
          <w:szCs w:val="32"/>
        </w:rPr>
        <w:t>0%</w:t>
      </w:r>
      <w:r>
        <w:rPr>
          <w:rFonts w:hint="eastAsia" w:ascii="仿宋_GB2312" w:eastAsia="仿宋_GB2312" w:cs="仿宋_GB2312"/>
          <w:color w:val="000000"/>
          <w:sz w:val="32"/>
          <w:szCs w:val="32"/>
        </w:rPr>
        <w:t>。</w:t>
      </w:r>
    </w:p>
    <w:p>
      <w:pPr>
        <w:spacing w:line="600" w:lineRule="exact"/>
        <w:ind w:firstLine="640"/>
        <w:outlineLvl w:val="2"/>
        <w:rPr>
          <w:rFonts w:hint="eastAsia" w:ascii="楷体" w:hAnsi="楷体" w:eastAsia="楷体" w:cs="楷体"/>
          <w:b/>
          <w:color w:val="000000"/>
          <w:sz w:val="32"/>
          <w:szCs w:val="32"/>
        </w:rPr>
      </w:pPr>
      <w:bookmarkStart w:id="50" w:name="_Toc15377224"/>
      <w:r>
        <w:rPr>
          <w:rFonts w:hint="eastAsia" w:ascii="楷体" w:hAnsi="楷体" w:eastAsia="楷体" w:cs="楷体"/>
          <w:b/>
          <w:color w:val="000000"/>
          <w:sz w:val="32"/>
          <w:szCs w:val="32"/>
        </w:rPr>
        <w:t>（三）国有资产占有使用情况</w:t>
      </w:r>
      <w:bookmarkEnd w:id="50"/>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截至</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w:t>
      </w:r>
      <w:r>
        <w:rPr>
          <w:rFonts w:ascii="仿宋_GB2312" w:eastAsia="仿宋_GB2312" w:cs="仿宋_GB2312"/>
          <w:color w:val="000000"/>
          <w:sz w:val="32"/>
          <w:szCs w:val="32"/>
        </w:rPr>
        <w:t>12</w:t>
      </w:r>
      <w:r>
        <w:rPr>
          <w:rFonts w:hint="eastAsia" w:ascii="仿宋_GB2312" w:eastAsia="仿宋_GB2312" w:cs="仿宋_GB2312"/>
          <w:color w:val="000000"/>
          <w:sz w:val="32"/>
          <w:szCs w:val="32"/>
        </w:rPr>
        <w:t>月</w:t>
      </w:r>
      <w:r>
        <w:rPr>
          <w:rFonts w:ascii="仿宋_GB2312" w:eastAsia="仿宋_GB2312" w:cs="仿宋_GB2312"/>
          <w:color w:val="000000"/>
          <w:sz w:val="32"/>
          <w:szCs w:val="32"/>
        </w:rPr>
        <w:t>31</w:t>
      </w:r>
      <w:r>
        <w:rPr>
          <w:rFonts w:hint="eastAsia" w:ascii="仿宋_GB2312" w:eastAsia="仿宋_GB2312" w:cs="仿宋_GB2312"/>
          <w:color w:val="000000"/>
          <w:sz w:val="32"/>
          <w:szCs w:val="32"/>
        </w:rPr>
        <w:t>日，茂县黑虎镇人民政府共有车辆1辆，其中：领导干部用车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辆、一般公务用车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辆、一般执法执勤用车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辆、特种专业技术用车</w:t>
      </w:r>
      <w:r>
        <w:rPr>
          <w:rFonts w:ascii="仿宋_GB2312" w:eastAsia="仿宋_GB2312" w:cs="仿宋_GB2312"/>
          <w:color w:val="000000"/>
          <w:sz w:val="32"/>
          <w:szCs w:val="32"/>
        </w:rPr>
        <w:t>0</w:t>
      </w:r>
      <w:r>
        <w:rPr>
          <w:rFonts w:hint="eastAsia" w:ascii="仿宋_GB2312" w:eastAsia="仿宋_GB2312" w:cs="仿宋_GB2312"/>
          <w:color w:val="000000"/>
          <w:sz w:val="32"/>
          <w:szCs w:val="32"/>
        </w:rPr>
        <w:t>辆、其他用车1辆，车辆主要用于下村开展日常工作。单价</w:t>
      </w:r>
      <w:r>
        <w:rPr>
          <w:rFonts w:ascii="仿宋_GB2312" w:eastAsia="仿宋_GB2312" w:cs="仿宋_GB2312"/>
          <w:color w:val="000000"/>
          <w:sz w:val="32"/>
          <w:szCs w:val="32"/>
        </w:rPr>
        <w:t>50</w:t>
      </w:r>
      <w:r>
        <w:rPr>
          <w:rFonts w:hint="eastAsia" w:ascii="仿宋_GB2312" w:eastAsia="仿宋_GB2312" w:cs="仿宋_GB2312"/>
          <w:color w:val="000000"/>
          <w:sz w:val="32"/>
          <w:szCs w:val="32"/>
        </w:rPr>
        <w:t>万元以上通用设备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台（套），单价</w:t>
      </w:r>
      <w:r>
        <w:rPr>
          <w:rFonts w:ascii="仿宋_GB2312" w:eastAsia="仿宋_GB2312" w:cs="仿宋_GB2312"/>
          <w:color w:val="000000"/>
          <w:sz w:val="32"/>
          <w:szCs w:val="32"/>
        </w:rPr>
        <w:t>100</w:t>
      </w:r>
      <w:r>
        <w:rPr>
          <w:rFonts w:hint="eastAsia" w:ascii="仿宋_GB2312" w:eastAsia="仿宋_GB2312" w:cs="仿宋_GB2312"/>
          <w:color w:val="000000"/>
          <w:sz w:val="32"/>
          <w:szCs w:val="32"/>
        </w:rPr>
        <w:t>万元以上专用设备</w:t>
      </w:r>
      <w:r>
        <w:rPr>
          <w:rFonts w:ascii="仿宋_GB2312" w:eastAsia="仿宋_GB2312" w:cs="仿宋_GB2312"/>
          <w:color w:val="000000"/>
          <w:sz w:val="32"/>
          <w:szCs w:val="32"/>
        </w:rPr>
        <w:t>0</w:t>
      </w:r>
      <w:r>
        <w:rPr>
          <w:rFonts w:hint="eastAsia" w:ascii="仿宋_GB2312" w:eastAsia="仿宋_GB2312" w:cs="仿宋_GB2312"/>
          <w:color w:val="000000"/>
          <w:sz w:val="32"/>
          <w:szCs w:val="32"/>
        </w:rPr>
        <w:t>台（套）。</w:t>
      </w:r>
    </w:p>
    <w:p>
      <w:pPr>
        <w:spacing w:line="600" w:lineRule="exact"/>
        <w:ind w:firstLine="640"/>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autoSpaceDE w:val="0"/>
        <w:autoSpaceDN w:val="0"/>
        <w:adjustRightInd w:val="0"/>
        <w:spacing w:line="576" w:lineRule="atLeas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黑虎镇人民政府在年初预算编制阶段，组织对2019年一般公共预算项目开展了预算事前绩效评估，对2个项目编制了绩效目标，预算执行过程中，选取5个项目开展绩效监控，年终执行完毕后，对5个项目开展了绩效目标完成情况梳理填报。</w:t>
      </w:r>
    </w:p>
    <w:p>
      <w:pPr>
        <w:spacing w:line="576" w:lineRule="atLeast"/>
        <w:ind w:firstLine="640" w:firstLineChars="200"/>
        <w:outlineLvl w:val="1"/>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茂县黑虎镇人民政府按要求对2019年部门整体支出开展绩效自评，从评价情况来看</w:t>
      </w:r>
      <w:r>
        <w:rPr>
          <w:rFonts w:hint="eastAsia" w:ascii="仿宋_GB2312" w:hAnsi="仿宋_GB2312" w:eastAsia="仿宋_GB2312" w:cs="仿宋_GB2312"/>
          <w:color w:val="000000"/>
          <w:kern w:val="0"/>
          <w:sz w:val="32"/>
          <w:szCs w:val="32"/>
        </w:rPr>
        <w:t>，2019年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autoSpaceDE w:val="0"/>
        <w:autoSpaceDN w:val="0"/>
        <w:adjustRightInd w:val="0"/>
        <w:spacing w:line="576" w:lineRule="atLeast"/>
        <w:ind w:firstLine="640" w:firstLineChars="200"/>
        <w:rPr>
          <w:rFonts w:ascii="楷体_GB2312" w:hAnsi="楷体_GB2312" w:eastAsia="楷体_GB2312" w:cs="楷体_GB2312"/>
          <w:color w:val="000000"/>
          <w:sz w:val="32"/>
          <w:szCs w:val="32"/>
        </w:rPr>
      </w:pPr>
      <w:r>
        <w:rPr>
          <w:rFonts w:hint="eastAsia" w:ascii="楷体_GB2312" w:hAnsi="楷体_GB2312" w:eastAsia="楷体_GB2312" w:cs="楷体_GB2312"/>
          <w:color w:val="000000"/>
          <w:sz w:val="32"/>
          <w:szCs w:val="32"/>
          <w:lang w:val="en-US" w:eastAsia="zh-CN"/>
        </w:rPr>
        <w:t>1.</w:t>
      </w:r>
      <w:r>
        <w:rPr>
          <w:rFonts w:hint="eastAsia" w:ascii="楷体_GB2312" w:hAnsi="楷体_GB2312" w:eastAsia="楷体_GB2312" w:cs="楷体_GB2312"/>
          <w:color w:val="000000"/>
          <w:sz w:val="32"/>
          <w:szCs w:val="32"/>
        </w:rPr>
        <w:t>项目绩效目标完成情况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201</w:t>
      </w:r>
      <w:r>
        <w:rPr>
          <w:rFonts w:hint="eastAsia" w:ascii="仿宋_GB2312" w:eastAsia="仿宋_GB2312" w:cs="仿宋_GB2312"/>
          <w:color w:val="000000"/>
          <w:sz w:val="32"/>
          <w:szCs w:val="32"/>
        </w:rPr>
        <w:t>9年度部门决算中反映“农村村组道公路项目”“基层组织活动和公共服务运行经费”“黑虎镇小河坝村地质灾害治理”“居家养老服务项目”“民兵预备役项目”等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黑虎镇村组道公路项目绩效目标完成情况综述。项目全年预算数1.8471万元，执行数为1.8471万元，完成预算的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。通过项目实施，保障了村道路畅通，维护了我镇黑虎村</w:t>
      </w:r>
      <w:r>
        <w:rPr>
          <w:rFonts w:hint="eastAsia" w:ascii="仿宋_GB2312" w:eastAsia="仿宋_GB2312" w:cs="仿宋_GB2312"/>
          <w:color w:val="000000"/>
          <w:sz w:val="32"/>
          <w:szCs w:val="32"/>
          <w:lang w:eastAsia="zh-CN"/>
        </w:rPr>
        <w:t>村道畅通</w:t>
      </w:r>
      <w:r>
        <w:rPr>
          <w:rFonts w:hint="eastAsia" w:ascii="仿宋_GB2312" w:eastAsia="仿宋_GB2312" w:cs="仿宋_GB2312"/>
          <w:color w:val="000000"/>
          <w:sz w:val="32"/>
          <w:szCs w:val="32"/>
          <w:lang w:val="zh-CN"/>
        </w:rPr>
        <w:t>，满足了人民群众不断增长的生活需求，提高人居环境生活质量，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rPr>
        <w:t>)基层组织活动和公共服务运行经费项目绩效目标完成情况综述。项目全年预算数44万元，执行数为23.34万元，完成预算的53.05</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3</w:t>
      </w:r>
      <w:r>
        <w:rPr>
          <w:rFonts w:hint="eastAsia" w:ascii="仿宋_GB2312" w:eastAsia="仿宋_GB2312" w:cs="仿宋_GB2312"/>
          <w:color w:val="000000"/>
          <w:sz w:val="32"/>
          <w:szCs w:val="32"/>
        </w:rPr>
        <w:t>)黑虎</w:t>
      </w:r>
      <w:r>
        <w:rPr>
          <w:rFonts w:hint="default" w:ascii="仿宋_GB2312" w:eastAsia="仿宋_GB2312" w:cs="仿宋_GB2312"/>
          <w:color w:val="000000"/>
          <w:sz w:val="32"/>
          <w:szCs w:val="32"/>
        </w:rPr>
        <w:t>地质灾害</w:t>
      </w:r>
      <w:r>
        <w:rPr>
          <w:rFonts w:hint="eastAsia" w:ascii="仿宋_GB2312" w:eastAsia="仿宋_GB2312" w:cs="仿宋_GB2312"/>
          <w:color w:val="000000"/>
          <w:sz w:val="32"/>
          <w:szCs w:val="32"/>
        </w:rPr>
        <w:t>治理项目绩效目标完成情况综述。项目全年预算数22.5万元，执行数为22.5万元，完成预算的100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。通过项目实施，黑虎</w:t>
      </w:r>
      <w:r>
        <w:rPr>
          <w:rFonts w:hint="eastAsia" w:ascii="仿宋_GB2312" w:eastAsia="仿宋_GB2312" w:cs="仿宋_GB2312"/>
          <w:color w:val="000000"/>
          <w:sz w:val="32"/>
          <w:szCs w:val="32"/>
          <w:lang w:eastAsia="zh-CN"/>
        </w:rPr>
        <w:t>镇</w:t>
      </w:r>
      <w:r>
        <w:rPr>
          <w:rFonts w:hint="eastAsia" w:ascii="仿宋_GB2312" w:eastAsia="仿宋_GB2312" w:cs="仿宋_GB2312"/>
          <w:color w:val="000000"/>
          <w:sz w:val="32"/>
          <w:szCs w:val="32"/>
        </w:rPr>
        <w:t>小河坝村地质灾害</w:t>
      </w:r>
      <w:r>
        <w:rPr>
          <w:rFonts w:hint="eastAsia" w:ascii="仿宋_GB2312" w:eastAsia="仿宋_GB2312" w:cs="仿宋_GB2312"/>
          <w:color w:val="000000"/>
          <w:sz w:val="32"/>
          <w:szCs w:val="32"/>
          <w:lang w:eastAsia="zh-CN"/>
        </w:rPr>
        <w:t>治理</w:t>
      </w:r>
      <w:r>
        <w:rPr>
          <w:rFonts w:hint="eastAsia" w:ascii="仿宋_GB2312" w:eastAsia="仿宋_GB2312" w:cs="仿宋_GB2312"/>
          <w:color w:val="000000"/>
          <w:sz w:val="32"/>
          <w:szCs w:val="32"/>
        </w:rPr>
        <w:t>项目改善了小河坝村生活生产条件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4</w:t>
      </w:r>
      <w:r>
        <w:rPr>
          <w:rFonts w:hint="eastAsia" w:ascii="仿宋_GB2312" w:eastAsia="仿宋_GB2312" w:cs="仿宋_GB2312"/>
          <w:color w:val="000000"/>
          <w:sz w:val="32"/>
          <w:szCs w:val="32"/>
        </w:rPr>
        <w:t>)居家养老服务项目绩效目标完成情况综述。</w:t>
      </w:r>
      <w:r>
        <w:rPr>
          <w:rFonts w:hint="eastAsia" w:ascii="仿宋_GB2312" w:eastAsia="仿宋_GB2312"/>
          <w:color w:val="000000"/>
          <w:sz w:val="32"/>
          <w:szCs w:val="32"/>
        </w:rPr>
        <w:t>项目全年预算数1.95万元，执行数为1.95万元，完成预算的100%。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r>
        <w:rPr>
          <w:rFonts w:hint="eastAsia" w:ascii="仿宋_GB2312" w:eastAsia="仿宋_GB2312" w:cs="仿宋_GB2312"/>
          <w:color w:val="000000"/>
          <w:sz w:val="32"/>
          <w:szCs w:val="32"/>
        </w:rPr>
        <w:t>。</w:t>
      </w:r>
    </w:p>
    <w:p>
      <w:pPr>
        <w:autoSpaceDE w:val="0"/>
        <w:autoSpaceDN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)民兵预备役项目绩效目标完成情况综述。项目全年预算数3万元，执行数为3万元，完成预算的100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r>
        <w:rPr>
          <w:rFonts w:hint="eastAsia" w:ascii="仿宋_GB2312" w:eastAsia="仿宋_GB2312"/>
          <w:color w:val="000000"/>
          <w:sz w:val="32"/>
          <w:szCs w:val="32"/>
        </w:rPr>
        <w:t>通过项目实施，保障我镇开展征兵工作情况的完成，</w:t>
      </w:r>
      <w:r>
        <w:rPr>
          <w:rFonts w:hint="eastAsia" w:ascii="仿宋_GB2312" w:eastAsia="仿宋_GB2312"/>
          <w:color w:val="000000"/>
          <w:sz w:val="32"/>
          <w:szCs w:val="32"/>
          <w:lang w:val="zh-CN"/>
        </w:rPr>
        <w:t>满足了人民群众不断增长的生活需求，</w:t>
      </w:r>
      <w:r>
        <w:rPr>
          <w:rFonts w:hint="eastAsia" w:ascii="仿宋_GB2312" w:eastAsia="仿宋_GB2312"/>
          <w:color w:val="000000"/>
          <w:sz w:val="32"/>
          <w:szCs w:val="32"/>
        </w:rPr>
        <w:t>为社会稳定提供了良好的条件，发现的主要问题是实施没有达到预期的计划。下一步改进措施：加强组织领导，强化督促检查，严格遵守预备役兵役制度，加快项目实施进度，确保各项工作任务的有序开展。</w:t>
      </w:r>
    </w:p>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p>
      <w:pPr>
        <w:autoSpaceDE w:val="0"/>
        <w:autoSpaceDN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9年黑虎村组道公路项目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1.8471万元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1.8471万元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1.8471万元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1.8471万元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改善黑虎村村组道路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黑虎村村组道路保通畅通</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保通村组道路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1.8471万元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1.8471万元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s="仿宋_GB2312"/>
                <w:color w:val="000000"/>
                <w:sz w:val="24"/>
              </w:rPr>
              <w:t>项目验收合格率，可以方便群众</w:t>
            </w:r>
            <w:r>
              <w:rPr>
                <w:rFonts w:hint="eastAsia" w:ascii="仿宋_GB2312" w:hAnsi="仿宋_GB2312" w:eastAsia="仿宋_GB2312" w:cs="仿宋_GB2312"/>
                <w:color w:val="000000"/>
                <w:sz w:val="24"/>
                <w:lang w:eastAsia="zh-CN"/>
              </w:rPr>
              <w:t>出行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道路保通</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1.8471万元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1.8471万元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s="仿宋_GB2312"/>
                <w:color w:val="000000"/>
                <w:sz w:val="24"/>
                <w:lang w:eastAsia="zh-CN"/>
              </w:rPr>
              <w:t>方便群众出行安全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满足人民群众不断增长的生活需求，提高生活</w:t>
            </w:r>
            <w:r>
              <w:rPr>
                <w:rFonts w:hint="eastAsia" w:ascii="仿宋_GB2312" w:hAnsi="仿宋_GB2312" w:eastAsia="仿宋_GB2312" w:cs="仿宋_GB2312"/>
                <w:color w:val="000000"/>
                <w:sz w:val="24"/>
                <w:lang w:eastAsia="zh-CN"/>
              </w:rPr>
              <w:t>生产</w:t>
            </w:r>
            <w:r>
              <w:rPr>
                <w:rFonts w:hint="eastAsia" w:ascii="仿宋_GB2312" w:hAnsi="仿宋_GB2312" w:eastAsia="仿宋_GB2312" w:cs="仿宋_GB2312"/>
                <w:color w:val="000000"/>
                <w:sz w:val="24"/>
              </w:rPr>
              <w:t>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提高生活</w:t>
            </w:r>
            <w:r>
              <w:rPr>
                <w:rFonts w:hint="eastAsia" w:ascii="仿宋_GB2312" w:hAnsi="仿宋_GB2312" w:eastAsia="仿宋_GB2312" w:cs="仿宋_GB2312"/>
                <w:color w:val="000000"/>
                <w:sz w:val="24"/>
                <w:lang w:eastAsia="zh-CN"/>
              </w:rPr>
              <w:t>生产</w:t>
            </w:r>
            <w:r>
              <w:rPr>
                <w:rFonts w:hint="eastAsia" w:ascii="仿宋_GB2312" w:hAnsi="仿宋_GB2312" w:eastAsia="仿宋_GB2312" w:cs="仿宋_GB2312"/>
                <w:color w:val="000000"/>
                <w:sz w:val="24"/>
              </w:rPr>
              <w:t>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autoSpaceDE w:val="0"/>
        <w:autoSpaceDN w:val="0"/>
        <w:adjustRightInd w:val="0"/>
        <w:spacing w:line="576" w:lineRule="atLeast"/>
        <w:rPr>
          <w:rFonts w:ascii="仿宋_GB2312" w:eastAsia="仿宋_GB2312"/>
          <w:color w:val="000000"/>
          <w:sz w:val="32"/>
          <w:szCs w:val="32"/>
        </w:rPr>
      </w:pPr>
    </w:p>
    <w:p>
      <w:pPr>
        <w:autoSpaceDE w:val="0"/>
        <w:autoSpaceDN w:val="0"/>
        <w:adjustRightInd w:val="0"/>
        <w:spacing w:line="576" w:lineRule="atLeast"/>
        <w:rPr>
          <w:rFonts w:hint="eastAsia"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201</w:t>
            </w:r>
            <w:r>
              <w:rPr>
                <w:rFonts w:hint="eastAsia" w:ascii="仿宋_GB2312" w:hAnsi="仿宋_GB2312" w:eastAsia="仿宋_GB2312" w:cs="仿宋_GB2312"/>
                <w:color w:val="000000"/>
                <w:kern w:val="0"/>
                <w:sz w:val="24"/>
              </w:rPr>
              <w:t>9年基层组织活动和公共服务运行经费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23.34万元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44万元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rPr>
              <w:t>23.34万元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实现了4个行政村的日常办公及村内道路的环境卫生及管水管电的日常开支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23.34万元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44万元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rPr>
              <w:t>23.34万元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为达到“镇村振兴”奠定了基础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76" w:lineRule="atLeast"/>
        <w:rPr>
          <w:rFonts w:ascii="仿宋_GB2312" w:hAnsi="仿宋_GB2312" w:eastAsia="仿宋_GB2312"/>
          <w:sz w:val="32"/>
          <w:szCs w:val="32"/>
        </w:rPr>
      </w:pPr>
    </w:p>
    <w:p>
      <w:pPr>
        <w:spacing w:line="576" w:lineRule="atLeast"/>
        <w:rPr>
          <w:rFonts w:hint="eastAsia" w:ascii="仿宋_GB2312" w:hAnsi="仿宋_GB2312" w:eastAsia="仿宋_GB2312"/>
          <w:sz w:val="32"/>
          <w:szCs w:val="32"/>
        </w:rPr>
      </w:pPr>
    </w:p>
    <w:p>
      <w:pPr>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189"/>
        <w:gridCol w:w="2228"/>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9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0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w:t>
            </w:r>
            <w:r>
              <w:rPr>
                <w:rFonts w:hint="eastAsia" w:ascii="仿宋_GB2312" w:eastAsia="仿宋_GB2312" w:cs="仿宋_GB2312"/>
                <w:color w:val="000000"/>
                <w:sz w:val="24"/>
              </w:rPr>
              <w:t>小河坝村地质灾害项目</w:t>
            </w:r>
          </w:p>
        </w:tc>
      </w:tr>
      <w:tr>
        <w:tblPrEx>
          <w:tblCellMar>
            <w:top w:w="0" w:type="dxa"/>
            <w:left w:w="0" w:type="dxa"/>
            <w:bottom w:w="0" w:type="dxa"/>
            <w:right w:w="0" w:type="dxa"/>
          </w:tblCellMar>
        </w:tblPrEx>
        <w:trPr>
          <w:trHeight w:val="276" w:hRule="atLeast"/>
        </w:trPr>
        <w:tc>
          <w:tcPr>
            <w:tcW w:w="29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0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22.5万元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22.5万元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小河坝村地质灾害治理</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修建防洪沟</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rPr>
              <w:t>修建防洪沟</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22.5万元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22.5</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项目验收合格率，保障小河坝村河道安全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项目验收合格率，保障小河坝村河道</w:t>
            </w:r>
            <w:r>
              <w:rPr>
                <w:rFonts w:hint="eastAsia" w:ascii="仿宋_GB2312" w:hAnsi="仿宋_GB2312" w:eastAsia="仿宋_GB2312" w:cs="仿宋_GB2312"/>
                <w:color w:val="000000"/>
                <w:sz w:val="24"/>
                <w:lang w:eastAsia="zh-CN"/>
              </w:rPr>
              <w:t>保通及百姓在</w:t>
            </w:r>
            <w:r>
              <w:rPr>
                <w:rFonts w:hint="eastAsia" w:ascii="仿宋_GB2312" w:hAnsi="仿宋_GB2312" w:eastAsia="仿宋_GB2312" w:cs="仿宋_GB2312"/>
                <w:color w:val="000000"/>
                <w:sz w:val="24"/>
              </w:rPr>
              <w:t>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22.5万元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22.5万元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项目验收合格率，保障小河坝村河道</w:t>
            </w:r>
            <w:r>
              <w:rPr>
                <w:rFonts w:hint="eastAsia" w:ascii="仿宋_GB2312" w:hAnsi="仿宋_GB2312" w:eastAsia="仿宋_GB2312" w:cs="仿宋_GB2312"/>
                <w:color w:val="000000"/>
                <w:sz w:val="24"/>
                <w:lang w:eastAsia="zh-CN"/>
              </w:rPr>
              <w:t>保通及百姓在</w:t>
            </w:r>
            <w:r>
              <w:rPr>
                <w:rFonts w:hint="eastAsia" w:ascii="仿宋_GB2312" w:hAnsi="仿宋_GB2312" w:eastAsia="仿宋_GB2312" w:cs="仿宋_GB2312"/>
                <w:color w:val="000000"/>
                <w:sz w:val="24"/>
              </w:rPr>
              <w:t>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优化河道建设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项目验收合格率，保障小河坝村河道</w:t>
            </w:r>
            <w:r>
              <w:rPr>
                <w:rFonts w:hint="eastAsia" w:ascii="仿宋_GB2312" w:hAnsi="仿宋_GB2312" w:eastAsia="仿宋_GB2312" w:cs="仿宋_GB2312"/>
                <w:color w:val="000000"/>
                <w:sz w:val="24"/>
                <w:lang w:eastAsia="zh-CN"/>
              </w:rPr>
              <w:t>保通及百姓在</w:t>
            </w:r>
            <w:r>
              <w:rPr>
                <w:rFonts w:hint="eastAsia" w:ascii="仿宋_GB2312" w:hAnsi="仿宋_GB2312" w:eastAsia="仿宋_GB2312" w:cs="仿宋_GB2312"/>
                <w:color w:val="000000"/>
                <w:sz w:val="24"/>
              </w:rPr>
              <w:t>安全</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9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0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居家养老服务</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9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0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1.95</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1.95</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1.95</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1.95</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olor w:val="000000"/>
                <w:sz w:val="24"/>
                <w:lang w:eastAsia="zh-CN"/>
              </w:rPr>
              <w:t>满足老年人养老需求，提高生活质量</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w:t>
            </w:r>
            <w:r>
              <w:rPr>
                <w:rFonts w:hint="eastAsia" w:ascii="仿宋_GB2312" w:hAnsi="仿宋_GB2312" w:eastAsia="仿宋_GB2312"/>
                <w:color w:val="000000"/>
                <w:sz w:val="24"/>
                <w:lang w:eastAsia="zh-CN"/>
              </w:rPr>
              <w:t>老年人养老需求，提高生活质量</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lang w:eastAsia="zh-CN"/>
              </w:rPr>
              <w:t>满足老年人养老需求，提高生活质量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13.95</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1.95</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s="仿宋_GB2312"/>
                <w:color w:val="000000"/>
                <w:sz w:val="24"/>
                <w:lang w:eastAsia="zh-CN"/>
              </w:rPr>
              <w:t>慰问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1.95</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1.95</w:t>
            </w:r>
            <w:r>
              <w:rPr>
                <w:rFonts w:hint="eastAsia" w:ascii="仿宋_GB2312" w:eastAsia="仿宋_GB2312" w:cs="仿宋_GB2312"/>
                <w:color w:val="000000"/>
                <w:sz w:val="24"/>
              </w:rPr>
              <w:t>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s="仿宋_GB2312"/>
                <w:color w:val="000000"/>
                <w:sz w:val="24"/>
                <w:lang w:eastAsia="zh-CN"/>
              </w:rPr>
              <w:t>提高老年人生活质量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老年人生活需求，提高生活质量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eastAsia="zh-CN"/>
              </w:rPr>
              <w:t>提高老年人生活质量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w:t>
            </w:r>
            <w:r>
              <w:rPr>
                <w:rFonts w:hint="eastAsia" w:ascii="仿宋_GB2312" w:hAnsi="仿宋_GB2312" w:eastAsia="仿宋_GB2312" w:cs="仿宋_GB2312"/>
                <w:color w:val="000000"/>
                <w:sz w:val="24"/>
                <w:lang w:eastAsia="zh-CN"/>
              </w:rPr>
              <w:t>老年人生活需求，提高生活质量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left="2751" w:leftChars="1310"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hint="eastAsia"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textAlignment w:val="center"/>
              <w:rPr>
                <w:rFonts w:ascii="黑体" w:hAnsi="黑体" w:eastAsia="黑体"/>
                <w:color w:val="000000"/>
                <w:kern w:val="0"/>
                <w:sz w:val="36"/>
                <w:szCs w:val="36"/>
              </w:rPr>
            </w:pPr>
          </w:p>
          <w:p>
            <w:pPr>
              <w:pStyle w:val="23"/>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9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0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eastAsia="zh-CN"/>
              </w:rPr>
              <w:t>民兵预备役</w:t>
            </w:r>
            <w:r>
              <w:rPr>
                <w:rFonts w:hint="eastAsia" w:ascii="仿宋_GB2312" w:eastAsia="仿宋_GB2312" w:cs="仿宋_GB2312"/>
                <w:color w:val="000000"/>
                <w:sz w:val="24"/>
              </w:rPr>
              <w:t>项目</w:t>
            </w:r>
          </w:p>
        </w:tc>
      </w:tr>
      <w:tr>
        <w:tblPrEx>
          <w:tblCellMar>
            <w:top w:w="0" w:type="dxa"/>
            <w:left w:w="0" w:type="dxa"/>
            <w:bottom w:w="0" w:type="dxa"/>
            <w:right w:w="0" w:type="dxa"/>
          </w:tblCellMar>
        </w:tblPrEx>
        <w:trPr>
          <w:trHeight w:val="276" w:hRule="atLeast"/>
        </w:trPr>
        <w:tc>
          <w:tcPr>
            <w:tcW w:w="2946"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01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茂县黑虎镇人民政府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p>
            <w:pPr>
              <w:spacing w:line="576" w:lineRule="atLeast"/>
              <w:textAlignment w:val="center"/>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3</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hint="eastAsia" w:ascii="仿宋_GB2312" w:eastAsia="仿宋_GB2312" w:cs="仿宋_GB2312"/>
                <w:color w:val="000000"/>
                <w:sz w:val="24"/>
                <w:lang w:val="en-US" w:eastAsia="zh-CN"/>
              </w:rPr>
              <w:t>3</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255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olor w:val="000000"/>
                <w:sz w:val="24"/>
                <w:lang w:eastAsia="zh-CN"/>
              </w:rPr>
              <w:t>保障我镇开展征兵工作情况的完成</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lang w:eastAsia="zh-CN"/>
              </w:rPr>
              <w:t>保障我镇开展征兵工作情况的完成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lang w:eastAsia="zh-CN"/>
              </w:rPr>
              <w:t>保障我镇开展征兵工作情况的完成</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3</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3</w:t>
            </w:r>
            <w:r>
              <w:rPr>
                <w:rFonts w:hint="eastAsia" w:ascii="仿宋_GB2312" w:eastAsia="仿宋_GB2312" w:cs="仿宋_GB2312"/>
                <w:color w:val="000000"/>
                <w:sz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s="仿宋_GB2312"/>
                <w:color w:val="000000"/>
                <w:sz w:val="24"/>
                <w:lang w:eastAsia="zh-CN"/>
              </w:rPr>
              <w:t>慰问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lang w:val="en-US" w:eastAsia="zh-CN"/>
              </w:rPr>
              <w:t>1.95</w:t>
            </w:r>
            <w:r>
              <w:rPr>
                <w:rFonts w:hint="eastAsia" w:ascii="仿宋_GB2312" w:hAnsi="仿宋_GB2312" w:eastAsia="仿宋_GB2312" w:cs="仿宋_GB2312"/>
                <w:color w:val="000000"/>
                <w:sz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eastAsia="仿宋_GB2312" w:cs="仿宋_GB2312"/>
                <w:color w:val="000000"/>
                <w:sz w:val="24"/>
                <w:lang w:val="en-US" w:eastAsia="zh-CN"/>
              </w:rPr>
              <w:t>1.95</w:t>
            </w:r>
            <w:r>
              <w:rPr>
                <w:rFonts w:hint="eastAsia" w:ascii="仿宋_GB2312" w:eastAsia="仿宋_GB2312" w:cs="仿宋_GB2312"/>
                <w:color w:val="000000"/>
                <w:sz w:val="24"/>
              </w:rPr>
              <w:t>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hint="eastAsia" w:ascii="仿宋_GB2312" w:hAnsi="仿宋_GB2312" w:eastAsia="仿宋_GB2312"/>
                <w:color w:val="000000"/>
                <w:sz w:val="24"/>
                <w:lang w:eastAsia="zh-CN"/>
              </w:rPr>
            </w:pPr>
            <w:r>
              <w:rPr>
                <w:rFonts w:hint="eastAsia" w:ascii="仿宋_GB2312" w:hAnsi="仿宋_GB2312" w:eastAsia="仿宋_GB2312"/>
                <w:color w:val="000000"/>
                <w:sz w:val="24"/>
                <w:lang w:eastAsia="zh-CN"/>
              </w:rPr>
              <w:t>保障我镇征兵工作有序开展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olor w:val="000000"/>
                <w:sz w:val="24"/>
                <w:lang w:eastAsia="zh-CN"/>
              </w:rPr>
              <w:t>保障我镇征兵工作有序开展</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spacing w:line="576" w:lineRule="atLeas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189"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228"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spacing w:line="576" w:lineRule="atLeast"/>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spacing w:line="58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本单位按要求对2019年部门整体支出绩效评价情况开展自评，《茂县黑虎镇人民政府2019年部门整体支出绩效评价报告》见附件。</w:t>
      </w: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autoSpaceDE w:val="0"/>
        <w:autoSpaceDN w:val="0"/>
        <w:adjustRightInd w:val="0"/>
        <w:spacing w:line="576" w:lineRule="atLeast"/>
        <w:ind w:firstLine="640" w:firstLineChars="200"/>
        <w:rPr>
          <w:rFonts w:hint="eastAsia" w:ascii="仿宋_GB2312" w:hAnsi="仿宋_GB2312" w:eastAsia="仿宋_GB2312" w:cs="仿宋_GB2312"/>
          <w:color w:val="000000"/>
          <w:sz w:val="32"/>
          <w:szCs w:val="32"/>
        </w:rPr>
      </w:pPr>
    </w:p>
    <w:p>
      <w:pPr>
        <w:spacing w:line="576" w:lineRule="atLeast"/>
        <w:jc w:val="center"/>
        <w:outlineLvl w:val="0"/>
        <w:rPr>
          <w:rStyle w:val="30"/>
          <w:rFonts w:ascii="方正小标宋简体" w:hAnsi="方正小标宋简体" w:eastAsia="方正小标宋简体"/>
          <w:b w:val="0"/>
          <w:bCs w:val="0"/>
        </w:rPr>
      </w:pPr>
      <w:bookmarkStart w:id="51" w:name="_Toc15396613"/>
      <w:bookmarkStart w:id="52" w:name="_Toc15377225"/>
      <w:bookmarkStart w:id="53" w:name="_Toc15396614"/>
      <w:bookmarkStart w:id="54" w:name="_Toc15377226"/>
      <w:r>
        <w:rPr>
          <w:rFonts w:hint="eastAsia" w:ascii="方正小标宋简体" w:hAnsi="方正小标宋简体" w:eastAsia="方正小标宋简体" w:cs="方正小标宋简体"/>
          <w:color w:val="000000"/>
          <w:sz w:val="44"/>
          <w:szCs w:val="44"/>
        </w:rPr>
        <w:t>第三部分 名</w:t>
      </w:r>
      <w:r>
        <w:rPr>
          <w:rStyle w:val="30"/>
          <w:rFonts w:hint="eastAsia" w:ascii="方正小标宋简体" w:hAnsi="方正小标宋简体" w:eastAsia="方正小标宋简体" w:cs="方正小标宋简体"/>
          <w:b w:val="0"/>
          <w:bCs w:val="0"/>
        </w:rPr>
        <w:t>词解释</w:t>
      </w:r>
      <w:bookmarkEnd w:id="51"/>
      <w:bookmarkEnd w:id="52"/>
    </w:p>
    <w:p>
      <w:pPr>
        <w:spacing w:line="576" w:lineRule="atLeast"/>
        <w:rPr>
          <w:rFonts w:ascii="仿宋_GB2312" w:eastAsia="仿宋_GB2312"/>
          <w:b/>
          <w:bCs/>
          <w:color w:val="000000"/>
          <w:sz w:val="32"/>
          <w:szCs w:val="32"/>
        </w:rPr>
      </w:pP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76" w:lineRule="atLeast"/>
        <w:ind w:firstLine="640" w:firstLineChars="200"/>
        <w:rPr>
          <w:rStyle w:val="14"/>
          <w:rFonts w:ascii="仿宋_GB2312" w:hAnsi="仿宋_GB2312" w:eastAsia="仿宋_GB2312"/>
          <w:b w:val="0"/>
          <w:color w:val="0000FF"/>
          <w:sz w:val="32"/>
          <w:szCs w:val="32"/>
        </w:rPr>
      </w:pPr>
      <w:r>
        <w:rPr>
          <w:rStyle w:val="14"/>
          <w:rFonts w:ascii="仿宋_GB2312" w:hAnsi="仿宋_GB2312" w:eastAsia="仿宋_GB2312" w:cs="仿宋_GB2312"/>
          <w:b w:val="0"/>
          <w:color w:val="000000"/>
          <w:sz w:val="32"/>
          <w:szCs w:val="32"/>
        </w:rPr>
        <w:t>9.</w:t>
      </w:r>
      <w:r>
        <w:rPr>
          <w:rStyle w:val="14"/>
          <w:rFonts w:hint="eastAsia" w:ascii="仿宋_GB2312" w:hAnsi="仿宋_GB2312" w:eastAsia="仿宋_GB2312" w:cs="仿宋_GB2312"/>
          <w:b w:val="0"/>
          <w:color w:val="000000"/>
          <w:sz w:val="32"/>
          <w:szCs w:val="32"/>
        </w:rPr>
        <w:t>一般公共服务（</w:t>
      </w:r>
      <w:r>
        <w:rPr>
          <w:rStyle w:val="14"/>
          <w:rFonts w:hint="eastAsia" w:ascii="仿宋_GB2312" w:hAnsi="仿宋_GB2312" w:eastAsia="仿宋_GB2312" w:cs="仿宋_GB2312"/>
          <w:b w:val="0"/>
          <w:color w:val="000000"/>
          <w:sz w:val="32"/>
          <w:szCs w:val="32"/>
          <w:lang w:eastAsia="zh-CN"/>
        </w:rPr>
        <w:t>类</w:t>
      </w:r>
      <w:r>
        <w:rPr>
          <w:rStyle w:val="14"/>
          <w:rFonts w:hint="eastAsia" w:ascii="仿宋_GB2312" w:hAnsi="仿宋_GB2312" w:eastAsia="仿宋_GB2312" w:cs="仿宋_GB2312"/>
          <w:b w:val="0"/>
          <w:color w:val="000000"/>
          <w:sz w:val="32"/>
          <w:szCs w:val="32"/>
        </w:rPr>
        <w:t>）人大事务（</w:t>
      </w:r>
      <w:r>
        <w:rPr>
          <w:rStyle w:val="14"/>
          <w:rFonts w:hint="eastAsia" w:ascii="仿宋_GB2312" w:hAnsi="仿宋_GB2312" w:eastAsia="仿宋_GB2312" w:cs="仿宋_GB2312"/>
          <w:b w:val="0"/>
          <w:color w:val="000000"/>
          <w:sz w:val="32"/>
          <w:szCs w:val="32"/>
          <w:lang w:eastAsia="zh-CN"/>
        </w:rPr>
        <w:t>款</w:t>
      </w:r>
      <w:r>
        <w:rPr>
          <w:rStyle w:val="14"/>
          <w:rFonts w:hint="eastAsia" w:ascii="仿宋_GB2312" w:hAnsi="仿宋_GB2312" w:eastAsia="仿宋_GB2312" w:cs="仿宋_GB2312"/>
          <w:b w:val="0"/>
          <w:color w:val="000000"/>
          <w:sz w:val="32"/>
          <w:szCs w:val="32"/>
        </w:rPr>
        <w:t>）人大会议（</w:t>
      </w:r>
      <w:r>
        <w:rPr>
          <w:rStyle w:val="14"/>
          <w:rFonts w:hint="eastAsia" w:ascii="仿宋_GB2312" w:hAnsi="仿宋_GB2312" w:eastAsia="仿宋_GB2312" w:cs="仿宋_GB2312"/>
          <w:b w:val="0"/>
          <w:color w:val="000000"/>
          <w:sz w:val="32"/>
          <w:szCs w:val="32"/>
          <w:lang w:eastAsia="zh-CN"/>
        </w:rPr>
        <w:t>项</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color w:val="0000FF"/>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10.</w:t>
      </w:r>
      <w:r>
        <w:rPr>
          <w:rStyle w:val="14"/>
          <w:rFonts w:hint="eastAsia" w:ascii="仿宋_GB2312" w:hAnsi="仿宋_GB2312" w:eastAsia="仿宋_GB2312" w:cs="仿宋_GB2312"/>
          <w:b w:val="0"/>
          <w:color w:val="000000"/>
          <w:sz w:val="32"/>
          <w:szCs w:val="32"/>
        </w:rPr>
        <w:t>一般公共服务（类）政府办公厅（室）及相关机构事务（款）行政运行（项）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指单位（包括实行公务员管理的事业单位）的基本支出。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11.</w:t>
      </w:r>
      <w:r>
        <w:rPr>
          <w:rStyle w:val="14"/>
          <w:rFonts w:hint="eastAsia" w:ascii="仿宋_GB2312" w:hAnsi="仿宋_GB2312" w:eastAsia="仿宋_GB2312" w:cs="仿宋_GB2312"/>
          <w:b w:val="0"/>
          <w:color w:val="000000"/>
          <w:sz w:val="32"/>
          <w:szCs w:val="32"/>
        </w:rPr>
        <w:t>一般公共服务（类）财政事务（款）事业运行（项）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12.</w:t>
      </w:r>
      <w:r>
        <w:rPr>
          <w:rStyle w:val="14"/>
          <w:rFonts w:hint="eastAsia" w:ascii="仿宋_GB2312" w:hAnsi="仿宋_GB2312" w:eastAsia="仿宋_GB2312" w:cs="仿宋_GB2312"/>
          <w:b w:val="0"/>
          <w:color w:val="000000"/>
          <w:sz w:val="32"/>
          <w:szCs w:val="32"/>
        </w:rPr>
        <w:t>一般公共服务（类）民族事务（款）其他民族事务支出（项）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指单位除上述项目以外其他用于民族事务方面的支出。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13.</w:t>
      </w:r>
      <w:r>
        <w:rPr>
          <w:rStyle w:val="14"/>
          <w:rFonts w:hint="eastAsia" w:ascii="仿宋_GB2312" w:hAnsi="仿宋_GB2312" w:eastAsia="仿宋_GB2312" w:cs="仿宋_GB2312"/>
          <w:b w:val="0"/>
          <w:color w:val="000000"/>
          <w:sz w:val="32"/>
          <w:szCs w:val="32"/>
        </w:rPr>
        <w:t>一般公共服务（类）党委办公厅（室）及相关机构事务（款）行政运行（项）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14.</w:t>
      </w:r>
      <w:r>
        <w:rPr>
          <w:rStyle w:val="14"/>
          <w:rFonts w:hint="eastAsia" w:ascii="仿宋_GB2312" w:hAnsi="仿宋_GB2312" w:eastAsia="仿宋_GB2312" w:cs="仿宋_GB2312"/>
          <w:b w:val="0"/>
          <w:color w:val="000000"/>
          <w:sz w:val="32"/>
          <w:szCs w:val="32"/>
        </w:rPr>
        <w:t>国防支出（类）其他国防支出（款）其他国防支出（项）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指单位其他用于国防方面的支出。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ascii="仿宋_GB2312" w:hAnsi="仿宋_GB2312" w:eastAsia="仿宋_GB2312" w:cs="仿宋_GB2312"/>
          <w:b w:val="0"/>
          <w:color w:val="000000"/>
          <w:sz w:val="32"/>
          <w:szCs w:val="32"/>
        </w:rPr>
        <w:t>1</w:t>
      </w:r>
      <w:r>
        <w:rPr>
          <w:rStyle w:val="14"/>
          <w:rFonts w:hint="eastAsia" w:ascii="仿宋_GB2312" w:hAnsi="仿宋_GB2312" w:eastAsia="仿宋_GB2312" w:cs="仿宋_GB2312"/>
          <w:b w:val="0"/>
          <w:color w:val="000000"/>
          <w:sz w:val="32"/>
          <w:szCs w:val="32"/>
        </w:rPr>
        <w:t>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社会保障和就业（类）社会福利（款）老年福利（项）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指对老年人提供福利服务方面的支出。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社会保障和就业（类）社会福利（款）其他社会福利支出（项）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指除上述项目以外其他用于社会福利方面的支出。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19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医疗卫生与计划生育（类）基层医疗卫生机构（款）镇镇卫生院（项）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指用于镇镇卫生院支出。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20</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医疗卫生与计划生育（类）行政事业单位医疗（款）行政单位医疗（项）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21</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医疗卫生与计划生育（类）行政事业单位医疗（款）事业单位医疗（项）</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22</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农林水支出（类）农业（款）事业运行（项）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23</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农林水支出（类）农业（款）农业资源保护修复与利用（项）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24</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农林水支出（类）农业（款）其他农业支出（项）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指除上述项目以外其他用于农业方面的支出。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25</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农林水支出（类）扶贫（款）农村基础设施建设（项）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指用于农村贫困地区镇村道路、住房、基本农田、水利设施、</w:t>
      </w:r>
      <w:r>
        <w:rPr>
          <w:rStyle w:val="14"/>
          <w:rFonts w:hint="eastAsia" w:ascii="仿宋_GB2312" w:hAnsi="仿宋_GB2312" w:eastAsia="仿宋_GB2312" w:cs="仿宋_GB2312"/>
          <w:b w:val="0"/>
          <w:color w:val="000000"/>
          <w:sz w:val="32"/>
          <w:szCs w:val="32"/>
          <w:lang w:eastAsia="zh-CN"/>
        </w:rPr>
        <w:t>人畜饮水</w:t>
      </w:r>
      <w:r>
        <w:rPr>
          <w:rStyle w:val="14"/>
          <w:rFonts w:hint="eastAsia" w:ascii="仿宋_GB2312" w:hAnsi="仿宋_GB2312" w:eastAsia="仿宋_GB2312" w:cs="仿宋_GB2312"/>
          <w:b w:val="0"/>
          <w:color w:val="000000"/>
          <w:sz w:val="32"/>
          <w:szCs w:val="32"/>
        </w:rPr>
        <w:t>、生态环境保护等生产生活条件改善方面的支出。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26</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农林水支出（类）扶贫（款）其他扶贫支出（项）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指农业综合开发部门的其他支出。</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27</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农林水支出（类）农村综合改革（款）对村委会和村党支部的补助（项）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spacing w:line="576" w:lineRule="atLeast"/>
        <w:ind w:firstLine="640" w:firstLineChars="200"/>
        <w:rPr>
          <w:rStyle w:val="14"/>
          <w:rFonts w:ascii="仿宋_GB2312" w:hAnsi="仿宋_GB2312" w:eastAsia="仿宋_GB2312"/>
          <w:b w:val="0"/>
          <w:color w:val="000000"/>
          <w:sz w:val="32"/>
          <w:szCs w:val="32"/>
        </w:rPr>
      </w:pPr>
      <w:r>
        <w:rPr>
          <w:rStyle w:val="14"/>
          <w:rFonts w:hint="eastAsia" w:ascii="仿宋_GB2312" w:hAnsi="仿宋_GB2312" w:eastAsia="仿宋_GB2312" w:cs="仿宋_GB2312"/>
          <w:b w:val="0"/>
          <w:color w:val="000000"/>
          <w:sz w:val="32"/>
          <w:szCs w:val="32"/>
        </w:rPr>
        <w:t>28</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农林水支出（类）其他农林水支出（款）其他农林水支出（项）</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指除上述项目以外其他用于农林水方面的支出。</w:t>
      </w:r>
    </w:p>
    <w:p>
      <w:pPr>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color w:val="000000"/>
          <w:sz w:val="32"/>
          <w:szCs w:val="32"/>
        </w:rPr>
        <w:t>29</w:t>
      </w:r>
      <w:r>
        <w:rPr>
          <w:rStyle w:val="14"/>
          <w:rFonts w:ascii="仿宋_GB2312" w:hAnsi="仿宋_GB2312" w:eastAsia="仿宋_GB2312" w:cs="仿宋_GB2312"/>
          <w:b w:val="0"/>
          <w:color w:val="000000"/>
          <w:sz w:val="32"/>
          <w:szCs w:val="32"/>
        </w:rPr>
        <w:t>.</w:t>
      </w:r>
      <w:r>
        <w:rPr>
          <w:rStyle w:val="14"/>
          <w:rFonts w:hint="eastAsia" w:ascii="仿宋_GB2312" w:hAnsi="仿宋_GB2312" w:eastAsia="仿宋_GB2312" w:cs="仿宋_GB2312"/>
          <w:b w:val="0"/>
          <w:color w:val="000000"/>
          <w:sz w:val="32"/>
          <w:szCs w:val="32"/>
        </w:rPr>
        <w:t>住房保障支出（类）住房改革支出（款）住房公积金（</w:t>
      </w:r>
      <w:r>
        <w:rPr>
          <w:rStyle w:val="14"/>
          <w:rFonts w:ascii="仿宋_GB2312" w:hAnsi="仿宋_GB2312" w:eastAsia="仿宋_GB2312" w:cs="仿宋_GB2312"/>
          <w:b w:val="0"/>
          <w:color w:val="000000"/>
          <w:sz w:val="32"/>
          <w:szCs w:val="32"/>
        </w:rPr>
        <w:t>01</w:t>
      </w:r>
      <w:r>
        <w:rPr>
          <w:rStyle w:val="14"/>
          <w:rFonts w:hint="eastAsia" w:ascii="仿宋_GB2312" w:hAnsi="仿宋_GB2312" w:eastAsia="仿宋_GB2312" w:cs="仿宋_GB2312"/>
          <w:b w:val="0"/>
          <w:color w:val="000000"/>
          <w:sz w:val="32"/>
          <w:szCs w:val="32"/>
        </w:rPr>
        <w:t>）</w:t>
      </w:r>
      <w:r>
        <w:rPr>
          <w:rStyle w:val="14"/>
          <w:rFonts w:ascii="仿宋_GB2312" w:hAnsi="仿宋_GB2312" w:eastAsia="仿宋_GB2312" w:cs="仿宋_GB2312"/>
          <w:b w:val="0"/>
          <w:color w:val="000000"/>
          <w:sz w:val="32"/>
          <w:szCs w:val="32"/>
        </w:rPr>
        <w:t xml:space="preserve">: </w:t>
      </w:r>
      <w:r>
        <w:rPr>
          <w:rStyle w:val="14"/>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color w:val="000000"/>
          <w:sz w:val="32"/>
          <w:szCs w:val="32"/>
        </w:rPr>
        <w:t>。</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rPr>
        <w:t>3</w:t>
      </w:r>
      <w:r>
        <w:rPr>
          <w:rFonts w:hint="eastAsia" w:ascii="仿宋_GB2312" w:eastAsia="仿宋_GB2312" w:cs="仿宋_GB2312"/>
          <w:sz w:val="32"/>
          <w:szCs w:val="32"/>
          <w:lang w:val="en-US" w:eastAsia="zh-CN"/>
        </w:rPr>
        <w:t>4</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jc w:val="center"/>
        <w:outlineLvl w:val="0"/>
        <w:rPr>
          <w:rFonts w:ascii="黑体" w:hAnsi="黑体" w:eastAsia="黑体"/>
          <w:color w:val="000000"/>
          <w:sz w:val="44"/>
          <w:szCs w:val="44"/>
        </w:rPr>
      </w:pPr>
    </w:p>
    <w:p>
      <w:pPr>
        <w:spacing w:line="600" w:lineRule="exact"/>
        <w:outlineLvl w:val="0"/>
        <w:rPr>
          <w:rFonts w:ascii="黑体" w:hAnsi="黑体" w:eastAsia="黑体"/>
          <w:color w:val="000000"/>
          <w:sz w:val="44"/>
          <w:szCs w:val="44"/>
        </w:rPr>
      </w:pPr>
    </w:p>
    <w:bookmarkEnd w:id="53"/>
    <w:p>
      <w:pPr>
        <w:spacing w:line="576" w:lineRule="atLeast"/>
        <w:jc w:val="center"/>
        <w:rPr>
          <w:rStyle w:val="30"/>
          <w:b w:val="0"/>
          <w:bCs w:val="0"/>
        </w:rPr>
      </w:pPr>
      <w:r>
        <w:rPr>
          <w:rFonts w:hint="eastAsia" w:ascii="方正小标宋简体" w:hAnsi="方正小标宋简体" w:eastAsia="方正小标宋简体" w:cs="方正小标宋简体"/>
          <w:color w:val="000000"/>
          <w:sz w:val="44"/>
          <w:szCs w:val="44"/>
        </w:rPr>
        <w:t xml:space="preserve">第四部分 </w:t>
      </w:r>
      <w:r>
        <w:rPr>
          <w:rStyle w:val="30"/>
          <w:rFonts w:hint="eastAsia" w:ascii="方正小标宋简体" w:hAnsi="方正小标宋简体" w:eastAsia="方正小标宋简体" w:cs="方正小标宋简体"/>
          <w:b w:val="0"/>
          <w:bCs w:val="0"/>
        </w:rPr>
        <w:t>附件</w:t>
      </w:r>
    </w:p>
    <w:p>
      <w:pPr>
        <w:pStyle w:val="3"/>
        <w:keepNext w:val="0"/>
        <w:keepLines w:val="0"/>
        <w:spacing w:before="0" w:after="0" w:line="576" w:lineRule="atLeast"/>
        <w:rPr>
          <w:rStyle w:val="30"/>
          <w:rFonts w:ascii="黑体" w:hAnsi="黑体" w:eastAsia="黑体" w:cs="黑体"/>
          <w:b w:val="0"/>
          <w:bCs w:val="0"/>
          <w:sz w:val="28"/>
          <w:szCs w:val="28"/>
        </w:rPr>
      </w:pPr>
      <w:bookmarkStart w:id="55" w:name="_Toc15396615"/>
      <w:r>
        <w:rPr>
          <w:rStyle w:val="30"/>
          <w:rFonts w:hint="eastAsia" w:ascii="黑体" w:hAnsi="黑体" w:eastAsia="黑体" w:cs="黑体"/>
          <w:b w:val="0"/>
          <w:bCs w:val="0"/>
          <w:sz w:val="28"/>
          <w:szCs w:val="28"/>
        </w:rPr>
        <w:t>附件</w:t>
      </w:r>
      <w:r>
        <w:rPr>
          <w:rStyle w:val="30"/>
          <w:rFonts w:ascii="黑体" w:hAnsi="黑体" w:eastAsia="黑体" w:cs="黑体"/>
          <w:b w:val="0"/>
          <w:bCs w:val="0"/>
          <w:sz w:val="28"/>
          <w:szCs w:val="28"/>
        </w:rPr>
        <w:t>1</w:t>
      </w:r>
      <w:bookmarkEnd w:id="55"/>
    </w:p>
    <w:p>
      <w:pPr>
        <w:spacing w:line="576" w:lineRule="atLeast"/>
        <w:jc w:val="center"/>
        <w:outlineLvl w:val="0"/>
        <w:rPr>
          <w:rFonts w:ascii="方正小标宋简体" w:hAnsi="方正小标宋简体" w:eastAsia="方正小标宋简体"/>
          <w:sz w:val="44"/>
          <w:szCs w:val="44"/>
        </w:rPr>
      </w:pPr>
      <w:bookmarkStart w:id="56" w:name="_Toc15396616"/>
      <w:r>
        <w:rPr>
          <w:rFonts w:hint="eastAsia" w:ascii="方正小标宋简体" w:hAnsi="方正小标宋简体" w:eastAsia="方正小标宋简体" w:cs="方正小标宋简体"/>
          <w:sz w:val="44"/>
          <w:szCs w:val="44"/>
        </w:rPr>
        <w:t>茂县黑虎镇人民政府</w:t>
      </w:r>
    </w:p>
    <w:p>
      <w:pPr>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201</w:t>
      </w:r>
      <w:r>
        <w:rPr>
          <w:rFonts w:hint="eastAsia" w:ascii="方正小标宋简体" w:hAnsi="方正小标宋简体" w:eastAsia="方正小标宋简体" w:cs="方正小标宋简体"/>
          <w:sz w:val="44"/>
          <w:szCs w:val="44"/>
        </w:rPr>
        <w:t>9年部门整体支出绩效评价报告</w:t>
      </w:r>
      <w:bookmarkEnd w:id="56"/>
    </w:p>
    <w:p>
      <w:pPr>
        <w:pStyle w:val="3"/>
        <w:keepNext w:val="0"/>
        <w:keepLines w:val="0"/>
        <w:spacing w:before="0" w:after="0" w:line="576" w:lineRule="atLeast"/>
        <w:ind w:firstLine="642" w:firstLineChars="200"/>
        <w:rPr>
          <w:rFonts w:ascii="黑体" w:hAnsi="黑体" w:eastAsia="黑体" w:cs="Times New Roman"/>
        </w:rPr>
      </w:pPr>
    </w:p>
    <w:p>
      <w:pPr>
        <w:pStyle w:val="3"/>
        <w:keepNext w:val="0"/>
        <w:keepLines w:val="0"/>
        <w:spacing w:before="0" w:after="0" w:line="576" w:lineRule="atLeast"/>
        <w:ind w:firstLine="642" w:firstLineChars="200"/>
        <w:rPr>
          <w:rFonts w:ascii="仿宋" w:hAnsi="仿宋" w:eastAsia="仿宋" w:cs="Times New Roman"/>
          <w:color w:val="000000"/>
        </w:rPr>
      </w:pPr>
      <w:r>
        <w:rPr>
          <w:rFonts w:hint="eastAsia" w:ascii="黑体" w:hAnsi="黑体" w:eastAsia="黑体" w:cs="黑体"/>
        </w:rPr>
        <w:t>一、部门（单位）概况</w:t>
      </w:r>
    </w:p>
    <w:p>
      <w:pPr>
        <w:spacing w:line="576" w:lineRule="atLeast"/>
        <w:ind w:firstLine="642" w:firstLineChars="200"/>
        <w:rPr>
          <w:rFonts w:ascii="楷体_GB2312" w:hAnsi="楷体_GB2312" w:eastAsia="楷体_GB2312" w:cs="楷体_GB2312"/>
          <w:b/>
          <w:bCs/>
          <w:sz w:val="32"/>
          <w:szCs w:val="32"/>
        </w:rPr>
      </w:pPr>
      <w:r>
        <w:rPr>
          <w:rFonts w:hint="eastAsia" w:ascii="楷体_GB2312" w:hAnsi="楷体_GB2312" w:eastAsia="楷体_GB2312" w:cs="楷体_GB2312"/>
          <w:b/>
          <w:bCs/>
          <w:sz w:val="32"/>
          <w:szCs w:val="32"/>
        </w:rPr>
        <w:t>（一）机构组成</w:t>
      </w:r>
    </w:p>
    <w:p>
      <w:pPr>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黑虎镇内设行政办公室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（二）机构职能</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（三）人员概况</w:t>
      </w:r>
    </w:p>
    <w:p>
      <w:pPr>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黑虎镇总编制</w:t>
      </w:r>
      <w:r>
        <w:rPr>
          <w:rFonts w:ascii="仿宋_GB2312" w:hAnsi="仿宋_GB2312" w:eastAsia="仿宋_GB2312" w:cs="仿宋_GB2312"/>
          <w:sz w:val="32"/>
          <w:szCs w:val="32"/>
        </w:rPr>
        <w:t>3</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ascii="仿宋_GB2312" w:hAnsi="仿宋_GB2312" w:eastAsia="仿宋_GB2312" w:cs="仿宋_GB2312"/>
          <w:sz w:val="32"/>
          <w:szCs w:val="32"/>
        </w:rPr>
        <w:t>2</w:t>
      </w:r>
      <w:r>
        <w:rPr>
          <w:rFonts w:hint="eastAsia" w:ascii="仿宋_GB2312" w:hAnsi="仿宋_GB2312" w:eastAsia="仿宋_GB2312" w:cs="仿宋_GB2312"/>
          <w:sz w:val="32"/>
          <w:szCs w:val="32"/>
        </w:rPr>
        <w:t>名，事业编制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名，其中事业工勤编制</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19</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人（行政退休</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人，事业退休</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人）；遗属</w:t>
      </w:r>
      <w:r>
        <w:rPr>
          <w:rFonts w:ascii="仿宋_GB2312" w:hAnsi="仿宋_GB2312" w:eastAsia="仿宋_GB2312" w:cs="仿宋_GB2312"/>
          <w:sz w:val="32"/>
          <w:szCs w:val="32"/>
        </w:rPr>
        <w:t>1</w:t>
      </w:r>
      <w:r>
        <w:rPr>
          <w:rFonts w:hint="eastAsia" w:ascii="仿宋_GB2312" w:hAnsi="仿宋_GB2312" w:eastAsia="仿宋_GB2312" w:cs="仿宋_GB2312"/>
          <w:sz w:val="32"/>
          <w:szCs w:val="32"/>
        </w:rPr>
        <w:t>人。</w:t>
      </w:r>
    </w:p>
    <w:p>
      <w:pPr>
        <w:pStyle w:val="3"/>
        <w:keepNext w:val="0"/>
        <w:keepLines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9年本部门财政拨款收入决算总额为</w:t>
      </w:r>
      <w:r>
        <w:rPr>
          <w:rFonts w:hint="eastAsia" w:ascii="仿宋_GB2312" w:hAnsi="仿宋_GB2312" w:eastAsia="仿宋_GB2312" w:cs="仿宋_GB2312"/>
          <w:sz w:val="32"/>
          <w:szCs w:val="32"/>
          <w:lang w:val="en-US" w:eastAsia="zh-CN"/>
        </w:rPr>
        <w:t>522.75</w:t>
      </w:r>
      <w:r>
        <w:rPr>
          <w:rFonts w:hint="eastAsia" w:ascii="仿宋_GB2312" w:hAnsi="仿宋_GB2312" w:eastAsia="仿宋_GB2312" w:cs="仿宋_GB2312"/>
          <w:sz w:val="32"/>
          <w:szCs w:val="32"/>
        </w:rPr>
        <w:t>万元，其中：当年财政拨款收入</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lang w:val="en-US" w:eastAsia="zh-CN"/>
        </w:rPr>
        <w:t>456.09</w:t>
      </w:r>
      <w:r>
        <w:rPr>
          <w:rFonts w:hint="eastAsia" w:ascii="仿宋_GB2312" w:hAnsi="仿宋_GB2312" w:eastAsia="仿宋_GB2312" w:cs="仿宋_GB2312"/>
          <w:sz w:val="32"/>
          <w:szCs w:val="32"/>
        </w:rPr>
        <w:t>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一般公共预算财政拨款</w:t>
      </w:r>
      <w:r>
        <w:rPr>
          <w:rFonts w:hint="eastAsia" w:ascii="仿宋_GB2312" w:hAnsi="仿宋_GB2312" w:eastAsia="仿宋_GB2312" w:cs="仿宋_GB2312"/>
          <w:sz w:val="32"/>
          <w:szCs w:val="32"/>
          <w:lang w:val="en-US" w:eastAsia="zh-CN"/>
        </w:rPr>
        <w:t>454.25元，政府性基金拨款1.85万元</w:t>
      </w:r>
      <w:r>
        <w:rPr>
          <w:rFonts w:hint="eastAsia" w:ascii="仿宋_GB2312" w:hAnsi="仿宋_GB2312" w:eastAsia="仿宋_GB2312" w:cs="仿宋_GB2312"/>
          <w:sz w:val="32"/>
          <w:szCs w:val="32"/>
        </w:rPr>
        <w:t>。</w:t>
      </w:r>
    </w:p>
    <w:p>
      <w:pPr>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lang w:eastAsia="zh-CN"/>
        </w:rPr>
        <w:t>（二）</w:t>
      </w:r>
      <w:r>
        <w:rPr>
          <w:rFonts w:hint="eastAsia" w:ascii="楷体_GB2312" w:hAnsi="楷体_GB2312" w:eastAsia="楷体_GB2312" w:cs="楷体_GB2312"/>
          <w:b/>
          <w:bCs/>
          <w:sz w:val="32"/>
          <w:szCs w:val="32"/>
        </w:rPr>
        <w:t>部门财政资金支出情况</w:t>
      </w:r>
    </w:p>
    <w:p>
      <w:pPr>
        <w:spacing w:line="576" w:lineRule="atLeas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2019年一般公共预算财政拨款支出</w:t>
      </w:r>
      <w:r>
        <w:rPr>
          <w:rFonts w:hint="eastAsia" w:ascii="仿宋_GB2312" w:hAnsi="仿宋_GB2312" w:eastAsia="仿宋_GB2312" w:cs="仿宋_GB2312"/>
          <w:sz w:val="32"/>
          <w:szCs w:val="32"/>
          <w:lang w:val="en-US" w:eastAsia="zh-CN"/>
        </w:rPr>
        <w:t>465.57</w:t>
      </w:r>
      <w:r>
        <w:rPr>
          <w:rFonts w:hint="eastAsia" w:ascii="仿宋_GB2312" w:hAnsi="仿宋_GB2312" w:eastAsia="仿宋_GB2312" w:cs="仿宋_GB2312"/>
          <w:sz w:val="32"/>
          <w:szCs w:val="32"/>
        </w:rPr>
        <w:t>万元。主要用于以下方面:一般公共服务支出</w:t>
      </w:r>
      <w:r>
        <w:rPr>
          <w:rFonts w:hint="eastAsia" w:ascii="仿宋_GB2312" w:hAnsi="仿宋_GB2312" w:eastAsia="仿宋_GB2312" w:cs="仿宋_GB2312"/>
          <w:sz w:val="32"/>
          <w:szCs w:val="32"/>
          <w:lang w:val="en-US" w:eastAsia="zh-CN"/>
        </w:rPr>
        <w:t>173.17</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37.20</w:t>
      </w:r>
      <w:r>
        <w:rPr>
          <w:rFonts w:hint="eastAsia" w:ascii="仿宋_GB2312" w:hAnsi="仿宋_GB2312" w:eastAsia="仿宋_GB2312" w:cs="仿宋_GB2312"/>
          <w:sz w:val="32"/>
          <w:szCs w:val="32"/>
        </w:rPr>
        <w:t>%；</w:t>
      </w:r>
      <w:r>
        <w:rPr>
          <w:rFonts w:hint="eastAsia" w:ascii="仿宋_GB2312" w:hAnsi="仿宋_GB2312" w:eastAsia="仿宋_GB2312" w:cs="仿宋_GB2312"/>
          <w:color w:val="000000" w:themeColor="text1"/>
          <w:sz w:val="32"/>
          <w:szCs w:val="32"/>
          <w:highlight w:val="none"/>
          <w:lang w:eastAsia="zh-CN"/>
        </w:rPr>
        <w:t>其他</w:t>
      </w:r>
      <w:r>
        <w:rPr>
          <w:rFonts w:hint="eastAsia" w:ascii="仿宋_GB2312" w:hAnsi="仿宋_GB2312" w:eastAsia="仿宋_GB2312" w:cs="仿宋_GB2312"/>
          <w:color w:val="000000" w:themeColor="text1"/>
          <w:sz w:val="32"/>
          <w:szCs w:val="32"/>
          <w:highlight w:val="none"/>
        </w:rPr>
        <w:t>支出</w:t>
      </w:r>
      <w:r>
        <w:rPr>
          <w:rFonts w:hint="eastAsia" w:ascii="仿宋_GB2312" w:hAnsi="仿宋_GB2312" w:eastAsia="仿宋_GB2312" w:cs="仿宋_GB2312"/>
          <w:color w:val="000000" w:themeColor="text1"/>
          <w:sz w:val="32"/>
          <w:szCs w:val="32"/>
          <w:highlight w:val="none"/>
          <w:lang w:val="en-US" w:eastAsia="zh-CN"/>
        </w:rPr>
        <w:t>2.6</w:t>
      </w:r>
      <w:r>
        <w:rPr>
          <w:rFonts w:hint="eastAsia" w:ascii="仿宋_GB2312" w:hAnsi="仿宋_GB2312" w:eastAsia="仿宋_GB2312" w:cs="仿宋_GB2312"/>
          <w:color w:val="000000" w:themeColor="text1"/>
          <w:sz w:val="32"/>
          <w:szCs w:val="32"/>
          <w:highlight w:val="none"/>
        </w:rPr>
        <w:t>万元，占</w:t>
      </w:r>
      <w:r>
        <w:rPr>
          <w:rFonts w:hint="eastAsia" w:ascii="仿宋_GB2312" w:hAnsi="仿宋_GB2312" w:eastAsia="仿宋_GB2312" w:cs="仿宋_GB2312"/>
          <w:sz w:val="32"/>
          <w:szCs w:val="32"/>
        </w:rPr>
        <w:t>本年支出0.</w:t>
      </w:r>
      <w:r>
        <w:rPr>
          <w:rFonts w:hint="eastAsia" w:ascii="仿宋_GB2312" w:hAnsi="仿宋_GB2312" w:eastAsia="仿宋_GB2312" w:cs="仿宋_GB2312"/>
          <w:sz w:val="32"/>
          <w:szCs w:val="32"/>
          <w:lang w:val="en-US" w:eastAsia="zh-CN"/>
        </w:rPr>
        <w:t>56</w:t>
      </w:r>
      <w:r>
        <w:rPr>
          <w:rFonts w:hint="eastAsia" w:ascii="仿宋_GB2312" w:hAnsi="仿宋_GB2312" w:eastAsia="仿宋_GB2312" w:cs="仿宋_GB2312"/>
          <w:sz w:val="32"/>
          <w:szCs w:val="32"/>
        </w:rPr>
        <w:t>%；社会保障和就业支出</w:t>
      </w:r>
      <w:r>
        <w:rPr>
          <w:rFonts w:hint="eastAsia" w:ascii="仿宋_GB2312" w:hAnsi="仿宋_GB2312" w:eastAsia="仿宋_GB2312" w:cs="仿宋_GB2312"/>
          <w:sz w:val="32"/>
          <w:szCs w:val="32"/>
          <w:lang w:val="en-US" w:eastAsia="zh-CN"/>
        </w:rPr>
        <w:t>34.83</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7.58</w:t>
      </w:r>
      <w:r>
        <w:rPr>
          <w:rFonts w:hint="eastAsia" w:ascii="仿宋_GB2312" w:hAnsi="仿宋_GB2312" w:eastAsia="仿宋_GB2312" w:cs="仿宋_GB2312"/>
          <w:sz w:val="32"/>
          <w:szCs w:val="32"/>
        </w:rPr>
        <w:t>%；卫生健康支出</w:t>
      </w:r>
      <w:r>
        <w:rPr>
          <w:rFonts w:hint="eastAsia" w:ascii="仿宋_GB2312" w:hAnsi="仿宋_GB2312" w:eastAsia="仿宋_GB2312" w:cs="仿宋_GB2312"/>
          <w:sz w:val="32"/>
          <w:szCs w:val="32"/>
          <w:lang w:val="en-US" w:eastAsia="zh-CN"/>
        </w:rPr>
        <w:t>17.85</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3.83</w:t>
      </w:r>
      <w:r>
        <w:rPr>
          <w:rFonts w:hint="eastAsia" w:ascii="仿宋_GB2312" w:hAnsi="仿宋_GB2312" w:eastAsia="仿宋_GB2312" w:cs="仿宋_GB2312"/>
          <w:sz w:val="32"/>
          <w:szCs w:val="32"/>
        </w:rPr>
        <w:t>%；农林水支出</w:t>
      </w:r>
      <w:r>
        <w:rPr>
          <w:rFonts w:hint="eastAsia" w:ascii="仿宋_GB2312" w:hAnsi="仿宋_GB2312" w:eastAsia="仿宋_GB2312" w:cs="仿宋_GB2312"/>
          <w:sz w:val="32"/>
          <w:szCs w:val="32"/>
          <w:lang w:val="en-US" w:eastAsia="zh-CN"/>
        </w:rPr>
        <w:t>211.83</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45.50</w:t>
      </w:r>
      <w:r>
        <w:rPr>
          <w:rFonts w:hint="eastAsia" w:ascii="仿宋_GB2312" w:hAnsi="仿宋_GB2312" w:eastAsia="仿宋_GB2312" w:cs="仿宋_GB2312"/>
          <w:sz w:val="32"/>
          <w:szCs w:val="32"/>
        </w:rPr>
        <w:t>%；住房保障支出</w:t>
      </w:r>
      <w:r>
        <w:rPr>
          <w:rFonts w:hint="eastAsia" w:ascii="仿宋_GB2312" w:hAnsi="仿宋_GB2312" w:eastAsia="仿宋_GB2312" w:cs="仿宋_GB2312"/>
          <w:sz w:val="32"/>
          <w:szCs w:val="32"/>
          <w:lang w:val="en-US" w:eastAsia="zh-CN"/>
        </w:rPr>
        <w:t>23.44</w:t>
      </w:r>
      <w:r>
        <w:rPr>
          <w:rFonts w:hint="eastAsia" w:ascii="仿宋_GB2312" w:hAnsi="仿宋_GB2312" w:eastAsia="仿宋_GB2312" w:cs="仿宋_GB2312"/>
          <w:sz w:val="32"/>
          <w:szCs w:val="32"/>
        </w:rPr>
        <w:t>万元，占本年支出合计的</w:t>
      </w:r>
      <w:r>
        <w:rPr>
          <w:rFonts w:hint="eastAsia" w:ascii="仿宋_GB2312" w:hAnsi="仿宋_GB2312" w:eastAsia="仿宋_GB2312" w:cs="仿宋_GB2312"/>
          <w:sz w:val="32"/>
          <w:szCs w:val="32"/>
          <w:lang w:val="en-US" w:eastAsia="zh-CN"/>
        </w:rPr>
        <w:t>5.06</w:t>
      </w:r>
      <w:r>
        <w:rPr>
          <w:rFonts w:hint="eastAsia" w:ascii="仿宋_GB2312" w:hAnsi="仿宋_GB2312" w:eastAsia="仿宋_GB2312" w:cs="仿宋_GB2312"/>
          <w:sz w:val="32"/>
          <w:szCs w:val="32"/>
        </w:rPr>
        <w:t>%；</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三、部门整体预算绩效管理情况</w:t>
      </w:r>
    </w:p>
    <w:p>
      <w:pPr>
        <w:spacing w:line="576" w:lineRule="atLeast"/>
        <w:ind w:firstLine="642"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预算编制：我镇对2019年部门支出进行预算，支出合计</w:t>
      </w:r>
      <w:r>
        <w:rPr>
          <w:rFonts w:hint="eastAsia" w:ascii="仿宋_GB2312" w:hAnsi="仿宋_GB2312" w:eastAsia="仿宋_GB2312" w:cs="仿宋_GB2312"/>
          <w:color w:val="000000"/>
          <w:kern w:val="0"/>
          <w:sz w:val="32"/>
          <w:szCs w:val="32"/>
          <w:shd w:val="clear" w:color="auto" w:fill="FFFFFF"/>
          <w:lang w:val="en-US" w:eastAsia="zh-CN"/>
        </w:rPr>
        <w:t>465.57</w:t>
      </w:r>
      <w:r>
        <w:rPr>
          <w:rFonts w:hint="eastAsia" w:ascii="仿宋_GB2312" w:hAnsi="仿宋_GB2312" w:eastAsia="仿宋_GB2312" w:cs="仿宋_GB2312"/>
          <w:color w:val="000000"/>
          <w:kern w:val="0"/>
          <w:sz w:val="32"/>
          <w:szCs w:val="32"/>
          <w:shd w:val="clear" w:color="auto" w:fill="FFFFFF"/>
          <w:lang w:val="zh-CN"/>
        </w:rPr>
        <w:t>万元。其中：</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1.基本支出</w:t>
      </w:r>
      <w:r>
        <w:rPr>
          <w:rFonts w:hint="eastAsia" w:ascii="仿宋_GB2312" w:hAnsi="仿宋_GB2312" w:eastAsia="仿宋_GB2312" w:cs="仿宋_GB2312"/>
          <w:color w:val="000000"/>
          <w:kern w:val="0"/>
          <w:sz w:val="32"/>
          <w:szCs w:val="32"/>
          <w:shd w:val="clear" w:color="auto" w:fill="FFFFFF"/>
          <w:lang w:val="en-US" w:eastAsia="zh-CN"/>
        </w:rPr>
        <w:t>304.79</w:t>
      </w:r>
      <w:r>
        <w:rPr>
          <w:rFonts w:hint="eastAsia" w:ascii="仿宋_GB2312" w:hAnsi="仿宋_GB2312" w:eastAsia="仿宋_GB2312" w:cs="仿宋_GB2312"/>
          <w:color w:val="000000"/>
          <w:kern w:val="0"/>
          <w:sz w:val="32"/>
          <w:szCs w:val="32"/>
          <w:shd w:val="clear" w:color="auto" w:fill="FFFFFF"/>
          <w:lang w:val="zh-CN"/>
        </w:rPr>
        <w:t>万元</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（1）工资福利性支出：</w:t>
      </w:r>
      <w:r>
        <w:rPr>
          <w:rFonts w:hint="eastAsia" w:ascii="仿宋_GB2312" w:hAnsi="仿宋_GB2312" w:eastAsia="仿宋_GB2312" w:cs="仿宋_GB2312"/>
          <w:color w:val="000000"/>
          <w:kern w:val="0"/>
          <w:sz w:val="32"/>
          <w:szCs w:val="32"/>
          <w:shd w:val="clear" w:color="auto" w:fill="FFFFFF"/>
          <w:lang w:val="en-US" w:eastAsia="zh-CN"/>
        </w:rPr>
        <w:t>278.26</w:t>
      </w:r>
      <w:r>
        <w:rPr>
          <w:rFonts w:hint="eastAsia" w:ascii="仿宋_GB2312" w:hAnsi="仿宋_GB2312" w:eastAsia="仿宋_GB2312" w:cs="仿宋_GB2312"/>
          <w:color w:val="000000"/>
          <w:kern w:val="0"/>
          <w:sz w:val="32"/>
          <w:szCs w:val="32"/>
          <w:shd w:val="clear" w:color="auto" w:fill="FFFFFF"/>
          <w:lang w:val="zh-CN"/>
        </w:rPr>
        <w:t>万元。</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（2）商品和服务支出</w:t>
      </w:r>
      <w:r>
        <w:rPr>
          <w:rFonts w:hint="eastAsia" w:ascii="仿宋_GB2312" w:hAnsi="仿宋_GB2312" w:eastAsia="仿宋_GB2312" w:cs="仿宋_GB2312"/>
          <w:color w:val="000000"/>
          <w:kern w:val="0"/>
          <w:sz w:val="32"/>
          <w:szCs w:val="32"/>
          <w:shd w:val="clear" w:color="auto" w:fill="FFFFFF"/>
          <w:lang w:val="en-US" w:eastAsia="zh-CN"/>
        </w:rPr>
        <w:t>19.76</w:t>
      </w:r>
      <w:r>
        <w:rPr>
          <w:rFonts w:hint="eastAsia" w:ascii="仿宋_GB2312" w:hAnsi="仿宋_GB2312" w:eastAsia="仿宋_GB2312" w:cs="仿宋_GB2312"/>
          <w:color w:val="000000"/>
          <w:kern w:val="0"/>
          <w:sz w:val="32"/>
          <w:szCs w:val="32"/>
          <w:shd w:val="clear" w:color="auto" w:fill="FFFFFF"/>
          <w:lang w:val="zh-CN"/>
        </w:rPr>
        <w:t>万元，其中：公务接待费0万元；公务用车运行维护费</w:t>
      </w:r>
      <w:r>
        <w:rPr>
          <w:rFonts w:hint="eastAsia" w:ascii="仿宋_GB2312" w:hAnsi="仿宋_GB2312" w:eastAsia="仿宋_GB2312" w:cs="仿宋_GB2312"/>
          <w:color w:val="000000"/>
          <w:kern w:val="0"/>
          <w:sz w:val="32"/>
          <w:szCs w:val="32"/>
          <w:shd w:val="clear" w:color="auto" w:fill="FFFFFF"/>
          <w:lang w:val="en-US" w:eastAsia="zh-CN"/>
        </w:rPr>
        <w:t>3.5</w:t>
      </w:r>
      <w:r>
        <w:rPr>
          <w:rFonts w:hint="eastAsia" w:ascii="仿宋_GB2312" w:hAnsi="仿宋_GB2312" w:eastAsia="仿宋_GB2312" w:cs="仿宋_GB2312"/>
          <w:color w:val="000000"/>
          <w:kern w:val="0"/>
          <w:sz w:val="32"/>
          <w:szCs w:val="32"/>
          <w:shd w:val="clear" w:color="auto" w:fill="FFFFFF"/>
          <w:lang w:val="zh-CN"/>
        </w:rPr>
        <w:t>万元。</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（3）对个人和家庭的补助支出：</w:t>
      </w:r>
      <w:r>
        <w:rPr>
          <w:rFonts w:hint="eastAsia" w:ascii="仿宋_GB2312" w:hAnsi="仿宋_GB2312" w:eastAsia="仿宋_GB2312" w:cs="仿宋_GB2312"/>
          <w:color w:val="000000"/>
          <w:kern w:val="0"/>
          <w:sz w:val="32"/>
          <w:szCs w:val="32"/>
          <w:shd w:val="clear" w:color="auto" w:fill="FFFFFF"/>
          <w:lang w:val="en-US" w:eastAsia="zh-CN"/>
        </w:rPr>
        <w:t>6.76</w:t>
      </w:r>
      <w:r>
        <w:rPr>
          <w:rFonts w:hint="eastAsia" w:ascii="仿宋_GB2312" w:hAnsi="仿宋_GB2312" w:eastAsia="仿宋_GB2312" w:cs="仿宋_GB2312"/>
          <w:color w:val="000000"/>
          <w:kern w:val="0"/>
          <w:sz w:val="32"/>
          <w:szCs w:val="32"/>
          <w:shd w:val="clear" w:color="auto" w:fill="FFFFFF"/>
          <w:lang w:val="zh-CN"/>
        </w:rPr>
        <w:t>万元。</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2.项目支出</w:t>
      </w:r>
      <w:r>
        <w:rPr>
          <w:rFonts w:hint="eastAsia" w:ascii="仿宋_GB2312" w:hAnsi="仿宋_GB2312" w:eastAsia="仿宋_GB2312" w:cs="仿宋_GB2312"/>
          <w:color w:val="000000"/>
          <w:kern w:val="0"/>
          <w:sz w:val="32"/>
          <w:szCs w:val="32"/>
          <w:shd w:val="clear" w:color="auto" w:fill="FFFFFF"/>
          <w:lang w:val="en-US" w:eastAsia="zh-CN"/>
        </w:rPr>
        <w:t>158.94</w:t>
      </w:r>
      <w:r>
        <w:rPr>
          <w:rFonts w:hint="eastAsia" w:ascii="仿宋_GB2312" w:hAnsi="仿宋_GB2312" w:eastAsia="仿宋_GB2312" w:cs="仿宋_GB2312"/>
          <w:color w:val="000000"/>
          <w:kern w:val="0"/>
          <w:sz w:val="32"/>
          <w:szCs w:val="32"/>
          <w:shd w:val="clear" w:color="auto" w:fill="FFFFFF"/>
          <w:lang w:val="zh-CN"/>
        </w:rPr>
        <w:t>万元</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（1）商品和服务支出</w:t>
      </w:r>
      <w:r>
        <w:rPr>
          <w:rFonts w:hint="eastAsia" w:ascii="仿宋_GB2312" w:hAnsi="仿宋_GB2312" w:eastAsia="仿宋_GB2312" w:cs="仿宋_GB2312"/>
          <w:color w:val="000000"/>
          <w:kern w:val="0"/>
          <w:sz w:val="32"/>
          <w:szCs w:val="32"/>
          <w:shd w:val="clear" w:color="auto" w:fill="FFFFFF"/>
          <w:lang w:val="en-US" w:eastAsia="zh-CN"/>
        </w:rPr>
        <w:t>101.79</w:t>
      </w:r>
      <w:r>
        <w:rPr>
          <w:rFonts w:hint="eastAsia" w:ascii="仿宋_GB2312" w:hAnsi="仿宋_GB2312" w:eastAsia="仿宋_GB2312" w:cs="仿宋_GB2312"/>
          <w:color w:val="000000"/>
          <w:kern w:val="0"/>
          <w:sz w:val="32"/>
          <w:szCs w:val="32"/>
          <w:shd w:val="clear" w:color="auto" w:fill="FFFFFF"/>
          <w:lang w:val="zh-CN"/>
        </w:rPr>
        <w:t>万元，其中基层组织活动和公共服务运行经费项目支出</w:t>
      </w:r>
      <w:r>
        <w:rPr>
          <w:rFonts w:hint="eastAsia" w:ascii="仿宋_GB2312" w:hAnsi="仿宋_GB2312" w:eastAsia="仿宋_GB2312" w:cs="仿宋_GB2312"/>
          <w:color w:val="000000"/>
          <w:kern w:val="0"/>
          <w:sz w:val="32"/>
          <w:szCs w:val="32"/>
          <w:shd w:val="clear" w:color="auto" w:fill="FFFFFF"/>
          <w:lang w:val="en-US" w:eastAsia="zh-CN"/>
        </w:rPr>
        <w:t>89.34</w:t>
      </w:r>
      <w:r>
        <w:rPr>
          <w:rFonts w:hint="eastAsia" w:ascii="仿宋_GB2312" w:hAnsi="仿宋_GB2312" w:eastAsia="仿宋_GB2312" w:cs="仿宋_GB2312"/>
          <w:color w:val="000000"/>
          <w:kern w:val="0"/>
          <w:sz w:val="32"/>
          <w:szCs w:val="32"/>
          <w:shd w:val="clear" w:color="auto" w:fill="FFFFFF"/>
          <w:lang w:val="zh-CN"/>
        </w:rPr>
        <w:t>万元，村办公费2</w:t>
      </w:r>
      <w:r>
        <w:rPr>
          <w:rFonts w:hint="eastAsia" w:ascii="仿宋_GB2312" w:hAnsi="仿宋_GB2312" w:eastAsia="仿宋_GB2312" w:cs="仿宋_GB2312"/>
          <w:color w:val="000000"/>
          <w:kern w:val="0"/>
          <w:sz w:val="32"/>
          <w:szCs w:val="32"/>
          <w:shd w:val="clear" w:color="auto" w:fill="FFFFFF"/>
          <w:lang w:val="en-US" w:eastAsia="zh-CN"/>
        </w:rPr>
        <w:t>3.34</w:t>
      </w:r>
      <w:r>
        <w:rPr>
          <w:rFonts w:hint="eastAsia" w:ascii="仿宋_GB2312" w:hAnsi="仿宋_GB2312" w:eastAsia="仿宋_GB2312" w:cs="仿宋_GB2312"/>
          <w:color w:val="000000"/>
          <w:kern w:val="0"/>
          <w:sz w:val="32"/>
          <w:szCs w:val="32"/>
          <w:shd w:val="clear" w:color="auto" w:fill="FFFFFF"/>
          <w:lang w:val="zh-CN"/>
        </w:rPr>
        <w:t>万元。</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（2）对个人和家庭的补助</w:t>
      </w:r>
      <w:r>
        <w:rPr>
          <w:rFonts w:hint="eastAsia" w:ascii="仿宋_GB2312" w:hAnsi="仿宋_GB2312" w:eastAsia="仿宋_GB2312" w:cs="仿宋_GB2312"/>
          <w:color w:val="000000"/>
          <w:kern w:val="0"/>
          <w:sz w:val="32"/>
          <w:szCs w:val="32"/>
          <w:shd w:val="clear" w:color="auto" w:fill="FFFFFF"/>
          <w:lang w:val="en-US" w:eastAsia="zh-CN"/>
        </w:rPr>
        <w:t>57.15</w:t>
      </w:r>
      <w:r>
        <w:rPr>
          <w:rFonts w:hint="eastAsia" w:ascii="仿宋_GB2312" w:hAnsi="仿宋_GB2312" w:eastAsia="仿宋_GB2312" w:cs="仿宋_GB2312"/>
          <w:color w:val="000000"/>
          <w:kern w:val="0"/>
          <w:sz w:val="32"/>
          <w:szCs w:val="32"/>
          <w:shd w:val="clear" w:color="auto" w:fill="FFFFFF"/>
          <w:lang w:val="zh-CN"/>
        </w:rPr>
        <w:t>万元，主要用于村干部生活补助。</w:t>
      </w:r>
    </w:p>
    <w:p>
      <w:pPr>
        <w:spacing w:line="576" w:lineRule="atLeast"/>
        <w:ind w:firstLine="642" w:firstLineChars="200"/>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（二）专项预算管理</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2019年，黑虎镇人民政府无专项预算。</w:t>
      </w:r>
    </w:p>
    <w:p>
      <w:pPr>
        <w:spacing w:line="576" w:lineRule="atLeast"/>
        <w:ind w:firstLine="642" w:firstLineChars="200"/>
        <w:rPr>
          <w:rFonts w:hint="eastAsia" w:ascii="楷体_GB2312" w:hAnsi="楷体_GB2312" w:eastAsia="楷体_GB2312" w:cs="楷体_GB2312"/>
          <w:b/>
          <w:bCs/>
          <w:sz w:val="32"/>
          <w:szCs w:val="32"/>
          <w:lang w:val="zh-CN"/>
        </w:rPr>
      </w:pPr>
      <w:r>
        <w:rPr>
          <w:rFonts w:hint="eastAsia" w:ascii="楷体_GB2312" w:hAnsi="楷体_GB2312" w:eastAsia="楷体_GB2312" w:cs="楷体_GB2312"/>
          <w:b/>
          <w:bCs/>
          <w:sz w:val="32"/>
          <w:szCs w:val="32"/>
          <w:lang w:val="zh-CN"/>
        </w:rPr>
        <w:t xml:space="preserve">（三）结果应用情况  </w:t>
      </w:r>
    </w:p>
    <w:p>
      <w:pPr>
        <w:adjustRightInd w:val="0"/>
        <w:snapToGrid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spacing w:before="0" w:after="0" w:line="576" w:lineRule="atLeast"/>
        <w:ind w:firstLine="642" w:firstLineChars="200"/>
        <w:rPr>
          <w:rStyle w:val="31"/>
          <w:rFonts w:ascii="楷体_GB2312" w:hAnsi="楷体_GB2312" w:eastAsia="楷体_GB2312" w:cs="楷体_GB2312"/>
          <w:b/>
          <w:bCs/>
        </w:rPr>
      </w:pPr>
      <w:r>
        <w:rPr>
          <w:rFonts w:hint="eastAsia" w:ascii="楷体_GB2312" w:hAnsi="楷体_GB2312" w:eastAsia="楷体_GB2312" w:cs="楷体_GB2312"/>
          <w:b/>
          <w:bCs/>
        </w:rPr>
        <w:t>（一）评价结论</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rPr>
        <w:t>9年我单位部门整体支出绩效评价自查自评结果良好，全年基本支出保证了部门的正常运行和日常工作的正常开展，项目支出保障了重点工作的开展，达到预期绩效目标。</w:t>
      </w:r>
    </w:p>
    <w:p>
      <w:pPr>
        <w:pStyle w:val="3"/>
        <w:keepNext w:val="0"/>
        <w:keepLines w:val="0"/>
        <w:spacing w:before="0" w:after="0" w:line="576" w:lineRule="atLeast"/>
        <w:ind w:firstLine="640" w:firstLineChars="200"/>
        <w:rPr>
          <w:rFonts w:ascii="仿宋_GB2312" w:hAnsi="仿宋_GB2312" w:eastAsia="仿宋_GB2312" w:cs="仿宋_GB2312"/>
          <w:b w:val="0"/>
          <w:bCs w:val="0"/>
          <w:color w:val="000000"/>
          <w:kern w:val="0"/>
        </w:rPr>
      </w:pPr>
      <w:r>
        <w:rPr>
          <w:rFonts w:hint="eastAsia" w:ascii="仿宋_GB2312" w:hAnsi="仿宋_GB2312" w:eastAsia="仿宋_GB2312" w:cs="仿宋_GB2312"/>
          <w:b w:val="0"/>
          <w:bCs w:val="0"/>
          <w:color w:val="000000"/>
          <w:kern w:val="0"/>
        </w:rPr>
        <w:t>按照《茂县财政局关于开展</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9年财政支出绩效评价工作的通知》（茂财发</w:t>
      </w:r>
      <w:r>
        <w:rPr>
          <w:rFonts w:ascii="仿宋_GB2312" w:hAnsi="仿宋_GB2312" w:eastAsia="仿宋_GB2312" w:cs="仿宋_GB2312"/>
          <w:b w:val="0"/>
          <w:bCs w:val="0"/>
          <w:color w:val="000000"/>
          <w:kern w:val="0"/>
        </w:rPr>
        <w:t>[2019]38</w:t>
      </w:r>
      <w:r>
        <w:rPr>
          <w:rFonts w:hint="eastAsia" w:ascii="仿宋_GB2312" w:hAnsi="仿宋_GB2312" w:eastAsia="仿宋_GB2312" w:cs="仿宋_GB2312"/>
          <w:b w:val="0"/>
          <w:bCs w:val="0"/>
          <w:color w:val="000000"/>
          <w:kern w:val="0"/>
        </w:rPr>
        <w:t>号）</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9年黑虎镇人民部门整体支出绩效评价指标体系自评得分</w:t>
      </w:r>
      <w:r>
        <w:rPr>
          <w:rFonts w:hint="eastAsia" w:ascii="仿宋_GB2312" w:hAnsi="仿宋_GB2312" w:eastAsia="仿宋_GB2312" w:cs="仿宋_GB2312"/>
          <w:b w:val="0"/>
          <w:bCs w:val="0"/>
          <w:color w:val="000000"/>
          <w:kern w:val="0"/>
          <w:lang w:val="en-US" w:eastAsia="zh-CN"/>
        </w:rPr>
        <w:t>91</w:t>
      </w:r>
      <w:r>
        <w:rPr>
          <w:rFonts w:hint="eastAsia" w:ascii="仿宋_GB2312" w:hAnsi="仿宋_GB2312" w:eastAsia="仿宋_GB2312" w:cs="仿宋_GB2312"/>
          <w:b w:val="0"/>
          <w:bCs w:val="0"/>
          <w:color w:val="000000"/>
          <w:kern w:val="0"/>
        </w:rPr>
        <w:t>分。</w:t>
      </w:r>
    </w:p>
    <w:p>
      <w:pPr>
        <w:pStyle w:val="3"/>
        <w:keepNext w:val="0"/>
        <w:keepLines w:val="0"/>
        <w:spacing w:before="0" w:after="0" w:line="576" w:lineRule="atLeast"/>
        <w:ind w:firstLine="642" w:firstLineChars="200"/>
        <w:rPr>
          <w:rStyle w:val="31"/>
          <w:rFonts w:ascii="楷体_GB2312" w:hAnsi="楷体_GB2312" w:eastAsia="楷体_GB2312" w:cs="楷体_GB2312"/>
          <w:b/>
          <w:bCs/>
        </w:rPr>
      </w:pPr>
      <w:r>
        <w:rPr>
          <w:rFonts w:hint="eastAsia" w:ascii="楷体_GB2312" w:hAnsi="楷体_GB2312" w:eastAsia="楷体_GB2312" w:cs="楷体_GB2312"/>
          <w:b/>
          <w:bCs/>
        </w:rPr>
        <w:t>（二）存在问题</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spacing w:before="0" w:after="0" w:line="576" w:lineRule="atLeast"/>
        <w:ind w:firstLine="642" w:firstLineChars="200"/>
        <w:rPr>
          <w:rFonts w:ascii="楷体_GB2312" w:hAnsi="楷体_GB2312" w:eastAsia="楷体_GB2312" w:cs="楷体_GB2312"/>
          <w:b/>
          <w:bCs/>
        </w:rPr>
      </w:pPr>
      <w:r>
        <w:rPr>
          <w:rFonts w:hint="eastAsia" w:ascii="楷体_GB2312" w:hAnsi="楷体_GB2312" w:eastAsia="楷体_GB2312" w:cs="楷体_GB2312"/>
          <w:b/>
          <w:bCs/>
        </w:rPr>
        <w:t>（三）改进建议</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580" w:lineRule="exact"/>
        <w:rPr>
          <w:rFonts w:ascii="黑体" w:hAnsi="黑体" w:eastAsia="黑体" w:cs="黑体"/>
          <w:sz w:val="32"/>
          <w:szCs w:val="32"/>
        </w:rPr>
      </w:pPr>
    </w:p>
    <w:p>
      <w:pPr>
        <w:spacing w:line="600" w:lineRule="exact"/>
        <w:jc w:val="center"/>
        <w:outlineLvl w:val="0"/>
        <w:rPr>
          <w:rStyle w:val="24"/>
          <w:rFonts w:ascii="黑体" w:hAnsi="黑体" w:eastAsia="黑体"/>
          <w:b w:val="0"/>
        </w:rPr>
      </w:pPr>
      <w:bookmarkStart w:id="57" w:name="_Toc15396618"/>
      <w:r>
        <w:rPr>
          <w:rFonts w:hint="eastAsia" w:ascii="黑体" w:hAnsi="黑体" w:eastAsia="黑体"/>
          <w:color w:val="000000"/>
          <w:sz w:val="44"/>
          <w:szCs w:val="44"/>
        </w:rPr>
        <w:t>第</w:t>
      </w:r>
      <w:r>
        <w:rPr>
          <w:rStyle w:val="24"/>
          <w:rFonts w:hint="eastAsia" w:ascii="黑体" w:hAnsi="黑体" w:eastAsia="黑体"/>
          <w:b w:val="0"/>
        </w:rPr>
        <w:t>五部分 附表</w:t>
      </w:r>
      <w:bookmarkEnd w:id="54"/>
      <w:bookmarkEnd w:id="57"/>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58"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8"/>
    </w:p>
    <w:p>
      <w:pPr>
        <w:pStyle w:val="3"/>
        <w:rPr>
          <w:rFonts w:ascii="仿宋" w:hAnsi="仿宋" w:eastAsia="仿宋"/>
          <w:color w:val="000000"/>
        </w:rPr>
      </w:pPr>
      <w:bookmarkStart w:id="59"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9"/>
    </w:p>
    <w:p>
      <w:pPr>
        <w:pStyle w:val="3"/>
        <w:rPr>
          <w:rFonts w:ascii="仿宋" w:hAnsi="仿宋" w:eastAsia="仿宋"/>
          <w:color w:val="000000"/>
        </w:rPr>
      </w:pPr>
      <w:bookmarkStart w:id="60"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60"/>
    </w:p>
    <w:p>
      <w:pPr>
        <w:pStyle w:val="3"/>
        <w:rPr>
          <w:rFonts w:ascii="仿宋" w:hAnsi="仿宋" w:eastAsia="仿宋"/>
          <w:b w:val="0"/>
          <w:color w:val="000000"/>
        </w:rPr>
      </w:pPr>
      <w:bookmarkStart w:id="61"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61"/>
    </w:p>
    <w:p>
      <w:pPr>
        <w:pStyle w:val="3"/>
        <w:rPr>
          <w:rStyle w:val="25"/>
          <w:rFonts w:ascii="仿宋" w:hAnsi="仿宋" w:eastAsia="仿宋"/>
          <w:b w:val="0"/>
          <w:bCs w:val="0"/>
        </w:rPr>
      </w:pPr>
      <w:bookmarkStart w:id="62"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62"/>
      <w:bookmarkStart w:id="63"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63"/>
    </w:p>
    <w:p>
      <w:pPr>
        <w:pStyle w:val="3"/>
        <w:rPr>
          <w:rFonts w:ascii="仿宋" w:hAnsi="仿宋" w:eastAsia="仿宋"/>
          <w:color w:val="000000"/>
        </w:rPr>
      </w:pPr>
      <w:bookmarkStart w:id="64"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64"/>
    </w:p>
    <w:p>
      <w:pPr>
        <w:pStyle w:val="3"/>
        <w:rPr>
          <w:rFonts w:ascii="仿宋" w:hAnsi="仿宋" w:eastAsia="仿宋"/>
          <w:color w:val="000000"/>
        </w:rPr>
      </w:pPr>
      <w:bookmarkStart w:id="65"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5"/>
    </w:p>
    <w:p>
      <w:pPr>
        <w:pStyle w:val="3"/>
        <w:rPr>
          <w:rFonts w:ascii="仿宋" w:hAnsi="仿宋" w:eastAsia="仿宋"/>
          <w:color w:val="000000"/>
        </w:rPr>
      </w:pPr>
      <w:bookmarkStart w:id="66"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6"/>
    </w:p>
    <w:p>
      <w:pPr>
        <w:pStyle w:val="3"/>
        <w:rPr>
          <w:rFonts w:ascii="仿宋" w:hAnsi="仿宋" w:eastAsia="仿宋"/>
          <w:color w:val="000000"/>
        </w:rPr>
      </w:pPr>
      <w:bookmarkStart w:id="67"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7"/>
    </w:p>
    <w:p>
      <w:pPr>
        <w:pStyle w:val="3"/>
        <w:rPr>
          <w:rFonts w:ascii="仿宋" w:hAnsi="仿宋" w:eastAsia="仿宋"/>
          <w:color w:val="000000"/>
        </w:rPr>
      </w:pPr>
      <w:bookmarkStart w:id="68"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8"/>
    </w:p>
    <w:p>
      <w:pPr>
        <w:pStyle w:val="3"/>
        <w:rPr>
          <w:rFonts w:ascii="仿宋" w:hAnsi="仿宋" w:eastAsia="仿宋"/>
          <w:color w:val="000000"/>
        </w:rPr>
      </w:pPr>
      <w:bookmarkStart w:id="69"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9"/>
    </w:p>
    <w:p>
      <w:pPr>
        <w:pStyle w:val="3"/>
        <w:rPr>
          <w:rFonts w:ascii="仿宋" w:hAnsi="仿宋" w:eastAsia="仿宋"/>
          <w:color w:val="000000" w:themeColor="text1"/>
        </w:rPr>
      </w:pPr>
      <w:bookmarkStart w:id="70" w:name="_Toc15396631"/>
      <w:r>
        <w:rPr>
          <w:rStyle w:val="25"/>
          <w:rFonts w:hint="eastAsia" w:ascii="仿宋" w:hAnsi="仿宋" w:eastAsia="仿宋"/>
          <w:b w:val="0"/>
          <w:bCs w:val="0"/>
        </w:rPr>
        <w:t>十三、</w:t>
      </w:r>
      <w:r>
        <w:rPr>
          <w:rFonts w:hint="eastAsia" w:ascii="仿宋" w:hAnsi="仿宋" w:eastAsia="仿宋"/>
          <w:b w:val="0"/>
          <w:color w:val="000000"/>
        </w:rPr>
        <w:t>国</w:t>
      </w:r>
      <w:r>
        <w:rPr>
          <w:rStyle w:val="25"/>
          <w:rFonts w:hint="eastAsia" w:ascii="仿宋" w:hAnsi="仿宋" w:eastAsia="仿宋"/>
          <w:b w:val="0"/>
          <w:bCs w:val="0"/>
        </w:rPr>
        <w:t>有资本经营预算支出决算表</w:t>
      </w:r>
      <w:bookmarkEnd w:id="70"/>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25</w:t>
        </w:r>
        <w:r>
          <w:rPr>
            <w:lang w:val="zh-CN"/>
          </w:rP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5BBD"/>
    <w:rsid w:val="000468DB"/>
    <w:rsid w:val="0006487A"/>
    <w:rsid w:val="00065F8F"/>
    <w:rsid w:val="00070A43"/>
    <w:rsid w:val="000768F2"/>
    <w:rsid w:val="0009184B"/>
    <w:rsid w:val="00094236"/>
    <w:rsid w:val="0009593C"/>
    <w:rsid w:val="00097322"/>
    <w:rsid w:val="000A6A92"/>
    <w:rsid w:val="000B047F"/>
    <w:rsid w:val="000B07DC"/>
    <w:rsid w:val="000B521B"/>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65E2F"/>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47C64"/>
    <w:rsid w:val="00260C38"/>
    <w:rsid w:val="002616C0"/>
    <w:rsid w:val="00265372"/>
    <w:rsid w:val="002662AA"/>
    <w:rsid w:val="00274508"/>
    <w:rsid w:val="00280496"/>
    <w:rsid w:val="00294DC9"/>
    <w:rsid w:val="00295495"/>
    <w:rsid w:val="002A0D64"/>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1898"/>
    <w:rsid w:val="00416CD4"/>
    <w:rsid w:val="004223DE"/>
    <w:rsid w:val="00434489"/>
    <w:rsid w:val="00437085"/>
    <w:rsid w:val="00443880"/>
    <w:rsid w:val="004464F4"/>
    <w:rsid w:val="004535FD"/>
    <w:rsid w:val="00471401"/>
    <w:rsid w:val="00473F31"/>
    <w:rsid w:val="0048263A"/>
    <w:rsid w:val="00487E5D"/>
    <w:rsid w:val="004A38C6"/>
    <w:rsid w:val="004A711F"/>
    <w:rsid w:val="004B199D"/>
    <w:rsid w:val="004B4690"/>
    <w:rsid w:val="004C2D33"/>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9279F"/>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96D42"/>
    <w:rsid w:val="006A3141"/>
    <w:rsid w:val="006A5E34"/>
    <w:rsid w:val="006B2422"/>
    <w:rsid w:val="006B2B9A"/>
    <w:rsid w:val="006C1937"/>
    <w:rsid w:val="006C642A"/>
    <w:rsid w:val="006F020C"/>
    <w:rsid w:val="007127B7"/>
    <w:rsid w:val="0071798E"/>
    <w:rsid w:val="00727533"/>
    <w:rsid w:val="007416B6"/>
    <w:rsid w:val="00746F48"/>
    <w:rsid w:val="0075404D"/>
    <w:rsid w:val="0076182A"/>
    <w:rsid w:val="00767B7E"/>
    <w:rsid w:val="00775D9A"/>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63715"/>
    <w:rsid w:val="0097099F"/>
    <w:rsid w:val="00971997"/>
    <w:rsid w:val="00971FFC"/>
    <w:rsid w:val="00983342"/>
    <w:rsid w:val="0098660A"/>
    <w:rsid w:val="009931C3"/>
    <w:rsid w:val="009B2C43"/>
    <w:rsid w:val="009B4EAE"/>
    <w:rsid w:val="009B5F7C"/>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1D5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3234"/>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43B1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67648"/>
    <w:rsid w:val="00D7035F"/>
    <w:rsid w:val="00DA634F"/>
    <w:rsid w:val="00DA65AC"/>
    <w:rsid w:val="00DB1913"/>
    <w:rsid w:val="00DC410D"/>
    <w:rsid w:val="00DC5A81"/>
    <w:rsid w:val="00DC68CA"/>
    <w:rsid w:val="00DC7CBA"/>
    <w:rsid w:val="00DD2B16"/>
    <w:rsid w:val="00DD73B7"/>
    <w:rsid w:val="00DE3A1D"/>
    <w:rsid w:val="00DF28BC"/>
    <w:rsid w:val="00DF34B9"/>
    <w:rsid w:val="00DF7548"/>
    <w:rsid w:val="00E01053"/>
    <w:rsid w:val="00E04F08"/>
    <w:rsid w:val="00E07ACF"/>
    <w:rsid w:val="00E331A1"/>
    <w:rsid w:val="00E33202"/>
    <w:rsid w:val="00E336A9"/>
    <w:rsid w:val="00E4346E"/>
    <w:rsid w:val="00E472B1"/>
    <w:rsid w:val="00E50624"/>
    <w:rsid w:val="00E568DF"/>
    <w:rsid w:val="00E64269"/>
    <w:rsid w:val="00E66797"/>
    <w:rsid w:val="00E71198"/>
    <w:rsid w:val="00E82267"/>
    <w:rsid w:val="00E853CE"/>
    <w:rsid w:val="00E867B6"/>
    <w:rsid w:val="00E87F08"/>
    <w:rsid w:val="00EA010F"/>
    <w:rsid w:val="00EB4123"/>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3A0A"/>
    <w:rsid w:val="00F754A1"/>
    <w:rsid w:val="00F81FD9"/>
    <w:rsid w:val="00F83E5F"/>
    <w:rsid w:val="00F841AA"/>
    <w:rsid w:val="00F84A94"/>
    <w:rsid w:val="00F87E96"/>
    <w:rsid w:val="00FA23E8"/>
    <w:rsid w:val="00FD3CC1"/>
    <w:rsid w:val="00FF1E02"/>
    <w:rsid w:val="00FF30B4"/>
    <w:rsid w:val="00FF4A84"/>
    <w:rsid w:val="05E23D27"/>
    <w:rsid w:val="080B3CDE"/>
    <w:rsid w:val="08D246C0"/>
    <w:rsid w:val="0A8F0F43"/>
    <w:rsid w:val="0B1A6678"/>
    <w:rsid w:val="0D8A220F"/>
    <w:rsid w:val="0D953F3D"/>
    <w:rsid w:val="0DFB0039"/>
    <w:rsid w:val="0EA25332"/>
    <w:rsid w:val="10033D0A"/>
    <w:rsid w:val="102F7C4C"/>
    <w:rsid w:val="10C055FF"/>
    <w:rsid w:val="130C6946"/>
    <w:rsid w:val="140B70E5"/>
    <w:rsid w:val="16BB2DD0"/>
    <w:rsid w:val="16BB723D"/>
    <w:rsid w:val="18634D3F"/>
    <w:rsid w:val="193B1C9A"/>
    <w:rsid w:val="19F012C6"/>
    <w:rsid w:val="19FF6520"/>
    <w:rsid w:val="1DEF33B8"/>
    <w:rsid w:val="1E666B4F"/>
    <w:rsid w:val="2015329D"/>
    <w:rsid w:val="21E62C46"/>
    <w:rsid w:val="2240551F"/>
    <w:rsid w:val="23964E46"/>
    <w:rsid w:val="240371BF"/>
    <w:rsid w:val="242D3BD4"/>
    <w:rsid w:val="253E05DE"/>
    <w:rsid w:val="262A0B94"/>
    <w:rsid w:val="265A03E2"/>
    <w:rsid w:val="279146C1"/>
    <w:rsid w:val="27CA3329"/>
    <w:rsid w:val="28C103A0"/>
    <w:rsid w:val="29FD04D3"/>
    <w:rsid w:val="2AB36692"/>
    <w:rsid w:val="2AD61018"/>
    <w:rsid w:val="2ED517B4"/>
    <w:rsid w:val="2EE24C8F"/>
    <w:rsid w:val="31283159"/>
    <w:rsid w:val="319F7F4E"/>
    <w:rsid w:val="31C11995"/>
    <w:rsid w:val="31E06AF9"/>
    <w:rsid w:val="342A796E"/>
    <w:rsid w:val="343068F2"/>
    <w:rsid w:val="3712301A"/>
    <w:rsid w:val="3AD7160C"/>
    <w:rsid w:val="41932C39"/>
    <w:rsid w:val="43604A0E"/>
    <w:rsid w:val="47055083"/>
    <w:rsid w:val="482C6F0E"/>
    <w:rsid w:val="4CCE13B4"/>
    <w:rsid w:val="4ECE2238"/>
    <w:rsid w:val="50455182"/>
    <w:rsid w:val="50F16590"/>
    <w:rsid w:val="521252BD"/>
    <w:rsid w:val="551614CA"/>
    <w:rsid w:val="56315C80"/>
    <w:rsid w:val="59C43BBE"/>
    <w:rsid w:val="5CF239FE"/>
    <w:rsid w:val="5D8A799E"/>
    <w:rsid w:val="5EB4003F"/>
    <w:rsid w:val="5EEE632D"/>
    <w:rsid w:val="619767E1"/>
    <w:rsid w:val="63AC0185"/>
    <w:rsid w:val="63CE4746"/>
    <w:rsid w:val="66C921D6"/>
    <w:rsid w:val="67B61286"/>
    <w:rsid w:val="6A1161B4"/>
    <w:rsid w:val="6A160C97"/>
    <w:rsid w:val="72734D90"/>
    <w:rsid w:val="72A757A4"/>
    <w:rsid w:val="754F5E77"/>
    <w:rsid w:val="7B78424C"/>
    <w:rsid w:val="7D5B5003"/>
    <w:rsid w:val="7DB17AF0"/>
    <w:rsid w:val="7DC56FEA"/>
    <w:rsid w:val="7E301CD0"/>
    <w:rsid w:val="7EDE4212"/>
    <w:rsid w:val="BFBD481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Char"/>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Char"/>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Char"/>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7">
    <w:name w:val="批注框文本 Char"/>
    <w:basedOn w:val="13"/>
    <w:link w:val="7"/>
    <w:semiHidden/>
    <w:qFormat/>
    <w:uiPriority w:val="99"/>
    <w:rPr>
      <w:rFonts w:ascii="Times New Roman" w:hAnsi="Times New Roman"/>
      <w:kern w:val="2"/>
      <w:sz w:val="18"/>
      <w:szCs w:val="18"/>
    </w:rPr>
  </w:style>
  <w:style w:type="character" w:customStyle="1" w:styleId="28">
    <w:name w:val="标题 3 Char"/>
    <w:basedOn w:val="13"/>
    <w:link w:val="4"/>
    <w:qFormat/>
    <w:uiPriority w:val="9"/>
    <w:rPr>
      <w:rFonts w:ascii="Times New Roman" w:hAnsi="Times New Roman"/>
      <w:b/>
      <w:bCs/>
      <w:kern w:val="2"/>
      <w:sz w:val="32"/>
      <w:szCs w:val="32"/>
    </w:rPr>
  </w:style>
  <w:style w:type="paragraph" w:customStyle="1" w:styleId="29">
    <w:name w:val="TOC 标题2"/>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0">
    <w:name w:val="标题 1 Char"/>
    <w:basedOn w:val="13"/>
    <w:link w:val="2"/>
    <w:qFormat/>
    <w:locked/>
    <w:uiPriority w:val="99"/>
    <w:rPr>
      <w:rFonts w:ascii="Times New Roman" w:hAnsi="Times New Roman" w:cs="Times New Roman"/>
      <w:b/>
      <w:bCs/>
      <w:kern w:val="44"/>
      <w:sz w:val="44"/>
      <w:szCs w:val="44"/>
    </w:rPr>
  </w:style>
  <w:style w:type="character" w:customStyle="1" w:styleId="31">
    <w:name w:val="标题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Administrator\Desktop\&#26032;&#24314;%20XLSX%20&#24037;&#20316;&#3492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Administrator\Desktop\&#26032;&#24314;%20XLSX%20&#24037;&#20316;&#3492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_rels/chart6.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C:\Users\Administrator\Desktop\&#26032;&#24314;%20Microsoft%20Office%20Excel%20&#24037;&#20316;&#34920;.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工作表.xlsx]Sheet1'!$B$1:$B$2</c:f>
              <c:strCache>
                <c:ptCount val="2"/>
                <c:pt idx="0">
                  <c:v>2019年</c:v>
                </c:pt>
                <c:pt idx="1">
                  <c:v>2018年</c:v>
                </c:pt>
              </c:strCache>
            </c:strRef>
          </c:cat>
          <c:val>
            <c:numRef>
              <c:f>'[新建 XLSX 工作表.xlsx]Sheet1'!$C$1:$C$2</c:f>
              <c:numCache>
                <c:formatCode>General</c:formatCode>
                <c:ptCount val="2"/>
                <c:pt idx="0">
                  <c:v>522.75</c:v>
                </c:pt>
                <c:pt idx="1">
                  <c:v>904.66</c:v>
                </c:pt>
              </c:numCache>
            </c:numRef>
          </c:val>
        </c:ser>
        <c:dLbls>
          <c:showLegendKey val="0"/>
          <c:showVal val="1"/>
          <c:showCatName val="0"/>
          <c:showSerName val="0"/>
          <c:showPercent val="0"/>
          <c:showBubbleSize val="0"/>
        </c:dLbls>
        <c:gapWidth val="219"/>
        <c:overlap val="-27"/>
        <c:axId val="924396838"/>
        <c:axId val="389408235"/>
      </c:barChart>
      <c:catAx>
        <c:axId val="92439683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9408235"/>
        <c:crosses val="autoZero"/>
        <c:auto val="1"/>
        <c:lblAlgn val="ctr"/>
        <c:lblOffset val="100"/>
        <c:noMultiLvlLbl val="0"/>
      </c:catAx>
      <c:valAx>
        <c:axId val="3894082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439683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[工作簿1]Sheet1!$H$51</c:f>
              <c:strCache>
                <c:ptCount val="1"/>
                <c:pt idx="0">
                  <c:v>本年收入</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r>
                      <a:rPr lang="en-US" altLang="en-US"/>
                      <a:t>454.25</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r>
                      <a:rPr lang="en-US" altLang="en-US"/>
                      <a:t>1.84</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[工作簿1]Sheet1!$G$52:$G$53</c:f>
              <c:strCache>
                <c:ptCount val="2"/>
                <c:pt idx="0">
                  <c:v>一般公共预算财政拨款收入</c:v>
                </c:pt>
                <c:pt idx="1">
                  <c:v>政府性基金预算财政拨款收入</c:v>
                </c:pt>
              </c:strCache>
            </c:strRef>
          </c:cat>
          <c:val>
            <c:numRef>
              <c:f>[工作簿1]Sheet1!$H$52:$H$53</c:f>
              <c:numCache>
                <c:formatCode>General</c:formatCode>
                <c:ptCount val="2"/>
                <c:pt idx="0">
                  <c:v>1066.74</c:v>
                </c:pt>
                <c:pt idx="1">
                  <c:v>12.32</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[工作簿1]Sheet1!$G$68</c:f>
              <c:strCache>
                <c:ptCount val="1"/>
                <c:pt idx="0">
                  <c:v>本年支出</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r>
                      <a:rPr lang="en-US" altLang="en-US"/>
                      <a:t>304.79</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dLbl>
              <c:idx val="1"/>
              <c:layout/>
              <c:tx>
                <c:rich>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r>
                      <a:rPr lang="en-US" altLang="en-US"/>
                      <a:t>160.78</a:t>
                    </a:r>
                    <a:r>
                      <a:rPr altLang="en-US"/>
                      <a:t>1</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[工作簿1]Sheet1!$F$69:$F$70</c:f>
              <c:strCache>
                <c:ptCount val="2"/>
                <c:pt idx="0">
                  <c:v>基本支出</c:v>
                </c:pt>
                <c:pt idx="1">
                  <c:v>项目支出</c:v>
                </c:pt>
              </c:strCache>
            </c:strRef>
          </c:cat>
          <c:val>
            <c:numRef>
              <c:f>[工作簿1]Sheet1!$G$69:$G$70</c:f>
              <c:numCache>
                <c:formatCode>General</c:formatCode>
                <c:ptCount val="2"/>
                <c:pt idx="0">
                  <c:v>801.58</c:v>
                </c:pt>
                <c:pt idx="1">
                  <c:v>292.81</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财政拨款收支情况</a:t>
            </a: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'[新建 XLSX 工作表.xlsx]Sheet1'!$B$1:$B$2</c:f>
              <c:strCache>
                <c:ptCount val="2"/>
                <c:pt idx="0">
                  <c:v>2019年</c:v>
                </c:pt>
                <c:pt idx="1">
                  <c:v>2018年</c:v>
                </c:pt>
              </c:strCache>
            </c:strRef>
          </c:cat>
          <c:val>
            <c:numRef>
              <c:f>'[新建 XLSX 工作表.xlsx]Sheet1'!$C$1:$C$2</c:f>
              <c:numCache>
                <c:formatCode>General</c:formatCode>
                <c:ptCount val="2"/>
                <c:pt idx="0">
                  <c:v>522.75</c:v>
                </c:pt>
                <c:pt idx="1">
                  <c:v>904.66</c:v>
                </c:pt>
              </c:numCache>
            </c:numRef>
          </c:val>
        </c:ser>
        <c:dLbls>
          <c:showLegendKey val="0"/>
          <c:showVal val="1"/>
          <c:showCatName val="0"/>
          <c:showSerName val="0"/>
          <c:showPercent val="0"/>
          <c:showBubbleSize val="0"/>
        </c:dLbls>
        <c:gapWidth val="219"/>
        <c:overlap val="-27"/>
        <c:axId val="924396838"/>
        <c:axId val="389408235"/>
      </c:barChart>
      <c:catAx>
        <c:axId val="924396838"/>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389408235"/>
        <c:crosses val="autoZero"/>
        <c:auto val="1"/>
        <c:lblAlgn val="ctr"/>
        <c:lblOffset val="100"/>
        <c:noMultiLvlLbl val="0"/>
      </c:catAx>
      <c:valAx>
        <c:axId val="38940823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2439683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[工作簿1]Sheet1!$E$117</c:f>
              <c:strCache>
                <c:ptCount val="1"/>
                <c:pt idx="0">
                  <c:v>一般公共预算财政拨款支出</c:v>
                </c:pt>
              </c:strCache>
            </c:strRef>
          </c:tx>
          <c:explosion val="0"/>
          <c:dPt>
            <c:idx val="0"/>
            <c:bubble3D val="0"/>
            <c:spPr>
              <a:solidFill>
                <a:srgbClr val="4F81BD"/>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defTabSz="914400">
                      <a:defRPr lang="zh-CN" sz="900" b="0" i="0" u="none" strike="noStrike" kern="1200" baseline="0">
                        <a:solidFill>
                          <a:srgbClr val="404040">
                            <a:lumMod val="75000"/>
                            <a:lumOff val="25000"/>
                          </a:srgbClr>
                        </a:solidFill>
                        <a:latin typeface="+mn-lt"/>
                        <a:ea typeface="+mn-ea"/>
                        <a:cs typeface="+mn-cs"/>
                      </a:defRPr>
                    </a:pPr>
                    <a:r>
                      <a:rPr lang="en-US" altLang="zh-CN"/>
                      <a:t>463.72</a:t>
                    </a:r>
                    <a:endParaRPr lang="en-US" altLang="zh-CN"/>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[工作簿1]Sheet1!$F$116</c:f>
              <c:strCache>
                <c:ptCount val="1"/>
                <c:pt idx="0">
                  <c:v>本年支出</c:v>
                </c:pt>
              </c:strCache>
            </c:strRef>
          </c:cat>
          <c:val>
            <c:numRef>
              <c:f>[工作簿1]Sheet1!$F$117</c:f>
              <c:numCache>
                <c:formatCode>General</c:formatCode>
                <c:ptCount val="1"/>
                <c:pt idx="0">
                  <c:v>1082.05</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44383616833449"/>
          <c:y val="0.199252016574851"/>
          <c:w val="0.424849659029642"/>
          <c:h val="0.689408054762385"/>
        </c:manualLayout>
      </c:layout>
      <c:pieChart>
        <c:varyColors val="1"/>
        <c:ser>
          <c:idx val="0"/>
          <c:order val="0"/>
          <c:explosion val="0"/>
          <c:dPt>
            <c:idx val="0"/>
            <c:bubble3D val="0"/>
          </c:dPt>
          <c:dPt>
            <c:idx val="1"/>
            <c:bubble3D val="0"/>
          </c:dPt>
          <c:dPt>
            <c:idx val="2"/>
            <c:bubble3D val="0"/>
          </c:dPt>
          <c:dPt>
            <c:idx val="3"/>
            <c:bubble3D val="0"/>
          </c:dPt>
          <c:dPt>
            <c:idx val="4"/>
            <c:bubble3D val="0"/>
          </c:dPt>
          <c:dPt>
            <c:idx val="5"/>
            <c:bubble3D val="0"/>
          </c:dPt>
          <c:dPt>
            <c:idx val="6"/>
            <c:bubble3D val="0"/>
          </c:dPt>
          <c:dLbls>
            <c:dLbl>
              <c:idx val="1"/>
              <c:delete val="1"/>
            </c:dLbl>
            <c:dLbl>
              <c:idx val="2"/>
              <c:layout>
                <c:manualLayout>
                  <c:x val="-0.0571807192285577"/>
                  <c:y val="-0.12778291818581"/>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dLbl>
              <c:idx val="5"/>
              <c:layout>
                <c:manualLayout>
                  <c:x val="0.00104999560224575"/>
                  <c:y val="0.0960527793947936"/>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Sheet1!$A$1:$A$7</c:f>
              <c:strCache>
                <c:ptCount val="7"/>
                <c:pt idx="0">
                  <c:v>一般公共服务支出</c:v>
                </c:pt>
                <c:pt idx="1">
                  <c:v>城乡社区支出</c:v>
                </c:pt>
                <c:pt idx="2">
                  <c:v>社会保障和就业支出</c:v>
                </c:pt>
                <c:pt idx="3">
                  <c:v>卫生健康支出</c:v>
                </c:pt>
                <c:pt idx="4">
                  <c:v>农林水支出</c:v>
                </c:pt>
                <c:pt idx="5">
                  <c:v>住房保障支出</c:v>
                </c:pt>
                <c:pt idx="6">
                  <c:v>其他支出</c:v>
                </c:pt>
              </c:strCache>
            </c:strRef>
          </c:cat>
          <c:val>
            <c:numRef>
              <c:f>Sheet1!$B$1:$B$7</c:f>
              <c:numCache>
                <c:formatCode>General</c:formatCode>
                <c:ptCount val="7"/>
                <c:pt idx="0">
                  <c:v>173.17</c:v>
                </c:pt>
                <c:pt idx="1">
                  <c:v>1.85</c:v>
                </c:pt>
                <c:pt idx="2">
                  <c:v>34.83</c:v>
                </c:pt>
                <c:pt idx="3">
                  <c:v>17.85</c:v>
                </c:pt>
                <c:pt idx="4">
                  <c:v>211.83</c:v>
                </c:pt>
                <c:pt idx="5">
                  <c:v>23.44</c:v>
                </c:pt>
                <c:pt idx="6">
                  <c:v>2.6</c:v>
                </c:pt>
              </c:numCache>
            </c:numRef>
          </c:val>
        </c:ser>
        <c:dLbls>
          <c:showLegendKey val="0"/>
          <c:showVal val="1"/>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userShapes r:id="rId2"/>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[工作簿1]Sheet1!$E$146</c:f>
              <c:strCache>
                <c:ptCount val="1"/>
                <c:pt idx="0">
                  <c:v>三公经费支出决算数</c:v>
                </c:pt>
              </c:strCache>
            </c:strRef>
          </c:tx>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Lbls>
            <c:dLbl>
              <c:idx val="0"/>
              <c:layout/>
              <c:tx>
                <c:rich>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r>
                      <a:rPr lang="en-US" altLang="en-US"/>
                      <a:t>3.5</a:t>
                    </a:r>
                    <a:endParaRPr altLang="en-US"/>
                  </a:p>
                </c:rich>
              </c:tx>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prstDash val="solid"/>
                      <a:round/>
                    </a:ln>
                    <a:effectLst/>
                  </c:spPr>
                </c15:leaderLines>
              </c:ext>
            </c:extLst>
          </c:dLbls>
          <c:cat>
            <c:strRef>
              <c:f>[工作簿1]Sheet1!$D$147:$D$149</c:f>
              <c:strCache>
                <c:ptCount val="3"/>
                <c:pt idx="0">
                  <c:v>公务用车运行维护费</c:v>
                </c:pt>
                <c:pt idx="1">
                  <c:v>公务接待费</c:v>
                </c:pt>
                <c:pt idx="2">
                  <c:v>因公出国（境）费</c:v>
                </c:pt>
              </c:strCache>
            </c:strRef>
          </c:cat>
          <c:val>
            <c:numRef>
              <c:f>[工作簿1]Sheet1!$E$147:$E$149</c:f>
              <c:numCache>
                <c:formatCode>General</c:formatCode>
                <c:ptCount val="3"/>
                <c:pt idx="0">
                  <c:v>8.61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zero"/>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prstDash val="solid"/>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1.png"/></Relationships>
</file>

<file path=word/drawings/drawing1.xml><?xml version="1.0" encoding="utf-8"?>
<c:userShapes xmlns:c="http://schemas.openxmlformats.org/drawingml/2006/chart">
  <cdr:relSizeAnchor xmlns:cdr="http://schemas.openxmlformats.org/drawingml/2006/chartDrawing">
    <cdr:from>
      <cdr:x>0.15422</cdr:x>
      <cdr:y>0</cdr:y>
    </cdr:from>
    <cdr:to>
      <cdr:x>0.90843</cdr:x>
      <cdr:y>0.1137</cdr:y>
    </cdr:to>
    <cdr:pic xmlns:a="http://schemas.openxmlformats.org/drawingml/2006/main">
      <cdr:nvPicPr>
        <cdr:cNvPr id="2" name="图片 1"/>
        <cdr:cNvPicPr/>
      </cdr:nvPicPr>
      <cdr:blipFill>
        <a:blip xmlns:r="http://schemas.openxmlformats.org/officeDocument/2006/relationships" r:embed="rId1"/>
        <a:stretch>
          <a:fillRect/>
        </a:stretch>
      </cdr:blipFill>
      <cdr:spPr>
        <a:xfrm>
          <a:off x="609600" y="0"/>
          <a:ext cx="2981325" cy="314081"/>
        </a:xfrm>
        <a:prstGeom prst="rect">
          <a:avLst/>
        </a:prstGeom>
      </cdr:spPr>
    </cdr:pic>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38</Pages>
  <Words>2320</Words>
  <Characters>13230</Characters>
  <Lines>110</Lines>
  <Paragraphs>31</Paragraphs>
  <TotalTime>66</TotalTime>
  <ScaleCrop>false</ScaleCrop>
  <LinksUpToDate>false</LinksUpToDate>
  <CharactersWithSpaces>15519</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2020-09-24T12:07:00Z</dcterms:created>
  <dc:creator>曹颖</dc:creator>
  <cp:lastModifiedBy>user</cp:lastModifiedBy>
  <cp:lastPrinted>2020-09-25T12:14:00Z</cp:lastPrinted>
  <dcterms:modified xsi:type="dcterms:W3CDTF">2026-05-19T09:43:14Z</dcterms:modified>
  <dc:title>四川省***</dc:title>
  <cp:revision>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ies>
</file>