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napToGrid w:val="0"/>
        <w:spacing w:before="100" w:beforeAutospacing="1" w:after="100" w:afterAutospacing="1" w:line="560" w:lineRule="exact"/>
        <w:ind w:firstLine="880" w:firstLineChars="200"/>
        <w:jc w:val="center"/>
        <w:rPr>
          <w:rFonts w:hint="eastAsia" w:ascii="方正小标宋简体" w:hAnsi="方正小标宋简体" w:eastAsia="方正小标宋简体" w:cs="方正小标宋简体"/>
          <w:color w:val="000000" w:themeColor="text1"/>
          <w:sz w:val="44"/>
          <w:szCs w:val="44"/>
          <w:lang w:eastAsia="zh-CN"/>
        </w:rPr>
      </w:pPr>
      <w:r>
        <w:rPr>
          <w:rFonts w:hint="eastAsia" w:ascii="方正小标宋简体" w:hAnsi="方正小标宋简体" w:eastAsia="方正小标宋简体" w:cs="方正小标宋简体"/>
          <w:color w:val="000000" w:themeColor="text1"/>
          <w:sz w:val="44"/>
          <w:szCs w:val="44"/>
          <w:lang w:eastAsia="zh-CN"/>
        </w:rPr>
        <w:t>茂县黑虎镇人民政府</w:t>
      </w:r>
    </w:p>
    <w:p>
      <w:pPr>
        <w:shd w:val="clear" w:color="auto" w:fill="FFFFFF"/>
        <w:snapToGrid w:val="0"/>
        <w:spacing w:before="100" w:beforeAutospacing="1" w:after="100" w:afterAutospacing="1" w:line="560" w:lineRule="exact"/>
        <w:ind w:firstLine="880" w:firstLineChars="200"/>
        <w:jc w:val="center"/>
        <w:rPr>
          <w:rFonts w:hint="eastAsia" w:ascii="方正小标宋简体" w:hAnsi="方正小标宋简体" w:eastAsia="方正小标宋简体" w:cs="方正小标宋简体"/>
          <w:color w:val="000000" w:themeColor="text1"/>
          <w:sz w:val="44"/>
          <w:szCs w:val="44"/>
          <w:lang w:eastAsia="zh-CN"/>
        </w:rPr>
      </w:pPr>
      <w:r>
        <w:rPr>
          <w:rFonts w:hint="eastAsia" w:ascii="方正小标宋简体" w:hAnsi="方正小标宋简体" w:eastAsia="方正小标宋简体" w:cs="方正小标宋简体"/>
          <w:color w:val="000000" w:themeColor="text1"/>
          <w:sz w:val="44"/>
          <w:szCs w:val="44"/>
          <w:lang w:eastAsia="zh-CN"/>
        </w:rPr>
        <w:t>2021年部门预算公开情况说明</w:t>
      </w:r>
    </w:p>
    <w:p>
      <w:pPr>
        <w:spacing w:line="576" w:lineRule="exact"/>
        <w:ind w:firstLine="0"/>
        <w:jc w:val="center"/>
        <w:rPr>
          <w:rFonts w:ascii="宋体" w:hAnsi="宋体"/>
          <w:sz w:val="32"/>
          <w:szCs w:val="32"/>
          <w:lang w:eastAsia="zh-CN"/>
        </w:rPr>
      </w:pPr>
      <w:r>
        <w:rPr>
          <w:rFonts w:ascii="宋体" w:hAnsi="宋体"/>
          <w:sz w:val="32"/>
          <w:szCs w:val="32"/>
          <w:lang w:eastAsia="zh-CN"/>
        </w:rPr>
        <w:t>目 录</w:t>
      </w:r>
    </w:p>
    <w:p>
      <w:pPr>
        <w:spacing w:line="576" w:lineRule="exact"/>
        <w:ind w:firstLine="0"/>
        <w:jc w:val="center"/>
        <w:rPr>
          <w:rFonts w:ascii="宋体" w:hAnsi="宋体"/>
          <w:sz w:val="32"/>
          <w:szCs w:val="32"/>
          <w:lang w:eastAsia="zh-CN"/>
        </w:rPr>
      </w:pPr>
    </w:p>
    <w:p>
      <w:pPr>
        <w:spacing w:line="576" w:lineRule="exact"/>
        <w:ind w:firstLine="0"/>
        <w:rPr>
          <w:rFonts w:ascii="宋体" w:hAnsi="宋体"/>
          <w:sz w:val="32"/>
          <w:szCs w:val="32"/>
          <w:lang w:eastAsia="zh-CN"/>
        </w:rPr>
      </w:pPr>
      <w:r>
        <w:rPr>
          <w:rFonts w:ascii="宋体" w:hAnsi="宋体"/>
          <w:sz w:val="32"/>
          <w:szCs w:val="32"/>
          <w:lang w:eastAsia="zh-CN"/>
        </w:rPr>
        <w:t>　　一、基本职能及主要工作</w:t>
      </w:r>
    </w:p>
    <w:p>
      <w:pPr>
        <w:spacing w:line="576" w:lineRule="exact"/>
        <w:ind w:firstLine="0"/>
        <w:rPr>
          <w:rFonts w:ascii="宋体" w:hAnsi="宋体"/>
          <w:sz w:val="32"/>
          <w:szCs w:val="32"/>
          <w:lang w:eastAsia="zh-CN"/>
        </w:rPr>
      </w:pPr>
      <w:r>
        <w:rPr>
          <w:rFonts w:ascii="宋体" w:hAnsi="宋体"/>
          <w:sz w:val="32"/>
          <w:szCs w:val="32"/>
          <w:lang w:eastAsia="zh-CN"/>
        </w:rPr>
        <w:t>　　（一）部门职能简介</w:t>
      </w:r>
    </w:p>
    <w:p>
      <w:pPr>
        <w:spacing w:line="576" w:lineRule="exact"/>
        <w:ind w:firstLine="0"/>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spacing w:line="576" w:lineRule="exact"/>
        <w:ind w:firstLine="0"/>
        <w:rPr>
          <w:rFonts w:ascii="宋体" w:hAnsi="宋体"/>
          <w:sz w:val="32"/>
          <w:szCs w:val="32"/>
          <w:lang w:eastAsia="zh-CN"/>
        </w:rPr>
      </w:pPr>
      <w:r>
        <w:rPr>
          <w:rFonts w:ascii="宋体" w:hAnsi="宋体"/>
          <w:sz w:val="32"/>
          <w:szCs w:val="32"/>
          <w:lang w:eastAsia="zh-CN"/>
        </w:rPr>
        <w:t>　　二、部门预算单位构成</w:t>
      </w:r>
    </w:p>
    <w:p>
      <w:pPr>
        <w:spacing w:line="576" w:lineRule="exact"/>
        <w:ind w:firstLine="0"/>
        <w:rPr>
          <w:rFonts w:ascii="宋体" w:hAnsi="宋体"/>
          <w:sz w:val="32"/>
          <w:szCs w:val="32"/>
          <w:lang w:eastAsia="zh-CN"/>
        </w:rPr>
      </w:pPr>
      <w:r>
        <w:rPr>
          <w:rFonts w:ascii="宋体" w:hAnsi="宋体"/>
          <w:sz w:val="32"/>
          <w:szCs w:val="32"/>
          <w:lang w:eastAsia="zh-CN"/>
        </w:rPr>
        <w:t>　　三、收支预算情况说明</w:t>
      </w:r>
    </w:p>
    <w:p>
      <w:pPr>
        <w:spacing w:line="576" w:lineRule="exact"/>
        <w:ind w:firstLine="0"/>
        <w:rPr>
          <w:rFonts w:ascii="宋体" w:hAnsi="宋体"/>
          <w:sz w:val="32"/>
          <w:szCs w:val="32"/>
          <w:lang w:eastAsia="zh-CN"/>
        </w:rPr>
      </w:pPr>
      <w:r>
        <w:rPr>
          <w:rFonts w:ascii="宋体" w:hAnsi="宋体"/>
          <w:sz w:val="32"/>
          <w:szCs w:val="32"/>
          <w:lang w:eastAsia="zh-CN"/>
        </w:rPr>
        <w:t>　　（一）收入预算情况</w:t>
      </w:r>
    </w:p>
    <w:p>
      <w:pPr>
        <w:spacing w:line="576" w:lineRule="exact"/>
        <w:ind w:firstLine="0"/>
        <w:rPr>
          <w:rFonts w:ascii="宋体" w:hAnsi="宋体"/>
          <w:sz w:val="32"/>
          <w:szCs w:val="32"/>
          <w:lang w:eastAsia="zh-CN"/>
        </w:rPr>
      </w:pPr>
      <w:r>
        <w:rPr>
          <w:rFonts w:ascii="宋体" w:hAnsi="宋体"/>
          <w:sz w:val="32"/>
          <w:szCs w:val="32"/>
          <w:lang w:eastAsia="zh-CN"/>
        </w:rPr>
        <w:t>　　（二）支出预算情况</w:t>
      </w:r>
    </w:p>
    <w:p>
      <w:pPr>
        <w:spacing w:line="576" w:lineRule="exact"/>
        <w:ind w:firstLine="0"/>
        <w:rPr>
          <w:rFonts w:ascii="宋体" w:hAnsi="宋体"/>
          <w:sz w:val="32"/>
          <w:szCs w:val="32"/>
          <w:lang w:eastAsia="zh-CN"/>
        </w:rPr>
      </w:pPr>
      <w:r>
        <w:rPr>
          <w:rFonts w:ascii="宋体" w:hAnsi="宋体"/>
          <w:sz w:val="32"/>
          <w:szCs w:val="32"/>
          <w:lang w:eastAsia="zh-CN"/>
        </w:rPr>
        <w:t>　　四、财政拨款收支预算情况说明</w:t>
      </w:r>
    </w:p>
    <w:p>
      <w:pPr>
        <w:spacing w:line="576" w:lineRule="exact"/>
        <w:ind w:firstLine="0"/>
        <w:rPr>
          <w:rFonts w:ascii="宋体" w:hAnsi="宋体"/>
          <w:sz w:val="32"/>
          <w:szCs w:val="32"/>
          <w:lang w:eastAsia="zh-CN"/>
        </w:rPr>
      </w:pPr>
      <w:r>
        <w:rPr>
          <w:rFonts w:ascii="宋体" w:hAnsi="宋体"/>
          <w:sz w:val="32"/>
          <w:szCs w:val="32"/>
          <w:lang w:eastAsia="zh-CN"/>
        </w:rPr>
        <w:t>　　五、一般公共预算当年拨款情况说明</w:t>
      </w:r>
    </w:p>
    <w:p>
      <w:pPr>
        <w:spacing w:line="576" w:lineRule="exact"/>
        <w:ind w:firstLine="0"/>
        <w:rPr>
          <w:rFonts w:ascii="宋体" w:hAnsi="宋体"/>
          <w:sz w:val="32"/>
          <w:szCs w:val="32"/>
          <w:lang w:eastAsia="zh-CN"/>
        </w:rPr>
      </w:pPr>
      <w:r>
        <w:rPr>
          <w:rFonts w:ascii="宋体" w:hAnsi="宋体"/>
          <w:sz w:val="32"/>
          <w:szCs w:val="32"/>
          <w:lang w:eastAsia="zh-CN"/>
        </w:rPr>
        <w:t>　　（一）一般公共预算当年拨款规模变化情况</w:t>
      </w:r>
    </w:p>
    <w:p>
      <w:pPr>
        <w:spacing w:line="576" w:lineRule="exact"/>
        <w:ind w:firstLine="0"/>
        <w:rPr>
          <w:rFonts w:ascii="宋体" w:hAnsi="宋体"/>
          <w:sz w:val="32"/>
          <w:szCs w:val="32"/>
          <w:lang w:eastAsia="zh-CN"/>
        </w:rPr>
      </w:pPr>
      <w:r>
        <w:rPr>
          <w:rFonts w:ascii="宋体" w:hAnsi="宋体"/>
          <w:sz w:val="32"/>
          <w:szCs w:val="32"/>
          <w:lang w:eastAsia="zh-CN"/>
        </w:rPr>
        <w:t>　　（二）一般公共预算当年拨款结构情况</w:t>
      </w:r>
    </w:p>
    <w:p>
      <w:pPr>
        <w:spacing w:line="576" w:lineRule="exact"/>
        <w:ind w:firstLine="0"/>
        <w:rPr>
          <w:rFonts w:ascii="宋体" w:hAnsi="宋体"/>
          <w:sz w:val="32"/>
          <w:szCs w:val="32"/>
          <w:lang w:eastAsia="zh-CN"/>
        </w:rPr>
      </w:pPr>
      <w:r>
        <w:rPr>
          <w:rFonts w:ascii="宋体" w:hAnsi="宋体"/>
          <w:sz w:val="32"/>
          <w:szCs w:val="32"/>
          <w:lang w:eastAsia="zh-CN"/>
        </w:rPr>
        <w:t>　　（三）一般公共预算当年拨款具体使用情况</w:t>
      </w:r>
    </w:p>
    <w:p>
      <w:pPr>
        <w:spacing w:line="576" w:lineRule="exact"/>
        <w:ind w:firstLine="0"/>
        <w:rPr>
          <w:rFonts w:ascii="宋体" w:hAnsi="宋体"/>
          <w:sz w:val="32"/>
          <w:szCs w:val="32"/>
          <w:lang w:eastAsia="zh-CN"/>
        </w:rPr>
      </w:pPr>
      <w:r>
        <w:rPr>
          <w:rFonts w:ascii="宋体" w:hAnsi="宋体"/>
          <w:sz w:val="32"/>
          <w:szCs w:val="32"/>
          <w:lang w:eastAsia="zh-CN"/>
        </w:rPr>
        <w:t>　　六、一般公共预算基本支出情况说明</w:t>
      </w:r>
    </w:p>
    <w:p>
      <w:pPr>
        <w:spacing w:line="576" w:lineRule="exact"/>
        <w:ind w:firstLine="0"/>
        <w:rPr>
          <w:rFonts w:ascii="宋体" w:hAnsi="宋体"/>
          <w:sz w:val="32"/>
          <w:szCs w:val="32"/>
          <w:lang w:eastAsia="zh-CN"/>
        </w:rPr>
      </w:pPr>
      <w:r>
        <w:rPr>
          <w:rFonts w:ascii="宋体" w:hAnsi="宋体"/>
          <w:sz w:val="32"/>
          <w:szCs w:val="32"/>
          <w:lang w:eastAsia="zh-CN"/>
        </w:rPr>
        <w:t>　　七、“三公”经费财政拨款预算安排情况说明</w:t>
      </w:r>
    </w:p>
    <w:p>
      <w:pPr>
        <w:spacing w:line="576" w:lineRule="exact"/>
        <w:ind w:firstLine="0"/>
        <w:rPr>
          <w:rFonts w:ascii="宋体" w:hAnsi="宋体"/>
          <w:sz w:val="32"/>
          <w:szCs w:val="32"/>
          <w:lang w:eastAsia="zh-CN"/>
        </w:rPr>
      </w:pPr>
      <w:r>
        <w:rPr>
          <w:rFonts w:ascii="宋体" w:hAnsi="宋体"/>
          <w:sz w:val="32"/>
          <w:szCs w:val="32"/>
          <w:lang w:eastAsia="zh-CN"/>
        </w:rPr>
        <w:t>　　八、政府性基金预算支出情况说明</w:t>
      </w:r>
    </w:p>
    <w:p>
      <w:pPr>
        <w:spacing w:line="576" w:lineRule="exact"/>
        <w:ind w:firstLine="0"/>
        <w:rPr>
          <w:rFonts w:ascii="宋体" w:hAnsi="宋体"/>
          <w:sz w:val="32"/>
          <w:szCs w:val="32"/>
          <w:lang w:eastAsia="zh-CN"/>
        </w:rPr>
      </w:pPr>
      <w:r>
        <w:rPr>
          <w:rFonts w:ascii="宋体" w:hAnsi="宋体"/>
          <w:sz w:val="32"/>
          <w:szCs w:val="32"/>
          <w:lang w:eastAsia="zh-CN"/>
        </w:rPr>
        <w:t>　　九、其他重要事项的情况说明</w:t>
      </w:r>
    </w:p>
    <w:p>
      <w:pPr>
        <w:spacing w:line="576" w:lineRule="exact"/>
        <w:ind w:firstLine="0"/>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spacing w:line="576" w:lineRule="exact"/>
        <w:ind w:firstLine="0"/>
        <w:rPr>
          <w:lang w:eastAsia="zh-CN"/>
        </w:rPr>
      </w:pPr>
      <w:r>
        <w:rPr>
          <w:lang w:eastAsia="zh-CN"/>
        </w:rPr>
        <w:t xml:space="preserve">  </w:t>
      </w:r>
    </w:p>
    <w:p>
      <w:pPr>
        <w:spacing w:line="576" w:lineRule="exact"/>
        <w:ind w:firstLine="0"/>
        <w:rPr>
          <w:lang w:eastAsia="zh-CN"/>
        </w:rPr>
      </w:pPr>
    </w:p>
    <w:p>
      <w:pPr>
        <w:spacing w:line="576" w:lineRule="exact"/>
        <w:ind w:firstLine="440" w:firstLineChars="200"/>
        <w:rPr>
          <w:lang w:eastAsia="zh-CN"/>
        </w:rPr>
      </w:pPr>
      <w:r>
        <w:rPr>
          <w:lang w:eastAsia="zh-CN"/>
        </w:rPr>
        <w:t>　　</w:t>
      </w: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60" w:lineRule="exact"/>
        <w:ind w:firstLine="440" w:firstLineChars="200"/>
        <w:rPr>
          <w:rFonts w:hint="eastAsia" w:ascii="仿宋_GB2312" w:hAnsi="仿宋_GB2312" w:eastAsia="仿宋_GB2312" w:cs="仿宋_GB2312"/>
          <w:sz w:val="32"/>
          <w:szCs w:val="32"/>
          <w:lang w:eastAsia="zh-CN"/>
        </w:rPr>
      </w:pPr>
      <w:r>
        <w:rPr>
          <w:lang w:eastAsia="zh-CN"/>
        </w:rPr>
        <w:t>　　</w:t>
      </w:r>
      <w:r>
        <w:rPr>
          <w:rFonts w:hint="eastAsia" w:ascii="仿宋_GB2312" w:hAnsi="宋体" w:eastAsia="仿宋_GB2312" w:cs="宋体"/>
          <w:bCs/>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w:t>
      </w:r>
      <w:r>
        <w:rPr>
          <w:rFonts w:hint="eastAsia" w:ascii="仿宋_GB2312" w:hAnsi="宋体" w:eastAsia="仿宋_GB2312" w:cs="宋体"/>
          <w:bCs/>
          <w:sz w:val="32"/>
          <w:szCs w:val="32"/>
          <w:lang w:eastAsia="zh-CN"/>
        </w:rPr>
        <w:t>党的路线、方针、政策和国家的法律法规，坚持依法行政</w:t>
      </w:r>
      <w:r>
        <w:rPr>
          <w:rFonts w:hint="eastAsia" w:ascii="仿宋_GB2312" w:hAnsi="宋体" w:eastAsia="仿宋_GB2312" w:cs="宋体"/>
          <w:bCs/>
          <w:sz w:val="32"/>
          <w:szCs w:val="32"/>
        </w:rPr>
        <w:t>；宣传贯彻国土管理、</w:t>
      </w:r>
      <w:r>
        <w:rPr>
          <w:rFonts w:hint="eastAsia" w:ascii="仿宋_GB2312" w:hAnsi="宋体" w:eastAsia="仿宋_GB2312" w:cs="宋体"/>
          <w:bCs/>
          <w:sz w:val="32"/>
          <w:szCs w:val="32"/>
          <w:lang w:eastAsia="zh-CN"/>
        </w:rPr>
        <w:t>农村</w:t>
      </w:r>
      <w:r>
        <w:rPr>
          <w:rFonts w:hint="eastAsia" w:ascii="仿宋_GB2312" w:hAnsi="宋体" w:eastAsia="仿宋_GB2312" w:cs="宋体"/>
          <w:bCs/>
          <w:sz w:val="32"/>
          <w:szCs w:val="32"/>
        </w:rPr>
        <w:t>规划的法律法规，拟定全镇国土、</w:t>
      </w:r>
      <w:r>
        <w:rPr>
          <w:rFonts w:hint="eastAsia" w:ascii="仿宋_GB2312" w:hAnsi="宋体" w:eastAsia="仿宋_GB2312" w:cs="宋体"/>
          <w:bCs/>
          <w:sz w:val="32"/>
          <w:szCs w:val="32"/>
          <w:lang w:eastAsia="zh-CN"/>
        </w:rPr>
        <w:t>城乡统筹</w:t>
      </w:r>
      <w:r>
        <w:rPr>
          <w:rFonts w:hint="eastAsia" w:ascii="仿宋_GB2312" w:hAnsi="宋体" w:eastAsia="仿宋_GB2312" w:cs="宋体"/>
          <w:bCs/>
          <w:sz w:val="32"/>
          <w:szCs w:val="32"/>
        </w:rPr>
        <w:t>管理规划措施；宣传教育、文化、科技、卫生等方面的政策、知识</w:t>
      </w:r>
      <w:r>
        <w:rPr>
          <w:rFonts w:hint="eastAsia" w:ascii="仿宋_GB2312" w:hAnsi="宋体" w:eastAsia="仿宋_GB2312" w:cs="宋体"/>
          <w:bCs/>
          <w:sz w:val="32"/>
          <w:szCs w:val="32"/>
          <w:lang w:eastAsia="zh-CN"/>
        </w:rPr>
        <w:t>。</w:t>
      </w:r>
    </w:p>
    <w:p>
      <w:pPr>
        <w:spacing w:line="560" w:lineRule="exact"/>
        <w:ind w:firstLine="643" w:firstLineChars="200"/>
        <w:rPr>
          <w:rFonts w:ascii="楷体" w:hAnsi="楷体" w:eastAsia="楷体" w:cs="楷体_GB2312"/>
          <w:b/>
          <w:bCs w:val="0"/>
          <w:sz w:val="32"/>
          <w:szCs w:val="32"/>
          <w:lang w:eastAsia="zh-CN"/>
        </w:rPr>
      </w:pPr>
      <w:r>
        <w:rPr>
          <w:rFonts w:hint="eastAsia" w:ascii="楷体" w:hAnsi="楷体" w:eastAsia="楷体" w:cs="楷体_GB2312"/>
          <w:b/>
          <w:bCs w:val="0"/>
          <w:sz w:val="32"/>
          <w:szCs w:val="32"/>
          <w:lang w:eastAsia="zh-CN"/>
        </w:rPr>
        <w:t>（二）</w:t>
      </w:r>
      <w:r>
        <w:rPr>
          <w:rFonts w:ascii="楷体" w:hAnsi="楷体" w:eastAsia="楷体" w:cs="楷体_GB2312"/>
          <w:b/>
          <w:bCs w:val="0"/>
          <w:sz w:val="32"/>
          <w:szCs w:val="32"/>
          <w:lang w:eastAsia="zh-CN"/>
        </w:rPr>
        <w:t>20</w:t>
      </w:r>
      <w:r>
        <w:rPr>
          <w:rFonts w:hint="eastAsia" w:ascii="楷体" w:hAnsi="楷体" w:eastAsia="楷体" w:cs="楷体_GB2312"/>
          <w:b/>
          <w:bCs w:val="0"/>
          <w:sz w:val="32"/>
          <w:szCs w:val="32"/>
          <w:lang w:eastAsia="zh-CN"/>
        </w:rPr>
        <w:t>21年重点工作</w:t>
      </w:r>
    </w:p>
    <w:p>
      <w:pPr>
        <w:spacing w:line="560" w:lineRule="exact"/>
        <w:ind w:firstLine="643" w:firstLineChars="200"/>
        <w:rPr>
          <w:rFonts w:ascii="仿宋_GB2312" w:hAnsi="仿宋_GB2312" w:eastAsia="仿宋_GB2312" w:cs="仿宋_GB2312"/>
          <w:b/>
          <w:bCs/>
          <w:sz w:val="32"/>
          <w:szCs w:val="32"/>
          <w:lang w:eastAsia="zh-CN"/>
        </w:rPr>
      </w:pPr>
      <w:r>
        <w:rPr>
          <w:rFonts w:hint="eastAsia" w:ascii="仿宋_GB2312" w:hAnsi="仿宋_GB2312" w:eastAsia="仿宋_GB2312" w:cs="仿宋_GB2312"/>
          <w:b/>
          <w:sz w:val="32"/>
          <w:szCs w:val="32"/>
          <w:lang w:eastAsia="zh-CN"/>
        </w:rPr>
        <w:t>1.夯实农业基础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color w:val="000000"/>
          <w:sz w:val="32"/>
          <w:szCs w:val="32"/>
          <w:shd w:val="clear" w:color="auto" w:fill="FFFFFF"/>
          <w:lang w:eastAsia="zh-CN"/>
        </w:rPr>
        <w:t>加大强农惠农富农力度，加强农业供给侧结构性改革，大力发展现代农业。严格保护耕地，抓好粮食生产，确保口粮绝对安全。</w:t>
      </w:r>
      <w:r>
        <w:rPr>
          <w:rFonts w:hint="eastAsia" w:ascii="仿宋_GB2312" w:hAnsi="仿宋_GB2312" w:eastAsia="仿宋_GB2312" w:cs="仿宋_GB2312"/>
          <w:color w:val="000000"/>
          <w:sz w:val="32"/>
          <w:szCs w:val="32"/>
          <w:lang w:eastAsia="zh-CN"/>
        </w:rPr>
        <w:t>围绕粮食稳产、农业增效、农民增收这一主题，一是抓好春耕生</w:t>
      </w:r>
      <w:r>
        <w:rPr>
          <w:rFonts w:hint="eastAsia" w:ascii="仿宋_GB2312" w:hAnsi="仿宋_GB2312" w:eastAsia="仿宋_GB2312" w:cs="仿宋_GB2312"/>
          <w:sz w:val="32"/>
          <w:szCs w:val="32"/>
          <w:lang w:eastAsia="zh-CN"/>
        </w:rPr>
        <w:t>产和经济林木的管理种植，二是及时足额兑现农业有关补贴，三是推行黄板技术对果蔬病虫害进行无害化防控，四是确保农产品质量安全，落实镇、村农产品质量安全协管员共5名。</w:t>
      </w:r>
    </w:p>
    <w:p>
      <w:pPr>
        <w:autoSpaceDE w:val="0"/>
        <w:adjustRightInd w:val="0"/>
        <w:snapToGrid w:val="0"/>
        <w:spacing w:line="360" w:lineRule="auto"/>
        <w:ind w:firstLine="642"/>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2.畜牧业稳步推进。</w:t>
      </w:r>
      <w:r>
        <w:rPr>
          <w:rFonts w:hint="eastAsia" w:ascii="仿宋_GB2312" w:hAnsi="仿宋_GB2312" w:eastAsia="仿宋_GB2312" w:cs="仿宋_GB2312"/>
          <w:bCs/>
          <w:sz w:val="32"/>
          <w:szCs w:val="32"/>
          <w:lang w:eastAsia="zh-CN"/>
        </w:rPr>
        <w:t>全年以预防为主、治疗为辅为宗旨，狠抓动物疫病防控。</w:t>
      </w:r>
      <w:r>
        <w:rPr>
          <w:rFonts w:hint="eastAsia" w:ascii="仿宋_GB2312" w:hAnsi="仿宋_GB2312" w:eastAsia="仿宋_GB2312" w:cs="仿宋_GB2312"/>
          <w:sz w:val="32"/>
          <w:szCs w:val="32"/>
          <w:lang w:eastAsia="zh-CN"/>
        </w:rPr>
        <w:t>扎实搞好春秋两防工作，防疫工作做到“四不漏”(镇不漏村、村不漏户、户不漏畜、畜不漏针)。纵深推进草原生态奖补工作。持续搞好退牧换草，加强畜牧业生产方式转变，加强宣传和技术培训力度，培训养殖技术骨干，开展农民技术培训。</w:t>
      </w:r>
    </w:p>
    <w:p>
      <w:pPr>
        <w:autoSpaceDE w:val="0"/>
        <w:adjustRightInd w:val="0"/>
        <w:snapToGrid w:val="0"/>
        <w:spacing w:line="360" w:lineRule="auto"/>
        <w:ind w:firstLine="645"/>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3.强化林业管理。</w:t>
      </w:r>
      <w:r>
        <w:rPr>
          <w:rFonts w:hint="eastAsia" w:ascii="仿宋_GB2312" w:hAnsi="仿宋_GB2312" w:eastAsia="仿宋_GB2312" w:cs="仿宋_GB2312"/>
          <w:sz w:val="32"/>
          <w:szCs w:val="32"/>
          <w:lang w:eastAsia="zh-CN"/>
        </w:rPr>
        <w:t>进一步强化对退耕还林、林改工程的管理力度，扎实有效的开展好我镇林业各项工作。一是加大对森林资源的管护力度，抓好森林防火工作，认真落实森林防火责任，加大森林防火宣传和野外用火管理力度，成立镇森林火灾扑火领导小组和村级民兵消防分队领导小组，落实各村长期林业管护人员30名，严格执行24小时值班制度。二是加大高半山产业结构调整、退耕还林补植等政策宣传力度，做到家喻户晓、人人皆知。三是及时完成退耕还林补贴兑现工作</w:t>
      </w:r>
      <w:bookmarkStart w:id="0" w:name="OLE_LINK1"/>
      <w:bookmarkStart w:id="1" w:name="OLE_LINK3"/>
      <w:bookmarkStart w:id="2" w:name="OLE_LINK8"/>
      <w:bookmarkStart w:id="3" w:name="OLE_LINK6"/>
      <w:bookmarkStart w:id="4" w:name="OLE_LINK2"/>
      <w:bookmarkStart w:id="5" w:name="OLE_LINK7"/>
      <w:bookmarkStart w:id="6" w:name="OLE_LINK4"/>
      <w:bookmarkStart w:id="7" w:name="OLE_LINK5"/>
      <w:r>
        <w:rPr>
          <w:rFonts w:hint="eastAsia" w:ascii="仿宋_GB2312" w:hAnsi="仿宋_GB2312" w:eastAsia="仿宋_GB2312" w:cs="仿宋_GB2312"/>
          <w:sz w:val="32"/>
          <w:szCs w:val="32"/>
          <w:lang w:eastAsia="zh-CN"/>
        </w:rPr>
        <w:t>。</w:t>
      </w:r>
    </w:p>
    <w:bookmarkEnd w:id="0"/>
    <w:bookmarkEnd w:id="1"/>
    <w:bookmarkEnd w:id="2"/>
    <w:bookmarkEnd w:id="3"/>
    <w:bookmarkEnd w:id="4"/>
    <w:bookmarkEnd w:id="5"/>
    <w:bookmarkEnd w:id="6"/>
    <w:bookmarkEnd w:id="7"/>
    <w:p>
      <w:pPr>
        <w:adjustRightInd w:val="0"/>
        <w:snapToGrid w:val="0"/>
        <w:spacing w:line="360" w:lineRule="auto"/>
        <w:ind w:left="1" w:firstLine="630" w:firstLineChars="196"/>
        <w:textAlignment w:val="bottom"/>
        <w:rPr>
          <w:rFonts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4.教科文卫工作进展顺利</w:t>
      </w:r>
      <w:r>
        <w:rPr>
          <w:rFonts w:hint="eastAsia" w:ascii="仿宋" w:hAnsi="仿宋" w:eastAsia="仿宋" w:cs="仿宋"/>
          <w:b/>
          <w:bCs/>
          <w:sz w:val="32"/>
          <w:szCs w:val="32"/>
          <w:lang w:eastAsia="zh-CN"/>
        </w:rPr>
        <w:t>。</w:t>
      </w:r>
      <w:r>
        <w:rPr>
          <w:rFonts w:hint="eastAsia" w:ascii="仿宋_GB2312" w:hAnsi="仿宋_GB2312" w:eastAsia="仿宋_GB2312" w:cs="仿宋_GB2312"/>
          <w:bCs/>
          <w:sz w:val="32"/>
          <w:szCs w:val="32"/>
          <w:lang w:eastAsia="zh-CN"/>
        </w:rPr>
        <w:t>一是</w:t>
      </w:r>
      <w:r>
        <w:rPr>
          <w:rFonts w:hint="eastAsia" w:ascii="仿宋_GB2312" w:hAnsi="仿宋_GB2312" w:eastAsia="仿宋_GB2312" w:cs="仿宋_GB2312"/>
          <w:sz w:val="32"/>
          <w:szCs w:val="32"/>
          <w:lang w:eastAsia="zh-CN"/>
        </w:rPr>
        <w:t>认真做好全镇羌文化的搜集挖掘保护工作，分别在鹰嘴河群雕点、耕读百吉村落实文物保护员两名。二是卫生方面强化政策宣传贯彻，严格落实卫生体制改革政策，农村孕产妇住院分娩补助政策、加大新型农村合作医疗力度，有效降低孕产妇和婴儿死亡率。三是稳步推进计划生育工作，加强计生政策宣传，落实计生奖扶政策。</w:t>
      </w:r>
    </w:p>
    <w:p>
      <w:pPr>
        <w:widowControl w:val="0"/>
        <w:ind w:firstLine="643" w:firstLineChars="200"/>
        <w:jc w:val="both"/>
        <w:rPr>
          <w:rFonts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5.防控疫情，持续抓牢疫情常态化防控。</w:t>
      </w:r>
      <w:r>
        <w:rPr>
          <w:rFonts w:hint="eastAsia" w:ascii="仿宋" w:hAnsi="仿宋" w:eastAsia="仿宋" w:cs="仿宋"/>
          <w:sz w:val="32"/>
          <w:szCs w:val="32"/>
          <w:lang w:eastAsia="zh-CN"/>
        </w:rPr>
        <w:t>坚决落实防控主体责任，按镇、村、户三级分级落实相关管控人员。</w:t>
      </w:r>
      <w:r>
        <w:rPr>
          <w:rFonts w:hint="eastAsia" w:ascii="仿宋_GB2312" w:hAnsi="仿宋_GB2312" w:eastAsia="仿宋_GB2312" w:cs="仿宋_GB2312"/>
          <w:sz w:val="32"/>
          <w:szCs w:val="32"/>
          <w:lang w:eastAsia="zh-CN"/>
        </w:rPr>
        <w:t>严格落实“四早”措施，积极采取措施，强化人员流动排查，严格按照</w:t>
      </w:r>
      <w:r>
        <w:rPr>
          <w:rFonts w:ascii="仿宋_GB2312" w:hAnsi="仿宋_GB2312" w:eastAsia="仿宋_GB2312" w:cs="仿宋_GB2312"/>
          <w:sz w:val="32"/>
          <w:szCs w:val="32"/>
          <w:lang w:eastAsia="zh-CN"/>
        </w:rPr>
        <w:t>省、州、县工作要求</w:t>
      </w:r>
      <w:r>
        <w:rPr>
          <w:rFonts w:hint="eastAsia" w:ascii="仿宋_GB2312" w:hAnsi="仿宋_GB2312" w:eastAsia="仿宋_GB2312" w:cs="仿宋_GB2312"/>
          <w:sz w:val="32"/>
          <w:szCs w:val="32"/>
          <w:lang w:eastAsia="zh-CN"/>
        </w:rPr>
        <w:t>和有关工作程序</w:t>
      </w:r>
      <w:r>
        <w:rPr>
          <w:rFonts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积极配合医疗防控部门，</w:t>
      </w:r>
      <w:r>
        <w:rPr>
          <w:rFonts w:ascii="仿宋_GB2312" w:hAnsi="仿宋_GB2312" w:eastAsia="仿宋_GB2312" w:cs="仿宋_GB2312"/>
          <w:sz w:val="32"/>
          <w:szCs w:val="32"/>
          <w:lang w:eastAsia="zh-CN"/>
        </w:rPr>
        <w:t>建立详细活动轨迹登记台账，依法做好隔离提示</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lang w:eastAsia="zh-CN"/>
        </w:rPr>
        <w:t>做实</w:t>
      </w:r>
      <w:r>
        <w:rPr>
          <w:rFonts w:hint="eastAsia" w:ascii="仿宋_GB2312" w:hAnsi="仿宋_GB2312" w:eastAsia="仿宋_GB2312" w:cs="仿宋_GB2312"/>
          <w:sz w:val="32"/>
          <w:szCs w:val="32"/>
          <w:lang w:eastAsia="zh-CN"/>
        </w:rPr>
        <w:t>疫区返回人员</w:t>
      </w:r>
      <w:r>
        <w:rPr>
          <w:rFonts w:ascii="仿宋_GB2312" w:hAnsi="仿宋_GB2312" w:eastAsia="仿宋_GB2312" w:cs="仿宋_GB2312"/>
          <w:sz w:val="32"/>
          <w:szCs w:val="32"/>
          <w:lang w:eastAsia="zh-CN"/>
        </w:rPr>
        <w:t>居家</w:t>
      </w:r>
      <w:r>
        <w:rPr>
          <w:rFonts w:hint="eastAsia" w:ascii="仿宋_GB2312" w:hAnsi="仿宋_GB2312" w:eastAsia="仿宋_GB2312" w:cs="仿宋_GB2312"/>
          <w:sz w:val="32"/>
          <w:szCs w:val="32"/>
          <w:lang w:eastAsia="zh-CN"/>
        </w:rPr>
        <w:t>医学观察工作。</w:t>
      </w:r>
      <w:r>
        <w:rPr>
          <w:rFonts w:hint="eastAsia" w:ascii="仿宋_GB2312" w:hAnsi="仿宋_GB2312" w:eastAsia="仿宋_GB2312" w:cs="仿宋_GB2312"/>
          <w:color w:val="000000"/>
          <w:sz w:val="32"/>
          <w:szCs w:val="32"/>
          <w:lang w:eastAsia="zh-CN"/>
        </w:rPr>
        <w:t>坚持预防为主，全面强化疫情防控建康知识宣传，加强疫情防控有关政策解读。</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茂县黑虎镇人民政府属一级预算单位，下属二级预算单位0个，其中：参照公务员法管理的事业单位0个，其他事业单位0个。</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茂县黑虎镇人民政府单位部门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5442351</w:t>
      </w:r>
      <w:r>
        <w:rPr>
          <w:rFonts w:ascii="仿宋_GB2312" w:eastAsia="仿宋_GB2312"/>
          <w:sz w:val="32"/>
          <w:szCs w:val="32"/>
          <w:lang w:eastAsia="zh-CN"/>
        </w:rPr>
        <w:t>元；支出包括：一般公共服务支出</w:t>
      </w:r>
      <w:r>
        <w:rPr>
          <w:rFonts w:hint="eastAsia" w:ascii="仿宋_GB2312" w:eastAsia="仿宋_GB2312"/>
          <w:sz w:val="32"/>
          <w:szCs w:val="32"/>
          <w:lang w:eastAsia="zh-CN"/>
        </w:rPr>
        <w:t>2537875</w:t>
      </w:r>
      <w:r>
        <w:rPr>
          <w:rFonts w:ascii="仿宋_GB2312" w:eastAsia="仿宋_GB2312"/>
          <w:sz w:val="32"/>
          <w:szCs w:val="32"/>
          <w:lang w:eastAsia="zh-CN"/>
        </w:rPr>
        <w:t>元，社会保障和就业支出</w:t>
      </w:r>
      <w:r>
        <w:rPr>
          <w:rFonts w:hint="eastAsia" w:ascii="仿宋_GB2312" w:eastAsia="仿宋_GB2312"/>
          <w:sz w:val="32"/>
          <w:szCs w:val="32"/>
          <w:lang w:eastAsia="zh-CN"/>
        </w:rPr>
        <w:t>715906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282828</w:t>
      </w:r>
      <w:r>
        <w:rPr>
          <w:rFonts w:ascii="仿宋_GB2312" w:eastAsia="仿宋_GB2312"/>
          <w:sz w:val="32"/>
          <w:szCs w:val="32"/>
          <w:lang w:eastAsia="zh-CN"/>
        </w:rPr>
        <w:t>元，</w:t>
      </w:r>
      <w:r>
        <w:rPr>
          <w:rFonts w:hint="eastAsia" w:ascii="仿宋_GB2312" w:hAnsi="仿宋_GB2312" w:eastAsia="仿宋_GB2312" w:cs="仿宋_GB2312"/>
          <w:sz w:val="32"/>
          <w:szCs w:val="32"/>
          <w:lang w:eastAsia="zh-CN"/>
        </w:rPr>
        <w:t>农林水支出1457986元，</w:t>
      </w:r>
      <w:r>
        <w:rPr>
          <w:rFonts w:ascii="仿宋_GB2312" w:eastAsia="仿宋_GB2312"/>
          <w:sz w:val="32"/>
          <w:szCs w:val="32"/>
          <w:lang w:eastAsia="zh-CN"/>
        </w:rPr>
        <w:t>住房保障支出</w:t>
      </w:r>
      <w:r>
        <w:rPr>
          <w:rFonts w:hint="eastAsia" w:ascii="仿宋_GB2312" w:eastAsia="仿宋_GB2312"/>
          <w:sz w:val="32"/>
          <w:szCs w:val="32"/>
          <w:lang w:eastAsia="zh-CN"/>
        </w:rPr>
        <w:t>447756</w:t>
      </w:r>
      <w:r>
        <w:rPr>
          <w:rFonts w:ascii="仿宋_GB2312" w:eastAsia="仿宋_GB2312"/>
          <w:sz w:val="32"/>
          <w:szCs w:val="32"/>
          <w:lang w:eastAsia="zh-CN"/>
        </w:rPr>
        <w:t>元。</w:t>
      </w:r>
      <w:r>
        <w:rPr>
          <w:rFonts w:hint="eastAsia" w:ascii="仿宋_GB2312" w:eastAsia="仿宋_GB2312"/>
          <w:sz w:val="32"/>
          <w:szCs w:val="32"/>
          <w:lang w:eastAsia="zh-CN"/>
        </w:rPr>
        <w:t>茂县黑虎镇人民政府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eastAsia="zh-CN"/>
        </w:rPr>
        <w:t>5442351</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eastAsia="zh-CN"/>
        </w:rPr>
        <w:t>2359656</w:t>
      </w:r>
      <w:r>
        <w:rPr>
          <w:rFonts w:ascii="仿宋_GB2312" w:eastAsia="仿宋_GB2312"/>
          <w:sz w:val="32"/>
          <w:szCs w:val="32"/>
          <w:lang w:eastAsia="zh-CN"/>
        </w:rPr>
        <w:t>元，主要原因:1.</w:t>
      </w:r>
      <w:r>
        <w:rPr>
          <w:rFonts w:hint="eastAsia" w:ascii="仿宋_GB2312" w:hAnsi="仿宋_GB2312" w:eastAsia="仿宋_GB2312" w:cs="仿宋_GB2312"/>
          <w:sz w:val="32"/>
          <w:szCs w:val="32"/>
          <w:lang w:eastAsia="zh-CN"/>
        </w:rPr>
        <w:t>人员增加。</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spacing w:line="576" w:lineRule="exact"/>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eastAsia="zh-CN"/>
        </w:rPr>
        <w:t>5442351</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5442351</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spacing w:line="576" w:lineRule="exact"/>
        <w:ind w:firstLine="0"/>
        <w:rPr>
          <w:rFonts w:ascii="黑体" w:eastAsia="黑体"/>
          <w:b/>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eastAsia="zh-CN"/>
        </w:rPr>
        <w:t>5442351</w:t>
      </w:r>
      <w:r>
        <w:rPr>
          <w:rFonts w:ascii="仿宋_GB2312" w:eastAsia="仿宋_GB2312"/>
          <w:sz w:val="32"/>
          <w:szCs w:val="32"/>
          <w:lang w:eastAsia="zh-CN"/>
        </w:rPr>
        <w:t>元，其中：基本支出</w:t>
      </w:r>
      <w:r>
        <w:rPr>
          <w:rFonts w:hint="eastAsia" w:ascii="仿宋_GB2312" w:eastAsia="仿宋_GB2312"/>
          <w:sz w:val="32"/>
          <w:szCs w:val="32"/>
          <w:lang w:eastAsia="zh-CN"/>
        </w:rPr>
        <w:t>4823991</w:t>
      </w:r>
      <w:r>
        <w:rPr>
          <w:rFonts w:ascii="仿宋_GB2312" w:eastAsia="仿宋_GB2312"/>
          <w:sz w:val="32"/>
          <w:szCs w:val="32"/>
          <w:lang w:eastAsia="zh-CN"/>
        </w:rPr>
        <w:t>元，占</w:t>
      </w:r>
      <w:r>
        <w:rPr>
          <w:rFonts w:hint="eastAsia" w:ascii="仿宋_GB2312" w:eastAsia="仿宋_GB2312"/>
          <w:sz w:val="32"/>
          <w:szCs w:val="32"/>
          <w:lang w:eastAsia="zh-CN"/>
        </w:rPr>
        <w:t>88.63</w:t>
      </w:r>
      <w:r>
        <w:rPr>
          <w:rFonts w:ascii="仿宋_GB2312" w:eastAsia="仿宋_GB2312"/>
          <w:sz w:val="32"/>
          <w:szCs w:val="32"/>
          <w:lang w:eastAsia="zh-CN"/>
        </w:rPr>
        <w:t>%，项目支出</w:t>
      </w:r>
      <w:r>
        <w:rPr>
          <w:rFonts w:hint="eastAsia" w:ascii="仿宋_GB2312" w:eastAsia="仿宋_GB2312"/>
          <w:sz w:val="32"/>
          <w:szCs w:val="32"/>
          <w:lang w:eastAsia="zh-CN"/>
        </w:rPr>
        <w:t>618360</w:t>
      </w:r>
      <w:r>
        <w:rPr>
          <w:rFonts w:ascii="仿宋_GB2312" w:eastAsia="仿宋_GB2312"/>
          <w:sz w:val="32"/>
          <w:szCs w:val="32"/>
          <w:lang w:eastAsia="zh-CN"/>
        </w:rPr>
        <w:t>元，占</w:t>
      </w:r>
      <w:r>
        <w:rPr>
          <w:rFonts w:hint="eastAsia" w:ascii="仿宋_GB2312" w:eastAsia="仿宋_GB2312"/>
          <w:sz w:val="32"/>
          <w:szCs w:val="32"/>
          <w:lang w:eastAsia="zh-CN"/>
        </w:rPr>
        <w:t>11.37</w:t>
      </w:r>
      <w:r>
        <w:rPr>
          <w:rFonts w:ascii="仿宋_GB2312" w:eastAsia="仿宋_GB2312"/>
          <w:sz w:val="32"/>
          <w:szCs w:val="32"/>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eastAsia="zh-CN"/>
        </w:rPr>
        <w:t>5442351</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eastAsia="zh-CN"/>
        </w:rPr>
        <w:t>2359656</w:t>
      </w:r>
      <w:r>
        <w:rPr>
          <w:rFonts w:ascii="仿宋_GB2312" w:eastAsia="仿宋_GB2312"/>
          <w:sz w:val="32"/>
          <w:szCs w:val="32"/>
          <w:lang w:eastAsia="zh-CN"/>
        </w:rPr>
        <w:t>元，主要原因:1.</w:t>
      </w:r>
      <w:r>
        <w:rPr>
          <w:rFonts w:hint="eastAsia" w:ascii="仿宋_GB2312" w:hAnsi="仿宋_GB2312" w:eastAsia="仿宋_GB2312" w:cs="仿宋_GB2312"/>
          <w:sz w:val="32"/>
          <w:szCs w:val="32"/>
          <w:lang w:eastAsia="zh-CN"/>
        </w:rPr>
        <w:t>人员增加</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5442351</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2537875</w:t>
      </w:r>
      <w:r>
        <w:rPr>
          <w:rFonts w:ascii="仿宋_GB2312" w:eastAsia="仿宋_GB2312"/>
          <w:sz w:val="32"/>
          <w:szCs w:val="32"/>
          <w:lang w:eastAsia="zh-CN"/>
        </w:rPr>
        <w:t>元，社会保障和就业支出</w:t>
      </w:r>
      <w:r>
        <w:rPr>
          <w:rFonts w:hint="eastAsia" w:ascii="仿宋_GB2312" w:eastAsia="仿宋_GB2312"/>
          <w:sz w:val="32"/>
          <w:szCs w:val="32"/>
          <w:lang w:eastAsia="zh-CN"/>
        </w:rPr>
        <w:t>715906</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282828</w:t>
      </w:r>
      <w:r>
        <w:rPr>
          <w:rFonts w:ascii="仿宋_GB2312" w:eastAsia="仿宋_GB2312"/>
          <w:sz w:val="32"/>
          <w:szCs w:val="32"/>
          <w:lang w:eastAsia="zh-CN"/>
        </w:rPr>
        <w:t>元，</w:t>
      </w:r>
      <w:r>
        <w:rPr>
          <w:rFonts w:hint="eastAsia" w:ascii="仿宋_GB2312" w:hAnsi="仿宋_GB2312" w:eastAsia="仿宋_GB2312" w:cs="仿宋_GB2312"/>
          <w:sz w:val="32"/>
          <w:szCs w:val="32"/>
          <w:lang w:eastAsia="zh-CN"/>
        </w:rPr>
        <w:t>农林水支出1457986元，</w:t>
      </w:r>
      <w:r>
        <w:rPr>
          <w:rFonts w:ascii="仿宋_GB2312" w:eastAsia="仿宋_GB2312"/>
          <w:sz w:val="32"/>
          <w:szCs w:val="32"/>
          <w:lang w:eastAsia="zh-CN"/>
        </w:rPr>
        <w:t>住房保障支出</w:t>
      </w:r>
      <w:r>
        <w:rPr>
          <w:rFonts w:hint="eastAsia" w:ascii="仿宋_GB2312" w:eastAsia="仿宋_GB2312"/>
          <w:sz w:val="32"/>
          <w:szCs w:val="32"/>
          <w:lang w:eastAsia="zh-CN"/>
        </w:rPr>
        <w:t>447756</w:t>
      </w:r>
      <w:r>
        <w:rPr>
          <w:rFonts w:ascii="仿宋_GB2312" w:eastAsia="仿宋_GB2312"/>
          <w:sz w:val="32"/>
          <w:szCs w:val="32"/>
          <w:lang w:eastAsia="zh-CN"/>
        </w:rPr>
        <w:t>元。</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76" w:lineRule="exact"/>
        <w:ind w:firstLine="640" w:firstLineChars="200"/>
        <w:rPr>
          <w:rFonts w:hint="eastAsia" w:ascii="仿宋_GB2312" w:eastAsia="仿宋_GB2312"/>
          <w:sz w:val="32"/>
          <w:szCs w:val="32"/>
          <w:lang w:val="en-US"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eastAsia="zh-CN"/>
        </w:rPr>
        <w:t>5442351</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eastAsia="zh-CN"/>
        </w:rPr>
        <w:t>2359656</w:t>
      </w:r>
      <w:r>
        <w:rPr>
          <w:rFonts w:ascii="仿宋_GB2312" w:eastAsia="仿宋_GB2312"/>
          <w:sz w:val="32"/>
          <w:szCs w:val="32"/>
          <w:lang w:eastAsia="zh-CN"/>
        </w:rPr>
        <w:t>元，主要原因:</w:t>
      </w:r>
      <w:r>
        <w:rPr>
          <w:rFonts w:hint="eastAsia" w:ascii="仿宋_GB2312" w:hAnsi="仿宋_GB2312" w:eastAsia="仿宋_GB2312" w:cs="仿宋_GB2312"/>
          <w:sz w:val="32"/>
          <w:szCs w:val="32"/>
          <w:lang w:eastAsia="zh-CN"/>
        </w:rPr>
        <w:t>人员增加。</w:t>
      </w:r>
      <w:bookmarkStart w:id="8" w:name="_GoBack"/>
      <w:bookmarkEnd w:id="8"/>
    </w:p>
    <w:p>
      <w:pPr>
        <w:spacing w:line="576" w:lineRule="exact"/>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eastAsia="zh-CN"/>
        </w:rPr>
        <w:t>2537875</w:t>
      </w:r>
      <w:r>
        <w:rPr>
          <w:rFonts w:ascii="仿宋_GB2312" w:eastAsia="仿宋_GB2312"/>
          <w:sz w:val="32"/>
          <w:szCs w:val="32"/>
          <w:lang w:eastAsia="zh-CN"/>
        </w:rPr>
        <w:t>元，占</w:t>
      </w:r>
      <w:r>
        <w:rPr>
          <w:rFonts w:hint="eastAsia" w:ascii="仿宋_GB2312" w:eastAsia="仿宋_GB2312"/>
          <w:sz w:val="32"/>
          <w:szCs w:val="32"/>
          <w:lang w:eastAsia="zh-CN"/>
        </w:rPr>
        <w:t>46.63</w:t>
      </w:r>
      <w:r>
        <w:rPr>
          <w:rFonts w:ascii="仿宋_GB2312" w:eastAsia="仿宋_GB2312"/>
          <w:sz w:val="32"/>
          <w:szCs w:val="32"/>
          <w:lang w:eastAsia="zh-CN"/>
        </w:rPr>
        <w:t>%；社会保障和就业支出</w:t>
      </w:r>
      <w:r>
        <w:rPr>
          <w:rFonts w:hint="eastAsia" w:ascii="仿宋_GB2312" w:eastAsia="仿宋_GB2312"/>
          <w:sz w:val="32"/>
          <w:szCs w:val="32"/>
          <w:lang w:eastAsia="zh-CN"/>
        </w:rPr>
        <w:t>715906</w:t>
      </w:r>
      <w:r>
        <w:rPr>
          <w:rFonts w:ascii="仿宋_GB2312" w:eastAsia="仿宋_GB2312"/>
          <w:sz w:val="32"/>
          <w:szCs w:val="32"/>
          <w:lang w:eastAsia="zh-CN"/>
        </w:rPr>
        <w:t>元，占</w:t>
      </w:r>
      <w:r>
        <w:rPr>
          <w:rFonts w:hint="eastAsia" w:ascii="仿宋_GB2312" w:eastAsia="仿宋_GB2312"/>
          <w:sz w:val="32"/>
          <w:szCs w:val="32"/>
          <w:lang w:eastAsia="zh-CN"/>
        </w:rPr>
        <w:t>13.15</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282828</w:t>
      </w:r>
      <w:r>
        <w:rPr>
          <w:rFonts w:ascii="仿宋_GB2312" w:eastAsia="仿宋_GB2312"/>
          <w:sz w:val="32"/>
          <w:szCs w:val="32"/>
          <w:lang w:eastAsia="zh-CN"/>
        </w:rPr>
        <w:t>元，占</w:t>
      </w:r>
      <w:r>
        <w:rPr>
          <w:rFonts w:hint="eastAsia" w:ascii="仿宋_GB2312" w:eastAsia="仿宋_GB2312"/>
          <w:sz w:val="32"/>
          <w:szCs w:val="32"/>
          <w:lang w:eastAsia="zh-CN"/>
        </w:rPr>
        <w:t>5.2</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农林水支出1457986元</w:t>
      </w:r>
      <w:r>
        <w:rPr>
          <w:rFonts w:ascii="仿宋_GB2312" w:eastAsia="仿宋_GB2312"/>
          <w:sz w:val="32"/>
          <w:szCs w:val="32"/>
          <w:lang w:eastAsia="zh-CN"/>
        </w:rPr>
        <w:t>，占</w:t>
      </w:r>
      <w:r>
        <w:rPr>
          <w:rFonts w:hint="eastAsia" w:ascii="仿宋_GB2312" w:eastAsia="仿宋_GB2312"/>
          <w:sz w:val="32"/>
          <w:szCs w:val="32"/>
          <w:lang w:eastAsia="zh-CN"/>
        </w:rPr>
        <w:t>26.8</w:t>
      </w:r>
      <w:r>
        <w:rPr>
          <w:rFonts w:ascii="仿宋_GB2312" w:eastAsia="仿宋_GB2312"/>
          <w:sz w:val="32"/>
          <w:szCs w:val="32"/>
          <w:lang w:eastAsia="zh-CN"/>
        </w:rPr>
        <w:t>%；住房保障支出</w:t>
      </w:r>
      <w:r>
        <w:rPr>
          <w:rFonts w:hint="eastAsia" w:ascii="仿宋_GB2312" w:eastAsia="仿宋_GB2312"/>
          <w:sz w:val="32"/>
          <w:szCs w:val="32"/>
          <w:lang w:eastAsia="zh-CN"/>
        </w:rPr>
        <w:t>447756</w:t>
      </w:r>
      <w:r>
        <w:rPr>
          <w:rFonts w:ascii="仿宋_GB2312" w:eastAsia="仿宋_GB2312"/>
          <w:sz w:val="32"/>
          <w:szCs w:val="32"/>
          <w:lang w:eastAsia="zh-CN"/>
        </w:rPr>
        <w:t>元，占</w:t>
      </w:r>
      <w:r>
        <w:rPr>
          <w:rFonts w:hint="eastAsia" w:ascii="仿宋_GB2312" w:eastAsia="仿宋_GB2312"/>
          <w:sz w:val="32"/>
          <w:szCs w:val="32"/>
          <w:lang w:eastAsia="zh-CN"/>
        </w:rPr>
        <w:t>8.22</w:t>
      </w:r>
      <w:r>
        <w:rPr>
          <w:rFonts w:ascii="仿宋_GB2312" w:eastAsia="仿宋_GB2312"/>
          <w:sz w:val="32"/>
          <w:szCs w:val="32"/>
          <w:lang w:eastAsia="zh-CN"/>
        </w:rPr>
        <w:t>%。</w:t>
      </w:r>
    </w:p>
    <w:p>
      <w:pPr>
        <w:spacing w:line="576" w:lineRule="exact"/>
        <w:ind w:firstLine="435"/>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1.一般公共服务(201)政府办公厅(室)及相关机构事务(03)行政运行(01)2021年预算数为2234938元,主要用于单位2021年政府人员经费和日常公用经费等基本支出。 </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2.一般公共服务(201)党委办公厅(室)及相关机构事务(31)行政运行(01)2021年预算数为302937元,主要用于单位2021年党委人员经费和日常公用经费等基本支出。 </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3.社会保障和就业支出(208)行政事业单位离退休(05)机关事业单位基本养老保险缴费支出(05)2021年预算数为477271元,主要用于单位缴纳基本养老保险费。 </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4.社会保障和就业支出(208)行政事业单位离退休(05)机关事业单位职业年金缴费支出(06)2021年预算数为238635元,主要用于单位缴纳职业年金。 </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5.卫生健康(210)行政事业单位医疗(11)行政单位医疗(01)2021年预算数为213578元,主要用于行政单位缴纳基本医疗保险。 </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6.卫生健康(210)行政事业单位医疗(11)事业单位医疗(02)2021年预算数为69250元,主要用于行政单位缴纳基本医疗保险。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7.农林水支出(213)农业(01)事业运行(04)2021年预算数为839626元,主要用于单位2021年农林水事业人员经费和日常公用经费等基本支出。 </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8.农林水支出(213)农村综合改革(07)对村民委员会和村党支部的补助(05)2021年预算数为618360元,主要用于黑虎镇村干部生活补助支出、办公经费及公共运行维护费支出。 </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9.住房保障(221)住房改革(02)住房公积金(01)2021年预算数为447756元,主要用于单位为职工缴纳住房公积金。 </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茂县黑虎镇人民政府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eastAsia="zh-CN"/>
        </w:rPr>
        <w:t xml:space="preserve">  4823991</w:t>
      </w:r>
      <w:r>
        <w:rPr>
          <w:rFonts w:ascii="仿宋_GB2312" w:eastAsia="仿宋_GB2312"/>
          <w:sz w:val="32"/>
          <w:szCs w:val="32"/>
          <w:lang w:eastAsia="zh-CN"/>
        </w:rPr>
        <w:t>元，其中：人员经费</w:t>
      </w:r>
      <w:r>
        <w:rPr>
          <w:rFonts w:hint="eastAsia" w:ascii="仿宋_GB2312" w:eastAsia="仿宋_GB2312"/>
          <w:sz w:val="32"/>
          <w:szCs w:val="32"/>
          <w:lang w:val="en-US" w:eastAsia="zh-CN"/>
        </w:rPr>
        <w:t>4503991</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320000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茂县黑虎镇人民政府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45600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5600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eastAsia="zh-CN"/>
        </w:rPr>
        <w:t>5600</w:t>
      </w:r>
      <w:r>
        <w:rPr>
          <w:rFonts w:ascii="仿宋_GB2312" w:eastAsia="仿宋_GB2312"/>
          <w:sz w:val="32"/>
          <w:szCs w:val="32"/>
          <w:lang w:eastAsia="zh-CN"/>
        </w:rPr>
        <w:t>元。较</w:t>
      </w:r>
      <w:r>
        <w:rPr>
          <w:rFonts w:hint="eastAsia" w:ascii="仿宋_GB2312" w:eastAsia="仿宋_GB2312"/>
          <w:sz w:val="32"/>
          <w:szCs w:val="32"/>
          <w:lang w:eastAsia="zh-CN"/>
        </w:rPr>
        <w:t>2020</w:t>
      </w:r>
      <w:r>
        <w:rPr>
          <w:rFonts w:ascii="仿宋_GB2312" w:eastAsia="仿宋_GB2312"/>
          <w:sz w:val="32"/>
          <w:szCs w:val="32"/>
          <w:lang w:eastAsia="zh-CN"/>
        </w:rPr>
        <w:t>年预算增长</w:t>
      </w:r>
      <w:r>
        <w:rPr>
          <w:rFonts w:hint="eastAsia" w:ascii="仿宋_GB2312" w:eastAsia="仿宋_GB2312"/>
          <w:sz w:val="32"/>
          <w:szCs w:val="32"/>
          <w:lang w:eastAsia="zh-CN"/>
        </w:rPr>
        <w:t xml:space="preserve">57.14 </w:t>
      </w:r>
      <w:r>
        <w:rPr>
          <w:rFonts w:ascii="仿宋_GB2312" w:eastAsia="仿宋_GB2312"/>
          <w:sz w:val="32"/>
          <w:szCs w:val="32"/>
          <w:lang w:eastAsia="zh-CN"/>
        </w:rPr>
        <w:t>%，主要原因是：</w:t>
      </w:r>
      <w:r>
        <w:rPr>
          <w:rFonts w:hint="eastAsia" w:ascii="仿宋_GB2312" w:eastAsia="仿宋_GB2312"/>
          <w:sz w:val="32"/>
          <w:szCs w:val="32"/>
          <w:lang w:eastAsia="zh-CN"/>
        </w:rPr>
        <w:t>人员增加。</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年预算增长</w:t>
      </w:r>
      <w:r>
        <w:rPr>
          <w:rFonts w:hint="eastAsia" w:ascii="仿宋_GB2312" w:eastAsia="仿宋_GB2312"/>
          <w:sz w:val="32"/>
          <w:szCs w:val="32"/>
          <w:lang w:eastAsia="zh-CN"/>
        </w:rPr>
        <w:t>0</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spacing w:line="576" w:lineRule="exact"/>
        <w:ind w:firstLine="0"/>
        <w:rPr>
          <w:lang w:eastAsia="zh-CN"/>
        </w:rPr>
      </w:pPr>
      <w:r>
        <w:rPr>
          <w:lang w:eastAsia="zh-CN"/>
        </w:rPr>
        <w:t>　　</w:t>
      </w:r>
      <w:r>
        <w:rPr>
          <w:rFonts w:hint="eastAsia" w:ascii="仿宋_GB2312" w:eastAsia="仿宋_GB2312"/>
          <w:sz w:val="32"/>
          <w:szCs w:val="32"/>
          <w:lang w:eastAsia="zh-CN"/>
        </w:rPr>
        <w:t>茂县黑虎镇人民政府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3" w:firstLineChars="200"/>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茂县黑虎镇人民政府</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0</w:t>
      </w:r>
      <w:r>
        <w:rPr>
          <w:rFonts w:ascii="仿宋_GB2312" w:eastAsia="仿宋_GB2312"/>
          <w:sz w:val="32"/>
          <w:szCs w:val="32"/>
          <w:lang w:eastAsia="zh-CN"/>
        </w:rPr>
        <w:t>元。</w:t>
      </w:r>
    </w:p>
    <w:p>
      <w:pPr>
        <w:spacing w:line="576" w:lineRule="exact"/>
        <w:ind w:firstLine="440" w:firstLineChars="20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，茂县黑虎镇人民政府未</w:t>
      </w:r>
      <w:r>
        <w:rPr>
          <w:rFonts w:ascii="仿宋_GB2312" w:eastAsia="仿宋_GB2312"/>
          <w:sz w:val="32"/>
          <w:szCs w:val="32"/>
          <w:lang w:eastAsia="zh-CN"/>
        </w:rPr>
        <w:t>安排政府采购预算。</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rPr>
          <w:lang w:eastAsia="zh-CN"/>
        </w:rPr>
      </w:pPr>
      <w:r>
        <w:rPr>
          <w:rFonts w:hint="eastAsia" w:ascii="仿宋_GB2312" w:eastAsia="仿宋_GB2312"/>
          <w:sz w:val="32"/>
          <w:szCs w:val="32"/>
          <w:lang w:eastAsia="zh-CN"/>
        </w:rPr>
        <w:t>茂县黑虎镇人民政府</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eastAsia="zh-CN"/>
        </w:rPr>
        <w:t>1706486.02</w:t>
      </w:r>
      <w:r>
        <w:rPr>
          <w:rFonts w:ascii="仿宋_GB2312" w:eastAsia="仿宋_GB2312"/>
          <w:sz w:val="32"/>
          <w:szCs w:val="32"/>
          <w:lang w:eastAsia="zh-CN"/>
        </w:rPr>
        <w:t>元，其中：房屋</w:t>
      </w:r>
      <w:r>
        <w:rPr>
          <w:rFonts w:hint="eastAsia" w:ascii="仿宋_GB2312" w:eastAsia="仿宋_GB2312"/>
          <w:sz w:val="32"/>
          <w:szCs w:val="32"/>
          <w:lang w:eastAsia="zh-CN"/>
        </w:rPr>
        <w:t>2168</w:t>
      </w:r>
      <w:r>
        <w:rPr>
          <w:rFonts w:ascii="仿宋_GB2312" w:eastAsia="仿宋_GB2312"/>
          <w:sz w:val="32"/>
          <w:szCs w:val="32"/>
          <w:lang w:eastAsia="zh-CN"/>
        </w:rPr>
        <w:t>平方米，价值</w:t>
      </w:r>
      <w:r>
        <w:rPr>
          <w:rFonts w:hint="eastAsia" w:ascii="仿宋_GB2312" w:eastAsia="仿宋_GB2312"/>
          <w:sz w:val="32"/>
          <w:szCs w:val="32"/>
          <w:lang w:eastAsia="zh-CN"/>
        </w:rPr>
        <w:t xml:space="preserve">  1165483.02</w:t>
      </w:r>
      <w:r>
        <w:rPr>
          <w:rFonts w:ascii="仿宋_GB2312" w:eastAsia="仿宋_GB2312"/>
          <w:sz w:val="32"/>
          <w:szCs w:val="32"/>
          <w:lang w:eastAsia="zh-CN"/>
        </w:rPr>
        <w:t>元；公务用车</w:t>
      </w:r>
      <w:r>
        <w:rPr>
          <w:rFonts w:hint="eastAsia" w:ascii="仿宋_GB2312" w:eastAsia="仿宋_GB2312"/>
          <w:sz w:val="32"/>
          <w:szCs w:val="32"/>
          <w:lang w:eastAsia="zh-CN"/>
        </w:rPr>
        <w:t>1</w:t>
      </w:r>
      <w:r>
        <w:rPr>
          <w:rFonts w:ascii="仿宋_GB2312" w:eastAsia="仿宋_GB2312"/>
          <w:sz w:val="32"/>
          <w:szCs w:val="32"/>
          <w:lang w:eastAsia="zh-CN"/>
        </w:rPr>
        <w:t>辆，价值</w:t>
      </w:r>
      <w:r>
        <w:rPr>
          <w:rFonts w:hint="eastAsia" w:ascii="仿宋_GB2312" w:eastAsia="仿宋_GB2312"/>
          <w:sz w:val="32"/>
          <w:szCs w:val="32"/>
          <w:lang w:eastAsia="zh-CN"/>
        </w:rPr>
        <w:t>116800</w:t>
      </w:r>
      <w:r>
        <w:rPr>
          <w:rFonts w:ascii="仿宋_GB2312" w:eastAsia="仿宋_GB2312"/>
          <w:sz w:val="32"/>
          <w:szCs w:val="32"/>
          <w:lang w:eastAsia="zh-CN"/>
        </w:rPr>
        <w:t>元；其他固定资产</w:t>
      </w:r>
      <w:r>
        <w:rPr>
          <w:rFonts w:hint="eastAsia" w:ascii="仿宋_GB2312" w:eastAsia="仿宋_GB2312"/>
          <w:sz w:val="32"/>
          <w:szCs w:val="32"/>
          <w:lang w:eastAsia="zh-CN"/>
        </w:rPr>
        <w:t>424203</w:t>
      </w:r>
      <w:r>
        <w:rPr>
          <w:rFonts w:ascii="仿宋_GB2312" w:eastAsia="仿宋_GB2312"/>
          <w:sz w:val="32"/>
          <w:szCs w:val="32"/>
          <w:lang w:eastAsia="zh-CN"/>
        </w:rPr>
        <w:t>元。</w:t>
      </w:r>
    </w:p>
    <w:p>
      <w:pPr>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76" w:lineRule="exact"/>
        <w:ind w:firstLine="640" w:firstLineChars="200"/>
        <w:rPr>
          <w:lang w:eastAsia="zh-CN"/>
        </w:rPr>
      </w:pPr>
      <w:r>
        <w:rPr>
          <w:rFonts w:hint="eastAsia" w:ascii="仿宋_GB2312" w:eastAsia="仿宋_GB2312"/>
          <w:sz w:val="32"/>
          <w:szCs w:val="32"/>
          <w:lang w:eastAsia="zh-CN"/>
        </w:rPr>
        <w:t>2021年茂县黑虎镇人民政府项目支出均按要求实行绩效目标管理，涉及项目2个，一般公共预算当年拨款618360元。</w:t>
      </w:r>
    </w:p>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eastAsia="仿宋_GB2312"/>
          <w:sz w:val="32"/>
          <w:szCs w:val="32"/>
          <w:lang w:eastAsia="zh-CN"/>
        </w:rPr>
      </w:pPr>
    </w:p>
    <w:p>
      <w:pPr>
        <w:spacing w:line="576" w:lineRule="exact"/>
        <w:ind w:firstLine="640" w:firstLineChars="200"/>
        <w:rPr>
          <w:rFonts w:ascii="仿宋_GB2312" w:eastAsia="仿宋_GB2312"/>
          <w:sz w:val="32"/>
          <w:szCs w:val="32"/>
          <w:lang w:eastAsia="zh-CN"/>
        </w:rPr>
      </w:pPr>
    </w:p>
    <w:p>
      <w:pPr>
        <w:spacing w:line="576" w:lineRule="exact"/>
        <w:ind w:firstLine="640" w:firstLineChars="200"/>
        <w:rPr>
          <w:rFonts w:ascii="仿宋_GB2312" w:eastAsia="仿宋_GB2312"/>
          <w:sz w:val="32"/>
          <w:szCs w:val="32"/>
          <w:lang w:eastAsia="zh-CN"/>
        </w:rPr>
      </w:pPr>
    </w:p>
    <w:p>
      <w:pPr>
        <w:spacing w:line="576" w:lineRule="exact"/>
        <w:ind w:firstLine="640" w:firstLineChars="200"/>
        <w:rPr>
          <w:rFonts w:ascii="仿宋_GB2312" w:eastAsia="仿宋_GB2312"/>
          <w:sz w:val="32"/>
          <w:szCs w:val="32"/>
          <w:lang w:eastAsia="zh-CN"/>
        </w:rPr>
      </w:pPr>
    </w:p>
    <w:p>
      <w:pPr>
        <w:spacing w:line="576" w:lineRule="exact"/>
        <w:ind w:firstLine="640" w:firstLineChars="200"/>
        <w:jc w:val="right"/>
        <w:rPr>
          <w:rFonts w:ascii="仿宋_GB2312" w:eastAsia="仿宋_GB2312"/>
          <w:sz w:val="32"/>
          <w:szCs w:val="32"/>
          <w:lang w:eastAsia="zh-CN"/>
        </w:rPr>
      </w:pPr>
      <w:r>
        <w:rPr>
          <w:rFonts w:hint="eastAsia" w:ascii="仿宋_GB2312" w:eastAsia="仿宋_GB2312"/>
          <w:sz w:val="32"/>
          <w:szCs w:val="32"/>
          <w:lang w:eastAsia="zh-CN"/>
        </w:rPr>
        <w:t>茂县黑虎镇人民政府</w:t>
      </w:r>
    </w:p>
    <w:p>
      <w:pPr>
        <w:spacing w:line="576" w:lineRule="exact"/>
        <w:ind w:firstLine="640" w:firstLineChars="200"/>
        <w:jc w:val="right"/>
        <w:rPr>
          <w:rFonts w:ascii="仿宋_GB2312" w:eastAsia="仿宋_GB2312"/>
          <w:sz w:val="32"/>
          <w:szCs w:val="32"/>
          <w:lang w:eastAsia="zh-CN"/>
        </w:rPr>
      </w:pPr>
      <w:r>
        <w:rPr>
          <w:rFonts w:hint="eastAsia" w:ascii="仿宋_GB2312" w:eastAsia="仿宋_GB2312"/>
          <w:sz w:val="32"/>
          <w:szCs w:val="32"/>
          <w:lang w:eastAsia="zh-CN"/>
        </w:rPr>
        <w:t>2021年4月14日</w:t>
      </w:r>
    </w:p>
    <w:p>
      <w:pPr>
        <w:spacing w:line="576" w:lineRule="exact"/>
        <w:ind w:firstLine="0"/>
        <w:jc w:val="right"/>
        <w:rPr>
          <w:lang w:eastAsia="zh-CN"/>
        </w:rPr>
      </w:pPr>
      <w:r>
        <w:rPr>
          <w:lang w:eastAsia="zh-CN"/>
        </w:rPr>
        <w:t>　　</w:t>
      </w:r>
    </w:p>
    <w:p>
      <w:pPr>
        <w:spacing w:line="576" w:lineRule="exact"/>
        <w:ind w:firstLine="0"/>
        <w:rPr>
          <w:lang w:eastAsia="zh-CN"/>
        </w:rPr>
      </w:pPr>
    </w:p>
    <w:p>
      <w:pPr>
        <w:spacing w:line="576" w:lineRule="exact"/>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粗黑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3"/>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46320"/>
    <w:rsid w:val="00155D93"/>
    <w:rsid w:val="00173A3A"/>
    <w:rsid w:val="0018075B"/>
    <w:rsid w:val="00182F98"/>
    <w:rsid w:val="00186E1A"/>
    <w:rsid w:val="001A7A95"/>
    <w:rsid w:val="001B7130"/>
    <w:rsid w:val="001C651D"/>
    <w:rsid w:val="00225052"/>
    <w:rsid w:val="00227962"/>
    <w:rsid w:val="00227B77"/>
    <w:rsid w:val="00240F83"/>
    <w:rsid w:val="002541D4"/>
    <w:rsid w:val="00262727"/>
    <w:rsid w:val="00284ED3"/>
    <w:rsid w:val="002C319A"/>
    <w:rsid w:val="002E10C0"/>
    <w:rsid w:val="002F0499"/>
    <w:rsid w:val="00316688"/>
    <w:rsid w:val="00326341"/>
    <w:rsid w:val="003271F5"/>
    <w:rsid w:val="003537EA"/>
    <w:rsid w:val="00360941"/>
    <w:rsid w:val="00382B7A"/>
    <w:rsid w:val="0038433F"/>
    <w:rsid w:val="003F181D"/>
    <w:rsid w:val="00407827"/>
    <w:rsid w:val="0042494C"/>
    <w:rsid w:val="0043752F"/>
    <w:rsid w:val="004555F0"/>
    <w:rsid w:val="004853BA"/>
    <w:rsid w:val="00486EE4"/>
    <w:rsid w:val="004D066F"/>
    <w:rsid w:val="00513150"/>
    <w:rsid w:val="00516B1D"/>
    <w:rsid w:val="00532C6E"/>
    <w:rsid w:val="00535E0A"/>
    <w:rsid w:val="00540985"/>
    <w:rsid w:val="00563DC0"/>
    <w:rsid w:val="00596D9D"/>
    <w:rsid w:val="005A2720"/>
    <w:rsid w:val="005C334E"/>
    <w:rsid w:val="005D1ACE"/>
    <w:rsid w:val="005E1FC6"/>
    <w:rsid w:val="005E7711"/>
    <w:rsid w:val="00610894"/>
    <w:rsid w:val="00633765"/>
    <w:rsid w:val="00657114"/>
    <w:rsid w:val="006752BC"/>
    <w:rsid w:val="00677BD8"/>
    <w:rsid w:val="006919DA"/>
    <w:rsid w:val="00696576"/>
    <w:rsid w:val="006C0D8A"/>
    <w:rsid w:val="006F679A"/>
    <w:rsid w:val="0070452A"/>
    <w:rsid w:val="00705A03"/>
    <w:rsid w:val="00716A52"/>
    <w:rsid w:val="0074461B"/>
    <w:rsid w:val="00751B62"/>
    <w:rsid w:val="00757787"/>
    <w:rsid w:val="00760C62"/>
    <w:rsid w:val="00783B7A"/>
    <w:rsid w:val="00790255"/>
    <w:rsid w:val="007959FB"/>
    <w:rsid w:val="00795C76"/>
    <w:rsid w:val="007B41F3"/>
    <w:rsid w:val="007C2369"/>
    <w:rsid w:val="007D37F7"/>
    <w:rsid w:val="007F131A"/>
    <w:rsid w:val="007F295F"/>
    <w:rsid w:val="008048BC"/>
    <w:rsid w:val="008144B8"/>
    <w:rsid w:val="008202CD"/>
    <w:rsid w:val="008221D3"/>
    <w:rsid w:val="00843529"/>
    <w:rsid w:val="0084656E"/>
    <w:rsid w:val="008547ED"/>
    <w:rsid w:val="0085536F"/>
    <w:rsid w:val="008B2711"/>
    <w:rsid w:val="008C71A7"/>
    <w:rsid w:val="008D2C10"/>
    <w:rsid w:val="008D61B8"/>
    <w:rsid w:val="008E6AA6"/>
    <w:rsid w:val="008F0095"/>
    <w:rsid w:val="008F1AEB"/>
    <w:rsid w:val="008F6102"/>
    <w:rsid w:val="00922DE7"/>
    <w:rsid w:val="00926A46"/>
    <w:rsid w:val="00926AA9"/>
    <w:rsid w:val="00927C5E"/>
    <w:rsid w:val="0097466F"/>
    <w:rsid w:val="00992E2D"/>
    <w:rsid w:val="009F6C59"/>
    <w:rsid w:val="00A062A9"/>
    <w:rsid w:val="00A12D72"/>
    <w:rsid w:val="00A14F53"/>
    <w:rsid w:val="00A33390"/>
    <w:rsid w:val="00A53F54"/>
    <w:rsid w:val="00A543F7"/>
    <w:rsid w:val="00A66065"/>
    <w:rsid w:val="00A71277"/>
    <w:rsid w:val="00A95CB9"/>
    <w:rsid w:val="00AA4C94"/>
    <w:rsid w:val="00B00764"/>
    <w:rsid w:val="00B326C9"/>
    <w:rsid w:val="00B74396"/>
    <w:rsid w:val="00B75BD0"/>
    <w:rsid w:val="00B906A9"/>
    <w:rsid w:val="00BD4A85"/>
    <w:rsid w:val="00C53B2B"/>
    <w:rsid w:val="00C646E6"/>
    <w:rsid w:val="00C81C43"/>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1E16"/>
    <w:rsid w:val="00F322EA"/>
    <w:rsid w:val="00F43364"/>
    <w:rsid w:val="00FC1C09"/>
    <w:rsid w:val="02012AE4"/>
    <w:rsid w:val="02732979"/>
    <w:rsid w:val="02FE7E9D"/>
    <w:rsid w:val="03C81710"/>
    <w:rsid w:val="03E000C0"/>
    <w:rsid w:val="03E13BC7"/>
    <w:rsid w:val="045717E6"/>
    <w:rsid w:val="05AE0387"/>
    <w:rsid w:val="062652FF"/>
    <w:rsid w:val="0A420CB7"/>
    <w:rsid w:val="0AEC1C6F"/>
    <w:rsid w:val="0C3F0E95"/>
    <w:rsid w:val="10027AF8"/>
    <w:rsid w:val="101B1F7E"/>
    <w:rsid w:val="11135068"/>
    <w:rsid w:val="12280BFA"/>
    <w:rsid w:val="125208AF"/>
    <w:rsid w:val="1539195F"/>
    <w:rsid w:val="159B45A6"/>
    <w:rsid w:val="15C5179C"/>
    <w:rsid w:val="16D77FFF"/>
    <w:rsid w:val="17814B24"/>
    <w:rsid w:val="178E606C"/>
    <w:rsid w:val="18A773BC"/>
    <w:rsid w:val="19A262EF"/>
    <w:rsid w:val="1A2726CE"/>
    <w:rsid w:val="1AC83666"/>
    <w:rsid w:val="1B137FA4"/>
    <w:rsid w:val="1B334A8C"/>
    <w:rsid w:val="1C6B7EA9"/>
    <w:rsid w:val="1C8E37C8"/>
    <w:rsid w:val="1D2129F4"/>
    <w:rsid w:val="1E7E493C"/>
    <w:rsid w:val="1EE04666"/>
    <w:rsid w:val="1FA45FBA"/>
    <w:rsid w:val="1FB35D5D"/>
    <w:rsid w:val="206B3782"/>
    <w:rsid w:val="221F3E23"/>
    <w:rsid w:val="22577C4E"/>
    <w:rsid w:val="227C3036"/>
    <w:rsid w:val="23637F5F"/>
    <w:rsid w:val="25622F8F"/>
    <w:rsid w:val="276A7E67"/>
    <w:rsid w:val="285826E8"/>
    <w:rsid w:val="29612B59"/>
    <w:rsid w:val="29673D3F"/>
    <w:rsid w:val="2BBA75DD"/>
    <w:rsid w:val="2C754B7A"/>
    <w:rsid w:val="2DCB7AB3"/>
    <w:rsid w:val="2E466E43"/>
    <w:rsid w:val="2EC5156B"/>
    <w:rsid w:val="2F313FFC"/>
    <w:rsid w:val="2FA11D10"/>
    <w:rsid w:val="2FB4039C"/>
    <w:rsid w:val="31A62DEF"/>
    <w:rsid w:val="34F62D15"/>
    <w:rsid w:val="38960A33"/>
    <w:rsid w:val="399C566A"/>
    <w:rsid w:val="3A3206B6"/>
    <w:rsid w:val="3AB05891"/>
    <w:rsid w:val="3B5A719E"/>
    <w:rsid w:val="3CED05EB"/>
    <w:rsid w:val="42360BEC"/>
    <w:rsid w:val="4265522A"/>
    <w:rsid w:val="42F250AC"/>
    <w:rsid w:val="439F6859"/>
    <w:rsid w:val="44CD2031"/>
    <w:rsid w:val="4515174E"/>
    <w:rsid w:val="456D0B7F"/>
    <w:rsid w:val="45BA21C0"/>
    <w:rsid w:val="46F56182"/>
    <w:rsid w:val="478C1C8F"/>
    <w:rsid w:val="4887499F"/>
    <w:rsid w:val="49FE18C0"/>
    <w:rsid w:val="4A2743F9"/>
    <w:rsid w:val="4AA539F5"/>
    <w:rsid w:val="4B19684E"/>
    <w:rsid w:val="4BFD2CBC"/>
    <w:rsid w:val="4C6D34EC"/>
    <w:rsid w:val="4D8F2F67"/>
    <w:rsid w:val="4DF5220A"/>
    <w:rsid w:val="4E404374"/>
    <w:rsid w:val="4E7B3B09"/>
    <w:rsid w:val="4EAC2472"/>
    <w:rsid w:val="4EE0107A"/>
    <w:rsid w:val="4F727D81"/>
    <w:rsid w:val="517247D3"/>
    <w:rsid w:val="517B1AA8"/>
    <w:rsid w:val="539979EC"/>
    <w:rsid w:val="55E8459E"/>
    <w:rsid w:val="574008B1"/>
    <w:rsid w:val="57E33E58"/>
    <w:rsid w:val="586F20AD"/>
    <w:rsid w:val="5A142731"/>
    <w:rsid w:val="5B2F742C"/>
    <w:rsid w:val="5C1650CC"/>
    <w:rsid w:val="5D6A5B58"/>
    <w:rsid w:val="5DE73675"/>
    <w:rsid w:val="60F876A8"/>
    <w:rsid w:val="61186D78"/>
    <w:rsid w:val="619B0B45"/>
    <w:rsid w:val="620305E1"/>
    <w:rsid w:val="621857C4"/>
    <w:rsid w:val="62F20644"/>
    <w:rsid w:val="634C0DFB"/>
    <w:rsid w:val="64BB221C"/>
    <w:rsid w:val="65201E87"/>
    <w:rsid w:val="654A0269"/>
    <w:rsid w:val="665270A1"/>
    <w:rsid w:val="671E03B3"/>
    <w:rsid w:val="67470A61"/>
    <w:rsid w:val="677D5656"/>
    <w:rsid w:val="681C7898"/>
    <w:rsid w:val="6A595593"/>
    <w:rsid w:val="6B95770C"/>
    <w:rsid w:val="6DAC3534"/>
    <w:rsid w:val="6F3652B3"/>
    <w:rsid w:val="70451F3C"/>
    <w:rsid w:val="720141F5"/>
    <w:rsid w:val="72F71596"/>
    <w:rsid w:val="735B7CF3"/>
    <w:rsid w:val="7454115B"/>
    <w:rsid w:val="751676A3"/>
    <w:rsid w:val="75D65853"/>
    <w:rsid w:val="77F0435C"/>
    <w:rsid w:val="78A14AFC"/>
    <w:rsid w:val="7A544054"/>
    <w:rsid w:val="7A922380"/>
    <w:rsid w:val="7AEA5ACF"/>
    <w:rsid w:val="7C317C38"/>
    <w:rsid w:val="7D094E29"/>
    <w:rsid w:val="7DF9016F"/>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link w:val="13"/>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uiPriority w:val="99"/>
    <w:rPr>
      <w:rFonts w:ascii="Calibri" w:hAnsi="Calibri" w:cs="Arial"/>
      <w:sz w:val="18"/>
      <w:szCs w:val="18"/>
      <w:lang w:eastAsia="en-US" w:bidi="en-US"/>
    </w:rPr>
  </w:style>
  <w:style w:type="character" w:customStyle="1" w:styleId="14">
    <w:name w:val="批注框文本 Char"/>
    <w:basedOn w:val="7"/>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11</Pages>
  <Words>4482</Words>
  <Characters>735</Characters>
  <Lines>6</Lines>
  <Paragraphs>10</Paragraphs>
  <TotalTime>7</TotalTime>
  <ScaleCrop>false</ScaleCrop>
  <LinksUpToDate>false</LinksUpToDate>
  <CharactersWithSpaces>5207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2021-04-15T04:35:00Z</dcterms:created>
  <dc:creator>Administrator</dc:creator>
  <cp:lastModifiedBy>婷</cp:lastModifiedBy>
  <cp:lastPrinted>2021-03-26T06:45:00Z</cp:lastPrinted>
  <dcterms:modified xsi:type="dcterms:W3CDTF">2021-04-15T08:41:30Z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A2EB27019D3E4108924D11DB9A958CAE</vt:lpwstr>
  </property>
  <property fmtid="{D5CDD505-2E9C-101B-9397-08002B2CF9AE}" pid="4" name="KSOSaveFontToCloudKey">
    <vt:lpwstr>0_btnclosed</vt:lpwstr>
  </property>
</Properties>
</file>