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75" w:name="_GoBack"/>
      <w:bookmarkEnd w:id="175"/>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96597"/>
      <w:bookmarkStart w:id="3" w:name="_Toc15377425"/>
      <w:bookmarkStart w:id="4" w:name="_Toc15378441"/>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194"/>
      <w:bookmarkStart w:id="8" w:name="_Toc15396476"/>
      <w:bookmarkStart w:id="9" w:name="_Toc15378442"/>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黑虎镇人民政府部门决算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公开时间：2021年9月</w:t>
      </w:r>
      <w:r>
        <w:rPr>
          <w:rFonts w:hint="eastAsia" w:hAnsiTheme="minorHAnsi"/>
          <w:b w:val="0"/>
          <w:bCs w:val="0"/>
          <w:sz w:val="24"/>
          <w:szCs w:val="24"/>
          <w:lang w:val="en-US" w:eastAsia="zh-CN"/>
        </w:rPr>
        <w:t>27</w:t>
      </w:r>
      <w:r>
        <w:rPr>
          <w:rFonts w:hint="eastAsia" w:hAnsiTheme="minorHAnsi"/>
          <w:b w:val="0"/>
          <w:bCs w:val="0"/>
          <w:sz w:val="24"/>
          <w:szCs w:val="24"/>
        </w:rPr>
        <w:t>日</w:t>
      </w:r>
    </w:p>
    <w:p>
      <w:pPr>
        <w:pStyle w:val="15"/>
        <w:tabs>
          <w:tab w:val="right" w:leader="dot" w:pos="8306"/>
        </w:tabs>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hint="eastAsia" w:ascii="黑体" w:hAnsi="黑体" w:eastAsia="黑体"/>
        </w:rPr>
        <w:t>第一部分</w:t>
      </w:r>
      <w:r>
        <w:rPr>
          <w:rFonts w:hint="eastAsia" w:ascii="黑体" w:hAnsi="黑体" w:eastAsia="黑体"/>
          <w:bCs w:val="0"/>
        </w:rPr>
        <w:t>部门概况</w:t>
      </w:r>
      <w:r>
        <w:tab/>
      </w:r>
      <w:r>
        <w:fldChar w:fldCharType="begin"/>
      </w:r>
      <w:r>
        <w:instrText xml:space="preserve"> PAGEREF _Toc11844 </w:instrText>
      </w:r>
      <w:r>
        <w:fldChar w:fldCharType="separate"/>
      </w:r>
      <w:r>
        <w:t>5</w:t>
      </w:r>
      <w:r>
        <w:fldChar w:fldCharType="end"/>
      </w:r>
    </w:p>
    <w:p>
      <w:pPr>
        <w:pStyle w:val="18"/>
        <w:tabs>
          <w:tab w:val="right" w:leader="dot" w:pos="8306"/>
        </w:tabs>
      </w:pPr>
      <w:r>
        <w:rPr>
          <w:rFonts w:hint="eastAsia" w:ascii="黑体" w:hAnsi="黑体" w:eastAsia="黑体"/>
          <w:color w:val="000000"/>
        </w:rPr>
        <w:t>一、基</w:t>
      </w:r>
      <w:r>
        <w:rPr>
          <w:rFonts w:hint="eastAsia" w:ascii="黑体" w:hAnsi="黑体" w:eastAsia="黑体"/>
        </w:rPr>
        <w:t>本职能及主要工作</w:t>
      </w:r>
      <w:r>
        <w:tab/>
      </w:r>
      <w:r>
        <w:fldChar w:fldCharType="begin"/>
      </w:r>
      <w:r>
        <w:instrText xml:space="preserve"> PAGEREF _Toc3532 </w:instrText>
      </w:r>
      <w:r>
        <w:fldChar w:fldCharType="separate"/>
      </w:r>
      <w:r>
        <w:t>5</w:t>
      </w:r>
      <w:r>
        <w:fldChar w:fldCharType="end"/>
      </w:r>
    </w:p>
    <w:p>
      <w:pPr>
        <w:pStyle w:val="10"/>
        <w:tabs>
          <w:tab w:val="right" w:leader="dot" w:pos="8306"/>
        </w:tabs>
      </w:pPr>
      <w:r>
        <w:rPr>
          <w:rFonts w:hint="eastAsia" w:ascii="仿宋" w:hAnsi="仿宋" w:eastAsia="仿宋"/>
          <w:bCs/>
          <w:color w:val="000000"/>
          <w:szCs w:val="32"/>
        </w:rPr>
        <w:t>（一）主要职能</w:t>
      </w:r>
      <w:r>
        <w:tab/>
      </w:r>
      <w:r>
        <w:fldChar w:fldCharType="begin"/>
      </w:r>
      <w:r>
        <w:instrText xml:space="preserve"> PAGEREF _Toc4270 </w:instrText>
      </w:r>
      <w:r>
        <w:fldChar w:fldCharType="separate"/>
      </w:r>
      <w:r>
        <w:t>5</w:t>
      </w:r>
      <w:r>
        <w:fldChar w:fldCharType="end"/>
      </w:r>
    </w:p>
    <w:p>
      <w:pPr>
        <w:pStyle w:val="10"/>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2020</w:t>
      </w:r>
      <w:r>
        <w:rPr>
          <w:rFonts w:hint="eastAsia" w:ascii="仿宋" w:hAnsi="仿宋" w:eastAsia="仿宋"/>
          <w:bCs/>
          <w:color w:val="000000"/>
          <w:szCs w:val="32"/>
        </w:rPr>
        <w:t>年重点工作完成情况</w:t>
      </w:r>
      <w:r>
        <w:tab/>
      </w:r>
      <w:r>
        <w:fldChar w:fldCharType="begin"/>
      </w:r>
      <w:r>
        <w:instrText xml:space="preserve"> PAGEREF _Toc8336 </w:instrText>
      </w:r>
      <w:r>
        <w:fldChar w:fldCharType="separate"/>
      </w:r>
      <w:r>
        <w:t>6</w:t>
      </w:r>
      <w:r>
        <w:fldChar w:fldCharType="end"/>
      </w:r>
    </w:p>
    <w:p>
      <w:pPr>
        <w:pStyle w:val="18"/>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rPr>
        <w:t>构设置</w:t>
      </w:r>
      <w:r>
        <w:tab/>
      </w:r>
      <w:r>
        <w:fldChar w:fldCharType="begin"/>
      </w:r>
      <w:r>
        <w:instrText xml:space="preserve"> PAGEREF _Toc4629 </w:instrText>
      </w:r>
      <w:r>
        <w:fldChar w:fldCharType="separate"/>
      </w:r>
      <w:r>
        <w:t>11</w:t>
      </w:r>
      <w:r>
        <w:fldChar w:fldCharType="end"/>
      </w:r>
    </w:p>
    <w:p>
      <w:pPr>
        <w:pStyle w:val="15"/>
        <w:tabs>
          <w:tab w:val="right" w:leader="dot" w:pos="8306"/>
        </w:tabs>
      </w:pPr>
      <w:r>
        <w:rPr>
          <w:rFonts w:hint="eastAsia" w:ascii="黑体" w:hAnsi="黑体" w:eastAsia="黑体"/>
          <w:color w:val="000000"/>
        </w:rPr>
        <w:t>第二部分</w:t>
      </w:r>
      <w:r>
        <w:rPr>
          <w:rFonts w:ascii="黑体" w:hAnsi="黑体" w:eastAsia="黑体"/>
          <w:bCs w:val="0"/>
        </w:rPr>
        <w:t>2020</w:t>
      </w:r>
      <w:r>
        <w:rPr>
          <w:rFonts w:hint="eastAsia" w:ascii="黑体" w:hAnsi="黑体" w:eastAsia="黑体"/>
          <w:bCs w:val="0"/>
        </w:rPr>
        <w:t>年度部门决算情况说明</w:t>
      </w:r>
      <w:r>
        <w:tab/>
      </w:r>
      <w:r>
        <w:fldChar w:fldCharType="begin"/>
      </w:r>
      <w:r>
        <w:instrText xml:space="preserve"> PAGEREF _Toc10125 </w:instrText>
      </w:r>
      <w:r>
        <w:fldChar w:fldCharType="separate"/>
      </w:r>
      <w:r>
        <w:t>12</w:t>
      </w:r>
      <w:r>
        <w:fldChar w:fldCharType="end"/>
      </w:r>
    </w:p>
    <w:p>
      <w:pPr>
        <w:pStyle w:val="18"/>
        <w:tabs>
          <w:tab w:val="right" w:leader="dot" w:pos="8306"/>
        </w:tabs>
      </w:pPr>
      <w:r>
        <w:rPr>
          <w:rFonts w:ascii="黑体" w:hAnsi="黑体" w:eastAsia="黑体"/>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_Toc27388 </w:instrText>
      </w:r>
      <w:r>
        <w:fldChar w:fldCharType="separate"/>
      </w:r>
      <w:r>
        <w:t>12</w:t>
      </w:r>
      <w:r>
        <w:fldChar w:fldCharType="end"/>
      </w:r>
    </w:p>
    <w:p>
      <w:pPr>
        <w:pStyle w:val="18"/>
        <w:tabs>
          <w:tab w:val="right" w:leader="dot" w:pos="8306"/>
        </w:tabs>
      </w:pPr>
      <w:r>
        <w:rPr>
          <w:rFonts w:ascii="黑体" w:hAnsi="黑体" w:eastAsia="黑体"/>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_Toc3925 </w:instrText>
      </w:r>
      <w:r>
        <w:fldChar w:fldCharType="separate"/>
      </w:r>
      <w:r>
        <w:t>12</w:t>
      </w:r>
      <w:r>
        <w:fldChar w:fldCharType="end"/>
      </w:r>
    </w:p>
    <w:p>
      <w:pPr>
        <w:pStyle w:val="18"/>
        <w:tabs>
          <w:tab w:val="right" w:leader="dot" w:pos="8306"/>
        </w:tabs>
      </w:pPr>
      <w:r>
        <w:rPr>
          <w:rFonts w:ascii="黑体" w:hAnsi="黑体" w:eastAsia="黑体"/>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_Toc10185 </w:instrText>
      </w:r>
      <w:r>
        <w:fldChar w:fldCharType="separate"/>
      </w:r>
      <w:r>
        <w:t>13</w:t>
      </w:r>
      <w:r>
        <w:fldChar w:fldCharType="end"/>
      </w:r>
    </w:p>
    <w:p>
      <w:pPr>
        <w:pStyle w:val="18"/>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_Toc6560 </w:instrText>
      </w:r>
      <w:r>
        <w:fldChar w:fldCharType="separate"/>
      </w:r>
      <w:r>
        <w:t>14</w:t>
      </w:r>
      <w:r>
        <w:fldChar w:fldCharType="end"/>
      </w:r>
    </w:p>
    <w:p>
      <w:pPr>
        <w:pStyle w:val="18"/>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_Toc28532 </w:instrText>
      </w:r>
      <w:r>
        <w:fldChar w:fldCharType="separate"/>
      </w:r>
      <w:r>
        <w:t>14</w:t>
      </w:r>
      <w:r>
        <w:fldChar w:fldCharType="end"/>
      </w:r>
    </w:p>
    <w:p>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_Toc5408 </w:instrText>
      </w:r>
      <w:r>
        <w:fldChar w:fldCharType="separate"/>
      </w:r>
      <w:r>
        <w:t>14</w:t>
      </w:r>
      <w:r>
        <w:fldChar w:fldCharType="end"/>
      </w:r>
    </w:p>
    <w:p>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_Toc29465 </w:instrText>
      </w:r>
      <w:r>
        <w:fldChar w:fldCharType="separate"/>
      </w:r>
      <w:r>
        <w:t>15</w:t>
      </w:r>
      <w:r>
        <w:fldChar w:fldCharType="end"/>
      </w:r>
    </w:p>
    <w:p>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_Toc24294 </w:instrText>
      </w:r>
      <w:r>
        <w:fldChar w:fldCharType="separate"/>
      </w:r>
      <w:r>
        <w:t>16</w:t>
      </w:r>
      <w:r>
        <w:fldChar w:fldCharType="end"/>
      </w:r>
    </w:p>
    <w:p>
      <w:pPr>
        <w:pStyle w:val="18"/>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_Toc31339 </w:instrText>
      </w:r>
      <w:r>
        <w:fldChar w:fldCharType="separate"/>
      </w:r>
      <w:r>
        <w:t>19</w:t>
      </w:r>
      <w:r>
        <w:fldChar w:fldCharType="end"/>
      </w:r>
    </w:p>
    <w:p>
      <w:pPr>
        <w:pStyle w:val="18"/>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_Toc13754 </w:instrText>
      </w:r>
      <w:r>
        <w:fldChar w:fldCharType="separate"/>
      </w:r>
      <w:r>
        <w:t>20</w:t>
      </w:r>
      <w:r>
        <w:fldChar w:fldCharType="end"/>
      </w:r>
    </w:p>
    <w:p>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_Toc936 </w:instrText>
      </w:r>
      <w:r>
        <w:fldChar w:fldCharType="separate"/>
      </w:r>
      <w:r>
        <w:t>20</w:t>
      </w:r>
      <w:r>
        <w:fldChar w:fldCharType="end"/>
      </w:r>
    </w:p>
    <w:p>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_Toc12666 </w:instrText>
      </w:r>
      <w:r>
        <w:fldChar w:fldCharType="separate"/>
      </w:r>
      <w:r>
        <w:t>20</w:t>
      </w:r>
      <w:r>
        <w:fldChar w:fldCharType="end"/>
      </w:r>
    </w:p>
    <w:p>
      <w:pPr>
        <w:pStyle w:val="18"/>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_Toc23458 </w:instrText>
      </w:r>
      <w:r>
        <w:fldChar w:fldCharType="separate"/>
      </w:r>
      <w:r>
        <w:t>21</w:t>
      </w:r>
      <w:r>
        <w:fldChar w:fldCharType="end"/>
      </w:r>
    </w:p>
    <w:p>
      <w:pPr>
        <w:pStyle w:val="18"/>
        <w:tabs>
          <w:tab w:val="right" w:leader="dot" w:pos="8306"/>
        </w:tabs>
      </w:pPr>
      <w:r>
        <w:rPr>
          <w:rFonts w:hint="eastAsia" w:ascii="黑体" w:hAnsi="黑体" w:eastAsia="黑体"/>
        </w:rPr>
        <w:t>九、 国有资本经营预算支出决算情况说明</w:t>
      </w:r>
      <w:r>
        <w:tab/>
      </w:r>
      <w:r>
        <w:fldChar w:fldCharType="begin"/>
      </w:r>
      <w:r>
        <w:instrText xml:space="preserve"> PAGEREF _Toc4869 </w:instrText>
      </w:r>
      <w:r>
        <w:fldChar w:fldCharType="separate"/>
      </w:r>
      <w:r>
        <w:t>21</w:t>
      </w:r>
      <w:r>
        <w:fldChar w:fldCharType="end"/>
      </w:r>
    </w:p>
    <w:p>
      <w:pPr>
        <w:pStyle w:val="18"/>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_Toc6459 </w:instrText>
      </w:r>
      <w:r>
        <w:fldChar w:fldCharType="separate"/>
      </w:r>
      <w:r>
        <w:t>21</w:t>
      </w:r>
      <w:r>
        <w:fldChar w:fldCharType="end"/>
      </w:r>
    </w:p>
    <w:p>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_Toc22441 </w:instrText>
      </w:r>
      <w:r>
        <w:fldChar w:fldCharType="separate"/>
      </w:r>
      <w:r>
        <w:t>21</w:t>
      </w:r>
      <w:r>
        <w:fldChar w:fldCharType="end"/>
      </w:r>
    </w:p>
    <w:p>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_Toc26271 </w:instrText>
      </w:r>
      <w:r>
        <w:fldChar w:fldCharType="separate"/>
      </w:r>
      <w:r>
        <w:t>21</w:t>
      </w:r>
      <w:r>
        <w:fldChar w:fldCharType="end"/>
      </w:r>
    </w:p>
    <w:p>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_Toc25265 </w:instrText>
      </w:r>
      <w:r>
        <w:fldChar w:fldCharType="separate"/>
      </w:r>
      <w:r>
        <w:t>22</w:t>
      </w:r>
      <w:r>
        <w:fldChar w:fldCharType="end"/>
      </w:r>
    </w:p>
    <w:p>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_Toc7306 </w:instrText>
      </w:r>
      <w:r>
        <w:fldChar w:fldCharType="separate"/>
      </w:r>
      <w:r>
        <w:t>22</w:t>
      </w:r>
      <w:r>
        <w:fldChar w:fldCharType="end"/>
      </w:r>
    </w:p>
    <w:p>
      <w:pPr>
        <w:pStyle w:val="15"/>
        <w:tabs>
          <w:tab w:val="right" w:leader="dot" w:pos="8306"/>
        </w:tabs>
      </w:pPr>
      <w:r>
        <w:rPr>
          <w:rFonts w:hint="eastAsia" w:ascii="黑体" w:hAnsi="黑体" w:eastAsia="黑体"/>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_Toc10753 </w:instrText>
      </w:r>
      <w:r>
        <w:fldChar w:fldCharType="separate"/>
      </w:r>
      <w:r>
        <w:t>35</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四部分附件</w:t>
      </w:r>
      <w:r>
        <w:tab/>
      </w:r>
      <w:r>
        <w:fldChar w:fldCharType="begin"/>
      </w:r>
      <w:r>
        <w:instrText xml:space="preserve"> PAGEREF _Toc16647 </w:instrText>
      </w:r>
      <w:r>
        <w:fldChar w:fldCharType="separate"/>
      </w:r>
      <w:r>
        <w:t>40</w:t>
      </w:r>
      <w:r>
        <w:fldChar w:fldCharType="end"/>
      </w:r>
    </w:p>
    <w:p>
      <w:pPr>
        <w:pStyle w:val="15"/>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_Toc11361 </w:instrText>
      </w:r>
      <w:r>
        <w:fldChar w:fldCharType="separate"/>
      </w:r>
      <w:r>
        <w:t>40</w:t>
      </w:r>
      <w:r>
        <w:fldChar w:fldCharType="end"/>
      </w:r>
    </w:p>
    <w:p>
      <w:pPr>
        <w:pStyle w:val="18"/>
        <w:tabs>
          <w:tab w:val="right" w:leader="dot" w:pos="8306"/>
        </w:tabs>
      </w:pPr>
      <w:r>
        <w:rPr>
          <w:rFonts w:hint="eastAsia" w:ascii="黑体" w:hAnsi="黑体" w:eastAsia="黑体" w:cs="黑体"/>
        </w:rPr>
        <w:t>一、部门（单位）概况</w:t>
      </w:r>
      <w:r>
        <w:tab/>
      </w:r>
      <w:r>
        <w:fldChar w:fldCharType="begin"/>
      </w:r>
      <w:r>
        <w:instrText xml:space="preserve"> PAGEREF _Toc30535 </w:instrText>
      </w:r>
      <w:r>
        <w:fldChar w:fldCharType="separate"/>
      </w:r>
      <w:r>
        <w:t>40</w:t>
      </w:r>
      <w:r>
        <w:fldChar w:fldCharType="end"/>
      </w:r>
    </w:p>
    <w:p>
      <w:pPr>
        <w:pStyle w:val="18"/>
        <w:tabs>
          <w:tab w:val="right" w:leader="dot" w:pos="8306"/>
        </w:tabs>
      </w:pPr>
      <w:r>
        <w:rPr>
          <w:rFonts w:hint="eastAsia" w:ascii="黑体" w:hAnsi="黑体" w:eastAsia="黑体" w:cs="黑体"/>
        </w:rPr>
        <w:t>二、部门财政资金收支情况</w:t>
      </w:r>
      <w:r>
        <w:tab/>
      </w:r>
      <w:r>
        <w:fldChar w:fldCharType="begin"/>
      </w:r>
      <w:r>
        <w:instrText xml:space="preserve"> PAGEREF _Toc28767 </w:instrText>
      </w:r>
      <w:r>
        <w:fldChar w:fldCharType="separate"/>
      </w:r>
      <w:r>
        <w:t>41</w:t>
      </w:r>
      <w:r>
        <w:fldChar w:fldCharType="end"/>
      </w:r>
    </w:p>
    <w:p>
      <w:pPr>
        <w:pStyle w:val="18"/>
        <w:tabs>
          <w:tab w:val="right" w:leader="dot" w:pos="8306"/>
        </w:tabs>
      </w:pPr>
      <w:r>
        <w:rPr>
          <w:rFonts w:hint="eastAsia" w:ascii="黑体" w:hAnsi="黑体" w:eastAsia="黑体" w:cs="黑体"/>
        </w:rPr>
        <w:t>三、部门整体预算绩效管理情况</w:t>
      </w:r>
      <w:r>
        <w:tab/>
      </w:r>
      <w:r>
        <w:fldChar w:fldCharType="begin"/>
      </w:r>
      <w:r>
        <w:instrText xml:space="preserve"> PAGEREF _Toc30988 </w:instrText>
      </w:r>
      <w:r>
        <w:fldChar w:fldCharType="separate"/>
      </w:r>
      <w:r>
        <w:t>42</w:t>
      </w:r>
      <w:r>
        <w:fldChar w:fldCharType="end"/>
      </w:r>
    </w:p>
    <w:p>
      <w:pPr>
        <w:pStyle w:val="18"/>
        <w:tabs>
          <w:tab w:val="right" w:leader="dot" w:pos="8306"/>
        </w:tabs>
      </w:pPr>
      <w:r>
        <w:rPr>
          <w:rFonts w:hint="eastAsia" w:ascii="楷体_GB2312" w:hAnsi="楷体_GB2312" w:eastAsia="楷体_GB2312" w:cs="楷体_GB2312"/>
        </w:rPr>
        <w:t>（二）专项预算管理</w:t>
      </w:r>
      <w:r>
        <w:tab/>
      </w:r>
      <w:r>
        <w:fldChar w:fldCharType="begin"/>
      </w:r>
      <w:r>
        <w:instrText xml:space="preserve"> PAGEREF _Toc13916 </w:instrText>
      </w:r>
      <w:r>
        <w:fldChar w:fldCharType="separate"/>
      </w:r>
      <w:r>
        <w:t>43</w:t>
      </w:r>
      <w:r>
        <w:fldChar w:fldCharType="end"/>
      </w:r>
    </w:p>
    <w:p>
      <w:pPr>
        <w:pStyle w:val="18"/>
        <w:tabs>
          <w:tab w:val="right" w:leader="dot" w:pos="8306"/>
        </w:tabs>
      </w:pPr>
      <w:r>
        <w:rPr>
          <w:rFonts w:hint="eastAsia" w:ascii="楷体_GB2312" w:hAnsi="楷体_GB2312" w:eastAsia="楷体_GB2312" w:cs="楷体_GB2312"/>
        </w:rPr>
        <w:t>（三）结果应用情况</w:t>
      </w:r>
      <w:r>
        <w:tab/>
      </w:r>
      <w:r>
        <w:fldChar w:fldCharType="begin"/>
      </w:r>
      <w:r>
        <w:instrText xml:space="preserve"> PAGEREF _Toc7894 </w:instrText>
      </w:r>
      <w:r>
        <w:fldChar w:fldCharType="separate"/>
      </w:r>
      <w:r>
        <w:t>43</w:t>
      </w:r>
      <w:r>
        <w:fldChar w:fldCharType="end"/>
      </w:r>
    </w:p>
    <w:p>
      <w:pPr>
        <w:pStyle w:val="18"/>
        <w:tabs>
          <w:tab w:val="right" w:leader="dot" w:pos="8306"/>
        </w:tabs>
      </w:pPr>
      <w:r>
        <w:rPr>
          <w:rFonts w:hint="eastAsia" w:ascii="黑体" w:hAnsi="黑体" w:eastAsia="黑体" w:cs="黑体"/>
        </w:rPr>
        <w:t>四、评价结论及建议</w:t>
      </w:r>
      <w:r>
        <w:tab/>
      </w:r>
      <w:r>
        <w:fldChar w:fldCharType="begin"/>
      </w:r>
      <w:r>
        <w:instrText xml:space="preserve"> PAGEREF _Toc20693 </w:instrText>
      </w:r>
      <w:r>
        <w:fldChar w:fldCharType="separate"/>
      </w:r>
      <w:r>
        <w:t>43</w:t>
      </w:r>
      <w:r>
        <w:fldChar w:fldCharType="end"/>
      </w:r>
    </w:p>
    <w:p>
      <w:pPr>
        <w:pStyle w:val="18"/>
        <w:tabs>
          <w:tab w:val="right" w:leader="dot" w:pos="8306"/>
        </w:tabs>
      </w:pPr>
      <w:r>
        <w:rPr>
          <w:rFonts w:hint="eastAsia" w:ascii="楷体_GB2312" w:hAnsi="楷体_GB2312" w:eastAsia="楷体_GB2312" w:cs="楷体_GB2312"/>
        </w:rPr>
        <w:t>（一）评价结论</w:t>
      </w:r>
      <w:r>
        <w:tab/>
      </w:r>
      <w:r>
        <w:fldChar w:fldCharType="begin"/>
      </w:r>
      <w:r>
        <w:instrText xml:space="preserve"> PAGEREF _Toc21118 </w:instrText>
      </w:r>
      <w:r>
        <w:fldChar w:fldCharType="separate"/>
      </w:r>
      <w:r>
        <w:t>43</w:t>
      </w:r>
      <w:r>
        <w:fldChar w:fldCharType="end"/>
      </w:r>
    </w:p>
    <w:p>
      <w:pPr>
        <w:pStyle w:val="18"/>
        <w:tabs>
          <w:tab w:val="right" w:leader="dot" w:pos="8306"/>
        </w:tabs>
      </w:pPr>
      <w:r>
        <w:rPr>
          <w:rFonts w:hint="eastAsia" w:ascii="楷体_GB2312" w:hAnsi="楷体_GB2312" w:eastAsia="楷体_GB2312" w:cs="楷体_GB2312"/>
        </w:rPr>
        <w:t>（二）存在问题</w:t>
      </w:r>
      <w:r>
        <w:tab/>
      </w:r>
      <w:r>
        <w:fldChar w:fldCharType="begin"/>
      </w:r>
      <w:r>
        <w:instrText xml:space="preserve"> PAGEREF _Toc28090 </w:instrText>
      </w:r>
      <w:r>
        <w:fldChar w:fldCharType="separate"/>
      </w:r>
      <w:r>
        <w:t>43</w:t>
      </w:r>
      <w:r>
        <w:fldChar w:fldCharType="end"/>
      </w:r>
    </w:p>
    <w:p>
      <w:pPr>
        <w:pStyle w:val="18"/>
        <w:tabs>
          <w:tab w:val="right" w:leader="dot" w:pos="8306"/>
        </w:tabs>
      </w:pPr>
      <w:r>
        <w:rPr>
          <w:rFonts w:hint="eastAsia" w:ascii="楷体_GB2312" w:hAnsi="楷体_GB2312" w:eastAsia="楷体_GB2312" w:cs="楷体_GB2312"/>
        </w:rPr>
        <w:t>（三）改进建议</w:t>
      </w:r>
      <w:r>
        <w:tab/>
      </w:r>
      <w:r>
        <w:fldChar w:fldCharType="begin"/>
      </w:r>
      <w:r>
        <w:instrText xml:space="preserve"> PAGEREF _Toc23361 </w:instrText>
      </w:r>
      <w:r>
        <w:fldChar w:fldCharType="separate"/>
      </w:r>
      <w:r>
        <w:t>44</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五部分附表</w:t>
      </w:r>
      <w:r>
        <w:tab/>
      </w:r>
      <w:r>
        <w:fldChar w:fldCharType="begin"/>
      </w:r>
      <w:r>
        <w:instrText xml:space="preserve"> PAGEREF _Toc25141 </w:instrText>
      </w:r>
      <w:r>
        <w:fldChar w:fldCharType="separate"/>
      </w:r>
      <w:r>
        <w:t>45</w:t>
      </w:r>
      <w:r>
        <w:fldChar w:fldCharType="end"/>
      </w:r>
    </w:p>
    <w:p>
      <w:pPr>
        <w:pStyle w:val="18"/>
        <w:tabs>
          <w:tab w:val="right" w:leader="dot" w:pos="8306"/>
        </w:tabs>
      </w:pPr>
      <w:r>
        <w:rPr>
          <w:rFonts w:hint="eastAsia" w:ascii="仿宋" w:hAnsi="仿宋" w:eastAsia="仿宋"/>
          <w:color w:val="000000"/>
        </w:rPr>
        <w:t>一、收</w:t>
      </w:r>
      <w:r>
        <w:rPr>
          <w:rFonts w:hint="eastAsia" w:ascii="仿宋" w:hAnsi="仿宋" w:eastAsia="仿宋"/>
        </w:rPr>
        <w:t>入支出决算总表</w:t>
      </w:r>
      <w:r>
        <w:tab/>
      </w:r>
      <w:r>
        <w:fldChar w:fldCharType="begin"/>
      </w:r>
      <w:r>
        <w:instrText xml:space="preserve"> PAGEREF _Toc16373 </w:instrText>
      </w:r>
      <w:r>
        <w:fldChar w:fldCharType="separate"/>
      </w:r>
      <w:r>
        <w:t>45</w:t>
      </w:r>
      <w:r>
        <w:fldChar w:fldCharType="end"/>
      </w:r>
    </w:p>
    <w:p>
      <w:pPr>
        <w:pStyle w:val="18"/>
        <w:tabs>
          <w:tab w:val="right" w:leader="dot" w:pos="8306"/>
        </w:tabs>
      </w:pPr>
      <w:r>
        <w:rPr>
          <w:rFonts w:hint="eastAsia" w:ascii="仿宋" w:hAnsi="仿宋" w:eastAsia="仿宋"/>
          <w:color w:val="000000"/>
        </w:rPr>
        <w:t>二、收</w:t>
      </w:r>
      <w:r>
        <w:rPr>
          <w:rFonts w:hint="eastAsia" w:ascii="仿宋" w:hAnsi="仿宋" w:eastAsia="仿宋"/>
        </w:rPr>
        <w:t>入决算表</w:t>
      </w:r>
      <w:r>
        <w:tab/>
      </w:r>
      <w:r>
        <w:fldChar w:fldCharType="begin"/>
      </w:r>
      <w:r>
        <w:instrText xml:space="preserve"> PAGEREF _Toc27470 </w:instrText>
      </w:r>
      <w:r>
        <w:fldChar w:fldCharType="separate"/>
      </w:r>
      <w:r>
        <w:t>45</w:t>
      </w:r>
      <w:r>
        <w:fldChar w:fldCharType="end"/>
      </w:r>
    </w:p>
    <w:p>
      <w:pPr>
        <w:pStyle w:val="18"/>
        <w:tabs>
          <w:tab w:val="right" w:leader="dot" w:pos="8306"/>
        </w:tabs>
      </w:pPr>
      <w:r>
        <w:rPr>
          <w:rFonts w:hint="eastAsia" w:ascii="仿宋" w:hAnsi="仿宋" w:eastAsia="仿宋"/>
        </w:rPr>
        <w:t>三、</w:t>
      </w:r>
      <w:r>
        <w:rPr>
          <w:rFonts w:hint="eastAsia" w:ascii="仿宋" w:hAnsi="仿宋" w:eastAsia="仿宋"/>
          <w:color w:val="000000"/>
        </w:rPr>
        <w:t>支</w:t>
      </w:r>
      <w:r>
        <w:rPr>
          <w:rFonts w:hint="eastAsia" w:ascii="仿宋" w:hAnsi="仿宋" w:eastAsia="仿宋"/>
        </w:rPr>
        <w:t>出决算表</w:t>
      </w:r>
      <w:r>
        <w:tab/>
      </w:r>
      <w:r>
        <w:fldChar w:fldCharType="begin"/>
      </w:r>
      <w:r>
        <w:instrText xml:space="preserve"> PAGEREF _Toc1571 </w:instrText>
      </w:r>
      <w:r>
        <w:fldChar w:fldCharType="separate"/>
      </w:r>
      <w:r>
        <w:t>45</w:t>
      </w:r>
      <w:r>
        <w:fldChar w:fldCharType="end"/>
      </w:r>
    </w:p>
    <w:p>
      <w:pPr>
        <w:pStyle w:val="18"/>
        <w:tabs>
          <w:tab w:val="right" w:leader="dot" w:pos="8306"/>
        </w:tabs>
      </w:pPr>
      <w:r>
        <w:rPr>
          <w:rFonts w:hint="eastAsia" w:ascii="仿宋" w:hAnsi="仿宋" w:eastAsia="仿宋"/>
        </w:rPr>
        <w:t>四、</w:t>
      </w:r>
      <w:r>
        <w:rPr>
          <w:rFonts w:hint="eastAsia" w:ascii="仿宋" w:hAnsi="仿宋" w:eastAsia="仿宋"/>
          <w:color w:val="000000"/>
        </w:rPr>
        <w:t>财</w:t>
      </w:r>
      <w:r>
        <w:rPr>
          <w:rFonts w:hint="eastAsia" w:ascii="仿宋" w:hAnsi="仿宋" w:eastAsia="仿宋"/>
        </w:rPr>
        <w:t>政拨款收入支出决算总表</w:t>
      </w:r>
      <w:r>
        <w:tab/>
      </w:r>
      <w:r>
        <w:fldChar w:fldCharType="begin"/>
      </w:r>
      <w:r>
        <w:instrText xml:space="preserve"> PAGEREF _Toc24311 </w:instrText>
      </w:r>
      <w:r>
        <w:fldChar w:fldCharType="separate"/>
      </w:r>
      <w:r>
        <w:t>45</w:t>
      </w:r>
      <w:r>
        <w:fldChar w:fldCharType="end"/>
      </w:r>
    </w:p>
    <w:p>
      <w:pPr>
        <w:pStyle w:val="18"/>
        <w:tabs>
          <w:tab w:val="right" w:leader="dot" w:pos="8306"/>
        </w:tabs>
      </w:pPr>
      <w:r>
        <w:rPr>
          <w:rFonts w:hint="eastAsia" w:ascii="仿宋" w:hAnsi="仿宋" w:eastAsia="仿宋"/>
        </w:rPr>
        <w:t>五、</w:t>
      </w:r>
      <w:r>
        <w:rPr>
          <w:rFonts w:hint="eastAsia" w:ascii="仿宋" w:hAnsi="仿宋" w:eastAsia="仿宋"/>
          <w:color w:val="000000"/>
        </w:rPr>
        <w:t>财</w:t>
      </w:r>
      <w:r>
        <w:rPr>
          <w:rFonts w:hint="eastAsia" w:ascii="仿宋" w:hAnsi="仿宋" w:eastAsia="仿宋"/>
        </w:rPr>
        <w:t>政拨款支出决算明细表</w:t>
      </w:r>
      <w:r>
        <w:tab/>
      </w:r>
      <w:r>
        <w:fldChar w:fldCharType="begin"/>
      </w:r>
      <w:r>
        <w:instrText xml:space="preserve"> PAGEREF _Toc6324 </w:instrText>
      </w:r>
      <w:r>
        <w:fldChar w:fldCharType="separate"/>
      </w:r>
      <w:r>
        <w:t>45</w:t>
      </w:r>
      <w:r>
        <w:fldChar w:fldCharType="end"/>
      </w:r>
    </w:p>
    <w:p>
      <w:pPr>
        <w:pStyle w:val="18"/>
        <w:tabs>
          <w:tab w:val="right" w:leader="dot" w:pos="8306"/>
        </w:tabs>
      </w:pPr>
      <w:r>
        <w:rPr>
          <w:rFonts w:hint="eastAsia" w:ascii="仿宋" w:hAnsi="仿宋" w:eastAsia="仿宋"/>
        </w:rPr>
        <w:t>六、</w:t>
      </w:r>
      <w:r>
        <w:rPr>
          <w:rFonts w:hint="eastAsia" w:ascii="仿宋" w:hAnsi="仿宋" w:eastAsia="仿宋"/>
          <w:color w:val="000000"/>
        </w:rPr>
        <w:t>一</w:t>
      </w:r>
      <w:r>
        <w:rPr>
          <w:rFonts w:hint="eastAsia" w:ascii="仿宋" w:hAnsi="仿宋" w:eastAsia="仿宋"/>
        </w:rPr>
        <w:t>般公共预算财政拨款支出决算表</w:t>
      </w:r>
      <w:r>
        <w:tab/>
      </w:r>
      <w:r>
        <w:fldChar w:fldCharType="begin"/>
      </w:r>
      <w:r>
        <w:instrText xml:space="preserve"> PAGEREF _Toc7746 </w:instrText>
      </w:r>
      <w:r>
        <w:fldChar w:fldCharType="separate"/>
      </w:r>
      <w:r>
        <w:t>45</w:t>
      </w:r>
      <w:r>
        <w:fldChar w:fldCharType="end"/>
      </w:r>
    </w:p>
    <w:p>
      <w:pPr>
        <w:pStyle w:val="18"/>
        <w:tabs>
          <w:tab w:val="right" w:leader="dot" w:pos="8306"/>
        </w:tabs>
      </w:pPr>
      <w:r>
        <w:rPr>
          <w:rFonts w:hint="eastAsia" w:ascii="仿宋" w:hAnsi="仿宋" w:eastAsia="仿宋"/>
        </w:rPr>
        <w:t>七、</w:t>
      </w:r>
      <w:r>
        <w:rPr>
          <w:rFonts w:hint="eastAsia" w:ascii="仿宋" w:hAnsi="仿宋" w:eastAsia="仿宋"/>
          <w:color w:val="000000"/>
        </w:rPr>
        <w:t>一</w:t>
      </w:r>
      <w:r>
        <w:rPr>
          <w:rFonts w:hint="eastAsia" w:ascii="仿宋" w:hAnsi="仿宋" w:eastAsia="仿宋"/>
        </w:rPr>
        <w:t>般公共预算财政拨款支出决算明细表</w:t>
      </w:r>
      <w:r>
        <w:tab/>
      </w:r>
      <w:r>
        <w:fldChar w:fldCharType="begin"/>
      </w:r>
      <w:r>
        <w:instrText xml:space="preserve"> PAGEREF _Toc14072 </w:instrText>
      </w:r>
      <w:r>
        <w:fldChar w:fldCharType="separate"/>
      </w:r>
      <w:r>
        <w:t>45</w:t>
      </w:r>
      <w:r>
        <w:fldChar w:fldCharType="end"/>
      </w:r>
    </w:p>
    <w:p>
      <w:pPr>
        <w:pStyle w:val="18"/>
        <w:tabs>
          <w:tab w:val="right" w:leader="dot" w:pos="8306"/>
        </w:tabs>
      </w:pPr>
      <w:r>
        <w:rPr>
          <w:rFonts w:hint="eastAsia" w:ascii="仿宋" w:hAnsi="仿宋" w:eastAsia="仿宋"/>
        </w:rPr>
        <w:t>八、</w:t>
      </w:r>
      <w:r>
        <w:rPr>
          <w:rFonts w:hint="eastAsia" w:ascii="仿宋" w:hAnsi="仿宋" w:eastAsia="仿宋"/>
          <w:color w:val="000000"/>
        </w:rPr>
        <w:t>一</w:t>
      </w:r>
      <w:r>
        <w:rPr>
          <w:rFonts w:hint="eastAsia" w:ascii="仿宋" w:hAnsi="仿宋" w:eastAsia="仿宋"/>
        </w:rPr>
        <w:t>般公共预算财政拨款基本支出决算表</w:t>
      </w:r>
      <w:r>
        <w:tab/>
      </w:r>
      <w:r>
        <w:fldChar w:fldCharType="begin"/>
      </w:r>
      <w:r>
        <w:instrText xml:space="preserve"> PAGEREF _Toc27552 </w:instrText>
      </w:r>
      <w:r>
        <w:fldChar w:fldCharType="separate"/>
      </w:r>
      <w:r>
        <w:t>45</w:t>
      </w:r>
      <w:r>
        <w:fldChar w:fldCharType="end"/>
      </w:r>
    </w:p>
    <w:p>
      <w:pPr>
        <w:pStyle w:val="18"/>
        <w:tabs>
          <w:tab w:val="right" w:leader="dot" w:pos="8306"/>
        </w:tabs>
      </w:pPr>
      <w:r>
        <w:rPr>
          <w:rFonts w:hint="eastAsia" w:ascii="仿宋" w:hAnsi="仿宋" w:eastAsia="仿宋"/>
        </w:rPr>
        <w:t>九、</w:t>
      </w:r>
      <w:r>
        <w:rPr>
          <w:rFonts w:hint="eastAsia" w:ascii="仿宋" w:hAnsi="仿宋" w:eastAsia="仿宋"/>
          <w:color w:val="000000"/>
        </w:rPr>
        <w:t>一</w:t>
      </w:r>
      <w:r>
        <w:rPr>
          <w:rFonts w:hint="eastAsia" w:ascii="仿宋" w:hAnsi="仿宋" w:eastAsia="仿宋"/>
        </w:rPr>
        <w:t>般公共预算财政拨款项目支出决算表</w:t>
      </w:r>
      <w:r>
        <w:tab/>
      </w:r>
      <w:r>
        <w:fldChar w:fldCharType="begin"/>
      </w:r>
      <w:r>
        <w:instrText xml:space="preserve"> PAGEREF _Toc8315 </w:instrText>
      </w:r>
      <w:r>
        <w:fldChar w:fldCharType="separate"/>
      </w:r>
      <w:r>
        <w:t>45</w:t>
      </w:r>
      <w:r>
        <w:fldChar w:fldCharType="end"/>
      </w:r>
    </w:p>
    <w:p>
      <w:pPr>
        <w:pStyle w:val="18"/>
        <w:tabs>
          <w:tab w:val="right" w:leader="dot" w:pos="8306"/>
        </w:tabs>
      </w:pPr>
      <w:r>
        <w:rPr>
          <w:rFonts w:hint="eastAsia" w:ascii="仿宋" w:hAnsi="仿宋" w:eastAsia="仿宋"/>
        </w:rPr>
        <w:t>十、</w:t>
      </w:r>
      <w:r>
        <w:rPr>
          <w:rFonts w:hint="eastAsia" w:ascii="仿宋" w:hAnsi="仿宋" w:eastAsia="仿宋"/>
          <w:color w:val="000000"/>
        </w:rPr>
        <w:t>一</w:t>
      </w:r>
      <w:r>
        <w:rPr>
          <w:rFonts w:hint="eastAsia" w:ascii="仿宋" w:hAnsi="仿宋" w:eastAsia="仿宋"/>
        </w:rPr>
        <w:t>般公共预算财政拨款“三公”经费支出决算表</w:t>
      </w:r>
      <w:r>
        <w:tab/>
      </w:r>
      <w:r>
        <w:fldChar w:fldCharType="begin"/>
      </w:r>
      <w:r>
        <w:instrText xml:space="preserve"> PAGEREF _Toc23523 </w:instrText>
      </w:r>
      <w:r>
        <w:fldChar w:fldCharType="separate"/>
      </w:r>
      <w:r>
        <w:t>45</w:t>
      </w:r>
      <w:r>
        <w:fldChar w:fldCharType="end"/>
      </w:r>
    </w:p>
    <w:p>
      <w:pPr>
        <w:pStyle w:val="18"/>
        <w:tabs>
          <w:tab w:val="right" w:leader="dot" w:pos="8306"/>
        </w:tabs>
      </w:pPr>
      <w:r>
        <w:rPr>
          <w:rFonts w:hint="eastAsia" w:ascii="仿宋" w:hAnsi="仿宋" w:eastAsia="仿宋"/>
        </w:rPr>
        <w:t>十一、</w:t>
      </w:r>
      <w:r>
        <w:rPr>
          <w:rFonts w:hint="eastAsia" w:ascii="仿宋" w:hAnsi="仿宋" w:eastAsia="仿宋"/>
          <w:color w:val="000000"/>
        </w:rPr>
        <w:t>政</w:t>
      </w:r>
      <w:r>
        <w:rPr>
          <w:rFonts w:hint="eastAsia" w:ascii="仿宋" w:hAnsi="仿宋" w:eastAsia="仿宋"/>
        </w:rPr>
        <w:t>府性基金预算财政拨款收入支出决算表</w:t>
      </w:r>
      <w:r>
        <w:tab/>
      </w:r>
      <w:r>
        <w:fldChar w:fldCharType="begin"/>
      </w:r>
      <w:r>
        <w:instrText xml:space="preserve"> PAGEREF _Toc25708 </w:instrText>
      </w:r>
      <w:r>
        <w:fldChar w:fldCharType="separate"/>
      </w:r>
      <w:r>
        <w:t>45</w:t>
      </w:r>
      <w:r>
        <w:fldChar w:fldCharType="end"/>
      </w:r>
    </w:p>
    <w:p>
      <w:pPr>
        <w:pStyle w:val="18"/>
        <w:tabs>
          <w:tab w:val="right" w:leader="dot" w:pos="8306"/>
        </w:tabs>
      </w:pPr>
      <w:r>
        <w:rPr>
          <w:rFonts w:hint="eastAsia" w:ascii="仿宋" w:hAnsi="仿宋" w:eastAsia="仿宋"/>
        </w:rPr>
        <w:t>十二、</w:t>
      </w:r>
      <w:r>
        <w:rPr>
          <w:rFonts w:hint="eastAsia" w:ascii="仿宋" w:hAnsi="仿宋" w:eastAsia="仿宋"/>
          <w:color w:val="000000"/>
        </w:rPr>
        <w:t>政</w:t>
      </w:r>
      <w:r>
        <w:rPr>
          <w:rFonts w:hint="eastAsia" w:ascii="仿宋" w:hAnsi="仿宋" w:eastAsia="仿宋"/>
        </w:rPr>
        <w:t>府性基金预算财政拨款“三公”经费支出决算表</w:t>
      </w:r>
      <w:r>
        <w:tab/>
      </w:r>
      <w:r>
        <w:fldChar w:fldCharType="begin"/>
      </w:r>
      <w:r>
        <w:instrText xml:space="preserve"> PAGEREF _Toc127 </w:instrText>
      </w:r>
      <w:r>
        <w:fldChar w:fldCharType="separate"/>
      </w:r>
      <w:r>
        <w:t>45</w:t>
      </w:r>
      <w:r>
        <w:fldChar w:fldCharType="end"/>
      </w:r>
    </w:p>
    <w:p>
      <w:pPr>
        <w:pStyle w:val="18"/>
        <w:tabs>
          <w:tab w:val="right" w:leader="dot" w:pos="8306"/>
        </w:tabs>
      </w:pPr>
      <w:r>
        <w:rPr>
          <w:rFonts w:hint="eastAsia" w:ascii="仿宋" w:hAnsi="仿宋" w:eastAsia="仿宋"/>
        </w:rPr>
        <w:t>十三、</w:t>
      </w:r>
      <w:r>
        <w:rPr>
          <w:rFonts w:hint="eastAsia" w:ascii="仿宋" w:hAnsi="仿宋" w:eastAsia="仿宋"/>
          <w:color w:val="000000"/>
        </w:rPr>
        <w:t>国</w:t>
      </w:r>
      <w:r>
        <w:rPr>
          <w:rFonts w:hint="eastAsia" w:ascii="仿宋" w:hAnsi="仿宋" w:eastAsia="仿宋"/>
        </w:rPr>
        <w:t>有资本经营预算财政拨款支出决算表</w:t>
      </w:r>
      <w:r>
        <w:tab/>
      </w:r>
      <w:r>
        <w:fldChar w:fldCharType="begin"/>
      </w:r>
      <w:r>
        <w:instrText xml:space="preserve"> PAGEREF _Toc6510 </w:instrText>
      </w:r>
      <w:r>
        <w:fldChar w:fldCharType="separate"/>
      </w:r>
      <w:r>
        <w:t>45</w:t>
      </w:r>
      <w:r>
        <w:fldChar w:fldCharType="end"/>
      </w:r>
    </w:p>
    <w:p>
      <w:pPr>
        <w:pStyle w:val="18"/>
        <w:tabs>
          <w:tab w:val="right" w:leader="dot" w:pos="8306"/>
        </w:tabs>
      </w:pPr>
      <w:r>
        <w:rPr>
          <w:rFonts w:hint="eastAsia" w:ascii="仿宋" w:hAnsi="仿宋" w:eastAsia="仿宋"/>
        </w:rPr>
        <w:t>十四、国有资本经营预算财政拨款支出决算表</w:t>
      </w:r>
      <w:r>
        <w:tab/>
      </w:r>
      <w:r>
        <w:fldChar w:fldCharType="begin"/>
      </w:r>
      <w:r>
        <w:instrText xml:space="preserve"> PAGEREF _Toc7325 </w:instrText>
      </w:r>
      <w:r>
        <w:fldChar w:fldCharType="separate"/>
      </w:r>
      <w:r>
        <w:t>45</w:t>
      </w:r>
      <w:r>
        <w:fldChar w:fldCharType="end"/>
      </w:r>
    </w:p>
    <w:p>
      <w:r>
        <w:rPr>
          <w:rFonts w:ascii="仿宋" w:hAnsi="仿宋" w:eastAsia="仿宋"/>
          <w:small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5"/>
        <w:jc w:val="center"/>
        <w:rPr>
          <w:rFonts w:ascii="黑体" w:eastAsia="黑体"/>
          <w:color w:val="000000"/>
          <w:sz w:val="32"/>
          <w:szCs w:val="32"/>
        </w:rPr>
      </w:pPr>
      <w:bookmarkStart w:id="14" w:name="_Toc79163601"/>
      <w:bookmarkStart w:id="15" w:name="_Toc11844"/>
      <w:r>
        <w:rPr>
          <w:rFonts w:hint="eastAsia" w:ascii="黑体" w:hAnsi="黑体" w:eastAsia="黑体"/>
          <w:b w:val="0"/>
        </w:rPr>
        <w:t>第一部分</w:t>
      </w:r>
      <w:r>
        <w:rPr>
          <w:rStyle w:val="24"/>
          <w:rFonts w:hint="eastAsia" w:ascii="黑体" w:hAnsi="黑体" w:eastAsia="黑体"/>
          <w:b w:val="0"/>
          <w:bCs w:val="0"/>
        </w:rPr>
        <w:t>部门概况</w:t>
      </w:r>
      <w:bookmarkEnd w:id="12"/>
      <w:bookmarkEnd w:id="13"/>
      <w:bookmarkEnd w:id="14"/>
      <w:bookmarkEnd w:id="15"/>
    </w:p>
    <w:p>
      <w:pPr>
        <w:pStyle w:val="6"/>
        <w:rPr>
          <w:rStyle w:val="25"/>
          <w:rFonts w:ascii="仿宋" w:hAnsi="仿宋" w:eastAsia="仿宋"/>
          <w:b w:val="0"/>
          <w:bCs w:val="0"/>
        </w:rPr>
      </w:pPr>
      <w:bookmarkStart w:id="16" w:name="_Toc15377197"/>
      <w:bookmarkStart w:id="17" w:name="_Toc79163602"/>
      <w:bookmarkStart w:id="18" w:name="_Toc3532"/>
      <w:bookmarkStart w:id="19"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p>
    <w:p>
      <w:pPr>
        <w:pStyle w:val="3"/>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4270"/>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Style w:val="4"/>
        <w:spacing w:before="93"/>
        <w:ind w:firstLine="640" w:firstLineChars="200"/>
        <w:rPr>
          <w:rFonts w:ascii="仿宋" w:hAnsi="仿宋" w:eastAsia="仿宋"/>
          <w:sz w:val="32"/>
          <w:szCs w:val="32"/>
          <w:lang w:val="en-US"/>
        </w:rPr>
      </w:pPr>
      <w:bookmarkStart w:id="24" w:name="_Toc15378446"/>
      <w:bookmarkStart w:id="25" w:name="_Toc15377199"/>
      <w:bookmarkStart w:id="26" w:name="_Toc79163604"/>
      <w:r>
        <w:rPr>
          <w:rFonts w:hint="eastAsia" w:ascii="仿宋" w:hAnsi="仿宋" w:eastAsia="仿宋"/>
          <w:sz w:val="32"/>
          <w:szCs w:val="32"/>
          <w:lang w:val="en-US"/>
        </w:rPr>
        <w:t>1.贯彻执行党和国家的路线方针政策和上级党委、政府各项决策部署，以及本级党员代表大会（党员大会）、人民代表大会的决议决定。</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2.讨论和决定本镇经济建设、政治建设、文化建设、社会建设、生态文明建设和党的建设以及乡村振兴中的重大问题。</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3.领导镇政权机关、群团组织和其他各类组织，加强指导和规范，支持和保证这些机关和组织依照国家法律法规以及各自章程履行职责。</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4.加强党的建设。坚持全面从严治党，落实管党治党主体责任，全面加强党的政治建设、思想建设、组织建设、作风建设、纪律建设、制度建设等工作。</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5.按照干部管理权限，负责对干部的教育、培训、选拔、考核和监督工作。</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6.统筹区域发展。落实关于辖区发展的重大决策，制定辖区经济和社会发展规划、公共服务设施布局；负责乡村振兴工作，做好民生保障、扶贫开发、民族宗教等工作，推动辖区经济社会健康、有序、可持续发展。</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8.优化公共服务。推进服务型政府建设，组织实施并优化教育、文化、民政、社会保障、退役军人事务等各项公共服务。</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9.负责辖区范围内的应急管理、社会稳定、安全生产、生态环境保护、社会信用体系建设和审批服务便民化等工作。</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10.负责辖区农村经营管理体系建设工作。</w:t>
      </w:r>
    </w:p>
    <w:p>
      <w:pPr>
        <w:pStyle w:val="4"/>
        <w:spacing w:before="93"/>
        <w:ind w:firstLine="640" w:firstLineChars="200"/>
        <w:rPr>
          <w:rFonts w:ascii="仿宋" w:hAnsi="仿宋" w:eastAsia="仿宋"/>
          <w:sz w:val="32"/>
          <w:szCs w:val="32"/>
          <w:lang w:val="en-US"/>
        </w:rPr>
      </w:pPr>
      <w:r>
        <w:rPr>
          <w:rFonts w:hint="eastAsia" w:ascii="仿宋" w:hAnsi="仿宋" w:eastAsia="仿宋"/>
          <w:sz w:val="32"/>
          <w:szCs w:val="32"/>
          <w:lang w:val="en-US"/>
        </w:rPr>
        <w:t>11.完成县委、县人民政府交办的其他任务。</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bookmarkStart w:id="27" w:name="_Toc8336"/>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1.农业：</w:t>
      </w:r>
      <w:r>
        <w:rPr>
          <w:rFonts w:hint="eastAsia" w:ascii="仿宋" w:hAnsi="仿宋" w:eastAsia="仿宋" w:cs="仿宋"/>
          <w:sz w:val="32"/>
          <w:szCs w:val="32"/>
        </w:rPr>
        <w:t>我镇始终把农民增收放在全镇工作的重要位置，突出抓好全镇农民收入的持续稳定增长。我镇农作物以种植青脆李、花椒为主，为提高我镇村民种植技术水平，今年我镇积极组织村民开展农业技术</w:t>
      </w:r>
      <w:r>
        <w:rPr>
          <w:rFonts w:hint="eastAsia" w:ascii="仿宋_GB2312" w:hAnsi="仿宋_GB2312" w:eastAsia="仿宋_GB2312" w:cs="仿宋_GB2312"/>
          <w:sz w:val="32"/>
          <w:szCs w:val="32"/>
        </w:rPr>
        <w:t>培训共计5次，培训人次超100人。为确保我镇农作物农药残留量低，我镇对农作物农药残留进行超10次的检测。</w:t>
      </w:r>
    </w:p>
    <w:p>
      <w:pPr>
        <w:pStyle w:val="13"/>
        <w:spacing w:line="576" w:lineRule="exact"/>
        <w:ind w:firstLine="642" w:firstLineChars="200"/>
        <w:rPr>
          <w:rFonts w:ascii="仿宋" w:hAnsi="仿宋" w:eastAsia="仿宋" w:cs="仿宋"/>
          <w:sz w:val="32"/>
          <w:szCs w:val="32"/>
          <w:lang w:val="en-US"/>
        </w:rPr>
      </w:pPr>
      <w:r>
        <w:rPr>
          <w:rFonts w:hint="eastAsia" w:ascii="仿宋_GB2312" w:hAnsi="仿宋_GB2312" w:eastAsia="仿宋_GB2312" w:cs="仿宋_GB2312"/>
          <w:b/>
          <w:bCs/>
          <w:kern w:val="2"/>
          <w:sz w:val="32"/>
          <w:szCs w:val="32"/>
          <w:lang w:val="en-US"/>
        </w:rPr>
        <w:t>2.畜牧业：</w:t>
      </w:r>
      <w:r>
        <w:rPr>
          <w:rFonts w:hint="eastAsia" w:ascii="仿宋" w:hAnsi="仿宋" w:eastAsia="仿宋" w:cs="仿宋"/>
          <w:kern w:val="2"/>
          <w:sz w:val="32"/>
          <w:szCs w:val="32"/>
          <w:lang w:val="en-US"/>
        </w:rPr>
        <w:t>我镇大力发展畜牧业，对养殖户进行专业培训4期，100余人次。在镇党委政府的大力鼓励下，我镇现有养殖大户6户，其中养殖牛户2户120余头；养殖生猪户3户，出栏1400余头，存栏600余头，并完成能繁母猪补贴户共计 元；养羊户1户，存栏800余只。</w:t>
      </w:r>
      <w:r>
        <w:rPr>
          <w:rFonts w:hint="eastAsia" w:ascii="仿宋" w:hAnsi="仿宋" w:eastAsia="仿宋" w:cs="仿宋"/>
          <w:sz w:val="32"/>
          <w:szCs w:val="32"/>
          <w:lang w:val="en-US"/>
        </w:rPr>
        <w:t>今年，我镇积极提升各村基础设施、产业路等建设，</w:t>
      </w:r>
      <w:r>
        <w:rPr>
          <w:rFonts w:hint="eastAsia" w:ascii="仿宋_GB2312" w:hAnsi="仿宋_GB2312" w:eastAsia="仿宋_GB2312" w:cs="仿宋_GB2312"/>
          <w:sz w:val="32"/>
          <w:szCs w:val="32"/>
          <w:lang w:val="en-US"/>
        </w:rPr>
        <w:t>我镇全年共实施财政涉农项目49个，合计资金1959.98 万元，所有项目已全部完成建设并投入使用。</w:t>
      </w:r>
    </w:p>
    <w:p>
      <w:pPr>
        <w:ind w:left="0" w:leftChars="0" w:firstLine="642" w:firstLineChars="200"/>
        <w:rPr>
          <w:rFonts w:hint="eastAsia" w:ascii="仿宋" w:hAnsi="仿宋" w:eastAsia="仿宋" w:cs="仿宋"/>
          <w:kern w:val="2"/>
          <w:sz w:val="32"/>
          <w:szCs w:val="32"/>
          <w:lang w:val="en-US" w:eastAsia="zh-CN" w:bidi="ar-SA"/>
        </w:rPr>
      </w:pPr>
      <w:r>
        <w:rPr>
          <w:rFonts w:hint="eastAsia" w:ascii="仿宋" w:hAnsi="仿宋" w:eastAsia="仿宋" w:cs="仿宋"/>
          <w:b/>
          <w:bCs/>
          <w:sz w:val="32"/>
          <w:szCs w:val="32"/>
        </w:rPr>
        <w:t>3.惠民生，解民忧暖民心：</w:t>
      </w:r>
      <w:r>
        <w:rPr>
          <w:rFonts w:hint="eastAsia" w:ascii="仿宋" w:hAnsi="仿宋" w:eastAsia="仿宋" w:cs="仿宋"/>
          <w:kern w:val="2"/>
          <w:sz w:val="32"/>
          <w:szCs w:val="32"/>
          <w:lang w:val="en-US" w:eastAsia="zh-CN" w:bidi="ar-SA"/>
        </w:rPr>
        <w:t>今年以来，我镇工作人员深入各村组户宣传惠民政策，发放各类惠民政策宣传手册超1000余份。认真排查社会弱势群体，切实制订和完善各项制度，尽力保障困难家庭的基本生活，并为他们自食其力创造条件，全年及时发放农村低保金4916元，12户29人、城镇低保金3010元7户10人，享受高龄补贴老人56人；共有农村特困供养分散救助对象25户26人，发放补贴18660元；农村集中供养2户2人，发放补贴1360元。“7.25”“8.16”强降雨灾害，我镇异地安置受灾群众4户17人。向受灾群众60户发放米、油等救灾物资，全年共申报临时救助家庭5户21人，发放临时救助资金10000元。顺利完成了村级建制调整改革任务，全镇建制村由原有的5个行政村调整为现在4个行政村，村民小组由原来的15个调减至13个，基本实现 “优势互补、规模适度”的改革目标。目前合并新村运转状况良好，社会大局稳定。</w:t>
      </w:r>
    </w:p>
    <w:p>
      <w:pPr>
        <w:ind w:left="0" w:leftChars="0" w:firstLine="642" w:firstLineChars="200"/>
        <w:rPr>
          <w:rFonts w:ascii="仿宋" w:hAnsi="仿宋" w:eastAsia="仿宋" w:cs="仿宋"/>
          <w:sz w:val="32"/>
          <w:szCs w:val="32"/>
        </w:rPr>
      </w:pPr>
      <w:r>
        <w:rPr>
          <w:rFonts w:hint="eastAsia" w:ascii="仿宋" w:hAnsi="仿宋" w:eastAsia="仿宋" w:cs="仿宋"/>
          <w:b/>
          <w:bCs/>
          <w:sz w:val="32"/>
          <w:szCs w:val="32"/>
        </w:rPr>
        <w:t>4.促脱贫，全力以赴决战决胜脱贫攻坚：</w:t>
      </w:r>
      <w:r>
        <w:rPr>
          <w:rFonts w:hint="eastAsia" w:ascii="仿宋" w:hAnsi="仿宋" w:eastAsia="仿宋" w:cs="仿宋"/>
          <w:sz w:val="32"/>
          <w:szCs w:val="32"/>
        </w:rPr>
        <w:t>我镇始终紧盯“两不愁三保障”目标，持续加强防止返贫和监测工作，在推动群众农业发展的同时，着力在就业扶贫上下功夫，统筹开发生态护林员、河道管护员及公益性岗位92个，托底安置符合条件建档立卡贫困劳动力92名，并积极落实相关就业政策，转移输出贫困劳动力88人次。通过2020年收支调查情况来看，全镇所有贫困户2020年人均纯收入均能超过5100元/年，实现稳定脱贫奔康。</w:t>
      </w:r>
    </w:p>
    <w:p>
      <w:pPr>
        <w:ind w:left="0" w:leftChars="0" w:firstLine="642" w:firstLineChars="200"/>
        <w:rPr>
          <w:rFonts w:ascii="仿宋" w:hAnsi="仿宋" w:eastAsia="仿宋"/>
          <w:bCs/>
          <w:color w:val="000000"/>
          <w:sz w:val="32"/>
          <w:szCs w:val="32"/>
        </w:rPr>
      </w:pPr>
      <w:r>
        <w:rPr>
          <w:rFonts w:hint="eastAsia" w:ascii="仿宋" w:hAnsi="仿宋" w:eastAsia="仿宋" w:cs="仿宋"/>
          <w:b/>
          <w:bCs/>
          <w:sz w:val="32"/>
          <w:szCs w:val="32"/>
        </w:rPr>
        <w:t>5.控疫情，持续抓牢疫情常态化防控：</w:t>
      </w:r>
      <w:r>
        <w:rPr>
          <w:rFonts w:hint="eastAsia" w:ascii="仿宋" w:hAnsi="仿宋" w:eastAsia="仿宋" w:cs="仿宋"/>
          <w:sz w:val="32"/>
          <w:szCs w:val="32"/>
        </w:rPr>
        <w:t>我镇坚决落实防控主体责任，按镇、村、户三级分级落实相关管控人员。</w:t>
      </w:r>
      <w:r>
        <w:rPr>
          <w:rFonts w:hint="eastAsia" w:ascii="仿宋_GB2312" w:hAnsi="仿宋_GB2312" w:eastAsia="仿宋_GB2312" w:cs="仿宋_GB2312"/>
          <w:sz w:val="32"/>
          <w:szCs w:val="32"/>
        </w:rPr>
        <w:t>严格落实“四早”措施，积极采取措施，强化人员流动排查，严格按照</w:t>
      </w:r>
      <w:r>
        <w:rPr>
          <w:rFonts w:ascii="仿宋_GB2312" w:hAnsi="仿宋_GB2312" w:eastAsia="仿宋_GB2312" w:cs="仿宋_GB2312"/>
          <w:sz w:val="32"/>
          <w:szCs w:val="32"/>
        </w:rPr>
        <w:t>省、州、县工作要求</w:t>
      </w:r>
      <w:r>
        <w:rPr>
          <w:rFonts w:hint="eastAsia" w:ascii="仿宋_GB2312" w:hAnsi="仿宋_GB2312" w:eastAsia="仿宋_GB2312" w:cs="仿宋_GB2312"/>
          <w:sz w:val="32"/>
          <w:szCs w:val="32"/>
        </w:rPr>
        <w:t>和有关工作程序</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积极配合医疗防控部门，</w:t>
      </w:r>
      <w:r>
        <w:rPr>
          <w:rFonts w:ascii="仿宋_GB2312" w:hAnsi="仿宋_GB2312" w:eastAsia="仿宋_GB2312" w:cs="仿宋_GB2312"/>
          <w:sz w:val="32"/>
          <w:szCs w:val="32"/>
        </w:rPr>
        <w:t>建立详细活动轨迹登记台账，依法做好隔离提示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做实</w:t>
      </w:r>
      <w:r>
        <w:rPr>
          <w:rFonts w:hint="eastAsia" w:ascii="仿宋_GB2312" w:hAnsi="仿宋_GB2312" w:eastAsia="仿宋_GB2312" w:cs="仿宋_GB2312"/>
          <w:sz w:val="32"/>
          <w:szCs w:val="32"/>
        </w:rPr>
        <w:t>疫区返乡人员</w:t>
      </w:r>
      <w:r>
        <w:rPr>
          <w:rFonts w:ascii="仿宋_GB2312" w:hAnsi="仿宋_GB2312" w:eastAsia="仿宋_GB2312" w:cs="仿宋_GB2312"/>
          <w:sz w:val="32"/>
          <w:szCs w:val="32"/>
        </w:rPr>
        <w:t>居家</w:t>
      </w:r>
      <w:r>
        <w:rPr>
          <w:rFonts w:hint="eastAsia" w:ascii="仿宋_GB2312" w:hAnsi="仿宋_GB2312" w:eastAsia="仿宋_GB2312" w:cs="仿宋_GB2312"/>
          <w:sz w:val="32"/>
          <w:szCs w:val="32"/>
        </w:rPr>
        <w:t>医学观察隔离工作。</w:t>
      </w:r>
      <w:r>
        <w:rPr>
          <w:rFonts w:hint="eastAsia" w:ascii="仿宋_GB2312" w:hAnsi="仿宋_GB2312" w:eastAsia="仿宋_GB2312" w:cs="仿宋_GB2312"/>
          <w:color w:val="000000"/>
          <w:sz w:val="32"/>
          <w:szCs w:val="32"/>
        </w:rPr>
        <w:t>坚持预防为主，全面强化疫情防控建康知识宣传，加强疫情防控有关政策解读。累计</w:t>
      </w:r>
      <w:r>
        <w:rPr>
          <w:rFonts w:ascii="仿宋_GB2312" w:hAnsi="仿宋_GB2312" w:eastAsia="仿宋_GB2312" w:cs="仿宋_GB2312"/>
          <w:color w:val="000000"/>
          <w:sz w:val="32"/>
          <w:szCs w:val="32"/>
        </w:rPr>
        <w:t>制作大标语20幅</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海报</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小标语等500余幅</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发放宣传单共计20</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余</w:t>
      </w:r>
      <w:r>
        <w:rPr>
          <w:rFonts w:ascii="仿宋_GB2312" w:hAnsi="仿宋_GB2312" w:eastAsia="仿宋_GB2312" w:cs="仿宋_GB2312"/>
          <w:color w:val="000000"/>
          <w:sz w:val="32"/>
          <w:szCs w:val="32"/>
        </w:rPr>
        <w:t>份</w:t>
      </w:r>
      <w:r>
        <w:rPr>
          <w:rFonts w:hint="eastAsia" w:ascii="仿宋_GB2312" w:hAnsi="仿宋_GB2312" w:eastAsia="仿宋_GB2312" w:cs="仿宋_GB2312"/>
          <w:color w:val="000000"/>
          <w:sz w:val="32"/>
          <w:szCs w:val="32"/>
        </w:rPr>
        <w:t>，制作</w:t>
      </w:r>
      <w:r>
        <w:rPr>
          <w:rFonts w:ascii="仿宋_GB2312" w:hAnsi="仿宋_GB2312" w:eastAsia="仿宋_GB2312" w:cs="仿宋_GB2312"/>
          <w:color w:val="000000"/>
          <w:sz w:val="32"/>
          <w:szCs w:val="32"/>
        </w:rPr>
        <w:t>发放防控顺口溜共计800余份</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出动流动宣传车1</w:t>
      </w:r>
      <w:r>
        <w:rPr>
          <w:rFonts w:hint="eastAsia" w:ascii="仿宋_GB2312" w:hAnsi="仿宋_GB2312" w:eastAsia="仿宋_GB2312" w:cs="仿宋_GB2312"/>
          <w:color w:val="000000"/>
          <w:sz w:val="32"/>
          <w:szCs w:val="32"/>
        </w:rPr>
        <w:t>50余</w:t>
      </w:r>
      <w:r>
        <w:rPr>
          <w:rFonts w:ascii="仿宋_GB2312" w:hAnsi="仿宋_GB2312" w:eastAsia="仿宋_GB2312" w:cs="仿宋_GB2312"/>
          <w:color w:val="000000"/>
          <w:sz w:val="32"/>
          <w:szCs w:val="32"/>
        </w:rPr>
        <w:t>次</w:t>
      </w:r>
      <w:r>
        <w:rPr>
          <w:rFonts w:hint="eastAsia" w:ascii="仿宋_GB2312" w:hAnsi="仿宋_GB2312" w:eastAsia="仿宋_GB2312" w:cs="仿宋_GB2312"/>
          <w:color w:val="000000"/>
          <w:sz w:val="32"/>
          <w:szCs w:val="32"/>
        </w:rPr>
        <w:t>。</w:t>
      </w:r>
    </w:p>
    <w:p>
      <w:pPr>
        <w:pStyle w:val="6"/>
        <w:ind w:firstLine="640" w:firstLineChars="200"/>
        <w:rPr>
          <w:rStyle w:val="25"/>
          <w:b w:val="0"/>
          <w:bCs w:val="0"/>
        </w:rPr>
      </w:pPr>
      <w:bookmarkStart w:id="28" w:name="_Toc79163605"/>
      <w:bookmarkStart w:id="29" w:name="_Toc15377200"/>
      <w:bookmarkStart w:id="30" w:name="_Toc15396601"/>
      <w:bookmarkStart w:id="31" w:name="_Toc4629"/>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rPr>
        <w:t>茂县黑虎镇人民政府下属二级单位0个，其中行政单位0个，参照公务员法管理的事业单位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5"/>
        <w:ind w:right="440"/>
        <w:jc w:val="right"/>
      </w:pPr>
      <w:bookmarkStart w:id="32" w:name="_Toc10125"/>
      <w:bookmarkStart w:id="33" w:name="_Toc15396602"/>
      <w:bookmarkStart w:id="34" w:name="_Toc79163609"/>
      <w:bookmarkStart w:id="35" w:name="_Toc15377204"/>
      <w:r>
        <w:rPr>
          <w:rFonts w:hint="eastAsia" w:ascii="黑体" w:hAnsi="黑体" w:eastAsia="黑体"/>
          <w:b w:val="0"/>
          <w:color w:val="000000"/>
        </w:rPr>
        <w:t>第二部分</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2"/>
      <w:bookmarkEnd w:id="33"/>
      <w:bookmarkEnd w:id="34"/>
      <w:bookmarkEnd w:id="35"/>
    </w:p>
    <w:p>
      <w:pPr>
        <w:pStyle w:val="35"/>
        <w:numPr>
          <w:ilvl w:val="0"/>
          <w:numId w:val="1"/>
        </w:numPr>
        <w:spacing w:line="600" w:lineRule="exact"/>
        <w:ind w:firstLineChars="0"/>
        <w:outlineLvl w:val="1"/>
        <w:rPr>
          <w:rStyle w:val="25"/>
          <w:rFonts w:ascii="黑体" w:hAnsi="黑体" w:eastAsia="黑体"/>
          <w:b w:val="0"/>
        </w:rPr>
      </w:pPr>
      <w:bookmarkStart w:id="36" w:name="_Toc27388"/>
      <w:bookmarkStart w:id="37" w:name="_Toc15377205"/>
      <w:bookmarkStart w:id="38" w:name="_Toc79163610"/>
      <w:bookmarkStart w:id="39"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年度收、支总计1607.36万元。与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年相比，收、支总计各增加1084.61万元，增长67.48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人员变动，项目增加。</w:t>
      </w:r>
    </w:p>
    <w:p>
      <w:pPr>
        <w:spacing w:line="600" w:lineRule="exact"/>
        <w:ind w:firstLine="420" w:firstLineChars="200"/>
      </w:pPr>
      <w:r>
        <w:drawing>
          <wp:anchor distT="0" distB="0" distL="114300" distR="114300" simplePos="0" relativeHeight="251659264" behindDoc="0" locked="0" layoutInCell="1" allowOverlap="1">
            <wp:simplePos x="0" y="0"/>
            <wp:positionH relativeFrom="column">
              <wp:posOffset>85090</wp:posOffset>
            </wp:positionH>
            <wp:positionV relativeFrom="paragraph">
              <wp:posOffset>24765</wp:posOffset>
            </wp:positionV>
            <wp:extent cx="4572000" cy="2743200"/>
            <wp:effectExtent l="4445" t="4445" r="14605" b="14605"/>
            <wp:wrapTopAndBottom/>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：收、支决算总计变动情况图（单位：万元）</w:t>
      </w:r>
    </w:p>
    <w:p>
      <w:pPr>
        <w:pStyle w:val="35"/>
        <w:numPr>
          <w:ilvl w:val="0"/>
          <w:numId w:val="1"/>
        </w:numPr>
        <w:spacing w:line="600" w:lineRule="exact"/>
        <w:ind w:firstLineChars="0"/>
        <w:outlineLvl w:val="1"/>
        <w:rPr>
          <w:rStyle w:val="25"/>
          <w:rFonts w:ascii="黑体" w:hAnsi="黑体" w:eastAsia="黑体"/>
          <w:b w:val="0"/>
        </w:rPr>
      </w:pPr>
      <w:bookmarkStart w:id="40" w:name="_Toc15377206"/>
      <w:bookmarkStart w:id="41" w:name="_Toc79163611"/>
      <w:bookmarkStart w:id="42" w:name="_Toc15396604"/>
      <w:bookmarkStart w:id="43" w:name="_Toc3925"/>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年本年收入合计1552.87万元，其中：一般公共预算财政拨款收入1281.05万元，占82.5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；政府性基金预算财政拨款收入271.82万元，占17.5</w:t>
      </w:r>
      <w:r>
        <w:rPr>
          <w:rFonts w:ascii="仿宋" w:hAnsi="仿宋" w:eastAsia="仿宋"/>
          <w:color w:val="000000"/>
          <w:sz w:val="32"/>
          <w:szCs w:val="32"/>
        </w:rPr>
        <w:t>%</w:t>
      </w:r>
      <w:r>
        <w:rPr>
          <w:rFonts w:hint="eastAsia" w:ascii="仿宋" w:hAnsi="仿宋" w:eastAsia="仿宋"/>
          <w:color w:val="000000"/>
          <w:sz w:val="32"/>
          <w:szCs w:val="32"/>
        </w:rPr>
        <w:t>。</w:t>
      </w:r>
    </w:p>
    <w:p>
      <w:pPr>
        <w:pStyle w:val="2"/>
        <w:spacing w:before="93"/>
        <w:ind w:firstLine="240"/>
        <w:rPr>
          <w:rFonts w:ascii="仿宋" w:hAnsi="仿宋" w:eastAsia="仿宋"/>
          <w:color w:val="000000"/>
          <w:sz w:val="32"/>
          <w:szCs w:val="32"/>
        </w:rPr>
      </w:pPr>
      <w:r>
        <w:rPr>
          <w:lang w:val="en-US"/>
        </w:rP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pStyle w:val="35"/>
        <w:numPr>
          <w:ilvl w:val="0"/>
          <w:numId w:val="1"/>
        </w:numPr>
        <w:spacing w:line="600" w:lineRule="exact"/>
        <w:ind w:firstLineChars="0"/>
        <w:outlineLvl w:val="1"/>
        <w:rPr>
          <w:rStyle w:val="25"/>
          <w:rFonts w:ascii="黑体" w:hAnsi="黑体" w:eastAsia="黑体"/>
          <w:b w:val="0"/>
        </w:rPr>
      </w:pPr>
      <w:bookmarkStart w:id="44" w:name="_Toc10185"/>
      <w:bookmarkStart w:id="45" w:name="_Toc79163612"/>
      <w:bookmarkStart w:id="46" w:name="_Toc15396605"/>
      <w:bookmarkStart w:id="4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年本年支出合计1275.75万元，其中：基本支出591.74万元，占46.38</w:t>
      </w:r>
      <w:r>
        <w:rPr>
          <w:rFonts w:ascii="仿宋_GB2312" w:eastAsia="仿宋_GB2312"/>
          <w:sz w:val="32"/>
          <w:szCs w:val="32"/>
        </w:rPr>
        <w:t>%</w:t>
      </w:r>
      <w:r>
        <w:rPr>
          <w:rFonts w:hint="eastAsia" w:ascii="仿宋_GB2312" w:eastAsia="仿宋_GB2312"/>
          <w:sz w:val="32"/>
          <w:szCs w:val="32"/>
        </w:rPr>
        <w:t>；项目支出684.01万元，占53.62</w:t>
      </w:r>
      <w:r>
        <w:rPr>
          <w:rFonts w:ascii="仿宋_GB2312" w:eastAsia="仿宋_GB2312"/>
          <w:sz w:val="32"/>
          <w:szCs w:val="32"/>
        </w:rPr>
        <w:t>%</w:t>
      </w:r>
      <w:r>
        <w:rPr>
          <w:rFonts w:hint="eastAsia" w:ascii="仿宋_GB2312" w:eastAsia="仿宋_GB2312"/>
          <w:sz w:val="32"/>
          <w:szCs w:val="32"/>
        </w:rPr>
        <w:t>。</w:t>
      </w:r>
    </w:p>
    <w:p>
      <w:pPr>
        <w:pStyle w:val="2"/>
        <w:spacing w:before="93"/>
        <w:ind w:firstLine="240"/>
        <w:rPr>
          <w:rFonts w:ascii="仿宋_GB2312" w:eastAsia="仿宋_GB2312"/>
          <w:sz w:val="32"/>
          <w:szCs w:val="32"/>
        </w:rPr>
      </w:pPr>
      <w:r>
        <w:rPr>
          <w:lang w:val="en-US"/>
        </w:rP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280" w:firstLineChars="4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spacing w:line="600" w:lineRule="exact"/>
        <w:ind w:firstLine="640" w:firstLineChars="200"/>
        <w:outlineLvl w:val="1"/>
        <w:rPr>
          <w:rStyle w:val="25"/>
          <w:rFonts w:ascii="黑体" w:hAnsi="黑体" w:eastAsia="黑体"/>
          <w:b w:val="0"/>
        </w:rPr>
      </w:pPr>
      <w:bookmarkStart w:id="48" w:name="_Toc15377208"/>
      <w:bookmarkStart w:id="49" w:name="_Toc6560"/>
      <w:bookmarkStart w:id="50" w:name="_Toc15396606"/>
      <w:bookmarkStart w:id="51" w:name="_Toc7916361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_GB2312" w:hAnsi="仿宋_GB2312" w:eastAsia="仿宋_GB2312" w:cs="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年度收、支总计1607.36万元。与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年相比，收、支总计各增加1084.61万元，增长67.48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人员变动，项目增加。</w:t>
      </w:r>
      <w:r>
        <w:drawing>
          <wp:anchor distT="0" distB="0" distL="114300" distR="114300" simplePos="0" relativeHeight="251660288" behindDoc="0" locked="0" layoutInCell="1" allowOverlap="1">
            <wp:simplePos x="0" y="0"/>
            <wp:positionH relativeFrom="column">
              <wp:posOffset>41275</wp:posOffset>
            </wp:positionH>
            <wp:positionV relativeFrom="paragraph">
              <wp:posOffset>518795</wp:posOffset>
            </wp:positionV>
            <wp:extent cx="4572000" cy="2743200"/>
            <wp:effectExtent l="4445" t="4445" r="14605" b="14605"/>
            <wp:wrapTopAndBottom/>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：财政拨款收、支决算总计变动情况（单位：万元）</w:t>
      </w:r>
    </w:p>
    <w:p>
      <w:pPr>
        <w:spacing w:line="600" w:lineRule="exact"/>
        <w:ind w:firstLine="640" w:firstLineChars="200"/>
        <w:outlineLvl w:val="1"/>
        <w:rPr>
          <w:rStyle w:val="25"/>
          <w:rFonts w:ascii="黑体" w:hAnsi="黑体" w:eastAsia="黑体"/>
          <w:b w:val="0"/>
        </w:rPr>
      </w:pPr>
      <w:bookmarkStart w:id="52" w:name="_Toc79163614"/>
      <w:bookmarkStart w:id="53" w:name="_Toc15396607"/>
      <w:bookmarkStart w:id="54" w:name="_Toc15377209"/>
      <w:bookmarkStart w:id="55" w:name="_Toc2853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5408"/>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年一般公共预算财政拨款支出1281.05万元，占本年支出合计的82.5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年相比，一般公共预算财政拨款增加817.33万元，增长63.8</w:t>
      </w:r>
      <w:r>
        <w:rPr>
          <w:rFonts w:ascii="仿宋" w:hAnsi="仿宋" w:eastAsia="仿宋"/>
          <w:color w:val="000000"/>
          <w:sz w:val="32"/>
          <w:szCs w:val="32"/>
        </w:rPr>
        <w:t>%</w:t>
      </w:r>
      <w:r>
        <w:rPr>
          <w:rFonts w:hint="eastAsia" w:ascii="仿宋" w:hAnsi="仿宋" w:eastAsia="仿宋"/>
          <w:color w:val="000000"/>
          <w:sz w:val="32"/>
          <w:szCs w:val="32"/>
        </w:rPr>
        <w:t>。主要变动原因是人员变动。</w:t>
      </w:r>
    </w:p>
    <w:p>
      <w:pPr>
        <w:pStyle w:val="2"/>
        <w:spacing w:before="93"/>
        <w:ind w:firstLine="240"/>
        <w:rPr>
          <w:rFonts w:ascii="仿宋" w:hAnsi="仿宋" w:eastAsia="仿宋"/>
          <w:color w:val="000000"/>
          <w:sz w:val="32"/>
          <w:szCs w:val="32"/>
          <w:lang w:val="en-US"/>
        </w:rPr>
      </w:pPr>
      <w:r>
        <w:rPr>
          <w:lang w:val="en-US"/>
        </w:rPr>
        <w:drawing>
          <wp:inline distT="0" distB="0" distL="114300" distR="114300">
            <wp:extent cx="4572000" cy="2743200"/>
            <wp:effectExtent l="4445" t="4445" r="14605" b="14605"/>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：一般公共预算财政拨款支出决算变动情况（单位：万元）</w:t>
      </w:r>
    </w:p>
    <w:p>
      <w:pPr>
        <w:spacing w:line="600" w:lineRule="exact"/>
        <w:ind w:firstLine="642" w:firstLineChars="200"/>
        <w:outlineLvl w:val="2"/>
        <w:rPr>
          <w:rFonts w:ascii="仿宋" w:hAnsi="仿宋" w:eastAsia="仿宋"/>
          <w:b/>
          <w:color w:val="000000"/>
          <w:sz w:val="32"/>
          <w:szCs w:val="32"/>
        </w:rPr>
      </w:pPr>
      <w:bookmarkStart w:id="59" w:name="_Toc29465"/>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茂县黑虎镇人民政府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年一般公共预算财政拨款支出1275.75万元，主要用于以下方面</w:t>
      </w:r>
      <w:r>
        <w:rPr>
          <w:rFonts w:ascii="仿宋" w:hAnsi="仿宋" w:eastAsia="仿宋"/>
          <w:color w:val="000000"/>
          <w:sz w:val="32"/>
          <w:szCs w:val="32"/>
        </w:rPr>
        <w:t>:</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358.16万元，占</w:t>
      </w:r>
      <w:bookmarkStart w:id="62" w:name="OLE_LINK1"/>
      <w:r>
        <w:rPr>
          <w:rFonts w:hint="eastAsia" w:ascii="仿宋_GB2312" w:hAnsi="仿宋_GB2312" w:eastAsia="仿宋_GB2312" w:cs="仿宋_GB2312"/>
          <w:sz w:val="32"/>
          <w:szCs w:val="32"/>
        </w:rPr>
        <w:t>本年支出合计的</w:t>
      </w:r>
      <w:bookmarkEnd w:id="62"/>
      <w:r>
        <w:rPr>
          <w:rFonts w:hint="eastAsia" w:ascii="仿宋_GB2312" w:hAnsi="仿宋_GB2312" w:eastAsia="仿宋_GB2312" w:cs="仿宋_GB2312"/>
          <w:sz w:val="32"/>
          <w:szCs w:val="32"/>
        </w:rPr>
        <w:t>28.07%；</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8万元，占本年支出合计的0.63%；</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66.56万元，占本年支出合计的5.22%；</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36.2万元，占本年支出合计的2.84%；</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503.44万元，占本年支出合计的39.46%；</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49.56万元，占本年支出合计的3.88%；</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rPr>
        <w:t>248.89万元，占本年支出合计的19.51%；</w:t>
      </w:r>
      <w:r>
        <w:rPr>
          <w:rFonts w:hint="eastAsia" w:ascii="仿宋_GB2312" w:hAnsi="仿宋_GB2312" w:eastAsia="仿宋_GB2312" w:cs="仿宋_GB2312"/>
          <w:b/>
          <w:bCs/>
          <w:sz w:val="32"/>
          <w:szCs w:val="32"/>
        </w:rPr>
        <w:t>抗疫特别国债安排的支出（类）</w:t>
      </w:r>
      <w:r>
        <w:rPr>
          <w:rFonts w:hint="eastAsia" w:ascii="仿宋_GB2312" w:hAnsi="仿宋_GB2312" w:eastAsia="仿宋_GB2312" w:cs="仿宋_GB2312"/>
          <w:sz w:val="32"/>
          <w:szCs w:val="32"/>
        </w:rPr>
        <w:t>4.94万元占本年支出合计的0.39%。</w:t>
      </w:r>
    </w:p>
    <w:p>
      <w:pPr>
        <w:pStyle w:val="2"/>
        <w:spacing w:before="93"/>
        <w:ind w:firstLine="240"/>
        <w:rPr>
          <w:lang w:val="en-US"/>
        </w:rPr>
      </w:pPr>
      <w:r>
        <w:rPr>
          <w:lang w:val="en-US"/>
        </w:rPr>
        <w:drawing>
          <wp:inline distT="0" distB="0" distL="114300" distR="114300">
            <wp:extent cx="4572000" cy="274320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：一般公共预算财政拨款支出决算结构（单位：万元）</w:t>
      </w:r>
    </w:p>
    <w:p>
      <w:pPr>
        <w:spacing w:line="600" w:lineRule="exact"/>
        <w:ind w:firstLine="642" w:firstLineChars="200"/>
        <w:outlineLvl w:val="2"/>
        <w:rPr>
          <w:rFonts w:ascii="仿宋" w:hAnsi="仿宋" w:eastAsia="仿宋"/>
          <w:b/>
          <w:color w:val="000000"/>
          <w:sz w:val="32"/>
          <w:szCs w:val="32"/>
        </w:rPr>
      </w:pPr>
      <w:bookmarkStart w:id="63" w:name="_Toc24294"/>
      <w:bookmarkStart w:id="64" w:name="_Toc79163617"/>
      <w:bookmarkStart w:id="65" w:name="_Toc15377212"/>
      <w:r>
        <w:rPr>
          <w:rFonts w:hint="eastAsia" w:ascii="仿宋" w:hAnsi="仿宋" w:eastAsia="仿宋"/>
          <w:b/>
          <w:color w:val="000000"/>
          <w:sz w:val="32"/>
          <w:szCs w:val="32"/>
        </w:rPr>
        <w:t>（三）一般公共预算财政拨款支出决算具体情况</w:t>
      </w:r>
      <w:bookmarkEnd w:id="63"/>
      <w:bookmarkEnd w:id="64"/>
      <w:bookmarkEnd w:id="65"/>
    </w:p>
    <w:p>
      <w:pPr>
        <w:spacing w:line="600" w:lineRule="exact"/>
        <w:ind w:firstLine="642" w:firstLineChars="200"/>
        <w:rPr>
          <w:rFonts w:ascii="仿宋_GB2312" w:eastAsia="仿宋_GB2312"/>
          <w:b/>
          <w:bCs/>
          <w:sz w:val="32"/>
          <w:szCs w:val="32"/>
        </w:rPr>
      </w:pPr>
      <w:bookmarkStart w:id="66" w:name="_Toc15378460"/>
      <w:bookmarkStart w:id="67" w:name="_Toc15377444"/>
      <w:bookmarkStart w:id="68" w:name="_Toc15377213"/>
      <w:r>
        <w:rPr>
          <w:rFonts w:ascii="仿宋_GB2312" w:eastAsia="仿宋_GB2312"/>
          <w:b/>
          <w:bCs/>
          <w:sz w:val="32"/>
          <w:szCs w:val="32"/>
        </w:rPr>
        <w:t>2020</w:t>
      </w:r>
      <w:r>
        <w:rPr>
          <w:rFonts w:hint="eastAsia" w:ascii="仿宋_GB2312" w:eastAsia="仿宋_GB2312"/>
          <w:b/>
          <w:bCs/>
          <w:sz w:val="32"/>
          <w:szCs w:val="32"/>
        </w:rPr>
        <w:t>年一般公共预算支出决算数为1021.94万元，完成预算100</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pPr>
        <w:spacing w:line="576" w:lineRule="atLeast"/>
        <w:ind w:firstLine="642" w:firstLineChars="200"/>
        <w:outlineLvl w:val="2"/>
        <w:rPr>
          <w:rStyle w:val="22"/>
          <w:rFonts w:ascii="仿宋_GB2312" w:hAnsi="仿宋_GB2312" w:eastAsia="仿宋_GB2312" w:cs="仿宋_GB2312"/>
          <w:b w:val="0"/>
          <w:color w:val="000000"/>
          <w:sz w:val="32"/>
          <w:szCs w:val="32"/>
        </w:rPr>
      </w:pPr>
      <w:bookmarkStart w:id="69" w:name="_Toc29250"/>
      <w:r>
        <w:rPr>
          <w:rStyle w:val="22"/>
          <w:rFonts w:hint="eastAsia" w:ascii="仿宋_GB2312" w:hAnsi="仿宋_GB2312" w:eastAsia="仿宋_GB2312" w:cs="仿宋_GB2312"/>
          <w:bCs/>
          <w:color w:val="000000"/>
          <w:sz w:val="32"/>
          <w:szCs w:val="32"/>
        </w:rPr>
        <w:t>1.一般公共服务支出（类）人大事务（款）行政运行（项）:</w:t>
      </w:r>
      <w:r>
        <w:rPr>
          <w:rStyle w:val="22"/>
          <w:rFonts w:hint="eastAsia" w:ascii="仿宋_GB2312" w:hAnsi="仿宋_GB2312" w:eastAsia="仿宋_GB2312" w:cs="仿宋_GB2312"/>
          <w:b w:val="0"/>
          <w:color w:val="000000"/>
          <w:sz w:val="32"/>
          <w:szCs w:val="32"/>
        </w:rPr>
        <w:t>支出决算为0.06万元，完成预算100%，决算数等于预算数。</w:t>
      </w:r>
      <w:bookmarkEnd w:id="69"/>
    </w:p>
    <w:p>
      <w:pPr>
        <w:spacing w:line="576" w:lineRule="atLeast"/>
        <w:ind w:firstLine="642" w:firstLineChars="200"/>
        <w:outlineLvl w:val="2"/>
        <w:rPr>
          <w:rStyle w:val="22"/>
          <w:rFonts w:ascii="仿宋_GB2312" w:hAnsi="仿宋_GB2312" w:eastAsia="仿宋_GB2312" w:cs="仿宋_GB2312"/>
          <w:b w:val="0"/>
          <w:color w:val="000000"/>
          <w:sz w:val="32"/>
          <w:szCs w:val="32"/>
        </w:rPr>
      </w:pPr>
      <w:bookmarkStart w:id="70" w:name="_Toc15377"/>
      <w:r>
        <w:rPr>
          <w:rStyle w:val="22"/>
          <w:rFonts w:hint="eastAsia" w:ascii="仿宋_GB2312" w:hAnsi="仿宋_GB2312" w:eastAsia="仿宋_GB2312" w:cs="仿宋_GB2312"/>
          <w:bCs/>
          <w:color w:val="000000"/>
          <w:sz w:val="32"/>
          <w:szCs w:val="32"/>
        </w:rPr>
        <w:t>2.一般公共服务支出（类）人大事务（款）代表工作（项）:</w:t>
      </w:r>
      <w:r>
        <w:rPr>
          <w:rStyle w:val="22"/>
          <w:rFonts w:hint="eastAsia" w:ascii="仿宋_GB2312" w:hAnsi="仿宋_GB2312" w:eastAsia="仿宋_GB2312" w:cs="仿宋_GB2312"/>
          <w:b w:val="0"/>
          <w:color w:val="000000"/>
          <w:sz w:val="32"/>
          <w:szCs w:val="32"/>
        </w:rPr>
        <w:t>支出决算为4.57万元，完成预算100%，决算数等于预算数。</w:t>
      </w:r>
      <w:bookmarkEnd w:id="70"/>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3.一般公共服务支出（类）政府办公厅（室）及相关机构事务（款）行政运行（项）:</w:t>
      </w:r>
      <w:r>
        <w:rPr>
          <w:rStyle w:val="22"/>
          <w:rFonts w:hint="eastAsia" w:ascii="仿宋_GB2312" w:hAnsi="仿宋_GB2312" w:eastAsia="仿宋_GB2312" w:cs="仿宋_GB2312"/>
          <w:b w:val="0"/>
          <w:color w:val="000000"/>
          <w:sz w:val="32"/>
          <w:szCs w:val="32"/>
        </w:rPr>
        <w:t>支出决算为298.23万元，完成预算100%，决算数等于预算数。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4.一般公共服务支出（类）政府办公厅（室）及相关机构事务（款）一般行政管理事务（项）:</w:t>
      </w:r>
      <w:r>
        <w:rPr>
          <w:rStyle w:val="22"/>
          <w:rFonts w:hint="eastAsia" w:ascii="仿宋_GB2312" w:hAnsi="仿宋_GB2312" w:eastAsia="仿宋_GB2312" w:cs="仿宋_GB2312"/>
          <w:b w:val="0"/>
          <w:color w:val="000000"/>
          <w:sz w:val="32"/>
          <w:szCs w:val="32"/>
        </w:rPr>
        <w:t>支出决算为6.17万元，完成预算100%，决算数等于预算数。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5.一般公共服务支出（类）政府办公厅（室）及相关机构事务（款）事业运行（项）:</w:t>
      </w:r>
      <w:r>
        <w:rPr>
          <w:rStyle w:val="22"/>
          <w:rFonts w:hint="eastAsia" w:ascii="仿宋_GB2312" w:hAnsi="仿宋_GB2312" w:eastAsia="仿宋_GB2312" w:cs="仿宋_GB2312"/>
          <w:b w:val="0"/>
          <w:color w:val="000000"/>
          <w:sz w:val="32"/>
          <w:szCs w:val="32"/>
        </w:rPr>
        <w:t>支出决算为2.09万元，完成预算100%，决算数等于预算数。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6.一般公共服务（类）党委办公厅（室）及相关机构事务（款）行政运行（项）:</w:t>
      </w:r>
      <w:r>
        <w:rPr>
          <w:rStyle w:val="22"/>
          <w:rFonts w:hint="eastAsia" w:ascii="仿宋_GB2312" w:hAnsi="仿宋_GB2312" w:eastAsia="仿宋_GB2312" w:cs="仿宋_GB2312"/>
          <w:b w:val="0"/>
          <w:color w:val="000000"/>
          <w:sz w:val="32"/>
          <w:szCs w:val="32"/>
        </w:rPr>
        <w:t>支出决算为29.74万元，完成预算100%，决算数等于预算数。</w:t>
      </w:r>
    </w:p>
    <w:p>
      <w:pPr>
        <w:spacing w:line="576" w:lineRule="atLeast"/>
        <w:ind w:firstLine="642" w:firstLineChars="200"/>
        <w:rPr>
          <w:rFonts w:eastAsia="仿宋_GB2312"/>
        </w:rPr>
      </w:pPr>
      <w:r>
        <w:rPr>
          <w:rStyle w:val="22"/>
          <w:rFonts w:hint="eastAsia" w:ascii="仿宋_GB2312" w:hAnsi="仿宋_GB2312" w:eastAsia="仿宋_GB2312" w:cs="仿宋_GB2312"/>
          <w:bCs/>
          <w:color w:val="000000"/>
          <w:sz w:val="32"/>
          <w:szCs w:val="32"/>
        </w:rPr>
        <w:t>7.一般公共服务支出（类）其他一般公共服务支出（款）其他一般公共服务支出（项）:</w:t>
      </w:r>
      <w:r>
        <w:rPr>
          <w:rStyle w:val="22"/>
          <w:rFonts w:hint="eastAsia" w:ascii="仿宋_GB2312" w:hAnsi="仿宋_GB2312" w:eastAsia="仿宋_GB2312" w:cs="仿宋_GB2312"/>
          <w:b w:val="0"/>
          <w:color w:val="000000"/>
          <w:sz w:val="32"/>
          <w:szCs w:val="32"/>
        </w:rPr>
        <w:t>支出决算为19.39万元，完成预算100%，决算数等于预算数。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8.国防支出（类）国防动员（室）民兵（款）行政运行（项）:</w:t>
      </w:r>
      <w:r>
        <w:rPr>
          <w:rStyle w:val="22"/>
          <w:rFonts w:hint="eastAsia" w:ascii="仿宋_GB2312" w:hAnsi="仿宋_GB2312" w:eastAsia="仿宋_GB2312" w:cs="仿宋_GB2312"/>
          <w:b w:val="0"/>
          <w:color w:val="000000"/>
          <w:sz w:val="32"/>
          <w:szCs w:val="32"/>
        </w:rPr>
        <w:t>支出决算为8万元，完成预算100%，决算数等于预算数。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9.社会保障和就业支出（类）行政事业单位养老支出（款）机关事业单位基本养老保险缴费支出（项）:</w:t>
      </w:r>
      <w:r>
        <w:rPr>
          <w:rStyle w:val="22"/>
          <w:rFonts w:hint="eastAsia" w:ascii="仿宋_GB2312" w:hAnsi="仿宋_GB2312" w:eastAsia="仿宋_GB2312" w:cs="仿宋_GB2312"/>
          <w:b w:val="0"/>
          <w:color w:val="000000"/>
          <w:sz w:val="32"/>
          <w:szCs w:val="32"/>
        </w:rPr>
        <w:t>支出决算为42.98万元，完成预算100%，决算数等于预算数。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10.社会保障和就业支出（类）行政事业单位养老支出（款）机关事业单位职业年金缴费支出（项）:</w:t>
      </w:r>
      <w:r>
        <w:rPr>
          <w:rStyle w:val="22"/>
          <w:rFonts w:hint="eastAsia" w:ascii="仿宋_GB2312" w:hAnsi="仿宋_GB2312" w:eastAsia="仿宋_GB2312" w:cs="仿宋_GB2312"/>
          <w:b w:val="0"/>
          <w:color w:val="000000"/>
          <w:sz w:val="32"/>
          <w:szCs w:val="32"/>
        </w:rPr>
        <w:t>支出决算为21.50万元，完成预算100%，决算数等于预算数。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11.社会保障和就业支出（类）社会福利（款）老年福利（项）:</w:t>
      </w:r>
      <w:r>
        <w:rPr>
          <w:rStyle w:val="22"/>
          <w:rFonts w:hint="eastAsia" w:ascii="仿宋_GB2312" w:hAnsi="仿宋_GB2312" w:eastAsia="仿宋_GB2312" w:cs="仿宋_GB2312"/>
          <w:b w:val="0"/>
          <w:color w:val="000000"/>
          <w:sz w:val="32"/>
          <w:szCs w:val="32"/>
        </w:rPr>
        <w:t>支出决算为0.79万元，完成预算100%，决算数等于预算数。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12.社会保障和就业支出（类）社会福利（款）其他社会福利支出（项）：</w:t>
      </w:r>
      <w:r>
        <w:rPr>
          <w:rStyle w:val="22"/>
          <w:rFonts w:hint="eastAsia" w:ascii="仿宋_GB2312" w:hAnsi="仿宋_GB2312" w:eastAsia="仿宋_GB2312" w:cs="仿宋_GB2312"/>
          <w:b w:val="0"/>
          <w:color w:val="000000"/>
          <w:sz w:val="32"/>
          <w:szCs w:val="32"/>
        </w:rPr>
        <w:t>支出决算为0.34元，完成预算100%，决算数等于预算数。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13.社会保障和就业支出（类）其他生活救助（款）其他农村生活救助（项）:</w:t>
      </w:r>
      <w:r>
        <w:rPr>
          <w:rStyle w:val="22"/>
          <w:rFonts w:hint="eastAsia" w:ascii="仿宋_GB2312" w:hAnsi="仿宋_GB2312" w:eastAsia="仿宋_GB2312" w:cs="仿宋_GB2312"/>
          <w:b w:val="0"/>
          <w:color w:val="000000"/>
          <w:sz w:val="32"/>
          <w:szCs w:val="32"/>
        </w:rPr>
        <w:t>支出决算为0.35万元，完成预算100%，决算数等于预算数。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14.社会保障和就业支出（类）退役军人管理事务（款）拥军优属（项）:</w:t>
      </w:r>
      <w:r>
        <w:rPr>
          <w:rStyle w:val="22"/>
          <w:rFonts w:hint="eastAsia" w:ascii="仿宋_GB2312" w:hAnsi="仿宋_GB2312" w:eastAsia="仿宋_GB2312" w:cs="仿宋_GB2312"/>
          <w:b w:val="0"/>
          <w:color w:val="000000"/>
          <w:sz w:val="32"/>
          <w:szCs w:val="32"/>
        </w:rPr>
        <w:t>支出决算为0.6万元，完成预算100%，决算数等于预算数。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15.卫生健康支出（类）行政事业单位医疗（款）行政单位医疗（项）:</w:t>
      </w:r>
      <w:r>
        <w:rPr>
          <w:rStyle w:val="22"/>
          <w:rFonts w:hint="eastAsia" w:ascii="仿宋_GB2312" w:hAnsi="仿宋_GB2312" w:eastAsia="仿宋_GB2312" w:cs="仿宋_GB2312"/>
          <w:b w:val="0"/>
          <w:color w:val="000000"/>
          <w:sz w:val="32"/>
          <w:szCs w:val="32"/>
        </w:rPr>
        <w:t>支出决算为36.21万元，完成预算100%，决算数等于预算数。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16.农林水支出（类）农业农村（款）事业运行（项）:</w:t>
      </w:r>
      <w:r>
        <w:rPr>
          <w:rStyle w:val="22"/>
          <w:rFonts w:hint="eastAsia" w:ascii="仿宋_GB2312" w:hAnsi="仿宋_GB2312" w:eastAsia="仿宋_GB2312" w:cs="仿宋_GB2312"/>
          <w:b w:val="0"/>
          <w:color w:val="000000"/>
          <w:sz w:val="32"/>
          <w:szCs w:val="32"/>
        </w:rPr>
        <w:t>支出决算为113.46万元，完成预算100%，决算数等于预算数。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17.农林水支出（类）水利（款）水文测报（项）:</w:t>
      </w:r>
      <w:r>
        <w:rPr>
          <w:rStyle w:val="22"/>
          <w:rFonts w:hint="eastAsia" w:ascii="仿宋_GB2312" w:hAnsi="仿宋_GB2312" w:eastAsia="仿宋_GB2312" w:cs="仿宋_GB2312"/>
          <w:b w:val="0"/>
          <w:color w:val="000000"/>
          <w:sz w:val="32"/>
          <w:szCs w:val="32"/>
        </w:rPr>
        <w:t>支出决算为59.55万元，完成预算100%，决算数等于预算数。</w:t>
      </w:r>
    </w:p>
    <w:p>
      <w:pPr>
        <w:spacing w:line="576" w:lineRule="atLeast"/>
        <w:ind w:firstLine="642" w:firstLineChars="200"/>
        <w:rPr>
          <w:rStyle w:val="22"/>
          <w:rFonts w:ascii="仿宋_GB2312" w:hAnsi="仿宋_GB2312" w:eastAsia="仿宋_GB2312" w:cs="仿宋_GB2312"/>
          <w:b w:val="0"/>
          <w:sz w:val="32"/>
          <w:szCs w:val="32"/>
        </w:rPr>
      </w:pPr>
      <w:r>
        <w:rPr>
          <w:rStyle w:val="22"/>
          <w:rFonts w:hint="eastAsia" w:ascii="仿宋_GB2312" w:hAnsi="仿宋_GB2312" w:eastAsia="仿宋_GB2312" w:cs="仿宋_GB2312"/>
          <w:bCs/>
          <w:sz w:val="32"/>
          <w:szCs w:val="32"/>
        </w:rPr>
        <w:t>18.农林水支出（类）扶贫（款）农村基础设施建设（项）:</w:t>
      </w:r>
      <w:r>
        <w:rPr>
          <w:rStyle w:val="22"/>
          <w:rFonts w:hint="eastAsia" w:ascii="仿宋_GB2312" w:hAnsi="仿宋_GB2312" w:eastAsia="仿宋_GB2312" w:cs="仿宋_GB2312"/>
          <w:b w:val="0"/>
          <w:sz w:val="32"/>
          <w:szCs w:val="32"/>
        </w:rPr>
        <w:t>支出决算为33.44万元，完成预算100%，决算数等于预算数。</w:t>
      </w:r>
    </w:p>
    <w:p>
      <w:pPr>
        <w:spacing w:line="576" w:lineRule="atLeast"/>
        <w:ind w:firstLine="642" w:firstLineChars="200"/>
      </w:pPr>
      <w:r>
        <w:rPr>
          <w:rStyle w:val="22"/>
          <w:rFonts w:hint="eastAsia" w:ascii="仿宋_GB2312" w:hAnsi="仿宋_GB2312" w:eastAsia="仿宋_GB2312" w:cs="仿宋_GB2312"/>
          <w:bCs/>
          <w:sz w:val="32"/>
          <w:szCs w:val="32"/>
        </w:rPr>
        <w:t>19.农林水支出（类）扶贫（款）其他扶贫支出（项）:</w:t>
      </w:r>
      <w:r>
        <w:rPr>
          <w:rStyle w:val="22"/>
          <w:rFonts w:hint="eastAsia" w:ascii="仿宋_GB2312" w:hAnsi="仿宋_GB2312" w:eastAsia="仿宋_GB2312" w:cs="仿宋_GB2312"/>
          <w:b w:val="0"/>
          <w:color w:val="000000"/>
          <w:sz w:val="32"/>
          <w:szCs w:val="32"/>
        </w:rPr>
        <w:t>支出决算为175.23万元，完成预算100%，决算数等于预算数。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20.农林水支出（类）农村综合改革（款）对村民委员会和村党支部的补助（项）:</w:t>
      </w:r>
      <w:r>
        <w:rPr>
          <w:rStyle w:val="22"/>
          <w:rFonts w:hint="eastAsia" w:ascii="仿宋_GB2312" w:hAnsi="仿宋_GB2312" w:eastAsia="仿宋_GB2312" w:cs="仿宋_GB2312"/>
          <w:b w:val="0"/>
          <w:color w:val="000000"/>
          <w:sz w:val="32"/>
          <w:szCs w:val="32"/>
        </w:rPr>
        <w:t>支出决算为121.33万元，完成预算100%，决算数等于预算数。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21.住房保障支出（类）住房改革支出（款）住房公积金（项）：</w:t>
      </w:r>
      <w:r>
        <w:rPr>
          <w:rStyle w:val="22"/>
          <w:rFonts w:hint="eastAsia" w:ascii="仿宋_GB2312" w:hAnsi="仿宋_GB2312" w:eastAsia="仿宋_GB2312" w:cs="仿宋_GB2312"/>
          <w:b w:val="0"/>
          <w:color w:val="000000"/>
          <w:sz w:val="32"/>
          <w:szCs w:val="32"/>
        </w:rPr>
        <w:t>支出决算为49.56万元，完成预算100%，决算数等于预算数。</w:t>
      </w:r>
    </w:p>
    <w:p>
      <w:pPr>
        <w:tabs>
          <w:tab w:val="right" w:pos="8306"/>
        </w:tabs>
        <w:spacing w:line="600" w:lineRule="exact"/>
        <w:ind w:firstLine="640"/>
        <w:outlineLvl w:val="1"/>
        <w:rPr>
          <w:rStyle w:val="25"/>
        </w:rPr>
      </w:pPr>
      <w:bookmarkStart w:id="71" w:name="_Toc15377214"/>
      <w:bookmarkStart w:id="72" w:name="_Toc31339"/>
      <w:bookmarkStart w:id="73" w:name="_Toc15396608"/>
      <w:bookmarkStart w:id="74"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71"/>
      <w:bookmarkEnd w:id="72"/>
      <w:bookmarkEnd w:id="73"/>
      <w:bookmarkEnd w:id="74"/>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年一般公共预算财政拨款基本支出591.74万元，其中：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人员经费554.44万元，主要包括：基本工资、津贴补贴、奖金、伙食补助费、绩效工资、机关事业单位基本养老保险缴费、职业年金缴费、其他社会保障缴费、生活补助、医疗费补助、奖励金、住房公积金等。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日常公用经费37.3万元，主要包括：办公费、手续费、电费、差旅费、维修（护）费、培训费、公务用车运行维护费、公务用车购置等。</w:t>
      </w:r>
    </w:p>
    <w:p>
      <w:pPr>
        <w:spacing w:line="600" w:lineRule="exact"/>
        <w:ind w:firstLine="640"/>
        <w:outlineLvl w:val="1"/>
        <w:rPr>
          <w:rStyle w:val="25"/>
          <w:rFonts w:ascii="黑体" w:hAnsi="黑体" w:eastAsia="黑体"/>
          <w:b w:val="0"/>
        </w:rPr>
      </w:pPr>
      <w:bookmarkStart w:id="75" w:name="_Toc15377215"/>
      <w:bookmarkStart w:id="76" w:name="_Toc15396609"/>
      <w:bookmarkStart w:id="77" w:name="_Toc79163619"/>
      <w:bookmarkStart w:id="78" w:name="_Toc13754"/>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5"/>
      <w:bookmarkEnd w:id="76"/>
      <w:bookmarkEnd w:id="77"/>
      <w:bookmarkEnd w:id="78"/>
    </w:p>
    <w:p>
      <w:pPr>
        <w:spacing w:line="600" w:lineRule="exact"/>
        <w:ind w:firstLine="640"/>
        <w:outlineLvl w:val="2"/>
        <w:rPr>
          <w:rFonts w:ascii="仿宋" w:hAnsi="仿宋" w:eastAsia="仿宋"/>
          <w:b/>
          <w:color w:val="000000"/>
          <w:sz w:val="32"/>
          <w:szCs w:val="32"/>
        </w:rPr>
      </w:pPr>
      <w:bookmarkStart w:id="79" w:name="_Toc79163620"/>
      <w:bookmarkStart w:id="80" w:name="_Toc15377216"/>
      <w:bookmarkStart w:id="81" w:name="_Toc936"/>
      <w:r>
        <w:rPr>
          <w:rFonts w:hint="eastAsia" w:ascii="仿宋" w:hAnsi="仿宋" w:eastAsia="仿宋"/>
          <w:b/>
          <w:color w:val="000000"/>
          <w:sz w:val="32"/>
          <w:szCs w:val="32"/>
        </w:rPr>
        <w:t>（一）“三公”经费财政拨款支出决算总体情况说明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年“三公”经费财政拨款支出决算为7.08万元，完成预算100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仿宋_GB2312" w:eastAsia="仿宋_GB2312" w:cs="仿宋_GB2312"/>
          <w:sz w:val="32"/>
          <w:szCs w:val="32"/>
        </w:rPr>
        <w:t>决算数与预算数持平</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82" w:name="_Toc15377217"/>
      <w:bookmarkStart w:id="83" w:name="_Toc79163621"/>
      <w:bookmarkStart w:id="84" w:name="_Toc12666"/>
      <w:r>
        <w:rPr>
          <w:rFonts w:hint="eastAsia" w:ascii="仿宋" w:hAnsi="仿宋" w:eastAsia="仿宋"/>
          <w:b/>
          <w:color w:val="000000"/>
          <w:sz w:val="32"/>
          <w:szCs w:val="32"/>
        </w:rPr>
        <w:t>（二）“三公”经费财政拨款支出决算具体情况说明</w:t>
      </w:r>
      <w:bookmarkEnd w:id="82"/>
      <w:bookmarkEnd w:id="83"/>
      <w:bookmarkEnd w:id="8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年“三公”经费财政拨款支出决算中，因公出国（境）费支出决算0万元；公务用车购置及运行维护费支出决算7.08万元，占100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；公务接待费支出决算0万元。具体情况如下：</w:t>
      </w:r>
    </w:p>
    <w:p>
      <w:pPr>
        <w:pStyle w:val="2"/>
        <w:spacing w:before="93"/>
        <w:ind w:firstLine="240"/>
      </w:pPr>
      <w:r>
        <w:rPr>
          <w:lang w:val="en-US"/>
        </w:rP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：“三公”经费财政拨款支出结构（单位：万元）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7.08</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9年增加3.58万元，增长50.56</w:t>
      </w:r>
      <w:r>
        <w:rPr>
          <w:rFonts w:ascii="仿宋_GB2312" w:eastAsia="仿宋_GB2312"/>
          <w:color w:val="000000"/>
          <w:sz w:val="32"/>
          <w:szCs w:val="32"/>
        </w:rPr>
        <w:t>%</w:t>
      </w:r>
      <w:r>
        <w:rPr>
          <w:rFonts w:hint="eastAsia" w:ascii="仿宋_GB2312" w:eastAsia="仿宋_GB2312"/>
          <w:color w:val="000000"/>
          <w:sz w:val="32"/>
          <w:szCs w:val="32"/>
        </w:rPr>
        <w:t>。主要原因是增加2辆新车。</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0万元。全年按规定更新购置公务用车0辆，其中：轿车0辆、金额0万元，越野车0辆、金额0万元，载客汽车0辆、金额0万元，主要用于下村开展工作。截至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月底，单位共有公务用车4辆，其中：轿车0辆、越野车4辆、载客汽车0辆。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7.08万元。主要用于</w:t>
      </w:r>
      <w:r>
        <w:rPr>
          <w:rFonts w:hint="eastAsia" w:ascii="仿宋_GB2312" w:hAnsi="仿宋_GB2312" w:eastAsia="仿宋_GB2312" w:cs="仿宋_GB2312"/>
          <w:color w:val="000000"/>
          <w:sz w:val="32"/>
          <w:szCs w:val="32"/>
        </w:rPr>
        <w:t>下村开展日常工作所需的公务用车燃料费、维修费、过路过桥费、保险费等支出</w:t>
      </w:r>
      <w:r>
        <w:rPr>
          <w:rFonts w:hint="eastAsia" w:ascii="仿宋_GB2312" w:eastAsia="仿宋_GB2312"/>
          <w:color w:val="000000"/>
          <w:sz w:val="32"/>
          <w:szCs w:val="32"/>
        </w:rPr>
        <w:t>。</w:t>
      </w:r>
    </w:p>
    <w:p>
      <w:pPr>
        <w:spacing w:line="600" w:lineRule="exact"/>
        <w:ind w:left="640"/>
        <w:rPr>
          <w:rFonts w:ascii="仿宋_GB2312" w:eastAsia="仿宋_GB2312"/>
          <w:color w:val="000000"/>
          <w:sz w:val="32"/>
          <w:szCs w:val="32"/>
        </w:rPr>
      </w:pPr>
      <w:bookmarkStart w:id="85" w:name="_Toc15377218"/>
      <w:bookmarkStart w:id="86" w:name="_Toc79163622"/>
      <w:bookmarkStart w:id="87" w:name="_Toc15396610"/>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w:t>
      </w:r>
    </w:p>
    <w:p>
      <w:pPr>
        <w:spacing w:line="600" w:lineRule="exact"/>
        <w:ind w:firstLine="640"/>
        <w:outlineLvl w:val="1"/>
        <w:rPr>
          <w:rStyle w:val="25"/>
          <w:rFonts w:ascii="黑体" w:hAnsi="黑体" w:eastAsia="黑体"/>
        </w:rPr>
      </w:pPr>
      <w:bookmarkStart w:id="88" w:name="_Toc2345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5"/>
      <w:bookmarkEnd w:id="86"/>
      <w:bookmarkEnd w:id="87"/>
      <w:bookmarkEnd w:id="8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年政府性基金预算拨款支出253.83万元。</w:t>
      </w:r>
    </w:p>
    <w:p>
      <w:pPr>
        <w:numPr>
          <w:ilvl w:val="0"/>
          <w:numId w:val="2"/>
        </w:numPr>
        <w:spacing w:line="600" w:lineRule="exact"/>
        <w:ind w:firstLine="640"/>
        <w:outlineLvl w:val="1"/>
        <w:rPr>
          <w:rStyle w:val="25"/>
          <w:rFonts w:ascii="黑体" w:hAnsi="黑体" w:eastAsia="黑体"/>
          <w:b w:val="0"/>
        </w:rPr>
      </w:pPr>
      <w:bookmarkStart w:id="89" w:name="_Toc15396611"/>
      <w:bookmarkStart w:id="90" w:name="_Toc79163623"/>
      <w:bookmarkStart w:id="91" w:name="_Toc4869"/>
      <w:bookmarkStart w:id="92" w:name="_Toc15377219"/>
      <w:r>
        <w:rPr>
          <w:rStyle w:val="25"/>
          <w:rFonts w:hint="eastAsia" w:ascii="黑体" w:hAnsi="黑体" w:eastAsia="黑体"/>
          <w:b w:val="0"/>
        </w:rPr>
        <w:t>国有资本经营预算支出决算情况说明</w:t>
      </w:r>
      <w:bookmarkEnd w:id="89"/>
      <w:bookmarkEnd w:id="90"/>
      <w:bookmarkEnd w:id="91"/>
      <w:bookmarkEnd w:id="92"/>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5"/>
          <w:rFonts w:ascii="黑体" w:hAnsi="黑体" w:eastAsia="黑体"/>
        </w:rPr>
      </w:pPr>
      <w:bookmarkStart w:id="93" w:name="_Toc79163624"/>
      <w:bookmarkStart w:id="94" w:name="_Toc6459"/>
      <w:bookmarkStart w:id="95" w:name="_Toc15377221"/>
      <w:bookmarkStart w:id="96"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3"/>
      <w:bookmarkEnd w:id="94"/>
      <w:bookmarkEnd w:id="95"/>
      <w:bookmarkEnd w:id="96"/>
    </w:p>
    <w:p>
      <w:pPr>
        <w:spacing w:line="600" w:lineRule="exact"/>
        <w:ind w:firstLine="642" w:firstLineChars="200"/>
        <w:outlineLvl w:val="2"/>
        <w:rPr>
          <w:rFonts w:ascii="仿宋" w:hAnsi="仿宋" w:eastAsia="仿宋"/>
          <w:color w:val="000000"/>
          <w:sz w:val="32"/>
          <w:szCs w:val="32"/>
        </w:rPr>
      </w:pPr>
      <w:bookmarkStart w:id="97" w:name="_Toc22441"/>
      <w:bookmarkStart w:id="98" w:name="_Toc79163625"/>
      <w:bookmarkStart w:id="99" w:name="_Toc15377222"/>
      <w:r>
        <w:rPr>
          <w:rFonts w:hint="eastAsia" w:ascii="仿宋" w:hAnsi="仿宋" w:eastAsia="仿宋"/>
          <w:b/>
          <w:color w:val="000000"/>
          <w:sz w:val="32"/>
          <w:szCs w:val="32"/>
        </w:rPr>
        <w:t>（一）机关运行经费支出情况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年，茂县黑虎镇人民政府机关运行经费支出0万元，比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 w:hAnsi="仿宋" w:eastAsia="仿宋"/>
          <w:color w:val="000000"/>
          <w:sz w:val="32"/>
          <w:szCs w:val="32"/>
        </w:rPr>
        <w:t>19.76</w:t>
      </w:r>
      <w:r>
        <w:rPr>
          <w:rFonts w:hint="eastAsia" w:ascii="仿宋_GB2312" w:eastAsia="仿宋_GB2312"/>
          <w:color w:val="000000"/>
          <w:sz w:val="32"/>
          <w:szCs w:val="32"/>
        </w:rPr>
        <w:t>万元，下降100</w:t>
      </w:r>
      <w:r>
        <w:rPr>
          <w:rFonts w:ascii="仿宋_GB2312" w:eastAsia="仿宋_GB2312"/>
          <w:color w:val="000000"/>
          <w:sz w:val="32"/>
          <w:szCs w:val="32"/>
        </w:rPr>
        <w:t>%</w:t>
      </w:r>
      <w:r>
        <w:rPr>
          <w:rFonts w:hint="eastAsia" w:ascii="仿宋_GB2312" w:eastAsia="仿宋_GB2312"/>
          <w:color w:val="000000"/>
          <w:sz w:val="32"/>
          <w:szCs w:val="32"/>
        </w:rPr>
        <w:t>。主要原因是按决算要求进行了调整。</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15377223"/>
      <w:bookmarkStart w:id="101" w:name="_Toc26271"/>
      <w:bookmarkStart w:id="102" w:name="_Toc79163626"/>
      <w:r>
        <w:rPr>
          <w:rFonts w:hint="eastAsia" w:ascii="仿宋" w:hAnsi="仿宋" w:eastAsia="仿宋"/>
          <w:b/>
          <w:color w:val="000000"/>
          <w:sz w:val="32"/>
          <w:szCs w:val="32"/>
        </w:rPr>
        <w:t>（二）政府采购支出情况</w:t>
      </w:r>
      <w:bookmarkEnd w:id="100"/>
      <w:bookmarkEnd w:id="101"/>
      <w:bookmarkEnd w:id="102"/>
    </w:p>
    <w:p>
      <w:pPr>
        <w:autoSpaceDE w:val="0"/>
        <w:autoSpaceDN w:val="0"/>
        <w:adjustRightInd w:val="0"/>
        <w:spacing w:line="576" w:lineRule="atLeast"/>
        <w:ind w:firstLine="640" w:firstLineChars="200"/>
        <w:rPr>
          <w:rFonts w:ascii="仿宋_GB2312" w:eastAsia="仿宋_GB2312"/>
          <w:color w:val="000000"/>
          <w:sz w:val="32"/>
          <w:szCs w:val="32"/>
        </w:rPr>
      </w:pPr>
      <w:bookmarkStart w:id="103" w:name="_Toc25265"/>
      <w:bookmarkStart w:id="104" w:name="_Toc15377224"/>
      <w:bookmarkStart w:id="105" w:name="_Toc79163627"/>
      <w:r>
        <w:rPr>
          <w:rFonts w:ascii="仿宋_GB2312" w:eastAsia="仿宋_GB2312" w:cs="仿宋_GB2312"/>
          <w:color w:val="000000"/>
          <w:sz w:val="32"/>
          <w:szCs w:val="32"/>
        </w:rPr>
        <w:t>20</w:t>
      </w:r>
      <w:r>
        <w:rPr>
          <w:rFonts w:hint="eastAsia" w:ascii="仿宋_GB2312" w:eastAsia="仿宋_GB2312" w:cs="仿宋_GB2312"/>
          <w:color w:val="000000"/>
          <w:sz w:val="32"/>
          <w:szCs w:val="32"/>
        </w:rPr>
        <w:t>20年，茂县黑虎镇人民政府采购支出总额0万元，其中：政府采购货物支出0元、政府采购工程支出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万元，占政府采购支出总额的0</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103"/>
      <w:bookmarkEnd w:id="104"/>
      <w:bookmarkEnd w:id="105"/>
    </w:p>
    <w:p>
      <w:pPr>
        <w:autoSpaceDE w:val="0"/>
        <w:autoSpaceDN w:val="0"/>
        <w:adjustRightInd w:val="0"/>
        <w:spacing w:line="576" w:lineRule="atLeast"/>
        <w:ind w:firstLine="640" w:firstLineChars="200"/>
        <w:rPr>
          <w:rFonts w:ascii="仿宋_GB2312" w:eastAsia="仿宋_GB2312"/>
          <w:color w:val="000000"/>
          <w:sz w:val="32"/>
          <w:szCs w:val="32"/>
        </w:rPr>
      </w:pPr>
      <w:bookmarkStart w:id="106" w:name="_Toc79163628"/>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rPr>
        <w:t>20年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日，茂县黑虎镇人民政府共有车辆4辆，其中：领导干部用车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辆、其他用车4辆，车两主要用于下村开展日常工作。单价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7" w:name="_Toc7306"/>
      <w:r>
        <w:rPr>
          <w:rFonts w:hint="eastAsia" w:ascii="仿宋" w:hAnsi="仿宋" w:eastAsia="仿宋"/>
          <w:b/>
          <w:color w:val="000000"/>
          <w:sz w:val="32"/>
          <w:szCs w:val="32"/>
        </w:rPr>
        <w:t>（四）预算绩效管理情况。</w:t>
      </w:r>
      <w:bookmarkEnd w:id="106"/>
      <w:bookmarkEnd w:id="107"/>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黑虎镇人民政府在年初预算编制阶段，组织对2020年一般公共预算项目开展了预算事前绩效评估，对2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茂县黑虎镇人民政府按要求对2020年部门整体支出开展绩效自评，从评价情况来看</w:t>
      </w:r>
      <w:r>
        <w:rPr>
          <w:rFonts w:hint="eastAsia" w:ascii="仿宋_GB2312" w:hAnsi="仿宋_GB2312" w:eastAsia="仿宋_GB2312" w:cs="仿宋_GB2312"/>
          <w:color w:val="000000"/>
          <w:kern w:val="0"/>
          <w:sz w:val="32"/>
          <w:szCs w:val="32"/>
        </w:rPr>
        <w:t>，2020年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eastAsia="仿宋_GB2312" w:cs="仿宋_GB2312"/>
          <w:color w:val="000000"/>
          <w:sz w:val="32"/>
          <w:szCs w:val="32"/>
        </w:rPr>
        <w:t>基层组织活动和公共服务运行经费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“2020年黑虎镇疫情防控专项补助资金”“各镇2020年基层武装部工作经费”“2020年养老养老服务补助县级配套资金”“茂县各镇人大代表活动经费”等5个项目绩效目标实际完成情况。</w:t>
      </w:r>
    </w:p>
    <w:p>
      <w:pPr>
        <w:spacing w:line="580" w:lineRule="exact"/>
        <w:ind w:firstLine="640" w:firstLineChars="200"/>
        <w:rPr>
          <w:rFonts w:ascii="仿宋_GB2312" w:eastAsia="仿宋_GB2312" w:cs="仿宋_GB2312"/>
          <w:color w:val="00000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项目绩效目标完成情况综述。项目全年预算数237.74万元，执行数为454.42万元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）2020年中央、省级和州级财政卫生健康专项补助资金项目绩效目标完成情况综述。项目全年预算数4.94万元，执行数为4.94万元，完成预算的100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。通过项目实施，保障疫情防疫工作的顺利进行，提高了人民群众的预防疾病的知识，发现的主要问题：群众预防疾病的意识不够。下一步改进措施：加大宣传力度。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）各镇2020年基层武装部工作经费项目绩效目标完成情况综述。项目全年预算数5万元，执行数为8.99万元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。通过项目实施，保障了应急抢险工作开展，提高了全镇处理紧急事情的能力，发现的主要问题：项目实施进度慢。下一步改进措施：加强组织领导，加快项目实施进度。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（4）2020年养老养老服务补助县级配套资金项目绩效目标完成情况综述。项目全年预算数1.13万元，执行数为1.13万元，完成预算的100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。通过项目实施，保障老年人的生活质量，丰富了老年人的日常，使老年人获得更多幸福感，发现的主要问题：村民对政策不了解。下一步改进措施：加强政策宣传。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（5）茂县各镇人大代表活动经费项目绩效目标完成情况综述。项目全年预算数4.57万元，执行数为4.57万元，完成预算的100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。通过项目实施，保障全镇人大代表活动的开展，发现的主要问题：人大代表组织性不强。下一步改进措施：加强组织领导，加强人大代表知识学习。</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spacing w:before="93"/>
        <w:ind w:firstLine="320"/>
        <w:rPr>
          <w:rFonts w:ascii="仿宋_GB2312" w:hAnsi="仿宋_GB2312" w:eastAsia="仿宋_GB2312" w:cs="仿宋_GB2312"/>
          <w:sz w:val="32"/>
          <w:szCs w:val="32"/>
        </w:rPr>
      </w:pPr>
    </w:p>
    <w:p>
      <w:pPr>
        <w:pStyle w:val="2"/>
        <w:spacing w:before="93"/>
        <w:ind w:firstLine="320"/>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基层组织活动和公共服务运行经费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茂县黑虎镇人民政府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106.76万元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121.33万元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106.76万元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121.33万元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5个行政村的日常办公及村内道路的环境卫生及管水管电的日常开支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实现了5个行政村的日常办公及村内道路的环境卫生及管水管电的日常开支</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106.76万元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121.33万元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106.76万元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121.33万元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2020年黑虎镇疫情防控专项资金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4.94万元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4.94万元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全镇预防疾病能力得到提升，群众预防疾病意识有效提高</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213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4.94万元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4.94万元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保障群众的身体健康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各镇2020年基层武装部工作经费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8万元（包含上年结转)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8万元（包含上年结转)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8万元（包含上年结转)</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8万元（包含上年结转)</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推动全镇的应急工作开展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保障了人民群众生命安全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2020年养老养老服务补助县级配套资金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1.13万元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1.13万元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保障老年人的生活质量，丰富了老年人的日常，使老年人获得更多幸福感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实现了老年人生活质量提高，丰富了老年人的日常，使老年人获得更多幸福感</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1.13万元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1.13万元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1.13万元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1.13万元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茂县各镇人大代表活动经费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4.57万元（含上年结转)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4.57万元（含上年结转)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保障全镇人大代表活动的开展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实现了人大代表活动的有序开展</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4.57万元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4.57万元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4.57万元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4.57万元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推动人大代表工作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满足人大代表工作需要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color w:val="000000"/>
          <w:sz w:val="32"/>
          <w:szCs w:val="32"/>
        </w:rPr>
        <w:t>茂县黑虎镇人民政府</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108" w:name="_Toc79163629"/>
      <w:bookmarkStart w:id="109" w:name="_Toc15396613"/>
      <w:bookmarkStart w:id="110" w:name="_Toc10753"/>
      <w:bookmarkStart w:id="111"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108"/>
      <w:bookmarkEnd w:id="109"/>
      <w:bookmarkEnd w:id="110"/>
      <w:bookmarkEnd w:id="111"/>
    </w:p>
    <w:p>
      <w:pPr>
        <w:pStyle w:val="2"/>
        <w:spacing w:before="93"/>
        <w:ind w:firstLine="240"/>
      </w:pPr>
    </w:p>
    <w:p>
      <w:pPr>
        <w:pStyle w:val="34"/>
        <w:spacing w:line="576" w:lineRule="atLeast"/>
        <w:ind w:firstLine="640" w:firstLineChars="200"/>
        <w:jc w:val="both"/>
        <w:rPr>
          <w:rFonts w:ascii="仿宋_GB2312" w:eastAsia="仿宋_GB2312" w:cs="Times New Roman"/>
          <w:sz w:val="32"/>
          <w:szCs w:val="32"/>
        </w:rPr>
      </w:pPr>
      <w:bookmarkStart w:id="112"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22"/>
          <w:rFonts w:ascii="仿宋_GB2312" w:hAnsi="仿宋_GB2312" w:eastAsia="仿宋_GB2312"/>
          <w:b w:val="0"/>
          <w:color w:val="0000FF"/>
          <w:sz w:val="32"/>
          <w:szCs w:val="32"/>
        </w:rPr>
      </w:pPr>
      <w:r>
        <w:rPr>
          <w:rStyle w:val="22"/>
          <w:rFonts w:ascii="仿宋_GB2312" w:hAnsi="仿宋_GB2312" w:eastAsia="仿宋_GB2312" w:cs="仿宋_GB2312"/>
          <w:b w:val="0"/>
          <w:color w:val="000000"/>
          <w:sz w:val="32"/>
          <w:szCs w:val="32"/>
        </w:rPr>
        <w:t>9.</w:t>
      </w:r>
      <w:r>
        <w:rPr>
          <w:rStyle w:val="22"/>
          <w:rFonts w:hint="eastAsia" w:ascii="仿宋_GB2312" w:hAnsi="仿宋_GB2312" w:eastAsia="仿宋_GB2312" w:cs="仿宋_GB2312"/>
          <w:b w:val="0"/>
          <w:color w:val="000000"/>
          <w:sz w:val="32"/>
          <w:szCs w:val="32"/>
        </w:rPr>
        <w:t>一般公共服务（类）人大事务（款）人大会议（项）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22"/>
          <w:rFonts w:hint="eastAsia" w:ascii="仿宋_GB2312" w:hAnsi="仿宋_GB2312" w:eastAsia="仿宋_GB2312" w:cs="仿宋_GB2312"/>
          <w:b w:val="0"/>
          <w:color w:val="0000FF"/>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10.</w:t>
      </w:r>
      <w:r>
        <w:rPr>
          <w:rStyle w:val="22"/>
          <w:rFonts w:hint="eastAsia" w:ascii="仿宋_GB2312" w:hAnsi="仿宋_GB2312" w:eastAsia="仿宋_GB2312" w:cs="仿宋_GB2312"/>
          <w:b w:val="0"/>
          <w:color w:val="000000"/>
          <w:sz w:val="32"/>
          <w:szCs w:val="32"/>
        </w:rPr>
        <w:t>一般公共服务（类）政府办公厅（室）及相关机构事务（款）行政运行（项）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11.</w:t>
      </w:r>
      <w:r>
        <w:rPr>
          <w:rStyle w:val="22"/>
          <w:rFonts w:hint="eastAsia" w:ascii="仿宋_GB2312" w:hAnsi="仿宋_GB2312" w:eastAsia="仿宋_GB2312" w:cs="仿宋_GB2312"/>
          <w:b w:val="0"/>
          <w:color w:val="000000"/>
          <w:sz w:val="32"/>
          <w:szCs w:val="32"/>
        </w:rPr>
        <w:t>一般公共服务（类）财政事务（款）事业运行（项）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12.</w:t>
      </w:r>
      <w:r>
        <w:rPr>
          <w:rStyle w:val="22"/>
          <w:rFonts w:hint="eastAsia" w:ascii="仿宋_GB2312" w:hAnsi="仿宋_GB2312" w:eastAsia="仿宋_GB2312" w:cs="仿宋_GB2312"/>
          <w:b w:val="0"/>
          <w:color w:val="000000"/>
          <w:sz w:val="32"/>
          <w:szCs w:val="32"/>
        </w:rPr>
        <w:t>一般公共服务（类）民族事务（款）其他民族事务支出（项）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13.</w:t>
      </w:r>
      <w:r>
        <w:rPr>
          <w:rStyle w:val="22"/>
          <w:rFonts w:hint="eastAsia" w:ascii="仿宋_GB2312" w:hAnsi="仿宋_GB2312" w:eastAsia="仿宋_GB2312" w:cs="仿宋_GB2312"/>
          <w:b w:val="0"/>
          <w:color w:val="000000"/>
          <w:sz w:val="32"/>
          <w:szCs w:val="32"/>
        </w:rPr>
        <w:t>一般公共服务（类）党委办公厅（室）及相关机构事务（款）行政运行（项）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14.</w:t>
      </w:r>
      <w:r>
        <w:rPr>
          <w:rStyle w:val="22"/>
          <w:rFonts w:hint="eastAsia" w:ascii="仿宋_GB2312" w:hAnsi="仿宋_GB2312" w:eastAsia="仿宋_GB2312" w:cs="仿宋_GB2312"/>
          <w:b w:val="0"/>
          <w:color w:val="000000"/>
          <w:sz w:val="32"/>
          <w:szCs w:val="32"/>
        </w:rPr>
        <w:t>国防支出（类）其他国防支出（款）其他国防支出（项）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w:t>
      </w:r>
      <w:r>
        <w:rPr>
          <w:rStyle w:val="22"/>
          <w:rFonts w:hint="eastAsia" w:ascii="仿宋_GB2312" w:hAnsi="仿宋_GB2312" w:eastAsia="仿宋_GB2312" w:cs="仿宋_GB2312"/>
          <w:b w:val="0"/>
          <w:color w:val="000000"/>
          <w:sz w:val="32"/>
          <w:szCs w:val="32"/>
        </w:rPr>
        <w:t>5</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16</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17</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社会保障和就业（类）社会福利（款）老年福利（项）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18</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社会保障和就业（类）社会福利（款）其他社会福利支出（项）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19</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医疗卫生与计划生育（类）基层医疗卫生机构（款）镇镇卫生院（项）</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20</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医疗卫生与计划生育（类）行政事业单位医疗（款）行政单位医疗（项）</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21</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医疗卫生与计划生育（类）行政事业单位医疗（款）事业单位医疗（项）</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22</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农林水支出（类）农业（款）事业运行（项）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23</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农林水支出（类）农业（款）农业资源保护修复与利用（项）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24</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农林水支出（类）农业（款）其他农业支出（项）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25</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农林水支出（类）扶贫（款）农村基础设施建设（项）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指用于农村贫困地区镇村道路、住房、基本农田、水利设施、</w:t>
      </w:r>
      <w:r>
        <w:rPr>
          <w:rStyle w:val="22"/>
          <w:rFonts w:hint="eastAsia" w:ascii="仿宋_GB2312" w:hAnsi="仿宋_GB2312" w:eastAsia="仿宋_GB2312" w:cs="仿宋_GB2312"/>
          <w:b w:val="0"/>
          <w:color w:val="000000"/>
          <w:sz w:val="32"/>
          <w:szCs w:val="32"/>
          <w:lang w:eastAsia="zh-CN"/>
        </w:rPr>
        <w:t>人畜饮水</w:t>
      </w:r>
      <w:r>
        <w:rPr>
          <w:rStyle w:val="22"/>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26</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农林水支出（类）扶贫（款）其他扶贫支出（项）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27</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农林水支出（类）农村综合改革（款）对村委会和村党支部的补助（项）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28</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农林水支出（类）其他农林水支出（款）其他农林水支出（项）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22"/>
          <w:rFonts w:hint="eastAsia" w:ascii="仿宋_GB2312" w:hAnsi="仿宋_GB2312" w:eastAsia="仿宋_GB2312" w:cs="仿宋_GB2312"/>
          <w:b w:val="0"/>
          <w:color w:val="000000"/>
          <w:sz w:val="32"/>
          <w:szCs w:val="32"/>
        </w:rPr>
        <w:t>29</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住房保障支出（类）住房改革支出（款）住房公积金（</w:t>
      </w:r>
      <w:r>
        <w:rPr>
          <w:rStyle w:val="22"/>
          <w:rFonts w:ascii="仿宋_GB2312" w:hAnsi="仿宋_GB2312" w:eastAsia="仿宋_GB2312" w:cs="仿宋_GB2312"/>
          <w:b w:val="0"/>
          <w:color w:val="000000"/>
          <w:sz w:val="32"/>
          <w:szCs w:val="32"/>
        </w:rPr>
        <w:t>01</w:t>
      </w:r>
      <w:r>
        <w:rPr>
          <w:rStyle w:val="22"/>
          <w:rFonts w:hint="eastAsia" w:ascii="仿宋_GB2312" w:hAnsi="仿宋_GB2312" w:eastAsia="仿宋_GB2312" w:cs="仿宋_GB2312"/>
          <w:b w:val="0"/>
          <w:color w:val="000000"/>
          <w:sz w:val="32"/>
          <w:szCs w:val="32"/>
        </w:rPr>
        <w:t>）</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bookmarkStart w:id="113" w:name="_Toc79163630"/>
      <w:bookmarkStart w:id="114" w:name="_Toc15396614"/>
      <w:bookmarkStart w:id="115" w:name="_Toc16647"/>
      <w:r>
        <w:rPr>
          <w:rFonts w:hint="eastAsia" w:ascii="黑体" w:hAnsi="黑体" w:eastAsia="黑体"/>
          <w:color w:val="000000"/>
          <w:sz w:val="44"/>
          <w:szCs w:val="44"/>
        </w:rPr>
        <w:t>第</w:t>
      </w:r>
      <w:r>
        <w:rPr>
          <w:rStyle w:val="24"/>
          <w:rFonts w:hint="eastAsia" w:ascii="黑体" w:hAnsi="黑体" w:eastAsia="黑体"/>
          <w:b w:val="0"/>
        </w:rPr>
        <w:t>四部分附件</w:t>
      </w:r>
      <w:bookmarkEnd w:id="113"/>
      <w:bookmarkEnd w:id="114"/>
      <w:bookmarkEnd w:id="115"/>
    </w:p>
    <w:p>
      <w:pPr>
        <w:spacing w:line="600" w:lineRule="exact"/>
        <w:jc w:val="left"/>
        <w:outlineLvl w:val="0"/>
        <w:rPr>
          <w:rFonts w:ascii="方正小标宋简体" w:hAnsi="方正小标宋简体" w:eastAsia="方正小标宋简体" w:cs="方正小标宋简体"/>
          <w:sz w:val="32"/>
          <w:szCs w:val="32"/>
        </w:rPr>
      </w:pPr>
      <w:bookmarkStart w:id="116" w:name="_Toc79163631"/>
      <w:bookmarkStart w:id="117" w:name="_Toc11361"/>
      <w:r>
        <w:rPr>
          <w:rFonts w:hint="eastAsia" w:ascii="黑体" w:hAnsi="黑体" w:eastAsia="黑体" w:cs="黑体"/>
          <w:sz w:val="32"/>
          <w:szCs w:val="32"/>
        </w:rPr>
        <w:t>附件</w:t>
      </w:r>
      <w:r>
        <w:rPr>
          <w:rFonts w:ascii="黑体" w:hAnsi="黑体" w:eastAsia="黑体" w:cs="黑体"/>
          <w:sz w:val="32"/>
          <w:szCs w:val="32"/>
        </w:rPr>
        <w:t>1</w:t>
      </w:r>
      <w:bookmarkEnd w:id="116"/>
      <w:bookmarkEnd w:id="117"/>
    </w:p>
    <w:p>
      <w:pPr>
        <w:spacing w:line="580" w:lineRule="exact"/>
        <w:jc w:val="center"/>
        <w:rPr>
          <w:rFonts w:ascii="方正小标宋简体" w:hAnsi="方正小标宋简体" w:eastAsia="方正小标宋简体" w:cs="方正小标宋简体"/>
          <w:sz w:val="44"/>
          <w:szCs w:val="44"/>
        </w:rPr>
      </w:pPr>
    </w:p>
    <w:p>
      <w:pPr>
        <w:spacing w:line="576" w:lineRule="atLeast"/>
        <w:jc w:val="center"/>
        <w:outlineLvl w:val="0"/>
        <w:rPr>
          <w:rFonts w:ascii="方正小标宋简体" w:hAnsi="方正小标宋简体" w:eastAsia="方正小标宋简体"/>
          <w:sz w:val="44"/>
          <w:szCs w:val="44"/>
        </w:rPr>
      </w:pPr>
      <w:bookmarkStart w:id="118" w:name="_Toc19712"/>
      <w:bookmarkStart w:id="119" w:name="_Toc15396616"/>
      <w:r>
        <w:rPr>
          <w:rFonts w:hint="eastAsia" w:ascii="方正小标宋简体" w:hAnsi="方正小标宋简体" w:eastAsia="方正小标宋简体" w:cs="方正小标宋简体"/>
          <w:sz w:val="44"/>
          <w:szCs w:val="44"/>
        </w:rPr>
        <w:t>茂县黑虎镇人民政府</w:t>
      </w:r>
      <w:bookmarkEnd w:id="118"/>
    </w:p>
    <w:p>
      <w:pPr>
        <w:spacing w:line="576" w:lineRule="atLeast"/>
        <w:jc w:val="center"/>
        <w:outlineLvl w:val="0"/>
        <w:rPr>
          <w:rFonts w:ascii="黑体" w:hAnsi="黑体" w:eastAsia="黑体"/>
          <w:sz w:val="32"/>
          <w:szCs w:val="32"/>
        </w:rPr>
      </w:pPr>
      <w:bookmarkStart w:id="120" w:name="_Toc10064"/>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rPr>
        <w:t>20年部门整体支出绩效评价报告</w:t>
      </w:r>
      <w:bookmarkEnd w:id="119"/>
      <w:bookmarkEnd w:id="120"/>
    </w:p>
    <w:p>
      <w:pPr>
        <w:pStyle w:val="6"/>
        <w:keepNext w:val="0"/>
        <w:keepLines w:val="0"/>
        <w:spacing w:before="0" w:after="0" w:line="576" w:lineRule="atLeast"/>
        <w:ind w:firstLine="642" w:firstLineChars="200"/>
        <w:rPr>
          <w:rFonts w:ascii="黑体" w:hAnsi="黑体" w:eastAsia="黑体"/>
        </w:rPr>
      </w:pPr>
    </w:p>
    <w:p>
      <w:pPr>
        <w:pStyle w:val="6"/>
        <w:keepNext w:val="0"/>
        <w:keepLines w:val="0"/>
        <w:spacing w:before="0" w:after="0" w:line="576" w:lineRule="atLeast"/>
        <w:ind w:firstLine="642" w:firstLineChars="200"/>
        <w:rPr>
          <w:rFonts w:ascii="仿宋" w:hAnsi="仿宋" w:eastAsia="仿宋"/>
          <w:color w:val="000000"/>
        </w:rPr>
      </w:pPr>
      <w:bookmarkStart w:id="121" w:name="_Toc30535"/>
      <w:r>
        <w:rPr>
          <w:rFonts w:hint="eastAsia" w:ascii="黑体" w:hAnsi="黑体" w:eastAsia="黑体" w:cs="黑体"/>
        </w:rPr>
        <w:t>一、部门（单位）概况</w:t>
      </w:r>
      <w:bookmarkEnd w:id="121"/>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黑虎镇内设行政办公室</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个、事业机构</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个，分别是：党政办公室、</w:t>
      </w:r>
      <w:r>
        <w:rPr>
          <w:rFonts w:hint="eastAsia" w:ascii="仿宋_GB2312" w:hAnsi="仿宋_GB2312" w:eastAsia="仿宋_GB2312" w:cs="仿宋_GB2312"/>
          <w:sz w:val="32"/>
          <w:szCs w:val="32"/>
        </w:rPr>
        <w:t>党建工作办公室、维护稳定和</w:t>
      </w:r>
      <w:r>
        <w:rPr>
          <w:rFonts w:hint="eastAsia" w:ascii="仿宋_GB2312" w:hAnsi="仿宋_GB2312" w:eastAsia="仿宋_GB2312" w:cs="仿宋_GB2312"/>
          <w:sz w:val="32"/>
          <w:szCs w:val="32"/>
          <w:lang w:val="zh-CN"/>
        </w:rPr>
        <w:t>综合</w:t>
      </w:r>
      <w:r>
        <w:rPr>
          <w:rFonts w:hint="eastAsia" w:ascii="仿宋_GB2312" w:hAnsi="仿宋_GB2312" w:eastAsia="仿宋_GB2312" w:cs="仿宋_GB2312"/>
          <w:sz w:val="32"/>
          <w:szCs w:val="32"/>
        </w:rPr>
        <w:t>行政执法</w:t>
      </w:r>
      <w:r>
        <w:rPr>
          <w:rFonts w:hint="eastAsia" w:ascii="仿宋_GB2312" w:hAnsi="仿宋_GB2312" w:eastAsia="仿宋_GB2312" w:cs="仿宋_GB2312"/>
          <w:sz w:val="32"/>
          <w:szCs w:val="32"/>
          <w:lang w:val="zh-CN"/>
        </w:rPr>
        <w:t>办公室、经济发展</w:t>
      </w:r>
      <w:r>
        <w:rPr>
          <w:rFonts w:hint="eastAsia" w:ascii="仿宋_GB2312" w:hAnsi="仿宋_GB2312" w:eastAsia="仿宋_GB2312" w:cs="仿宋_GB2312"/>
          <w:sz w:val="32"/>
          <w:szCs w:val="32"/>
        </w:rPr>
        <w:t>和乡村振兴办公室</w:t>
      </w:r>
      <w:r>
        <w:rPr>
          <w:rFonts w:hint="eastAsia" w:ascii="仿宋_GB2312" w:hAnsi="仿宋_GB2312" w:eastAsia="仿宋_GB2312" w:cs="仿宋_GB2312"/>
          <w:sz w:val="32"/>
          <w:szCs w:val="32"/>
          <w:lang w:val="zh-CN"/>
        </w:rPr>
        <w:t>、社会事</w:t>
      </w:r>
      <w:r>
        <w:rPr>
          <w:rFonts w:hint="eastAsia" w:ascii="仿宋_GB2312" w:hAnsi="仿宋_GB2312" w:eastAsia="仿宋_GB2312" w:cs="仿宋_GB2312"/>
          <w:sz w:val="32"/>
          <w:szCs w:val="32"/>
        </w:rPr>
        <w:t>务办公室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生态环境和应急管理办公室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财经审查工作办公室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便民服务中心、经济发展服务中心、农业农村服务中心、综合文化服务中心</w:t>
      </w:r>
      <w:r>
        <w:rPr>
          <w:rFonts w:hint="eastAsia" w:ascii="仿宋_GB2312" w:hAnsi="仿宋_GB2312" w:eastAsia="仿宋_GB2312" w:cs="仿宋_GB2312"/>
          <w:sz w:val="32"/>
          <w:szCs w:val="32"/>
          <w:lang w:val="zh-CN"/>
        </w:rPr>
        <w:t>。</w:t>
      </w:r>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（二）机构职能</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spacing w:line="576" w:lineRule="atLeast"/>
        <w:ind w:firstLine="640" w:firstLineChars="200"/>
        <w:rPr>
          <w:rFonts w:ascii="楷体" w:hAnsi="楷体" w:eastAsia="楷体"/>
          <w:sz w:val="32"/>
          <w:szCs w:val="32"/>
        </w:rPr>
      </w:pPr>
      <w:r>
        <w:rPr>
          <w:rFonts w:hint="eastAsia" w:ascii="楷体" w:hAnsi="楷体" w:eastAsia="楷体" w:cs="楷体"/>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黑虎镇总编制47名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行政编制25名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其中行政工勤编制3名，事业编制19名。现有在职人员35人，（其中公务员23人，机关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3人，事业人员9人）；退休人员7人（行政退休6人，事业退休1人）；遗属2人。</w:t>
      </w:r>
    </w:p>
    <w:p>
      <w:pPr>
        <w:pStyle w:val="6"/>
        <w:keepNext w:val="0"/>
        <w:keepLines w:val="0"/>
        <w:spacing w:before="0" w:after="0" w:line="576" w:lineRule="atLeast"/>
        <w:ind w:firstLine="640" w:firstLineChars="200"/>
        <w:rPr>
          <w:rFonts w:ascii="仿宋" w:hAnsi="仿宋" w:eastAsia="仿宋"/>
          <w:b w:val="0"/>
          <w:bCs w:val="0"/>
          <w:color w:val="000000"/>
        </w:rPr>
      </w:pPr>
      <w:bookmarkStart w:id="122" w:name="_Toc28767"/>
      <w:r>
        <w:rPr>
          <w:rFonts w:hint="eastAsia" w:ascii="黑体" w:hAnsi="黑体" w:eastAsia="黑体" w:cs="黑体"/>
          <w:b w:val="0"/>
          <w:bCs w:val="0"/>
        </w:rPr>
        <w:t>二、部门财政资金收支情况</w:t>
      </w:r>
      <w:bookmarkEnd w:id="122"/>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20年本部门财政拨款收入决算总额为1552.87万元，其中：当年财政拨款收入1552.87万元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为一般公共预算财政拨款收入1281.05万元，</w:t>
      </w:r>
      <w:r>
        <w:rPr>
          <w:rFonts w:hint="eastAsia" w:ascii="仿宋_GB2312" w:hAnsi="仿宋_GB2312" w:eastAsia="仿宋_GB2312" w:cs="仿宋_GB2312"/>
          <w:color w:val="000000"/>
          <w:sz w:val="32"/>
          <w:szCs w:val="32"/>
        </w:rPr>
        <w:t>政府性基金预算财政拨款收入271.82万元</w:t>
      </w:r>
      <w:r>
        <w:rPr>
          <w:rFonts w:hint="eastAsia" w:ascii="仿宋_GB2312" w:hAnsi="仿宋_GB2312" w:eastAsia="仿宋_GB2312" w:cs="仿宋_GB2312"/>
          <w:sz w:val="32"/>
          <w:szCs w:val="32"/>
        </w:rPr>
        <w:t>。</w:t>
      </w:r>
    </w:p>
    <w:p>
      <w:pPr>
        <w:numPr>
          <w:ilvl w:val="0"/>
          <w:numId w:val="4"/>
        </w:num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部门财政资金支出情况</w:t>
      </w:r>
    </w:p>
    <w:p>
      <w:pPr>
        <w:spacing w:line="600" w:lineRule="exact"/>
        <w:ind w:firstLine="640"/>
        <w:rPr>
          <w:rFonts w:ascii="仿宋" w:hAnsi="仿宋" w:eastAsia="仿宋_GB2312"/>
          <w:b/>
          <w:color w:val="000000"/>
          <w:sz w:val="32"/>
          <w:szCs w:val="32"/>
        </w:rPr>
      </w:pPr>
      <w:r>
        <w:rPr>
          <w:rFonts w:hint="eastAsia" w:ascii="仿宋_GB2312" w:hAnsi="仿宋_GB2312" w:eastAsia="仿宋_GB2312" w:cs="仿宋_GB2312"/>
          <w:color w:val="000000"/>
          <w:sz w:val="32"/>
          <w:szCs w:val="32"/>
        </w:rPr>
        <w:t>茂县黑虎镇人民政府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年一般公共预算财政拨款支出1275.75万元，主要用于以下方面</w:t>
      </w:r>
      <w:r>
        <w:rPr>
          <w:rFonts w:ascii="仿宋" w:hAnsi="仿宋" w:eastAsia="仿宋"/>
          <w:color w:val="000000"/>
          <w:sz w:val="32"/>
          <w:szCs w:val="32"/>
        </w:rPr>
        <w:t>:</w:t>
      </w:r>
      <w:r>
        <w:rPr>
          <w:rFonts w:hint="eastAsia" w:ascii="仿宋_GB2312" w:hAnsi="仿宋_GB2312" w:eastAsia="仿宋_GB2312" w:cs="仿宋_GB2312"/>
          <w:color w:val="000000"/>
          <w:sz w:val="32"/>
          <w:szCs w:val="32"/>
        </w:rPr>
        <w:t>一般公共服务支出（类）358.16万元，占本年支出合计的28.07%；国防支出（类）8万元，占本年支出合计的0.63%；社会保障和就业支出（类）66.56万元，占本年支出合计的5.22%；卫生健康支出（类）36.20万元，占本年支出合计的2.84%；农林水支出（类）503.44万元，占本年支出合计的39.46%；住房保障支出（类）49.56万元，占本年支出合计的3.88%；其他支出（类）248.89万元，占本年支出合计</w:t>
      </w:r>
      <w:r>
        <w:rPr>
          <w:rFonts w:hint="eastAsia" w:ascii="仿宋_GB2312" w:hAnsi="仿宋_GB2312" w:eastAsia="仿宋_GB2312" w:cs="仿宋_GB2312"/>
          <w:sz w:val="32"/>
          <w:szCs w:val="32"/>
        </w:rPr>
        <w:t>的19.51%。抗疫特别国债安排的支出（类）4.94</w:t>
      </w:r>
      <w:r>
        <w:rPr>
          <w:rFonts w:hint="eastAsia" w:ascii="仿宋_GB2312" w:hAnsi="仿宋_GB2312" w:eastAsia="仿宋_GB2312" w:cs="仿宋_GB2312"/>
          <w:color w:val="000000"/>
          <w:sz w:val="32"/>
          <w:szCs w:val="32"/>
        </w:rPr>
        <w:t>万元，占本年支出合计</w:t>
      </w:r>
      <w:r>
        <w:rPr>
          <w:rFonts w:hint="eastAsia" w:ascii="仿宋_GB2312" w:hAnsi="仿宋_GB2312" w:eastAsia="仿宋_GB2312" w:cs="仿宋_GB2312"/>
          <w:sz w:val="32"/>
          <w:szCs w:val="32"/>
        </w:rPr>
        <w:t>的0.39%</w:t>
      </w:r>
    </w:p>
    <w:p>
      <w:pPr>
        <w:pStyle w:val="6"/>
        <w:keepNext w:val="0"/>
        <w:keepLines w:val="0"/>
        <w:spacing w:before="0" w:after="0" w:line="576" w:lineRule="atLeast"/>
        <w:ind w:firstLine="640" w:firstLineChars="200"/>
        <w:rPr>
          <w:rFonts w:ascii="黑体" w:hAnsi="黑体" w:eastAsia="黑体"/>
          <w:b w:val="0"/>
          <w:bCs w:val="0"/>
        </w:rPr>
      </w:pPr>
      <w:bookmarkStart w:id="123" w:name="_Toc30988"/>
      <w:r>
        <w:rPr>
          <w:rFonts w:hint="eastAsia" w:ascii="黑体" w:hAnsi="黑体" w:eastAsia="黑体" w:cs="黑体"/>
          <w:b w:val="0"/>
          <w:bCs w:val="0"/>
        </w:rPr>
        <w:t>三、部门整体预算绩效管理情况</w:t>
      </w:r>
      <w:bookmarkEnd w:id="123"/>
    </w:p>
    <w:p>
      <w:pPr>
        <w:adjustRightInd w:val="0"/>
        <w:snapToGrid w:val="0"/>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rPr>
        <w:t>20年部门支出进行预算，支出合计</w:t>
      </w:r>
      <w:r>
        <w:rPr>
          <w:rFonts w:hint="eastAsia" w:ascii="仿宋_GB2312" w:hAnsi="仿宋_GB2312" w:eastAsia="仿宋_GB2312" w:cs="仿宋_GB2312"/>
          <w:sz w:val="32"/>
          <w:szCs w:val="32"/>
          <w:shd w:val="clear" w:color="auto" w:fill="FFFFFF"/>
        </w:rPr>
        <w:t>1275.75万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基本支出591.74万元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）工资福利性支出：521.02万元。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）商品和服务支出37.3万元，其中：公务接待费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万元；公务用车运行维护费4.56万元。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）对个人和家庭的补助支出：33.42万元。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项目支出684.01万元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）商品和服务支出547.82万元，</w:t>
      </w:r>
      <w:r>
        <w:rPr>
          <w:rFonts w:hint="eastAsia" w:ascii="仿宋_GB2312" w:hAnsi="仿宋_GB2312" w:eastAsia="仿宋_GB2312" w:cs="仿宋_GB2312"/>
          <w:kern w:val="0"/>
          <w:sz w:val="32"/>
          <w:szCs w:val="32"/>
          <w:shd w:val="clear" w:color="auto" w:fill="FFFFFF"/>
        </w:rPr>
        <w:t>其中办公</w:t>
      </w:r>
      <w:r>
        <w:rPr>
          <w:rFonts w:hint="eastAsia" w:ascii="仿宋_GB2312" w:hAnsi="仿宋_GB2312" w:eastAsia="仿宋_GB2312" w:cs="仿宋_GB2312"/>
          <w:color w:val="000000"/>
          <w:kern w:val="0"/>
          <w:sz w:val="32"/>
          <w:szCs w:val="32"/>
          <w:shd w:val="clear" w:color="auto" w:fill="FFFFFF"/>
        </w:rPr>
        <w:t>费33.77万元,印刷费0.02万元，维护费280.53万元，租赁费115.35万元，劳务费115.63万元，公务用车运行维护费2.52万元。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（2）对个人和家庭的补助57.85万元，主要用于村干部生活补助。</w:t>
      </w:r>
    </w:p>
    <w:p>
      <w:pPr>
        <w:pStyle w:val="6"/>
        <w:keepNext w:val="0"/>
        <w:keepLines w:val="0"/>
        <w:spacing w:before="0" w:after="0" w:line="576" w:lineRule="atLeast"/>
        <w:ind w:firstLine="640" w:firstLineChars="200"/>
        <w:rPr>
          <w:rFonts w:ascii="楷体_GB2312" w:hAnsi="楷体_GB2312" w:eastAsia="楷体_GB2312" w:cs="楷体_GB2312"/>
        </w:rPr>
      </w:pPr>
      <w:bookmarkStart w:id="124" w:name="_Toc13916"/>
      <w:r>
        <w:rPr>
          <w:rFonts w:hint="eastAsia" w:ascii="楷体_GB2312" w:hAnsi="楷体_GB2312" w:eastAsia="楷体_GB2312" w:cs="楷体_GB2312"/>
          <w:b w:val="0"/>
          <w:bCs w:val="0"/>
        </w:rPr>
        <w:t>（二）专项预算管理</w:t>
      </w:r>
      <w:bookmarkEnd w:id="124"/>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20年，黑虎镇人民政府无专项预算。</w:t>
      </w:r>
    </w:p>
    <w:p>
      <w:pPr>
        <w:pStyle w:val="6"/>
        <w:keepNext w:val="0"/>
        <w:keepLines w:val="0"/>
        <w:spacing w:before="0" w:after="0" w:line="576" w:lineRule="atLeast"/>
        <w:ind w:firstLine="640" w:firstLineChars="200"/>
        <w:rPr>
          <w:rFonts w:ascii="仿宋" w:hAnsi="仿宋" w:eastAsia="楷体_GB2312"/>
        </w:rPr>
      </w:pPr>
      <w:bookmarkStart w:id="125" w:name="_Toc7894"/>
      <w:r>
        <w:rPr>
          <w:rFonts w:hint="eastAsia" w:ascii="楷体_GB2312" w:hAnsi="楷体_GB2312" w:eastAsia="楷体_GB2312" w:cs="楷体_GB2312"/>
          <w:b w:val="0"/>
          <w:bCs w:val="0"/>
        </w:rPr>
        <w:t>（三）结果应用情况</w:t>
      </w:r>
      <w:bookmarkEnd w:id="125"/>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6"/>
        <w:keepNext w:val="0"/>
        <w:keepLines w:val="0"/>
        <w:spacing w:before="0" w:after="0" w:line="576" w:lineRule="atLeast"/>
        <w:ind w:firstLine="640" w:firstLineChars="200"/>
        <w:rPr>
          <w:rFonts w:ascii="黑体" w:hAnsi="黑体" w:eastAsia="黑体"/>
          <w:b w:val="0"/>
          <w:bCs w:val="0"/>
        </w:rPr>
      </w:pPr>
      <w:bookmarkStart w:id="126" w:name="_Toc20693"/>
      <w:r>
        <w:rPr>
          <w:rFonts w:hint="eastAsia" w:ascii="黑体" w:hAnsi="黑体" w:eastAsia="黑体" w:cs="黑体"/>
          <w:b w:val="0"/>
          <w:bCs w:val="0"/>
        </w:rPr>
        <w:t>四、评价结论及建议</w:t>
      </w:r>
      <w:bookmarkEnd w:id="126"/>
    </w:p>
    <w:p>
      <w:pPr>
        <w:pStyle w:val="6"/>
        <w:keepNext w:val="0"/>
        <w:keepLines w:val="0"/>
        <w:spacing w:before="0" w:after="0" w:line="576" w:lineRule="atLeast"/>
        <w:ind w:firstLine="640" w:firstLineChars="200"/>
        <w:rPr>
          <w:rStyle w:val="25"/>
          <w:rFonts w:ascii="楷体_GB2312" w:hAnsi="楷体_GB2312" w:eastAsia="楷体_GB2312" w:cs="楷体_GB2312"/>
          <w:b w:val="0"/>
          <w:bCs w:val="0"/>
        </w:rPr>
      </w:pPr>
      <w:bookmarkStart w:id="127" w:name="_Toc21118"/>
      <w:r>
        <w:rPr>
          <w:rFonts w:hint="eastAsia" w:ascii="楷体_GB2312" w:hAnsi="楷体_GB2312" w:eastAsia="楷体_GB2312" w:cs="楷体_GB2312"/>
          <w:b w:val="0"/>
          <w:bCs w:val="0"/>
        </w:rPr>
        <w:t>（一）评价结论</w:t>
      </w:r>
      <w:bookmarkEnd w:id="127"/>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2020年我单位部门整体支出绩效评价自查自评结果良好，全年基本支出保证了部门的正常运行和日常工作的正常开展，项目支出保障了重点工作的开展，达到预期绩效目标。</w:t>
      </w:r>
    </w:p>
    <w:p>
      <w:pPr>
        <w:pStyle w:val="6"/>
        <w:keepNext w:val="0"/>
        <w:keepLines w:val="0"/>
        <w:spacing w:before="0" w:after="0" w:line="576" w:lineRule="atLeast"/>
        <w:ind w:firstLine="640" w:firstLineChars="200"/>
        <w:rPr>
          <w:rFonts w:ascii="仿宋_GB2312" w:hAnsi="仿宋_GB2312" w:eastAsia="仿宋_GB2312" w:cs="仿宋_GB2312"/>
          <w:b w:val="0"/>
          <w:bCs w:val="0"/>
          <w:color w:val="000000"/>
          <w:kern w:val="0"/>
        </w:rPr>
      </w:pPr>
      <w:bookmarkStart w:id="128" w:name="_Toc14527"/>
      <w:r>
        <w:rPr>
          <w:rFonts w:hint="eastAsia" w:ascii="仿宋_GB2312" w:hAnsi="仿宋_GB2312" w:eastAsia="仿宋_GB2312" w:cs="仿宋_GB2312"/>
          <w:b w:val="0"/>
          <w:bCs w:val="0"/>
          <w:color w:val="000000"/>
          <w:kern w:val="0"/>
        </w:rPr>
        <w:t>按照《茂县财政局关于开展2020年财政支出绩效评价工作的通知》（茂财发</w:t>
      </w:r>
      <w:r>
        <w:rPr>
          <w:rFonts w:ascii="仿宋_GB2312" w:hAnsi="仿宋_GB2312" w:eastAsia="仿宋_GB2312" w:cs="仿宋_GB2312"/>
          <w:b w:val="0"/>
          <w:bCs w:val="0"/>
          <w:color w:val="000000"/>
          <w:kern w:val="0"/>
        </w:rPr>
        <w:t>[20</w:t>
      </w:r>
      <w:r>
        <w:rPr>
          <w:rFonts w:hint="eastAsia" w:ascii="仿宋_GB2312" w:hAnsi="仿宋_GB2312" w:eastAsia="仿宋_GB2312" w:cs="仿宋_GB2312"/>
          <w:b w:val="0"/>
          <w:bCs w:val="0"/>
          <w:color w:val="000000"/>
          <w:kern w:val="0"/>
        </w:rPr>
        <w:t>20</w:t>
      </w:r>
      <w:r>
        <w:rPr>
          <w:rFonts w:ascii="仿宋_GB2312" w:hAnsi="仿宋_GB2312" w:eastAsia="仿宋_GB2312" w:cs="仿宋_GB2312"/>
          <w:b w:val="0"/>
          <w:bCs w:val="0"/>
          <w:color w:val="000000"/>
          <w:kern w:val="0"/>
        </w:rPr>
        <w:t>]</w:t>
      </w:r>
      <w:r>
        <w:rPr>
          <w:rFonts w:hint="eastAsia" w:ascii="仿宋_GB2312" w:hAnsi="仿宋_GB2312" w:eastAsia="仿宋_GB2312" w:cs="仿宋_GB2312"/>
          <w:b w:val="0"/>
          <w:bCs w:val="0"/>
          <w:color w:val="000000"/>
          <w:kern w:val="0"/>
        </w:rPr>
        <w:t>62号）2020年黑虎镇人民部门整体支出绩效评价指标体系自评得分81分。</w:t>
      </w:r>
      <w:bookmarkEnd w:id="128"/>
    </w:p>
    <w:p>
      <w:pPr>
        <w:pStyle w:val="6"/>
        <w:keepNext w:val="0"/>
        <w:keepLines w:val="0"/>
        <w:spacing w:before="0" w:after="0" w:line="576" w:lineRule="atLeast"/>
        <w:ind w:firstLine="640" w:firstLineChars="200"/>
        <w:rPr>
          <w:rStyle w:val="25"/>
          <w:rFonts w:ascii="楷体_GB2312" w:hAnsi="楷体_GB2312" w:eastAsia="楷体_GB2312" w:cs="楷体_GB2312"/>
          <w:b w:val="0"/>
          <w:bCs w:val="0"/>
        </w:rPr>
      </w:pPr>
      <w:bookmarkStart w:id="129" w:name="_Toc28090"/>
      <w:r>
        <w:rPr>
          <w:rFonts w:hint="eastAsia" w:ascii="楷体_GB2312" w:hAnsi="楷体_GB2312" w:eastAsia="楷体_GB2312" w:cs="楷体_GB2312"/>
          <w:b w:val="0"/>
          <w:bCs w:val="0"/>
        </w:rPr>
        <w:t>（二）存在问题</w:t>
      </w:r>
      <w:bookmarkEnd w:id="129"/>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6"/>
        <w:keepNext w:val="0"/>
        <w:keepLines w:val="0"/>
        <w:spacing w:before="0" w:after="0" w:line="576" w:lineRule="atLeast"/>
        <w:ind w:firstLine="640" w:firstLineChars="200"/>
        <w:rPr>
          <w:rFonts w:ascii="楷体_GB2312" w:hAnsi="楷体_GB2312" w:eastAsia="楷体_GB2312" w:cs="楷体_GB2312"/>
          <w:b w:val="0"/>
          <w:bCs w:val="0"/>
        </w:rPr>
      </w:pPr>
      <w:bookmarkStart w:id="130" w:name="_Toc23361"/>
      <w:r>
        <w:rPr>
          <w:rFonts w:hint="eastAsia" w:ascii="楷体_GB2312" w:hAnsi="楷体_GB2312" w:eastAsia="楷体_GB2312" w:cs="楷体_GB2312"/>
          <w:b w:val="0"/>
          <w:bCs w:val="0"/>
        </w:rPr>
        <w:t>（三）改进建议</w:t>
      </w:r>
      <w:bookmarkEnd w:id="130"/>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131" w:name="_Toc15396618"/>
      <w:bookmarkStart w:id="132" w:name="_Toc25141"/>
      <w:bookmarkStart w:id="133" w:name="_Toc79163635"/>
      <w:r>
        <w:rPr>
          <w:rFonts w:hint="eastAsia" w:ascii="黑体" w:hAnsi="黑体" w:eastAsia="黑体"/>
          <w:color w:val="000000"/>
          <w:sz w:val="44"/>
          <w:szCs w:val="44"/>
        </w:rPr>
        <w:t>第</w:t>
      </w:r>
      <w:r>
        <w:rPr>
          <w:rStyle w:val="24"/>
          <w:rFonts w:hint="eastAsia" w:ascii="黑体" w:hAnsi="黑体" w:eastAsia="黑体"/>
          <w:b w:val="0"/>
        </w:rPr>
        <w:t>五部分附表</w:t>
      </w:r>
      <w:bookmarkEnd w:id="112"/>
      <w:bookmarkEnd w:id="131"/>
      <w:bookmarkEnd w:id="132"/>
      <w:bookmarkEnd w:id="133"/>
    </w:p>
    <w:p>
      <w:pPr>
        <w:pStyle w:val="6"/>
        <w:rPr>
          <w:rFonts w:ascii="仿宋" w:hAnsi="仿宋" w:eastAsia="仿宋"/>
          <w:color w:val="000000"/>
        </w:rPr>
      </w:pPr>
      <w:bookmarkStart w:id="134" w:name="_Toc79163636"/>
      <w:bookmarkStart w:id="135" w:name="_Toc15396619"/>
      <w:bookmarkStart w:id="136" w:name="_Toc16373"/>
      <w:r>
        <w:rPr>
          <w:rFonts w:hint="eastAsia" w:ascii="仿宋" w:hAnsi="仿宋" w:eastAsia="仿宋"/>
          <w:b w:val="0"/>
          <w:color w:val="000000"/>
        </w:rPr>
        <w:t>一、收</w:t>
      </w:r>
      <w:r>
        <w:rPr>
          <w:rStyle w:val="25"/>
          <w:rFonts w:hint="eastAsia" w:ascii="仿宋" w:hAnsi="仿宋" w:eastAsia="仿宋"/>
          <w:b w:val="0"/>
          <w:bCs w:val="0"/>
        </w:rPr>
        <w:t>入支出决算总表</w:t>
      </w:r>
      <w:bookmarkEnd w:id="134"/>
      <w:bookmarkEnd w:id="135"/>
      <w:bookmarkEnd w:id="136"/>
    </w:p>
    <w:p>
      <w:pPr>
        <w:pStyle w:val="6"/>
        <w:rPr>
          <w:rFonts w:ascii="仿宋" w:hAnsi="仿宋" w:eastAsia="仿宋"/>
          <w:color w:val="000000"/>
        </w:rPr>
      </w:pPr>
      <w:bookmarkStart w:id="137" w:name="_Toc15396620"/>
      <w:bookmarkStart w:id="138" w:name="_Toc79163637"/>
      <w:bookmarkStart w:id="139" w:name="_Toc27470"/>
      <w:r>
        <w:rPr>
          <w:rFonts w:hint="eastAsia" w:ascii="仿宋" w:hAnsi="仿宋" w:eastAsia="仿宋"/>
          <w:b w:val="0"/>
          <w:color w:val="000000"/>
        </w:rPr>
        <w:t>二、收</w:t>
      </w:r>
      <w:r>
        <w:rPr>
          <w:rStyle w:val="25"/>
          <w:rFonts w:hint="eastAsia" w:ascii="仿宋" w:hAnsi="仿宋" w:eastAsia="仿宋"/>
          <w:b w:val="0"/>
          <w:bCs w:val="0"/>
        </w:rPr>
        <w:t>入决算表</w:t>
      </w:r>
      <w:bookmarkEnd w:id="137"/>
      <w:bookmarkEnd w:id="138"/>
      <w:bookmarkEnd w:id="139"/>
    </w:p>
    <w:p>
      <w:pPr>
        <w:pStyle w:val="6"/>
        <w:rPr>
          <w:rFonts w:ascii="仿宋" w:hAnsi="仿宋" w:eastAsia="仿宋"/>
          <w:color w:val="000000"/>
        </w:rPr>
      </w:pPr>
      <w:bookmarkStart w:id="140" w:name="_Toc15396621"/>
      <w:bookmarkStart w:id="141" w:name="_Toc79163638"/>
      <w:bookmarkStart w:id="142" w:name="_Toc157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40"/>
      <w:bookmarkEnd w:id="141"/>
      <w:bookmarkEnd w:id="142"/>
    </w:p>
    <w:p>
      <w:pPr>
        <w:pStyle w:val="6"/>
        <w:rPr>
          <w:rFonts w:ascii="仿宋" w:hAnsi="仿宋" w:eastAsia="仿宋"/>
          <w:b w:val="0"/>
          <w:color w:val="000000"/>
        </w:rPr>
      </w:pPr>
      <w:bookmarkStart w:id="143" w:name="_Toc79163639"/>
      <w:bookmarkStart w:id="144" w:name="_Toc24311"/>
      <w:bookmarkStart w:id="145"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43"/>
      <w:bookmarkEnd w:id="144"/>
      <w:bookmarkEnd w:id="145"/>
    </w:p>
    <w:p>
      <w:pPr>
        <w:pStyle w:val="6"/>
        <w:rPr>
          <w:rStyle w:val="25"/>
          <w:rFonts w:ascii="仿宋" w:hAnsi="仿宋" w:eastAsia="仿宋"/>
          <w:b w:val="0"/>
          <w:bCs w:val="0"/>
        </w:rPr>
      </w:pPr>
      <w:bookmarkStart w:id="146" w:name="_Toc79163640"/>
      <w:bookmarkStart w:id="147" w:name="_Toc15396623"/>
      <w:bookmarkStart w:id="148" w:name="_Toc6324"/>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46"/>
      <w:bookmarkEnd w:id="147"/>
      <w:bookmarkEnd w:id="148"/>
      <w:bookmarkStart w:id="149" w:name="_Toc15396624"/>
    </w:p>
    <w:p>
      <w:pPr>
        <w:pStyle w:val="6"/>
        <w:rPr>
          <w:rFonts w:ascii="仿宋" w:hAnsi="仿宋" w:eastAsia="仿宋"/>
          <w:color w:val="000000"/>
        </w:rPr>
      </w:pPr>
      <w:bookmarkStart w:id="150" w:name="_Toc7746"/>
      <w:bookmarkStart w:id="151"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49"/>
      <w:bookmarkEnd w:id="150"/>
      <w:bookmarkEnd w:id="151"/>
    </w:p>
    <w:p>
      <w:pPr>
        <w:pStyle w:val="6"/>
        <w:rPr>
          <w:rFonts w:ascii="仿宋" w:hAnsi="仿宋" w:eastAsia="仿宋"/>
          <w:color w:val="000000"/>
        </w:rPr>
      </w:pPr>
      <w:bookmarkStart w:id="152" w:name="_Toc79163642"/>
      <w:bookmarkStart w:id="153" w:name="_Toc15396625"/>
      <w:bookmarkStart w:id="154" w:name="_Toc1407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52"/>
      <w:bookmarkEnd w:id="153"/>
      <w:bookmarkEnd w:id="154"/>
    </w:p>
    <w:p>
      <w:pPr>
        <w:pStyle w:val="6"/>
        <w:rPr>
          <w:rFonts w:ascii="仿宋" w:hAnsi="仿宋" w:eastAsia="仿宋"/>
          <w:color w:val="000000"/>
        </w:rPr>
      </w:pPr>
      <w:bookmarkStart w:id="155" w:name="_Toc79163643"/>
      <w:bookmarkStart w:id="156" w:name="_Toc27552"/>
      <w:bookmarkStart w:id="15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55"/>
      <w:bookmarkEnd w:id="156"/>
      <w:bookmarkEnd w:id="157"/>
    </w:p>
    <w:p>
      <w:pPr>
        <w:pStyle w:val="6"/>
        <w:rPr>
          <w:rFonts w:ascii="仿宋" w:hAnsi="仿宋" w:eastAsia="仿宋"/>
          <w:color w:val="000000"/>
        </w:rPr>
      </w:pPr>
      <w:bookmarkStart w:id="158" w:name="_Toc15396627"/>
      <w:bookmarkStart w:id="159" w:name="_Toc8315"/>
      <w:bookmarkStart w:id="160" w:name="_Toc7916364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58"/>
      <w:bookmarkEnd w:id="159"/>
      <w:bookmarkEnd w:id="160"/>
    </w:p>
    <w:p>
      <w:pPr>
        <w:pStyle w:val="6"/>
        <w:rPr>
          <w:rFonts w:ascii="仿宋" w:hAnsi="仿宋" w:eastAsia="仿宋"/>
          <w:color w:val="000000"/>
        </w:rPr>
      </w:pPr>
      <w:bookmarkStart w:id="161" w:name="_Toc79163645"/>
      <w:bookmarkStart w:id="162" w:name="_Toc15396628"/>
      <w:bookmarkStart w:id="163" w:name="_Toc23523"/>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61"/>
      <w:bookmarkEnd w:id="162"/>
      <w:bookmarkEnd w:id="163"/>
    </w:p>
    <w:p>
      <w:pPr>
        <w:pStyle w:val="6"/>
        <w:rPr>
          <w:rFonts w:ascii="仿宋" w:hAnsi="仿宋" w:eastAsia="仿宋"/>
          <w:color w:val="000000"/>
        </w:rPr>
      </w:pPr>
      <w:bookmarkStart w:id="164" w:name="_Toc79163646"/>
      <w:bookmarkStart w:id="165" w:name="_Toc25708"/>
      <w:bookmarkStart w:id="166"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64"/>
      <w:bookmarkEnd w:id="165"/>
      <w:bookmarkEnd w:id="166"/>
    </w:p>
    <w:p>
      <w:pPr>
        <w:pStyle w:val="6"/>
        <w:rPr>
          <w:rFonts w:ascii="仿宋" w:hAnsi="仿宋" w:eastAsia="仿宋"/>
          <w:color w:val="000000"/>
        </w:rPr>
      </w:pPr>
      <w:bookmarkStart w:id="167" w:name="_Toc15396630"/>
      <w:bookmarkStart w:id="168" w:name="_Toc79163647"/>
      <w:bookmarkStart w:id="169" w:name="_Toc12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67"/>
      <w:bookmarkEnd w:id="168"/>
      <w:bookmarkEnd w:id="169"/>
    </w:p>
    <w:p>
      <w:pPr>
        <w:pStyle w:val="6"/>
        <w:rPr>
          <w:rStyle w:val="25"/>
          <w:rFonts w:ascii="仿宋" w:hAnsi="仿宋" w:eastAsia="仿宋"/>
          <w:b w:val="0"/>
          <w:bCs w:val="0"/>
        </w:rPr>
      </w:pPr>
      <w:bookmarkStart w:id="170" w:name="_Toc6510"/>
      <w:bookmarkStart w:id="171" w:name="_Toc15396631"/>
      <w:bookmarkStart w:id="172"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70"/>
      <w:bookmarkEnd w:id="171"/>
      <w:bookmarkEnd w:id="172"/>
    </w:p>
    <w:p>
      <w:pPr>
        <w:pStyle w:val="6"/>
        <w:rPr>
          <w:rStyle w:val="25"/>
          <w:rFonts w:ascii="仿宋" w:hAnsi="仿宋" w:eastAsia="仿宋"/>
          <w:b w:val="0"/>
          <w:bCs w:val="0"/>
        </w:rPr>
      </w:pPr>
      <w:bookmarkStart w:id="173" w:name="_Toc79163649"/>
      <w:bookmarkStart w:id="174" w:name="_Toc7325"/>
      <w:r>
        <w:rPr>
          <w:rStyle w:val="25"/>
          <w:rFonts w:hint="eastAsia" w:ascii="仿宋" w:hAnsi="仿宋" w:eastAsia="仿宋"/>
          <w:b w:val="0"/>
          <w:bCs w:val="0"/>
        </w:rPr>
        <w:t>十四、国有资本经营预算财政拨款支出决算表</w:t>
      </w:r>
      <w:bookmarkEnd w:id="173"/>
      <w:bookmarkEnd w:id="1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9</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B5C9670"/>
    <w:multiLevelType w:val="singleLevel"/>
    <w:tmpl w:val="FB5C9670"/>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0703"/>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871DA"/>
    <w:rsid w:val="00391FB4"/>
    <w:rsid w:val="003A484F"/>
    <w:rsid w:val="003A4883"/>
    <w:rsid w:val="003B0BE0"/>
    <w:rsid w:val="003B0C1B"/>
    <w:rsid w:val="003B688C"/>
    <w:rsid w:val="003C0291"/>
    <w:rsid w:val="003C39AE"/>
    <w:rsid w:val="003C7B60"/>
    <w:rsid w:val="003C7D56"/>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751E7"/>
    <w:rsid w:val="00885AF4"/>
    <w:rsid w:val="00892977"/>
    <w:rsid w:val="008939CD"/>
    <w:rsid w:val="008B768C"/>
    <w:rsid w:val="008C193C"/>
    <w:rsid w:val="008C4DB1"/>
    <w:rsid w:val="008C4EAF"/>
    <w:rsid w:val="008C5176"/>
    <w:rsid w:val="008C69D4"/>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07EAB"/>
    <w:rsid w:val="00B10517"/>
    <w:rsid w:val="00B14E76"/>
    <w:rsid w:val="00B161B8"/>
    <w:rsid w:val="00B2048C"/>
    <w:rsid w:val="00B310B9"/>
    <w:rsid w:val="00B35F3F"/>
    <w:rsid w:val="00B36CBB"/>
    <w:rsid w:val="00B425E0"/>
    <w:rsid w:val="00B440AA"/>
    <w:rsid w:val="00B44B70"/>
    <w:rsid w:val="00B469CE"/>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387A"/>
    <w:rsid w:val="00E568DF"/>
    <w:rsid w:val="00E64269"/>
    <w:rsid w:val="00E70975"/>
    <w:rsid w:val="00E82267"/>
    <w:rsid w:val="00E853CE"/>
    <w:rsid w:val="00E867B6"/>
    <w:rsid w:val="00EA010F"/>
    <w:rsid w:val="00EB3C3C"/>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622092"/>
    <w:rsid w:val="025C0A3C"/>
    <w:rsid w:val="02B91A59"/>
    <w:rsid w:val="02FC5CAA"/>
    <w:rsid w:val="036E4268"/>
    <w:rsid w:val="04622E94"/>
    <w:rsid w:val="05303881"/>
    <w:rsid w:val="05FD765F"/>
    <w:rsid w:val="061979DB"/>
    <w:rsid w:val="06BB57D5"/>
    <w:rsid w:val="06F20D56"/>
    <w:rsid w:val="075B00B8"/>
    <w:rsid w:val="076161AA"/>
    <w:rsid w:val="07AA6C24"/>
    <w:rsid w:val="083070AF"/>
    <w:rsid w:val="08470941"/>
    <w:rsid w:val="08A03135"/>
    <w:rsid w:val="08EE7AF1"/>
    <w:rsid w:val="0A2032A3"/>
    <w:rsid w:val="0B002ABF"/>
    <w:rsid w:val="0B3037BF"/>
    <w:rsid w:val="0BAA15B5"/>
    <w:rsid w:val="0BD413F1"/>
    <w:rsid w:val="0C6A1FDE"/>
    <w:rsid w:val="0CAE157A"/>
    <w:rsid w:val="0D720B6F"/>
    <w:rsid w:val="0DD806BA"/>
    <w:rsid w:val="0DE2447C"/>
    <w:rsid w:val="0E0F7932"/>
    <w:rsid w:val="0E8136C4"/>
    <w:rsid w:val="0F59641D"/>
    <w:rsid w:val="109465BB"/>
    <w:rsid w:val="10C055FF"/>
    <w:rsid w:val="118107EC"/>
    <w:rsid w:val="12206FC1"/>
    <w:rsid w:val="1332774D"/>
    <w:rsid w:val="14A334C4"/>
    <w:rsid w:val="14D61C5B"/>
    <w:rsid w:val="16AA5993"/>
    <w:rsid w:val="16BB723D"/>
    <w:rsid w:val="16DD16DC"/>
    <w:rsid w:val="17144AAD"/>
    <w:rsid w:val="19F7450A"/>
    <w:rsid w:val="1C1A7F64"/>
    <w:rsid w:val="1C4E29E8"/>
    <w:rsid w:val="1D155CEE"/>
    <w:rsid w:val="1D5414D0"/>
    <w:rsid w:val="1D9E039B"/>
    <w:rsid w:val="1DA43E4C"/>
    <w:rsid w:val="1DEA1DD8"/>
    <w:rsid w:val="1E0E557A"/>
    <w:rsid w:val="1F090E4A"/>
    <w:rsid w:val="1F6A1C30"/>
    <w:rsid w:val="20893A25"/>
    <w:rsid w:val="216D7795"/>
    <w:rsid w:val="21962EEB"/>
    <w:rsid w:val="21C472B4"/>
    <w:rsid w:val="22082B6F"/>
    <w:rsid w:val="221570B3"/>
    <w:rsid w:val="240371BF"/>
    <w:rsid w:val="24357D46"/>
    <w:rsid w:val="252B7FD9"/>
    <w:rsid w:val="25785241"/>
    <w:rsid w:val="26A21068"/>
    <w:rsid w:val="27A44E74"/>
    <w:rsid w:val="28274600"/>
    <w:rsid w:val="29716F04"/>
    <w:rsid w:val="29FD04D3"/>
    <w:rsid w:val="2BC40C13"/>
    <w:rsid w:val="2BDA0248"/>
    <w:rsid w:val="2C057E6C"/>
    <w:rsid w:val="2C2E7051"/>
    <w:rsid w:val="2C4E4AF4"/>
    <w:rsid w:val="2CAF754D"/>
    <w:rsid w:val="2E850B7B"/>
    <w:rsid w:val="2F6D2D87"/>
    <w:rsid w:val="313E13D2"/>
    <w:rsid w:val="31483369"/>
    <w:rsid w:val="318C0682"/>
    <w:rsid w:val="319F7F4E"/>
    <w:rsid w:val="31AF01A5"/>
    <w:rsid w:val="31FB54DF"/>
    <w:rsid w:val="32E34D82"/>
    <w:rsid w:val="33366E23"/>
    <w:rsid w:val="350B13A4"/>
    <w:rsid w:val="35F111E7"/>
    <w:rsid w:val="3680669F"/>
    <w:rsid w:val="36EB6F34"/>
    <w:rsid w:val="36F755BD"/>
    <w:rsid w:val="3A881054"/>
    <w:rsid w:val="3B930643"/>
    <w:rsid w:val="3BF6758A"/>
    <w:rsid w:val="3C3C1E8B"/>
    <w:rsid w:val="3C4D0340"/>
    <w:rsid w:val="3DAF1CC4"/>
    <w:rsid w:val="3DB37A08"/>
    <w:rsid w:val="3E193D9C"/>
    <w:rsid w:val="3F18293D"/>
    <w:rsid w:val="3F7C610E"/>
    <w:rsid w:val="403E5B72"/>
    <w:rsid w:val="41104302"/>
    <w:rsid w:val="41530650"/>
    <w:rsid w:val="41994A92"/>
    <w:rsid w:val="419A72A4"/>
    <w:rsid w:val="41E66ACD"/>
    <w:rsid w:val="41F50C30"/>
    <w:rsid w:val="43766ED4"/>
    <w:rsid w:val="4378463C"/>
    <w:rsid w:val="442D2D69"/>
    <w:rsid w:val="4734022E"/>
    <w:rsid w:val="47C37AF2"/>
    <w:rsid w:val="48DD76F6"/>
    <w:rsid w:val="49CF7E4E"/>
    <w:rsid w:val="4B5C5851"/>
    <w:rsid w:val="4BF5729F"/>
    <w:rsid w:val="4C8E7F9F"/>
    <w:rsid w:val="4DA63AB8"/>
    <w:rsid w:val="4E6B4113"/>
    <w:rsid w:val="4ECE2238"/>
    <w:rsid w:val="4F0D2918"/>
    <w:rsid w:val="4F1E5FA0"/>
    <w:rsid w:val="4F2F722C"/>
    <w:rsid w:val="4F442824"/>
    <w:rsid w:val="4FB82EC1"/>
    <w:rsid w:val="503323E6"/>
    <w:rsid w:val="503D3E3A"/>
    <w:rsid w:val="50DF462D"/>
    <w:rsid w:val="52F03E0F"/>
    <w:rsid w:val="5374687B"/>
    <w:rsid w:val="53B46665"/>
    <w:rsid w:val="54FB046B"/>
    <w:rsid w:val="55BB1F0F"/>
    <w:rsid w:val="55EC4F8E"/>
    <w:rsid w:val="56000A76"/>
    <w:rsid w:val="56DB31A7"/>
    <w:rsid w:val="585712C6"/>
    <w:rsid w:val="59001B43"/>
    <w:rsid w:val="5A605A05"/>
    <w:rsid w:val="5A703646"/>
    <w:rsid w:val="5A745B84"/>
    <w:rsid w:val="5AD23DF0"/>
    <w:rsid w:val="5ADD7421"/>
    <w:rsid w:val="5BB06500"/>
    <w:rsid w:val="5CA439EA"/>
    <w:rsid w:val="602750A5"/>
    <w:rsid w:val="60564B5D"/>
    <w:rsid w:val="60CF5160"/>
    <w:rsid w:val="60F044D8"/>
    <w:rsid w:val="615A1435"/>
    <w:rsid w:val="61EA5A91"/>
    <w:rsid w:val="63137661"/>
    <w:rsid w:val="63D35C96"/>
    <w:rsid w:val="64A34C85"/>
    <w:rsid w:val="64F0000C"/>
    <w:rsid w:val="666A14A1"/>
    <w:rsid w:val="66CA49FC"/>
    <w:rsid w:val="67064E5C"/>
    <w:rsid w:val="67656EEA"/>
    <w:rsid w:val="67C74694"/>
    <w:rsid w:val="69086DB4"/>
    <w:rsid w:val="6AEE4636"/>
    <w:rsid w:val="6B012AC5"/>
    <w:rsid w:val="6B6B6B48"/>
    <w:rsid w:val="6C4A05C8"/>
    <w:rsid w:val="6CD56868"/>
    <w:rsid w:val="6D1E42F8"/>
    <w:rsid w:val="6DFF410E"/>
    <w:rsid w:val="70913D37"/>
    <w:rsid w:val="7125625B"/>
    <w:rsid w:val="715C34EA"/>
    <w:rsid w:val="719A5115"/>
    <w:rsid w:val="72734D90"/>
    <w:rsid w:val="72CF7F03"/>
    <w:rsid w:val="732F2811"/>
    <w:rsid w:val="7506131B"/>
    <w:rsid w:val="75217594"/>
    <w:rsid w:val="759629EF"/>
    <w:rsid w:val="75CA0129"/>
    <w:rsid w:val="762A5A23"/>
    <w:rsid w:val="77E46243"/>
    <w:rsid w:val="77FF8B84"/>
    <w:rsid w:val="78FE707C"/>
    <w:rsid w:val="79E815C7"/>
    <w:rsid w:val="79FB5FFD"/>
    <w:rsid w:val="7A4A2270"/>
    <w:rsid w:val="7C257AA7"/>
    <w:rsid w:val="7DCB2C4B"/>
    <w:rsid w:val="7E2933DB"/>
    <w:rsid w:val="7F9D13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spacing w:before="100" w:beforeAutospacing="1"/>
      <w:ind w:firstLine="420" w:firstLineChars="100"/>
    </w:pPr>
    <w:rPr>
      <w:rFonts w:ascii="Times New Roman" w:eastAsia="楷体_GB2312"/>
    </w:rPr>
  </w:style>
  <w:style w:type="paragraph" w:styleId="3">
    <w:name w:val="Body Text"/>
    <w:basedOn w:val="1"/>
    <w:next w:val="4"/>
    <w:link w:val="33"/>
    <w:qFormat/>
    <w:uiPriority w:val="99"/>
    <w:pPr>
      <w:spacing w:beforeLines="30"/>
    </w:pPr>
    <w:rPr>
      <w:rFonts w:ascii="仿宋_GB2312" w:eastAsia="仿宋_GB2312"/>
      <w:kern w:val="0"/>
      <w:sz w:val="24"/>
      <w:szCs w:val="20"/>
      <w:lang w:val="zh-CN"/>
    </w:rPr>
  </w:style>
  <w:style w:type="paragraph" w:styleId="4">
    <w:name w:val="Body Text First Indent"/>
    <w:basedOn w:val="3"/>
    <w:qFormat/>
    <w:uiPriority w:val="0"/>
    <w:pPr>
      <w:ind w:firstLine="420" w:firstLineChars="100"/>
    </w:pPr>
    <w:rPr>
      <w:sz w:val="20"/>
    </w:r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Char"/>
    <w:basedOn w:val="21"/>
    <w:link w:val="5"/>
    <w:qFormat/>
    <w:locked/>
    <w:uiPriority w:val="9"/>
    <w:rPr>
      <w:rFonts w:ascii="Times New Roman" w:hAnsi="Times New Roman" w:cs="Times New Roman"/>
      <w:b/>
      <w:bCs/>
      <w:kern w:val="44"/>
      <w:sz w:val="44"/>
      <w:szCs w:val="44"/>
    </w:rPr>
  </w:style>
  <w:style w:type="character" w:customStyle="1" w:styleId="25">
    <w:name w:val="标题 2 Char"/>
    <w:basedOn w:val="21"/>
    <w:link w:val="6"/>
    <w:qFormat/>
    <w:locked/>
    <w:uiPriority w:val="9"/>
    <w:rPr>
      <w:rFonts w:ascii="Cambria" w:hAnsi="Cambria" w:eastAsia="宋体" w:cs="Times New Roman"/>
      <w:b/>
      <w:bCs/>
      <w:kern w:val="2"/>
      <w:sz w:val="32"/>
      <w:szCs w:val="32"/>
    </w:rPr>
  </w:style>
  <w:style w:type="character" w:customStyle="1" w:styleId="26">
    <w:name w:val="标题 3 Char"/>
    <w:basedOn w:val="21"/>
    <w:link w:val="7"/>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Char"/>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Char"/>
    <w:link w:val="14"/>
    <w:semiHidden/>
    <w:qFormat/>
    <w:locked/>
    <w:uiPriority w:val="99"/>
    <w:rPr>
      <w:sz w:val="18"/>
    </w:rPr>
  </w:style>
  <w:style w:type="character" w:customStyle="1" w:styleId="32">
    <w:name w:val="页脚 Char"/>
    <w:link w:val="13"/>
    <w:qFormat/>
    <w:locked/>
    <w:uiPriority w:val="99"/>
    <w:rPr>
      <w:sz w:val="18"/>
    </w:rPr>
  </w:style>
  <w:style w:type="character" w:customStyle="1" w:styleId="33">
    <w:name w:val="正文文本 Char"/>
    <w:link w:val="3"/>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AppData\Local\Temp\wps.zKRXzS\Workbook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AppData\Local\Temp\wps.joHtTG\Workbook3.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AppData\Local\Temp\wps.JlhHcj\Workbook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AppData\Local\Temp\wps.zKRXzS\Workbook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AppData\Local\Temp\wps.ClsNnI\Workbook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Lenovo\Desktop\&#26032;&#24314;%20XLSX%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Lenovo\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875833333333333"/>
          <c:y val="0.132523148148148"/>
          <c:w val="0.873666666666667"/>
          <c:h val="0.70333333333333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[Workbook1.xlsx]Sheet1!$B$1:$C$1</c:f>
              <c:strCache>
                <c:ptCount val="2"/>
                <c:pt idx="0">
                  <c:v>2019年</c:v>
                </c:pt>
                <c:pt idx="1">
                  <c:v>2020年</c:v>
                </c:pt>
              </c:strCache>
            </c:strRef>
          </c:cat>
          <c:val>
            <c:numRef>
              <c:f>[Workbook1.xlsx]Sheet1!$B$2:$C$2</c:f>
              <c:numCache>
                <c:formatCode>General</c:formatCode>
                <c:ptCount val="2"/>
                <c:pt idx="0">
                  <c:v>522.75</c:v>
                </c:pt>
                <c:pt idx="1">
                  <c:v>1607.36</c:v>
                </c:pt>
              </c:numCache>
            </c:numRef>
          </c:val>
        </c:ser>
        <c:dLbls>
          <c:showLegendKey val="0"/>
          <c:showVal val="1"/>
          <c:showCatName val="0"/>
          <c:showSerName val="0"/>
          <c:showPercent val="0"/>
          <c:showBubbleSize val="0"/>
        </c:dLbls>
        <c:gapWidth val="219"/>
        <c:overlap val="-27"/>
        <c:axId val="34473472"/>
        <c:axId val="34475008"/>
      </c:barChart>
      <c:catAx>
        <c:axId val="344734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475008"/>
        <c:crosses val="autoZero"/>
        <c:auto val="1"/>
        <c:lblAlgn val="ctr"/>
        <c:lblOffset val="100"/>
        <c:noMultiLvlLbl val="0"/>
      </c:catAx>
      <c:valAx>
        <c:axId val="3447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473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2020年收入决算情况图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[Workbook3.xlsx]Sheet1!$A$2:$A$3</c:f>
              <c:strCache>
                <c:ptCount val="2"/>
                <c:pt idx="0">
                  <c:v>一般公共预算财政拨款收入</c:v>
                </c:pt>
                <c:pt idx="1">
                  <c:v>政府性基金预算财政拨款收入</c:v>
                </c:pt>
              </c:strCache>
            </c:strRef>
          </c:cat>
          <c:val>
            <c:numRef>
              <c:f>[Workbook3.xlsx]Sheet1!$B$2:$B$3</c:f>
              <c:numCache>
                <c:formatCode>General</c:formatCode>
                <c:ptCount val="2"/>
                <c:pt idx="0">
                  <c:v>1281.05</c:v>
                </c:pt>
                <c:pt idx="1">
                  <c:v>271.82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支出决算情况</a:t>
            </a:r>
          </a:p>
        </c:rich>
      </c:tx>
      <c:layout/>
      <c:overlay val="0"/>
      <c:spPr>
        <a:noFill/>
        <a:ln>
          <a:noFill/>
        </a:ln>
        <a:effectLst/>
      </c:spPr>
    </c:title>
    <c:autoTitleDeleted val="0"/>
    <c:plotArea>
      <c:layout>
        <c:manualLayout>
          <c:layoutTarget val="inner"/>
          <c:xMode val="edge"/>
          <c:yMode val="edge"/>
          <c:x val="0.323694444444444"/>
          <c:y val="0.212986111111111"/>
          <c:w val="0.352611111111111"/>
          <c:h val="0.587685185185185"/>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[Workbook4.xlsx]Sheet1!$A$2:$A$3</c:f>
              <c:strCache>
                <c:ptCount val="2"/>
                <c:pt idx="0">
                  <c:v>基本支出</c:v>
                </c:pt>
                <c:pt idx="1">
                  <c:v>项目支出</c:v>
                </c:pt>
              </c:strCache>
            </c:strRef>
          </c:cat>
          <c:val>
            <c:numRef>
              <c:f>[Workbook4.xlsx]Sheet1!$B$2:$B$3</c:f>
              <c:numCache>
                <c:formatCode>General</c:formatCode>
                <c:ptCount val="2"/>
                <c:pt idx="0">
                  <c:v>591.74</c:v>
                </c:pt>
                <c:pt idx="1">
                  <c:v>684.01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manualLayout>
          <c:layoutTarget val="inner"/>
          <c:xMode val="edge"/>
          <c:yMode val="edge"/>
          <c:x val="0.0860555555555556"/>
          <c:y val="0.197916666666667"/>
          <c:w val="0.873666666666667"/>
          <c:h val="0.703333333333333"/>
        </c:manualLayout>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[Workbook1.xlsx]Sheet1!$B$1:$C$1</c:f>
              <c:strCache>
                <c:ptCount val="2"/>
                <c:pt idx="0">
                  <c:v>2019年</c:v>
                </c:pt>
                <c:pt idx="1">
                  <c:v>2020年</c:v>
                </c:pt>
              </c:strCache>
            </c:strRef>
          </c:cat>
          <c:val>
            <c:numRef>
              <c:f>[Workbook1.xlsx]Sheet1!$B$2:$C$2</c:f>
              <c:numCache>
                <c:formatCode>General</c:formatCode>
                <c:ptCount val="2"/>
                <c:pt idx="0">
                  <c:v>522.75</c:v>
                </c:pt>
                <c:pt idx="1">
                  <c:v>1607.36</c:v>
                </c:pt>
              </c:numCache>
            </c:numRef>
          </c:val>
        </c:ser>
        <c:dLbls>
          <c:showLegendKey val="0"/>
          <c:showVal val="1"/>
          <c:showCatName val="0"/>
          <c:showSerName val="0"/>
          <c:showPercent val="0"/>
          <c:showBubbleSize val="0"/>
        </c:dLbls>
        <c:gapWidth val="219"/>
        <c:overlap val="-27"/>
        <c:axId val="38409344"/>
        <c:axId val="38410880"/>
      </c:barChart>
      <c:catAx>
        <c:axId val="384093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410880"/>
        <c:crosses val="autoZero"/>
        <c:auto val="1"/>
        <c:lblAlgn val="ctr"/>
        <c:lblOffset val="100"/>
        <c:noMultiLvlLbl val="0"/>
      </c:catAx>
      <c:valAx>
        <c:axId val="3841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409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manualLayout>
          <c:xMode val="edge"/>
          <c:yMode val="edge"/>
          <c:x val="0.110972222222222"/>
          <c:y val="0.0381944444444444"/>
        </c:manualLayout>
      </c:layout>
      <c:overlay val="0"/>
      <c:spPr>
        <a:noFill/>
        <a:ln>
          <a:noFill/>
        </a:ln>
        <a:effectLst/>
      </c:spPr>
    </c:title>
    <c:autoTitleDeleted val="0"/>
    <c:plotArea>
      <c:layout/>
      <c:barChart>
        <c:barDir val="col"/>
        <c:grouping val="clustered"/>
        <c:varyColors val="0"/>
        <c:ser>
          <c:idx val="0"/>
          <c:order val="0"/>
          <c:tx>
            <c:strRef>
              <c:f>[Workbook2.xlsx]Sheet1!$A$2</c:f>
              <c:strCache>
                <c:ptCount val="1"/>
                <c:pt idx="0">
                  <c:v>一般公共预算财政拨款支出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[Workbook2.xlsx]Sheet1!$B$1:$C$1</c:f>
              <c:strCache>
                <c:ptCount val="2"/>
                <c:pt idx="0">
                  <c:v>2019年</c:v>
                </c:pt>
                <c:pt idx="1">
                  <c:v>2020年</c:v>
                </c:pt>
              </c:strCache>
            </c:strRef>
          </c:cat>
          <c:val>
            <c:numRef>
              <c:f>[Workbook2.xlsx]Sheet1!$B$2:$C$2</c:f>
              <c:numCache>
                <c:formatCode>General</c:formatCode>
                <c:ptCount val="2"/>
                <c:pt idx="0">
                  <c:v>522.75</c:v>
                </c:pt>
                <c:pt idx="1">
                  <c:v>1281.05</c:v>
                </c:pt>
              </c:numCache>
            </c:numRef>
          </c:val>
        </c:ser>
        <c:dLbls>
          <c:showLegendKey val="0"/>
          <c:showVal val="1"/>
          <c:showCatName val="0"/>
          <c:showSerName val="0"/>
          <c:showPercent val="0"/>
          <c:showBubbleSize val="0"/>
        </c:dLbls>
        <c:gapWidth val="219"/>
        <c:overlap val="-27"/>
        <c:axId val="38460416"/>
        <c:axId val="74904320"/>
      </c:barChart>
      <c:catAx>
        <c:axId val="384604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904320"/>
        <c:crosses val="autoZero"/>
        <c:auto val="1"/>
        <c:lblAlgn val="ctr"/>
        <c:lblOffset val="100"/>
        <c:noMultiLvlLbl val="0"/>
      </c:catAx>
      <c:valAx>
        <c:axId val="74904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46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manualLayout>
          <c:xMode val="edge"/>
          <c:yMode val="edge"/>
          <c:x val="0.239444444444444"/>
          <c:y val="0.0277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工作表.xlsx]Sheet1'!$A$1:$A$8</c:f>
              <c:strCache>
                <c:ptCount val="8"/>
                <c:pt idx="0">
                  <c:v>一般公共服务支出</c:v>
                </c:pt>
                <c:pt idx="1">
                  <c:v>社会保障和就业支出</c:v>
                </c:pt>
                <c:pt idx="2">
                  <c:v>住房保障支出</c:v>
                </c:pt>
                <c:pt idx="3">
                  <c:v>国防支出</c:v>
                </c:pt>
                <c:pt idx="4">
                  <c:v>卫生健康支出</c:v>
                </c:pt>
                <c:pt idx="5">
                  <c:v>其他支出</c:v>
                </c:pt>
                <c:pt idx="6">
                  <c:v>农林水支出</c:v>
                </c:pt>
                <c:pt idx="7">
                  <c:v>抗疫特别国债安排的支出</c:v>
                </c:pt>
              </c:strCache>
            </c:strRef>
          </c:cat>
          <c:val>
            <c:numRef>
              <c:f>'[新建 XLSX 工作表.xlsx]Sheet1'!$B$1:$B$8</c:f>
              <c:numCache>
                <c:formatCode>General</c:formatCode>
                <c:ptCount val="8"/>
                <c:pt idx="0">
                  <c:v>358.16</c:v>
                </c:pt>
                <c:pt idx="1">
                  <c:v>66.56</c:v>
                </c:pt>
                <c:pt idx="2">
                  <c:v>49.56</c:v>
                </c:pt>
                <c:pt idx="3">
                  <c:v>8</c:v>
                </c:pt>
                <c:pt idx="4">
                  <c:v>36.2</c:v>
                </c:pt>
                <c:pt idx="5">
                  <c:v>248.89</c:v>
                </c:pt>
                <c:pt idx="6">
                  <c:v>503.44</c:v>
                </c:pt>
                <c:pt idx="7">
                  <c:v>4.94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工作表.xlsx]Sheet1'!$E$1:$E$3</c:f>
              <c:strCache>
                <c:ptCount val="3"/>
                <c:pt idx="0">
                  <c:v>公务用车购置及运行维护费支出</c:v>
                </c:pt>
                <c:pt idx="1">
                  <c:v>公务接待费支出</c:v>
                </c:pt>
                <c:pt idx="2">
                  <c:v>因公出国（境）费支出</c:v>
                </c:pt>
              </c:strCache>
            </c:strRef>
          </c:cat>
          <c:val>
            <c:numRef>
              <c:f>'[新建 XLSX 工作表.xlsx]Sheet1'!$F$1:$F$3</c:f>
              <c:numCache>
                <c:formatCode>General</c:formatCode>
                <c:ptCount val="3"/>
                <c:pt idx="0">
                  <c:v>7.08</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42</Pages>
  <Words>2488</Words>
  <Characters>14187</Characters>
  <Lines>118</Lines>
  <Paragraphs>33</Paragraphs>
  <TotalTime>20</TotalTime>
  <ScaleCrop>false</ScaleCrop>
  <LinksUpToDate>false</LinksUpToDate>
  <CharactersWithSpaces>16642</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2023-07-13T18:15:24Z</dcterms:modified>
  <dc:title>阿坝州部门决算说明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8875AFCDE4584471A358625DF236C58A</vt:lpwstr>
  </property>
</Properties>
</file>