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eastAsia="宋体"/>
          <w:b/>
          <w:sz w:val="72"/>
          <w:szCs w:val="72"/>
          <w:highlight w:val="yellow"/>
        </w:rPr>
      </w:pPr>
      <w:bookmarkStart w:id="0" w:name="_Toc15306267"/>
      <w:bookmarkStart w:id="1" w:name="_Toc15396475"/>
      <w:bookmarkStart w:id="2" w:name="_Toc15378441"/>
      <w:bookmarkStart w:id="3" w:name="_Toc15377425"/>
      <w:bookmarkStart w:id="4" w:name="_Toc15396597"/>
      <w:bookmarkStart w:id="5" w:name="_Toc15377193"/>
    </w:p>
    <w:p>
      <w:pPr>
        <w:pStyle w:val="6"/>
        <w:ind w:firstLine="0"/>
        <w:rPr>
          <w:highlight w:val="yellow"/>
        </w:rPr>
      </w:pPr>
    </w:p>
    <w:bookmarkEnd w:id="0"/>
    <w:bookmarkEnd w:id="1"/>
    <w:bookmarkEnd w:id="2"/>
    <w:bookmarkEnd w:id="3"/>
    <w:bookmarkEnd w:id="4"/>
    <w:bookmarkEnd w:id="5"/>
    <w:p>
      <w:pPr>
        <w:pStyle w:val="8"/>
        <w:jc w:val="center"/>
        <w:rPr>
          <w:rFonts w:hint="eastAsia" w:ascii="方正小标宋简体" w:hAnsi="宋体" w:eastAsia="方正小标宋简体" w:cs="Times New Roman"/>
          <w:color w:val="auto"/>
          <w:kern w:val="2"/>
          <w:sz w:val="44"/>
          <w:szCs w:val="44"/>
          <w:highlight w:val="none"/>
          <w:lang w:val="en-US" w:eastAsia="zh-CN" w:bidi="ar-SA"/>
        </w:rPr>
      </w:pPr>
      <w:r>
        <w:rPr>
          <w:rFonts w:hint="eastAsia" w:ascii="方正小标宋简体" w:hAnsi="宋体" w:eastAsia="方正小标宋简体" w:cs="Times New Roman"/>
          <w:color w:val="auto"/>
          <w:kern w:val="2"/>
          <w:sz w:val="44"/>
          <w:szCs w:val="44"/>
          <w:highlight w:val="none"/>
          <w:lang w:val="en-US" w:eastAsia="zh-CN" w:bidi="ar-SA"/>
        </w:rPr>
        <w:t>2024年度四川省阿坝州茂县黑虎镇（事业）单位决算</w:t>
      </w:r>
    </w:p>
    <w:p>
      <w:pPr>
        <w:pStyle w:val="6"/>
        <w:rPr>
          <w:highlight w:val="none"/>
        </w:rPr>
      </w:pPr>
    </w:p>
    <w:p>
      <w:pPr>
        <w:pStyle w:val="6"/>
        <w:rPr>
          <w:highlight w:val="none"/>
        </w:rPr>
      </w:pPr>
    </w:p>
    <w:p>
      <w:pPr>
        <w:pStyle w:val="6"/>
        <w:rPr>
          <w:highlight w:val="none"/>
        </w:rPr>
      </w:pPr>
    </w:p>
    <w:p>
      <w:pPr>
        <w:pStyle w:val="6"/>
        <w:rPr>
          <w:highlight w:val="none"/>
        </w:rPr>
      </w:pPr>
    </w:p>
    <w:p>
      <w:pPr>
        <w:pStyle w:val="6"/>
        <w:rPr>
          <w:highlight w:val="none"/>
        </w:rPr>
      </w:pPr>
    </w:p>
    <w:p>
      <w:pPr>
        <w:pStyle w:val="6"/>
        <w:rPr>
          <w:highlight w:val="none"/>
        </w:rPr>
      </w:pPr>
    </w:p>
    <w:p>
      <w:pPr>
        <w:pStyle w:val="6"/>
        <w:rPr>
          <w:highlight w:val="none"/>
        </w:rPr>
      </w:pPr>
      <w:bookmarkStart w:id="80" w:name="_GoBack"/>
      <w:bookmarkEnd w:id="80"/>
    </w:p>
    <w:p>
      <w:pPr>
        <w:pStyle w:val="6"/>
        <w:rPr>
          <w:highlight w:val="none"/>
        </w:rPr>
      </w:pPr>
    </w:p>
    <w:p>
      <w:pPr>
        <w:pStyle w:val="6"/>
        <w:rPr>
          <w:highlight w:val="none"/>
        </w:rPr>
      </w:pPr>
    </w:p>
    <w:p>
      <w:pPr>
        <w:pStyle w:val="6"/>
        <w:rPr>
          <w:highlight w:val="none"/>
        </w:rPr>
      </w:pPr>
    </w:p>
    <w:p>
      <w:pPr>
        <w:pStyle w:val="6"/>
        <w:rPr>
          <w:highlight w:val="none"/>
        </w:rPr>
      </w:pPr>
    </w:p>
    <w:p>
      <w:pPr>
        <w:pStyle w:val="6"/>
        <w:rPr>
          <w:highlight w:val="none"/>
        </w:rPr>
      </w:pPr>
    </w:p>
    <w:p>
      <w:pPr>
        <w:pStyle w:val="6"/>
        <w:tabs>
          <w:tab w:val="left" w:pos="3600"/>
        </w:tabs>
        <w:jc w:val="center"/>
        <w:rPr>
          <w:rFonts w:hint="default" w:eastAsia="宋体"/>
          <w:b/>
          <w:bCs/>
          <w:highlight w:val="none"/>
          <w:lang w:val="en-US" w:eastAsia="zh-CN"/>
        </w:rPr>
      </w:pPr>
    </w:p>
    <w:p>
      <w:pPr>
        <w:pStyle w:val="6"/>
        <w:rPr>
          <w:highlight w:val="none"/>
        </w:rPr>
      </w:pPr>
    </w:p>
    <w:p>
      <w:pPr>
        <w:pStyle w:val="6"/>
        <w:rPr>
          <w:highlight w:val="none"/>
        </w:rPr>
      </w:pPr>
    </w:p>
    <w:p>
      <w:pPr>
        <w:pStyle w:val="6"/>
        <w:rPr>
          <w:highlight w:val="none"/>
        </w:rPr>
      </w:pPr>
    </w:p>
    <w:p>
      <w:pPr>
        <w:pStyle w:val="6"/>
        <w:rPr>
          <w:highlight w:val="none"/>
        </w:rPr>
      </w:pPr>
    </w:p>
    <w:p>
      <w:pPr>
        <w:pStyle w:val="6"/>
        <w:rPr>
          <w:highlight w:val="none"/>
        </w:rPr>
      </w:pPr>
    </w:p>
    <w:p>
      <w:pPr>
        <w:autoSpaceDE w:val="0"/>
        <w:autoSpaceDN w:val="0"/>
        <w:adjustRightInd w:val="0"/>
        <w:ind w:left="420" w:leftChars="200"/>
        <w:jc w:val="left"/>
        <w:rPr>
          <w:rFonts w:ascii="宋体"/>
          <w:sz w:val="32"/>
          <w:szCs w:val="32"/>
          <w:highlight w:val="none"/>
        </w:rPr>
      </w:pPr>
    </w:p>
    <w:p>
      <w:pPr>
        <w:widowControl/>
        <w:jc w:val="center"/>
        <w:rPr>
          <w:rFonts w:hint="eastAsia" w:ascii="黑体" w:eastAsia="黑体"/>
          <w:color w:val="000000"/>
          <w:sz w:val="48"/>
          <w:szCs w:val="48"/>
          <w:highlight w:val="none"/>
        </w:rPr>
      </w:pPr>
      <w:r>
        <w:rPr>
          <w:rFonts w:ascii="方正小标宋简体" w:eastAsia="方正小标宋简体"/>
          <w:color w:val="000000"/>
          <w:sz w:val="36"/>
          <w:szCs w:val="36"/>
          <w:highlight w:val="none"/>
        </w:rPr>
        <w:br w:type="page"/>
      </w:r>
      <w:bookmarkStart w:id="6" w:name="_Toc15377196"/>
      <w:r>
        <w:rPr>
          <w:rFonts w:hint="eastAsia" w:ascii="黑体" w:eastAsia="黑体"/>
          <w:color w:val="000000"/>
          <w:sz w:val="48"/>
          <w:szCs w:val="48"/>
          <w:highlight w:val="none"/>
        </w:rPr>
        <w:t>目录</w:t>
      </w:r>
    </w:p>
    <w:p>
      <w:pPr>
        <w:pStyle w:val="16"/>
        <w:rPr>
          <w:rFonts w:hint="eastAsia" w:ascii="黑体" w:eastAsia="黑体"/>
          <w:color w:val="000000"/>
          <w:sz w:val="48"/>
          <w:szCs w:val="48"/>
          <w:highlight w:val="none"/>
        </w:rPr>
      </w:pPr>
    </w:p>
    <w:p>
      <w:pPr>
        <w:pStyle w:val="15"/>
        <w:suppressAutoHyphens/>
        <w:bidi w:val="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highlight w:val="none"/>
          <w:lang w:eastAsia="zh-CN"/>
        </w:rPr>
        <w:t>公开时间：2025年9月25日</w:t>
      </w:r>
    </w:p>
    <w:p>
      <w:pPr>
        <w:pStyle w:val="15"/>
        <w:tabs>
          <w:tab w:val="right" w:leader="dot" w:pos="8306"/>
          <w:tab w:val="clear" w:pos="8296"/>
        </w:tabs>
      </w:pPr>
      <w:bookmarkStart w:id="7" w:name="_Toc111208495"/>
      <w:r>
        <w:rPr>
          <w:caps w:val="0"/>
          <w:smallCaps/>
          <w:sz w:val="20"/>
          <w:szCs w:val="20"/>
          <w:highlight w:val="none"/>
        </w:rPr>
        <w:fldChar w:fldCharType="begin"/>
      </w:r>
      <w:r>
        <w:rPr>
          <w:caps w:val="0"/>
          <w:smallCaps/>
          <w:sz w:val="20"/>
          <w:szCs w:val="20"/>
          <w:highlight w:val="none"/>
        </w:rPr>
        <w:instrText xml:space="preserve"> TOC \o "1-2" \h \z \u </w:instrText>
      </w:r>
      <w:r>
        <w:rPr>
          <w:caps w:val="0"/>
          <w:smallCaps/>
          <w:sz w:val="20"/>
          <w:szCs w:val="20"/>
          <w:highlight w:val="none"/>
        </w:rPr>
        <w:fldChar w:fldCharType="separate"/>
      </w:r>
      <w:r>
        <w:rPr>
          <w:caps w:val="0"/>
          <w:smallCaps/>
          <w:szCs w:val="20"/>
          <w:highlight w:val="none"/>
        </w:rPr>
        <w:fldChar w:fldCharType="begin"/>
      </w:r>
      <w:r>
        <w:rPr>
          <w:caps w:val="0"/>
          <w:smallCaps/>
          <w:szCs w:val="20"/>
          <w:highlight w:val="none"/>
        </w:rPr>
        <w:instrText xml:space="preserve"> HYPERLINK \l _Toc21550 </w:instrText>
      </w:r>
      <w:r>
        <w:rPr>
          <w:caps w:val="0"/>
          <w:smallCaps/>
          <w:szCs w:val="20"/>
          <w:highlight w:val="none"/>
        </w:rPr>
        <w:fldChar w:fldCharType="separate"/>
      </w:r>
      <w:r>
        <w:rPr>
          <w:rFonts w:hint="eastAsia" w:ascii="黑体" w:eastAsia="黑体" w:cs="黑体"/>
          <w:highlight w:val="none"/>
        </w:rPr>
        <w:t xml:space="preserve">第一部分 </w:t>
      </w:r>
      <w:r>
        <w:rPr>
          <w:rFonts w:hint="eastAsia" w:ascii="黑体" w:eastAsia="黑体" w:cs="黑体"/>
          <w:bCs w:val="0"/>
          <w:highlight w:val="none"/>
        </w:rPr>
        <w:t>部门概况</w:t>
      </w:r>
      <w:r>
        <w:tab/>
      </w:r>
      <w:r>
        <w:fldChar w:fldCharType="begin"/>
      </w:r>
      <w:r>
        <w:instrText xml:space="preserve"> PAGEREF _Toc21550 \h </w:instrText>
      </w:r>
      <w:r>
        <w:fldChar w:fldCharType="separate"/>
      </w:r>
      <w:r>
        <w:t>3</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_Toc11489 </w:instrText>
      </w:r>
      <w:r>
        <w:rPr>
          <w:caps w:val="0"/>
          <w:smallCaps/>
          <w:szCs w:val="20"/>
          <w:highlight w:val="none"/>
        </w:rPr>
        <w:fldChar w:fldCharType="separate"/>
      </w:r>
      <w:r>
        <w:rPr>
          <w:rFonts w:hint="eastAsia" w:ascii="黑体" w:eastAsia="黑体" w:cs="Times New Roman"/>
          <w:bCs w:val="0"/>
          <w:highlight w:val="none"/>
        </w:rPr>
        <w:t>一、部门职责</w:t>
      </w:r>
      <w:r>
        <w:tab/>
      </w:r>
      <w:r>
        <w:fldChar w:fldCharType="begin"/>
      </w:r>
      <w:r>
        <w:instrText xml:space="preserve"> PAGEREF _Toc11489 \h </w:instrText>
      </w:r>
      <w:r>
        <w:fldChar w:fldCharType="separate"/>
      </w:r>
      <w:r>
        <w:t>3</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_Toc28081 </w:instrText>
      </w:r>
      <w:r>
        <w:rPr>
          <w:caps w:val="0"/>
          <w:smallCaps/>
          <w:szCs w:val="20"/>
          <w:highlight w:val="none"/>
        </w:rPr>
        <w:fldChar w:fldCharType="separate"/>
      </w:r>
      <w:r>
        <w:rPr>
          <w:rFonts w:hint="eastAsia" w:ascii="黑体" w:eastAsia="黑体" w:cs="Times New Roman"/>
          <w:bCs w:val="0"/>
          <w:highlight w:val="none"/>
        </w:rPr>
        <w:t>二、机构设置</w:t>
      </w:r>
      <w:r>
        <w:tab/>
      </w:r>
      <w:r>
        <w:fldChar w:fldCharType="begin"/>
      </w:r>
      <w:r>
        <w:instrText xml:space="preserve"> PAGEREF _Toc28081 \h </w:instrText>
      </w:r>
      <w:r>
        <w:fldChar w:fldCharType="separate"/>
      </w:r>
      <w:r>
        <w:t>3</w:t>
      </w:r>
      <w:r>
        <w:fldChar w:fldCharType="end"/>
      </w:r>
      <w:r>
        <w:rPr>
          <w:caps w:val="0"/>
          <w:smallCaps/>
          <w:szCs w:val="20"/>
          <w:highlight w:val="none"/>
        </w:rPr>
        <w:fldChar w:fldCharType="end"/>
      </w:r>
    </w:p>
    <w:p>
      <w:pPr>
        <w:pStyle w:val="15"/>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_Toc11896 </w:instrText>
      </w:r>
      <w:r>
        <w:rPr>
          <w:caps w:val="0"/>
          <w:smallCaps/>
          <w:szCs w:val="20"/>
          <w:highlight w:val="none"/>
        </w:rPr>
        <w:fldChar w:fldCharType="separate"/>
      </w:r>
      <w:r>
        <w:rPr>
          <w:rFonts w:hint="eastAsia" w:ascii="黑体" w:eastAsia="黑体" w:cs="黑体"/>
          <w:highlight w:val="none"/>
        </w:rPr>
        <w:t>第二部分</w:t>
      </w:r>
      <w:r>
        <w:rPr>
          <w:rFonts w:ascii="黑体" w:eastAsia="黑体" w:cs="黑体"/>
          <w:highlight w:val="none"/>
        </w:rPr>
        <w:t xml:space="preserve"> </w:t>
      </w:r>
      <w:r>
        <w:rPr>
          <w:rFonts w:hint="eastAsia" w:ascii="黑体" w:eastAsia="黑体" w:cs="黑体"/>
          <w:highlight w:val="none"/>
          <w:lang w:eastAsia="zh-CN"/>
        </w:rPr>
        <w:t>2024</w:t>
      </w:r>
      <w:r>
        <w:rPr>
          <w:rFonts w:ascii="黑体" w:eastAsia="黑体" w:cs="黑体"/>
          <w:highlight w:val="none"/>
        </w:rPr>
        <w:t>年度</w:t>
      </w:r>
      <w:r>
        <w:rPr>
          <w:rFonts w:hint="eastAsia" w:ascii="黑体" w:eastAsia="黑体" w:cs="黑体"/>
          <w:highlight w:val="none"/>
          <w:lang w:eastAsia="zh-CN"/>
        </w:rPr>
        <w:t>单位</w:t>
      </w:r>
      <w:r>
        <w:rPr>
          <w:rFonts w:ascii="黑体" w:eastAsia="黑体" w:cs="黑体"/>
          <w:highlight w:val="none"/>
        </w:rPr>
        <w:t>决算情况说明</w:t>
      </w:r>
      <w:r>
        <w:tab/>
      </w:r>
      <w:r>
        <w:fldChar w:fldCharType="begin"/>
      </w:r>
      <w:r>
        <w:instrText xml:space="preserve"> PAGEREF _Toc11896 \h </w:instrText>
      </w:r>
      <w:r>
        <w:fldChar w:fldCharType="separate"/>
      </w:r>
      <w:r>
        <w:t>4</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_Toc30380 </w:instrText>
      </w:r>
      <w:r>
        <w:rPr>
          <w:caps w:val="0"/>
          <w:smallCaps/>
          <w:szCs w:val="20"/>
          <w:highlight w:val="none"/>
        </w:rPr>
        <w:fldChar w:fldCharType="separate"/>
      </w:r>
      <w:r>
        <w:rPr>
          <w:rFonts w:hint="eastAsia" w:ascii="黑体" w:eastAsia="黑体" w:cs="Times New Roman"/>
          <w:bCs w:val="0"/>
          <w:highlight w:val="none"/>
        </w:rPr>
        <w:t>一、收入支出决算总体情况说明</w:t>
      </w:r>
      <w:r>
        <w:tab/>
      </w:r>
      <w:r>
        <w:fldChar w:fldCharType="begin"/>
      </w:r>
      <w:r>
        <w:instrText xml:space="preserve"> PAGEREF _Toc30380 \h </w:instrText>
      </w:r>
      <w:r>
        <w:fldChar w:fldCharType="separate"/>
      </w:r>
      <w:r>
        <w:t>4</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_Toc483 </w:instrText>
      </w:r>
      <w:r>
        <w:rPr>
          <w:caps w:val="0"/>
          <w:smallCaps/>
          <w:szCs w:val="20"/>
          <w:highlight w:val="none"/>
        </w:rPr>
        <w:fldChar w:fldCharType="separate"/>
      </w:r>
      <w:r>
        <w:rPr>
          <w:rFonts w:hint="eastAsia" w:ascii="黑体" w:eastAsia="黑体" w:cs="Times New Roman"/>
          <w:bCs w:val="0"/>
          <w:highlight w:val="none"/>
        </w:rPr>
        <w:t>二、收入决算情况说明</w:t>
      </w:r>
      <w:r>
        <w:tab/>
      </w:r>
      <w:r>
        <w:fldChar w:fldCharType="begin"/>
      </w:r>
      <w:r>
        <w:instrText xml:space="preserve"> PAGEREF _Toc483 \h </w:instrText>
      </w:r>
      <w:r>
        <w:fldChar w:fldCharType="separate"/>
      </w:r>
      <w:r>
        <w:t>4</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_Toc27257 </w:instrText>
      </w:r>
      <w:r>
        <w:rPr>
          <w:caps w:val="0"/>
          <w:smallCaps/>
          <w:szCs w:val="20"/>
          <w:highlight w:val="none"/>
        </w:rPr>
        <w:fldChar w:fldCharType="separate"/>
      </w:r>
      <w:r>
        <w:rPr>
          <w:rFonts w:hint="eastAsia" w:ascii="黑体" w:eastAsia="黑体" w:cs="Times New Roman"/>
          <w:bCs w:val="0"/>
          <w:highlight w:val="none"/>
        </w:rPr>
        <w:t>三、支出决算情况说明</w:t>
      </w:r>
      <w:r>
        <w:tab/>
      </w:r>
      <w:r>
        <w:fldChar w:fldCharType="begin"/>
      </w:r>
      <w:r>
        <w:instrText xml:space="preserve"> PAGEREF _Toc27257 \h </w:instrText>
      </w:r>
      <w:r>
        <w:fldChar w:fldCharType="separate"/>
      </w:r>
      <w:r>
        <w:t>5</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_Toc12534 </w:instrText>
      </w:r>
      <w:r>
        <w:rPr>
          <w:caps w:val="0"/>
          <w:smallCaps/>
          <w:szCs w:val="20"/>
          <w:highlight w:val="none"/>
        </w:rPr>
        <w:fldChar w:fldCharType="separate"/>
      </w:r>
      <w:r>
        <w:rPr>
          <w:rFonts w:hint="eastAsia" w:ascii="黑体" w:eastAsia="黑体" w:cs="Times New Roman"/>
          <w:bCs w:val="0"/>
          <w:highlight w:val="none"/>
        </w:rPr>
        <w:t>四、财政拨款收入支出决算总体情况说明</w:t>
      </w:r>
      <w:r>
        <w:tab/>
      </w:r>
      <w:r>
        <w:fldChar w:fldCharType="begin"/>
      </w:r>
      <w:r>
        <w:instrText xml:space="preserve"> PAGEREF _Toc12534 \h </w:instrText>
      </w:r>
      <w:r>
        <w:fldChar w:fldCharType="separate"/>
      </w:r>
      <w:r>
        <w:t>5</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_Toc16370 </w:instrText>
      </w:r>
      <w:r>
        <w:rPr>
          <w:caps w:val="0"/>
          <w:smallCaps/>
          <w:szCs w:val="20"/>
          <w:highlight w:val="none"/>
        </w:rPr>
        <w:fldChar w:fldCharType="separate"/>
      </w:r>
      <w:r>
        <w:rPr>
          <w:rFonts w:hint="eastAsia" w:ascii="黑体" w:eastAsia="黑体" w:cs="Times New Roman"/>
          <w:bCs w:val="0"/>
          <w:highlight w:val="none"/>
        </w:rPr>
        <w:t>五、一般公共预算财政拨款支出决算情况说明</w:t>
      </w:r>
      <w:r>
        <w:tab/>
      </w:r>
      <w:r>
        <w:fldChar w:fldCharType="begin"/>
      </w:r>
      <w:r>
        <w:instrText xml:space="preserve"> PAGEREF _Toc16370 \h </w:instrText>
      </w:r>
      <w:r>
        <w:fldChar w:fldCharType="separate"/>
      </w:r>
      <w:r>
        <w:t>6</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_Toc533 </w:instrText>
      </w:r>
      <w:r>
        <w:rPr>
          <w:caps w:val="0"/>
          <w:smallCaps/>
          <w:szCs w:val="20"/>
          <w:highlight w:val="none"/>
        </w:rPr>
        <w:fldChar w:fldCharType="separate"/>
      </w:r>
      <w:r>
        <w:rPr>
          <w:rFonts w:hint="eastAsia" w:ascii="黑体" w:eastAsia="黑体" w:cs="Times New Roman"/>
          <w:bCs w:val="0"/>
          <w:highlight w:val="none"/>
        </w:rPr>
        <w:t>六、一般公共预算财政拨款基本支出决算情况说明</w:t>
      </w:r>
      <w:r>
        <w:tab/>
      </w:r>
      <w:r>
        <w:fldChar w:fldCharType="begin"/>
      </w:r>
      <w:r>
        <w:instrText xml:space="preserve"> PAGEREF _Toc533 \h </w:instrText>
      </w:r>
      <w:r>
        <w:fldChar w:fldCharType="separate"/>
      </w:r>
      <w:r>
        <w:t>8</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_Toc27414 </w:instrText>
      </w:r>
      <w:r>
        <w:rPr>
          <w:caps w:val="0"/>
          <w:smallCaps/>
          <w:szCs w:val="20"/>
          <w:highlight w:val="none"/>
        </w:rPr>
        <w:fldChar w:fldCharType="separate"/>
      </w:r>
      <w:r>
        <w:rPr>
          <w:rFonts w:hint="eastAsia" w:ascii="黑体" w:eastAsia="黑体" w:cs="Times New Roman"/>
          <w:bCs w:val="0"/>
          <w:highlight w:val="none"/>
        </w:rPr>
        <w:t>七、“三公”经费财政拨款支出决算情况说明</w:t>
      </w:r>
      <w:r>
        <w:tab/>
      </w:r>
      <w:r>
        <w:fldChar w:fldCharType="begin"/>
      </w:r>
      <w:r>
        <w:instrText xml:space="preserve"> PAGEREF _Toc27414 \h </w:instrText>
      </w:r>
      <w:r>
        <w:fldChar w:fldCharType="separate"/>
      </w:r>
      <w:r>
        <w:t>9</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_Toc27590 </w:instrText>
      </w:r>
      <w:r>
        <w:rPr>
          <w:caps w:val="0"/>
          <w:smallCaps/>
          <w:szCs w:val="20"/>
          <w:highlight w:val="none"/>
        </w:rPr>
        <w:fldChar w:fldCharType="separate"/>
      </w:r>
      <w:r>
        <w:rPr>
          <w:rFonts w:hint="eastAsia" w:ascii="黑体" w:eastAsia="黑体" w:cs="Times New Roman"/>
          <w:bCs w:val="0"/>
          <w:highlight w:val="none"/>
        </w:rPr>
        <w:t>八、政府性基金预算支出决算情况说明</w:t>
      </w:r>
      <w:r>
        <w:tab/>
      </w:r>
      <w:r>
        <w:fldChar w:fldCharType="begin"/>
      </w:r>
      <w:r>
        <w:instrText xml:space="preserve"> PAGEREF _Toc27590 \h </w:instrText>
      </w:r>
      <w:r>
        <w:fldChar w:fldCharType="separate"/>
      </w:r>
      <w:r>
        <w:t>10</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_Toc6349 </w:instrText>
      </w:r>
      <w:r>
        <w:rPr>
          <w:caps w:val="0"/>
          <w:smallCaps/>
          <w:szCs w:val="20"/>
          <w:highlight w:val="none"/>
        </w:rPr>
        <w:fldChar w:fldCharType="separate"/>
      </w:r>
      <w:r>
        <w:rPr>
          <w:rFonts w:hint="eastAsia" w:ascii="黑体" w:eastAsia="黑体" w:cs="Times New Roman"/>
          <w:bCs w:val="0"/>
          <w:highlight w:val="none"/>
        </w:rPr>
        <w:t>九、国有资本经营预算支出决算情况说明</w:t>
      </w:r>
      <w:r>
        <w:tab/>
      </w:r>
      <w:r>
        <w:fldChar w:fldCharType="begin"/>
      </w:r>
      <w:r>
        <w:instrText xml:space="preserve"> PAGEREF _Toc6349 \h </w:instrText>
      </w:r>
      <w:r>
        <w:fldChar w:fldCharType="separate"/>
      </w:r>
      <w:r>
        <w:t>10</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_Toc7650 </w:instrText>
      </w:r>
      <w:r>
        <w:rPr>
          <w:caps w:val="0"/>
          <w:smallCaps/>
          <w:szCs w:val="20"/>
          <w:highlight w:val="none"/>
        </w:rPr>
        <w:fldChar w:fldCharType="separate"/>
      </w:r>
      <w:r>
        <w:rPr>
          <w:rFonts w:hint="eastAsia" w:ascii="黑体" w:eastAsia="黑体" w:cs="Times New Roman"/>
          <w:bCs w:val="0"/>
          <w:highlight w:val="none"/>
        </w:rPr>
        <w:t>十、其他重要事项的情况说明</w:t>
      </w:r>
      <w:r>
        <w:tab/>
      </w:r>
      <w:r>
        <w:fldChar w:fldCharType="begin"/>
      </w:r>
      <w:r>
        <w:instrText xml:space="preserve"> PAGEREF _Toc7650 \h </w:instrText>
      </w:r>
      <w:r>
        <w:fldChar w:fldCharType="separate"/>
      </w:r>
      <w:r>
        <w:t>10</w:t>
      </w:r>
      <w:r>
        <w:fldChar w:fldCharType="end"/>
      </w:r>
      <w:r>
        <w:rPr>
          <w:caps w:val="0"/>
          <w:smallCaps/>
          <w:szCs w:val="20"/>
          <w:highlight w:val="none"/>
        </w:rPr>
        <w:fldChar w:fldCharType="end"/>
      </w:r>
    </w:p>
    <w:p>
      <w:pPr>
        <w:pStyle w:val="15"/>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_Toc24024 </w:instrText>
      </w:r>
      <w:r>
        <w:rPr>
          <w:caps w:val="0"/>
          <w:smallCaps/>
          <w:szCs w:val="20"/>
          <w:highlight w:val="none"/>
        </w:rPr>
        <w:fldChar w:fldCharType="separate"/>
      </w:r>
      <w:r>
        <w:rPr>
          <w:rFonts w:hint="eastAsia" w:ascii="黑体" w:hAnsi="黑体" w:eastAsia="黑体" w:cs="黑体"/>
          <w:szCs w:val="44"/>
        </w:rPr>
        <w:t xml:space="preserve">第三部分 </w:t>
      </w:r>
      <w:r>
        <w:rPr>
          <w:rFonts w:hint="eastAsia" w:ascii="黑体" w:hAnsi="黑体" w:eastAsia="黑体"/>
          <w:szCs w:val="44"/>
          <w:highlight w:val="none"/>
        </w:rPr>
        <w:t>名</w:t>
      </w:r>
      <w:r>
        <w:rPr>
          <w:rFonts w:hint="eastAsia" w:ascii="黑体" w:hAnsi="黑体" w:eastAsia="黑体"/>
          <w:highlight w:val="none"/>
        </w:rPr>
        <w:t>词解释</w:t>
      </w:r>
      <w:r>
        <w:tab/>
      </w:r>
      <w:r>
        <w:fldChar w:fldCharType="begin"/>
      </w:r>
      <w:r>
        <w:instrText xml:space="preserve"> PAGEREF _Toc24024 \h </w:instrText>
      </w:r>
      <w:r>
        <w:fldChar w:fldCharType="separate"/>
      </w:r>
      <w:r>
        <w:t>12</w:t>
      </w:r>
      <w:r>
        <w:fldChar w:fldCharType="end"/>
      </w:r>
      <w:r>
        <w:rPr>
          <w:caps w:val="0"/>
          <w:smallCaps/>
          <w:szCs w:val="20"/>
          <w:highlight w:val="none"/>
        </w:rPr>
        <w:fldChar w:fldCharType="end"/>
      </w:r>
    </w:p>
    <w:p>
      <w:pPr>
        <w:pStyle w:val="15"/>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_Toc5449 </w:instrText>
      </w:r>
      <w:r>
        <w:rPr>
          <w:caps w:val="0"/>
          <w:smallCaps/>
          <w:szCs w:val="20"/>
          <w:highlight w:val="none"/>
        </w:rPr>
        <w:fldChar w:fldCharType="separate"/>
      </w:r>
      <w:r>
        <w:rPr>
          <w:rFonts w:hint="eastAsia" w:ascii="黑体" w:eastAsia="黑体" w:cs="黑体"/>
          <w:bCs w:val="0"/>
          <w:highlight w:val="none"/>
        </w:rPr>
        <w:t>第</w:t>
      </w:r>
      <w:r>
        <w:rPr>
          <w:rFonts w:hint="eastAsia" w:ascii="黑体" w:eastAsia="黑体" w:cs="黑体"/>
          <w:bCs w:val="0"/>
          <w:highlight w:val="none"/>
          <w:lang w:eastAsia="zh-CN"/>
        </w:rPr>
        <w:t>四</w:t>
      </w:r>
      <w:r>
        <w:rPr>
          <w:rFonts w:hint="eastAsia" w:ascii="黑体" w:eastAsia="黑体" w:cs="黑体"/>
          <w:bCs w:val="0"/>
          <w:highlight w:val="none"/>
        </w:rPr>
        <w:t>部分 附表</w:t>
      </w:r>
      <w:r>
        <w:tab/>
      </w:r>
      <w:r>
        <w:fldChar w:fldCharType="begin"/>
      </w:r>
      <w:r>
        <w:instrText xml:space="preserve"> PAGEREF _Toc5449 \h </w:instrText>
      </w:r>
      <w:r>
        <w:fldChar w:fldCharType="separate"/>
      </w:r>
      <w:r>
        <w:t>16</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_Toc6701 </w:instrText>
      </w:r>
      <w:r>
        <w:rPr>
          <w:caps w:val="0"/>
          <w:smallCaps/>
          <w:szCs w:val="20"/>
          <w:highlight w:val="none"/>
        </w:rPr>
        <w:fldChar w:fldCharType="separate"/>
      </w:r>
      <w:r>
        <w:rPr>
          <w:rFonts w:hint="eastAsia" w:ascii="黑体" w:eastAsia="黑体" w:cs="Times New Roman"/>
          <w:bCs w:val="0"/>
          <w:highlight w:val="none"/>
        </w:rPr>
        <w:t>一、收入支出决算总表</w:t>
      </w:r>
      <w:r>
        <w:tab/>
      </w:r>
      <w:r>
        <w:fldChar w:fldCharType="begin"/>
      </w:r>
      <w:r>
        <w:instrText xml:space="preserve"> PAGEREF _Toc6701 \h </w:instrText>
      </w:r>
      <w:r>
        <w:fldChar w:fldCharType="separate"/>
      </w:r>
      <w:r>
        <w:t>16</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_Toc5703 </w:instrText>
      </w:r>
      <w:r>
        <w:rPr>
          <w:caps w:val="0"/>
          <w:smallCaps/>
          <w:szCs w:val="20"/>
          <w:highlight w:val="none"/>
        </w:rPr>
        <w:fldChar w:fldCharType="separate"/>
      </w:r>
      <w:r>
        <w:rPr>
          <w:rFonts w:hint="eastAsia" w:ascii="黑体" w:eastAsia="黑体" w:cs="Times New Roman"/>
          <w:bCs w:val="0"/>
          <w:highlight w:val="none"/>
        </w:rPr>
        <w:t>二、收入决算表</w:t>
      </w:r>
      <w:r>
        <w:tab/>
      </w:r>
      <w:r>
        <w:fldChar w:fldCharType="begin"/>
      </w:r>
      <w:r>
        <w:instrText xml:space="preserve"> PAGEREF _Toc5703 \h </w:instrText>
      </w:r>
      <w:r>
        <w:fldChar w:fldCharType="separate"/>
      </w:r>
      <w:r>
        <w:t>16</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_Toc7252 </w:instrText>
      </w:r>
      <w:r>
        <w:rPr>
          <w:caps w:val="0"/>
          <w:smallCaps/>
          <w:szCs w:val="20"/>
          <w:highlight w:val="none"/>
        </w:rPr>
        <w:fldChar w:fldCharType="separate"/>
      </w:r>
      <w:r>
        <w:rPr>
          <w:rFonts w:hint="eastAsia" w:ascii="黑体" w:eastAsia="黑体" w:cs="Times New Roman"/>
          <w:bCs w:val="0"/>
          <w:highlight w:val="none"/>
        </w:rPr>
        <w:t>三、支出决算表</w:t>
      </w:r>
      <w:r>
        <w:tab/>
      </w:r>
      <w:r>
        <w:fldChar w:fldCharType="begin"/>
      </w:r>
      <w:r>
        <w:instrText xml:space="preserve"> PAGEREF _Toc7252 \h </w:instrText>
      </w:r>
      <w:r>
        <w:fldChar w:fldCharType="separate"/>
      </w:r>
      <w:r>
        <w:t>16</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_Toc2827 </w:instrText>
      </w:r>
      <w:r>
        <w:rPr>
          <w:caps w:val="0"/>
          <w:smallCaps/>
          <w:szCs w:val="20"/>
          <w:highlight w:val="none"/>
        </w:rPr>
        <w:fldChar w:fldCharType="separate"/>
      </w:r>
      <w:r>
        <w:rPr>
          <w:rFonts w:hint="eastAsia" w:ascii="黑体" w:eastAsia="黑体" w:cs="Times New Roman"/>
          <w:bCs w:val="0"/>
          <w:highlight w:val="none"/>
        </w:rPr>
        <w:t>四、财政拨款收入支出决算总表</w:t>
      </w:r>
      <w:r>
        <w:tab/>
      </w:r>
      <w:r>
        <w:fldChar w:fldCharType="begin"/>
      </w:r>
      <w:r>
        <w:instrText xml:space="preserve"> PAGEREF _Toc2827 \h </w:instrText>
      </w:r>
      <w:r>
        <w:fldChar w:fldCharType="separate"/>
      </w:r>
      <w:r>
        <w:t>16</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_Toc11388 </w:instrText>
      </w:r>
      <w:r>
        <w:rPr>
          <w:caps w:val="0"/>
          <w:smallCaps/>
          <w:szCs w:val="20"/>
          <w:highlight w:val="none"/>
        </w:rPr>
        <w:fldChar w:fldCharType="separate"/>
      </w:r>
      <w:r>
        <w:rPr>
          <w:rFonts w:hint="eastAsia" w:ascii="黑体" w:eastAsia="黑体" w:cs="Times New Roman"/>
          <w:bCs w:val="0"/>
          <w:highlight w:val="none"/>
        </w:rPr>
        <w:t>五、财政拨款支出决算明细表</w:t>
      </w:r>
      <w:r>
        <w:tab/>
      </w:r>
      <w:r>
        <w:fldChar w:fldCharType="begin"/>
      </w:r>
      <w:r>
        <w:instrText xml:space="preserve"> PAGEREF _Toc11388 \h </w:instrText>
      </w:r>
      <w:r>
        <w:fldChar w:fldCharType="separate"/>
      </w:r>
      <w:r>
        <w:t>16</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_Toc28378 </w:instrText>
      </w:r>
      <w:r>
        <w:rPr>
          <w:caps w:val="0"/>
          <w:smallCaps/>
          <w:szCs w:val="20"/>
          <w:highlight w:val="none"/>
        </w:rPr>
        <w:fldChar w:fldCharType="separate"/>
      </w:r>
      <w:r>
        <w:rPr>
          <w:rFonts w:hint="eastAsia" w:ascii="黑体" w:eastAsia="黑体" w:cs="Times New Roman"/>
          <w:bCs w:val="0"/>
          <w:highlight w:val="none"/>
        </w:rPr>
        <w:t>六、一般公共预算财政拨款支出决算表</w:t>
      </w:r>
      <w:r>
        <w:tab/>
      </w:r>
      <w:r>
        <w:fldChar w:fldCharType="begin"/>
      </w:r>
      <w:r>
        <w:instrText xml:space="preserve"> PAGEREF _Toc28378 \h </w:instrText>
      </w:r>
      <w:r>
        <w:fldChar w:fldCharType="separate"/>
      </w:r>
      <w:r>
        <w:t>16</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_Toc9565 </w:instrText>
      </w:r>
      <w:r>
        <w:rPr>
          <w:caps w:val="0"/>
          <w:smallCaps/>
          <w:szCs w:val="20"/>
          <w:highlight w:val="none"/>
        </w:rPr>
        <w:fldChar w:fldCharType="separate"/>
      </w:r>
      <w:r>
        <w:rPr>
          <w:rFonts w:hint="eastAsia" w:ascii="黑体" w:eastAsia="黑体" w:cs="Times New Roman"/>
          <w:bCs w:val="0"/>
          <w:highlight w:val="none"/>
        </w:rPr>
        <w:t>七、一般公共预算财政拨款支出决算明细表</w:t>
      </w:r>
      <w:r>
        <w:tab/>
      </w:r>
      <w:r>
        <w:fldChar w:fldCharType="begin"/>
      </w:r>
      <w:r>
        <w:instrText xml:space="preserve"> PAGEREF _Toc9565 \h </w:instrText>
      </w:r>
      <w:r>
        <w:fldChar w:fldCharType="separate"/>
      </w:r>
      <w:r>
        <w:t>16</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_Toc29675 </w:instrText>
      </w:r>
      <w:r>
        <w:rPr>
          <w:caps w:val="0"/>
          <w:smallCaps/>
          <w:szCs w:val="20"/>
          <w:highlight w:val="none"/>
        </w:rPr>
        <w:fldChar w:fldCharType="separate"/>
      </w:r>
      <w:r>
        <w:rPr>
          <w:rFonts w:hint="eastAsia" w:ascii="黑体" w:eastAsia="黑体" w:cs="Times New Roman"/>
          <w:bCs w:val="0"/>
          <w:highlight w:val="none"/>
        </w:rPr>
        <w:t>八、一般公共预算财政拨款基本支出决算表</w:t>
      </w:r>
      <w:r>
        <w:tab/>
      </w:r>
      <w:r>
        <w:fldChar w:fldCharType="begin"/>
      </w:r>
      <w:r>
        <w:instrText xml:space="preserve"> PAGEREF _Toc29675 \h </w:instrText>
      </w:r>
      <w:r>
        <w:fldChar w:fldCharType="separate"/>
      </w:r>
      <w:r>
        <w:t>16</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_Toc12590 </w:instrText>
      </w:r>
      <w:r>
        <w:rPr>
          <w:caps w:val="0"/>
          <w:smallCaps/>
          <w:szCs w:val="20"/>
          <w:highlight w:val="none"/>
        </w:rPr>
        <w:fldChar w:fldCharType="separate"/>
      </w:r>
      <w:r>
        <w:rPr>
          <w:rFonts w:hint="eastAsia" w:ascii="黑体" w:eastAsia="黑体" w:cs="Times New Roman"/>
          <w:bCs w:val="0"/>
          <w:highlight w:val="none"/>
        </w:rPr>
        <w:t>九、一般公共预算财政拨款项目支出决算表</w:t>
      </w:r>
      <w:r>
        <w:tab/>
      </w:r>
      <w:r>
        <w:fldChar w:fldCharType="begin"/>
      </w:r>
      <w:r>
        <w:instrText xml:space="preserve"> PAGEREF _Toc12590 \h </w:instrText>
      </w:r>
      <w:r>
        <w:fldChar w:fldCharType="separate"/>
      </w:r>
      <w:r>
        <w:t>16</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_Toc16652 </w:instrText>
      </w:r>
      <w:r>
        <w:rPr>
          <w:caps w:val="0"/>
          <w:smallCaps/>
          <w:szCs w:val="20"/>
          <w:highlight w:val="none"/>
        </w:rPr>
        <w:fldChar w:fldCharType="separate"/>
      </w:r>
      <w:r>
        <w:rPr>
          <w:rFonts w:hint="eastAsia" w:ascii="黑体" w:eastAsia="黑体" w:cs="Times New Roman"/>
          <w:bCs w:val="0"/>
          <w:highlight w:val="none"/>
        </w:rPr>
        <w:t>十、政府性基金预算财政拨款收入支出决算表</w:t>
      </w:r>
      <w:r>
        <w:tab/>
      </w:r>
      <w:r>
        <w:fldChar w:fldCharType="begin"/>
      </w:r>
      <w:r>
        <w:instrText xml:space="preserve"> PAGEREF _Toc16652 \h </w:instrText>
      </w:r>
      <w:r>
        <w:fldChar w:fldCharType="separate"/>
      </w:r>
      <w:r>
        <w:t>16</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_Toc13104 </w:instrText>
      </w:r>
      <w:r>
        <w:rPr>
          <w:caps w:val="0"/>
          <w:smallCaps/>
          <w:szCs w:val="20"/>
          <w:highlight w:val="none"/>
        </w:rPr>
        <w:fldChar w:fldCharType="separate"/>
      </w:r>
      <w:r>
        <w:rPr>
          <w:rFonts w:hint="eastAsia" w:ascii="黑体" w:eastAsia="黑体" w:cs="Times New Roman"/>
          <w:bCs w:val="0"/>
          <w:highlight w:val="none"/>
        </w:rPr>
        <w:t>十一、国有资本经营预算财政拨款收入支出决算表</w:t>
      </w:r>
      <w:r>
        <w:tab/>
      </w:r>
      <w:r>
        <w:fldChar w:fldCharType="begin"/>
      </w:r>
      <w:r>
        <w:instrText xml:space="preserve"> PAGEREF _Toc13104 \h </w:instrText>
      </w:r>
      <w:r>
        <w:fldChar w:fldCharType="separate"/>
      </w:r>
      <w:r>
        <w:t>16</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_Toc19837 </w:instrText>
      </w:r>
      <w:r>
        <w:rPr>
          <w:caps w:val="0"/>
          <w:smallCaps/>
          <w:szCs w:val="20"/>
          <w:highlight w:val="none"/>
        </w:rPr>
        <w:fldChar w:fldCharType="separate"/>
      </w:r>
      <w:r>
        <w:rPr>
          <w:rFonts w:hint="eastAsia" w:ascii="黑体" w:eastAsia="黑体" w:cs="Times New Roman"/>
          <w:bCs w:val="0"/>
          <w:highlight w:val="none"/>
        </w:rPr>
        <w:t>十二、国有资本经营预算财政拨款支出决算表</w:t>
      </w:r>
      <w:r>
        <w:tab/>
      </w:r>
      <w:r>
        <w:fldChar w:fldCharType="begin"/>
      </w:r>
      <w:r>
        <w:instrText xml:space="preserve"> PAGEREF _Toc19837 \h </w:instrText>
      </w:r>
      <w:r>
        <w:fldChar w:fldCharType="separate"/>
      </w:r>
      <w:r>
        <w:t>16</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_Toc27290 </w:instrText>
      </w:r>
      <w:r>
        <w:rPr>
          <w:caps w:val="0"/>
          <w:smallCaps/>
          <w:szCs w:val="20"/>
          <w:highlight w:val="none"/>
        </w:rPr>
        <w:fldChar w:fldCharType="separate"/>
      </w:r>
      <w:r>
        <w:rPr>
          <w:rFonts w:hint="eastAsia" w:ascii="黑体" w:eastAsia="黑体" w:cs="Times New Roman"/>
          <w:bCs w:val="0"/>
          <w:highlight w:val="none"/>
        </w:rPr>
        <w:t>十三、财政拨款“三公”经费支出决算表</w:t>
      </w:r>
      <w:r>
        <w:tab/>
      </w:r>
      <w:r>
        <w:fldChar w:fldCharType="begin"/>
      </w:r>
      <w:r>
        <w:instrText xml:space="preserve"> PAGEREF _Toc27290 \h </w:instrText>
      </w:r>
      <w:r>
        <w:fldChar w:fldCharType="separate"/>
      </w:r>
      <w:r>
        <w:t>16</w:t>
      </w:r>
      <w:r>
        <w:fldChar w:fldCharType="end"/>
      </w:r>
      <w:r>
        <w:rPr>
          <w:caps w:val="0"/>
          <w:smallCaps/>
          <w:szCs w:val="20"/>
          <w:highlight w:val="none"/>
        </w:rPr>
        <w:fldChar w:fldCharType="end"/>
      </w:r>
    </w:p>
    <w:p>
      <w:pPr>
        <w:pStyle w:val="6"/>
        <w:rPr>
          <w:highlight w:val="yellow"/>
        </w:rPr>
      </w:pPr>
      <w:r>
        <w:rPr>
          <w:caps w:val="0"/>
          <w:smallCaps/>
          <w:szCs w:val="20"/>
          <w:highlight w:val="none"/>
        </w:rPr>
        <w:fldChar w:fldCharType="end"/>
      </w:r>
    </w:p>
    <w:p>
      <w:pPr>
        <w:rPr>
          <w:rFonts w:hint="eastAsia" w:ascii="黑体" w:eastAsia="黑体" w:cs="黑体"/>
          <w:highlight w:val="yellow"/>
        </w:rPr>
      </w:pPr>
      <w:r>
        <w:rPr>
          <w:rFonts w:hint="eastAsia" w:ascii="黑体" w:eastAsia="黑体" w:cs="黑体"/>
          <w:highlight w:val="yellow"/>
        </w:rPr>
        <w:br w:type="page"/>
      </w:r>
    </w:p>
    <w:bookmarkEnd w:id="6"/>
    <w:bookmarkEnd w:id="7"/>
    <w:p>
      <w:pPr>
        <w:pStyle w:val="3"/>
        <w:jc w:val="center"/>
        <w:rPr>
          <w:rFonts w:ascii="黑体" w:eastAsia="黑体" w:cs="黑体"/>
          <w:b w:val="0"/>
          <w:bCs w:val="0"/>
          <w:highlight w:val="none"/>
        </w:rPr>
      </w:pPr>
      <w:bookmarkStart w:id="8" w:name="_Toc21550"/>
      <w:bookmarkStart w:id="9" w:name="_Toc15377204"/>
      <w:r>
        <w:rPr>
          <w:rFonts w:hint="eastAsia" w:ascii="黑体" w:eastAsia="黑体" w:cs="黑体"/>
          <w:highlight w:val="none"/>
        </w:rPr>
        <w:t xml:space="preserve">第一部分 </w:t>
      </w:r>
      <w:r>
        <w:rPr>
          <w:rStyle w:val="23"/>
          <w:rFonts w:hint="eastAsia" w:ascii="黑体" w:eastAsia="黑体" w:cs="黑体"/>
          <w:b/>
          <w:bCs w:val="0"/>
          <w:highlight w:val="none"/>
        </w:rPr>
        <w:t>部门概况</w:t>
      </w:r>
      <w:bookmarkEnd w:id="8"/>
    </w:p>
    <w:p>
      <w:pPr>
        <w:pStyle w:val="4"/>
        <w:keepNext/>
        <w:keepLines/>
        <w:pageBreakBefore w:val="0"/>
        <w:widowControl w:val="0"/>
        <w:kinsoku/>
        <w:wordWrap/>
        <w:overflowPunct/>
        <w:topLinePunct w:val="0"/>
        <w:autoSpaceDE/>
        <w:autoSpaceDN/>
        <w:bidi w:val="0"/>
        <w:adjustRightInd/>
        <w:snapToGrid/>
        <w:spacing w:before="0" w:after="0" w:line="340" w:lineRule="exact"/>
        <w:ind w:firstLine="642" w:firstLineChars="200"/>
        <w:textAlignment w:val="auto"/>
        <w:rPr>
          <w:rFonts w:ascii="黑体" w:eastAsia="黑体" w:cs="Times New Roman"/>
          <w:bCs w:val="0"/>
          <w:color w:val="000000"/>
          <w:highlight w:val="none"/>
        </w:rPr>
      </w:pPr>
      <w:bookmarkStart w:id="10" w:name="_Toc111208496"/>
      <w:bookmarkStart w:id="11" w:name="_Toc15377197"/>
      <w:bookmarkStart w:id="12" w:name="_Toc11489"/>
      <w:r>
        <w:rPr>
          <w:rFonts w:hint="eastAsia" w:ascii="黑体" w:eastAsia="黑体" w:cs="Times New Roman"/>
          <w:bCs w:val="0"/>
          <w:color w:val="000000"/>
          <w:highlight w:val="none"/>
        </w:rPr>
        <w:t>一、</w:t>
      </w:r>
      <w:bookmarkEnd w:id="10"/>
      <w:bookmarkEnd w:id="11"/>
      <w:bookmarkStart w:id="13" w:name="_Toc15377198"/>
      <w:bookmarkStart w:id="14" w:name="_Toc15378445"/>
      <w:r>
        <w:rPr>
          <w:rFonts w:hint="eastAsia" w:ascii="黑体" w:eastAsia="黑体" w:cs="Times New Roman"/>
          <w:bCs w:val="0"/>
          <w:color w:val="000000"/>
          <w:highlight w:val="none"/>
        </w:rPr>
        <w:t>部门职责</w:t>
      </w:r>
      <w:bookmarkEnd w:id="12"/>
    </w:p>
    <w:bookmarkEnd w:id="13"/>
    <w:bookmarkEnd w:id="14"/>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仿宋_GB2312"/>
          <w:sz w:val="32"/>
          <w:szCs w:val="32"/>
          <w:lang w:eastAsia="zh-CN"/>
        </w:rPr>
      </w:pPr>
      <w:bookmarkStart w:id="15" w:name="_Toc28081"/>
      <w:r>
        <w:rPr>
          <w:rFonts w:hint="eastAsia" w:ascii="仿宋_GB2312" w:hAnsi="仿宋_GB2312" w:eastAsia="仿宋_GB2312" w:cs="仿宋_GB2312"/>
          <w:sz w:val="32"/>
          <w:szCs w:val="32"/>
          <w:lang w:val="en-US" w:eastAsia="zh-CN"/>
        </w:rPr>
        <w:t>1.</w:t>
      </w:r>
      <w:r>
        <w:rPr>
          <w:rFonts w:hint="eastAsia" w:ascii="仿宋_GB2312" w:hAnsi="Times New Roman" w:eastAsia="仿宋_GB2312" w:cs="仿宋_GB2312"/>
          <w:sz w:val="32"/>
          <w:szCs w:val="32"/>
        </w:rPr>
        <w:t>制定并组织实施村镇建设规划，部署重点工程建设，地方道路建设及公共设施，水利设施的管理，负责土地、林木、水等自然资源和生态环境的保护，做好护林防火</w:t>
      </w:r>
      <w:r>
        <w:rPr>
          <w:rFonts w:hint="eastAsia" w:ascii="仿宋_GB2312" w:hAnsi="Times New Roman" w:eastAsia="仿宋_GB2312" w:cs="仿宋_GB2312"/>
          <w:sz w:val="32"/>
          <w:szCs w:val="32"/>
          <w:lang w:eastAsia="zh-CN"/>
        </w:rPr>
        <w:t>。</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 xml:space="preserve">2.负责本行政区域内的民政、计划生育、文化教育、卫生、体育等社会公益事业的综合性工作，维护一切经济单位和个人的正当经济权益，取缔非法经济活动，调解和处理民事纠纷，打击刑事犯罪维护社会稳定。 </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3. 优化公共服务</w:t>
      </w:r>
      <w:r>
        <w:rPr>
          <w:rFonts w:hint="eastAsia" w:ascii="仿宋_GB2312" w:hAnsi="Times New Roman" w:eastAsia="仿宋_GB2312" w:cs="仿宋_GB2312"/>
          <w:sz w:val="32"/>
          <w:szCs w:val="32"/>
          <w:lang w:eastAsia="zh-CN"/>
        </w:rPr>
        <w:t>，</w:t>
      </w:r>
      <w:r>
        <w:rPr>
          <w:rFonts w:hint="eastAsia" w:ascii="仿宋_GB2312" w:hAnsi="Times New Roman" w:eastAsia="仿宋_GB2312" w:cs="仿宋_GB2312"/>
          <w:sz w:val="32"/>
          <w:szCs w:val="32"/>
        </w:rPr>
        <w:t xml:space="preserve">推进服务型政府建设，组织实施并优化教育、卫生健康、文化、民政、社会保障、退役军人事务等各项公共服务。 </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 xml:space="preserve">4.抓好精神文明建设，丰富群众文化生活，提倡移风易俗，反对封建迷信，破除陈规陋习，树立社会主义新风尚。 </w:t>
      </w:r>
    </w:p>
    <w:p>
      <w:pPr>
        <w:pStyle w:val="4"/>
        <w:keepNext/>
        <w:keepLines/>
        <w:pageBreakBefore w:val="0"/>
        <w:widowControl w:val="0"/>
        <w:kinsoku/>
        <w:wordWrap/>
        <w:overflowPunct/>
        <w:topLinePunct w:val="0"/>
        <w:autoSpaceDE/>
        <w:autoSpaceDN/>
        <w:bidi w:val="0"/>
        <w:adjustRightInd/>
        <w:snapToGrid/>
        <w:spacing w:after="0" w:afterAutospacing="0" w:line="340" w:lineRule="exact"/>
        <w:ind w:firstLine="640" w:firstLineChars="200"/>
        <w:textAlignment w:val="auto"/>
        <w:rPr>
          <w:rFonts w:hint="eastAsia" w:ascii="仿宋_GB2312" w:hAnsi="Times New Roman" w:eastAsia="仿宋_GB2312" w:cs="仿宋_GB2312"/>
          <w:b w:val="0"/>
          <w:bCs w:val="0"/>
          <w:sz w:val="32"/>
          <w:szCs w:val="32"/>
        </w:rPr>
      </w:pPr>
      <w:r>
        <w:rPr>
          <w:rFonts w:hint="eastAsia" w:ascii="仿宋_GB2312" w:hAnsi="Times New Roman" w:eastAsia="仿宋_GB2312" w:cs="仿宋_GB2312"/>
          <w:b w:val="0"/>
          <w:bCs w:val="0"/>
          <w:sz w:val="32"/>
          <w:szCs w:val="32"/>
        </w:rPr>
        <w:t>5.完成上级政府交办的其它事项。</w:t>
      </w:r>
    </w:p>
    <w:p>
      <w:pPr>
        <w:pStyle w:val="4"/>
        <w:keepNext/>
        <w:keepLines/>
        <w:pageBreakBefore w:val="0"/>
        <w:widowControl w:val="0"/>
        <w:kinsoku/>
        <w:wordWrap/>
        <w:overflowPunct/>
        <w:topLinePunct w:val="0"/>
        <w:autoSpaceDE/>
        <w:autoSpaceDN/>
        <w:bidi w:val="0"/>
        <w:adjustRightInd/>
        <w:snapToGrid/>
        <w:spacing w:after="0" w:afterAutospacing="0" w:line="340" w:lineRule="exact"/>
        <w:ind w:firstLine="963" w:firstLineChars="300"/>
        <w:textAlignment w:val="auto"/>
        <w:rPr>
          <w:rFonts w:hint="eastAsia" w:ascii="黑体" w:eastAsia="黑体" w:cs="Times New Roman"/>
          <w:bCs w:val="0"/>
          <w:color w:val="000000"/>
          <w:highlight w:val="none"/>
        </w:rPr>
      </w:pPr>
      <w:r>
        <w:rPr>
          <w:rFonts w:hint="eastAsia" w:ascii="黑体" w:eastAsia="黑体" w:cs="Times New Roman"/>
          <w:bCs w:val="0"/>
          <w:color w:val="000000"/>
          <w:highlight w:val="none"/>
        </w:rPr>
        <w:t>二、机构设置</w:t>
      </w:r>
      <w:bookmarkEnd w:id="15"/>
    </w:p>
    <w:p>
      <w:pPr>
        <w:keepNext w:val="0"/>
        <w:keepLines w:val="0"/>
        <w:pageBreakBefore w:val="0"/>
        <w:widowControl w:val="0"/>
        <w:kinsoku/>
        <w:wordWrap/>
        <w:overflowPunct/>
        <w:topLinePunct w:val="0"/>
        <w:autoSpaceDE/>
        <w:autoSpaceDN/>
        <w:bidi w:val="0"/>
        <w:spacing w:beforeAutospacing="0" w:line="576" w:lineRule="exact"/>
        <w:ind w:firstLine="642" w:firstLineChars="200"/>
        <w:textAlignment w:val="auto"/>
        <w:rPr>
          <w:rFonts w:hint="eastAsia" w:ascii="仿宋_GB2312" w:hAnsi="仿宋_GB2312" w:eastAsia="仿宋_GB2312" w:cs="仿宋_GB2312"/>
          <w:b/>
          <w:bCs/>
          <w:sz w:val="32"/>
          <w:szCs w:val="32"/>
          <w:highlight w:val="none"/>
          <w:lang w:val="zh-CN"/>
        </w:rPr>
      </w:pPr>
      <w:r>
        <w:rPr>
          <w:rFonts w:hint="eastAsia" w:ascii="仿宋_GB2312" w:hAnsi="仿宋_GB2312" w:eastAsia="仿宋_GB2312" w:cs="仿宋_GB2312"/>
          <w:b/>
          <w:bCs/>
          <w:sz w:val="32"/>
          <w:szCs w:val="32"/>
          <w:highlight w:val="none"/>
          <w:lang w:val="zh-CN"/>
        </w:rPr>
        <w:t>（一）机构组成</w:t>
      </w:r>
    </w:p>
    <w:p>
      <w:pPr>
        <w:pStyle w:val="2"/>
        <w:ind w:left="0" w:leftChars="0" w:firstLine="640" w:firstLineChars="200"/>
        <w:rPr>
          <w:rFonts w:hint="eastAsia" w:ascii="仿宋" w:eastAsia="仿宋"/>
          <w:kern w:val="0"/>
          <w:sz w:val="32"/>
          <w:szCs w:val="32"/>
        </w:rPr>
      </w:pPr>
      <w:r>
        <w:rPr>
          <w:rFonts w:hint="eastAsia" w:ascii="仿宋_GB2312" w:eastAsia="仿宋_GB2312" w:cs="仿宋_GB2312"/>
          <w:sz w:val="32"/>
          <w:szCs w:val="32"/>
          <w:lang w:bidi="ar-SA"/>
        </w:rPr>
        <w:t>茂县</w:t>
      </w:r>
      <w:r>
        <w:rPr>
          <w:rFonts w:hint="eastAsia" w:ascii="仿宋_GB2312" w:eastAsia="仿宋_GB2312" w:cs="仿宋_GB2312"/>
          <w:sz w:val="32"/>
          <w:szCs w:val="32"/>
          <w:lang w:eastAsia="zh-CN" w:bidi="ar-SA"/>
        </w:rPr>
        <w:t>黑虎镇人民政府（</w:t>
      </w:r>
      <w:r>
        <w:rPr>
          <w:rFonts w:hint="eastAsia" w:ascii="仿宋_GB2312" w:eastAsia="仿宋_GB2312" w:cs="仿宋_GB2312"/>
          <w:sz w:val="32"/>
          <w:szCs w:val="32"/>
          <w:lang w:val="en-US" w:eastAsia="zh-CN" w:bidi="ar-SA"/>
        </w:rPr>
        <w:t>事业</w:t>
      </w:r>
      <w:r>
        <w:rPr>
          <w:rFonts w:hint="eastAsia" w:ascii="仿宋_GB2312" w:eastAsia="仿宋_GB2312" w:cs="仿宋_GB2312"/>
          <w:sz w:val="32"/>
          <w:szCs w:val="32"/>
          <w:lang w:eastAsia="zh-CN" w:bidi="ar-SA"/>
        </w:rPr>
        <w:t>）</w:t>
      </w:r>
      <w:r>
        <w:rPr>
          <w:rFonts w:hint="eastAsia" w:ascii="仿宋_GB2312" w:eastAsia="仿宋_GB2312" w:cs="仿宋_GB2312"/>
          <w:sz w:val="32"/>
          <w:szCs w:val="32"/>
          <w:lang w:val="en-US" w:eastAsia="zh-CN" w:bidi="ar-SA"/>
        </w:rPr>
        <w:t>为二级预算单位，设以下直属公益一类事业机构：便民服务中心、农业农村服务中心、文化体育广电和旅游综合服务中心、村镇规划建设服务中心。</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ascii="仿宋_GB2312" w:eastAsia="仿宋_GB2312"/>
          <w:b/>
          <w:bCs/>
          <w:color w:val="000000"/>
          <w:kern w:val="44"/>
          <w:sz w:val="44"/>
          <w:szCs w:val="44"/>
          <w:highlight w:val="yellow"/>
        </w:rPr>
      </w:pPr>
      <w:r>
        <w:rPr>
          <w:rFonts w:hint="eastAsia" w:ascii="仿宋_GB2312" w:hAnsi="仿宋_GB2312" w:eastAsia="仿宋_GB2312" w:cs="仿宋_GB2312"/>
          <w:sz w:val="32"/>
          <w:szCs w:val="32"/>
          <w:highlight w:val="none"/>
        </w:rPr>
        <w:br w:type="page"/>
      </w:r>
    </w:p>
    <w:p>
      <w:pPr>
        <w:pStyle w:val="3"/>
        <w:keepNext/>
        <w:keepLines/>
        <w:pageBreakBefore w:val="0"/>
        <w:widowControl w:val="0"/>
        <w:kinsoku/>
        <w:wordWrap/>
        <w:overflowPunct/>
        <w:topLinePunct w:val="0"/>
        <w:autoSpaceDE/>
        <w:autoSpaceDN/>
        <w:bidi w:val="0"/>
        <w:adjustRightInd/>
        <w:snapToGrid/>
        <w:spacing w:after="330" w:afterAutospacing="0" w:line="579" w:lineRule="auto"/>
        <w:jc w:val="center"/>
        <w:textAlignment w:val="auto"/>
        <w:rPr>
          <w:rFonts w:ascii="黑体" w:eastAsia="黑体" w:cs="黑体"/>
          <w:highlight w:val="none"/>
        </w:rPr>
      </w:pPr>
      <w:bookmarkStart w:id="16" w:name="_Toc111208498"/>
      <w:bookmarkStart w:id="17" w:name="_Toc11896"/>
      <w:r>
        <w:rPr>
          <w:rFonts w:hint="eastAsia" w:ascii="黑体" w:eastAsia="黑体" w:cs="黑体"/>
          <w:highlight w:val="none"/>
        </w:rPr>
        <w:t>第二部分</w:t>
      </w:r>
      <w:r>
        <w:rPr>
          <w:rFonts w:ascii="黑体" w:eastAsia="黑体" w:cs="黑体"/>
          <w:highlight w:val="none"/>
        </w:rPr>
        <w:t xml:space="preserve"> </w:t>
      </w:r>
      <w:r>
        <w:rPr>
          <w:rFonts w:hint="eastAsia" w:ascii="黑体" w:eastAsia="黑体" w:cs="黑体"/>
          <w:highlight w:val="none"/>
          <w:lang w:eastAsia="zh-CN"/>
        </w:rPr>
        <w:t>2024</w:t>
      </w:r>
      <w:r>
        <w:rPr>
          <w:rFonts w:ascii="黑体" w:eastAsia="黑体" w:cs="黑体"/>
          <w:highlight w:val="none"/>
          <w:u w:color="auto"/>
        </w:rPr>
        <w:t>年度</w:t>
      </w:r>
      <w:r>
        <w:rPr>
          <w:rFonts w:hint="eastAsia" w:ascii="黑体" w:eastAsia="黑体" w:cs="黑体"/>
          <w:highlight w:val="none"/>
          <w:u w:color="auto"/>
          <w:lang w:eastAsia="zh-CN"/>
        </w:rPr>
        <w:t>单位</w:t>
      </w:r>
      <w:r>
        <w:rPr>
          <w:rFonts w:ascii="黑体" w:eastAsia="黑体" w:cs="黑体"/>
          <w:highlight w:val="none"/>
          <w:u w:color="auto"/>
        </w:rPr>
        <w:t>决算情况说明</w:t>
      </w:r>
      <w:bookmarkEnd w:id="9"/>
      <w:bookmarkEnd w:id="16"/>
      <w:bookmarkEnd w:id="17"/>
    </w:p>
    <w:p>
      <w:pPr>
        <w:pStyle w:val="4"/>
        <w:keepNext/>
        <w:keepLines/>
        <w:pageBreakBefore w:val="0"/>
        <w:widowControl w:val="0"/>
        <w:kinsoku/>
        <w:wordWrap/>
        <w:overflowPunct/>
        <w:topLinePunct w:val="0"/>
        <w:autoSpaceDE/>
        <w:autoSpaceDN/>
        <w:bidi w:val="0"/>
        <w:adjustRightInd/>
        <w:snapToGrid/>
        <w:spacing w:before="0" w:beforeAutospacing="0" w:after="0" w:afterAutospacing="0" w:line="400" w:lineRule="exact"/>
        <w:ind w:firstLine="642" w:firstLineChars="200"/>
        <w:jc w:val="both"/>
        <w:textAlignment w:val="auto"/>
        <w:rPr>
          <w:rFonts w:ascii="黑体" w:eastAsia="黑体" w:cs="Times New Roman"/>
          <w:bCs w:val="0"/>
          <w:color w:val="000000"/>
          <w:highlight w:val="none"/>
        </w:rPr>
      </w:pPr>
      <w:bookmarkStart w:id="18" w:name="_Toc15377205"/>
      <w:bookmarkStart w:id="19" w:name="_Toc30380"/>
      <w:bookmarkStart w:id="20" w:name="_Toc111208499"/>
      <w:r>
        <w:rPr>
          <w:rFonts w:hint="eastAsia" w:ascii="黑体" w:eastAsia="黑体" w:cs="Times New Roman"/>
          <w:bCs w:val="0"/>
          <w:color w:val="000000"/>
          <w:highlight w:val="none"/>
        </w:rPr>
        <w:t>一、收入支出决算总体情况说</w:t>
      </w:r>
      <w:bookmarkEnd w:id="18"/>
      <w:r>
        <w:rPr>
          <w:rFonts w:hint="eastAsia" w:ascii="黑体" w:eastAsia="黑体" w:cs="Times New Roman"/>
          <w:bCs w:val="0"/>
          <w:color w:val="000000"/>
          <w:highlight w:val="none"/>
        </w:rPr>
        <w:t>明</w:t>
      </w:r>
      <w:bookmarkEnd w:id="19"/>
      <w:bookmarkEnd w:id="20"/>
    </w:p>
    <w:p>
      <w:pPr>
        <w:spacing w:beforeAutospacing="0" w:line="600" w:lineRule="exact"/>
        <w:ind w:firstLine="640" w:firstLineChars="200"/>
        <w:rPr>
          <w:rFonts w:hint="eastAsia" w:ascii="仿宋_GB2312" w:hAnsi="仿宋_GB2312" w:eastAsia="仿宋_GB2312" w:cs="仿宋_GB2312"/>
          <w:color w:val="000000"/>
          <w:sz w:val="28"/>
          <w:szCs w:val="28"/>
          <w:highlight w:val="yellow"/>
        </w:rPr>
      </w:pPr>
      <w:r>
        <w:rPr>
          <w:rFonts w:hint="eastAsia" w:ascii="仿宋_GB2312" w:hAnsi="仿宋_GB2312" w:eastAsia="仿宋_GB2312" w:cs="仿宋_GB2312"/>
          <w:color w:val="000000"/>
          <w:sz w:val="32"/>
          <w:szCs w:val="32"/>
          <w:highlight w:val="none"/>
          <w:lang w:eastAsia="zh-CN"/>
        </w:rPr>
        <w:t>2024</w:t>
      </w:r>
      <w:r>
        <w:rPr>
          <w:rFonts w:hint="eastAsia" w:ascii="仿宋_GB2312" w:hAnsi="仿宋_GB2312" w:eastAsia="仿宋_GB2312" w:cs="仿宋_GB2312"/>
          <w:color w:val="000000"/>
          <w:sz w:val="32"/>
          <w:szCs w:val="32"/>
          <w:highlight w:val="none"/>
        </w:rPr>
        <w:t>年度收、支总计</w:t>
      </w:r>
      <w:r>
        <w:rPr>
          <w:rFonts w:hint="eastAsia" w:ascii="仿宋_GB2312" w:hAnsi="仿宋_GB2312" w:eastAsia="仿宋_GB2312" w:cs="仿宋_GB2312"/>
          <w:color w:val="000000"/>
          <w:sz w:val="32"/>
          <w:szCs w:val="32"/>
          <w:highlight w:val="none"/>
          <w:lang w:val="en-US" w:eastAsia="zh-CN"/>
        </w:rPr>
        <w:t>各为257.86</w:t>
      </w:r>
      <w:r>
        <w:rPr>
          <w:rFonts w:hint="eastAsia" w:ascii="仿宋_GB2312" w:hAnsi="仿宋_GB2312" w:eastAsia="仿宋_GB2312" w:cs="仿宋_GB2312"/>
          <w:color w:val="000000"/>
          <w:sz w:val="32"/>
          <w:szCs w:val="32"/>
          <w:highlight w:val="none"/>
        </w:rPr>
        <w:t>万元。与</w:t>
      </w:r>
      <w:r>
        <w:rPr>
          <w:rFonts w:hint="eastAsia" w:ascii="仿宋_GB2312" w:hAnsi="仿宋_GB2312" w:eastAsia="仿宋_GB2312" w:cs="仿宋_GB2312"/>
          <w:color w:val="000000"/>
          <w:sz w:val="32"/>
          <w:szCs w:val="32"/>
          <w:highlight w:val="none"/>
          <w:lang w:eastAsia="zh-CN"/>
        </w:rPr>
        <w:t>2023</w:t>
      </w:r>
      <w:r>
        <w:rPr>
          <w:rFonts w:hint="eastAsia" w:ascii="仿宋_GB2312" w:hAnsi="仿宋_GB2312" w:eastAsia="仿宋_GB2312" w:cs="仿宋_GB2312"/>
          <w:color w:val="000000"/>
          <w:sz w:val="32"/>
          <w:szCs w:val="32"/>
          <w:highlight w:val="none"/>
        </w:rPr>
        <w:t>年相比，收、支总计各</w:t>
      </w:r>
      <w:r>
        <w:rPr>
          <w:rFonts w:hint="eastAsia" w:ascii="仿宋_GB2312" w:hAnsi="仿宋_GB2312" w:eastAsia="仿宋_GB2312" w:cs="仿宋_GB2312"/>
          <w:color w:val="000000"/>
          <w:sz w:val="32"/>
          <w:szCs w:val="32"/>
          <w:highlight w:val="none"/>
          <w:lang w:eastAsia="zh-CN"/>
        </w:rPr>
        <w:t>增加</w:t>
      </w:r>
      <w:r>
        <w:rPr>
          <w:rFonts w:hint="eastAsia" w:ascii="仿宋_GB2312" w:hAnsi="仿宋_GB2312" w:eastAsia="仿宋_GB2312" w:cs="仿宋_GB2312"/>
          <w:color w:val="000000"/>
          <w:sz w:val="32"/>
          <w:szCs w:val="32"/>
          <w:highlight w:val="none"/>
          <w:lang w:val="en-US" w:eastAsia="zh-CN"/>
        </w:rPr>
        <w:t>31.90</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szCs w:val="32"/>
          <w:highlight w:val="none"/>
          <w:lang w:eastAsia="zh-CN"/>
        </w:rPr>
        <w:t>增加</w:t>
      </w:r>
      <w:r>
        <w:rPr>
          <w:rFonts w:hint="eastAsia" w:ascii="仿宋_GB2312" w:hAnsi="仿宋_GB2312" w:eastAsia="仿宋_GB2312" w:cs="仿宋_GB2312"/>
          <w:color w:val="000000"/>
          <w:sz w:val="32"/>
          <w:szCs w:val="32"/>
          <w:highlight w:val="none"/>
          <w:lang w:val="en-US" w:eastAsia="zh-CN"/>
        </w:rPr>
        <w:t>14.12</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highlight w:val="none"/>
          <w:u w:color="auto"/>
        </w:rPr>
        <w:t>主要变动原因是</w:t>
      </w:r>
      <w:r>
        <w:rPr>
          <w:rFonts w:hint="eastAsia" w:ascii="仿宋_GB2312" w:hAnsi="仿宋_GB2312" w:eastAsia="仿宋_GB2312" w:cs="仿宋_GB2312"/>
          <w:color w:val="000000"/>
          <w:sz w:val="32"/>
          <w:highlight w:val="none"/>
          <w:u w:color="auto"/>
          <w:lang w:eastAsia="zh-CN"/>
        </w:rPr>
        <w:t>：人员增加、五险一金基数调整。</w:t>
      </w:r>
    </w:p>
    <w:p>
      <w:pPr>
        <w:pStyle w:val="6"/>
        <w:rPr>
          <w:highlight w:val="yellow"/>
        </w:rPr>
      </w:pPr>
      <w:r>
        <w:rPr>
          <w:rFonts w:hint="eastAsia" w:eastAsia="仿宋"/>
          <w:highlight w:val="none"/>
          <w:lang w:eastAsia="zh-CN"/>
        </w:rPr>
        <w:drawing>
          <wp:inline distT="0" distB="0" distL="114300" distR="114300">
            <wp:extent cx="5256530" cy="2988310"/>
            <wp:effectExtent l="5080" t="4445" r="15240" b="1714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4"/>
        <w:keepNext/>
        <w:keepLines/>
        <w:pageBreakBefore w:val="0"/>
        <w:widowControl w:val="0"/>
        <w:kinsoku/>
        <w:wordWrap/>
        <w:overflowPunct/>
        <w:topLinePunct w:val="0"/>
        <w:autoSpaceDE/>
        <w:autoSpaceDN/>
        <w:bidi w:val="0"/>
        <w:adjustRightInd/>
        <w:snapToGrid/>
        <w:spacing w:after="0" w:afterAutospacing="0" w:line="300" w:lineRule="exact"/>
        <w:ind w:firstLine="642" w:firstLineChars="200"/>
        <w:textAlignment w:val="auto"/>
        <w:rPr>
          <w:rFonts w:ascii="黑体" w:eastAsia="黑体" w:cs="Times New Roman"/>
          <w:bCs w:val="0"/>
          <w:color w:val="000000"/>
          <w:highlight w:val="none"/>
        </w:rPr>
      </w:pPr>
      <w:bookmarkStart w:id="21" w:name="_Toc111208500"/>
      <w:bookmarkStart w:id="22" w:name="_Toc15377206"/>
      <w:bookmarkStart w:id="23" w:name="_Toc483"/>
      <w:r>
        <w:rPr>
          <w:rFonts w:hint="eastAsia" w:ascii="黑体" w:eastAsia="黑体" w:cs="Times New Roman"/>
          <w:bCs w:val="0"/>
          <w:color w:val="000000"/>
          <w:highlight w:val="none"/>
        </w:rPr>
        <w:t>二、收入决算情况说明</w:t>
      </w:r>
      <w:bookmarkEnd w:id="21"/>
      <w:bookmarkEnd w:id="22"/>
      <w:bookmarkEnd w:id="23"/>
    </w:p>
    <w:p>
      <w:pPr>
        <w:spacing w:beforeAutospacing="0" w:line="600" w:lineRule="exact"/>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2024</w:t>
      </w:r>
      <w:r>
        <w:rPr>
          <w:rFonts w:hint="eastAsia" w:ascii="仿宋_GB2312" w:hAnsi="仿宋_GB2312" w:eastAsia="仿宋_GB2312" w:cs="仿宋_GB2312"/>
          <w:color w:val="000000"/>
          <w:sz w:val="32"/>
          <w:highlight w:val="none"/>
          <w:u w:color="auto"/>
        </w:rPr>
        <w:t>年收入合计</w:t>
      </w:r>
      <w:r>
        <w:rPr>
          <w:rFonts w:hint="eastAsia" w:ascii="仿宋_GB2312" w:hAnsi="仿宋_GB2312" w:eastAsia="仿宋_GB2312" w:cs="仿宋_GB2312"/>
          <w:color w:val="000000"/>
          <w:sz w:val="32"/>
          <w:highlight w:val="none"/>
          <w:u w:color="auto"/>
          <w:lang w:eastAsia="zh-CN"/>
        </w:rPr>
        <w:t>2</w:t>
      </w:r>
      <w:r>
        <w:rPr>
          <w:rFonts w:hint="eastAsia" w:ascii="仿宋_GB2312" w:hAnsi="仿宋_GB2312" w:eastAsia="仿宋_GB2312" w:cs="仿宋_GB2312"/>
          <w:color w:val="000000"/>
          <w:sz w:val="32"/>
          <w:highlight w:val="none"/>
          <w:u w:color="auto"/>
          <w:lang w:val="en-US" w:eastAsia="zh-CN"/>
        </w:rPr>
        <w:t>57.86</w:t>
      </w:r>
      <w:r>
        <w:rPr>
          <w:rFonts w:hint="eastAsia" w:ascii="仿宋_GB2312" w:hAnsi="仿宋_GB2312" w:eastAsia="仿宋_GB2312" w:cs="仿宋_GB2312"/>
          <w:color w:val="000000"/>
          <w:sz w:val="32"/>
          <w:highlight w:val="none"/>
          <w:u w:color="auto"/>
        </w:rPr>
        <w:t>万元，其中：一般公共预算财政拨款收入</w:t>
      </w:r>
      <w:r>
        <w:rPr>
          <w:rFonts w:hint="eastAsia" w:ascii="仿宋_GB2312" w:hAnsi="仿宋_GB2312" w:eastAsia="仿宋_GB2312" w:cs="仿宋_GB2312"/>
          <w:color w:val="000000"/>
          <w:sz w:val="32"/>
          <w:highlight w:val="none"/>
          <w:u w:color="auto"/>
          <w:lang w:val="en-US" w:eastAsia="zh-CN"/>
        </w:rPr>
        <w:t>257.86</w:t>
      </w:r>
      <w:r>
        <w:rPr>
          <w:rFonts w:hint="eastAsia" w:ascii="仿宋_GB2312" w:hAnsi="仿宋_GB2312" w:eastAsia="仿宋_GB2312" w:cs="仿宋_GB2312"/>
          <w:color w:val="000000"/>
          <w:sz w:val="32"/>
          <w:highlight w:val="none"/>
          <w:u w:color="auto"/>
        </w:rPr>
        <w:t>万元，占100%。</w:t>
      </w:r>
    </w:p>
    <w:p>
      <w:pPr>
        <w:pStyle w:val="2"/>
        <w:jc w:val="both"/>
        <w:rPr>
          <w:highlight w:val="none"/>
        </w:rPr>
      </w:pPr>
      <w:r>
        <w:rPr>
          <w:rFonts w:hint="eastAsia" w:ascii="仿宋_GB2312" w:eastAsia="仿宋_GB2312"/>
          <w:color w:val="FF0000"/>
          <w:sz w:val="32"/>
          <w:szCs w:val="32"/>
          <w:highlight w:val="none"/>
        </w:rPr>
        <w:drawing>
          <wp:inline distT="0" distB="0" distL="114300" distR="114300">
            <wp:extent cx="5332730" cy="3400425"/>
            <wp:effectExtent l="0" t="0" r="0"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4"/>
        <w:keepNext/>
        <w:keepLines/>
        <w:pageBreakBefore w:val="0"/>
        <w:widowControl w:val="0"/>
        <w:kinsoku/>
        <w:wordWrap/>
        <w:overflowPunct/>
        <w:topLinePunct w:val="0"/>
        <w:autoSpaceDE/>
        <w:autoSpaceDN/>
        <w:bidi w:val="0"/>
        <w:adjustRightInd/>
        <w:snapToGrid/>
        <w:spacing w:after="0" w:afterAutospacing="0" w:line="300" w:lineRule="exact"/>
        <w:ind w:firstLine="642" w:firstLineChars="200"/>
        <w:textAlignment w:val="auto"/>
        <w:rPr>
          <w:rFonts w:ascii="黑体" w:eastAsia="黑体" w:cs="Times New Roman"/>
          <w:bCs w:val="0"/>
          <w:color w:val="000000"/>
          <w:highlight w:val="none"/>
        </w:rPr>
      </w:pPr>
      <w:bookmarkStart w:id="24" w:name="_Toc27257"/>
      <w:bookmarkStart w:id="25" w:name="_Toc15377207"/>
      <w:bookmarkStart w:id="26" w:name="_Toc111208501"/>
      <w:r>
        <w:rPr>
          <w:rFonts w:hint="eastAsia" w:ascii="黑体" w:eastAsia="黑体" w:cs="Times New Roman"/>
          <w:bCs w:val="0"/>
          <w:color w:val="000000"/>
          <w:highlight w:val="none"/>
        </w:rPr>
        <w:t>三、支出决算情况说明</w:t>
      </w:r>
      <w:bookmarkEnd w:id="24"/>
      <w:bookmarkEnd w:id="25"/>
      <w:bookmarkEnd w:id="26"/>
    </w:p>
    <w:p>
      <w:pPr>
        <w:pStyle w:val="6"/>
        <w:spacing w:beforeAutospacing="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2024</w:t>
      </w:r>
      <w:r>
        <w:rPr>
          <w:rFonts w:hint="eastAsia" w:ascii="仿宋_GB2312" w:hAnsi="仿宋_GB2312" w:eastAsia="仿宋_GB2312" w:cs="仿宋_GB2312"/>
          <w:color w:val="000000"/>
          <w:sz w:val="32"/>
          <w:szCs w:val="32"/>
          <w:highlight w:val="none"/>
        </w:rPr>
        <w:t>年支出合计</w:t>
      </w:r>
      <w:r>
        <w:rPr>
          <w:rFonts w:hint="eastAsia" w:ascii="仿宋_GB2312" w:hAnsi="仿宋_GB2312" w:eastAsia="仿宋_GB2312" w:cs="仿宋_GB2312"/>
          <w:color w:val="000000"/>
          <w:sz w:val="32"/>
          <w:szCs w:val="32"/>
          <w:highlight w:val="none"/>
          <w:lang w:val="en-US" w:eastAsia="zh-CN"/>
        </w:rPr>
        <w:t>257.86</w:t>
      </w:r>
      <w:r>
        <w:rPr>
          <w:rFonts w:hint="eastAsia" w:ascii="仿宋_GB2312" w:hAnsi="仿宋_GB2312" w:eastAsia="仿宋_GB2312" w:cs="仿宋_GB2312"/>
          <w:color w:val="000000"/>
          <w:sz w:val="32"/>
          <w:szCs w:val="32"/>
          <w:highlight w:val="none"/>
        </w:rPr>
        <w:t>万元，其中：基本支出</w:t>
      </w:r>
      <w:r>
        <w:rPr>
          <w:rFonts w:hint="eastAsia" w:ascii="仿宋_GB2312" w:hAnsi="仿宋_GB2312" w:eastAsia="仿宋_GB2312" w:cs="仿宋_GB2312"/>
          <w:color w:val="000000"/>
          <w:sz w:val="32"/>
          <w:szCs w:val="32"/>
          <w:highlight w:val="none"/>
          <w:lang w:val="en-US" w:eastAsia="zh-CN"/>
        </w:rPr>
        <w:t>257.86</w:t>
      </w:r>
      <w:r>
        <w:rPr>
          <w:rFonts w:hint="eastAsia" w:ascii="仿宋_GB2312" w:hAnsi="仿宋_GB2312" w:eastAsia="仿宋_GB2312" w:cs="仿宋_GB2312"/>
          <w:color w:val="000000"/>
          <w:sz w:val="32"/>
          <w:szCs w:val="32"/>
          <w:highlight w:val="none"/>
        </w:rPr>
        <w:t>万元，占</w:t>
      </w:r>
      <w:r>
        <w:rPr>
          <w:rFonts w:hint="eastAsia" w:ascii="仿宋_GB2312" w:hAnsi="仿宋_GB2312" w:eastAsia="仿宋_GB2312" w:cs="仿宋_GB2312"/>
          <w:color w:val="000000"/>
          <w:sz w:val="32"/>
          <w:szCs w:val="32"/>
          <w:highlight w:val="none"/>
          <w:lang w:val="en-US" w:eastAsia="zh-CN"/>
        </w:rPr>
        <w:t>100</w:t>
      </w:r>
      <w:r>
        <w:rPr>
          <w:rFonts w:hint="eastAsia" w:ascii="仿宋_GB2312" w:hAnsi="仿宋_GB2312" w:eastAsia="仿宋_GB2312" w:cs="仿宋_GB2312"/>
          <w:color w:val="000000"/>
          <w:sz w:val="32"/>
          <w:szCs w:val="32"/>
          <w:highlight w:val="none"/>
        </w:rPr>
        <w:t>%。</w:t>
      </w:r>
    </w:p>
    <w:p>
      <w:pPr>
        <w:jc w:val="both"/>
        <w:rPr>
          <w:rFonts w:ascii="仿宋_GB2312" w:eastAsia="仿宋_GB2312"/>
          <w:color w:val="FF0000"/>
          <w:sz w:val="32"/>
          <w:szCs w:val="32"/>
          <w:highlight w:val="none"/>
        </w:rPr>
      </w:pPr>
      <w:r>
        <w:rPr>
          <w:rFonts w:hint="eastAsia" w:ascii="仿宋" w:hAnsi="仿宋" w:eastAsia="仿宋"/>
          <w:sz w:val="32"/>
          <w:szCs w:val="32"/>
          <w:highlight w:val="none"/>
          <w:shd w:val="pct10" w:color="auto" w:fill="FFFFFF"/>
          <w:lang w:eastAsia="zh-CN"/>
        </w:rPr>
        <w:drawing>
          <wp:inline distT="0" distB="0" distL="114300" distR="114300">
            <wp:extent cx="5256530" cy="2988310"/>
            <wp:effectExtent l="5080" t="4445" r="15240" b="1714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6"/>
        <w:rPr>
          <w:highlight w:val="none"/>
        </w:rPr>
      </w:pPr>
    </w:p>
    <w:p>
      <w:pPr>
        <w:pStyle w:val="4"/>
        <w:keepNext/>
        <w:keepLines/>
        <w:pageBreakBefore w:val="0"/>
        <w:widowControl w:val="0"/>
        <w:kinsoku/>
        <w:wordWrap/>
        <w:overflowPunct/>
        <w:topLinePunct w:val="0"/>
        <w:autoSpaceDE/>
        <w:autoSpaceDN/>
        <w:bidi w:val="0"/>
        <w:adjustRightInd/>
        <w:snapToGrid/>
        <w:spacing w:after="0" w:afterAutospacing="0" w:line="300" w:lineRule="exact"/>
        <w:ind w:firstLine="642" w:firstLineChars="200"/>
        <w:textAlignment w:val="auto"/>
        <w:rPr>
          <w:rFonts w:ascii="黑体" w:eastAsia="黑体" w:cs="Times New Roman"/>
          <w:bCs w:val="0"/>
          <w:color w:val="000000"/>
          <w:highlight w:val="none"/>
        </w:rPr>
      </w:pPr>
      <w:bookmarkStart w:id="27" w:name="_Toc15377208"/>
      <w:bookmarkStart w:id="28" w:name="_Toc111208502"/>
      <w:bookmarkStart w:id="29" w:name="_Toc12534"/>
      <w:r>
        <w:rPr>
          <w:rFonts w:hint="eastAsia" w:ascii="黑体" w:eastAsia="黑体" w:cs="Times New Roman"/>
          <w:bCs w:val="0"/>
          <w:color w:val="000000"/>
          <w:highlight w:val="none"/>
        </w:rPr>
        <w:t>四、财政拨款收入支出决算总体情况说明</w:t>
      </w:r>
      <w:bookmarkEnd w:id="27"/>
      <w:bookmarkEnd w:id="28"/>
      <w:bookmarkEnd w:id="29"/>
    </w:p>
    <w:p>
      <w:pPr>
        <w:spacing w:beforeAutospacing="0" w:line="600" w:lineRule="exact"/>
        <w:ind w:firstLine="640" w:firstLineChars="200"/>
        <w:rPr>
          <w:highlight w:val="none"/>
        </w:rPr>
      </w:pPr>
      <w:r>
        <w:rPr>
          <w:rFonts w:hint="eastAsia" w:ascii="仿宋_GB2312" w:hAnsi="仿宋_GB2312" w:eastAsia="仿宋_GB2312" w:cs="仿宋_GB2312"/>
          <w:color w:val="000000"/>
          <w:sz w:val="32"/>
          <w:szCs w:val="32"/>
          <w:highlight w:val="none"/>
          <w:lang w:eastAsia="zh-CN"/>
        </w:rPr>
        <w:t>2024</w:t>
      </w:r>
      <w:r>
        <w:rPr>
          <w:rFonts w:hint="eastAsia" w:ascii="仿宋_GB2312" w:hAnsi="仿宋_GB2312" w:eastAsia="仿宋_GB2312" w:cs="仿宋_GB2312"/>
          <w:color w:val="000000"/>
          <w:sz w:val="32"/>
          <w:szCs w:val="32"/>
          <w:highlight w:val="none"/>
        </w:rPr>
        <w:t>年度收、支总计</w:t>
      </w:r>
      <w:r>
        <w:rPr>
          <w:rFonts w:hint="eastAsia" w:ascii="仿宋_GB2312" w:hAnsi="仿宋_GB2312" w:eastAsia="仿宋_GB2312" w:cs="仿宋_GB2312"/>
          <w:color w:val="000000"/>
          <w:sz w:val="32"/>
          <w:szCs w:val="32"/>
          <w:highlight w:val="none"/>
          <w:lang w:val="en-US" w:eastAsia="zh-CN"/>
        </w:rPr>
        <w:t>各为257.86</w:t>
      </w:r>
      <w:r>
        <w:rPr>
          <w:rFonts w:hint="eastAsia" w:ascii="仿宋_GB2312" w:hAnsi="仿宋_GB2312" w:eastAsia="仿宋_GB2312" w:cs="仿宋_GB2312"/>
          <w:color w:val="000000"/>
          <w:sz w:val="32"/>
          <w:szCs w:val="32"/>
          <w:highlight w:val="none"/>
        </w:rPr>
        <w:t>万元。与</w:t>
      </w:r>
      <w:r>
        <w:rPr>
          <w:rFonts w:hint="eastAsia" w:ascii="仿宋_GB2312" w:hAnsi="仿宋_GB2312" w:eastAsia="仿宋_GB2312" w:cs="仿宋_GB2312"/>
          <w:color w:val="000000"/>
          <w:sz w:val="32"/>
          <w:szCs w:val="32"/>
          <w:highlight w:val="none"/>
          <w:lang w:eastAsia="zh-CN"/>
        </w:rPr>
        <w:t>2023</w:t>
      </w:r>
      <w:r>
        <w:rPr>
          <w:rFonts w:hint="eastAsia" w:ascii="仿宋_GB2312" w:hAnsi="仿宋_GB2312" w:eastAsia="仿宋_GB2312" w:cs="仿宋_GB2312"/>
          <w:color w:val="000000"/>
          <w:sz w:val="32"/>
          <w:szCs w:val="32"/>
          <w:highlight w:val="none"/>
        </w:rPr>
        <w:t>年相比，收、支总计各</w:t>
      </w:r>
      <w:r>
        <w:rPr>
          <w:rFonts w:hint="eastAsia" w:ascii="仿宋_GB2312" w:hAnsi="仿宋_GB2312" w:eastAsia="仿宋_GB2312" w:cs="仿宋_GB2312"/>
          <w:color w:val="000000"/>
          <w:sz w:val="32"/>
          <w:szCs w:val="32"/>
          <w:highlight w:val="none"/>
          <w:lang w:eastAsia="zh-CN"/>
        </w:rPr>
        <w:t>增加</w:t>
      </w:r>
      <w:r>
        <w:rPr>
          <w:rFonts w:hint="eastAsia" w:ascii="仿宋_GB2312" w:hAnsi="仿宋_GB2312" w:eastAsia="仿宋_GB2312" w:cs="仿宋_GB2312"/>
          <w:color w:val="000000"/>
          <w:sz w:val="32"/>
          <w:szCs w:val="32"/>
          <w:highlight w:val="none"/>
          <w:lang w:val="en-US" w:eastAsia="zh-CN"/>
        </w:rPr>
        <w:t>31.90</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szCs w:val="32"/>
          <w:highlight w:val="none"/>
          <w:lang w:eastAsia="zh-CN"/>
        </w:rPr>
        <w:t>增加</w:t>
      </w:r>
      <w:r>
        <w:rPr>
          <w:rFonts w:hint="eastAsia" w:ascii="仿宋_GB2312" w:hAnsi="仿宋_GB2312" w:eastAsia="仿宋_GB2312" w:cs="仿宋_GB2312"/>
          <w:color w:val="000000"/>
          <w:sz w:val="32"/>
          <w:szCs w:val="32"/>
          <w:highlight w:val="none"/>
          <w:lang w:val="en-US" w:eastAsia="zh-CN"/>
        </w:rPr>
        <w:t>14.12</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highlight w:val="none"/>
          <w:u w:color="auto"/>
        </w:rPr>
        <w:t>主要变动原因是</w:t>
      </w:r>
      <w:r>
        <w:rPr>
          <w:rFonts w:hint="eastAsia" w:ascii="仿宋_GB2312" w:hAnsi="仿宋_GB2312" w:eastAsia="仿宋_GB2312" w:cs="仿宋_GB2312"/>
          <w:color w:val="000000"/>
          <w:sz w:val="32"/>
          <w:highlight w:val="none"/>
          <w:u w:color="auto"/>
          <w:lang w:eastAsia="zh-CN"/>
        </w:rPr>
        <w:t>：人员增加、五险一金基数调整。</w:t>
      </w:r>
    </w:p>
    <w:p>
      <w:pPr>
        <w:pStyle w:val="6"/>
        <w:jc w:val="left"/>
        <w:rPr>
          <w:highlight w:val="none"/>
        </w:rPr>
      </w:pPr>
      <w:r>
        <w:rPr>
          <w:rFonts w:hint="eastAsia" w:eastAsia="仿宋"/>
          <w:highlight w:val="none"/>
          <w:lang w:eastAsia="zh-CN"/>
        </w:rPr>
        <w:drawing>
          <wp:inline distT="0" distB="0" distL="114300" distR="114300">
            <wp:extent cx="5256530" cy="2988310"/>
            <wp:effectExtent l="5080" t="4445" r="15240" b="1714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6"/>
        <w:jc w:val="center"/>
        <w:rPr>
          <w:highlight w:val="none"/>
        </w:rPr>
      </w:pPr>
    </w:p>
    <w:p>
      <w:pPr>
        <w:pStyle w:val="4"/>
        <w:keepNext/>
        <w:keepLines/>
        <w:pageBreakBefore w:val="0"/>
        <w:widowControl w:val="0"/>
        <w:kinsoku/>
        <w:wordWrap/>
        <w:overflowPunct/>
        <w:topLinePunct w:val="0"/>
        <w:autoSpaceDE/>
        <w:autoSpaceDN/>
        <w:bidi w:val="0"/>
        <w:adjustRightInd/>
        <w:snapToGrid/>
        <w:spacing w:after="0" w:afterAutospacing="0" w:line="300" w:lineRule="exact"/>
        <w:ind w:firstLine="642" w:firstLineChars="200"/>
        <w:textAlignment w:val="auto"/>
        <w:rPr>
          <w:rFonts w:ascii="黑体" w:eastAsia="黑体" w:cs="Times New Roman"/>
          <w:bCs w:val="0"/>
          <w:color w:val="000000"/>
          <w:highlight w:val="none"/>
        </w:rPr>
      </w:pPr>
      <w:bookmarkStart w:id="30" w:name="_Toc15377209"/>
      <w:bookmarkStart w:id="31" w:name="_Toc111208503"/>
      <w:bookmarkStart w:id="32" w:name="_Toc16370"/>
      <w:r>
        <w:rPr>
          <w:rFonts w:hint="eastAsia" w:ascii="黑体" w:eastAsia="黑体" w:cs="Times New Roman"/>
          <w:bCs w:val="0"/>
          <w:color w:val="000000"/>
          <w:highlight w:val="none"/>
        </w:rPr>
        <w:t>五、一般公共预算财政拨款支出决算情况说</w:t>
      </w:r>
      <w:bookmarkEnd w:id="30"/>
      <w:r>
        <w:rPr>
          <w:rFonts w:hint="eastAsia" w:ascii="黑体" w:eastAsia="黑体" w:cs="Times New Roman"/>
          <w:bCs w:val="0"/>
          <w:color w:val="000000"/>
          <w:highlight w:val="none"/>
        </w:rPr>
        <w:t>明</w:t>
      </w:r>
      <w:bookmarkEnd w:id="31"/>
      <w:bookmarkEnd w:id="32"/>
    </w:p>
    <w:p>
      <w:pPr>
        <w:spacing w:beforeAutospacing="0" w:line="600" w:lineRule="exact"/>
        <w:ind w:firstLine="642" w:firstLineChars="200"/>
        <w:outlineLvl w:val="2"/>
        <w:rPr>
          <w:rFonts w:hint="eastAsia" w:ascii="仿宋_GB2312" w:hAnsi="仿宋_GB2312" w:eastAsia="仿宋_GB2312" w:cs="仿宋_GB2312"/>
          <w:b/>
          <w:color w:val="000000"/>
          <w:sz w:val="32"/>
          <w:szCs w:val="32"/>
          <w:highlight w:val="none"/>
        </w:rPr>
      </w:pPr>
      <w:bookmarkStart w:id="33" w:name="_Toc15377210"/>
      <w:r>
        <w:rPr>
          <w:rFonts w:hint="eastAsia" w:ascii="仿宋_GB2312" w:hAnsi="仿宋_GB2312" w:eastAsia="仿宋_GB2312" w:cs="仿宋_GB2312"/>
          <w:b/>
          <w:color w:val="000000"/>
          <w:sz w:val="32"/>
          <w:szCs w:val="32"/>
          <w:highlight w:val="none"/>
        </w:rPr>
        <w:t>（一）一般公共预算财政拨款支出决算总体情况</w:t>
      </w:r>
      <w:bookmarkEnd w:id="33"/>
    </w:p>
    <w:p>
      <w:pPr>
        <w:spacing w:line="600" w:lineRule="exact"/>
        <w:ind w:firstLine="640" w:firstLineChars="200"/>
        <w:rPr>
          <w:rFonts w:hint="eastAsia" w:ascii="仿宋_GB2312" w:hAnsi="仿宋_GB2312" w:eastAsia="仿宋_GB2312" w:cs="仿宋_GB2312"/>
          <w:b/>
          <w:color w:val="000000"/>
          <w:sz w:val="32"/>
          <w:szCs w:val="32"/>
          <w:highlight w:val="none"/>
        </w:rPr>
      </w:pPr>
      <w:bookmarkStart w:id="34" w:name="_Toc15377211"/>
      <w:r>
        <w:rPr>
          <w:rFonts w:hint="eastAsia" w:ascii="仿宋_GB2312" w:hAnsi="仿宋_GB2312" w:eastAsia="仿宋_GB2312" w:cs="仿宋_GB2312"/>
          <w:color w:val="000000"/>
          <w:sz w:val="32"/>
          <w:szCs w:val="32"/>
          <w:highlight w:val="none"/>
          <w:lang w:eastAsia="zh-CN"/>
        </w:rPr>
        <w:t>2024</w:t>
      </w:r>
      <w:r>
        <w:rPr>
          <w:rFonts w:hint="eastAsia" w:ascii="仿宋_GB2312" w:hAnsi="仿宋_GB2312" w:eastAsia="仿宋_GB2312" w:cs="仿宋_GB2312"/>
          <w:color w:val="000000"/>
          <w:sz w:val="32"/>
          <w:szCs w:val="32"/>
          <w:highlight w:val="none"/>
        </w:rPr>
        <w:t>年度收、支总计</w:t>
      </w:r>
      <w:r>
        <w:rPr>
          <w:rFonts w:hint="eastAsia" w:ascii="仿宋_GB2312" w:hAnsi="仿宋_GB2312" w:eastAsia="仿宋_GB2312" w:cs="仿宋_GB2312"/>
          <w:color w:val="000000"/>
          <w:sz w:val="32"/>
          <w:szCs w:val="32"/>
          <w:highlight w:val="none"/>
          <w:lang w:val="en-US" w:eastAsia="zh-CN"/>
        </w:rPr>
        <w:t>各为257.86</w:t>
      </w:r>
      <w:r>
        <w:rPr>
          <w:rFonts w:hint="eastAsia" w:ascii="仿宋_GB2312" w:hAnsi="仿宋_GB2312" w:eastAsia="仿宋_GB2312" w:cs="仿宋_GB2312"/>
          <w:color w:val="000000"/>
          <w:sz w:val="32"/>
          <w:szCs w:val="32"/>
          <w:highlight w:val="none"/>
        </w:rPr>
        <w:t>万元。与</w:t>
      </w:r>
      <w:r>
        <w:rPr>
          <w:rFonts w:hint="eastAsia" w:ascii="仿宋_GB2312" w:hAnsi="仿宋_GB2312" w:eastAsia="仿宋_GB2312" w:cs="仿宋_GB2312"/>
          <w:color w:val="000000"/>
          <w:sz w:val="32"/>
          <w:szCs w:val="32"/>
          <w:highlight w:val="none"/>
          <w:lang w:eastAsia="zh-CN"/>
        </w:rPr>
        <w:t>2023</w:t>
      </w:r>
      <w:r>
        <w:rPr>
          <w:rFonts w:hint="eastAsia" w:ascii="仿宋_GB2312" w:hAnsi="仿宋_GB2312" w:eastAsia="仿宋_GB2312" w:cs="仿宋_GB2312"/>
          <w:color w:val="000000"/>
          <w:sz w:val="32"/>
          <w:szCs w:val="32"/>
          <w:highlight w:val="none"/>
        </w:rPr>
        <w:t>年相比，收、支总计各</w:t>
      </w:r>
      <w:r>
        <w:rPr>
          <w:rFonts w:hint="eastAsia" w:ascii="仿宋_GB2312" w:hAnsi="仿宋_GB2312" w:eastAsia="仿宋_GB2312" w:cs="仿宋_GB2312"/>
          <w:color w:val="000000"/>
          <w:sz w:val="32"/>
          <w:szCs w:val="32"/>
          <w:highlight w:val="none"/>
          <w:lang w:eastAsia="zh-CN"/>
        </w:rPr>
        <w:t>增加</w:t>
      </w:r>
      <w:r>
        <w:rPr>
          <w:rFonts w:hint="eastAsia" w:ascii="仿宋_GB2312" w:hAnsi="仿宋_GB2312" w:eastAsia="仿宋_GB2312" w:cs="仿宋_GB2312"/>
          <w:color w:val="000000"/>
          <w:sz w:val="32"/>
          <w:szCs w:val="32"/>
          <w:highlight w:val="none"/>
          <w:lang w:val="en-US" w:eastAsia="zh-CN"/>
        </w:rPr>
        <w:t>31.90</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szCs w:val="32"/>
          <w:highlight w:val="none"/>
          <w:lang w:eastAsia="zh-CN"/>
        </w:rPr>
        <w:t>增加</w:t>
      </w:r>
      <w:r>
        <w:rPr>
          <w:rFonts w:hint="eastAsia" w:ascii="仿宋_GB2312" w:hAnsi="仿宋_GB2312" w:eastAsia="仿宋_GB2312" w:cs="仿宋_GB2312"/>
          <w:color w:val="000000"/>
          <w:sz w:val="32"/>
          <w:szCs w:val="32"/>
          <w:highlight w:val="none"/>
          <w:lang w:val="en-US" w:eastAsia="zh-CN"/>
        </w:rPr>
        <w:t>14.12</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highlight w:val="none"/>
          <w:u w:color="auto"/>
        </w:rPr>
        <w:t>主要变动原因是</w:t>
      </w:r>
      <w:r>
        <w:rPr>
          <w:rFonts w:hint="eastAsia" w:ascii="仿宋_GB2312" w:hAnsi="仿宋_GB2312" w:eastAsia="仿宋_GB2312" w:cs="仿宋_GB2312"/>
          <w:color w:val="000000"/>
          <w:sz w:val="32"/>
          <w:highlight w:val="none"/>
          <w:u w:color="auto"/>
          <w:lang w:eastAsia="zh-CN"/>
        </w:rPr>
        <w:t>：人员增加、五险一金基数调整。</w:t>
      </w:r>
    </w:p>
    <w:p>
      <w:pPr>
        <w:pStyle w:val="6"/>
        <w:ind w:firstLine="0"/>
        <w:rPr>
          <w:rFonts w:ascii="仿宋_GB2312" w:eastAsia="仿宋_GB2312"/>
          <w:b/>
          <w:color w:val="000000"/>
          <w:sz w:val="32"/>
          <w:szCs w:val="32"/>
          <w:highlight w:val="none"/>
        </w:rPr>
      </w:pPr>
      <w:r>
        <w:rPr>
          <w:rFonts w:hint="eastAsia" w:eastAsia="仿宋"/>
          <w:highlight w:val="none"/>
          <w:lang w:eastAsia="zh-CN"/>
        </w:rPr>
        <w:drawing>
          <wp:inline distT="0" distB="0" distL="114300" distR="114300">
            <wp:extent cx="5256530" cy="2988310"/>
            <wp:effectExtent l="5080" t="4445" r="15240" b="1714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6"/>
        <w:ind w:firstLine="0"/>
        <w:rPr>
          <w:rFonts w:ascii="仿宋_GB2312" w:eastAsia="仿宋_GB2312"/>
          <w:b/>
          <w:color w:val="000000"/>
          <w:sz w:val="32"/>
          <w:szCs w:val="32"/>
          <w:highlight w:val="none"/>
        </w:rPr>
      </w:pPr>
    </w:p>
    <w:p>
      <w:pPr>
        <w:spacing w:line="600" w:lineRule="exact"/>
        <w:ind w:firstLine="642" w:firstLineChars="200"/>
        <w:outlineLvl w:val="2"/>
        <w:rPr>
          <w:rFonts w:hint="eastAsia" w:ascii="仿宋_GB2312" w:hAnsi="仿宋_GB2312" w:eastAsia="仿宋_GB2312" w:cs="仿宋_GB2312"/>
          <w:b/>
          <w:color w:val="000000"/>
          <w:sz w:val="32"/>
          <w:szCs w:val="32"/>
          <w:highlight w:val="none"/>
        </w:rPr>
      </w:pPr>
      <w:r>
        <w:rPr>
          <w:rFonts w:hint="eastAsia" w:ascii="仿宋_GB2312" w:hAnsi="仿宋_GB2312" w:eastAsia="仿宋_GB2312" w:cs="仿宋_GB2312"/>
          <w:b/>
          <w:color w:val="000000"/>
          <w:sz w:val="32"/>
          <w:szCs w:val="32"/>
          <w:highlight w:val="none"/>
        </w:rPr>
        <w:t>（二）一般公共预算财政拨款支出决算结构情况</w:t>
      </w:r>
      <w:bookmarkEnd w:id="34"/>
    </w:p>
    <w:p>
      <w:pPr>
        <w:spacing w:line="600" w:lineRule="exact"/>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2024</w:t>
      </w:r>
      <w:r>
        <w:rPr>
          <w:rFonts w:hint="eastAsia" w:ascii="仿宋_GB2312" w:hAnsi="仿宋_GB2312" w:eastAsia="仿宋_GB2312" w:cs="仿宋_GB2312"/>
          <w:color w:val="000000"/>
          <w:sz w:val="32"/>
          <w:highlight w:val="none"/>
          <w:u w:color="auto"/>
        </w:rPr>
        <w:t>年一般公共预算财政拨款支出</w:t>
      </w:r>
      <w:r>
        <w:rPr>
          <w:rFonts w:hint="eastAsia" w:ascii="仿宋_GB2312" w:hAnsi="仿宋_GB2312" w:eastAsia="仿宋_GB2312" w:cs="仿宋_GB2312"/>
          <w:color w:val="000000"/>
          <w:sz w:val="32"/>
          <w:highlight w:val="none"/>
          <w:u w:color="auto"/>
          <w:lang w:val="en-US" w:eastAsia="zh-CN"/>
        </w:rPr>
        <w:t>257.86</w:t>
      </w:r>
      <w:r>
        <w:rPr>
          <w:rFonts w:hint="eastAsia" w:ascii="仿宋_GB2312" w:hAnsi="仿宋_GB2312" w:eastAsia="仿宋_GB2312" w:cs="仿宋_GB2312"/>
          <w:color w:val="000000"/>
          <w:sz w:val="32"/>
          <w:szCs w:val="32"/>
          <w:highlight w:val="none"/>
        </w:rPr>
        <w:t>万元，主要用于以下方面:社会保障和就业支出</w:t>
      </w:r>
      <w:r>
        <w:rPr>
          <w:rFonts w:hint="eastAsia" w:ascii="仿宋_GB2312" w:hAnsi="仿宋_GB2312" w:eastAsia="仿宋_GB2312" w:cs="仿宋_GB2312"/>
          <w:color w:val="000000"/>
          <w:sz w:val="32"/>
          <w:highlight w:val="none"/>
          <w:u w:color="auto"/>
          <w:lang w:val="en-US" w:eastAsia="zh-CN"/>
        </w:rPr>
        <w:t>34.45</w:t>
      </w:r>
      <w:r>
        <w:rPr>
          <w:rFonts w:hint="eastAsia" w:ascii="仿宋_GB2312" w:hAnsi="仿宋_GB2312" w:eastAsia="仿宋_GB2312" w:cs="仿宋_GB2312"/>
          <w:color w:val="000000"/>
          <w:sz w:val="32"/>
          <w:highlight w:val="none"/>
          <w:u w:color="auto"/>
        </w:rPr>
        <w:t>万元，占</w:t>
      </w:r>
      <w:r>
        <w:rPr>
          <w:rFonts w:hint="eastAsia" w:ascii="仿宋_GB2312" w:hAnsi="仿宋_GB2312" w:eastAsia="仿宋_GB2312" w:cs="仿宋_GB2312"/>
          <w:color w:val="000000"/>
          <w:sz w:val="32"/>
          <w:highlight w:val="none"/>
          <w:u w:color="auto"/>
          <w:lang w:val="en-US" w:eastAsia="zh-CN"/>
        </w:rPr>
        <w:t>13.35</w:t>
      </w:r>
      <w:r>
        <w:rPr>
          <w:rFonts w:hint="eastAsia" w:ascii="仿宋_GB2312" w:hAnsi="仿宋_GB2312" w:eastAsia="仿宋_GB2312" w:cs="仿宋_GB2312"/>
          <w:color w:val="000000"/>
          <w:sz w:val="32"/>
          <w:highlight w:val="none"/>
          <w:u w:color="auto"/>
        </w:rPr>
        <w:t>%；卫生健康支出</w:t>
      </w:r>
      <w:r>
        <w:rPr>
          <w:rFonts w:hint="eastAsia" w:ascii="仿宋_GB2312" w:hAnsi="仿宋_GB2312" w:eastAsia="仿宋_GB2312" w:cs="仿宋_GB2312"/>
          <w:color w:val="000000"/>
          <w:sz w:val="32"/>
          <w:highlight w:val="none"/>
          <w:u w:color="auto"/>
          <w:lang w:val="en-US" w:eastAsia="zh-CN"/>
        </w:rPr>
        <w:t>15.15万元，占5.88%；</w:t>
      </w:r>
      <w:r>
        <w:rPr>
          <w:rFonts w:hint="eastAsia" w:ascii="仿宋_GB2312" w:hAnsi="仿宋_GB2312" w:eastAsia="仿宋_GB2312" w:cs="仿宋_GB2312"/>
          <w:color w:val="000000"/>
          <w:sz w:val="32"/>
          <w:highlight w:val="none"/>
          <w:u w:color="auto"/>
        </w:rPr>
        <w:t>农林水支出</w:t>
      </w:r>
      <w:r>
        <w:rPr>
          <w:rFonts w:hint="eastAsia" w:ascii="仿宋_GB2312" w:hAnsi="仿宋_GB2312" w:eastAsia="仿宋_GB2312" w:cs="仿宋_GB2312"/>
          <w:color w:val="000000"/>
          <w:sz w:val="32"/>
          <w:highlight w:val="none"/>
          <w:u w:color="auto"/>
          <w:lang w:val="en-US" w:eastAsia="zh-CN"/>
        </w:rPr>
        <w:t>187.83</w:t>
      </w:r>
      <w:r>
        <w:rPr>
          <w:rFonts w:hint="eastAsia" w:ascii="仿宋_GB2312" w:hAnsi="仿宋_GB2312" w:eastAsia="仿宋_GB2312" w:cs="仿宋_GB2312"/>
          <w:color w:val="000000"/>
          <w:sz w:val="32"/>
          <w:highlight w:val="none"/>
          <w:u w:color="auto"/>
        </w:rPr>
        <w:t>万元，占</w:t>
      </w:r>
      <w:r>
        <w:rPr>
          <w:rFonts w:hint="eastAsia" w:ascii="仿宋_GB2312" w:hAnsi="仿宋_GB2312" w:eastAsia="仿宋_GB2312" w:cs="仿宋_GB2312"/>
          <w:color w:val="000000"/>
          <w:sz w:val="32"/>
          <w:highlight w:val="none"/>
          <w:u w:color="auto"/>
          <w:lang w:val="en-US" w:eastAsia="zh-CN"/>
        </w:rPr>
        <w:t>72.84</w:t>
      </w:r>
      <w:r>
        <w:rPr>
          <w:rFonts w:hint="eastAsia" w:ascii="仿宋_GB2312" w:hAnsi="仿宋_GB2312" w:eastAsia="仿宋_GB2312" w:cs="仿宋_GB2312"/>
          <w:color w:val="000000"/>
          <w:sz w:val="32"/>
          <w:highlight w:val="none"/>
          <w:u w:color="auto"/>
        </w:rPr>
        <w:t>%；住房保障支出</w:t>
      </w:r>
      <w:r>
        <w:rPr>
          <w:rFonts w:hint="eastAsia" w:ascii="仿宋_GB2312" w:hAnsi="仿宋_GB2312" w:eastAsia="仿宋_GB2312" w:cs="仿宋_GB2312"/>
          <w:color w:val="000000"/>
          <w:sz w:val="32"/>
          <w:highlight w:val="none"/>
          <w:u w:color="auto"/>
          <w:lang w:val="en-US" w:eastAsia="zh-CN"/>
        </w:rPr>
        <w:t>20.43</w:t>
      </w:r>
      <w:r>
        <w:rPr>
          <w:rFonts w:hint="eastAsia" w:ascii="仿宋_GB2312" w:hAnsi="仿宋_GB2312" w:eastAsia="仿宋_GB2312" w:cs="仿宋_GB2312"/>
          <w:color w:val="000000"/>
          <w:sz w:val="32"/>
          <w:highlight w:val="none"/>
          <w:u w:color="auto"/>
        </w:rPr>
        <w:t>万元，占</w:t>
      </w:r>
      <w:r>
        <w:rPr>
          <w:rFonts w:hint="eastAsia" w:ascii="仿宋_GB2312" w:hAnsi="仿宋_GB2312" w:eastAsia="仿宋_GB2312" w:cs="仿宋_GB2312"/>
          <w:color w:val="000000"/>
          <w:sz w:val="32"/>
          <w:highlight w:val="none"/>
          <w:u w:color="auto"/>
          <w:lang w:val="en-US" w:eastAsia="zh-CN"/>
        </w:rPr>
        <w:t>7.93</w:t>
      </w:r>
      <w:r>
        <w:rPr>
          <w:rFonts w:hint="eastAsia" w:ascii="仿宋_GB2312" w:hAnsi="仿宋_GB2312" w:eastAsia="仿宋_GB2312" w:cs="仿宋_GB2312"/>
          <w:color w:val="000000"/>
          <w:sz w:val="32"/>
          <w:highlight w:val="none"/>
          <w:u w:color="auto"/>
        </w:rPr>
        <w:t>%</w:t>
      </w:r>
      <w:r>
        <w:rPr>
          <w:rFonts w:hint="eastAsia" w:ascii="仿宋_GB2312" w:hAnsi="仿宋_GB2312" w:eastAsia="仿宋_GB2312" w:cs="仿宋_GB2312"/>
          <w:color w:val="000000"/>
          <w:sz w:val="32"/>
          <w:highlight w:val="none"/>
          <w:u w:color="auto"/>
          <w:lang w:eastAsia="zh-CN"/>
        </w:rPr>
        <w:t>。</w:t>
      </w:r>
      <w:bookmarkStart w:id="35" w:name="_Toc15377212"/>
    </w:p>
    <w:p>
      <w:pPr>
        <w:pStyle w:val="6"/>
        <w:rPr>
          <w:highlight w:val="none"/>
        </w:rPr>
      </w:pPr>
      <w:r>
        <w:rPr>
          <w:rFonts w:hint="eastAsia" w:ascii="仿宋" w:hAnsi="仿宋" w:eastAsia="仿宋"/>
          <w:sz w:val="32"/>
          <w:szCs w:val="32"/>
          <w:highlight w:val="none"/>
          <w:lang w:eastAsia="zh-CN"/>
        </w:rPr>
        <w:drawing>
          <wp:inline distT="0" distB="0" distL="114300" distR="114300">
            <wp:extent cx="5256530" cy="2988310"/>
            <wp:effectExtent l="5080" t="4445" r="15240" b="17145"/>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2" w:firstLineChars="200"/>
        <w:outlineLvl w:val="2"/>
        <w:rPr>
          <w:rFonts w:hint="eastAsia" w:ascii="仿宋_GB2312" w:hAnsi="仿宋_GB2312" w:eastAsia="仿宋_GB2312" w:cs="仿宋_GB2312"/>
          <w:b/>
          <w:color w:val="000000"/>
          <w:sz w:val="32"/>
          <w:szCs w:val="32"/>
          <w:highlight w:val="none"/>
        </w:rPr>
      </w:pPr>
      <w:r>
        <w:rPr>
          <w:rFonts w:hint="eastAsia" w:ascii="仿宋_GB2312" w:hAnsi="仿宋_GB2312" w:eastAsia="仿宋_GB2312" w:cs="仿宋_GB2312"/>
          <w:b/>
          <w:color w:val="000000"/>
          <w:sz w:val="32"/>
          <w:szCs w:val="32"/>
          <w:highlight w:val="none"/>
        </w:rPr>
        <w:t>（三）一般公共预算财政拨款支出决算具体情况</w:t>
      </w:r>
      <w:bookmarkEnd w:id="35"/>
    </w:p>
    <w:p>
      <w:pPr>
        <w:keepNext w:val="0"/>
        <w:keepLines w:val="0"/>
        <w:pageBreakBefore w:val="0"/>
        <w:widowControl w:val="0"/>
        <w:kinsoku/>
        <w:wordWrap/>
        <w:overflowPunct/>
        <w:topLinePunct w:val="0"/>
        <w:autoSpaceDE/>
        <w:autoSpaceDN/>
        <w:bidi w:val="0"/>
        <w:adjustRightInd/>
        <w:spacing w:line="360" w:lineRule="auto"/>
        <w:ind w:firstLine="640" w:firstLineChars="200"/>
        <w:textAlignment w:val="auto"/>
        <w:rPr>
          <w:rFonts w:hint="eastAsia" w:ascii="仿宋_GB2312" w:hAnsi="仿宋_GB2312" w:eastAsia="仿宋_GB2312" w:cs="仿宋_GB2312"/>
          <w:color w:val="000000"/>
          <w:sz w:val="32"/>
          <w:szCs w:val="32"/>
          <w:highlight w:val="none"/>
        </w:rPr>
      </w:pPr>
      <w:bookmarkStart w:id="36" w:name="_Toc15377444"/>
      <w:bookmarkStart w:id="37" w:name="_Toc15378460"/>
      <w:bookmarkStart w:id="38" w:name="_Toc15377213"/>
      <w:r>
        <w:rPr>
          <w:rFonts w:hint="eastAsia" w:ascii="仿宋_GB2312" w:hAnsi="仿宋_GB2312" w:eastAsia="仿宋_GB2312" w:cs="仿宋_GB2312"/>
          <w:color w:val="000000"/>
          <w:sz w:val="32"/>
          <w:szCs w:val="32"/>
          <w:highlight w:val="none"/>
          <w:lang w:eastAsia="zh-CN"/>
        </w:rPr>
        <w:t>202</w:t>
      </w:r>
      <w:r>
        <w:rPr>
          <w:rFonts w:hint="eastAsia" w:ascii="仿宋_GB2312" w:hAnsi="仿宋_GB2312" w:eastAsia="仿宋_GB2312" w:cs="仿宋_GB2312"/>
          <w:color w:val="000000"/>
          <w:sz w:val="32"/>
          <w:szCs w:val="32"/>
          <w:highlight w:val="none"/>
          <w:lang w:val="en-US" w:eastAsia="zh-CN"/>
        </w:rPr>
        <w:t>4</w:t>
      </w:r>
      <w:r>
        <w:rPr>
          <w:rFonts w:hint="eastAsia" w:ascii="仿宋_GB2312" w:hAnsi="仿宋_GB2312" w:eastAsia="仿宋_GB2312" w:cs="仿宋_GB2312"/>
          <w:color w:val="000000"/>
          <w:sz w:val="32"/>
          <w:highlight w:val="none"/>
          <w:u w:color="auto"/>
        </w:rPr>
        <w:t>年一般公共预算支出决算数为</w:t>
      </w:r>
      <w:r>
        <w:rPr>
          <w:rFonts w:hint="eastAsia" w:ascii="仿宋_GB2312" w:hAnsi="仿宋_GB2312" w:eastAsia="仿宋_GB2312" w:cs="仿宋_GB2312"/>
          <w:color w:val="000000"/>
          <w:sz w:val="32"/>
          <w:highlight w:val="none"/>
          <w:u w:color="auto"/>
          <w:lang w:val="en-US" w:eastAsia="zh-CN"/>
        </w:rPr>
        <w:t>257.86</w:t>
      </w:r>
      <w:r>
        <w:rPr>
          <w:rFonts w:hint="eastAsia" w:ascii="仿宋_GB2312" w:hAnsi="仿宋_GB2312" w:eastAsia="仿宋_GB2312" w:cs="仿宋_GB2312"/>
          <w:color w:val="000000"/>
          <w:sz w:val="32"/>
          <w:szCs w:val="32"/>
          <w:highlight w:val="none"/>
        </w:rPr>
        <w:t>万</w:t>
      </w:r>
      <w:r>
        <w:rPr>
          <w:rFonts w:hint="eastAsia" w:ascii="仿宋_GB2312" w:hAnsi="仿宋_GB2312" w:eastAsia="仿宋_GB2312" w:cs="仿宋_GB2312"/>
          <w:color w:val="000000"/>
          <w:sz w:val="32"/>
          <w:szCs w:val="32"/>
          <w:highlight w:val="none"/>
          <w:lang w:eastAsia="zh-CN"/>
        </w:rPr>
        <w:t>元</w:t>
      </w:r>
      <w:r>
        <w:rPr>
          <w:rFonts w:hint="eastAsia" w:ascii="仿宋_GB2312" w:hAnsi="仿宋_GB2312" w:eastAsia="仿宋_GB2312" w:cs="仿宋_GB2312"/>
          <w:color w:val="000000"/>
          <w:sz w:val="32"/>
          <w:szCs w:val="32"/>
          <w:highlight w:val="none"/>
        </w:rPr>
        <w:t>，完成预算100%。其中：</w:t>
      </w:r>
      <w:bookmarkEnd w:id="36"/>
      <w:bookmarkEnd w:id="37"/>
      <w:bookmarkEnd w:id="38"/>
    </w:p>
    <w:p>
      <w:pPr>
        <w:keepNext w:val="0"/>
        <w:keepLines w:val="0"/>
        <w:pageBreakBefore w:val="0"/>
        <w:widowControl w:val="0"/>
        <w:numPr>
          <w:ilvl w:val="0"/>
          <w:numId w:val="0"/>
        </w:numPr>
        <w:kinsoku/>
        <w:wordWrap/>
        <w:overflowPunct/>
        <w:topLinePunct w:val="0"/>
        <w:autoSpaceDE/>
        <w:autoSpaceDN/>
        <w:bidi w:val="0"/>
        <w:adjustRightInd/>
        <w:spacing w:line="360" w:lineRule="auto"/>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kern w:val="2"/>
          <w:sz w:val="32"/>
          <w:szCs w:val="32"/>
          <w:lang w:val="en-US" w:eastAsia="zh-CN" w:bidi="ar-SA"/>
        </w:rPr>
        <w:t>1.</w:t>
      </w:r>
      <w:r>
        <w:rPr>
          <w:rFonts w:hint="eastAsia" w:ascii="仿宋_GB2312" w:hAnsi="仿宋_GB2312" w:eastAsia="仿宋_GB2312" w:cs="仿宋_GB2312"/>
          <w:color w:val="000000"/>
          <w:sz w:val="32"/>
          <w:szCs w:val="32"/>
          <w:highlight w:val="none"/>
        </w:rPr>
        <w:t>社会保障和就业支出（208）行政事业单位养老支出（05）机关事业单位基本养老保险缴费支出（05）支出决算</w:t>
      </w:r>
      <w:r>
        <w:rPr>
          <w:rFonts w:hint="eastAsia" w:ascii="仿宋_GB2312" w:hAnsi="仿宋_GB2312" w:eastAsia="仿宋_GB2312" w:cs="仿宋_GB2312"/>
          <w:color w:val="000000"/>
          <w:sz w:val="32"/>
          <w:szCs w:val="32"/>
          <w:highlight w:val="none"/>
          <w:lang w:val="en-US" w:eastAsia="zh-CN"/>
        </w:rPr>
        <w:t>22.97</w:t>
      </w:r>
      <w:r>
        <w:rPr>
          <w:rFonts w:hint="eastAsia" w:ascii="仿宋_GB2312" w:hAnsi="仿宋_GB2312" w:eastAsia="仿宋_GB2312" w:cs="仿宋_GB2312"/>
          <w:color w:val="000000"/>
          <w:sz w:val="32"/>
          <w:szCs w:val="32"/>
          <w:highlight w:val="none"/>
        </w:rPr>
        <w:t>万元，完成预算100%</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决算数与预算数持平。</w:t>
      </w:r>
    </w:p>
    <w:p>
      <w:pPr>
        <w:keepNext w:val="0"/>
        <w:keepLines w:val="0"/>
        <w:pageBreakBefore w:val="0"/>
        <w:widowControl w:val="0"/>
        <w:numPr>
          <w:ilvl w:val="0"/>
          <w:numId w:val="0"/>
        </w:numPr>
        <w:kinsoku/>
        <w:wordWrap/>
        <w:overflowPunct/>
        <w:topLinePunct w:val="0"/>
        <w:autoSpaceDE/>
        <w:autoSpaceDN/>
        <w:bidi w:val="0"/>
        <w:adjustRightInd/>
        <w:spacing w:line="360" w:lineRule="auto"/>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rPr>
        <w:t>社会保障和就业支出（208）行政事业单位养老支出（05）机关事业单位职业年金缴费支出（06）支出决算</w:t>
      </w:r>
      <w:r>
        <w:rPr>
          <w:rFonts w:hint="eastAsia" w:ascii="仿宋_GB2312" w:hAnsi="仿宋_GB2312" w:eastAsia="仿宋_GB2312" w:cs="仿宋_GB2312"/>
          <w:color w:val="000000"/>
          <w:sz w:val="32"/>
          <w:szCs w:val="32"/>
          <w:highlight w:val="none"/>
          <w:lang w:val="en-US" w:eastAsia="zh-CN"/>
        </w:rPr>
        <w:t>11.48</w:t>
      </w:r>
      <w:r>
        <w:rPr>
          <w:rFonts w:hint="eastAsia" w:ascii="仿宋_GB2312" w:hAnsi="仿宋_GB2312" w:eastAsia="仿宋_GB2312" w:cs="仿宋_GB2312"/>
          <w:color w:val="000000"/>
          <w:sz w:val="32"/>
          <w:szCs w:val="32"/>
          <w:highlight w:val="none"/>
        </w:rPr>
        <w:t>万元，完成预算100%</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决算数与预算数持平。</w:t>
      </w:r>
    </w:p>
    <w:p>
      <w:pPr>
        <w:pStyle w:val="16"/>
        <w:keepNext w:val="0"/>
        <w:keepLines w:val="0"/>
        <w:pageBreakBefore w:val="0"/>
        <w:widowControl w:val="0"/>
        <w:numPr>
          <w:ilvl w:val="0"/>
          <w:numId w:val="0"/>
        </w:numPr>
        <w:kinsoku/>
        <w:wordWrap/>
        <w:overflowPunct/>
        <w:topLinePunct w:val="0"/>
        <w:autoSpaceDE/>
        <w:autoSpaceDN/>
        <w:bidi w:val="0"/>
        <w:adjustRightInd/>
        <w:spacing w:line="360" w:lineRule="auto"/>
        <w:ind w:firstLine="640" w:firstLineChars="200"/>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3.卫生健康支出（210）行政事业单位医疗（11）事业单位医疗（102）支出15.15万元，完成预算100%</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决算数与预算数持平。</w:t>
      </w:r>
    </w:p>
    <w:p>
      <w:pPr>
        <w:pStyle w:val="16"/>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4.农林水支出（213）农业农村（01）事业运行（04）支出决算187.83万元，完成预算100%</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决算数与预算数持平。</w:t>
      </w:r>
    </w:p>
    <w:p>
      <w:pPr>
        <w:pStyle w:val="16"/>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5.住房保障支出（221）住房改革支出（02）住房公积金（01）支出决算20.43万元，完成预算100%</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决算数与预算数持平。</w:t>
      </w:r>
    </w:p>
    <w:p>
      <w:pPr>
        <w:pStyle w:val="4"/>
        <w:keepNext/>
        <w:keepLines/>
        <w:pageBreakBefore w:val="0"/>
        <w:widowControl w:val="0"/>
        <w:kinsoku/>
        <w:wordWrap/>
        <w:overflowPunct/>
        <w:topLinePunct w:val="0"/>
        <w:autoSpaceDE/>
        <w:autoSpaceDN/>
        <w:bidi w:val="0"/>
        <w:adjustRightInd/>
        <w:snapToGrid/>
        <w:spacing w:after="0" w:afterAutospacing="0" w:line="300" w:lineRule="exact"/>
        <w:ind w:firstLine="642" w:firstLineChars="200"/>
        <w:textAlignment w:val="auto"/>
        <w:rPr>
          <w:rFonts w:ascii="黑体" w:eastAsia="黑体" w:cs="Times New Roman"/>
          <w:b w:val="0"/>
          <w:color w:val="000000"/>
          <w:highlight w:val="none"/>
        </w:rPr>
      </w:pPr>
      <w:bookmarkStart w:id="39" w:name="_Toc15377214"/>
      <w:bookmarkStart w:id="40" w:name="_Toc533"/>
      <w:bookmarkStart w:id="41" w:name="_Toc111208504"/>
      <w:r>
        <w:rPr>
          <w:rFonts w:hint="eastAsia" w:ascii="黑体" w:eastAsia="黑体" w:cs="Times New Roman"/>
          <w:bCs w:val="0"/>
          <w:color w:val="000000"/>
          <w:highlight w:val="none"/>
        </w:rPr>
        <w:t>六、一般公共预算财政拨款基本支出决算情况说</w:t>
      </w:r>
      <w:bookmarkEnd w:id="39"/>
      <w:r>
        <w:rPr>
          <w:rFonts w:hint="eastAsia" w:ascii="黑体" w:eastAsia="黑体" w:cs="Times New Roman"/>
          <w:bCs w:val="0"/>
          <w:color w:val="000000"/>
          <w:highlight w:val="none"/>
        </w:rPr>
        <w:t>明</w:t>
      </w:r>
      <w:bookmarkEnd w:id="40"/>
      <w:bookmarkEnd w:id="41"/>
    </w:p>
    <w:p>
      <w:pPr>
        <w:spacing w:beforeAutospacing="0" w:line="600" w:lineRule="exact"/>
        <w:ind w:firstLine="64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2024</w:t>
      </w:r>
      <w:r>
        <w:rPr>
          <w:rFonts w:hint="eastAsia" w:ascii="仿宋_GB2312" w:hAnsi="仿宋_GB2312" w:eastAsia="仿宋_GB2312" w:cs="仿宋_GB2312"/>
          <w:color w:val="auto"/>
          <w:sz w:val="32"/>
          <w:highlight w:val="none"/>
          <w:u w:color="auto"/>
        </w:rPr>
        <w:t>年一般公共预算财政拨款基本支出</w:t>
      </w:r>
      <w:r>
        <w:rPr>
          <w:rFonts w:hint="eastAsia" w:ascii="仿宋_GB2312" w:hAnsi="仿宋_GB2312" w:eastAsia="仿宋_GB2312" w:cs="仿宋_GB2312"/>
          <w:color w:val="auto"/>
          <w:sz w:val="32"/>
          <w:highlight w:val="none"/>
          <w:u w:color="auto"/>
          <w:lang w:val="en-US" w:eastAsia="zh-CN"/>
        </w:rPr>
        <w:t>257.86</w:t>
      </w:r>
      <w:r>
        <w:rPr>
          <w:rFonts w:hint="eastAsia" w:ascii="仿宋_GB2312" w:hAnsi="仿宋_GB2312" w:eastAsia="仿宋_GB2312" w:cs="仿宋_GB2312"/>
          <w:color w:val="auto"/>
          <w:sz w:val="32"/>
          <w:szCs w:val="32"/>
          <w:highlight w:val="none"/>
        </w:rPr>
        <w:t>万元，其中：</w:t>
      </w:r>
    </w:p>
    <w:p>
      <w:pPr>
        <w:spacing w:line="600" w:lineRule="exact"/>
        <w:ind w:firstLine="64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auto"/>
          <w:sz w:val="32"/>
          <w:szCs w:val="32"/>
          <w:highlight w:val="none"/>
        </w:rPr>
        <w:t>人员经费</w:t>
      </w:r>
      <w:r>
        <w:rPr>
          <w:rFonts w:hint="eastAsia" w:ascii="仿宋_GB2312" w:hAnsi="仿宋_GB2312" w:eastAsia="仿宋_GB2312" w:cs="仿宋_GB2312"/>
          <w:color w:val="auto"/>
          <w:sz w:val="32"/>
          <w:highlight w:val="none"/>
          <w:u w:color="auto"/>
          <w:lang w:eastAsia="zh-CN"/>
        </w:rPr>
        <w:t>2</w:t>
      </w:r>
      <w:r>
        <w:rPr>
          <w:rFonts w:hint="eastAsia" w:ascii="仿宋_GB2312" w:hAnsi="仿宋_GB2312" w:eastAsia="仿宋_GB2312" w:cs="仿宋_GB2312"/>
          <w:color w:val="auto"/>
          <w:sz w:val="32"/>
          <w:highlight w:val="none"/>
          <w:u w:color="auto"/>
          <w:lang w:val="en-US" w:eastAsia="zh-CN"/>
        </w:rPr>
        <w:t>48.22</w:t>
      </w:r>
      <w:r>
        <w:rPr>
          <w:rFonts w:hint="eastAsia" w:ascii="仿宋_GB2312" w:hAnsi="仿宋_GB2312" w:eastAsia="仿宋_GB2312" w:cs="仿宋_GB2312"/>
          <w:color w:val="auto"/>
          <w:sz w:val="32"/>
          <w:szCs w:val="32"/>
          <w:highlight w:val="none"/>
        </w:rPr>
        <w:t>万元，主要包括：</w:t>
      </w:r>
      <w:r>
        <w:rPr>
          <w:rFonts w:hint="eastAsia" w:ascii="仿宋_GB2312" w:hAnsi="仿宋_GB2312" w:eastAsia="仿宋_GB2312" w:cs="仿宋_GB2312"/>
          <w:color w:val="auto"/>
          <w:sz w:val="32"/>
          <w:highlight w:val="none"/>
          <w:u w:color="auto"/>
        </w:rPr>
        <w:t>基本工资</w:t>
      </w:r>
      <w:r>
        <w:rPr>
          <w:rFonts w:hint="eastAsia" w:ascii="仿宋_GB2312" w:hAnsi="仿宋_GB2312" w:eastAsia="仿宋_GB2312" w:cs="仿宋_GB2312"/>
          <w:color w:val="auto"/>
          <w:sz w:val="32"/>
          <w:highlight w:val="none"/>
          <w:u w:color="auto"/>
          <w:lang w:val="en-US" w:eastAsia="zh-CN"/>
        </w:rPr>
        <w:t>47.79</w:t>
      </w:r>
      <w:r>
        <w:rPr>
          <w:rFonts w:hint="eastAsia" w:ascii="仿宋_GB2312" w:hAnsi="仿宋_GB2312" w:eastAsia="仿宋_GB2312" w:cs="仿宋_GB2312"/>
          <w:color w:val="auto"/>
          <w:sz w:val="32"/>
          <w:highlight w:val="none"/>
          <w:u w:color="auto"/>
        </w:rPr>
        <w:t>万元、津贴补贴</w:t>
      </w:r>
      <w:r>
        <w:rPr>
          <w:rFonts w:hint="eastAsia" w:ascii="仿宋_GB2312" w:hAnsi="仿宋_GB2312" w:eastAsia="仿宋_GB2312" w:cs="仿宋_GB2312"/>
          <w:color w:val="auto"/>
          <w:sz w:val="32"/>
          <w:highlight w:val="none"/>
          <w:u w:color="auto"/>
          <w:lang w:val="en-US" w:eastAsia="zh-CN"/>
        </w:rPr>
        <w:t>21.43</w:t>
      </w:r>
      <w:r>
        <w:rPr>
          <w:rFonts w:hint="eastAsia" w:ascii="仿宋_GB2312" w:hAnsi="仿宋_GB2312" w:eastAsia="仿宋_GB2312" w:cs="仿宋_GB2312"/>
          <w:color w:val="auto"/>
          <w:sz w:val="32"/>
          <w:highlight w:val="none"/>
          <w:u w:color="auto"/>
        </w:rPr>
        <w:t>万元</w:t>
      </w:r>
      <w:r>
        <w:rPr>
          <w:rFonts w:hint="eastAsia" w:ascii="仿宋_GB2312" w:hAnsi="仿宋_GB2312" w:eastAsia="仿宋_GB2312" w:cs="仿宋_GB2312"/>
          <w:color w:val="auto"/>
          <w:sz w:val="32"/>
          <w:highlight w:val="none"/>
          <w:u w:color="auto"/>
          <w:lang w:eastAsia="zh-CN"/>
        </w:rPr>
        <w:t>、</w:t>
      </w:r>
      <w:r>
        <w:rPr>
          <w:rFonts w:hint="eastAsia" w:ascii="仿宋_GB2312" w:hAnsi="仿宋_GB2312" w:eastAsia="仿宋_GB2312" w:cs="仿宋_GB2312"/>
          <w:color w:val="000000"/>
          <w:sz w:val="32"/>
          <w:highlight w:val="none"/>
          <w:u w:color="auto"/>
          <w:lang w:eastAsia="zh-CN"/>
        </w:rPr>
        <w:t>绩效工资</w:t>
      </w:r>
      <w:r>
        <w:rPr>
          <w:rFonts w:hint="eastAsia" w:ascii="仿宋_GB2312" w:hAnsi="仿宋_GB2312" w:eastAsia="仿宋_GB2312" w:cs="仿宋_GB2312"/>
          <w:color w:val="000000"/>
          <w:sz w:val="32"/>
          <w:highlight w:val="none"/>
          <w:u w:color="auto"/>
          <w:lang w:val="en-US" w:eastAsia="zh-CN"/>
        </w:rPr>
        <w:t>105.03万元</w:t>
      </w:r>
      <w:r>
        <w:rPr>
          <w:rFonts w:hint="eastAsia" w:ascii="仿宋_GB2312" w:hAnsi="仿宋_GB2312" w:eastAsia="仿宋_GB2312" w:cs="仿宋_GB2312"/>
          <w:color w:val="000000"/>
          <w:sz w:val="32"/>
          <w:highlight w:val="none"/>
          <w:u w:color="auto"/>
        </w:rPr>
        <w:t>、机关事业单位基本养老保险缴费</w:t>
      </w:r>
      <w:r>
        <w:rPr>
          <w:rFonts w:hint="eastAsia" w:ascii="仿宋_GB2312" w:hAnsi="仿宋_GB2312" w:eastAsia="仿宋_GB2312" w:cs="仿宋_GB2312"/>
          <w:color w:val="000000"/>
          <w:sz w:val="32"/>
          <w:highlight w:val="none"/>
          <w:u w:color="auto"/>
          <w:lang w:val="en-US" w:eastAsia="zh-CN"/>
        </w:rPr>
        <w:t>22.97</w:t>
      </w:r>
      <w:r>
        <w:rPr>
          <w:rFonts w:hint="eastAsia" w:ascii="仿宋_GB2312" w:hAnsi="仿宋_GB2312" w:eastAsia="仿宋_GB2312" w:cs="仿宋_GB2312"/>
          <w:color w:val="000000"/>
          <w:sz w:val="32"/>
          <w:highlight w:val="none"/>
          <w:u w:color="auto"/>
        </w:rPr>
        <w:t>万元、职业年金缴费</w:t>
      </w:r>
      <w:r>
        <w:rPr>
          <w:rFonts w:hint="eastAsia" w:ascii="仿宋_GB2312" w:hAnsi="仿宋_GB2312" w:eastAsia="仿宋_GB2312" w:cs="仿宋_GB2312"/>
          <w:color w:val="000000"/>
          <w:sz w:val="32"/>
          <w:highlight w:val="none"/>
          <w:u w:color="auto"/>
          <w:lang w:val="en-US" w:eastAsia="zh-CN"/>
        </w:rPr>
        <w:t>11.48</w:t>
      </w:r>
      <w:r>
        <w:rPr>
          <w:rFonts w:hint="eastAsia" w:ascii="仿宋_GB2312" w:hAnsi="仿宋_GB2312" w:eastAsia="仿宋_GB2312" w:cs="仿宋_GB2312"/>
          <w:color w:val="000000"/>
          <w:sz w:val="32"/>
          <w:highlight w:val="none"/>
          <w:u w:color="auto"/>
        </w:rPr>
        <w:t>万元、职工基本医疗保险缴费</w:t>
      </w:r>
      <w:r>
        <w:rPr>
          <w:rFonts w:hint="eastAsia" w:ascii="仿宋_GB2312" w:hAnsi="仿宋_GB2312" w:eastAsia="仿宋_GB2312" w:cs="仿宋_GB2312"/>
          <w:color w:val="000000"/>
          <w:sz w:val="32"/>
          <w:highlight w:val="none"/>
          <w:u w:color="auto"/>
          <w:lang w:val="en-US" w:eastAsia="zh-CN"/>
        </w:rPr>
        <w:t>15.15</w:t>
      </w:r>
      <w:r>
        <w:rPr>
          <w:rFonts w:hint="eastAsia" w:ascii="仿宋_GB2312" w:hAnsi="仿宋_GB2312" w:eastAsia="仿宋_GB2312" w:cs="仿宋_GB2312"/>
          <w:color w:val="000000"/>
          <w:sz w:val="32"/>
          <w:highlight w:val="none"/>
          <w:u w:color="auto"/>
        </w:rPr>
        <w:t>万元、其他社会保障缴费</w:t>
      </w:r>
      <w:r>
        <w:rPr>
          <w:rFonts w:hint="eastAsia" w:ascii="仿宋_GB2312" w:hAnsi="仿宋_GB2312" w:eastAsia="仿宋_GB2312" w:cs="仿宋_GB2312"/>
          <w:color w:val="000000"/>
          <w:sz w:val="32"/>
          <w:highlight w:val="none"/>
          <w:u w:color="auto"/>
          <w:lang w:val="en-US" w:eastAsia="zh-CN"/>
        </w:rPr>
        <w:t>1.09</w:t>
      </w:r>
      <w:r>
        <w:rPr>
          <w:rFonts w:hint="eastAsia" w:ascii="仿宋_GB2312" w:hAnsi="仿宋_GB2312" w:eastAsia="仿宋_GB2312" w:cs="仿宋_GB2312"/>
          <w:color w:val="000000"/>
          <w:sz w:val="32"/>
          <w:highlight w:val="none"/>
          <w:u w:color="auto"/>
        </w:rPr>
        <w:t>万元、住房公积金</w:t>
      </w:r>
      <w:r>
        <w:rPr>
          <w:rFonts w:hint="eastAsia" w:ascii="仿宋_GB2312" w:hAnsi="仿宋_GB2312" w:eastAsia="仿宋_GB2312" w:cs="仿宋_GB2312"/>
          <w:color w:val="000000"/>
          <w:sz w:val="32"/>
          <w:highlight w:val="none"/>
          <w:u w:color="auto"/>
          <w:lang w:val="en-US" w:eastAsia="zh-CN"/>
        </w:rPr>
        <w:t>20.43</w:t>
      </w:r>
      <w:r>
        <w:rPr>
          <w:rFonts w:hint="eastAsia" w:ascii="仿宋_GB2312" w:hAnsi="仿宋_GB2312" w:eastAsia="仿宋_GB2312" w:cs="仿宋_GB2312"/>
          <w:color w:val="000000"/>
          <w:sz w:val="32"/>
          <w:highlight w:val="none"/>
          <w:u w:color="auto"/>
        </w:rPr>
        <w:t>万元、</w:t>
      </w:r>
      <w:r>
        <w:rPr>
          <w:rFonts w:hint="eastAsia" w:ascii="仿宋_GB2312" w:hAnsi="仿宋_GB2312" w:eastAsia="仿宋_GB2312" w:cs="仿宋_GB2312"/>
          <w:color w:val="000000"/>
          <w:sz w:val="32"/>
          <w:highlight w:val="none"/>
          <w:u w:color="auto"/>
          <w:lang w:eastAsia="zh-CN"/>
        </w:rPr>
        <w:t>医疗费</w:t>
      </w:r>
      <w:r>
        <w:rPr>
          <w:rFonts w:hint="eastAsia" w:ascii="仿宋_GB2312" w:hAnsi="仿宋_GB2312" w:eastAsia="仿宋_GB2312" w:cs="仿宋_GB2312"/>
          <w:color w:val="000000"/>
          <w:sz w:val="32"/>
          <w:highlight w:val="none"/>
          <w:u w:color="auto"/>
          <w:lang w:val="en-US" w:eastAsia="zh-CN"/>
        </w:rPr>
        <w:t>2.13万元、</w:t>
      </w:r>
      <w:r>
        <w:rPr>
          <w:rFonts w:hint="eastAsia" w:ascii="仿宋_GB2312" w:hAnsi="仿宋_GB2312" w:eastAsia="仿宋_GB2312" w:cs="仿宋_GB2312"/>
          <w:color w:val="000000"/>
          <w:sz w:val="32"/>
          <w:highlight w:val="none"/>
          <w:u w:color="auto"/>
        </w:rPr>
        <w:t>生活补助</w:t>
      </w:r>
      <w:r>
        <w:rPr>
          <w:rFonts w:hint="eastAsia" w:ascii="仿宋_GB2312" w:hAnsi="仿宋_GB2312" w:eastAsia="仿宋_GB2312" w:cs="仿宋_GB2312"/>
          <w:color w:val="000000"/>
          <w:sz w:val="32"/>
          <w:highlight w:val="none"/>
          <w:u w:color="auto"/>
          <w:lang w:val="en-US" w:eastAsia="zh-CN"/>
        </w:rPr>
        <w:t>0.72</w:t>
      </w:r>
      <w:r>
        <w:rPr>
          <w:rFonts w:hint="eastAsia" w:ascii="仿宋_GB2312" w:hAnsi="仿宋_GB2312" w:eastAsia="仿宋_GB2312" w:cs="仿宋_GB2312"/>
          <w:color w:val="000000"/>
          <w:sz w:val="32"/>
          <w:highlight w:val="none"/>
          <w:u w:color="auto"/>
        </w:rPr>
        <w:t>万元。</w:t>
      </w:r>
    </w:p>
    <w:p>
      <w:pPr>
        <w:spacing w:line="600" w:lineRule="exact"/>
        <w:ind w:firstLine="640"/>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rPr>
        <w:t>公用经费</w:t>
      </w:r>
      <w:r>
        <w:rPr>
          <w:rFonts w:hint="eastAsia" w:ascii="仿宋_GB2312" w:hAnsi="仿宋_GB2312" w:eastAsia="仿宋_GB2312" w:cs="仿宋_GB2312"/>
          <w:color w:val="000000"/>
          <w:sz w:val="32"/>
          <w:highlight w:val="none"/>
          <w:u w:color="auto"/>
          <w:lang w:val="en-US" w:eastAsia="zh-CN"/>
        </w:rPr>
        <w:t>9.64</w:t>
      </w:r>
      <w:r>
        <w:rPr>
          <w:rFonts w:hint="eastAsia" w:ascii="仿宋_GB2312" w:hAnsi="仿宋_GB2312" w:eastAsia="仿宋_GB2312" w:cs="仿宋_GB2312"/>
          <w:color w:val="000000"/>
          <w:sz w:val="32"/>
          <w:szCs w:val="32"/>
          <w:highlight w:val="none"/>
        </w:rPr>
        <w:t>万元，主要包括：</w:t>
      </w:r>
      <w:r>
        <w:rPr>
          <w:rFonts w:hint="eastAsia" w:ascii="仿宋_GB2312" w:hAnsi="仿宋_GB2312" w:eastAsia="仿宋_GB2312" w:cs="仿宋_GB2312"/>
          <w:color w:val="000000"/>
          <w:sz w:val="32"/>
          <w:szCs w:val="32"/>
          <w:highlight w:val="none"/>
          <w:lang w:val="en-US" w:eastAsia="zh-CN"/>
        </w:rPr>
        <w:t>办公费1.57万元</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highlight w:val="none"/>
          <w:u w:color="auto"/>
        </w:rPr>
        <w:t>电费</w:t>
      </w:r>
      <w:r>
        <w:rPr>
          <w:rFonts w:hint="eastAsia" w:ascii="仿宋_GB2312" w:hAnsi="仿宋_GB2312" w:eastAsia="仿宋_GB2312" w:cs="仿宋_GB2312"/>
          <w:color w:val="000000"/>
          <w:sz w:val="32"/>
          <w:highlight w:val="none"/>
          <w:u w:color="auto"/>
          <w:lang w:val="en-US" w:eastAsia="zh-CN"/>
        </w:rPr>
        <w:t>0.70</w:t>
      </w:r>
      <w:r>
        <w:rPr>
          <w:rFonts w:hint="eastAsia" w:ascii="仿宋_GB2312" w:hAnsi="仿宋_GB2312" w:eastAsia="仿宋_GB2312" w:cs="仿宋_GB2312"/>
          <w:color w:val="000000"/>
          <w:sz w:val="32"/>
          <w:highlight w:val="none"/>
          <w:u w:color="auto"/>
        </w:rPr>
        <w:t>万元、</w:t>
      </w:r>
      <w:r>
        <w:rPr>
          <w:rFonts w:hint="eastAsia" w:ascii="仿宋_GB2312" w:hAnsi="仿宋_GB2312" w:eastAsia="仿宋_GB2312" w:cs="仿宋_GB2312"/>
          <w:color w:val="000000"/>
          <w:sz w:val="32"/>
          <w:highlight w:val="none"/>
          <w:u w:color="auto"/>
          <w:lang w:eastAsia="zh-CN"/>
        </w:rPr>
        <w:t>邮电费</w:t>
      </w:r>
      <w:r>
        <w:rPr>
          <w:rFonts w:hint="eastAsia" w:ascii="仿宋_GB2312" w:hAnsi="仿宋_GB2312" w:eastAsia="仿宋_GB2312" w:cs="仿宋_GB2312"/>
          <w:color w:val="000000"/>
          <w:sz w:val="32"/>
          <w:highlight w:val="none"/>
          <w:u w:color="auto"/>
          <w:lang w:val="en-US" w:eastAsia="zh-CN"/>
        </w:rPr>
        <w:t>0.89</w:t>
      </w:r>
      <w:r>
        <w:rPr>
          <w:rFonts w:hint="eastAsia" w:ascii="仿宋_GB2312" w:hAnsi="仿宋_GB2312" w:eastAsia="仿宋_GB2312" w:cs="仿宋_GB2312"/>
          <w:color w:val="000000"/>
          <w:sz w:val="32"/>
          <w:highlight w:val="none"/>
          <w:u w:color="auto"/>
        </w:rPr>
        <w:t>万元</w:t>
      </w:r>
      <w:r>
        <w:rPr>
          <w:rFonts w:hint="eastAsia" w:ascii="仿宋_GB2312" w:hAnsi="仿宋_GB2312" w:eastAsia="仿宋_GB2312" w:cs="仿宋_GB2312"/>
          <w:color w:val="000000"/>
          <w:sz w:val="32"/>
          <w:highlight w:val="none"/>
          <w:u w:color="auto"/>
          <w:lang w:eastAsia="zh-CN"/>
        </w:rPr>
        <w:t>、差旅费</w:t>
      </w:r>
      <w:r>
        <w:rPr>
          <w:rFonts w:hint="eastAsia" w:ascii="仿宋_GB2312" w:hAnsi="仿宋_GB2312" w:eastAsia="仿宋_GB2312" w:cs="仿宋_GB2312"/>
          <w:color w:val="000000"/>
          <w:sz w:val="32"/>
          <w:highlight w:val="none"/>
          <w:u w:color="auto"/>
          <w:lang w:val="en-US" w:eastAsia="zh-CN"/>
        </w:rPr>
        <w:t>6.48万元</w:t>
      </w:r>
      <w:r>
        <w:rPr>
          <w:rFonts w:hint="eastAsia" w:ascii="仿宋_GB2312" w:hAnsi="仿宋_GB2312" w:eastAsia="仿宋_GB2312" w:cs="仿宋_GB2312"/>
          <w:color w:val="000000"/>
          <w:sz w:val="32"/>
          <w:highlight w:val="none"/>
          <w:u w:color="auto"/>
          <w:lang w:eastAsia="zh-CN"/>
        </w:rPr>
        <w:t>。</w:t>
      </w:r>
    </w:p>
    <w:p>
      <w:pPr>
        <w:pStyle w:val="4"/>
        <w:keepNext/>
        <w:keepLines/>
        <w:pageBreakBefore w:val="0"/>
        <w:widowControl w:val="0"/>
        <w:kinsoku/>
        <w:wordWrap/>
        <w:overflowPunct/>
        <w:topLinePunct w:val="0"/>
        <w:autoSpaceDE/>
        <w:autoSpaceDN/>
        <w:bidi w:val="0"/>
        <w:adjustRightInd/>
        <w:snapToGrid/>
        <w:spacing w:after="0" w:afterAutospacing="0" w:line="300" w:lineRule="exact"/>
        <w:ind w:firstLine="642" w:firstLineChars="200"/>
        <w:textAlignment w:val="auto"/>
        <w:rPr>
          <w:rFonts w:ascii="黑体" w:eastAsia="黑体" w:cs="Times New Roman"/>
          <w:bCs w:val="0"/>
          <w:color w:val="000000"/>
          <w:highlight w:val="none"/>
        </w:rPr>
      </w:pPr>
      <w:bookmarkStart w:id="42" w:name="_Toc111208505"/>
      <w:bookmarkStart w:id="43" w:name="_Toc27414"/>
      <w:bookmarkStart w:id="44" w:name="_Toc15377215"/>
      <w:r>
        <w:rPr>
          <w:rFonts w:hint="eastAsia" w:ascii="黑体" w:eastAsia="黑体" w:cs="Times New Roman"/>
          <w:bCs w:val="0"/>
          <w:color w:val="000000"/>
          <w:highlight w:val="none"/>
        </w:rPr>
        <w:t>七、“三公”经费财政拨款支出决算情况说明</w:t>
      </w:r>
      <w:bookmarkEnd w:id="42"/>
      <w:bookmarkEnd w:id="43"/>
      <w:bookmarkEnd w:id="44"/>
    </w:p>
    <w:p>
      <w:pPr>
        <w:spacing w:beforeAutospacing="0" w:line="600" w:lineRule="exact"/>
        <w:ind w:firstLine="642" w:firstLineChars="200"/>
        <w:outlineLvl w:val="2"/>
        <w:rPr>
          <w:rFonts w:hint="eastAsia" w:ascii="仿宋_GB2312" w:hAnsi="仿宋_GB2312" w:eastAsia="仿宋_GB2312" w:cs="仿宋_GB2312"/>
          <w:b/>
          <w:color w:val="000000"/>
          <w:sz w:val="32"/>
          <w:szCs w:val="32"/>
          <w:highlight w:val="none"/>
        </w:rPr>
      </w:pPr>
      <w:bookmarkStart w:id="45" w:name="_Toc15377216"/>
      <w:r>
        <w:rPr>
          <w:rFonts w:hint="eastAsia" w:ascii="仿宋_GB2312" w:hAnsi="仿宋_GB2312" w:eastAsia="仿宋_GB2312" w:cs="仿宋_GB2312"/>
          <w:b/>
          <w:color w:val="000000"/>
          <w:sz w:val="32"/>
          <w:szCs w:val="32"/>
          <w:highlight w:val="none"/>
        </w:rPr>
        <w:t>（一）“三公”经费财政拨款支出决算总体情况说明</w:t>
      </w:r>
      <w:bookmarkEnd w:id="45"/>
    </w:p>
    <w:p>
      <w:pPr>
        <w:spacing w:line="600" w:lineRule="exact"/>
        <w:ind w:firstLine="64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2024</w:t>
      </w:r>
      <w:r>
        <w:rPr>
          <w:rFonts w:hint="eastAsia" w:ascii="仿宋_GB2312" w:hAnsi="仿宋_GB2312" w:eastAsia="仿宋_GB2312" w:cs="仿宋_GB2312"/>
          <w:color w:val="000000"/>
          <w:sz w:val="32"/>
          <w:highlight w:val="none"/>
          <w:u w:color="auto"/>
        </w:rPr>
        <w:t>年“三公”经费财政拨款支出决算为</w:t>
      </w:r>
      <w:r>
        <w:rPr>
          <w:rFonts w:hint="eastAsia" w:ascii="仿宋_GB2312" w:hAnsi="仿宋_GB2312" w:eastAsia="仿宋_GB2312" w:cs="仿宋_GB2312"/>
          <w:color w:val="000000"/>
          <w:sz w:val="32"/>
          <w:highlight w:val="none"/>
          <w:u w:color="auto"/>
          <w:lang w:val="en-US" w:eastAsia="zh-CN"/>
        </w:rPr>
        <w:t>0</w:t>
      </w:r>
      <w:r>
        <w:rPr>
          <w:rFonts w:hint="eastAsia" w:ascii="仿宋_GB2312" w:hAnsi="仿宋_GB2312" w:eastAsia="仿宋_GB2312" w:cs="仿宋_GB2312"/>
          <w:color w:val="000000"/>
          <w:sz w:val="32"/>
          <w:szCs w:val="32"/>
          <w:highlight w:val="none"/>
        </w:rPr>
        <w:t>万元，完成预算</w:t>
      </w:r>
      <w:r>
        <w:rPr>
          <w:rFonts w:hint="eastAsia" w:ascii="仿宋_GB2312" w:hAnsi="仿宋_GB2312" w:eastAsia="仿宋_GB2312" w:cs="仿宋_GB2312"/>
          <w:color w:val="000000"/>
          <w:sz w:val="32"/>
          <w:highlight w:val="none"/>
          <w:u w:color="auto"/>
        </w:rPr>
        <w:t>10</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w:t>
      </w:r>
      <w:bookmarkStart w:id="46" w:name="_Toc15377217"/>
    </w:p>
    <w:p>
      <w:pPr>
        <w:spacing w:line="600" w:lineRule="exact"/>
        <w:ind w:firstLine="642" w:firstLineChars="200"/>
        <w:outlineLvl w:val="2"/>
        <w:rPr>
          <w:rFonts w:hint="eastAsia" w:ascii="仿宋_GB2312" w:hAnsi="仿宋_GB2312" w:eastAsia="仿宋_GB2312" w:cs="仿宋_GB2312"/>
          <w:b/>
          <w:color w:val="000000"/>
          <w:sz w:val="32"/>
          <w:szCs w:val="32"/>
          <w:highlight w:val="none"/>
        </w:rPr>
      </w:pPr>
      <w:r>
        <w:rPr>
          <w:rFonts w:hint="eastAsia" w:ascii="仿宋_GB2312" w:hAnsi="仿宋_GB2312" w:eastAsia="仿宋_GB2312" w:cs="仿宋_GB2312"/>
          <w:b/>
          <w:color w:val="000000"/>
          <w:sz w:val="32"/>
          <w:szCs w:val="32"/>
          <w:highlight w:val="none"/>
        </w:rPr>
        <w:t>（二）“三公”经费财政拨款支出决算具体情况说明</w:t>
      </w:r>
      <w:bookmarkEnd w:id="46"/>
    </w:p>
    <w:p>
      <w:pPr>
        <w:spacing w:line="600" w:lineRule="exact"/>
        <w:ind w:firstLine="64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2024</w:t>
      </w:r>
      <w:r>
        <w:rPr>
          <w:rFonts w:hint="eastAsia" w:ascii="仿宋_GB2312" w:hAnsi="仿宋_GB2312" w:eastAsia="仿宋_GB2312" w:cs="仿宋_GB2312"/>
          <w:color w:val="000000"/>
          <w:sz w:val="32"/>
          <w:highlight w:val="none"/>
          <w:u w:color="auto"/>
        </w:rPr>
        <w:t>年“三公”经费财政拨款支出</w:t>
      </w:r>
      <w:r>
        <w:rPr>
          <w:rFonts w:hint="eastAsia" w:ascii="仿宋_GB2312" w:hAnsi="仿宋_GB2312" w:eastAsia="仿宋_GB2312" w:cs="仿宋_GB2312"/>
          <w:color w:val="000000"/>
          <w:sz w:val="32"/>
          <w:highlight w:val="none"/>
          <w:u w:color="auto"/>
          <w:lang w:val="en-US" w:eastAsia="zh-CN"/>
        </w:rPr>
        <w:t>0</w:t>
      </w:r>
      <w:r>
        <w:rPr>
          <w:rFonts w:hint="eastAsia" w:ascii="仿宋_GB2312" w:hAnsi="仿宋_GB2312" w:eastAsia="仿宋_GB2312" w:cs="仿宋_GB2312"/>
          <w:color w:val="000000"/>
          <w:sz w:val="32"/>
          <w:szCs w:val="32"/>
          <w:highlight w:val="none"/>
        </w:rPr>
        <w:t>万元，因公出国（境）费支出决算</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万元；公务用车购置及运行维护费支出决算</w:t>
      </w:r>
      <w:r>
        <w:rPr>
          <w:rFonts w:hint="eastAsia" w:ascii="仿宋_GB2312" w:hAnsi="仿宋_GB2312" w:eastAsia="仿宋_GB2312" w:cs="仿宋_GB2312"/>
          <w:color w:val="000000"/>
          <w:sz w:val="32"/>
          <w:highlight w:val="none"/>
          <w:u w:color="auto"/>
          <w:lang w:val="en-US" w:eastAsia="zh-CN"/>
        </w:rPr>
        <w:t>0</w:t>
      </w:r>
      <w:r>
        <w:rPr>
          <w:rFonts w:hint="eastAsia" w:ascii="仿宋_GB2312" w:hAnsi="仿宋_GB2312" w:eastAsia="仿宋_GB2312" w:cs="仿宋_GB2312"/>
          <w:color w:val="000000"/>
          <w:sz w:val="32"/>
          <w:szCs w:val="32"/>
          <w:highlight w:val="none"/>
        </w:rPr>
        <w:t>万元；公务接待费支出决算</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万元。具体情况如下：</w:t>
      </w:r>
    </w:p>
    <w:p>
      <w:pPr>
        <w:pStyle w:val="6"/>
        <w:rPr>
          <w:rFonts w:ascii="仿宋_GB2312" w:eastAsia="仿宋_GB2312"/>
          <w:color w:val="000000"/>
          <w:sz w:val="32"/>
          <w:szCs w:val="32"/>
          <w:highlight w:val="none"/>
        </w:rPr>
      </w:pPr>
      <w:r>
        <w:rPr>
          <w:highlight w:val="none"/>
        </w:rPr>
        <w:drawing>
          <wp:inline distT="0" distB="0" distL="0" distR="0">
            <wp:extent cx="4333240" cy="2886075"/>
            <wp:effectExtent l="4445" t="4445" r="5715" b="5080"/>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1.因公出国（境）经费支出</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万元。全年安排因公出国（境）团组</w:t>
      </w:r>
      <w:r>
        <w:rPr>
          <w:rFonts w:hint="eastAsia" w:ascii="仿宋_GB2312" w:hAnsi="仿宋_GB2312" w:eastAsia="仿宋_GB2312" w:cs="仿宋_GB2312"/>
          <w:color w:val="000000"/>
          <w:sz w:val="32"/>
          <w:highlight w:val="none"/>
          <w:u w:color="auto"/>
        </w:rPr>
        <w:t>0</w:t>
      </w:r>
      <w:r>
        <w:rPr>
          <w:rFonts w:hint="eastAsia" w:ascii="仿宋_GB2312" w:hAnsi="仿宋_GB2312" w:eastAsia="仿宋_GB2312" w:cs="仿宋_GB2312"/>
          <w:color w:val="000000"/>
          <w:sz w:val="32"/>
          <w:szCs w:val="32"/>
          <w:highlight w:val="none"/>
        </w:rPr>
        <w:t>次，出国（境）</w:t>
      </w:r>
      <w:r>
        <w:rPr>
          <w:rFonts w:hint="eastAsia" w:ascii="仿宋_GB2312" w:hAnsi="仿宋_GB2312" w:eastAsia="仿宋_GB2312" w:cs="仿宋_GB2312"/>
          <w:color w:val="000000"/>
          <w:sz w:val="32"/>
          <w:highlight w:val="none"/>
          <w:u w:color="auto"/>
        </w:rPr>
        <w:t>0</w:t>
      </w:r>
      <w:r>
        <w:rPr>
          <w:rFonts w:hint="eastAsia" w:ascii="仿宋_GB2312" w:hAnsi="仿宋_GB2312" w:eastAsia="仿宋_GB2312" w:cs="仿宋_GB2312"/>
          <w:color w:val="000000"/>
          <w:sz w:val="32"/>
          <w:szCs w:val="32"/>
          <w:highlight w:val="none"/>
        </w:rPr>
        <w:t>人。因公出国（境）支出决算比</w:t>
      </w:r>
      <w:r>
        <w:rPr>
          <w:rFonts w:hint="eastAsia" w:ascii="仿宋_GB2312" w:hAnsi="仿宋_GB2312" w:eastAsia="仿宋_GB2312" w:cs="仿宋_GB2312"/>
          <w:color w:val="000000"/>
          <w:sz w:val="32"/>
          <w:highlight w:val="none"/>
          <w:u w:color="auto"/>
          <w:lang w:eastAsia="zh-CN"/>
        </w:rPr>
        <w:t>2023</w:t>
      </w:r>
      <w:r>
        <w:rPr>
          <w:rFonts w:hint="eastAsia" w:ascii="仿宋_GB2312" w:hAnsi="仿宋_GB2312" w:eastAsia="仿宋_GB2312" w:cs="仿宋_GB2312"/>
          <w:color w:val="000000"/>
          <w:sz w:val="32"/>
          <w:highlight w:val="none"/>
          <w:u w:color="auto"/>
        </w:rPr>
        <w:t>年增加</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highlight w:val="none"/>
          <w:u w:color="auto"/>
        </w:rPr>
        <w:t xml:space="preserve"> </w:t>
      </w:r>
    </w:p>
    <w:p>
      <w:pPr>
        <w:spacing w:line="600" w:lineRule="exact"/>
        <w:ind w:firstLine="64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2.公务用车购置及运行维护费支出</w:t>
      </w:r>
      <w:r>
        <w:rPr>
          <w:rFonts w:hint="eastAsia" w:ascii="仿宋_GB2312" w:hAnsi="仿宋_GB2312" w:eastAsia="仿宋_GB2312" w:cs="仿宋_GB2312"/>
          <w:color w:val="000000"/>
          <w:sz w:val="32"/>
          <w:highlight w:val="none"/>
          <w:u w:color="auto"/>
          <w:lang w:val="en-US" w:eastAsia="zh-CN"/>
        </w:rPr>
        <w:t>0</w:t>
      </w:r>
      <w:r>
        <w:rPr>
          <w:rFonts w:hint="eastAsia" w:ascii="仿宋_GB2312" w:hAnsi="仿宋_GB2312" w:eastAsia="仿宋_GB2312" w:cs="仿宋_GB2312"/>
          <w:color w:val="000000"/>
          <w:sz w:val="32"/>
          <w:szCs w:val="32"/>
          <w:highlight w:val="none"/>
        </w:rPr>
        <w:t>万元,完成预算</w:t>
      </w:r>
      <w:r>
        <w:rPr>
          <w:rFonts w:hint="eastAsia" w:ascii="仿宋_GB2312" w:hAnsi="仿宋_GB2312" w:eastAsia="仿宋_GB2312" w:cs="仿宋_GB2312"/>
          <w:color w:val="000000"/>
          <w:sz w:val="32"/>
          <w:highlight w:val="none"/>
          <w:u w:color="auto"/>
        </w:rPr>
        <w:t>10</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%。公务用车购置及运行维护费支出决算比</w:t>
      </w:r>
      <w:r>
        <w:rPr>
          <w:rFonts w:hint="eastAsia" w:ascii="仿宋_GB2312" w:hAnsi="仿宋_GB2312" w:eastAsia="仿宋_GB2312" w:cs="仿宋_GB2312"/>
          <w:color w:val="000000"/>
          <w:sz w:val="32"/>
          <w:highlight w:val="none"/>
          <w:u w:color="auto"/>
          <w:lang w:eastAsia="zh-CN"/>
        </w:rPr>
        <w:t>2023</w:t>
      </w:r>
      <w:r>
        <w:rPr>
          <w:rFonts w:hint="eastAsia" w:ascii="仿宋_GB2312" w:hAnsi="仿宋_GB2312" w:eastAsia="仿宋_GB2312" w:cs="仿宋_GB2312"/>
          <w:color w:val="000000"/>
          <w:sz w:val="32"/>
          <w:highlight w:val="none"/>
          <w:u w:color="auto"/>
        </w:rPr>
        <w:t>年增加</w:t>
      </w:r>
      <w:r>
        <w:rPr>
          <w:rFonts w:hint="eastAsia" w:ascii="仿宋_GB2312" w:hAnsi="仿宋_GB2312" w:eastAsia="仿宋_GB2312" w:cs="仿宋_GB2312"/>
          <w:color w:val="000000"/>
          <w:sz w:val="32"/>
          <w:highlight w:val="none"/>
          <w:u w:color="auto"/>
          <w:lang w:val="en-US" w:eastAsia="zh-CN"/>
        </w:rPr>
        <w:t>0</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highlight w:val="none"/>
          <w:u w:color="auto"/>
        </w:rPr>
        <w:t>增加</w:t>
      </w:r>
      <w:r>
        <w:rPr>
          <w:rFonts w:hint="eastAsia" w:ascii="仿宋_GB2312" w:hAnsi="仿宋_GB2312" w:eastAsia="仿宋_GB2312" w:cs="仿宋_GB2312"/>
          <w:color w:val="000000"/>
          <w:sz w:val="32"/>
          <w:highlight w:val="none"/>
          <w:u w:color="auto"/>
          <w:lang w:val="en-US" w:eastAsia="zh-CN"/>
        </w:rPr>
        <w:t>0</w:t>
      </w:r>
      <w:r>
        <w:rPr>
          <w:rFonts w:hint="eastAsia" w:ascii="仿宋_GB2312" w:hAnsi="仿宋_GB2312" w:eastAsia="仿宋_GB2312" w:cs="仿宋_GB2312"/>
          <w:color w:val="000000"/>
          <w:sz w:val="32"/>
          <w:szCs w:val="32"/>
          <w:highlight w:val="none"/>
        </w:rPr>
        <w:t>%。</w:t>
      </w:r>
    </w:p>
    <w:p>
      <w:pPr>
        <w:spacing w:line="600" w:lineRule="exact"/>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其中：公务用车购置支出</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highlight w:val="none"/>
          <w:u w:color="auto"/>
        </w:rPr>
        <w:t>万元。全年按规定更新购置公务用车0辆，其中：轿车0辆、金额</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highlight w:val="none"/>
          <w:u w:color="auto"/>
        </w:rPr>
        <w:t>万元，越野车0辆、金额</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highlight w:val="none"/>
          <w:u w:color="auto"/>
        </w:rPr>
        <w:t>万元，载客汽车0辆、金额</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highlight w:val="none"/>
          <w:u w:color="auto"/>
        </w:rPr>
        <w:t>万元。截至</w:t>
      </w:r>
      <w:r>
        <w:rPr>
          <w:rFonts w:hint="eastAsia" w:ascii="仿宋_GB2312" w:hAnsi="仿宋_GB2312" w:eastAsia="仿宋_GB2312" w:cs="仿宋_GB2312"/>
          <w:color w:val="000000"/>
          <w:sz w:val="32"/>
          <w:szCs w:val="32"/>
          <w:highlight w:val="none"/>
          <w:lang w:val="en-US" w:eastAsia="zh-CN"/>
        </w:rPr>
        <w:t>2024年</w:t>
      </w:r>
      <w:r>
        <w:rPr>
          <w:rFonts w:hint="eastAsia" w:ascii="仿宋_GB2312" w:hAnsi="仿宋_GB2312" w:eastAsia="仿宋_GB2312" w:cs="仿宋_GB2312"/>
          <w:color w:val="000000"/>
          <w:sz w:val="32"/>
          <w:szCs w:val="32"/>
          <w:highlight w:val="none"/>
        </w:rPr>
        <w:t>，单位共有公务用车</w:t>
      </w:r>
      <w:r>
        <w:rPr>
          <w:rFonts w:hint="eastAsia" w:ascii="仿宋_GB2312" w:hAnsi="仿宋_GB2312" w:eastAsia="仿宋_GB2312" w:cs="仿宋_GB2312"/>
          <w:color w:val="000000"/>
          <w:sz w:val="32"/>
          <w:szCs w:val="32"/>
          <w:highlight w:val="none"/>
          <w:lang w:val="en-US" w:eastAsia="zh-CN"/>
        </w:rPr>
        <w:t>4</w:t>
      </w:r>
      <w:r>
        <w:rPr>
          <w:rFonts w:hint="eastAsia" w:ascii="仿宋_GB2312" w:hAnsi="仿宋_GB2312" w:eastAsia="仿宋_GB2312" w:cs="仿宋_GB2312"/>
          <w:color w:val="000000"/>
          <w:sz w:val="32"/>
          <w:szCs w:val="32"/>
          <w:highlight w:val="none"/>
        </w:rPr>
        <w:t>辆，其中：轿车</w:t>
      </w:r>
      <w:r>
        <w:rPr>
          <w:rFonts w:hint="eastAsia" w:ascii="仿宋_GB2312" w:hAnsi="仿宋_GB2312" w:eastAsia="仿宋_GB2312" w:cs="仿宋_GB2312"/>
          <w:color w:val="000000"/>
          <w:sz w:val="32"/>
          <w:highlight w:val="none"/>
          <w:u w:color="auto"/>
        </w:rPr>
        <w:t>0辆、越野车</w:t>
      </w:r>
      <w:r>
        <w:rPr>
          <w:rFonts w:hint="eastAsia" w:ascii="仿宋_GB2312" w:hAnsi="仿宋_GB2312" w:eastAsia="仿宋_GB2312" w:cs="仿宋_GB2312"/>
          <w:color w:val="000000"/>
          <w:sz w:val="32"/>
          <w:highlight w:val="none"/>
          <w:u w:color="auto"/>
          <w:lang w:val="en-US" w:eastAsia="zh-CN"/>
        </w:rPr>
        <w:t>4</w:t>
      </w:r>
      <w:r>
        <w:rPr>
          <w:rFonts w:hint="eastAsia" w:ascii="仿宋_GB2312" w:hAnsi="仿宋_GB2312" w:eastAsia="仿宋_GB2312" w:cs="仿宋_GB2312"/>
          <w:color w:val="000000"/>
          <w:sz w:val="32"/>
          <w:highlight w:val="none"/>
          <w:u w:color="auto"/>
        </w:rPr>
        <w:t>辆、载客汽车0辆。</w:t>
      </w:r>
    </w:p>
    <w:p>
      <w:pPr>
        <w:spacing w:line="600" w:lineRule="exact"/>
        <w:ind w:firstLine="64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公务用车运行维护费支出</w:t>
      </w:r>
      <w:r>
        <w:rPr>
          <w:rFonts w:hint="eastAsia" w:ascii="仿宋_GB2312" w:hAnsi="仿宋_GB2312" w:eastAsia="仿宋_GB2312" w:cs="仿宋_GB2312"/>
          <w:color w:val="000000"/>
          <w:sz w:val="32"/>
          <w:highlight w:val="none"/>
          <w:u w:color="auto"/>
          <w:lang w:val="en-US" w:eastAsia="zh-CN"/>
        </w:rPr>
        <w:t>0</w:t>
      </w:r>
      <w:r>
        <w:rPr>
          <w:rFonts w:hint="eastAsia" w:ascii="仿宋_GB2312" w:hAnsi="仿宋_GB2312" w:eastAsia="仿宋_GB2312" w:cs="仿宋_GB2312"/>
          <w:color w:val="000000"/>
          <w:sz w:val="32"/>
          <w:szCs w:val="32"/>
          <w:highlight w:val="none"/>
        </w:rPr>
        <w:t>万元。</w:t>
      </w:r>
    </w:p>
    <w:p>
      <w:pPr>
        <w:pStyle w:val="6"/>
        <w:numPr>
          <w:ilvl w:val="0"/>
          <w:numId w:val="0"/>
        </w:numPr>
        <w:ind w:left="0" w:leftChars="0"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kern w:val="2"/>
          <w:sz w:val="32"/>
          <w:szCs w:val="32"/>
          <w:lang w:val="en-US" w:eastAsia="zh-CN" w:bidi="ar-SA"/>
        </w:rPr>
        <w:t>3.</w:t>
      </w:r>
      <w:r>
        <w:rPr>
          <w:rFonts w:hint="eastAsia" w:ascii="仿宋_GB2312" w:hAnsi="仿宋_GB2312" w:eastAsia="仿宋_GB2312" w:cs="仿宋_GB2312"/>
          <w:color w:val="000000"/>
          <w:sz w:val="32"/>
          <w:szCs w:val="32"/>
          <w:highlight w:val="none"/>
        </w:rPr>
        <w:t>公务接待费</w:t>
      </w:r>
      <w:bookmarkStart w:id="47" w:name="_Toc15377218"/>
    </w:p>
    <w:p>
      <w:pPr>
        <w:spacing w:line="600" w:lineRule="exact"/>
        <w:ind w:firstLine="640"/>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2024年公务接待费支出0万元。</w:t>
      </w:r>
    </w:p>
    <w:p>
      <w:pPr>
        <w:pStyle w:val="4"/>
        <w:pageBreakBefore w:val="0"/>
        <w:widowControl w:val="0"/>
        <w:kinsoku/>
        <w:wordWrap/>
        <w:overflowPunct/>
        <w:topLinePunct w:val="0"/>
        <w:autoSpaceDE/>
        <w:autoSpaceDN/>
        <w:bidi w:val="0"/>
        <w:adjustRightInd/>
        <w:snapToGrid/>
        <w:spacing w:line="300" w:lineRule="exact"/>
        <w:ind w:firstLine="642" w:firstLineChars="200"/>
        <w:textAlignment w:val="auto"/>
        <w:rPr>
          <w:rFonts w:ascii="黑体" w:eastAsia="黑体" w:cs="Times New Roman"/>
          <w:bCs w:val="0"/>
          <w:color w:val="000000"/>
          <w:highlight w:val="none"/>
        </w:rPr>
      </w:pPr>
      <w:bookmarkStart w:id="48" w:name="_Toc111208506"/>
      <w:bookmarkStart w:id="49" w:name="_Toc27590"/>
      <w:r>
        <w:rPr>
          <w:rFonts w:hint="eastAsia" w:ascii="黑体" w:eastAsia="黑体" w:cs="Times New Roman"/>
          <w:bCs w:val="0"/>
          <w:color w:val="000000"/>
          <w:highlight w:val="none"/>
        </w:rPr>
        <w:t>八、政府性基金预算支出决算情况说明</w:t>
      </w:r>
      <w:bookmarkEnd w:id="47"/>
      <w:bookmarkEnd w:id="48"/>
      <w:bookmarkEnd w:id="49"/>
    </w:p>
    <w:p>
      <w:pPr>
        <w:keepNext w:val="0"/>
        <w:keepLines w:val="0"/>
        <w:pageBreakBefore w:val="0"/>
        <w:widowControl w:val="0"/>
        <w:kinsoku/>
        <w:wordWrap/>
        <w:overflowPunct/>
        <w:topLinePunct w:val="0"/>
        <w:autoSpaceDE/>
        <w:autoSpaceDN/>
        <w:bidi w:val="0"/>
        <w:adjustRightInd/>
        <w:snapToGrid/>
        <w:spacing w:line="400" w:lineRule="exact"/>
        <w:ind w:firstLine="641"/>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000000"/>
          <w:sz w:val="32"/>
          <w:szCs w:val="32"/>
          <w:highlight w:val="none"/>
          <w:lang w:eastAsia="zh-CN"/>
        </w:rPr>
        <w:t>2024</w:t>
      </w:r>
      <w:r>
        <w:rPr>
          <w:rFonts w:hint="eastAsia" w:ascii="仿宋_GB2312" w:hAnsi="仿宋_GB2312" w:eastAsia="仿宋_GB2312" w:cs="仿宋_GB2312"/>
          <w:color w:val="000000"/>
          <w:sz w:val="32"/>
          <w:highlight w:val="none"/>
          <w:u w:color="auto"/>
        </w:rPr>
        <w:t>年政府性基金预算拨款支出</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w:t>
      </w:r>
      <w:bookmarkStart w:id="50" w:name="_Toc15377219"/>
    </w:p>
    <w:p>
      <w:pPr>
        <w:pStyle w:val="4"/>
        <w:pageBreakBefore w:val="0"/>
        <w:widowControl w:val="0"/>
        <w:kinsoku/>
        <w:wordWrap/>
        <w:overflowPunct/>
        <w:topLinePunct w:val="0"/>
        <w:autoSpaceDE/>
        <w:autoSpaceDN/>
        <w:bidi w:val="0"/>
        <w:adjustRightInd/>
        <w:snapToGrid/>
        <w:spacing w:line="300" w:lineRule="exact"/>
        <w:ind w:firstLine="642" w:firstLineChars="200"/>
        <w:textAlignment w:val="auto"/>
        <w:rPr>
          <w:rFonts w:ascii="黑体" w:eastAsia="黑体" w:cs="Times New Roman"/>
          <w:bCs w:val="0"/>
          <w:color w:val="000000"/>
          <w:highlight w:val="none"/>
        </w:rPr>
      </w:pPr>
      <w:bookmarkStart w:id="51" w:name="_Toc111208507"/>
      <w:bookmarkStart w:id="52" w:name="_Toc6349"/>
      <w:r>
        <w:rPr>
          <w:rFonts w:hint="eastAsia" w:ascii="黑体" w:eastAsia="黑体" w:cs="Times New Roman"/>
          <w:bCs w:val="0"/>
          <w:color w:val="000000"/>
          <w:highlight w:val="none"/>
        </w:rPr>
        <w:t>九、国有资本经营预算支出决算情况说明</w:t>
      </w:r>
      <w:bookmarkEnd w:id="50"/>
      <w:bookmarkEnd w:id="51"/>
      <w:bookmarkEnd w:id="52"/>
    </w:p>
    <w:p>
      <w:pPr>
        <w:keepNext w:val="0"/>
        <w:keepLines w:val="0"/>
        <w:pageBreakBefore w:val="0"/>
        <w:widowControl w:val="0"/>
        <w:kinsoku/>
        <w:wordWrap/>
        <w:overflowPunct/>
        <w:topLinePunct w:val="0"/>
        <w:autoSpaceDE/>
        <w:autoSpaceDN/>
        <w:bidi w:val="0"/>
        <w:adjustRightInd/>
        <w:snapToGrid/>
        <w:spacing w:line="400" w:lineRule="exact"/>
        <w:ind w:firstLine="641"/>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000000"/>
          <w:sz w:val="32"/>
          <w:szCs w:val="32"/>
          <w:highlight w:val="none"/>
          <w:lang w:eastAsia="zh-CN"/>
        </w:rPr>
        <w:t>2024</w:t>
      </w:r>
      <w:r>
        <w:rPr>
          <w:rFonts w:hint="eastAsia" w:ascii="仿宋_GB2312" w:hAnsi="仿宋_GB2312" w:eastAsia="仿宋_GB2312" w:cs="仿宋_GB2312"/>
          <w:color w:val="000000"/>
          <w:sz w:val="32"/>
          <w:highlight w:val="none"/>
          <w:u w:color="auto"/>
        </w:rPr>
        <w:t>年国有资本经营预算拨款支出</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w:t>
      </w:r>
    </w:p>
    <w:p>
      <w:pPr>
        <w:pStyle w:val="4"/>
        <w:pageBreakBefore w:val="0"/>
        <w:widowControl w:val="0"/>
        <w:kinsoku/>
        <w:wordWrap/>
        <w:overflowPunct/>
        <w:topLinePunct w:val="0"/>
        <w:autoSpaceDE/>
        <w:autoSpaceDN/>
        <w:bidi w:val="0"/>
        <w:adjustRightInd/>
        <w:snapToGrid/>
        <w:spacing w:after="0" w:afterAutospacing="0" w:line="300" w:lineRule="exact"/>
        <w:ind w:firstLine="642" w:firstLineChars="200"/>
        <w:textAlignment w:val="auto"/>
        <w:rPr>
          <w:rFonts w:ascii="黑体" w:eastAsia="黑体" w:cs="Times New Roman"/>
          <w:bCs w:val="0"/>
          <w:color w:val="000000"/>
          <w:highlight w:val="none"/>
        </w:rPr>
      </w:pPr>
      <w:bookmarkStart w:id="53" w:name="_Toc7650"/>
      <w:bookmarkStart w:id="54" w:name="_Toc15377221"/>
      <w:bookmarkStart w:id="55" w:name="_Toc111208508"/>
      <w:r>
        <w:rPr>
          <w:rFonts w:hint="eastAsia" w:ascii="黑体" w:eastAsia="黑体" w:cs="Times New Roman"/>
          <w:bCs w:val="0"/>
          <w:color w:val="000000"/>
          <w:highlight w:val="none"/>
        </w:rPr>
        <w:t>十、其他重要事项的情况说明</w:t>
      </w:r>
      <w:bookmarkEnd w:id="53"/>
      <w:bookmarkEnd w:id="54"/>
      <w:bookmarkEnd w:id="55"/>
    </w:p>
    <w:p>
      <w:pPr>
        <w:spacing w:beforeAutospacing="0" w:line="600" w:lineRule="exact"/>
        <w:ind w:firstLine="642" w:firstLineChars="200"/>
        <w:outlineLvl w:val="2"/>
        <w:rPr>
          <w:rFonts w:ascii="仿宋" w:eastAsia="仿宋"/>
          <w:b/>
          <w:color w:val="000000"/>
          <w:sz w:val="32"/>
          <w:szCs w:val="32"/>
          <w:highlight w:val="none"/>
        </w:rPr>
      </w:pPr>
      <w:bookmarkStart w:id="56" w:name="_Toc15377222"/>
      <w:r>
        <w:rPr>
          <w:rFonts w:hint="eastAsia" w:ascii="仿宋" w:eastAsia="仿宋"/>
          <w:b/>
          <w:color w:val="000000"/>
          <w:sz w:val="32"/>
          <w:szCs w:val="32"/>
          <w:highlight w:val="none"/>
        </w:rPr>
        <w:t>（一）机关运行经费支出情况</w:t>
      </w:r>
      <w:bookmarkEnd w:id="56"/>
    </w:p>
    <w:p>
      <w:pPr>
        <w:spacing w:line="600" w:lineRule="exact"/>
        <w:ind w:firstLine="640"/>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2024</w:t>
      </w:r>
      <w:r>
        <w:rPr>
          <w:rFonts w:hint="eastAsia" w:ascii="仿宋_GB2312" w:hAnsi="仿宋_GB2312" w:eastAsia="仿宋_GB2312" w:cs="仿宋_GB2312"/>
          <w:color w:val="000000" w:themeColor="text1"/>
          <w:sz w:val="32"/>
          <w:highlight w:val="none"/>
          <w:u w:color="auto"/>
          <w14:textFill>
            <w14:solidFill>
              <w14:schemeClr w14:val="tx1"/>
            </w14:solidFill>
          </w14:textFill>
        </w:rPr>
        <w:t>年，机关运行经费支出</w:t>
      </w:r>
      <w:r>
        <w:rPr>
          <w:rFonts w:hint="eastAsia" w:ascii="仿宋_GB2312" w:hAnsi="仿宋_GB2312" w:eastAsia="仿宋_GB2312" w:cs="仿宋_GB2312"/>
          <w:color w:val="000000" w:themeColor="text1"/>
          <w:sz w:val="32"/>
          <w:highlight w:val="none"/>
          <w:u w:color="auto"/>
          <w:lang w:val="en-US" w:eastAsia="zh-CN"/>
          <w14:textFill>
            <w14:solidFill>
              <w14:schemeClr w14:val="tx1"/>
            </w14:solidFill>
          </w14:textFill>
        </w:rPr>
        <w:t>9.64</w:t>
      </w:r>
      <w:r>
        <w:rPr>
          <w:rFonts w:hint="eastAsia" w:ascii="仿宋_GB2312" w:hAnsi="仿宋_GB2312" w:eastAsia="仿宋_GB2312" w:cs="仿宋_GB2312"/>
          <w:color w:val="000000" w:themeColor="text1"/>
          <w:sz w:val="32"/>
          <w:szCs w:val="32"/>
          <w:highlight w:val="none"/>
          <w14:textFill>
            <w14:solidFill>
              <w14:schemeClr w14:val="tx1"/>
            </w14:solidFill>
          </w14:textFill>
        </w:rPr>
        <w:t>万元</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pPr>
        <w:spacing w:line="600" w:lineRule="exact"/>
        <w:ind w:firstLine="642" w:firstLineChars="200"/>
        <w:outlineLvl w:val="2"/>
        <w:rPr>
          <w:rFonts w:ascii="仿宋" w:eastAsia="仿宋"/>
          <w:b/>
          <w:color w:val="000000"/>
          <w:sz w:val="32"/>
          <w:szCs w:val="32"/>
          <w:highlight w:val="none"/>
        </w:rPr>
      </w:pPr>
      <w:bookmarkStart w:id="57" w:name="_Toc15377223"/>
      <w:r>
        <w:rPr>
          <w:rFonts w:hint="eastAsia" w:ascii="仿宋" w:eastAsia="仿宋"/>
          <w:b/>
          <w:color w:val="000000"/>
          <w:sz w:val="32"/>
          <w:szCs w:val="32"/>
          <w:highlight w:val="none"/>
        </w:rPr>
        <w:t>（二）政府采购支出情况</w:t>
      </w:r>
      <w:bookmarkEnd w:id="57"/>
    </w:p>
    <w:p>
      <w:pPr>
        <w:spacing w:line="600" w:lineRule="exact"/>
        <w:ind w:firstLine="640"/>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eastAsia="zh-CN"/>
        </w:rPr>
        <w:t>2024</w:t>
      </w:r>
      <w:r>
        <w:rPr>
          <w:rFonts w:hint="eastAsia" w:ascii="仿宋_GB2312" w:hAnsi="仿宋_GB2312" w:eastAsia="仿宋_GB2312" w:cs="仿宋_GB2312"/>
          <w:color w:val="000000"/>
          <w:sz w:val="32"/>
          <w:highlight w:val="none"/>
          <w:u w:color="auto"/>
        </w:rPr>
        <w:t>年，政府采购支出总额</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万元，其中：政府采购货物支出</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万元、政府采购工程支出</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万元、政府采购服务支出</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万元。授予中小企业合同金额</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万元，其中：授予小微企业合同金额</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szCs w:val="32"/>
          <w:highlight w:val="none"/>
          <w:lang w:eastAsia="zh-CN"/>
        </w:rPr>
        <w:t>，占比</w:t>
      </w:r>
      <w:r>
        <w:rPr>
          <w:rFonts w:hint="eastAsia" w:ascii="仿宋_GB2312" w:hAnsi="仿宋_GB2312" w:eastAsia="仿宋_GB2312" w:cs="仿宋_GB2312"/>
          <w:color w:val="000000"/>
          <w:sz w:val="32"/>
          <w:szCs w:val="32"/>
          <w:highlight w:val="none"/>
          <w:lang w:val="en-US" w:eastAsia="zh-CN"/>
        </w:rPr>
        <w:t>0.00%</w:t>
      </w:r>
    </w:p>
    <w:p>
      <w:pPr>
        <w:spacing w:line="600" w:lineRule="exact"/>
        <w:ind w:firstLine="642" w:firstLineChars="200"/>
        <w:outlineLvl w:val="2"/>
        <w:rPr>
          <w:rFonts w:hint="eastAsia" w:ascii="仿宋_GB2312" w:hAnsi="仿宋_GB2312" w:eastAsia="仿宋_GB2312" w:cs="仿宋_GB2312"/>
          <w:b/>
          <w:color w:val="000000"/>
          <w:sz w:val="32"/>
          <w:szCs w:val="32"/>
          <w:highlight w:val="none"/>
        </w:rPr>
      </w:pPr>
      <w:bookmarkStart w:id="58" w:name="_Toc15377224"/>
      <w:r>
        <w:rPr>
          <w:rFonts w:hint="eastAsia" w:ascii="仿宋_GB2312" w:hAnsi="仿宋_GB2312" w:eastAsia="仿宋_GB2312" w:cs="仿宋_GB2312"/>
          <w:b/>
          <w:color w:val="000000"/>
          <w:sz w:val="32"/>
          <w:szCs w:val="32"/>
          <w:highlight w:val="none"/>
        </w:rPr>
        <w:t>（三）国有资产占有使用情况</w:t>
      </w:r>
      <w:bookmarkEnd w:id="58"/>
    </w:p>
    <w:p>
      <w:pPr>
        <w:spacing w:line="600" w:lineRule="exact"/>
        <w:ind w:firstLine="64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截至</w:t>
      </w:r>
      <w:r>
        <w:rPr>
          <w:rFonts w:hint="eastAsia" w:ascii="仿宋_GB2312" w:hAnsi="仿宋_GB2312" w:eastAsia="仿宋_GB2312" w:cs="仿宋_GB2312"/>
          <w:color w:val="000000"/>
          <w:sz w:val="32"/>
          <w:highlight w:val="none"/>
          <w:u w:color="auto"/>
          <w:lang w:eastAsia="zh-CN"/>
        </w:rPr>
        <w:t>2024</w:t>
      </w:r>
      <w:r>
        <w:rPr>
          <w:rFonts w:hint="eastAsia" w:ascii="仿宋_GB2312" w:hAnsi="仿宋_GB2312" w:eastAsia="仿宋_GB2312" w:cs="仿宋_GB2312"/>
          <w:color w:val="000000"/>
          <w:sz w:val="32"/>
          <w:highlight w:val="none"/>
          <w:u w:color="auto"/>
        </w:rPr>
        <w:t>年</w:t>
      </w:r>
      <w:r>
        <w:rPr>
          <w:rFonts w:hint="eastAsia" w:ascii="仿宋_GB2312" w:hAnsi="仿宋_GB2312" w:eastAsia="仿宋_GB2312" w:cs="仿宋_GB2312"/>
          <w:color w:val="000000"/>
          <w:sz w:val="32"/>
          <w:szCs w:val="32"/>
          <w:highlight w:val="none"/>
        </w:rPr>
        <w:t>12月31日，共有车辆</w:t>
      </w:r>
      <w:r>
        <w:rPr>
          <w:rFonts w:hint="eastAsia" w:ascii="仿宋_GB2312" w:hAnsi="仿宋_GB2312" w:eastAsia="仿宋_GB2312" w:cs="仿宋_GB2312"/>
          <w:color w:val="000000"/>
          <w:sz w:val="32"/>
          <w:highlight w:val="none"/>
          <w:u w:color="auto"/>
        </w:rPr>
        <w:t>4辆，其中：主要领导干部用车0</w:t>
      </w:r>
      <w:r>
        <w:rPr>
          <w:rFonts w:hint="eastAsia" w:ascii="仿宋_GB2312" w:hAnsi="仿宋_GB2312" w:eastAsia="仿宋_GB2312" w:cs="仿宋_GB2312"/>
          <w:color w:val="000000"/>
          <w:sz w:val="32"/>
          <w:szCs w:val="32"/>
          <w:highlight w:val="none"/>
        </w:rPr>
        <w:t>辆、机要通信用车</w:t>
      </w:r>
      <w:r>
        <w:rPr>
          <w:rFonts w:hint="eastAsia" w:ascii="仿宋_GB2312" w:hAnsi="仿宋_GB2312" w:eastAsia="仿宋_GB2312" w:cs="仿宋_GB2312"/>
          <w:color w:val="000000"/>
          <w:sz w:val="32"/>
          <w:highlight w:val="none"/>
          <w:u w:color="auto"/>
        </w:rPr>
        <w:t>0</w:t>
      </w:r>
      <w:r>
        <w:rPr>
          <w:rFonts w:hint="eastAsia" w:ascii="仿宋_GB2312" w:hAnsi="仿宋_GB2312" w:eastAsia="仿宋_GB2312" w:cs="仿宋_GB2312"/>
          <w:color w:val="000000"/>
          <w:sz w:val="32"/>
          <w:szCs w:val="32"/>
          <w:highlight w:val="none"/>
        </w:rPr>
        <w:t>辆、应急保障用车</w:t>
      </w:r>
      <w:r>
        <w:rPr>
          <w:rFonts w:hint="eastAsia" w:ascii="仿宋_GB2312" w:hAnsi="仿宋_GB2312" w:eastAsia="仿宋_GB2312" w:cs="仿宋_GB2312"/>
          <w:color w:val="000000"/>
          <w:sz w:val="32"/>
          <w:highlight w:val="none"/>
          <w:u w:color="auto"/>
        </w:rPr>
        <w:t>4</w:t>
      </w:r>
      <w:r>
        <w:rPr>
          <w:rFonts w:hint="eastAsia" w:ascii="仿宋_GB2312" w:hAnsi="仿宋_GB2312" w:eastAsia="仿宋_GB2312" w:cs="仿宋_GB2312"/>
          <w:color w:val="000000"/>
          <w:sz w:val="32"/>
          <w:szCs w:val="32"/>
          <w:highlight w:val="none"/>
        </w:rPr>
        <w:t>辆、其他用车</w:t>
      </w:r>
      <w:r>
        <w:rPr>
          <w:rFonts w:hint="eastAsia" w:ascii="仿宋_GB2312" w:hAnsi="仿宋_GB2312" w:eastAsia="仿宋_GB2312" w:cs="仿宋_GB2312"/>
          <w:color w:val="000000"/>
          <w:sz w:val="32"/>
          <w:highlight w:val="none"/>
          <w:u w:color="auto"/>
        </w:rPr>
        <w:t>0</w:t>
      </w:r>
      <w:r>
        <w:rPr>
          <w:rFonts w:hint="eastAsia" w:ascii="仿宋_GB2312" w:hAnsi="仿宋_GB2312" w:eastAsia="仿宋_GB2312" w:cs="仿宋_GB2312"/>
          <w:color w:val="000000"/>
          <w:sz w:val="32"/>
          <w:szCs w:val="32"/>
          <w:highlight w:val="none"/>
        </w:rPr>
        <w:t>辆。单价50万元以上通用设备</w:t>
      </w:r>
      <w:r>
        <w:rPr>
          <w:rFonts w:hint="eastAsia" w:ascii="仿宋_GB2312" w:hAnsi="仿宋_GB2312" w:eastAsia="仿宋_GB2312" w:cs="仿宋_GB2312"/>
          <w:color w:val="000000"/>
          <w:sz w:val="32"/>
          <w:highlight w:val="none"/>
          <w:u w:color="auto"/>
        </w:rPr>
        <w:t>0</w:t>
      </w:r>
      <w:r>
        <w:rPr>
          <w:rFonts w:hint="eastAsia" w:ascii="仿宋_GB2312" w:hAnsi="仿宋_GB2312" w:eastAsia="仿宋_GB2312" w:cs="仿宋_GB2312"/>
          <w:color w:val="000000"/>
          <w:sz w:val="32"/>
          <w:szCs w:val="32"/>
          <w:highlight w:val="none"/>
        </w:rPr>
        <w:t>台（套），单价100万元以上专用设备台</w:t>
      </w:r>
      <w:r>
        <w:rPr>
          <w:rFonts w:hint="eastAsia" w:ascii="仿宋_GB2312" w:hAnsi="仿宋_GB2312" w:eastAsia="仿宋_GB2312" w:cs="仿宋_GB2312"/>
          <w:color w:val="000000"/>
          <w:sz w:val="32"/>
          <w:szCs w:val="32"/>
          <w:highlight w:val="none"/>
          <w:lang w:val="en-US" w:eastAsia="zh-CN"/>
        </w:rPr>
        <w:t>0</w:t>
      </w:r>
      <w:r>
        <w:rPr>
          <w:rFonts w:hint="eastAsia" w:ascii="仿宋_GB2312" w:hAnsi="仿宋_GB2312" w:eastAsia="仿宋_GB2312" w:cs="仿宋_GB2312"/>
          <w:color w:val="000000"/>
          <w:sz w:val="32"/>
          <w:szCs w:val="32"/>
          <w:highlight w:val="none"/>
        </w:rPr>
        <w:t>（套）。</w:t>
      </w:r>
    </w:p>
    <w:p>
      <w:pPr>
        <w:spacing w:line="600" w:lineRule="exact"/>
        <w:ind w:firstLine="642" w:firstLineChars="200"/>
        <w:outlineLvl w:val="2"/>
        <w:rPr>
          <w:rFonts w:hint="eastAsia" w:ascii="仿宋_GB2312" w:hAnsi="仿宋_GB2312" w:eastAsia="仿宋_GB2312" w:cs="仿宋_GB2312"/>
          <w:b/>
          <w:color w:val="000000"/>
          <w:sz w:val="32"/>
          <w:szCs w:val="32"/>
          <w:highlight w:val="none"/>
        </w:rPr>
      </w:pPr>
      <w:r>
        <w:rPr>
          <w:rFonts w:hint="eastAsia" w:ascii="仿宋_GB2312" w:hAnsi="仿宋_GB2312" w:eastAsia="仿宋_GB2312" w:cs="仿宋_GB2312"/>
          <w:b/>
          <w:color w:val="000000"/>
          <w:sz w:val="32"/>
          <w:szCs w:val="32"/>
          <w:highlight w:val="none"/>
        </w:rPr>
        <w:t>（四）预算绩效管理情况</w:t>
      </w:r>
    </w:p>
    <w:p>
      <w:pPr>
        <w:ind w:firstLine="640" w:firstLineChars="200"/>
        <w:rPr>
          <w:rFonts w:hint="eastAsia" w:ascii="仿宋_GB2312" w:hAnsi="仿宋_GB2312" w:eastAsia="仿宋_GB2312" w:cs="仿宋_GB2312"/>
          <w:highlight w:val="none"/>
        </w:rPr>
      </w:pPr>
      <w:r>
        <w:rPr>
          <w:rFonts w:hint="eastAsia" w:ascii="仿宋_GB2312" w:hAnsi="仿宋_GB2312" w:eastAsia="仿宋_GB2312" w:cs="仿宋_GB2312"/>
          <w:sz w:val="32"/>
          <w:szCs w:val="32"/>
          <w:highlight w:val="none"/>
        </w:rPr>
        <w:t>根据预算绩效管理要求，本</w:t>
      </w:r>
      <w:r>
        <w:rPr>
          <w:rFonts w:hint="eastAsia" w:ascii="仿宋_GB2312" w:hAnsi="仿宋_GB2312" w:eastAsia="仿宋_GB2312" w:cs="仿宋_GB2312"/>
          <w:sz w:val="32"/>
          <w:szCs w:val="32"/>
          <w:highlight w:val="none"/>
          <w:lang w:eastAsia="zh-CN"/>
        </w:rPr>
        <w:t>单位</w:t>
      </w:r>
      <w:r>
        <w:rPr>
          <w:rFonts w:hint="eastAsia" w:ascii="仿宋_GB2312" w:hAnsi="仿宋_GB2312" w:eastAsia="仿宋_GB2312" w:cs="仿宋_GB2312"/>
          <w:sz w:val="32"/>
          <w:szCs w:val="32"/>
          <w:highlight w:val="none"/>
        </w:rPr>
        <w:t>在</w:t>
      </w:r>
      <w:r>
        <w:rPr>
          <w:rFonts w:hint="eastAsia" w:ascii="仿宋_GB2312" w:hAnsi="仿宋_GB2312" w:eastAsia="仿宋_GB2312" w:cs="仿宋_GB2312"/>
          <w:sz w:val="32"/>
          <w:szCs w:val="32"/>
          <w:highlight w:val="none"/>
          <w:lang w:eastAsia="zh-CN"/>
        </w:rPr>
        <w:t>2024</w:t>
      </w:r>
      <w:r>
        <w:rPr>
          <w:rFonts w:hint="eastAsia" w:ascii="仿宋_GB2312" w:hAnsi="仿宋_GB2312" w:eastAsia="仿宋_GB2312" w:cs="仿宋_GB2312"/>
          <w:sz w:val="32"/>
          <w:szCs w:val="32"/>
          <w:highlight w:val="none"/>
        </w:rPr>
        <w:t>年度预算编制阶段，</w:t>
      </w:r>
      <w:r>
        <w:rPr>
          <w:rFonts w:hint="eastAsia" w:ascii="仿宋_GB2312" w:hAnsi="仿宋_GB2312" w:eastAsia="仿宋_GB2312" w:cs="仿宋_GB2312"/>
          <w:sz w:val="32"/>
          <w:szCs w:val="32"/>
          <w:highlight w:val="none"/>
          <w:lang w:val="en-US" w:eastAsia="zh-CN"/>
        </w:rPr>
        <w:t>无</w:t>
      </w:r>
      <w:r>
        <w:rPr>
          <w:rFonts w:hint="eastAsia" w:ascii="仿宋_GB2312" w:hAnsi="仿宋_GB2312" w:eastAsia="仿宋_GB2312" w:cs="仿宋_GB2312"/>
          <w:sz w:val="32"/>
          <w:szCs w:val="32"/>
          <w:highlight w:val="none"/>
        </w:rPr>
        <w:t>绩效自评</w:t>
      </w:r>
      <w:r>
        <w:rPr>
          <w:rFonts w:hint="eastAsia" w:ascii="仿宋_GB2312" w:hAnsi="仿宋_GB2312" w:eastAsia="仿宋_GB2312" w:cs="仿宋_GB2312"/>
          <w:sz w:val="32"/>
          <w:szCs w:val="32"/>
          <w:highlight w:val="none"/>
          <w:lang w:val="en-US" w:eastAsia="zh-CN"/>
        </w:rPr>
        <w:t>项目</w:t>
      </w:r>
      <w:r>
        <w:rPr>
          <w:rFonts w:hint="eastAsia" w:ascii="仿宋_GB2312" w:hAnsi="仿宋_GB2312" w:eastAsia="仿宋_GB2312" w:cs="仿宋_GB2312"/>
          <w:sz w:val="32"/>
          <w:szCs w:val="32"/>
          <w:highlight w:val="none"/>
        </w:rPr>
        <w:t>。</w:t>
      </w:r>
    </w:p>
    <w:p>
      <w:pPr>
        <w:widowControl/>
        <w:jc w:val="left"/>
        <w:rPr>
          <w:rFonts w:ascii="仿宋_GB2312" w:eastAsia="仿宋_GB2312"/>
          <w:b/>
          <w:color w:val="000000"/>
          <w:sz w:val="32"/>
          <w:szCs w:val="32"/>
          <w:highlight w:val="none"/>
        </w:rPr>
      </w:pPr>
      <w:r>
        <w:rPr>
          <w:rFonts w:ascii="仿宋_GB2312" w:eastAsia="仿宋_GB2312"/>
          <w:b/>
          <w:color w:val="000000"/>
          <w:sz w:val="32"/>
          <w:szCs w:val="32"/>
          <w:highlight w:val="none"/>
        </w:rPr>
        <w:br w:type="page"/>
      </w:r>
    </w:p>
    <w:p>
      <w:pPr>
        <w:numPr>
          <w:ilvl w:val="0"/>
          <w:numId w:val="1"/>
        </w:numPr>
        <w:spacing w:line="600" w:lineRule="exact"/>
        <w:ind w:firstLine="660" w:firstLineChars="150"/>
        <w:jc w:val="center"/>
        <w:outlineLvl w:val="0"/>
        <w:rPr>
          <w:rStyle w:val="30"/>
          <w:rFonts w:ascii="黑体" w:hAnsi="黑体" w:eastAsia="黑体"/>
          <w:b w:val="0"/>
          <w:highlight w:val="none"/>
        </w:rPr>
      </w:pPr>
      <w:bookmarkStart w:id="59" w:name="_Toc15377225"/>
      <w:bookmarkStart w:id="60" w:name="_Toc24024"/>
      <w:bookmarkStart w:id="61" w:name="_Toc15396613"/>
      <w:bookmarkStart w:id="62" w:name="_Toc111208510"/>
      <w:r>
        <w:rPr>
          <w:rFonts w:hint="eastAsia" w:ascii="黑体" w:hAnsi="黑体" w:eastAsia="黑体"/>
          <w:sz w:val="44"/>
          <w:szCs w:val="44"/>
          <w:highlight w:val="none"/>
        </w:rPr>
        <w:t>名</w:t>
      </w:r>
      <w:r>
        <w:rPr>
          <w:rStyle w:val="30"/>
          <w:rFonts w:hint="eastAsia" w:ascii="黑体" w:hAnsi="黑体" w:eastAsia="黑体"/>
          <w:b w:val="0"/>
          <w:highlight w:val="none"/>
        </w:rPr>
        <w:t>词解释</w:t>
      </w:r>
      <w:bookmarkEnd w:id="59"/>
      <w:bookmarkEnd w:id="60"/>
      <w:bookmarkEnd w:id="61"/>
    </w:p>
    <w:p>
      <w:pPr>
        <w:spacing w:line="600" w:lineRule="exact"/>
        <w:jc w:val="left"/>
        <w:rPr>
          <w:rFonts w:ascii="宋体"/>
          <w:b/>
          <w:sz w:val="44"/>
          <w:szCs w:val="44"/>
          <w:highlight w:val="none"/>
        </w:rPr>
      </w:pPr>
    </w:p>
    <w:p>
      <w:pPr>
        <w:pStyle w:val="24"/>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1.</w:t>
      </w:r>
      <w:r>
        <w:rPr>
          <w:rFonts w:hint="eastAsia" w:ascii="仿宋_GB2312" w:eastAsia="仿宋_GB2312"/>
          <w:sz w:val="32"/>
          <w:szCs w:val="32"/>
          <w:highlight w:val="none"/>
        </w:rPr>
        <w:t>财政拨款收入：指单位从同级财政部门取得的财政预算资金。</w:t>
      </w:r>
    </w:p>
    <w:p>
      <w:pPr>
        <w:pStyle w:val="24"/>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2.</w:t>
      </w:r>
      <w:r>
        <w:rPr>
          <w:rFonts w:hint="eastAsia" w:ascii="仿宋_GB2312" w:eastAsia="仿宋_GB2312"/>
          <w:sz w:val="32"/>
          <w:szCs w:val="32"/>
          <w:highlight w:val="none"/>
        </w:rPr>
        <w:t>事业收入：指事业单位开展专业业务活动及辅助活动取得的收入。</w:t>
      </w:r>
    </w:p>
    <w:p>
      <w:pPr>
        <w:pStyle w:val="24"/>
        <w:spacing w:line="560" w:lineRule="exact"/>
        <w:ind w:firstLine="640" w:firstLineChars="200"/>
        <w:rPr>
          <w:rFonts w:hint="eastAsia" w:ascii="仿宋_GB2312" w:eastAsia="仿宋_GB2312"/>
          <w:sz w:val="32"/>
          <w:szCs w:val="32"/>
          <w:highlight w:val="none"/>
        </w:rPr>
      </w:pPr>
      <w:r>
        <w:rPr>
          <w:rFonts w:ascii="仿宋_GB2312" w:eastAsia="仿宋_GB2312"/>
          <w:sz w:val="32"/>
          <w:szCs w:val="32"/>
          <w:highlight w:val="none"/>
        </w:rPr>
        <w:t>3.</w:t>
      </w:r>
      <w:r>
        <w:rPr>
          <w:rFonts w:hint="eastAsia" w:ascii="仿宋_GB2312" w:eastAsia="仿宋_GB2312"/>
          <w:sz w:val="32"/>
          <w:szCs w:val="32"/>
          <w:highlight w:val="none"/>
        </w:rPr>
        <w:t>经营收入：指事业单位在专业业务活动及其辅助活动之外开展非独立核算经营活动取得的收入。</w:t>
      </w:r>
    </w:p>
    <w:p>
      <w:pPr>
        <w:pStyle w:val="24"/>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4.</w:t>
      </w:r>
      <w:r>
        <w:rPr>
          <w:rFonts w:hint="eastAsia" w:ascii="仿宋_GB2312" w:eastAsia="仿宋_GB2312"/>
          <w:sz w:val="32"/>
          <w:szCs w:val="32"/>
          <w:highlight w:val="none"/>
        </w:rPr>
        <w:t>其他收入：指单位取得的除上述收入以外的各项收入。</w:t>
      </w:r>
      <w:r>
        <w:rPr>
          <w:rFonts w:ascii="仿宋_GB2312" w:eastAsia="仿宋_GB2312"/>
          <w:sz w:val="32"/>
          <w:szCs w:val="32"/>
          <w:highlight w:val="none"/>
        </w:rPr>
        <w:t xml:space="preserve"> </w:t>
      </w:r>
    </w:p>
    <w:p>
      <w:pPr>
        <w:pStyle w:val="24"/>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5.</w:t>
      </w:r>
      <w:r>
        <w:rPr>
          <w:rFonts w:hint="eastAsia" w:ascii="仿宋_GB2312" w:eastAsia="仿宋_GB2312"/>
          <w:sz w:val="32"/>
          <w:szCs w:val="32"/>
          <w:highlight w:val="none"/>
        </w:rPr>
        <w:t>使用非财政拨款结余：指事业单位使用以前年度积累的非财政拨款结余弥补当年收支差额的金额。</w:t>
      </w:r>
      <w:r>
        <w:rPr>
          <w:rFonts w:ascii="仿宋_GB2312" w:eastAsia="仿宋_GB2312"/>
          <w:sz w:val="32"/>
          <w:szCs w:val="32"/>
          <w:highlight w:val="none"/>
        </w:rPr>
        <w:t xml:space="preserve"> </w:t>
      </w:r>
    </w:p>
    <w:p>
      <w:pPr>
        <w:pStyle w:val="24"/>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6.</w:t>
      </w:r>
      <w:r>
        <w:rPr>
          <w:rFonts w:hint="eastAsia" w:ascii="仿宋_GB2312" w:eastAsia="仿宋_GB2312"/>
          <w:sz w:val="32"/>
          <w:szCs w:val="32"/>
          <w:highlight w:val="none"/>
        </w:rPr>
        <w:t>年初结转和结余：指以前年度尚未完成、结转到本年按有关规定继续使用的资金。</w:t>
      </w:r>
      <w:r>
        <w:rPr>
          <w:rFonts w:ascii="仿宋_GB2312" w:eastAsia="仿宋_GB2312"/>
          <w:sz w:val="32"/>
          <w:szCs w:val="32"/>
          <w:highlight w:val="none"/>
        </w:rPr>
        <w:t xml:space="preserve"> </w:t>
      </w:r>
    </w:p>
    <w:p>
      <w:pPr>
        <w:pStyle w:val="24"/>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7.</w:t>
      </w:r>
      <w:r>
        <w:rPr>
          <w:rFonts w:hint="eastAsia" w:ascii="仿宋_GB2312" w:eastAsia="仿宋_GB2312"/>
          <w:sz w:val="32"/>
          <w:szCs w:val="32"/>
          <w:highlight w:val="none"/>
        </w:rPr>
        <w:t>结余分配：指事业单位按照会计制度规定缴纳的所得税、提取的专用结余以及转入非财政拨款结余的金额等。</w:t>
      </w:r>
    </w:p>
    <w:p>
      <w:pPr>
        <w:pStyle w:val="24"/>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8</w:t>
      </w:r>
      <w:r>
        <w:rPr>
          <w:rFonts w:hint="eastAsia" w:ascii="仿宋_GB2312" w:eastAsia="仿宋_GB2312"/>
          <w:sz w:val="32"/>
          <w:szCs w:val="32"/>
          <w:highlight w:val="none"/>
        </w:rPr>
        <w:t>、年末结转和结余：指单位按有关规定结转到下年或以后年度继续使用的资金。</w:t>
      </w:r>
    </w:p>
    <w:p>
      <w:pPr>
        <w:spacing w:line="576" w:lineRule="atLeast"/>
        <w:ind w:firstLine="640" w:firstLineChars="200"/>
        <w:rPr>
          <w:rStyle w:val="20"/>
          <w:rFonts w:ascii="仿宋_GB2312" w:hAnsi="仿宋_GB2312" w:eastAsia="仿宋_GB2312"/>
          <w:b w:val="0"/>
          <w:color w:val="0000FF"/>
          <w:sz w:val="32"/>
          <w:szCs w:val="32"/>
          <w:highlight w:val="none"/>
        </w:rPr>
      </w:pPr>
      <w:r>
        <w:rPr>
          <w:rStyle w:val="20"/>
          <w:rFonts w:ascii="仿宋_GB2312" w:hAnsi="仿宋_GB2312" w:eastAsia="仿宋_GB2312" w:cs="仿宋_GB2312"/>
          <w:b w:val="0"/>
          <w:color w:val="000000"/>
          <w:sz w:val="32"/>
          <w:szCs w:val="32"/>
          <w:highlight w:val="none"/>
        </w:rPr>
        <w:t>9.</w:t>
      </w:r>
      <w:r>
        <w:rPr>
          <w:rStyle w:val="20"/>
          <w:rFonts w:hint="eastAsia" w:ascii="仿宋_GB2312" w:hAnsi="仿宋_GB2312" w:eastAsia="仿宋_GB2312" w:cs="仿宋_GB2312"/>
          <w:b w:val="0"/>
          <w:color w:val="000000"/>
          <w:sz w:val="32"/>
          <w:szCs w:val="32"/>
          <w:highlight w:val="none"/>
        </w:rPr>
        <w:t>一般公共服务（类）人大事务（款）人大会议（项）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w:t>
      </w:r>
      <w:r>
        <w:rPr>
          <w:rFonts w:hint="eastAsia" w:ascii="仿宋_GB2312" w:eastAsia="仿宋_GB2312" w:cs="仿宋_GB2312"/>
          <w:color w:val="000000"/>
          <w:sz w:val="32"/>
          <w:szCs w:val="32"/>
          <w:highlight w:val="none"/>
        </w:rPr>
        <w:t>单位人大召开人民代表大会等专门会议的支出</w:t>
      </w:r>
      <w:r>
        <w:rPr>
          <w:rStyle w:val="20"/>
          <w:rFonts w:hint="eastAsia" w:ascii="仿宋_GB2312" w:hAnsi="仿宋_GB2312" w:eastAsia="仿宋_GB2312" w:cs="仿宋_GB2312"/>
          <w:b w:val="0"/>
          <w:color w:val="0000FF"/>
          <w:sz w:val="32"/>
          <w:szCs w:val="32"/>
          <w:highlight w:val="none"/>
        </w:rPr>
        <w:t>。</w:t>
      </w:r>
    </w:p>
    <w:p>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ascii="仿宋_GB2312" w:hAnsi="仿宋_GB2312" w:eastAsia="仿宋_GB2312" w:cs="仿宋_GB2312"/>
          <w:b w:val="0"/>
          <w:color w:val="000000"/>
          <w:sz w:val="32"/>
          <w:szCs w:val="32"/>
          <w:highlight w:val="none"/>
        </w:rPr>
        <w:t>10.</w:t>
      </w:r>
      <w:r>
        <w:rPr>
          <w:rStyle w:val="20"/>
          <w:rFonts w:hint="eastAsia" w:ascii="仿宋_GB2312" w:hAnsi="仿宋_GB2312" w:eastAsia="仿宋_GB2312" w:cs="仿宋_GB2312"/>
          <w:b w:val="0"/>
          <w:color w:val="000000"/>
          <w:sz w:val="32"/>
          <w:szCs w:val="32"/>
          <w:highlight w:val="none"/>
        </w:rPr>
        <w:t>一般公共服务（类）政府办公厅（室）及相关机构事务（款）行政运行（项）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指单位（包括实行公务员管理的事业单位）的基本支出。</w:t>
      </w:r>
    </w:p>
    <w:p>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ascii="仿宋_GB2312" w:hAnsi="仿宋_GB2312" w:eastAsia="仿宋_GB2312" w:cs="仿宋_GB2312"/>
          <w:b w:val="0"/>
          <w:color w:val="000000"/>
          <w:sz w:val="32"/>
          <w:szCs w:val="32"/>
          <w:highlight w:val="none"/>
        </w:rPr>
        <w:t>11.</w:t>
      </w:r>
      <w:r>
        <w:rPr>
          <w:rStyle w:val="20"/>
          <w:rFonts w:hint="eastAsia" w:ascii="仿宋_GB2312" w:hAnsi="仿宋_GB2312" w:eastAsia="仿宋_GB2312" w:cs="仿宋_GB2312"/>
          <w:b w:val="0"/>
          <w:color w:val="000000"/>
          <w:sz w:val="32"/>
          <w:szCs w:val="32"/>
          <w:highlight w:val="none"/>
        </w:rPr>
        <w:t>一般公共服务（类）财政事务（款）事业运行（项）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w:t>
      </w:r>
      <w:r>
        <w:rPr>
          <w:rFonts w:hint="eastAsia" w:ascii="仿宋_GB2312" w:hAnsi="仿宋_GB2312" w:eastAsia="仿宋_GB2312" w:cs="仿宋_GB2312"/>
          <w:color w:val="000000"/>
          <w:kern w:val="0"/>
          <w:sz w:val="32"/>
          <w:szCs w:val="32"/>
          <w:highlight w:val="none"/>
        </w:rPr>
        <w:t>单位机关及参公管理事业单位用于保障机构正常运行、开展日常工作的基本支出</w:t>
      </w:r>
      <w:r>
        <w:rPr>
          <w:rStyle w:val="20"/>
          <w:rFonts w:hint="eastAsia" w:ascii="仿宋_GB2312" w:hAnsi="仿宋_GB2312" w:eastAsia="仿宋_GB2312" w:cs="仿宋_GB2312"/>
          <w:b w:val="0"/>
          <w:color w:val="000000"/>
          <w:sz w:val="32"/>
          <w:szCs w:val="32"/>
          <w:highlight w:val="none"/>
        </w:rPr>
        <w:t>。</w:t>
      </w:r>
    </w:p>
    <w:p>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ascii="仿宋_GB2312" w:hAnsi="仿宋_GB2312" w:eastAsia="仿宋_GB2312" w:cs="仿宋_GB2312"/>
          <w:b w:val="0"/>
          <w:color w:val="000000"/>
          <w:sz w:val="32"/>
          <w:szCs w:val="32"/>
          <w:highlight w:val="none"/>
        </w:rPr>
        <w:t>12.</w:t>
      </w:r>
      <w:r>
        <w:rPr>
          <w:rStyle w:val="20"/>
          <w:rFonts w:hint="eastAsia" w:ascii="仿宋_GB2312" w:hAnsi="仿宋_GB2312" w:eastAsia="仿宋_GB2312" w:cs="仿宋_GB2312"/>
          <w:b w:val="0"/>
          <w:color w:val="000000"/>
          <w:sz w:val="32"/>
          <w:szCs w:val="32"/>
          <w:highlight w:val="none"/>
        </w:rPr>
        <w:t>一般公共服务（类）民族事务（款）其他民族事务支出（项）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指单位除上述项目以外其他用于民族事务方面的支出。</w:t>
      </w:r>
    </w:p>
    <w:p>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ascii="仿宋_GB2312" w:hAnsi="仿宋_GB2312" w:eastAsia="仿宋_GB2312" w:cs="仿宋_GB2312"/>
          <w:b w:val="0"/>
          <w:color w:val="000000"/>
          <w:sz w:val="32"/>
          <w:szCs w:val="32"/>
          <w:highlight w:val="none"/>
        </w:rPr>
        <w:t>13.</w:t>
      </w:r>
      <w:r>
        <w:rPr>
          <w:rStyle w:val="20"/>
          <w:rFonts w:hint="eastAsia" w:ascii="仿宋_GB2312" w:hAnsi="仿宋_GB2312" w:eastAsia="仿宋_GB2312" w:cs="仿宋_GB2312"/>
          <w:b w:val="0"/>
          <w:color w:val="000000"/>
          <w:sz w:val="32"/>
          <w:szCs w:val="32"/>
          <w:highlight w:val="none"/>
        </w:rPr>
        <w:t>一般公共服务（类）党委办公厅（室）及相关机构事务（款）行政运行（项）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指单位</w:t>
      </w:r>
      <w:r>
        <w:rPr>
          <w:rFonts w:hint="eastAsia" w:ascii="仿宋_GB2312" w:hAnsi="仿宋_GB2312" w:eastAsia="仿宋_GB2312" w:cs="仿宋_GB2312"/>
          <w:color w:val="000000"/>
          <w:kern w:val="0"/>
          <w:sz w:val="32"/>
          <w:szCs w:val="32"/>
          <w:highlight w:val="none"/>
        </w:rPr>
        <w:t>用于保障机构正常运行、开展日常工作的基本支出</w:t>
      </w:r>
      <w:r>
        <w:rPr>
          <w:rStyle w:val="20"/>
          <w:rFonts w:hint="eastAsia" w:ascii="仿宋_GB2312" w:hAnsi="仿宋_GB2312" w:eastAsia="仿宋_GB2312" w:cs="仿宋_GB2312"/>
          <w:b w:val="0"/>
          <w:color w:val="000000"/>
          <w:sz w:val="32"/>
          <w:szCs w:val="32"/>
          <w:highlight w:val="none"/>
        </w:rPr>
        <w:t>。</w:t>
      </w:r>
    </w:p>
    <w:p>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ascii="仿宋_GB2312" w:hAnsi="仿宋_GB2312" w:eastAsia="仿宋_GB2312" w:cs="仿宋_GB2312"/>
          <w:b w:val="0"/>
          <w:color w:val="000000"/>
          <w:sz w:val="32"/>
          <w:szCs w:val="32"/>
          <w:highlight w:val="none"/>
        </w:rPr>
        <w:t>14.</w:t>
      </w:r>
      <w:r>
        <w:rPr>
          <w:rStyle w:val="20"/>
          <w:rFonts w:hint="eastAsia" w:ascii="仿宋_GB2312" w:hAnsi="仿宋_GB2312" w:eastAsia="仿宋_GB2312" w:cs="仿宋_GB2312"/>
          <w:b w:val="0"/>
          <w:color w:val="000000"/>
          <w:sz w:val="32"/>
          <w:szCs w:val="32"/>
          <w:highlight w:val="none"/>
        </w:rPr>
        <w:t>国防支出（类）其他国防支出（款）其他国防支出（项）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指单位其他用于国防方面的支出。</w:t>
      </w:r>
    </w:p>
    <w:p>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ascii="仿宋_GB2312" w:hAnsi="仿宋_GB2312" w:eastAsia="仿宋_GB2312" w:cs="仿宋_GB2312"/>
          <w:b w:val="0"/>
          <w:color w:val="000000"/>
          <w:sz w:val="32"/>
          <w:szCs w:val="32"/>
          <w:highlight w:val="none"/>
        </w:rPr>
        <w:t>1</w:t>
      </w:r>
      <w:r>
        <w:rPr>
          <w:rStyle w:val="20"/>
          <w:rFonts w:hint="eastAsia" w:ascii="仿宋_GB2312" w:hAnsi="仿宋_GB2312" w:eastAsia="仿宋_GB2312" w:cs="仿宋_GB2312"/>
          <w:b w:val="0"/>
          <w:color w:val="000000"/>
          <w:sz w:val="32"/>
          <w:szCs w:val="32"/>
          <w:highlight w:val="none"/>
        </w:rPr>
        <w:t>5</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社会保障和就业（类）行政事业单位离退休（款）机关事业单位基本养老保险缴费支出（项）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w:t>
      </w:r>
      <w:r>
        <w:rPr>
          <w:rFonts w:hint="eastAsia" w:ascii="仿宋_GB2312" w:hAnsi="仿宋_GB2312" w:eastAsia="仿宋_GB2312" w:cs="仿宋_GB2312"/>
          <w:color w:val="000000"/>
          <w:kern w:val="0"/>
          <w:sz w:val="32"/>
          <w:szCs w:val="32"/>
          <w:highlight w:val="none"/>
        </w:rPr>
        <w:t>单位实施养老保险制度由单位缴纳的养老保险费的支出</w:t>
      </w:r>
      <w:r>
        <w:rPr>
          <w:rStyle w:val="20"/>
          <w:rFonts w:hint="eastAsia" w:ascii="仿宋_GB2312" w:hAnsi="仿宋_GB2312" w:eastAsia="仿宋_GB2312" w:cs="仿宋_GB2312"/>
          <w:b w:val="0"/>
          <w:color w:val="000000"/>
          <w:sz w:val="32"/>
          <w:szCs w:val="32"/>
          <w:highlight w:val="none"/>
        </w:rPr>
        <w:t>。</w:t>
      </w:r>
    </w:p>
    <w:p>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hint="eastAsia" w:ascii="仿宋_GB2312" w:hAnsi="仿宋_GB2312" w:eastAsia="仿宋_GB2312" w:cs="仿宋_GB2312"/>
          <w:b w:val="0"/>
          <w:color w:val="000000"/>
          <w:sz w:val="32"/>
          <w:szCs w:val="32"/>
          <w:highlight w:val="none"/>
        </w:rPr>
        <w:t>16</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社会保障和就业（类）行政事业单位离退休（款）机关事业单位职业年金缴费支出（项）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w:t>
      </w:r>
      <w:r>
        <w:rPr>
          <w:rFonts w:hint="eastAsia" w:ascii="仿宋_GB2312" w:hAnsi="仿宋_GB2312" w:eastAsia="仿宋_GB2312" w:cs="仿宋_GB2312"/>
          <w:color w:val="000000"/>
          <w:kern w:val="0"/>
          <w:sz w:val="32"/>
          <w:szCs w:val="32"/>
          <w:highlight w:val="none"/>
        </w:rPr>
        <w:t>单位实施养老保险制度由单位缴纳的职业年金的支出</w:t>
      </w:r>
      <w:r>
        <w:rPr>
          <w:rStyle w:val="20"/>
          <w:rFonts w:hint="eastAsia" w:ascii="仿宋_GB2312" w:hAnsi="仿宋_GB2312" w:eastAsia="仿宋_GB2312" w:cs="仿宋_GB2312"/>
          <w:b w:val="0"/>
          <w:color w:val="000000"/>
          <w:sz w:val="32"/>
          <w:szCs w:val="32"/>
          <w:highlight w:val="none"/>
        </w:rPr>
        <w:t>。</w:t>
      </w:r>
    </w:p>
    <w:p>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hint="eastAsia" w:ascii="仿宋_GB2312" w:hAnsi="仿宋_GB2312" w:eastAsia="仿宋_GB2312" w:cs="仿宋_GB2312"/>
          <w:b w:val="0"/>
          <w:color w:val="000000"/>
          <w:sz w:val="32"/>
          <w:szCs w:val="32"/>
          <w:highlight w:val="none"/>
        </w:rPr>
        <w:t>17</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社会保障和就业（类）社会福利（款）老年福利（项）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指对老年人提供福利服务方面的支出。</w:t>
      </w:r>
    </w:p>
    <w:p>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hint="eastAsia" w:ascii="仿宋_GB2312" w:hAnsi="仿宋_GB2312" w:eastAsia="仿宋_GB2312" w:cs="仿宋_GB2312"/>
          <w:b w:val="0"/>
          <w:color w:val="000000"/>
          <w:sz w:val="32"/>
          <w:szCs w:val="32"/>
          <w:highlight w:val="none"/>
        </w:rPr>
        <w:t>18</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社会保障和就业（类）社会福利（款）其他社会福利支出（项）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指除上述项目以外其他用于社会福利方面的支出。</w:t>
      </w:r>
    </w:p>
    <w:p>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hint="eastAsia" w:ascii="仿宋_GB2312" w:hAnsi="仿宋_GB2312" w:eastAsia="仿宋_GB2312" w:cs="仿宋_GB2312"/>
          <w:b w:val="0"/>
          <w:color w:val="000000"/>
          <w:sz w:val="32"/>
          <w:szCs w:val="32"/>
          <w:highlight w:val="none"/>
        </w:rPr>
        <w:t>19</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医疗卫生与计划生育（类）基层医疗卫生机构（款）镇镇卫生院（项）</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指用于镇镇卫生院支出。</w:t>
      </w:r>
    </w:p>
    <w:p>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hint="eastAsia" w:ascii="仿宋_GB2312" w:hAnsi="仿宋_GB2312" w:eastAsia="仿宋_GB2312" w:cs="仿宋_GB2312"/>
          <w:b w:val="0"/>
          <w:color w:val="000000"/>
          <w:sz w:val="32"/>
          <w:szCs w:val="32"/>
          <w:highlight w:val="none"/>
        </w:rPr>
        <w:t>20</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医疗卫生与计划生育（类）行政事业单位医疗（款）行政单位医疗（项）</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指</w:t>
      </w:r>
      <w:r>
        <w:rPr>
          <w:rFonts w:hint="eastAsia" w:ascii="仿宋_GB2312" w:hAnsi="仿宋_GB2312" w:eastAsia="仿宋_GB2312" w:cs="仿宋_GB2312"/>
          <w:color w:val="000000"/>
          <w:kern w:val="0"/>
          <w:sz w:val="32"/>
          <w:szCs w:val="32"/>
          <w:highlight w:val="none"/>
        </w:rPr>
        <w:t>行政单位用于缴纳单位基本医疗保险支出</w:t>
      </w:r>
      <w:r>
        <w:rPr>
          <w:rStyle w:val="20"/>
          <w:rFonts w:hint="eastAsia" w:ascii="仿宋_GB2312" w:hAnsi="仿宋_GB2312" w:eastAsia="仿宋_GB2312" w:cs="仿宋_GB2312"/>
          <w:b w:val="0"/>
          <w:color w:val="000000"/>
          <w:sz w:val="32"/>
          <w:szCs w:val="32"/>
          <w:highlight w:val="none"/>
        </w:rPr>
        <w:t>。</w:t>
      </w:r>
    </w:p>
    <w:p>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hint="eastAsia" w:ascii="仿宋_GB2312" w:hAnsi="仿宋_GB2312" w:eastAsia="仿宋_GB2312" w:cs="仿宋_GB2312"/>
          <w:b w:val="0"/>
          <w:color w:val="000000"/>
          <w:sz w:val="32"/>
          <w:szCs w:val="32"/>
          <w:highlight w:val="none"/>
        </w:rPr>
        <w:t>21</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医疗卫生与计划生育（类）行政事业单位医疗（款）事业单位医疗（项）</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指</w:t>
      </w:r>
      <w:r>
        <w:rPr>
          <w:rFonts w:hint="eastAsia" w:ascii="仿宋_GB2312" w:hAnsi="仿宋_GB2312" w:eastAsia="仿宋_GB2312" w:cs="仿宋_GB2312"/>
          <w:color w:val="000000"/>
          <w:kern w:val="0"/>
          <w:sz w:val="32"/>
          <w:szCs w:val="32"/>
          <w:highlight w:val="none"/>
        </w:rPr>
        <w:t>事业单位用于缴纳单位基本医疗保险支出</w:t>
      </w:r>
      <w:r>
        <w:rPr>
          <w:rStyle w:val="20"/>
          <w:rFonts w:hint="eastAsia" w:ascii="仿宋_GB2312" w:hAnsi="仿宋_GB2312" w:eastAsia="仿宋_GB2312" w:cs="仿宋_GB2312"/>
          <w:b w:val="0"/>
          <w:color w:val="000000"/>
          <w:sz w:val="32"/>
          <w:szCs w:val="32"/>
          <w:highlight w:val="none"/>
        </w:rPr>
        <w:t>。</w:t>
      </w:r>
    </w:p>
    <w:p>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hint="eastAsia" w:ascii="仿宋_GB2312" w:hAnsi="仿宋_GB2312" w:eastAsia="仿宋_GB2312" w:cs="仿宋_GB2312"/>
          <w:b w:val="0"/>
          <w:color w:val="000000"/>
          <w:sz w:val="32"/>
          <w:szCs w:val="32"/>
          <w:highlight w:val="none"/>
        </w:rPr>
        <w:t>22</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农林水支出（类）农业（款）事业运行（项）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指用于农业事业单位基本支出，事业单位设施、系统运行与资产维护等方面的支出。</w:t>
      </w:r>
    </w:p>
    <w:p>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hint="eastAsia" w:ascii="仿宋_GB2312" w:hAnsi="仿宋_GB2312" w:eastAsia="仿宋_GB2312" w:cs="仿宋_GB2312"/>
          <w:b w:val="0"/>
          <w:color w:val="000000"/>
          <w:sz w:val="32"/>
          <w:szCs w:val="32"/>
          <w:highlight w:val="none"/>
        </w:rPr>
        <w:t>23</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农林水支出（类）农业（款）农业资源保护修复与利用（项）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指用于农业耕地保护、修复与建设，草原草场生态保护、改良、利用及建设，渔业水产及水生生物资源保护与利用等方面的支出。</w:t>
      </w:r>
    </w:p>
    <w:p>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hint="eastAsia" w:ascii="仿宋_GB2312" w:hAnsi="仿宋_GB2312" w:eastAsia="仿宋_GB2312" w:cs="仿宋_GB2312"/>
          <w:b w:val="0"/>
          <w:color w:val="000000"/>
          <w:sz w:val="32"/>
          <w:szCs w:val="32"/>
          <w:highlight w:val="none"/>
        </w:rPr>
        <w:t>24</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农林水支出（类）农业（款）其他农业支出（项）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指除上述项目以外其他用于农业方面的支出。</w:t>
      </w:r>
    </w:p>
    <w:p>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hint="eastAsia" w:ascii="仿宋_GB2312" w:hAnsi="仿宋_GB2312" w:eastAsia="仿宋_GB2312" w:cs="仿宋_GB2312"/>
          <w:b w:val="0"/>
          <w:color w:val="000000"/>
          <w:sz w:val="32"/>
          <w:szCs w:val="32"/>
          <w:highlight w:val="none"/>
        </w:rPr>
        <w:t>25</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农林水支出（类）扶贫（款）农村基础设施建设（项）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指用于农村贫困地区镇村道路、住房、基本农田、水利设施、</w:t>
      </w:r>
      <w:r>
        <w:rPr>
          <w:rStyle w:val="20"/>
          <w:rFonts w:hint="default" w:ascii="仿宋_GB2312" w:hAnsi="仿宋_GB2312" w:eastAsia="仿宋_GB2312" w:cs="仿宋_GB2312"/>
          <w:b w:val="0"/>
          <w:color w:val="000000"/>
          <w:sz w:val="32"/>
          <w:szCs w:val="32"/>
          <w:highlight w:val="none"/>
        </w:rPr>
        <w:t>人畜饮水</w:t>
      </w:r>
      <w:r>
        <w:rPr>
          <w:rStyle w:val="20"/>
          <w:rFonts w:hint="eastAsia" w:ascii="仿宋_GB2312" w:hAnsi="仿宋_GB2312" w:eastAsia="仿宋_GB2312" w:cs="仿宋_GB2312"/>
          <w:b w:val="0"/>
          <w:color w:val="000000"/>
          <w:sz w:val="32"/>
          <w:szCs w:val="32"/>
          <w:highlight w:val="none"/>
        </w:rPr>
        <w:t>、生态环境保护等生产生活条件改善方面的支出。</w:t>
      </w:r>
    </w:p>
    <w:p>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hint="eastAsia" w:ascii="仿宋_GB2312" w:hAnsi="仿宋_GB2312" w:eastAsia="仿宋_GB2312" w:cs="仿宋_GB2312"/>
          <w:b w:val="0"/>
          <w:color w:val="000000"/>
          <w:sz w:val="32"/>
          <w:szCs w:val="32"/>
          <w:highlight w:val="none"/>
        </w:rPr>
        <w:t>26</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农林水支出（类）扶贫（款）其他扶贫支出（项）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指农业综合开发部门的其他支出。</w:t>
      </w:r>
    </w:p>
    <w:p>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hint="eastAsia" w:ascii="仿宋_GB2312" w:hAnsi="仿宋_GB2312" w:eastAsia="仿宋_GB2312" w:cs="仿宋_GB2312"/>
          <w:b w:val="0"/>
          <w:color w:val="000000"/>
          <w:sz w:val="32"/>
          <w:szCs w:val="32"/>
          <w:highlight w:val="none"/>
        </w:rPr>
        <w:t>27</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农林水支出（类）农村综合改革（款）对村委会和村党支部的补助（项）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指对村民委员会和对村党支部的补助支出，以及支持建立县级基本财力保障机制安排的村级组织运转奖补资金。</w:t>
      </w:r>
    </w:p>
    <w:p>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hint="eastAsia" w:ascii="仿宋_GB2312" w:hAnsi="仿宋_GB2312" w:eastAsia="仿宋_GB2312" w:cs="仿宋_GB2312"/>
          <w:b w:val="0"/>
          <w:color w:val="000000"/>
          <w:sz w:val="32"/>
          <w:szCs w:val="32"/>
          <w:highlight w:val="none"/>
        </w:rPr>
        <w:t>28</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农林水支出（类）其他农林水支出（款）其他农林水支出（项）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指除上述项目以外其他用于农林水方面的支出。</w:t>
      </w:r>
    </w:p>
    <w:p>
      <w:pPr>
        <w:spacing w:line="576" w:lineRule="atLeast"/>
        <w:ind w:firstLine="640" w:firstLineChars="200"/>
        <w:rPr>
          <w:rFonts w:ascii="仿宋_GB2312" w:hAnsi="仿宋_GB2312" w:eastAsia="仿宋_GB2312"/>
          <w:color w:val="000000"/>
          <w:sz w:val="32"/>
          <w:szCs w:val="32"/>
          <w:highlight w:val="none"/>
        </w:rPr>
      </w:pPr>
      <w:r>
        <w:rPr>
          <w:rStyle w:val="20"/>
          <w:rFonts w:hint="eastAsia" w:ascii="仿宋_GB2312" w:hAnsi="仿宋_GB2312" w:eastAsia="仿宋_GB2312" w:cs="仿宋_GB2312"/>
          <w:b w:val="0"/>
          <w:color w:val="000000"/>
          <w:sz w:val="32"/>
          <w:szCs w:val="32"/>
          <w:highlight w:val="none"/>
        </w:rPr>
        <w:t>29</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住房保障支出（类）住房改革支出（款）住房公积金（项）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w:t>
      </w:r>
      <w:r>
        <w:rPr>
          <w:rFonts w:hint="eastAsia" w:ascii="仿宋_GB2312" w:hAnsi="仿宋_GB2312" w:eastAsia="仿宋_GB2312" w:cs="仿宋_GB2312"/>
          <w:color w:val="000000"/>
          <w:kern w:val="0"/>
          <w:sz w:val="32"/>
          <w:szCs w:val="32"/>
          <w:highlight w:val="none"/>
        </w:rPr>
        <w:t>反映行政事业单位按规定为职工缴纳的住房公积金</w:t>
      </w:r>
      <w:r>
        <w:rPr>
          <w:rStyle w:val="20"/>
          <w:rFonts w:hint="eastAsia" w:ascii="仿宋_GB2312" w:hAnsi="仿宋_GB2312" w:eastAsia="仿宋_GB2312" w:cs="仿宋_GB2312"/>
          <w:b w:val="0"/>
          <w:color w:val="000000"/>
          <w:sz w:val="32"/>
          <w:szCs w:val="32"/>
          <w:highlight w:val="none"/>
        </w:rPr>
        <w:t>。</w:t>
      </w:r>
    </w:p>
    <w:p>
      <w:pPr>
        <w:spacing w:line="576" w:lineRule="atLeast"/>
        <w:ind w:firstLine="640" w:firstLineChars="200"/>
        <w:rPr>
          <w:rFonts w:ascii="仿宋_GB2312" w:eastAsia="仿宋_GB2312"/>
          <w:color w:val="000000"/>
          <w:sz w:val="32"/>
          <w:szCs w:val="32"/>
          <w:highlight w:val="none"/>
        </w:rPr>
      </w:pPr>
      <w:r>
        <w:rPr>
          <w:rFonts w:hint="eastAsia" w:ascii="仿宋_GB2312" w:eastAsia="仿宋_GB2312" w:cs="仿宋_GB2312"/>
          <w:color w:val="000000"/>
          <w:sz w:val="32"/>
          <w:szCs w:val="32"/>
          <w:highlight w:val="none"/>
        </w:rPr>
        <w:t>30</w:t>
      </w:r>
      <w:r>
        <w:rPr>
          <w:rFonts w:ascii="仿宋_GB2312" w:eastAsia="仿宋_GB2312" w:cs="仿宋_GB2312"/>
          <w:color w:val="000000"/>
          <w:sz w:val="32"/>
          <w:szCs w:val="32"/>
          <w:highlight w:val="none"/>
        </w:rPr>
        <w:t>.</w:t>
      </w:r>
      <w:r>
        <w:rPr>
          <w:rFonts w:hint="eastAsia" w:ascii="仿宋_GB2312" w:eastAsia="仿宋_GB2312" w:cs="仿宋_GB2312"/>
          <w:color w:val="000000"/>
          <w:sz w:val="32"/>
          <w:szCs w:val="32"/>
          <w:highlight w:val="none"/>
        </w:rPr>
        <w:t>基本支出：指为保障机构正常运转、完成日常工作任务而发生的人员支出和公用支出。</w:t>
      </w:r>
    </w:p>
    <w:p>
      <w:pPr>
        <w:spacing w:line="576" w:lineRule="atLeast"/>
        <w:ind w:firstLine="640" w:firstLineChars="200"/>
        <w:rPr>
          <w:rFonts w:ascii="仿宋_GB2312" w:eastAsia="仿宋_GB2312"/>
          <w:color w:val="000000"/>
          <w:sz w:val="32"/>
          <w:szCs w:val="32"/>
          <w:highlight w:val="none"/>
        </w:rPr>
      </w:pPr>
      <w:r>
        <w:rPr>
          <w:rFonts w:hint="eastAsia" w:ascii="仿宋_GB2312" w:eastAsia="仿宋_GB2312" w:cs="仿宋_GB2312"/>
          <w:color w:val="000000"/>
          <w:sz w:val="32"/>
          <w:szCs w:val="32"/>
          <w:highlight w:val="none"/>
        </w:rPr>
        <w:t>31</w:t>
      </w:r>
      <w:r>
        <w:rPr>
          <w:rFonts w:ascii="仿宋_GB2312" w:eastAsia="仿宋_GB2312" w:cs="仿宋_GB2312"/>
          <w:color w:val="000000"/>
          <w:sz w:val="32"/>
          <w:szCs w:val="32"/>
          <w:highlight w:val="none"/>
        </w:rPr>
        <w:t>.</w:t>
      </w:r>
      <w:r>
        <w:rPr>
          <w:rFonts w:hint="eastAsia" w:ascii="仿宋_GB2312" w:eastAsia="仿宋_GB2312" w:cs="仿宋_GB2312"/>
          <w:color w:val="000000"/>
          <w:sz w:val="32"/>
          <w:szCs w:val="32"/>
          <w:highlight w:val="none"/>
        </w:rPr>
        <w:t>项目支出：指在基本支出之外为完成特定行政任务和事业发展目标所发生的支出。</w:t>
      </w:r>
    </w:p>
    <w:p>
      <w:pPr>
        <w:spacing w:line="576" w:lineRule="atLeast"/>
        <w:ind w:firstLine="640" w:firstLineChars="200"/>
        <w:rPr>
          <w:rFonts w:ascii="仿宋_GB2312" w:eastAsia="仿宋_GB2312"/>
          <w:color w:val="000000"/>
          <w:sz w:val="32"/>
          <w:szCs w:val="32"/>
          <w:highlight w:val="none"/>
        </w:rPr>
      </w:pPr>
      <w:r>
        <w:rPr>
          <w:rFonts w:hint="eastAsia" w:ascii="仿宋_GB2312" w:eastAsia="仿宋_GB2312" w:cs="仿宋_GB2312"/>
          <w:color w:val="000000"/>
          <w:sz w:val="32"/>
          <w:szCs w:val="32"/>
          <w:highlight w:val="none"/>
        </w:rPr>
        <w:t>32</w:t>
      </w:r>
      <w:r>
        <w:rPr>
          <w:rFonts w:ascii="仿宋_GB2312" w:eastAsia="仿宋_GB2312" w:cs="仿宋_GB2312"/>
          <w:color w:val="000000"/>
          <w:sz w:val="32"/>
          <w:szCs w:val="32"/>
          <w:highlight w:val="none"/>
        </w:rPr>
        <w:t>.</w:t>
      </w:r>
      <w:r>
        <w:rPr>
          <w:rFonts w:hint="eastAsia" w:ascii="仿宋_GB2312" w:eastAsia="仿宋_GB2312" w:cs="仿宋_GB2312"/>
          <w:color w:val="000000"/>
          <w:sz w:val="32"/>
          <w:szCs w:val="32"/>
          <w:highlight w:val="none"/>
        </w:rPr>
        <w:t>经营支出：指事业单位在专业业务活动及其辅助活动之外开展非独立核算经营活动发生的支出。</w:t>
      </w:r>
    </w:p>
    <w:p>
      <w:pPr>
        <w:pStyle w:val="24"/>
        <w:spacing w:line="576" w:lineRule="atLeast"/>
        <w:ind w:firstLine="640" w:firstLineChars="200"/>
        <w:jc w:val="both"/>
        <w:rPr>
          <w:rFonts w:ascii="仿宋_GB2312" w:eastAsia="仿宋_GB2312" w:cs="Times New Roman"/>
          <w:sz w:val="32"/>
          <w:szCs w:val="32"/>
          <w:highlight w:val="none"/>
        </w:rPr>
      </w:pPr>
      <w:r>
        <w:rPr>
          <w:rFonts w:hint="eastAsia" w:ascii="仿宋_GB2312" w:eastAsia="仿宋_GB2312" w:cs="仿宋_GB2312"/>
          <w:sz w:val="32"/>
          <w:szCs w:val="32"/>
          <w:highlight w:val="none"/>
        </w:rPr>
        <w:t>33</w:t>
      </w:r>
      <w:r>
        <w:rPr>
          <w:rFonts w:ascii="仿宋_GB2312" w:eastAsia="仿宋_GB2312" w:cs="仿宋_GB2312"/>
          <w:sz w:val="32"/>
          <w:szCs w:val="32"/>
          <w:highlight w:val="none"/>
        </w:rPr>
        <w:t>.</w:t>
      </w:r>
      <w:r>
        <w:rPr>
          <w:rFonts w:hint="eastAsia" w:ascii="仿宋_GB2312" w:eastAsia="仿宋_GB2312" w:cs="仿宋_GB2312"/>
          <w:sz w:val="32"/>
          <w:szCs w:val="32"/>
          <w:highlight w:val="none"/>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bookmarkEnd w:id="62"/>
    <w:p>
      <w:pPr>
        <w:pageBreakBefore w:val="0"/>
        <w:widowControl w:val="0"/>
        <w:kinsoku/>
        <w:wordWrap/>
        <w:overflowPunct/>
        <w:topLinePunct w:val="0"/>
        <w:bidi w:val="0"/>
        <w:spacing w:line="576" w:lineRule="atLeast"/>
        <w:rPr>
          <w:rFonts w:hint="eastAsia" w:ascii="仿宋_GB2312" w:eastAsia="仿宋_GB2312"/>
          <w:sz w:val="32"/>
          <w:szCs w:val="32"/>
          <w:highlight w:val="none"/>
        </w:rPr>
      </w:pPr>
    </w:p>
    <w:p>
      <w:pPr>
        <w:pStyle w:val="13"/>
        <w:rPr>
          <w:highlight w:val="none"/>
        </w:rPr>
      </w:pPr>
    </w:p>
    <w:p>
      <w:pPr>
        <w:pStyle w:val="3"/>
        <w:jc w:val="center"/>
        <w:rPr>
          <w:rFonts w:ascii="黑体" w:eastAsia="黑体" w:cs="黑体"/>
          <w:b w:val="0"/>
          <w:bCs w:val="0"/>
          <w:highlight w:val="none"/>
        </w:rPr>
      </w:pPr>
      <w:bookmarkStart w:id="63" w:name="_Toc5449"/>
      <w:bookmarkStart w:id="64" w:name="_Toc79163885"/>
      <w:bookmarkStart w:id="65" w:name="_Toc111208512"/>
      <w:bookmarkStart w:id="66" w:name="_Toc79163635"/>
      <w:r>
        <w:rPr>
          <w:rFonts w:hint="eastAsia" w:ascii="黑体" w:eastAsia="黑体" w:cs="黑体"/>
          <w:b w:val="0"/>
          <w:bCs w:val="0"/>
          <w:highlight w:val="none"/>
        </w:rPr>
        <w:t>第</w:t>
      </w:r>
      <w:r>
        <w:rPr>
          <w:rFonts w:hint="eastAsia" w:ascii="黑体" w:eastAsia="黑体" w:cs="黑体"/>
          <w:b w:val="0"/>
          <w:bCs w:val="0"/>
          <w:highlight w:val="none"/>
          <w:lang w:val="en-US" w:eastAsia="zh-CN"/>
        </w:rPr>
        <w:t>四</w:t>
      </w:r>
      <w:r>
        <w:rPr>
          <w:rFonts w:hint="eastAsia" w:ascii="黑体" w:eastAsia="黑体" w:cs="黑体"/>
          <w:b w:val="0"/>
          <w:bCs w:val="0"/>
          <w:highlight w:val="none"/>
        </w:rPr>
        <w:t>部分 附表</w:t>
      </w:r>
      <w:bookmarkEnd w:id="63"/>
      <w:bookmarkEnd w:id="64"/>
      <w:bookmarkEnd w:id="65"/>
      <w:bookmarkEnd w:id="66"/>
    </w:p>
    <w:p>
      <w:pPr>
        <w:pStyle w:val="4"/>
        <w:ind w:firstLine="640" w:firstLineChars="200"/>
        <w:rPr>
          <w:rFonts w:hint="eastAsia" w:ascii="黑体" w:eastAsia="黑体" w:cs="Times New Roman"/>
          <w:b w:val="0"/>
          <w:bCs w:val="0"/>
          <w:color w:val="000000"/>
          <w:highlight w:val="none"/>
        </w:rPr>
      </w:pPr>
      <w:bookmarkStart w:id="67" w:name="_Toc6701"/>
      <w:r>
        <w:rPr>
          <w:rFonts w:hint="eastAsia" w:ascii="黑体" w:eastAsia="黑体" w:cs="Times New Roman"/>
          <w:b w:val="0"/>
          <w:bCs w:val="0"/>
          <w:color w:val="000000"/>
          <w:highlight w:val="none"/>
        </w:rPr>
        <w:t>一、收入支出决算总表</w:t>
      </w:r>
      <w:bookmarkEnd w:id="67"/>
    </w:p>
    <w:p>
      <w:pPr>
        <w:pStyle w:val="4"/>
        <w:ind w:firstLine="640" w:firstLineChars="200"/>
        <w:rPr>
          <w:rFonts w:hint="eastAsia" w:ascii="黑体" w:eastAsia="黑体" w:cs="Times New Roman"/>
          <w:b w:val="0"/>
          <w:bCs w:val="0"/>
          <w:color w:val="000000"/>
          <w:highlight w:val="none"/>
        </w:rPr>
      </w:pPr>
      <w:bookmarkStart w:id="68" w:name="_Toc5703"/>
      <w:r>
        <w:rPr>
          <w:rFonts w:hint="eastAsia" w:ascii="黑体" w:eastAsia="黑体" w:cs="Times New Roman"/>
          <w:b w:val="0"/>
          <w:bCs w:val="0"/>
          <w:color w:val="000000"/>
          <w:highlight w:val="none"/>
        </w:rPr>
        <w:t>二、收入决算表</w:t>
      </w:r>
      <w:bookmarkEnd w:id="68"/>
    </w:p>
    <w:p>
      <w:pPr>
        <w:pStyle w:val="4"/>
        <w:ind w:firstLine="640" w:firstLineChars="200"/>
        <w:rPr>
          <w:rFonts w:hint="eastAsia" w:ascii="黑体" w:eastAsia="黑体" w:cs="Times New Roman"/>
          <w:b w:val="0"/>
          <w:bCs w:val="0"/>
          <w:color w:val="000000"/>
          <w:highlight w:val="none"/>
        </w:rPr>
      </w:pPr>
      <w:bookmarkStart w:id="69" w:name="_Toc7252"/>
      <w:r>
        <w:rPr>
          <w:rFonts w:hint="eastAsia" w:ascii="黑体" w:eastAsia="黑体" w:cs="Times New Roman"/>
          <w:b w:val="0"/>
          <w:bCs w:val="0"/>
          <w:color w:val="000000"/>
          <w:highlight w:val="none"/>
        </w:rPr>
        <w:t>三、支出决算表</w:t>
      </w:r>
      <w:bookmarkEnd w:id="69"/>
    </w:p>
    <w:p>
      <w:pPr>
        <w:pStyle w:val="4"/>
        <w:ind w:firstLine="640" w:firstLineChars="200"/>
        <w:rPr>
          <w:rFonts w:hint="eastAsia" w:ascii="黑体" w:eastAsia="黑体" w:cs="Times New Roman"/>
          <w:b w:val="0"/>
          <w:bCs w:val="0"/>
          <w:color w:val="000000"/>
          <w:highlight w:val="none"/>
        </w:rPr>
      </w:pPr>
      <w:bookmarkStart w:id="70" w:name="_Toc2827"/>
      <w:r>
        <w:rPr>
          <w:rFonts w:hint="eastAsia" w:ascii="黑体" w:eastAsia="黑体" w:cs="Times New Roman"/>
          <w:b w:val="0"/>
          <w:bCs w:val="0"/>
          <w:color w:val="000000"/>
          <w:highlight w:val="none"/>
        </w:rPr>
        <w:t>四、财政拨款收入支出决算总表</w:t>
      </w:r>
      <w:bookmarkEnd w:id="70"/>
    </w:p>
    <w:p>
      <w:pPr>
        <w:pStyle w:val="4"/>
        <w:ind w:firstLine="640" w:firstLineChars="200"/>
        <w:rPr>
          <w:rFonts w:hint="eastAsia" w:ascii="黑体" w:eastAsia="黑体" w:cs="Times New Roman"/>
          <w:b w:val="0"/>
          <w:bCs w:val="0"/>
          <w:color w:val="000000"/>
          <w:highlight w:val="none"/>
        </w:rPr>
      </w:pPr>
      <w:bookmarkStart w:id="71" w:name="_Toc11388"/>
      <w:r>
        <w:rPr>
          <w:rFonts w:hint="eastAsia" w:ascii="黑体" w:eastAsia="黑体" w:cs="Times New Roman"/>
          <w:b w:val="0"/>
          <w:bCs w:val="0"/>
          <w:color w:val="000000"/>
          <w:highlight w:val="none"/>
        </w:rPr>
        <w:t>五、财政拨款支出决算明细表</w:t>
      </w:r>
      <w:bookmarkEnd w:id="71"/>
    </w:p>
    <w:p>
      <w:pPr>
        <w:pStyle w:val="4"/>
        <w:ind w:firstLine="640" w:firstLineChars="200"/>
        <w:rPr>
          <w:rFonts w:hint="eastAsia" w:ascii="黑体" w:eastAsia="黑体" w:cs="Times New Roman"/>
          <w:b w:val="0"/>
          <w:bCs w:val="0"/>
          <w:color w:val="000000"/>
          <w:highlight w:val="none"/>
        </w:rPr>
      </w:pPr>
      <w:bookmarkStart w:id="72" w:name="_Toc28378"/>
      <w:r>
        <w:rPr>
          <w:rFonts w:hint="eastAsia" w:ascii="黑体" w:eastAsia="黑体" w:cs="Times New Roman"/>
          <w:b w:val="0"/>
          <w:bCs w:val="0"/>
          <w:color w:val="000000"/>
          <w:highlight w:val="none"/>
        </w:rPr>
        <w:t>六、一般公共预算财政拨款支出决算表</w:t>
      </w:r>
      <w:bookmarkEnd w:id="72"/>
    </w:p>
    <w:p>
      <w:pPr>
        <w:pStyle w:val="4"/>
        <w:ind w:firstLine="640" w:firstLineChars="200"/>
        <w:rPr>
          <w:rFonts w:hint="eastAsia" w:ascii="黑体" w:eastAsia="黑体" w:cs="Times New Roman"/>
          <w:b w:val="0"/>
          <w:bCs w:val="0"/>
          <w:color w:val="000000"/>
          <w:highlight w:val="none"/>
        </w:rPr>
      </w:pPr>
      <w:bookmarkStart w:id="73" w:name="_Toc9565"/>
      <w:r>
        <w:rPr>
          <w:rFonts w:hint="eastAsia" w:ascii="黑体" w:eastAsia="黑体" w:cs="Times New Roman"/>
          <w:b w:val="0"/>
          <w:bCs w:val="0"/>
          <w:color w:val="000000"/>
          <w:highlight w:val="none"/>
        </w:rPr>
        <w:t>七、一般公共预算财政拨款支出决算明细表</w:t>
      </w:r>
      <w:bookmarkEnd w:id="73"/>
    </w:p>
    <w:p>
      <w:pPr>
        <w:pStyle w:val="4"/>
        <w:ind w:firstLine="640" w:firstLineChars="200"/>
        <w:rPr>
          <w:rFonts w:hint="eastAsia" w:ascii="黑体" w:eastAsia="黑体" w:cs="Times New Roman"/>
          <w:b w:val="0"/>
          <w:bCs w:val="0"/>
          <w:color w:val="000000"/>
          <w:highlight w:val="none"/>
        </w:rPr>
      </w:pPr>
      <w:bookmarkStart w:id="74" w:name="_Toc29675"/>
      <w:r>
        <w:rPr>
          <w:rFonts w:hint="eastAsia" w:ascii="黑体" w:eastAsia="黑体" w:cs="Times New Roman"/>
          <w:b w:val="0"/>
          <w:bCs w:val="0"/>
          <w:color w:val="000000"/>
          <w:highlight w:val="none"/>
        </w:rPr>
        <w:t>八、一般公共预算财政拨款基本支出决算表</w:t>
      </w:r>
      <w:bookmarkEnd w:id="74"/>
    </w:p>
    <w:p>
      <w:pPr>
        <w:pStyle w:val="4"/>
        <w:ind w:firstLine="640" w:firstLineChars="200"/>
        <w:rPr>
          <w:rFonts w:hint="eastAsia" w:ascii="黑体" w:eastAsia="黑体" w:cs="Times New Roman"/>
          <w:b w:val="0"/>
          <w:bCs w:val="0"/>
          <w:color w:val="000000"/>
          <w:highlight w:val="none"/>
        </w:rPr>
      </w:pPr>
      <w:bookmarkStart w:id="75" w:name="_Toc12590"/>
      <w:r>
        <w:rPr>
          <w:rFonts w:hint="eastAsia" w:ascii="黑体" w:eastAsia="黑体" w:cs="Times New Roman"/>
          <w:b w:val="0"/>
          <w:bCs w:val="0"/>
          <w:color w:val="000000"/>
          <w:highlight w:val="none"/>
        </w:rPr>
        <w:t>九、一般公共预算财政拨款项目支出决算表</w:t>
      </w:r>
      <w:bookmarkEnd w:id="75"/>
    </w:p>
    <w:p>
      <w:pPr>
        <w:pStyle w:val="4"/>
        <w:ind w:firstLine="640" w:firstLineChars="200"/>
        <w:rPr>
          <w:rFonts w:hint="eastAsia" w:ascii="黑体" w:eastAsia="黑体" w:cs="Times New Roman"/>
          <w:b w:val="0"/>
          <w:bCs w:val="0"/>
          <w:color w:val="000000"/>
          <w:highlight w:val="none"/>
        </w:rPr>
      </w:pPr>
      <w:bookmarkStart w:id="76" w:name="_Toc16652"/>
      <w:r>
        <w:rPr>
          <w:rFonts w:hint="eastAsia" w:ascii="黑体" w:eastAsia="黑体" w:cs="Times New Roman"/>
          <w:b w:val="0"/>
          <w:bCs w:val="0"/>
          <w:color w:val="000000"/>
          <w:highlight w:val="none"/>
        </w:rPr>
        <w:t>十、政府性基金预算财政拨款收入支出决算表</w:t>
      </w:r>
      <w:bookmarkEnd w:id="76"/>
    </w:p>
    <w:p>
      <w:pPr>
        <w:pStyle w:val="4"/>
        <w:ind w:firstLine="640" w:firstLineChars="200"/>
        <w:rPr>
          <w:rFonts w:hint="eastAsia" w:ascii="黑体" w:eastAsia="黑体" w:cs="Times New Roman"/>
          <w:b w:val="0"/>
          <w:bCs w:val="0"/>
          <w:color w:val="000000"/>
          <w:highlight w:val="none"/>
        </w:rPr>
      </w:pPr>
      <w:bookmarkStart w:id="77" w:name="_Toc13104"/>
      <w:r>
        <w:rPr>
          <w:rFonts w:hint="eastAsia" w:ascii="黑体" w:eastAsia="黑体" w:cs="Times New Roman"/>
          <w:b w:val="0"/>
          <w:bCs w:val="0"/>
          <w:color w:val="000000"/>
          <w:highlight w:val="none"/>
        </w:rPr>
        <w:t>十一、国有资本经营预算财政拨款收入支出决算表</w:t>
      </w:r>
      <w:bookmarkEnd w:id="77"/>
    </w:p>
    <w:p>
      <w:pPr>
        <w:pStyle w:val="4"/>
        <w:ind w:firstLine="640" w:firstLineChars="200"/>
        <w:rPr>
          <w:rFonts w:hint="eastAsia" w:ascii="黑体" w:eastAsia="黑体" w:cs="Times New Roman"/>
          <w:b w:val="0"/>
          <w:bCs w:val="0"/>
          <w:color w:val="000000"/>
          <w:highlight w:val="none"/>
        </w:rPr>
      </w:pPr>
      <w:bookmarkStart w:id="78" w:name="_Toc19837"/>
      <w:r>
        <w:rPr>
          <w:rFonts w:hint="eastAsia" w:ascii="黑体" w:eastAsia="黑体" w:cs="Times New Roman"/>
          <w:b w:val="0"/>
          <w:bCs w:val="0"/>
          <w:color w:val="000000"/>
          <w:highlight w:val="none"/>
        </w:rPr>
        <w:t>十二、国有资本经营预算财政拨款支出决算表</w:t>
      </w:r>
      <w:bookmarkEnd w:id="78"/>
    </w:p>
    <w:p>
      <w:pPr>
        <w:pStyle w:val="4"/>
        <w:ind w:firstLine="640" w:firstLineChars="200"/>
        <w:rPr>
          <w:rFonts w:ascii="黑体" w:eastAsia="黑体" w:cs="Times New Roman"/>
          <w:b w:val="0"/>
          <w:bCs w:val="0"/>
          <w:color w:val="000000"/>
          <w:highlight w:val="none"/>
        </w:rPr>
      </w:pPr>
      <w:bookmarkStart w:id="79" w:name="_Toc27290"/>
      <w:r>
        <w:rPr>
          <w:rFonts w:hint="eastAsia" w:ascii="黑体" w:eastAsia="黑体" w:cs="Times New Roman"/>
          <w:b w:val="0"/>
          <w:bCs w:val="0"/>
          <w:color w:val="000000"/>
          <w:highlight w:val="none"/>
        </w:rPr>
        <w:t>十三、财政拨款“三公”经费支出决算表</w:t>
      </w:r>
      <w:bookmarkEnd w:id="79"/>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Lucida Sans">
    <w:altName w:val="Noto Naskh Arabic"/>
    <w:panose1 w:val="020B0602030504020204"/>
    <w:charset w:val="01"/>
    <w:family w:val="auto"/>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 w:name="Noto Naskh Arabic">
    <w:panose1 w:val="020B0502040504020204"/>
    <w:charset w:val="00"/>
    <w:family w:val="auto"/>
    <w:pitch w:val="default"/>
    <w:sig w:usb0="80002003" w:usb1="80002000" w:usb2="00000008" w:usb3="00000000" w:csb0="00000041" w:csb1="000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13"/>
          <w:jc w:val="center"/>
        </w:pPr>
        <w:r>
          <w:fldChar w:fldCharType="begin"/>
        </w:r>
        <w:r>
          <w:instrText xml:space="preserve">PAGE   \* MERGEFORMAT</w:instrText>
        </w:r>
        <w:r>
          <w:fldChar w:fldCharType="separate"/>
        </w:r>
        <w:r>
          <w:rPr>
            <w:lang w:val="zh-CN"/>
          </w:rPr>
          <w:t>4</w:t>
        </w:r>
        <w:r>
          <w:fldChar w:fldCharType="end"/>
        </w:r>
      </w:p>
    </w:sdtContent>
  </w:sdt>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5"/>
  </w:compat>
  <w:docVars>
    <w:docVar w:name="commondata" w:val="eyJoZGlkIjoiNTNkMGQ3MDkyOTg0ZDZiNWRhOGE4ZTg3NzZmZDIzZDAifQ=="/>
  </w:docVars>
  <w:rsids>
    <w:rsidRoot w:val="00000000"/>
    <w:rsid w:val="01680E90"/>
    <w:rsid w:val="020C0D02"/>
    <w:rsid w:val="056E21A2"/>
    <w:rsid w:val="06C82460"/>
    <w:rsid w:val="08F03392"/>
    <w:rsid w:val="092D6E22"/>
    <w:rsid w:val="0B292074"/>
    <w:rsid w:val="0BD460C1"/>
    <w:rsid w:val="0C5502A8"/>
    <w:rsid w:val="138D286B"/>
    <w:rsid w:val="170F0A7C"/>
    <w:rsid w:val="1A493575"/>
    <w:rsid w:val="1CEB6DC6"/>
    <w:rsid w:val="1D322F3A"/>
    <w:rsid w:val="22693B00"/>
    <w:rsid w:val="2427248B"/>
    <w:rsid w:val="252C5398"/>
    <w:rsid w:val="26017B86"/>
    <w:rsid w:val="28FB3E89"/>
    <w:rsid w:val="2E3C636A"/>
    <w:rsid w:val="2F145784"/>
    <w:rsid w:val="30882619"/>
    <w:rsid w:val="31E026AE"/>
    <w:rsid w:val="32002097"/>
    <w:rsid w:val="3C196E25"/>
    <w:rsid w:val="3F3C54DB"/>
    <w:rsid w:val="40127E7D"/>
    <w:rsid w:val="431F0CA0"/>
    <w:rsid w:val="445F4429"/>
    <w:rsid w:val="4C083CEC"/>
    <w:rsid w:val="4CD751C3"/>
    <w:rsid w:val="4E542903"/>
    <w:rsid w:val="4FDE113D"/>
    <w:rsid w:val="52196286"/>
    <w:rsid w:val="59F7625F"/>
    <w:rsid w:val="5AA72802"/>
    <w:rsid w:val="5D094A6B"/>
    <w:rsid w:val="5D316DAF"/>
    <w:rsid w:val="5EC73BB2"/>
    <w:rsid w:val="60653B68"/>
    <w:rsid w:val="65742E3B"/>
    <w:rsid w:val="66567FB5"/>
    <w:rsid w:val="6C7C5D3F"/>
    <w:rsid w:val="6D393A92"/>
    <w:rsid w:val="6DC615E4"/>
    <w:rsid w:val="6E816407"/>
    <w:rsid w:val="6EB10CA6"/>
    <w:rsid w:val="71862CD7"/>
    <w:rsid w:val="774D408F"/>
    <w:rsid w:val="77560441"/>
    <w:rsid w:val="D5FFB5E6"/>
    <w:rsid w:val="FBEE04AC"/>
    <w:rsid w:val="FF32DEB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9">
    <w:name w:val="Default Paragraph Font"/>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0"/>
    <w:pPr>
      <w:ind w:left="400" w:leftChars="200" w:hanging="200" w:hangingChars="200"/>
    </w:pPr>
  </w:style>
  <w:style w:type="paragraph" w:styleId="6">
    <w:name w:val="Normal Indent"/>
    <w:basedOn w:val="1"/>
    <w:qFormat/>
    <w:uiPriority w:val="0"/>
    <w:pPr>
      <w:ind w:firstLine="680"/>
    </w:pPr>
  </w:style>
  <w:style w:type="paragraph" w:styleId="7">
    <w:name w:val="annotation text"/>
    <w:basedOn w:val="1"/>
    <w:qFormat/>
    <w:uiPriority w:val="0"/>
    <w:pPr>
      <w:jc w:val="left"/>
    </w:pPr>
  </w:style>
  <w:style w:type="paragraph" w:styleId="8">
    <w:name w:val="Body Text"/>
    <w:basedOn w:val="1"/>
    <w:qFormat/>
    <w:uiPriority w:val="0"/>
    <w:pPr>
      <w:spacing w:before="30" w:beforeLines="30"/>
    </w:pPr>
    <w:rPr>
      <w:rFonts w:ascii="仿宋_GB2312" w:eastAsia="仿宋_GB2312"/>
      <w:kern w:val="0"/>
      <w:sz w:val="30"/>
    </w:rPr>
  </w:style>
  <w:style w:type="paragraph" w:styleId="9">
    <w:name w:val="Body Text Indent"/>
    <w:basedOn w:val="1"/>
    <w:next w:val="10"/>
    <w:qFormat/>
    <w:uiPriority w:val="0"/>
    <w:pPr>
      <w:spacing w:after="120"/>
      <w:ind w:leftChars="200"/>
    </w:pPr>
    <w:rPr>
      <w:rFonts w:ascii="仿宋_GB2312"/>
      <w:szCs w:val="32"/>
    </w:rPr>
  </w:style>
  <w:style w:type="paragraph" w:styleId="10">
    <w:name w:val="Body Text First Indent 2"/>
    <w:basedOn w:val="9"/>
    <w:unhideWhenUsed/>
    <w:qFormat/>
    <w:uiPriority w:val="99"/>
    <w:pPr>
      <w:ind w:firstLine="420" w:firstLineChars="200"/>
    </w:pPr>
  </w:style>
  <w:style w:type="paragraph" w:styleId="11">
    <w:name w:val="toc 3"/>
    <w:basedOn w:val="1"/>
    <w:next w:val="1"/>
    <w:qFormat/>
    <w:uiPriority w:val="0"/>
    <w:pPr>
      <w:tabs>
        <w:tab w:val="right" w:leader="dot" w:pos="8296"/>
      </w:tabs>
      <w:ind w:left="400" w:leftChars="400"/>
    </w:pPr>
  </w:style>
  <w:style w:type="paragraph" w:styleId="12">
    <w:name w:val="Balloon Text"/>
    <w:basedOn w:val="1"/>
    <w:qFormat/>
    <w:uiPriority w:val="0"/>
    <w:rPr>
      <w:sz w:val="18"/>
      <w:szCs w:val="18"/>
    </w:rPr>
  </w:style>
  <w:style w:type="paragraph" w:styleId="13">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qFormat/>
    <w:uiPriority w:val="0"/>
    <w:pPr>
      <w:tabs>
        <w:tab w:val="right" w:leader="dot" w:pos="8296"/>
      </w:tabs>
      <w:spacing w:before="93"/>
      <w:jc w:val="center"/>
    </w:pPr>
    <w:rPr>
      <w:rFonts w:ascii="仿宋" w:eastAsia="仿宋"/>
      <w:sz w:val="28"/>
      <w:szCs w:val="28"/>
    </w:rPr>
  </w:style>
  <w:style w:type="paragraph" w:styleId="16">
    <w:name w:val="footnote text"/>
    <w:basedOn w:val="1"/>
    <w:next w:val="10"/>
    <w:semiHidden/>
    <w:qFormat/>
    <w:uiPriority w:val="0"/>
    <w:pPr>
      <w:snapToGrid w:val="0"/>
      <w:jc w:val="left"/>
    </w:pPr>
    <w:rPr>
      <w:sz w:val="18"/>
      <w:szCs w:val="18"/>
    </w:rPr>
  </w:style>
  <w:style w:type="paragraph" w:styleId="17">
    <w:name w:val="toc 2"/>
    <w:basedOn w:val="1"/>
    <w:next w:val="1"/>
    <w:qFormat/>
    <w:uiPriority w:val="0"/>
    <w:pPr>
      <w:tabs>
        <w:tab w:val="right" w:leader="dot" w:pos="8296"/>
      </w:tabs>
      <w:ind w:left="200" w:leftChars="200"/>
    </w:pPr>
  </w:style>
  <w:style w:type="character" w:styleId="20">
    <w:name w:val="Strong"/>
    <w:basedOn w:val="19"/>
    <w:qFormat/>
    <w:uiPriority w:val="0"/>
    <w:rPr>
      <w:b/>
    </w:rPr>
  </w:style>
  <w:style w:type="character" w:styleId="21">
    <w:name w:val="Hyperlink"/>
    <w:basedOn w:val="19"/>
    <w:qFormat/>
    <w:uiPriority w:val="0"/>
    <w:rPr>
      <w:color w:val="0000FF"/>
      <w:u w:val="single"/>
    </w:rPr>
  </w:style>
  <w:style w:type="character" w:styleId="22">
    <w:name w:val="annotation reference"/>
    <w:basedOn w:val="19"/>
    <w:qFormat/>
    <w:uiPriority w:val="0"/>
    <w:rPr>
      <w:sz w:val="21"/>
      <w:szCs w:val="21"/>
    </w:rPr>
  </w:style>
  <w:style w:type="character" w:customStyle="1" w:styleId="23">
    <w:name w:val="heading 1 Char"/>
    <w:basedOn w:val="19"/>
    <w:link w:val="3"/>
    <w:qFormat/>
    <w:uiPriority w:val="0"/>
    <w:rPr>
      <w:rFonts w:ascii="Times New Roman" w:hAnsi="Times New Roman" w:eastAsia="宋体" w:cs="Times New Roman"/>
      <w:b/>
      <w:bCs/>
      <w:kern w:val="44"/>
      <w:sz w:val="44"/>
      <w:szCs w:val="44"/>
      <w:lang w:val="en-US" w:eastAsia="zh-CN" w:bidi="ar-SA"/>
    </w:rPr>
  </w:style>
  <w:style w:type="paragraph" w:customStyle="1" w:styleId="24">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25">
    <w:name w:val="Header Char"/>
    <w:basedOn w:val="19"/>
    <w:qFormat/>
    <w:uiPriority w:val="0"/>
    <w:rPr>
      <w:rFonts w:ascii="Times New Roman" w:hAnsi="Times New Roman"/>
      <w:sz w:val="18"/>
      <w:szCs w:val="18"/>
    </w:rPr>
  </w:style>
  <w:style w:type="character" w:customStyle="1" w:styleId="26">
    <w:name w:val="Footer Char"/>
    <w:basedOn w:val="19"/>
    <w:qFormat/>
    <w:uiPriority w:val="0"/>
    <w:rPr>
      <w:rFonts w:ascii="Times New Roman" w:hAnsi="Times New Roman"/>
      <w:sz w:val="18"/>
      <w:szCs w:val="18"/>
    </w:rPr>
  </w:style>
  <w:style w:type="character" w:customStyle="1" w:styleId="27">
    <w:name w:val="Body Text Char"/>
    <w:basedOn w:val="19"/>
    <w:qFormat/>
    <w:uiPriority w:val="0"/>
    <w:rPr>
      <w:rFonts w:ascii="Times New Roman" w:hAnsi="Times New Roman"/>
      <w:szCs w:val="24"/>
    </w:rPr>
  </w:style>
  <w:style w:type="paragraph" w:styleId="28">
    <w:name w:val="List Paragraph"/>
    <w:basedOn w:val="1"/>
    <w:qFormat/>
    <w:uiPriority w:val="0"/>
    <w:pPr>
      <w:ind w:firstLine="200" w:firstLineChars="200"/>
    </w:pPr>
  </w:style>
  <w:style w:type="paragraph" w:customStyle="1" w:styleId="29">
    <w:name w:val="TOC 标题1"/>
    <w:basedOn w:val="3"/>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character" w:customStyle="1" w:styleId="30">
    <w:name w:val="标题 1 字符"/>
    <w:basedOn w:val="19"/>
    <w:link w:val="3"/>
    <w:qFormat/>
    <w:uiPriority w:val="9"/>
    <w:rPr>
      <w:rFonts w:ascii="Times New Roman" w:hAnsi="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3.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收、支决算总计变动情况表</a:t>
            </a:r>
          </a:p>
          <a:p>
            <a:pPr defTabSz="914400">
              <a:defRPr lang="zh-CN" sz="1400" b="1" i="0" u="none" strike="noStrike" kern="1200" baseline="0">
                <a:solidFill>
                  <a:schemeClr val="dk1">
                    <a:lumMod val="75000"/>
                    <a:lumOff val="25000"/>
                  </a:schemeClr>
                </a:solidFill>
                <a:latin typeface="+mn-lt"/>
                <a:ea typeface="+mn-ea"/>
                <a:cs typeface="+mn-cs"/>
              </a:defRPr>
            </a:pPr>
          </a:p>
        </c:rich>
      </c:tx>
      <c:layout/>
      <c:overlay val="0"/>
      <c:spPr>
        <a:noFill/>
        <a:ln>
          <a:noFill/>
        </a:ln>
        <a:effectLst/>
      </c:spPr>
    </c:title>
    <c:autoTitleDeleted val="0"/>
    <c:plotArea>
      <c:layout/>
      <c:barChart>
        <c:barDir val="col"/>
        <c:grouping val="stacked"/>
        <c:varyColors val="0"/>
        <c:ser>
          <c:idx val="0"/>
          <c:order val="0"/>
          <c:tx>
            <c:strRef>
              <c:f>Sheet1!$B$1</c:f>
              <c:strCache>
                <c:ptCount val="1"/>
                <c:pt idx="0">
                  <c:v>收、支决算总计变动情况图</c:v>
                </c:pt>
              </c:strCache>
            </c:strRef>
          </c:tx>
          <c:spPr>
            <a:gradFill>
              <a:gsLst>
                <a:gs pos="100000">
                  <a:schemeClr val="accent2"/>
                </a:gs>
                <a:gs pos="0">
                  <a:schemeClr val="accent2">
                    <a:hueOff val="-1670000"/>
                  </a:schemeClr>
                </a:gs>
              </a:gsLst>
              <a:lin ang="5400000" scaled="0"/>
            </a:gradFill>
            <a:ln>
              <a:gradFill>
                <a:gsLst>
                  <a:gs pos="100000">
                    <a:schemeClr val="accent2">
                      <a:lumMod val="75000"/>
                    </a:schemeClr>
                  </a:gs>
                  <a:gs pos="0">
                    <a:schemeClr val="accent2">
                      <a:lumMod val="75000"/>
                      <a:hueOff val="-1670000"/>
                    </a:schemeClr>
                  </a:gs>
                </a:gsLst>
                <a:lin ang="4620000" scaled="0"/>
              </a:gradFill>
            </a:ln>
            <a:effectLst/>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dk1">
                            <a:lumMod val="75000"/>
                            <a:lumOff val="25000"/>
                          </a:schemeClr>
                        </a:solidFill>
                        <a:latin typeface="+mn-lt"/>
                        <a:ea typeface="+mn-ea"/>
                        <a:cs typeface="+mn-cs"/>
                      </a:defRPr>
                    </a:pPr>
                    <a:r>
                      <a:rPr lang="en-US" altLang="zh-CN"/>
                      <a:t>225.96</a:t>
                    </a:r>
                    <a:endParaRPr lang="en-US" altLang="zh-CN"/>
                  </a:p>
                </c:rich>
              </c:tx>
              <c:dLblPos val="ctr"/>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dk1">
                            <a:lumMod val="75000"/>
                            <a:lumOff val="25000"/>
                          </a:schemeClr>
                        </a:solidFill>
                        <a:latin typeface="+mn-lt"/>
                        <a:ea typeface="+mn-ea"/>
                        <a:cs typeface="+mn-cs"/>
                      </a:defRPr>
                    </a:pPr>
                    <a:r>
                      <a:rPr lang="en-US" altLang="zh-CN"/>
                      <a:t>257.86</a:t>
                    </a:r>
                    <a:endParaRPr lang="en-US" altLang="zh-CN"/>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dk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Sheet1!$A$2:$A$3</c:f>
              <c:strCache>
                <c:ptCount val="2"/>
                <c:pt idx="0">
                  <c:v>2023年</c:v>
                </c:pt>
                <c:pt idx="1">
                  <c:v>2024年</c:v>
                </c:pt>
              </c:strCache>
            </c:strRef>
          </c:cat>
          <c:val>
            <c:numRef>
              <c:f>Sheet1!$B$2:$B$3</c:f>
              <c:numCache>
                <c:formatCode>General</c:formatCode>
                <c:ptCount val="2"/>
                <c:pt idx="0">
                  <c:v>244.05</c:v>
                </c:pt>
                <c:pt idx="1">
                  <c:v>265.24</c:v>
                </c:pt>
              </c:numCache>
            </c:numRef>
          </c:val>
        </c:ser>
        <c:dLbls>
          <c:showLegendKey val="0"/>
          <c:showVal val="1"/>
          <c:showCatName val="0"/>
          <c:showSerName val="0"/>
          <c:showPercent val="0"/>
          <c:showBubbleSize val="0"/>
        </c:dLbls>
        <c:gapWidth val="500"/>
        <c:overlap val="100"/>
        <c:axId val="996309692"/>
        <c:axId val="753378695"/>
      </c:barChart>
      <c:catAx>
        <c:axId val="996309692"/>
        <c:scaling>
          <c:orientation val="minMax"/>
        </c:scaling>
        <c:delete val="0"/>
        <c:axPos val="b"/>
        <c:majorTickMark val="none"/>
        <c:minorTickMark val="none"/>
        <c:tickLblPos val="nextTo"/>
        <c:spPr>
          <a:noFill/>
          <a:ln w="9525" cap="flat" cmpd="sng" algn="ctr">
            <a:solidFill>
              <a:schemeClr val="dk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753378695"/>
        <c:crosses val="autoZero"/>
        <c:auto val="1"/>
        <c:lblAlgn val="ctr"/>
        <c:lblOffset val="100"/>
        <c:noMultiLvlLbl val="0"/>
      </c:catAx>
      <c:valAx>
        <c:axId val="75337869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99630969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solidFill>
      <a:schemeClr val="lt1">
        <a:lumMod val="96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panose="02020603050405020304"/>
                <a:ea typeface="宋体" charset="-122"/>
                <a:cs typeface="Lucida Sans" panose="020B0602030504020204"/>
              </a:defRPr>
            </a:pPr>
            <a:r>
              <a:rPr lang="zh-CN"/>
              <a:t>收入决算结构图</a:t>
            </a:r>
            <a:endParaRPr lang="zh-CN"/>
          </a:p>
        </c:rich>
      </c:tx>
      <c:layout/>
      <c:overlay val="0"/>
      <c:spPr>
        <a:ln>
          <a:noFill/>
        </a:ln>
      </c:spPr>
    </c:title>
    <c:autoTitleDeleted val="0"/>
    <c:plotArea>
      <c:layout/>
      <c:pieChart>
        <c:varyColors val="1"/>
        <c:ser>
          <c:idx val="1"/>
          <c:order val="0"/>
          <c:spPr>
            <a:solidFill>
              <a:srgbClr val="C0504D"/>
            </a:solidFill>
            <a:ln>
              <a:noFill/>
            </a:ln>
          </c:spPr>
          <c:explosion val="0"/>
          <c:dPt>
            <c:idx val="0"/>
            <c:bubble3D val="0"/>
            <c:spPr>
              <a:solidFill>
                <a:srgbClr val="4572A7"/>
              </a:solidFill>
              <a:ln>
                <a:noFill/>
              </a:ln>
            </c:spPr>
          </c:dPt>
          <c:dPt>
            <c:idx val="1"/>
            <c:bubble3D val="0"/>
            <c:spPr>
              <a:solidFill>
                <a:srgbClr val="AA4643"/>
              </a:solidFill>
              <a:ln>
                <a:noFill/>
              </a:ln>
            </c:spPr>
          </c:dPt>
          <c:dPt>
            <c:idx val="2"/>
            <c:bubble3D val="0"/>
            <c:spPr>
              <a:solidFill>
                <a:srgbClr val="89A54E"/>
              </a:solidFill>
              <a:ln>
                <a:noFill/>
              </a:ln>
            </c:spPr>
          </c:dPt>
          <c:dPt>
            <c:idx val="3"/>
            <c:bubble3D val="0"/>
            <c:spPr>
              <a:solidFill>
                <a:srgbClr val="71588F"/>
              </a:solidFill>
              <a:ln>
                <a:noFill/>
              </a:ln>
            </c:spPr>
          </c:dPt>
          <c:dPt>
            <c:idx val="4"/>
            <c:bubble3D val="0"/>
            <c:spPr>
              <a:solidFill>
                <a:srgbClr val="4198AF"/>
              </a:solidFill>
              <a:ln>
                <a:noFill/>
              </a:ln>
            </c:spPr>
          </c:dPt>
          <c:dPt>
            <c:idx val="5"/>
            <c:bubble3D val="0"/>
            <c:spPr>
              <a:solidFill>
                <a:srgbClr val="DB843D"/>
              </a:solidFill>
              <a:ln>
                <a:noFill/>
              </a:ln>
            </c:spPr>
          </c:dPt>
          <c:dPt>
            <c:idx val="6"/>
            <c:bubble3D val="0"/>
            <c:spPr>
              <a:solidFill>
                <a:srgbClr val="93A9CF"/>
              </a:solidFill>
              <a:ln>
                <a:noFill/>
              </a:ln>
            </c:spPr>
          </c:dPt>
          <c:dPt>
            <c:idx val="7"/>
            <c:bubble3D val="0"/>
            <c:spPr>
              <a:solidFill>
                <a:srgbClr val="D19392"/>
              </a:solidFill>
              <a:ln>
                <a:noFill/>
              </a:ln>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Lucida Sans" panose="020B0602030504020204"/>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{6107287.36,0,0,0,0,0,0,0}</c:f>
              <c:numCache>
                <c:formatCode>General</c:formatCode>
                <c:ptCount val="8"/>
                <c:pt idx="0">
                  <c:v>6107287.36</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charset="-122"/>
              <a:cs typeface="Lucida Sans" panose="020B0602030504020204"/>
            </a:defRPr>
          </a:pPr>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charset="-122"/>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1"/>
                        </a:solidFill>
                        <a:latin typeface="+mn-lt"/>
                        <a:ea typeface="+mn-ea"/>
                        <a:cs typeface="+mn-cs"/>
                      </a:defRPr>
                    </a:pPr>
                    <a:r>
                      <a:t>基本支出, </a:t>
                    </a:r>
                    <a:r>
                      <a:rPr lang="en-US" altLang="zh-CN"/>
                      <a:t>257.86</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1"/>
              <c:showCatName val="1"/>
              <c:showSerName val="0"/>
              <c:showPercent val="0"/>
              <c:showBubbleSize val="0"/>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outEnd"/>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265.24</c:v>
                </c:pt>
                <c:pt idx="1">
                  <c:v>0</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收、支决算总计变动情况表</a:t>
            </a:r>
          </a:p>
          <a:p>
            <a:pPr defTabSz="914400">
              <a:defRPr lang="zh-CN" sz="1400" b="1" i="0" u="none" strike="noStrike" kern="1200" baseline="0">
                <a:solidFill>
                  <a:schemeClr val="dk1">
                    <a:lumMod val="75000"/>
                    <a:lumOff val="25000"/>
                  </a:schemeClr>
                </a:solidFill>
                <a:latin typeface="+mn-lt"/>
                <a:ea typeface="+mn-ea"/>
                <a:cs typeface="+mn-cs"/>
              </a:defRPr>
            </a:pPr>
          </a:p>
        </c:rich>
      </c:tx>
      <c:layout/>
      <c:overlay val="0"/>
      <c:spPr>
        <a:noFill/>
        <a:ln>
          <a:noFill/>
        </a:ln>
        <a:effectLst/>
      </c:spPr>
    </c:title>
    <c:autoTitleDeleted val="0"/>
    <c:plotArea>
      <c:layout/>
      <c:barChart>
        <c:barDir val="col"/>
        <c:grouping val="stacked"/>
        <c:varyColors val="0"/>
        <c:ser>
          <c:idx val="0"/>
          <c:order val="0"/>
          <c:tx>
            <c:strRef>
              <c:f>Sheet1!$B$1</c:f>
              <c:strCache>
                <c:ptCount val="1"/>
                <c:pt idx="0">
                  <c:v>收、支决算总计变动情况图</c:v>
                </c:pt>
              </c:strCache>
            </c:strRef>
          </c:tx>
          <c:spPr>
            <a:gradFill>
              <a:gsLst>
                <a:gs pos="100000">
                  <a:schemeClr val="accent2"/>
                </a:gs>
                <a:gs pos="0">
                  <a:schemeClr val="accent2">
                    <a:hueOff val="-1670000"/>
                  </a:schemeClr>
                </a:gs>
              </a:gsLst>
              <a:lin ang="5400000" scaled="0"/>
            </a:gradFill>
            <a:ln>
              <a:gradFill>
                <a:gsLst>
                  <a:gs pos="100000">
                    <a:schemeClr val="accent2">
                      <a:lumMod val="75000"/>
                    </a:schemeClr>
                  </a:gs>
                  <a:gs pos="0">
                    <a:schemeClr val="accent2">
                      <a:lumMod val="75000"/>
                      <a:hueOff val="-1670000"/>
                    </a:schemeClr>
                  </a:gs>
                </a:gsLst>
                <a:lin ang="4620000" scaled="0"/>
              </a:gradFill>
            </a:ln>
            <a:effectLst/>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dk1">
                            <a:lumMod val="75000"/>
                            <a:lumOff val="25000"/>
                          </a:schemeClr>
                        </a:solidFill>
                        <a:latin typeface="+mn-lt"/>
                        <a:ea typeface="+mn-ea"/>
                        <a:cs typeface="+mn-cs"/>
                      </a:defRPr>
                    </a:pPr>
                    <a:r>
                      <a:rPr lang="en-US" altLang="zh-CN"/>
                      <a:t>225.96</a:t>
                    </a:r>
                    <a:endParaRPr lang="en-US" altLang="zh-CN"/>
                  </a:p>
                </c:rich>
              </c:tx>
              <c:dLblPos val="ctr"/>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dk1">
                            <a:lumMod val="75000"/>
                            <a:lumOff val="25000"/>
                          </a:schemeClr>
                        </a:solidFill>
                        <a:latin typeface="+mn-lt"/>
                        <a:ea typeface="+mn-ea"/>
                        <a:cs typeface="+mn-cs"/>
                      </a:defRPr>
                    </a:pPr>
                    <a:r>
                      <a:rPr lang="en-US" altLang="zh-CN"/>
                      <a:t>257.86</a:t>
                    </a:r>
                    <a:endParaRPr lang="en-US" altLang="zh-CN"/>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dk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Sheet1!$A$2:$A$3</c:f>
              <c:strCache>
                <c:ptCount val="2"/>
                <c:pt idx="0">
                  <c:v>2023年</c:v>
                </c:pt>
                <c:pt idx="1">
                  <c:v>2024年</c:v>
                </c:pt>
              </c:strCache>
            </c:strRef>
          </c:cat>
          <c:val>
            <c:numRef>
              <c:f>Sheet1!$B$2:$B$3</c:f>
              <c:numCache>
                <c:formatCode>General</c:formatCode>
                <c:ptCount val="2"/>
                <c:pt idx="0">
                  <c:v>244.05</c:v>
                </c:pt>
                <c:pt idx="1">
                  <c:v>265.24</c:v>
                </c:pt>
              </c:numCache>
            </c:numRef>
          </c:val>
        </c:ser>
        <c:dLbls>
          <c:showLegendKey val="0"/>
          <c:showVal val="1"/>
          <c:showCatName val="0"/>
          <c:showSerName val="0"/>
          <c:showPercent val="0"/>
          <c:showBubbleSize val="0"/>
        </c:dLbls>
        <c:gapWidth val="500"/>
        <c:overlap val="100"/>
        <c:axId val="996309692"/>
        <c:axId val="753378695"/>
      </c:barChart>
      <c:catAx>
        <c:axId val="996309692"/>
        <c:scaling>
          <c:orientation val="minMax"/>
        </c:scaling>
        <c:delete val="0"/>
        <c:axPos val="b"/>
        <c:majorTickMark val="none"/>
        <c:minorTickMark val="none"/>
        <c:tickLblPos val="nextTo"/>
        <c:spPr>
          <a:noFill/>
          <a:ln w="9525" cap="flat" cmpd="sng" algn="ctr">
            <a:solidFill>
              <a:schemeClr val="dk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753378695"/>
        <c:crosses val="autoZero"/>
        <c:auto val="1"/>
        <c:lblAlgn val="ctr"/>
        <c:lblOffset val="100"/>
        <c:noMultiLvlLbl val="0"/>
      </c:catAx>
      <c:valAx>
        <c:axId val="75337869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99630969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solidFill>
      <a:schemeClr val="lt1">
        <a:lumMod val="96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一般公共预算财政拨款支出决算变动情况</a:t>
            </a:r>
          </a:p>
        </c:rich>
      </c:tx>
      <c:layout>
        <c:manualLayout>
          <c:xMode val="edge"/>
          <c:yMode val="edge"/>
          <c:x val="0.210074897318193"/>
          <c:y val="0.0212494687632809"/>
        </c:manualLayout>
      </c:layout>
      <c:overlay val="0"/>
      <c:spPr>
        <a:noFill/>
        <a:ln>
          <a:noFill/>
        </a:ln>
        <a:effectLst/>
      </c:spPr>
    </c:title>
    <c:autoTitleDeleted val="0"/>
    <c:plotArea>
      <c:layout/>
      <c:barChart>
        <c:barDir val="col"/>
        <c:grouping val="clustered"/>
        <c:varyColors val="0"/>
        <c:ser>
          <c:idx val="2"/>
          <c:order val="0"/>
          <c:tx>
            <c:strRef>
              <c:f>Sheet1!$B$1</c:f>
              <c:strCache>
                <c:ptCount val="1"/>
                <c:pt idx="0">
                  <c:v>一般公共预算财政拨款支出决算变动情况图</c:v>
                </c:pt>
              </c:strCache>
            </c:strRef>
          </c:tx>
          <c:spPr>
            <a:solidFill>
              <a:schemeClr val="accent3"/>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225.96</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0.00205363614399613"/>
                  <c:y val="0"/>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257.86</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244.05</c:v>
                </c:pt>
                <c:pt idx="1">
                  <c:v>265.24</c:v>
                </c:pt>
              </c:numCache>
            </c:numRef>
          </c:val>
        </c:ser>
        <c:dLbls>
          <c:showLegendKey val="0"/>
          <c:showVal val="1"/>
          <c:showCatName val="0"/>
          <c:showSerName val="0"/>
          <c:showPercent val="0"/>
          <c:showBubbleSize val="0"/>
        </c:dLbls>
        <c:gapWidth val="246"/>
        <c:overlap val="-28"/>
        <c:axId val="277025957"/>
        <c:axId val="47227912"/>
      </c:barChart>
      <c:catAx>
        <c:axId val="27702595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7227912"/>
        <c:crosses val="autoZero"/>
        <c:auto val="1"/>
        <c:lblAlgn val="ctr"/>
        <c:lblOffset val="100"/>
        <c:noMultiLvlLbl val="0"/>
      </c:catAx>
      <c:valAx>
        <c:axId val="4722791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7702595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spPr/>
          <c:explosion val="0"/>
          <c:dPt>
            <c:idx val="0"/>
            <c:bubble3D val="0"/>
            <c:spPr>
              <a:gradFill>
                <a:gsLst>
                  <a:gs pos="0">
                    <a:schemeClr val="accent1">
                      <a:hueOff val="-1670000"/>
                    </a:schemeClr>
                  </a:gs>
                  <a:gs pos="100000">
                    <a:schemeClr val="accent1"/>
                  </a:gs>
                </a:gsLst>
                <a:lin ang="5400000" scaled="0"/>
              </a:gradFill>
              <a:ln>
                <a:gradFill>
                  <a:gsLst>
                    <a:gs pos="0">
                      <a:schemeClr val="accent1">
                        <a:lumMod val="75000"/>
                        <a:hueOff val="-1670000"/>
                      </a:schemeClr>
                    </a:gs>
                    <a:gs pos="100000">
                      <a:schemeClr val="accent1">
                        <a:lumMod val="75000"/>
                      </a:schemeClr>
                    </a:gs>
                  </a:gsLst>
                  <a:lin ang="5400000" scaled="1"/>
                </a:gradFill>
              </a:ln>
              <a:effectLst/>
            </c:spPr>
          </c:dPt>
          <c:dPt>
            <c:idx val="1"/>
            <c:bubble3D val="0"/>
            <c:spPr>
              <a:gradFill>
                <a:gsLst>
                  <a:gs pos="0">
                    <a:schemeClr val="accent2">
                      <a:hueOff val="-1670000"/>
                    </a:schemeClr>
                  </a:gs>
                  <a:gs pos="100000">
                    <a:schemeClr val="accent2"/>
                  </a:gs>
                </a:gsLst>
                <a:lin ang="5400000" scaled="0"/>
              </a:gradFill>
              <a:ln>
                <a:gradFill>
                  <a:gsLst>
                    <a:gs pos="0">
                      <a:schemeClr val="accent2">
                        <a:lumMod val="75000"/>
                        <a:hueOff val="-1670000"/>
                      </a:schemeClr>
                    </a:gs>
                    <a:gs pos="100000">
                      <a:schemeClr val="accent2">
                        <a:lumMod val="75000"/>
                      </a:schemeClr>
                    </a:gs>
                  </a:gsLst>
                  <a:lin ang="5400000" scaled="1"/>
                </a:gradFill>
              </a:ln>
              <a:effectLst/>
            </c:spPr>
          </c:dPt>
          <c:dPt>
            <c:idx val="2"/>
            <c:bubble3D val="0"/>
            <c:spPr>
              <a:gradFill>
                <a:gsLst>
                  <a:gs pos="0">
                    <a:schemeClr val="accent3">
                      <a:hueOff val="-1670000"/>
                    </a:schemeClr>
                  </a:gs>
                  <a:gs pos="100000">
                    <a:schemeClr val="accent3"/>
                  </a:gs>
                </a:gsLst>
                <a:lin ang="5400000" scaled="0"/>
              </a:gradFill>
              <a:ln>
                <a:gradFill>
                  <a:gsLst>
                    <a:gs pos="0">
                      <a:schemeClr val="accent3">
                        <a:lumMod val="75000"/>
                        <a:hueOff val="-1670000"/>
                      </a:schemeClr>
                    </a:gs>
                    <a:gs pos="100000">
                      <a:schemeClr val="accent3">
                        <a:lumMod val="75000"/>
                      </a:schemeClr>
                    </a:gs>
                  </a:gsLst>
                  <a:lin ang="5400000" scaled="1"/>
                </a:gradFill>
              </a:ln>
              <a:effectLst/>
            </c:spPr>
          </c:dPt>
          <c:dPt>
            <c:idx val="3"/>
            <c:bubble3D val="0"/>
            <c:spPr>
              <a:gradFill>
                <a:gsLst>
                  <a:gs pos="0">
                    <a:schemeClr val="accent4">
                      <a:hueOff val="-1670000"/>
                    </a:schemeClr>
                  </a:gs>
                  <a:gs pos="100000">
                    <a:schemeClr val="accent4"/>
                  </a:gs>
                </a:gsLst>
                <a:lin ang="5400000" scaled="0"/>
              </a:gradFill>
              <a:ln>
                <a:gradFill>
                  <a:gsLst>
                    <a:gs pos="0">
                      <a:schemeClr val="accent4">
                        <a:lumMod val="75000"/>
                        <a:hueOff val="-1670000"/>
                      </a:schemeClr>
                    </a:gs>
                    <a:gs pos="100000">
                      <a:schemeClr val="accent4">
                        <a:lumMod val="75000"/>
                      </a:schemeClr>
                    </a:gs>
                  </a:gsLst>
                  <a:lin ang="5400000" scaled="1"/>
                </a:gradFill>
              </a:ln>
              <a:effectLst/>
            </c:spPr>
          </c:dPt>
          <c:dPt>
            <c:idx val="4"/>
            <c:bubble3D val="0"/>
            <c:spPr>
              <a:gradFill>
                <a:gsLst>
                  <a:gs pos="0">
                    <a:schemeClr val="accent5">
                      <a:hueOff val="-1670000"/>
                    </a:schemeClr>
                  </a:gs>
                  <a:gs pos="100000">
                    <a:schemeClr val="accent5"/>
                  </a:gs>
                </a:gsLst>
                <a:lin ang="5400000" scaled="0"/>
              </a:gradFill>
              <a:ln>
                <a:gradFill>
                  <a:gsLst>
                    <a:gs pos="0">
                      <a:schemeClr val="accent5">
                        <a:lumMod val="75000"/>
                        <a:hueOff val="-1670000"/>
                      </a:schemeClr>
                    </a:gs>
                    <a:gs pos="100000">
                      <a:schemeClr val="accent5">
                        <a:lumMod val="75000"/>
                      </a:schemeClr>
                    </a:gs>
                  </a:gsLst>
                  <a:lin ang="5400000" scaled="1"/>
                </a:gradFill>
              </a:ln>
              <a:effectLst/>
            </c:spPr>
          </c:dPt>
          <c:dPt>
            <c:idx val="5"/>
            <c:bubble3D val="0"/>
            <c:spPr>
              <a:gradFill>
                <a:gsLst>
                  <a:gs pos="0">
                    <a:schemeClr val="accent6">
                      <a:hueOff val="-1670000"/>
                    </a:schemeClr>
                  </a:gs>
                  <a:gs pos="100000">
                    <a:schemeClr val="accent6"/>
                  </a:gs>
                </a:gsLst>
                <a:lin ang="5400000" scaled="0"/>
              </a:gradFill>
              <a:ln>
                <a:gradFill>
                  <a:gsLst>
                    <a:gs pos="0">
                      <a:schemeClr val="accent6">
                        <a:lumMod val="75000"/>
                        <a:hueOff val="-1670000"/>
                      </a:schemeClr>
                    </a:gs>
                    <a:gs pos="100000">
                      <a:schemeClr val="accent6">
                        <a:lumMod val="75000"/>
                      </a:schemeClr>
                    </a:gs>
                  </a:gsLst>
                  <a:lin ang="5400000" scaled="1"/>
                </a:gradFill>
              </a:ln>
              <a:effectLst/>
            </c:spPr>
          </c:dPt>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1"/>
              <c:layout>
                <c:manualLayout>
                  <c:x val="0.231456873640976"/>
                  <c:y val="0.0376115597110072"/>
                </c:manualLayout>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2"/>
                        </a:solidFill>
                        <a:latin typeface="+mn-lt"/>
                        <a:ea typeface="+mn-ea"/>
                        <a:cs typeface="+mn-cs"/>
                      </a:defRPr>
                    </a:pPr>
                    <a:r>
                      <a:t>社会保障和就业（类）支出1</a:t>
                    </a:r>
                    <a:r>
                      <a:rPr lang="en-US" altLang="zh-CN"/>
                      <a:t>3.35</a:t>
                    </a:r>
                    <a:r>
                      <a:t>%</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0991785455424015"/>
                  <c:y val="0.178070548236294"/>
                </c:manualLayout>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3"/>
                        </a:solidFill>
                        <a:latin typeface="+mn-lt"/>
                        <a:ea typeface="+mn-ea"/>
                        <a:cs typeface="+mn-cs"/>
                      </a:defRPr>
                    </a:pPr>
                    <a:r>
                      <a:t>卫生健康（类）支出5</a:t>
                    </a:r>
                    <a:r>
                      <a:rPr lang="en-US" altLang="zh-CN"/>
                      <a:t>.88</a:t>
                    </a:r>
                    <a:r>
                      <a:t>%</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3"/>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130466296206813"/>
                  <c:y val="-0.127496812579686"/>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4"/>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377385841990819"/>
                      <c:h val="0.116234594135147"/>
                    </c:manualLayout>
                  </c15:layout>
                </c:ext>
              </c:extLst>
            </c:dLbl>
            <c:dLbl>
              <c:idx val="4"/>
              <c:layout>
                <c:manualLayout>
                  <c:x val="-0.16199565112346"/>
                  <c:y val="-0.00361240968975776"/>
                </c:manualLayout>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5"/>
                        </a:solidFill>
                        <a:latin typeface="+mn-lt"/>
                        <a:ea typeface="+mn-ea"/>
                        <a:cs typeface="+mn-cs"/>
                      </a:defRPr>
                    </a:pPr>
                    <a:r>
                      <a:t>农林水（类）支出7</a:t>
                    </a:r>
                    <a:r>
                      <a:rPr lang="en-US" altLang="zh-CN"/>
                      <a:t>2.84</a:t>
                    </a:r>
                    <a:r>
                      <a:t>%</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5"/>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5"/>
              <c:layout>
                <c:manualLayout>
                  <c:x val="0.00241604252234839"/>
                  <c:y val="0.0722481937951551"/>
                </c:manualLayout>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6"/>
                        </a:solidFill>
                        <a:latin typeface="+mn-lt"/>
                        <a:ea typeface="+mn-ea"/>
                        <a:cs typeface="+mn-cs"/>
                      </a:defRPr>
                    </a:pPr>
                    <a:r>
                      <a:t>住房保障（类）支出</a:t>
                    </a:r>
                  </a:p>
                  <a:p>
                    <a:pPr defTabSz="914400">
                      <a:defRPr lang="zh-CN" sz="1000" b="1" i="0" u="none" strike="noStrike" kern="1200" spc="0" baseline="0">
                        <a:solidFill>
                          <a:schemeClr val="accent6"/>
                        </a:solidFill>
                        <a:latin typeface="+mn-lt"/>
                        <a:ea typeface="+mn-ea"/>
                        <a:cs typeface="+mn-cs"/>
                      </a:defRPr>
                    </a:pPr>
                    <a:r>
                      <a:rPr lang="en-US" altLang="zh-CN"/>
                      <a:t>7.93</a:t>
                    </a:r>
                    <a:r>
                      <a:t>%</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6"/>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800193283401788"/>
                      <c:h val="0.140883977900552"/>
                    </c:manualLayout>
                  </c15:layout>
                </c:ext>
              </c:extLst>
            </c:dLbl>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Sheet1!$A$2:$A$7</c:f>
              <c:strCache>
                <c:ptCount val="6"/>
                <c:pt idx="1">
                  <c:v>社会保障和就业（类）支出</c:v>
                </c:pt>
                <c:pt idx="2">
                  <c:v>卫生健康（类）支出</c:v>
                </c:pt>
                <c:pt idx="4">
                  <c:v>农林水（类）支出</c:v>
                </c:pt>
                <c:pt idx="5">
                  <c:v>住房保障（类）支出</c:v>
                </c:pt>
              </c:strCache>
            </c:strRef>
          </c:cat>
          <c:val>
            <c:numRef>
              <c:f>Sheet1!$B$2:$B$7</c:f>
              <c:numCache>
                <c:formatCode>General</c:formatCode>
                <c:ptCount val="6"/>
                <c:pt idx="1">
                  <c:v>35.91</c:v>
                </c:pt>
                <c:pt idx="2">
                  <c:v>14.46</c:v>
                </c:pt>
                <c:pt idx="4">
                  <c:v>194.09</c:v>
                </c:pt>
                <c:pt idx="5">
                  <c:v>20.79</c:v>
                </c:pt>
              </c:numCache>
            </c:numRef>
          </c:val>
        </c:ser>
        <c:dLbls>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lt1">
        <a:lumMod val="96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panose="02020603050405020304"/>
                <a:ea typeface="宋体" charset="-122"/>
                <a:cs typeface="Lucida Sans" panose="020B0602030504020204"/>
              </a:defRPr>
            </a:pPr>
            <a:r>
              <a:rPr lang="zh-CN"/>
              <a:t>三公经费</a:t>
            </a:r>
            <a:endParaRPr lang="zh-CN"/>
          </a:p>
        </c:rich>
      </c:tx>
      <c:layout/>
      <c:overlay val="0"/>
      <c:spPr>
        <a:noFill/>
        <a:ln>
          <a:noFill/>
        </a:ln>
        <a:effectLst/>
      </c:spPr>
    </c:title>
    <c:autoTitleDeleted val="0"/>
    <c:plotArea>
      <c:layout/>
      <c:pieChart>
        <c:varyColors val="1"/>
        <c:ser>
          <c:idx val="1"/>
          <c:order val="0"/>
          <c:spPr/>
          <c:explosion val="0"/>
          <c:dPt>
            <c:idx val="0"/>
            <c:bubble3D val="0"/>
            <c:spPr>
              <a:solidFill>
                <a:schemeClr val="accent1"/>
              </a:solidFill>
              <a:ln>
                <a:noFill/>
              </a:ln>
              <a:effectLst/>
            </c:spPr>
          </c:dPt>
          <c:dPt>
            <c:idx val="1"/>
            <c:bubble3D val="0"/>
            <c:spPr>
              <a:solidFill>
                <a:schemeClr val="accent2"/>
              </a:solidFill>
              <a:ln>
                <a:noFill/>
              </a:ln>
              <a:effectLst/>
            </c:spPr>
          </c:dPt>
          <c:dPt>
            <c:idx val="2"/>
            <c:bubble3D val="0"/>
            <c:spPr>
              <a:solidFill>
                <a:schemeClr val="accent3"/>
              </a:solidFill>
              <a:ln>
                <a:noFill/>
              </a:ln>
              <a:effectLst/>
            </c:spPr>
          </c:dPt>
          <c:dLbls>
            <c:dLbl>
              <c:idx val="1"/>
              <c:delete val="1"/>
            </c:dLbl>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shade val="95000"/>
                          <a:satMod val="105000"/>
                        </a:schemeClr>
                      </a:solidFill>
                      <a:prstDash val="solid"/>
                      <a:round/>
                    </a:ln>
                    <a:effectLst/>
                  </c:spPr>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{0,5.14,0}</c:f>
              <c:numCache>
                <c:formatCode>General</c:formatCode>
                <c:ptCount val="3"/>
                <c:pt idx="0">
                  <c:v>0</c:v>
                </c:pt>
                <c:pt idx="1">
                  <c:v>5.14</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charset="-122"/>
              <a:cs typeface="Lucida Sans" panose="020B0602030504020204"/>
            </a:defRPr>
          </a:pPr>
        </a:p>
      </c:txPr>
    </c:legend>
    <c:plotVisOnly val="1"/>
    <c:dispBlanksAs val="zero"/>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lang="zh-CN" sz="1000" b="0" i="0" u="none" strike="noStrike" baseline="0">
          <a:solidFill>
            <a:srgbClr val="000000"/>
          </a:solidFill>
          <a:latin typeface="Times New Roman" panose="02020603050405020304"/>
          <a:ea typeface="宋体" charset="-122"/>
          <a:cs typeface="Lucida Sans" panose="020B0602030504020204"/>
        </a:defRPr>
      </a:pPr>
    </a:p>
  </c:txPr>
  <c:externalData r:id="rId1">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5">
  <a:schemeClr val="accent2"/>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16">
  <cs:axisTitle>
    <cs:lnRef idx="0"/>
    <cs:fillRef idx="0"/>
    <cs:effectRef idx="0"/>
    <cs:fontRef idx="minor">
      <a:schemeClr val="dk1">
        <a:lumMod val="65000"/>
        <a:lumOff val="35000"/>
      </a:schemeClr>
    </cs:fontRef>
    <cs:defRPr sz="10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lt1">
          <a:lumMod val="96000"/>
        </a:schemeClr>
      </a:solidFill>
      <a:ln w="9525" cap="flat" cmpd="sng" algn="ctr">
        <a:solidFill>
          <a:schemeClr val="tx1">
            <a:lumMod val="15000"/>
            <a:lumOff val="85000"/>
          </a:schemeClr>
        </a:solidFill>
        <a:round/>
      </a:ln>
    </cs:spPr>
    <cs:defRPr sz="1000" kern="1200"/>
  </cs:chartArea>
  <cs:dataLabel>
    <cs:lnRef idx="0"/>
    <cs:fillRef idx="0"/>
    <cs:effectRef idx="0"/>
    <cs:fontRef idx="minor">
      <a:schemeClr val="dk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100000">
            <a:schemeClr val="phClr"/>
          </a:gs>
          <a:gs pos="0">
            <a:schemeClr val="phClr">
              <a:hueOff val="-1670000"/>
            </a:schemeClr>
          </a:gs>
        </a:gsLst>
        <a:lin ang="5400000" scaled="0"/>
      </a:gradFill>
      <a:ln>
        <a:gradFill>
          <a:gsLst>
            <a:gs pos="100000">
              <a:schemeClr val="phClr">
                <a:lumMod val="75000"/>
              </a:schemeClr>
            </a:gs>
            <a:gs pos="0">
              <a:schemeClr val="phClr">
                <a:lumMod val="75000"/>
                <a:hueOff val="-1670000"/>
              </a:schemeClr>
            </a:gs>
          </a:gsLst>
          <a:lin ang="4620000" scaled="0"/>
        </a:grad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cap="flat" cmpd="sng" algn="ctr">
        <a:solidFill>
          <a:schemeClr val="dk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a:solidFill>
          <a:schemeClr val="dk1">
            <a:lumMod val="75000"/>
            <a:lumOff val="2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10090">
  <cs:axisTitle>
    <cs:lnRef idx="0"/>
    <cs:fillRef idx="0"/>
    <cs:effectRef idx="0"/>
    <cs:fontRef idx="minor">
      <a:schemeClr val="dk1">
        <a:lumMod val="65000"/>
        <a:lumOff val="35000"/>
      </a:schemeClr>
    </cs:fontRef>
    <cs:defRPr sz="10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lt1">
          <a:lumMod val="96000"/>
        </a:schemeClr>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hueOff val="-1670000"/>
            </a:schemeClr>
          </a:gs>
          <a:gs pos="100000">
            <a:schemeClr val="phClr"/>
          </a:gs>
        </a:gsLst>
        <a:lin ang="5400000" scaled="0"/>
      </a:gradFill>
      <a:ln>
        <a:gradFill>
          <a:gsLst>
            <a:gs pos="0">
              <a:schemeClr val="phClr">
                <a:lumMod val="75000"/>
                <a:hueOff val="-1670000"/>
              </a:schemeClr>
            </a:gs>
            <a:gs pos="100000">
              <a:schemeClr val="phClr">
                <a:lumMod val="75000"/>
              </a:schemeClr>
            </a:gs>
          </a:gsLst>
          <a:lin ang="5400000" scaled="1"/>
        </a:gra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cap="flat" cmpd="sng" algn="ctr">
        <a:solidFill>
          <a:schemeClr val="dk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a:solidFill>
          <a:schemeClr val="dk1">
            <a:lumMod val="75000"/>
            <a:lumOff val="2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16">
  <cs:axisTitle>
    <cs:lnRef idx="0"/>
    <cs:fillRef idx="0"/>
    <cs:effectRef idx="0"/>
    <cs:fontRef idx="minor">
      <a:schemeClr val="dk1">
        <a:lumMod val="65000"/>
        <a:lumOff val="35000"/>
      </a:schemeClr>
    </cs:fontRef>
    <cs:defRPr sz="10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lt1">
          <a:lumMod val="96000"/>
        </a:schemeClr>
      </a:solidFill>
      <a:ln w="9525" cap="flat" cmpd="sng" algn="ctr">
        <a:solidFill>
          <a:schemeClr val="tx1">
            <a:lumMod val="15000"/>
            <a:lumOff val="85000"/>
          </a:schemeClr>
        </a:solidFill>
        <a:round/>
      </a:ln>
    </cs:spPr>
    <cs:defRPr sz="1000" kern="1200"/>
  </cs:chartArea>
  <cs:dataLabel>
    <cs:lnRef idx="0"/>
    <cs:fillRef idx="0"/>
    <cs:effectRef idx="0"/>
    <cs:fontRef idx="minor">
      <a:schemeClr val="dk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100000">
            <a:schemeClr val="phClr"/>
          </a:gs>
          <a:gs pos="0">
            <a:schemeClr val="phClr">
              <a:hueOff val="-1670000"/>
            </a:schemeClr>
          </a:gs>
        </a:gsLst>
        <a:lin ang="5400000" scaled="0"/>
      </a:gradFill>
      <a:ln>
        <a:gradFill>
          <a:gsLst>
            <a:gs pos="100000">
              <a:schemeClr val="phClr">
                <a:lumMod val="75000"/>
              </a:schemeClr>
            </a:gs>
            <a:gs pos="0">
              <a:schemeClr val="phClr">
                <a:lumMod val="75000"/>
                <a:hueOff val="-1670000"/>
              </a:schemeClr>
            </a:gs>
          </a:gsLst>
          <a:lin ang="4620000" scaled="0"/>
        </a:grad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cap="flat" cmpd="sng" algn="ctr">
        <a:solidFill>
          <a:schemeClr val="dk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a:solidFill>
          <a:schemeClr val="dk1">
            <a:lumMod val="75000"/>
            <a:lumOff val="2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4">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cs:styleClr val="auto"/>
    </cs:fontRef>
    <cs:defRPr sz="1000" b="1" i="0" u="none" strike="noStrike" kern="1200" spc="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16</Pages>
  <Words>4643</Words>
  <Characters>5067</Characters>
  <Lines>592</Lines>
  <Paragraphs>194</Paragraphs>
  <TotalTime>15</TotalTime>
  <ScaleCrop>false</ScaleCrop>
  <LinksUpToDate>false</LinksUpToDate>
  <CharactersWithSpaces>5129</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2023-08-19T15:28:00Z</dcterms:created>
  <dc:creator>pjf</dc:creator>
  <cp:lastModifiedBy>user</cp:lastModifiedBy>
  <cp:lastPrinted>2025-09-25T15:30:00Z</cp:lastPrinted>
  <dcterms:modified xsi:type="dcterms:W3CDTF">2026-05-18T09:38:11Z</dcterms:modified>
  <dc:title>四川省决算编制说明</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C8EF93B24C8C4E7BBCD9A55B761F3797_13</vt:lpwstr>
  </property>
  <property fmtid="{D5CDD505-2E9C-101B-9397-08002B2CF9AE}" pid="4" name="KSOTemplateDocerSaveRecord">
    <vt:lpwstr>eyJoZGlkIjoiYzBjZDIxODBjOTA0MDJiM2NjOTQ3MTRkMjI5MDE5NzAiLCJ1c2VySWQiOiI0MTUyOTE0MjcifQ==</vt:lpwstr>
  </property>
</Properties>
</file>