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洼底镇人民政府</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负责草拟本</w:t>
      </w:r>
      <w:r>
        <w:rPr>
          <w:rFonts w:hint="eastAsia" w:ascii="仿宋_GB2312" w:eastAsia="仿宋_GB2312"/>
          <w:sz w:val="32"/>
          <w:szCs w:val="32"/>
          <w:lang w:eastAsia="zh-CN"/>
        </w:rPr>
        <w:t>镇</w:t>
      </w:r>
      <w:r>
        <w:rPr>
          <w:rFonts w:hint="eastAsia" w:ascii="仿宋_GB2312" w:eastAsia="仿宋_GB2312"/>
          <w:sz w:val="32"/>
          <w:szCs w:val="32"/>
        </w:rPr>
        <w:t>农业产业结构调整规划，并督促落实</w:t>
      </w: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建立健全合作组织的组织制度、民主管理制度、利益分配制度等；3</w:t>
      </w:r>
      <w:r>
        <w:rPr>
          <w:rFonts w:hint="eastAsia" w:ascii="仿宋_GB2312" w:eastAsia="仿宋_GB2312"/>
          <w:sz w:val="32"/>
          <w:szCs w:val="32"/>
          <w:lang w:val="en-US" w:eastAsia="zh-CN"/>
        </w:rPr>
        <w:t>.</w:t>
      </w:r>
      <w:r>
        <w:rPr>
          <w:rFonts w:hint="eastAsia" w:ascii="仿宋_GB2312" w:eastAsia="仿宋_GB2312"/>
          <w:sz w:val="32"/>
          <w:szCs w:val="32"/>
        </w:rPr>
        <w:t>负责调查了解农业产业结构状况及市场走向，及时提供农业结构调整参考信息；4</w:t>
      </w:r>
      <w:r>
        <w:rPr>
          <w:rFonts w:hint="eastAsia" w:ascii="仿宋_GB2312" w:eastAsia="仿宋_GB2312"/>
          <w:sz w:val="32"/>
          <w:szCs w:val="32"/>
          <w:lang w:val="en-US" w:eastAsia="zh-CN"/>
        </w:rPr>
        <w:t>.</w:t>
      </w:r>
      <w:r>
        <w:rPr>
          <w:rFonts w:hint="eastAsia" w:ascii="仿宋_GB2312" w:eastAsia="仿宋_GB2312"/>
          <w:sz w:val="32"/>
          <w:szCs w:val="32"/>
        </w:rPr>
        <w:t>做好计划生育宣传教育工作，落实国家计划生育政策，努力提高人口素质；5</w:t>
      </w:r>
      <w:r>
        <w:rPr>
          <w:rFonts w:hint="eastAsia" w:ascii="仿宋_GB2312" w:eastAsia="仿宋_GB2312"/>
          <w:sz w:val="32"/>
          <w:szCs w:val="32"/>
          <w:lang w:val="en-US" w:eastAsia="zh-CN"/>
        </w:rPr>
        <w:t>.</w:t>
      </w:r>
      <w:r>
        <w:rPr>
          <w:rFonts w:hint="eastAsia" w:ascii="仿宋_GB2312" w:eastAsia="仿宋_GB2312"/>
          <w:sz w:val="32"/>
          <w:szCs w:val="32"/>
        </w:rPr>
        <w:t>宣传贯彻国土管理、城建规划的法律法规，拟定全</w:t>
      </w:r>
      <w:r>
        <w:rPr>
          <w:rFonts w:hint="eastAsia" w:ascii="仿宋_GB2312" w:eastAsia="仿宋_GB2312"/>
          <w:sz w:val="32"/>
          <w:szCs w:val="32"/>
          <w:lang w:eastAsia="zh-CN"/>
        </w:rPr>
        <w:t>镇</w:t>
      </w:r>
      <w:r>
        <w:rPr>
          <w:rFonts w:hint="eastAsia" w:ascii="仿宋_GB2312" w:eastAsia="仿宋_GB2312"/>
          <w:sz w:val="32"/>
          <w:szCs w:val="32"/>
        </w:rPr>
        <w:t>国土、城建管理规划措施；6</w:t>
      </w:r>
      <w:r>
        <w:rPr>
          <w:rFonts w:hint="eastAsia" w:ascii="仿宋_GB2312" w:eastAsia="仿宋_GB2312"/>
          <w:sz w:val="32"/>
          <w:szCs w:val="32"/>
          <w:lang w:val="en-US" w:eastAsia="zh-CN"/>
        </w:rPr>
        <w:t>.</w:t>
      </w:r>
      <w:r>
        <w:rPr>
          <w:rFonts w:hint="eastAsia" w:ascii="仿宋_GB2312" w:eastAsia="仿宋_GB2312"/>
          <w:sz w:val="32"/>
          <w:szCs w:val="32"/>
        </w:rPr>
        <w:t>宣传教育、文化、科技、卫生等方面的政策、知识，严格按规定做好财务管理工作。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pStyle w:val="9"/>
        <w:spacing w:line="576" w:lineRule="exact"/>
        <w:ind w:firstLine="640" w:firstLineChars="200"/>
        <w:rPr>
          <w:rFonts w:hint="eastAsia" w:ascii="仿宋_GB2312" w:hAnsi="黑体" w:eastAsia="仿宋_GB2312" w:cs="宋体"/>
          <w:bCs/>
          <w:color w:val="000000"/>
          <w:kern w:val="0"/>
          <w:sz w:val="32"/>
          <w:szCs w:val="32"/>
        </w:rPr>
      </w:pPr>
      <w:r>
        <w:rPr>
          <w:rFonts w:hint="eastAsia" w:ascii="仿宋_GB2312" w:hAnsi="仿宋_GB2312" w:eastAsia="仿宋_GB2312" w:cs="仿宋_GB2312"/>
          <w:bCs/>
          <w:color w:val="auto"/>
          <w:sz w:val="32"/>
          <w:szCs w:val="32"/>
          <w:lang w:val="en-US" w:eastAsia="zh-CN" w:bidi="en-US"/>
        </w:rPr>
        <w:t>1</w:t>
      </w:r>
      <w:r>
        <w:rPr>
          <w:rFonts w:hint="eastAsia" w:ascii="仿宋_GB2312" w:hAnsi="仿宋_GB2312" w:eastAsia="仿宋_GB2312" w:cs="仿宋_GB2312"/>
          <w:bCs/>
          <w:color w:val="auto"/>
          <w:sz w:val="32"/>
          <w:szCs w:val="32"/>
          <w:lang w:eastAsia="zh-CN" w:bidi="en-US"/>
        </w:rPr>
        <w:t>.稳</w:t>
      </w:r>
      <w:r>
        <w:rPr>
          <w:rFonts w:hint="eastAsia" w:ascii="仿宋_GB2312" w:hAnsi="仿宋_GB2312" w:eastAsia="仿宋_GB2312" w:cs="仿宋_GB2312"/>
          <w:bCs/>
          <w:color w:val="auto"/>
          <w:sz w:val="32"/>
          <w:szCs w:val="32"/>
          <w:lang w:bidi="en-US"/>
        </w:rPr>
        <w:t>抓精准扶贫，</w:t>
      </w:r>
      <w:r>
        <w:rPr>
          <w:rFonts w:hint="eastAsia" w:ascii="仿宋_GB2312" w:hAnsi="仿宋_GB2312" w:eastAsia="仿宋_GB2312" w:cs="仿宋_GB2312"/>
          <w:b w:val="0"/>
          <w:bCs w:val="0"/>
          <w:color w:val="000000"/>
          <w:sz w:val="32"/>
          <w:szCs w:val="32"/>
        </w:rPr>
        <w:t>巩固脱贫攻坚成效。</w:t>
      </w:r>
      <w:r>
        <w:rPr>
          <w:rFonts w:hint="eastAsia" w:ascii="仿宋_GB2312" w:hAnsi="仿宋_GB2312" w:eastAsia="仿宋_GB2312" w:cs="仿宋_GB2312"/>
          <w:color w:val="000000"/>
          <w:kern w:val="0"/>
          <w:sz w:val="32"/>
          <w:szCs w:val="32"/>
          <w:lang w:bidi="ar"/>
        </w:rPr>
        <w:t>及时开展防止返贫动态监测和帮扶工作大排查，及时完成预警监测对象的对标补短和帮扶救助。</w:t>
      </w:r>
    </w:p>
    <w:p>
      <w:pPr>
        <w:pStyle w:val="9"/>
        <w:numPr>
          <w:ilvl w:val="0"/>
          <w:numId w:val="0"/>
        </w:numPr>
        <w:spacing w:line="576" w:lineRule="exact"/>
        <w:ind w:firstLine="640" w:firstLineChars="200"/>
        <w:rPr>
          <w:rFonts w:ascii="仿宋_GB2312" w:hAnsi="仿宋_GB2312" w:eastAsia="仿宋_GB2312" w:cs="仿宋_GB2312"/>
          <w:bCs/>
          <w:color w:val="auto"/>
          <w:sz w:val="32"/>
          <w:szCs w:val="32"/>
          <w:lang w:bidi="en-US"/>
        </w:rPr>
      </w:pPr>
      <w:r>
        <w:rPr>
          <w:rFonts w:hint="eastAsia" w:ascii="仿宋_GB2312" w:hAnsi="仿宋_GB2312" w:eastAsia="仿宋_GB2312" w:cs="仿宋_GB2312"/>
          <w:bCs/>
          <w:color w:val="auto"/>
          <w:sz w:val="32"/>
          <w:szCs w:val="32"/>
          <w:lang w:val="en-US" w:eastAsia="zh-CN" w:bidi="en-US"/>
        </w:rPr>
        <w:t>2.</w:t>
      </w:r>
      <w:r>
        <w:rPr>
          <w:rFonts w:hint="eastAsia" w:ascii="仿宋_GB2312" w:hAnsi="仿宋_GB2312" w:eastAsia="仿宋_GB2312" w:cs="仿宋_GB2312"/>
          <w:bCs/>
          <w:color w:val="auto"/>
          <w:sz w:val="32"/>
          <w:szCs w:val="32"/>
          <w:lang w:bidi="en-US"/>
        </w:rPr>
        <w:t>做好项目储备，提高群众幸福指数</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color w:val="auto"/>
          <w:sz w:val="32"/>
          <w:szCs w:val="32"/>
          <w:lang w:bidi="en-US"/>
        </w:rPr>
        <w:t>做好与县发改局、县扶贫移民局、县民宗局、县农业和畜牧局、县交通局等部门的沟通协调，积极争取项目和资金，扎实做好水、电、路、互联网等基础设施建设。重点做好已在建项目的监管和续建项目的实施。</w:t>
      </w:r>
    </w:p>
    <w:p>
      <w:pPr>
        <w:pStyle w:val="9"/>
        <w:numPr>
          <w:ilvl w:val="0"/>
          <w:numId w:val="0"/>
        </w:numPr>
        <w:spacing w:line="576" w:lineRule="exact"/>
        <w:ind w:firstLine="640" w:firstLineChars="200"/>
        <w:rPr>
          <w:rFonts w:ascii="仿宋_GB2312" w:hAnsi="仿宋_GB2312" w:eastAsia="仿宋_GB2312" w:cs="仿宋_GB2312"/>
          <w:bCs/>
          <w:color w:val="auto"/>
          <w:sz w:val="32"/>
          <w:szCs w:val="32"/>
          <w:lang w:bidi="en-US"/>
        </w:rPr>
      </w:pPr>
      <w:r>
        <w:rPr>
          <w:rFonts w:hint="eastAsia" w:ascii="仿宋_GB2312" w:hAnsi="仿宋_GB2312" w:eastAsia="仿宋_GB2312" w:cs="仿宋_GB2312"/>
          <w:bCs/>
          <w:color w:val="auto"/>
          <w:sz w:val="32"/>
          <w:szCs w:val="32"/>
          <w:lang w:val="en-US" w:eastAsia="zh-CN" w:bidi="en-US"/>
        </w:rPr>
        <w:t>3.</w:t>
      </w:r>
      <w:r>
        <w:rPr>
          <w:rFonts w:hint="eastAsia" w:ascii="仿宋_GB2312" w:hAnsi="仿宋_GB2312" w:eastAsia="仿宋_GB2312" w:cs="仿宋_GB2312"/>
          <w:bCs/>
          <w:color w:val="auto"/>
          <w:sz w:val="32"/>
          <w:szCs w:val="32"/>
          <w:lang w:bidi="en-US"/>
        </w:rPr>
        <w:t>加大结构调整，积极发展农业产业</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color w:val="auto"/>
          <w:sz w:val="32"/>
          <w:szCs w:val="32"/>
          <w:lang w:bidi="en-US"/>
        </w:rPr>
        <w:t>适度规模发展优质蔬菜和特色水果，做好高半山中药材示范种植，大力发展畜牧业，因地制宜进行结构调整，积极探索农民增收致富新路子。积极帮助农户联系蔬菜水果销售渠道，确保农户种植的农作物产销不愁，通过调整产业结构让农民实现增收目的。</w:t>
      </w:r>
      <w:r>
        <w:rPr>
          <w:rFonts w:ascii="仿宋_GB2312" w:hAnsi="仿宋_GB2312" w:eastAsia="仿宋_GB2312" w:cs="仿宋_GB2312"/>
          <w:bCs/>
          <w:color w:val="auto"/>
          <w:sz w:val="32"/>
          <w:szCs w:val="32"/>
          <w:lang w:bidi="en-US"/>
        </w:rPr>
        <w:t xml:space="preserve">    </w:t>
      </w:r>
    </w:p>
    <w:p>
      <w:pPr>
        <w:pStyle w:val="9"/>
        <w:numPr>
          <w:ilvl w:val="0"/>
          <w:numId w:val="0"/>
        </w:numPr>
        <w:spacing w:line="576" w:lineRule="exact"/>
        <w:ind w:firstLine="640" w:firstLineChars="200"/>
        <w:rPr>
          <w:rFonts w:ascii="仿宋_GB2312" w:hAnsi="仿宋_GB2312" w:eastAsia="仿宋_GB2312" w:cs="仿宋_GB2312"/>
          <w:bCs/>
          <w:color w:val="auto"/>
          <w:sz w:val="32"/>
          <w:szCs w:val="32"/>
          <w:lang w:bidi="en-US"/>
        </w:rPr>
      </w:pPr>
      <w:r>
        <w:rPr>
          <w:rFonts w:hint="eastAsia" w:ascii="仿宋_GB2312" w:hAnsi="仿宋_GB2312" w:eastAsia="仿宋_GB2312" w:cs="仿宋_GB2312"/>
          <w:bCs/>
          <w:color w:val="auto"/>
          <w:sz w:val="32"/>
          <w:szCs w:val="32"/>
          <w:lang w:val="en-US" w:eastAsia="zh-CN" w:bidi="en-US"/>
        </w:rPr>
        <w:t>4.</w:t>
      </w:r>
      <w:r>
        <w:rPr>
          <w:rFonts w:hint="eastAsia" w:ascii="仿宋_GB2312" w:hAnsi="仿宋_GB2312" w:eastAsia="仿宋_GB2312" w:cs="仿宋_GB2312"/>
          <w:bCs/>
          <w:color w:val="auto"/>
          <w:sz w:val="32"/>
          <w:szCs w:val="32"/>
          <w:lang w:bidi="en-US"/>
        </w:rPr>
        <w:t>深入抓好综治，确保辖区政治稳定</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color w:val="auto"/>
          <w:sz w:val="32"/>
          <w:szCs w:val="32"/>
          <w:lang w:bidi="en-US"/>
        </w:rPr>
        <w:t>认真落实综治维稳责任制，进一步加强社会管理创新重点工作的推进实施，落实维护稳定工作责任制，完善应急预警机制、矛盾纠纷疏导化解机制和处置工作体系，高度重视信访工作，及时排查各类不稳定因素。</w:t>
      </w:r>
    </w:p>
    <w:p>
      <w:pPr>
        <w:pStyle w:val="9"/>
        <w:numPr>
          <w:ilvl w:val="0"/>
          <w:numId w:val="0"/>
        </w:numPr>
        <w:spacing w:line="576"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Cs/>
          <w:color w:val="auto"/>
          <w:sz w:val="32"/>
          <w:szCs w:val="32"/>
          <w:lang w:val="en-US" w:eastAsia="zh-CN" w:bidi="en-US"/>
        </w:rPr>
        <w:t>5.</w:t>
      </w:r>
      <w:r>
        <w:rPr>
          <w:rFonts w:hint="eastAsia" w:ascii="仿宋_GB2312" w:hAnsi="仿宋_GB2312" w:eastAsia="仿宋_GB2312" w:cs="仿宋_GB2312"/>
          <w:bCs/>
          <w:color w:val="auto"/>
          <w:sz w:val="32"/>
          <w:szCs w:val="32"/>
          <w:lang w:bidi="en-US"/>
        </w:rPr>
        <w:t>发展社会事业，努力做好其他工作</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sz w:val="32"/>
          <w:szCs w:val="32"/>
          <w:lang w:eastAsia="zh-CN"/>
        </w:rPr>
        <w:t>狠抓文化教育卫生事业发展，切实提高计划生育工作水平；扎实做好新型农村合作医疗、城乡居民养老、新型农村社会养老保险、农村低保等社会保障工作。</w:t>
      </w:r>
    </w:p>
    <w:p>
      <w:pPr>
        <w:numPr>
          <w:ilvl w:val="0"/>
          <w:numId w:val="1"/>
        </w:numPr>
        <w:ind w:firstLine="642" w:firstLineChars="200"/>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部门机构设置和人员情况</w:t>
      </w:r>
    </w:p>
    <w:p>
      <w:pPr>
        <w:numPr>
          <w:ilvl w:val="0"/>
          <w:numId w:val="0"/>
        </w:numPr>
        <w:ind w:firstLine="963" w:firstLineChars="300"/>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1.本部门机构</w:t>
      </w:r>
    </w:p>
    <w:p>
      <w:pPr>
        <w:widowControl/>
        <w:spacing w:line="600" w:lineRule="exact"/>
        <w:ind w:firstLine="800" w:firstLineChars="250"/>
        <w:jc w:val="left"/>
        <w:rPr>
          <w:rFonts w:hint="eastAsia" w:ascii="楷体_GB2312" w:hAnsi="楷体" w:eastAsia="楷体_GB2312"/>
          <w:b/>
          <w:sz w:val="32"/>
          <w:szCs w:val="32"/>
          <w:lang w:val="en-US" w:eastAsia="zh-CN"/>
        </w:rPr>
      </w:pPr>
      <w:r>
        <w:rPr>
          <w:rFonts w:hint="eastAsia" w:ascii="仿宋_GB2312" w:hAnsi="仿宋_GB2312" w:eastAsia="仿宋_GB2312" w:cs="仿宋_GB2312"/>
          <w:b w:val="0"/>
          <w:bCs w:val="0"/>
          <w:sz w:val="32"/>
          <w:szCs w:val="32"/>
          <w:lang w:val="en-US" w:eastAsia="zh-CN"/>
        </w:rPr>
        <w:t>茂县洼底镇人民政府属于行政单位，其中内设机构2个（1、党政办公室 2、综合发展办公室）。</w:t>
      </w:r>
    </w:p>
    <w:p>
      <w:pPr>
        <w:widowControl/>
        <w:spacing w:line="600" w:lineRule="exact"/>
        <w:ind w:firstLine="963" w:firstLineChars="300"/>
        <w:jc w:val="left"/>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2.人员情况</w:t>
      </w:r>
    </w:p>
    <w:p>
      <w:pPr>
        <w:widowControl/>
        <w:spacing w:line="600" w:lineRule="exact"/>
        <w:ind w:firstLine="800" w:firstLineChars="25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总编制47名,其中:行政编制25名,参照公务员法管理的事业编制0名，行政工勤编制3名，事业编制19名，事业工勤编制0名。在职人员总数34名，其中：行政人员17名，参照公务员法管理的事业人员0名，行政工勤人员2 名；事业人员14名，事业工勤人员1名。离休人员0人，退休人员4人；编外长期聘用人员0名。</w:t>
      </w:r>
    </w:p>
    <w:p>
      <w:pPr>
        <w:widowControl/>
        <w:spacing w:line="600" w:lineRule="exact"/>
        <w:ind w:firstLine="803" w:firstLineChars="25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洼底镇人民政府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5865504.91</w:t>
      </w:r>
      <w:r>
        <w:rPr>
          <w:rFonts w:ascii="仿宋_GB2312" w:eastAsia="仿宋_GB2312"/>
          <w:sz w:val="32"/>
          <w:szCs w:val="32"/>
        </w:rPr>
        <w:t>元；支出包括：一般公共服务支出</w:t>
      </w:r>
      <w:r>
        <w:rPr>
          <w:rFonts w:hint="eastAsia" w:ascii="仿宋_GB2312" w:eastAsia="仿宋_GB2312"/>
          <w:sz w:val="32"/>
          <w:szCs w:val="32"/>
        </w:rPr>
        <w:t xml:space="preserve"> 2000896.13 </w:t>
      </w:r>
      <w:r>
        <w:rPr>
          <w:rFonts w:ascii="仿宋_GB2312" w:eastAsia="仿宋_GB2312"/>
          <w:sz w:val="32"/>
          <w:szCs w:val="32"/>
        </w:rPr>
        <w:t>元，社会保障和就业支出</w:t>
      </w:r>
      <w:r>
        <w:rPr>
          <w:rFonts w:hint="eastAsia" w:ascii="仿宋_GB2312" w:eastAsia="仿宋_GB2312"/>
          <w:sz w:val="32"/>
          <w:szCs w:val="32"/>
        </w:rPr>
        <w:t>691470.2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290613.43</w:t>
      </w:r>
      <w:r>
        <w:rPr>
          <w:rFonts w:ascii="仿宋_GB2312" w:eastAsia="仿宋_GB2312"/>
          <w:sz w:val="32"/>
          <w:szCs w:val="32"/>
        </w:rPr>
        <w:t>元，</w:t>
      </w:r>
      <w:r>
        <w:rPr>
          <w:rFonts w:hint="eastAsia" w:ascii="仿宋_GB2312" w:eastAsia="仿宋_GB2312"/>
          <w:sz w:val="32"/>
          <w:szCs w:val="32"/>
          <w:lang w:eastAsia="zh-CN"/>
        </w:rPr>
        <w:t>农林水支出2407421.15元，</w:t>
      </w:r>
      <w:r>
        <w:rPr>
          <w:rFonts w:ascii="仿宋_GB2312" w:eastAsia="仿宋_GB2312"/>
          <w:sz w:val="32"/>
          <w:szCs w:val="32"/>
        </w:rPr>
        <w:t>住房保障支出</w:t>
      </w:r>
      <w:r>
        <w:rPr>
          <w:rFonts w:hint="eastAsia" w:ascii="仿宋_GB2312" w:eastAsia="仿宋_GB2312"/>
          <w:sz w:val="32"/>
          <w:szCs w:val="32"/>
        </w:rPr>
        <w:t>475104</w:t>
      </w:r>
      <w:r>
        <w:rPr>
          <w:rFonts w:ascii="仿宋_GB2312" w:eastAsia="仿宋_GB2312"/>
          <w:sz w:val="32"/>
          <w:szCs w:val="32"/>
        </w:rPr>
        <w:t>元。</w:t>
      </w:r>
      <w:r>
        <w:rPr>
          <w:rFonts w:hint="eastAsia" w:ascii="仿宋_GB2312" w:eastAsia="仿宋_GB2312"/>
          <w:sz w:val="32"/>
          <w:szCs w:val="32"/>
          <w:lang w:eastAsia="zh-CN"/>
        </w:rPr>
        <w:t>本单位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w:t>
      </w:r>
      <w:r>
        <w:rPr>
          <w:rFonts w:hint="eastAsia" w:ascii="仿宋_GB2312" w:eastAsia="仿宋_GB2312"/>
          <w:sz w:val="32"/>
          <w:szCs w:val="32"/>
        </w:rPr>
        <w:t>算5865504.91元,比2021年收支预算总数增加</w:t>
      </w:r>
      <w:r>
        <w:rPr>
          <w:rFonts w:hint="eastAsia" w:ascii="仿宋_GB2312" w:eastAsia="仿宋_GB2312"/>
          <w:sz w:val="32"/>
          <w:szCs w:val="32"/>
          <w:lang w:val="en-US" w:eastAsia="zh-CN"/>
        </w:rPr>
        <w:t>1296490.91</w:t>
      </w:r>
      <w:r>
        <w:rPr>
          <w:rFonts w:hint="eastAsia" w:ascii="仿宋_GB2312" w:eastAsia="仿宋_GB2312"/>
          <w:sz w:val="32"/>
          <w:szCs w:val="32"/>
        </w:rPr>
        <w:t>元，主要原因:</w:t>
      </w:r>
      <w:r>
        <w:rPr>
          <w:rFonts w:hint="eastAsia" w:ascii="仿宋_GB2312" w:eastAsia="仿宋_GB2312"/>
          <w:sz w:val="32"/>
          <w:szCs w:val="32"/>
          <w:lang w:val="en-US" w:eastAsia="zh-CN"/>
        </w:rPr>
        <w:t>人员增加。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rPr>
        <w:t>5865504.91</w:t>
      </w:r>
      <w:r>
        <w:rPr>
          <w:rFonts w:ascii="仿宋_GB2312" w:eastAsia="仿宋_GB2312"/>
          <w:sz w:val="32"/>
          <w:szCs w:val="32"/>
        </w:rPr>
        <w:t>元；一般公共预算拨款收入</w:t>
      </w:r>
      <w:r>
        <w:rPr>
          <w:rFonts w:hint="eastAsia" w:ascii="仿宋_GB2312" w:eastAsia="仿宋_GB2312"/>
          <w:sz w:val="32"/>
          <w:szCs w:val="32"/>
        </w:rPr>
        <w:t>5865504.91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rPr>
        <w:t>5865504.91</w:t>
      </w:r>
      <w:r>
        <w:rPr>
          <w:rFonts w:ascii="仿宋_GB2312" w:eastAsia="仿宋_GB2312"/>
          <w:sz w:val="32"/>
          <w:szCs w:val="32"/>
        </w:rPr>
        <w:t>元，其中：基本支出</w:t>
      </w:r>
      <w:r>
        <w:rPr>
          <w:rFonts w:hint="eastAsia" w:ascii="仿宋_GB2312" w:eastAsia="仿宋_GB2312"/>
          <w:sz w:val="32"/>
          <w:szCs w:val="32"/>
        </w:rPr>
        <w:t>4839504.91</w:t>
      </w:r>
      <w:r>
        <w:rPr>
          <w:rFonts w:ascii="仿宋_GB2312" w:eastAsia="仿宋_GB2312"/>
          <w:sz w:val="32"/>
          <w:szCs w:val="32"/>
        </w:rPr>
        <w:t>元，占</w:t>
      </w:r>
      <w:r>
        <w:rPr>
          <w:rFonts w:hint="eastAsia" w:ascii="仿宋_GB2312" w:eastAsia="仿宋_GB2312"/>
          <w:sz w:val="32"/>
          <w:szCs w:val="32"/>
          <w:lang w:val="en-US" w:eastAsia="zh-CN"/>
        </w:rPr>
        <w:t>82</w:t>
      </w:r>
      <w:r>
        <w:rPr>
          <w:rFonts w:ascii="仿宋_GB2312" w:eastAsia="仿宋_GB2312"/>
          <w:sz w:val="32"/>
          <w:szCs w:val="32"/>
        </w:rPr>
        <w:t>%，项目支出</w:t>
      </w:r>
      <w:r>
        <w:rPr>
          <w:rFonts w:hint="eastAsia" w:ascii="仿宋_GB2312" w:eastAsia="仿宋_GB2312"/>
          <w:sz w:val="32"/>
          <w:szCs w:val="32"/>
        </w:rPr>
        <w:t>1026000</w:t>
      </w:r>
      <w:r>
        <w:rPr>
          <w:rFonts w:ascii="仿宋_GB2312" w:eastAsia="仿宋_GB2312"/>
          <w:sz w:val="32"/>
          <w:szCs w:val="32"/>
        </w:rPr>
        <w:t>元，占</w:t>
      </w:r>
      <w:r>
        <w:rPr>
          <w:rFonts w:hint="eastAsia" w:ascii="仿宋_GB2312" w:eastAsia="仿宋_GB2312"/>
          <w:sz w:val="32"/>
          <w:szCs w:val="32"/>
          <w:lang w:val="en-US" w:eastAsia="zh-CN"/>
        </w:rPr>
        <w:t>18</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numPr>
          <w:ilvl w:val="0"/>
          <w:numId w:val="1"/>
        </w:numPr>
        <w:spacing w:line="560" w:lineRule="exact"/>
        <w:ind w:left="0" w:leftChars="0" w:firstLine="640" w:firstLineChars="200"/>
        <w:jc w:val="left"/>
        <w:rPr>
          <w:rFonts w:hint="eastAsia" w:ascii="黑体" w:hAnsi="黑体" w:eastAsia="黑体"/>
          <w:sz w:val="32"/>
          <w:szCs w:val="32"/>
        </w:rPr>
      </w:pPr>
      <w:r>
        <w:rPr>
          <w:rFonts w:hint="eastAsia" w:ascii="黑体" w:hAnsi="黑体" w:eastAsia="黑体"/>
          <w:sz w:val="32"/>
          <w:szCs w:val="32"/>
        </w:rPr>
        <w:t>财政拨款收支预算情况说明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rPr>
        <w:t>5865504.91</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1296490.91</w:t>
      </w:r>
      <w:r>
        <w:rPr>
          <w:rFonts w:ascii="仿宋_GB2312" w:eastAsia="仿宋_GB2312"/>
          <w:sz w:val="32"/>
          <w:szCs w:val="32"/>
        </w:rPr>
        <w:t>元，主要原因:</w:t>
      </w:r>
      <w:r>
        <w:rPr>
          <w:rFonts w:hint="eastAsia" w:ascii="仿宋_GB2312" w:eastAsia="仿宋_GB2312"/>
          <w:sz w:val="32"/>
          <w:szCs w:val="32"/>
          <w:lang w:val="en-US" w:eastAsia="zh-CN"/>
        </w:rPr>
        <w:t>人员增加。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5865504.91</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2000896.13</w:t>
      </w:r>
      <w:r>
        <w:rPr>
          <w:rFonts w:ascii="仿宋_GB2312" w:eastAsia="仿宋_GB2312"/>
          <w:sz w:val="32"/>
          <w:szCs w:val="32"/>
        </w:rPr>
        <w:t>元，社会保障和就业支出</w:t>
      </w:r>
      <w:r>
        <w:rPr>
          <w:rFonts w:hint="eastAsia" w:ascii="仿宋_GB2312" w:eastAsia="仿宋_GB2312"/>
          <w:sz w:val="32"/>
          <w:szCs w:val="32"/>
        </w:rPr>
        <w:t>691470.2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290613.43</w:t>
      </w:r>
      <w:r>
        <w:rPr>
          <w:rFonts w:ascii="仿宋_GB2312" w:eastAsia="仿宋_GB2312"/>
          <w:sz w:val="32"/>
          <w:szCs w:val="32"/>
        </w:rPr>
        <w:t>元，住房保障支出</w:t>
      </w:r>
      <w:r>
        <w:rPr>
          <w:rFonts w:hint="eastAsia" w:ascii="仿宋_GB2312" w:eastAsia="仿宋_GB2312"/>
          <w:sz w:val="32"/>
          <w:szCs w:val="32"/>
        </w:rPr>
        <w:t>475104</w:t>
      </w:r>
      <w:r>
        <w:rPr>
          <w:rFonts w:ascii="仿宋_GB2312" w:eastAsia="仿宋_GB2312"/>
          <w:sz w:val="32"/>
          <w:szCs w:val="32"/>
        </w:rPr>
        <w:t>元</w:t>
      </w:r>
      <w:r>
        <w:rPr>
          <w:rFonts w:hint="eastAsia" w:ascii="仿宋_GB2312" w:eastAsia="仿宋_GB2312"/>
          <w:sz w:val="32"/>
          <w:szCs w:val="32"/>
          <w:lang w:eastAsia="zh-CN"/>
        </w:rPr>
        <w:t>，农林水支出2407421.15元</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rPr>
        <w:t>5865504.91</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lang w:val="en-US" w:eastAsia="zh-CN"/>
        </w:rPr>
        <w:t>1296490.91</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val="en-US" w:eastAsia="zh-CN"/>
        </w:rPr>
        <w:t>人员增加。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both"/>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2000896.13</w:t>
      </w:r>
      <w:r>
        <w:rPr>
          <w:rFonts w:ascii="仿宋_GB2312" w:eastAsia="仿宋_GB2312"/>
          <w:sz w:val="32"/>
          <w:szCs w:val="32"/>
        </w:rPr>
        <w:t>元，占</w:t>
      </w:r>
      <w:r>
        <w:rPr>
          <w:rFonts w:hint="eastAsia" w:ascii="仿宋_GB2312" w:eastAsia="仿宋_GB2312"/>
          <w:sz w:val="32"/>
          <w:szCs w:val="32"/>
          <w:lang w:val="en-US" w:eastAsia="zh-CN"/>
        </w:rPr>
        <w:t>34</w:t>
      </w:r>
      <w:r>
        <w:rPr>
          <w:rFonts w:ascii="仿宋_GB2312" w:eastAsia="仿宋_GB2312"/>
          <w:sz w:val="32"/>
          <w:szCs w:val="32"/>
        </w:rPr>
        <w:t>%；社会保障和就业支出</w:t>
      </w:r>
      <w:r>
        <w:rPr>
          <w:rFonts w:hint="eastAsia" w:ascii="仿宋_GB2312" w:eastAsia="仿宋_GB2312"/>
          <w:sz w:val="32"/>
          <w:szCs w:val="32"/>
        </w:rPr>
        <w:t>691470.2</w:t>
      </w:r>
      <w:r>
        <w:rPr>
          <w:rFonts w:ascii="仿宋_GB2312" w:eastAsia="仿宋_GB2312"/>
          <w:sz w:val="32"/>
          <w:szCs w:val="32"/>
        </w:rPr>
        <w:t>元，占</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290613.43</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rPr>
        <w:t>475104</w:t>
      </w:r>
      <w:r>
        <w:rPr>
          <w:rFonts w:ascii="仿宋_GB2312" w:eastAsia="仿宋_GB2312"/>
          <w:sz w:val="32"/>
          <w:szCs w:val="32"/>
        </w:rPr>
        <w:t>元，占</w:t>
      </w: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eastAsia="仿宋_GB2312"/>
          <w:sz w:val="32"/>
          <w:szCs w:val="32"/>
          <w:lang w:eastAsia="zh-CN"/>
        </w:rPr>
        <w:t>农林水支出2407421.15元，</w:t>
      </w:r>
      <w:r>
        <w:rPr>
          <w:rFonts w:ascii="仿宋_GB2312" w:eastAsia="仿宋_GB2312"/>
          <w:sz w:val="32"/>
          <w:szCs w:val="32"/>
        </w:rPr>
        <w:t>占</w:t>
      </w:r>
      <w:r>
        <w:rPr>
          <w:rFonts w:hint="eastAsia" w:ascii="仿宋_GB2312" w:eastAsia="仿宋_GB2312"/>
          <w:sz w:val="32"/>
          <w:szCs w:val="32"/>
          <w:lang w:val="en-US" w:eastAsia="zh-CN"/>
        </w:rPr>
        <w:t>41</w:t>
      </w:r>
      <w:r>
        <w:rPr>
          <w:rFonts w:ascii="仿宋_GB2312" w:eastAsia="仿宋_GB2312"/>
          <w:sz w:val="32"/>
          <w:szCs w:val="32"/>
        </w:rPr>
        <w:t>%。</w:t>
      </w:r>
    </w:p>
    <w:p>
      <w:pPr>
        <w:pStyle w:val="8"/>
        <w:spacing w:before="0" w:line="360" w:lineRule="auto"/>
        <w:ind w:firstLine="642" w:firstLineChars="200"/>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（类）财政事务（款）行政运行（项）20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2,856,695.49</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w:t>
      </w:r>
      <w:r>
        <w:rPr>
          <w:rFonts w:hint="eastAsia" w:ascii="仿宋_GB2312" w:eastAsia="仿宋_GB2312"/>
          <w:sz w:val="32"/>
          <w:szCs w:val="32"/>
          <w:lang w:eastAsia="zh-CN"/>
        </w:rPr>
        <w:t>事业</w:t>
      </w:r>
      <w:r>
        <w:rPr>
          <w:rFonts w:ascii="仿宋_GB2312" w:eastAsia="仿宋_GB2312"/>
          <w:sz w:val="32"/>
          <w:szCs w:val="32"/>
        </w:rPr>
        <w:t>运行（项）20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1,982,809.42</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271659.84</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135829.92</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022</w:t>
      </w:r>
      <w:r>
        <w:rPr>
          <w:rFonts w:ascii="仿宋_GB2312" w:eastAsia="仿宋_GB2312"/>
          <w:sz w:val="32"/>
          <w:szCs w:val="32"/>
        </w:rPr>
        <w:t>年预算数为</w:t>
      </w:r>
      <w:r>
        <w:rPr>
          <w:rFonts w:hint="eastAsia" w:ascii="仿宋_GB2312" w:eastAsia="仿宋_GB2312"/>
          <w:sz w:val="32"/>
          <w:szCs w:val="32"/>
        </w:rPr>
        <w:t>123667.6</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88359.03</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475104</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4839504.91元，其中：人员经费4511504.91元，主要包括：基本工资、津贴补贴、奖金、其他社会保障缴费、绩效工资、机关事业单位基本养老保险缴费、职业年金缴费、其他工资福利支出、离休费、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公用经费328000元，主要包括：办公费、印刷费、手续费、水费、电费、邮电费、差旅费、维修（护）费、租赁费、会议费、培训费、劳务费、工会经费、福利费、其他交通工具运行维护费、其他商品和服务支出。</w:t>
      </w:r>
    </w:p>
    <w:p>
      <w:pPr>
        <w:spacing w:line="560" w:lineRule="exact"/>
        <w:ind w:firstLine="320" w:firstLineChars="100"/>
        <w:rPr>
          <w:rFonts w:ascii="黑体" w:eastAsia="黑体"/>
          <w:sz w:val="32"/>
          <w:szCs w:val="32"/>
        </w:rPr>
      </w:pPr>
      <w:r>
        <w:rPr>
          <w:rFonts w:hint="eastAsia" w:ascii="黑体" w:hAnsi="黑体" w:eastAsia="黑体"/>
          <w:sz w:val="32"/>
          <w:szCs w:val="32"/>
        </w:rPr>
        <w:t xml:space="preserve"> 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2022年“三公”经费财政拨款预算数56960元，其中：因</w:t>
      </w:r>
      <w:r>
        <w:rPr>
          <w:sz w:val="32"/>
          <w:szCs w:val="32"/>
        </w:rPr>
        <w:t>无因公出国（境）经费，</w:t>
      </w:r>
      <w:r>
        <w:rPr>
          <w:rFonts w:hint="eastAsia" w:cs="仿宋_GB2312"/>
          <w:kern w:val="2"/>
          <w:sz w:val="32"/>
          <w:szCs w:val="32"/>
        </w:rPr>
        <w:t>公务接待费5760元，公务用车购置及运行维护费51200元。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kern w:val="2"/>
          <w:sz w:val="32"/>
          <w:szCs w:val="32"/>
        </w:rPr>
        <w:t>5760</w:t>
      </w:r>
      <w:r>
        <w:rPr>
          <w:rFonts w:hint="eastAsia" w:cs="仿宋_GB2312"/>
          <w:color w:val="000000"/>
          <w:kern w:val="2"/>
          <w:sz w:val="32"/>
          <w:szCs w:val="32"/>
        </w:rPr>
        <w:t>元。较2021年预算经费</w:t>
      </w:r>
      <w:r>
        <w:rPr>
          <w:rFonts w:hint="eastAsia" w:hAnsi="ˎ̥" w:cs="宋体"/>
          <w:sz w:val="32"/>
          <w:szCs w:val="32"/>
        </w:rPr>
        <w:t>增加</w:t>
      </w:r>
      <w:r>
        <w:rPr>
          <w:rFonts w:hint="eastAsia" w:hAnsi="ˎ̥" w:cs="宋体"/>
          <w:sz w:val="32"/>
          <w:szCs w:val="32"/>
          <w:lang w:val="en-US" w:eastAsia="zh-CN"/>
        </w:rPr>
        <w:t>360</w:t>
      </w:r>
      <w:r>
        <w:rPr>
          <w:rFonts w:hint="eastAsia" w:cs="仿宋_GB2312"/>
          <w:color w:val="000000"/>
          <w:kern w:val="2"/>
          <w:sz w:val="32"/>
          <w:szCs w:val="32"/>
        </w:rPr>
        <w:t>元，</w:t>
      </w:r>
      <w:r>
        <w:rPr>
          <w:rFonts w:hint="eastAsia" w:hAnsi="ˎ̥" w:cs="宋体"/>
          <w:sz w:val="32"/>
          <w:szCs w:val="32"/>
        </w:rPr>
        <w:t>增长</w:t>
      </w:r>
      <w:r>
        <w:rPr>
          <w:rFonts w:hint="eastAsia" w:hAnsi="ˎ̥" w:cs="宋体"/>
          <w:sz w:val="32"/>
          <w:szCs w:val="32"/>
          <w:lang w:val="en-US" w:eastAsia="zh-CN"/>
        </w:rPr>
        <w:t>6</w:t>
      </w:r>
      <w:r>
        <w:rPr>
          <w:rFonts w:hint="eastAsia" w:cs="仿宋_GB2312"/>
          <w:color w:val="000000"/>
          <w:kern w:val="2"/>
          <w:sz w:val="32"/>
          <w:szCs w:val="32"/>
        </w:rPr>
        <w:t>%</w:t>
      </w:r>
      <w:r>
        <w:rPr>
          <w:rFonts w:hint="eastAsia" w:cs="仿宋_GB2312"/>
          <w:color w:val="000000"/>
          <w:kern w:val="2"/>
          <w:sz w:val="32"/>
          <w:szCs w:val="32"/>
          <w:lang w:eastAsia="zh-CN"/>
        </w:rPr>
        <w:t>。</w:t>
      </w:r>
    </w:p>
    <w:p>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（三）2022年公务用车购置及运行维护费</w:t>
      </w:r>
      <w:r>
        <w:rPr>
          <w:rFonts w:hint="eastAsia" w:cs="仿宋_GB2312"/>
          <w:kern w:val="2"/>
          <w:sz w:val="32"/>
          <w:szCs w:val="32"/>
        </w:rPr>
        <w:t>51200</w:t>
      </w:r>
      <w:r>
        <w:rPr>
          <w:rFonts w:hint="eastAsia" w:cs="仿宋_GB2312"/>
          <w:color w:val="000000"/>
          <w:kern w:val="2"/>
          <w:sz w:val="32"/>
          <w:szCs w:val="32"/>
        </w:rPr>
        <w:t>元。较2021年预算经费</w:t>
      </w:r>
      <w:r>
        <w:rPr>
          <w:rFonts w:hint="eastAsia" w:hAnsi="ˎ̥" w:cs="宋体"/>
          <w:sz w:val="32"/>
          <w:szCs w:val="32"/>
        </w:rPr>
        <w:t>增加</w:t>
      </w:r>
      <w:r>
        <w:rPr>
          <w:rFonts w:hint="eastAsia" w:hAnsi="ˎ̥" w:cs="宋体"/>
          <w:sz w:val="32"/>
          <w:szCs w:val="32"/>
          <w:lang w:val="en-US" w:eastAsia="zh-CN"/>
        </w:rPr>
        <w:t>11200</w:t>
      </w:r>
      <w:r>
        <w:rPr>
          <w:rFonts w:hint="eastAsia" w:cs="仿宋_GB2312"/>
          <w:color w:val="000000"/>
          <w:kern w:val="2"/>
          <w:sz w:val="32"/>
          <w:szCs w:val="32"/>
        </w:rPr>
        <w:t>元，增长</w:t>
      </w:r>
      <w:r>
        <w:rPr>
          <w:rFonts w:hint="eastAsia" w:cs="仿宋_GB2312"/>
          <w:color w:val="000000"/>
          <w:kern w:val="2"/>
          <w:sz w:val="32"/>
          <w:szCs w:val="32"/>
          <w:lang w:val="en-US" w:eastAsia="zh-CN"/>
        </w:rPr>
        <w:t>28</w:t>
      </w:r>
      <w:r>
        <w:rPr>
          <w:rFonts w:hint="eastAsia" w:cs="仿宋_GB2312"/>
          <w:color w:val="000000"/>
          <w:kern w:val="2"/>
          <w:sz w:val="32"/>
          <w:szCs w:val="32"/>
        </w:rPr>
        <w:t>%</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年预算增加</w:t>
      </w:r>
      <w:r>
        <w:rPr>
          <w:rFonts w:hint="eastAsia" w:ascii="仿宋_GB2312" w:eastAsia="仿宋_GB2312"/>
          <w:sz w:val="32"/>
          <w:szCs w:val="32"/>
          <w:lang w:val="en-US" w:eastAsia="zh-CN"/>
        </w:rPr>
        <w:t>0</w:t>
      </w:r>
      <w:r>
        <w:rPr>
          <w:rFonts w:ascii="仿宋_GB2312" w:eastAsia="仿宋_GB2312"/>
          <w:sz w:val="32"/>
          <w:szCs w:val="32"/>
        </w:rPr>
        <w:t>元</w:t>
      </w:r>
      <w:bookmarkStart w:id="0" w:name="_GoBack"/>
      <w:bookmarkEnd w:id="0"/>
      <w:r>
        <w:rPr>
          <w:rFonts w:ascii="仿宋_GB2312" w:eastAsia="仿宋_GB2312"/>
          <w:sz w:val="32"/>
          <w:szCs w:val="32"/>
        </w:rPr>
        <w:t>。</w:t>
      </w:r>
    </w:p>
    <w:p>
      <w:pPr>
        <w:pStyle w:val="8"/>
        <w:numPr>
          <w:ilvl w:val="0"/>
          <w:numId w:val="2"/>
        </w:numPr>
        <w:spacing w:before="0" w:line="360" w:lineRule="auto"/>
        <w:ind w:firstLine="642" w:firstLineChars="200"/>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政府采购情况</w:t>
      </w:r>
    </w:p>
    <w:p>
      <w:pPr>
        <w:pStyle w:val="8"/>
        <w:numPr>
          <w:ilvl w:val="0"/>
          <w:numId w:val="0"/>
        </w:numPr>
        <w:spacing w:before="0" w:line="360" w:lineRule="auto"/>
        <w:ind w:firstLine="320" w:firstLineChars="100"/>
        <w:rPr>
          <w:rFonts w:hint="eastAsia" w:eastAsia="仿宋_GB2312" w:cs="仿宋_GB2312"/>
          <w:color w:val="000000"/>
          <w:kern w:val="2"/>
          <w:sz w:val="32"/>
          <w:szCs w:val="32"/>
          <w:lang w:val="en-US" w:eastAsia="zh-CN"/>
        </w:rPr>
      </w:pPr>
      <w:r>
        <w:rPr>
          <w:rFonts w:hint="eastAsia" w:cs="仿宋_GB2312"/>
          <w:color w:val="000000"/>
          <w:kern w:val="2"/>
          <w:sz w:val="32"/>
          <w:szCs w:val="32"/>
        </w:rPr>
        <w:t xml:space="preserve">　2022年安排政府采购预算 </w:t>
      </w:r>
      <w:r>
        <w:rPr>
          <w:rFonts w:hint="eastAsia" w:cs="仿宋_GB2312"/>
          <w:color w:val="000000"/>
          <w:kern w:val="2"/>
          <w:sz w:val="32"/>
          <w:szCs w:val="32"/>
          <w:lang w:val="en-US" w:eastAsia="zh-CN"/>
        </w:rPr>
        <w:t>0</w:t>
      </w:r>
      <w:r>
        <w:rPr>
          <w:rFonts w:hint="eastAsia" w:cs="仿宋_GB2312"/>
          <w:color w:val="000000"/>
          <w:kern w:val="2"/>
          <w:sz w:val="32"/>
          <w:szCs w:val="32"/>
        </w:rPr>
        <w:t xml:space="preserve"> 元</w:t>
      </w:r>
      <w:r>
        <w:rPr>
          <w:rFonts w:hint="eastAsia" w:cs="仿宋_GB2312"/>
          <w:color w:val="000000"/>
          <w:kern w:val="2"/>
          <w:sz w:val="32"/>
          <w:szCs w:val="32"/>
          <w:lang w:eastAsia="zh-CN"/>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2688905.4</w:t>
      </w:r>
      <w:r>
        <w:rPr>
          <w:rFonts w:ascii="仿宋_GB2312" w:eastAsia="仿宋_GB2312"/>
          <w:sz w:val="32"/>
          <w:szCs w:val="32"/>
        </w:rPr>
        <w:t>元，其中：房屋</w:t>
      </w:r>
      <w:r>
        <w:rPr>
          <w:rFonts w:hint="eastAsia" w:ascii="仿宋_GB2312" w:eastAsia="仿宋_GB2312"/>
          <w:sz w:val="32"/>
          <w:szCs w:val="32"/>
          <w:lang w:val="en-US" w:eastAsia="zh-CN"/>
        </w:rPr>
        <w:t>1127.83</w:t>
      </w:r>
      <w:r>
        <w:rPr>
          <w:rFonts w:ascii="仿宋_GB2312" w:eastAsia="仿宋_GB2312"/>
          <w:sz w:val="32"/>
          <w:szCs w:val="32"/>
        </w:rPr>
        <w:t>平方米，价值</w:t>
      </w:r>
      <w:r>
        <w:rPr>
          <w:rFonts w:hint="eastAsia" w:ascii="仿宋_GB2312" w:eastAsia="仿宋_GB2312"/>
          <w:sz w:val="32"/>
          <w:szCs w:val="32"/>
          <w:lang w:val="en-US" w:eastAsia="zh-CN"/>
        </w:rPr>
        <w:t>1490432.44</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489628</w:t>
      </w:r>
      <w:r>
        <w:rPr>
          <w:rFonts w:ascii="仿宋_GB2312" w:eastAsia="仿宋_GB2312"/>
          <w:sz w:val="32"/>
          <w:szCs w:val="32"/>
        </w:rPr>
        <w:t>元；其他固定资产</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2"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rPr>
        <w:t xml:space="preserve">2022年项目支出均按要求实行绩效目标管理，涉及项目   </w:t>
      </w:r>
      <w:r>
        <w:rPr>
          <w:rFonts w:hint="eastAsia" w:ascii="仿宋_GB2312" w:eastAsia="仿宋_GB2312"/>
          <w:sz w:val="32"/>
          <w:szCs w:val="32"/>
          <w:lang w:val="en-US" w:eastAsia="zh-CN"/>
        </w:rPr>
        <w:t>4</w:t>
      </w:r>
      <w:r>
        <w:rPr>
          <w:rFonts w:hint="eastAsia" w:ascii="仿宋_GB2312" w:eastAsia="仿宋_GB2312"/>
          <w:sz w:val="32"/>
          <w:szCs w:val="32"/>
        </w:rPr>
        <w:t>个，一般公共预算当年拨款1026000元。</w:t>
      </w:r>
    </w:p>
    <w:p>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321" w:firstLineChars="100"/>
        <w:rPr>
          <w:rFonts w:hint="eastAsia" w:eastAsia="仿宋_GB2312" w:cs="仿宋_GB2312"/>
          <w:kern w:val="2"/>
          <w:sz w:val="32"/>
          <w:szCs w:val="32"/>
          <w:lang w:eastAsia="zh-CN"/>
        </w:rPr>
      </w:pP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320" w:firstLineChars="100"/>
        <w:rPr>
          <w:rFonts w:hint="eastAsia" w:eastAsia="仿宋_GB2312" w:cs="仿宋_GB2312"/>
          <w:kern w:val="2"/>
          <w:sz w:val="32"/>
          <w:szCs w:val="32"/>
          <w:lang w:eastAsia="zh-CN"/>
        </w:rPr>
      </w:pP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2" w:firstLineChars="200"/>
        <w:rPr>
          <w:rFonts w:hint="eastAsia"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pStyle w:val="8"/>
        <w:spacing w:before="0" w:line="360" w:lineRule="auto"/>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hint="eastAsia" w:ascii="仿宋_GB2312" w:hAnsi="仿宋_GB2312" w:eastAsia="仿宋_GB2312" w:cs="仿宋_GB2312"/>
          <w:sz w:val="32"/>
          <w:szCs w:val="32"/>
          <w:lang w:eastAsia="zh-CN"/>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r>
        <w:rPr>
          <w:rFonts w:hint="eastAsia" w:ascii="仿宋_GB2312" w:eastAsia="仿宋_GB2312"/>
          <w:sz w:val="32"/>
          <w:szCs w:val="32"/>
          <w:lang w:eastAsia="zh-CN"/>
        </w:rPr>
        <w:t>。</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EF184B"/>
    <w:multiLevelType w:val="singleLevel"/>
    <w:tmpl w:val="19EF184B"/>
    <w:lvl w:ilvl="0" w:tentative="0">
      <w:start w:val="2"/>
      <w:numFmt w:val="chineseCounting"/>
      <w:suff w:val="nothing"/>
      <w:lvlText w:val="（%1）"/>
      <w:lvlJc w:val="left"/>
      <w:rPr>
        <w:rFonts w:hint="eastAsia"/>
      </w:rPr>
    </w:lvl>
  </w:abstractNum>
  <w:abstractNum w:abstractNumId="1">
    <w:nsid w:val="44F195BD"/>
    <w:multiLevelType w:val="singleLevel"/>
    <w:tmpl w:val="44F195BD"/>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144392D"/>
    <w:rsid w:val="07674A16"/>
    <w:rsid w:val="13197D31"/>
    <w:rsid w:val="164003A4"/>
    <w:rsid w:val="16C5583A"/>
    <w:rsid w:val="177904B8"/>
    <w:rsid w:val="1B0406D7"/>
    <w:rsid w:val="1E0C0053"/>
    <w:rsid w:val="20361CB8"/>
    <w:rsid w:val="29566940"/>
    <w:rsid w:val="32BF7DF5"/>
    <w:rsid w:val="44103BA9"/>
    <w:rsid w:val="48EB0A3F"/>
    <w:rsid w:val="61693C9D"/>
    <w:rsid w:val="64CC0F4B"/>
    <w:rsid w:val="77A34A71"/>
    <w:rsid w:val="7AE4629A"/>
    <w:rsid w:val="7E354F7D"/>
    <w:rsid w:val="7EE32C29"/>
    <w:rsid w:val="DFF9F738"/>
    <w:rsid w:val="EEA736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 w:type="paragraph" w:customStyle="1" w:styleId="9">
    <w:name w:val="p0"/>
    <w:basedOn w:val="1"/>
    <w:qFormat/>
    <w:uiPriority w:val="99"/>
    <w:pPr>
      <w:spacing w:line="544" w:lineRule="auto"/>
      <w:ind w:left="1" w:firstLine="0"/>
      <w:jc w:val="both"/>
    </w:pPr>
    <w:rPr>
      <w:rFonts w:ascii="Times New Roman" w:hAnsi="Times New Roman" w:cs="Times New Roman"/>
      <w:color w:val="000000"/>
      <w:sz w:val="21"/>
      <w:szCs w:val="21"/>
      <w:lang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3412</Words>
  <Characters>3931</Characters>
  <Lines>23</Lines>
  <Paragraphs>6</Paragraphs>
  <TotalTime>2</TotalTime>
  <ScaleCrop>false</ScaleCrop>
  <LinksUpToDate>false</LinksUpToDate>
  <CharactersWithSpaces>3975</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2022-03-24T03:11:00Z</cp:lastPrinted>
  <dcterms:modified xsi:type="dcterms:W3CDTF">2022-03-23T17:49:03Z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75CB1898D8D54DFFBE07AF9F92A451F7</vt:lpwstr>
  </property>
</Properties>
</file>