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highlight w:val="auto"/>
        </w:rPr>
      </w:pPr>
      <w:bookmarkStart w:id="0" w:name="_Toc15396475"/>
      <w:bookmarkStart w:id="1" w:name="_Toc15396597"/>
      <w:bookmarkStart w:id="2" w:name="_Toc15378441"/>
      <w:bookmarkStart w:id="3" w:name="_Toc15377193"/>
      <w:bookmarkStart w:id="4" w:name="_Toc15306267"/>
      <w:bookmarkStart w:id="5" w:name="_Toc15377425"/>
      <w:bookmarkStart w:id="6" w:name="_GoBack"/>
      <w:bookmarkEnd w:id="6"/>
    </w:p>
    <w:p>
      <w:pPr>
        <w:pStyle w:val="16"/>
        <w:ind w:firstLine="0"/>
        <w:rPr>
          <w:highlight w:val="auto"/>
        </w:rPr>
      </w:pPr>
    </w:p>
    <w:p>
      <w:pPr>
        <w:pStyle w:val="18"/>
        <w:jc w:val="center"/>
        <w:rPr>
          <w:rFonts w:ascii="方正小标宋简体" w:eastAsia="方正小标宋简体" w:cs="Times New Roman" w:hint="eastAsia"/>
          <w:color w:val="auto"/>
          <w:kern w:val="2"/>
          <w:sz w:val="44"/>
          <w:szCs w:val="44"/>
          <w:lang w:val="en-US" w:eastAsia="zh-CN" w:bidi="ar-SA"/>
          <w:highlight w:val="auto"/>
        </w:rPr>
      </w:pPr>
      <w:bookmarkEnd w:id="0"/>
      <w:bookmarkEnd w:id="1"/>
      <w:bookmarkEnd w:id="2"/>
      <w:bookmarkEnd w:id="3"/>
      <w:bookmarkEnd w:id="4"/>
      <w:bookmarkEnd w:id="5"/>
      <w:r>
        <w:rPr>
          <w:rFonts w:ascii="方正小标宋简体" w:eastAsia="方正小标宋简体" w:cs="Times New Roman" w:hint="eastAsia"/>
          <w:color w:val="auto"/>
          <w:kern w:val="2"/>
          <w:sz w:val="44"/>
          <w:szCs w:val="44"/>
          <w:lang w:val="en-US" w:eastAsia="zh-CN" w:bidi="ar-SA"/>
          <w:highlight w:val="auto"/>
        </w:rPr>
        <w:t>2024年度四川省阿坝州茂县洼底镇（行政）单位决算</w:t>
      </w:r>
    </w:p>
    <w:p>
      <w:pPr>
        <w:pStyle w:val="16"/>
        <w:rPr>
          <w:highlight w:val="auto"/>
        </w:rPr>
      </w:pPr>
    </w:p>
    <w:p>
      <w:pPr>
        <w:pStyle w:val="16"/>
        <w:rPr>
          <w:highlight w:val="auto"/>
        </w:rPr>
      </w:pPr>
    </w:p>
    <w:p>
      <w:pPr>
        <w:pStyle w:val="16"/>
        <w:rPr>
          <w:highlight w:val="auto"/>
        </w:rPr>
      </w:pPr>
    </w:p>
    <w:p>
      <w:pPr>
        <w:pStyle w:val="16"/>
        <w:rPr>
          <w:highlight w:val="auto"/>
        </w:rPr>
      </w:pPr>
    </w:p>
    <w:p>
      <w:pPr>
        <w:pStyle w:val="16"/>
        <w:rPr>
          <w:highlight w:val="auto"/>
        </w:rPr>
      </w:pPr>
    </w:p>
    <w:p>
      <w:pPr>
        <w:pStyle w:val="16"/>
        <w:rPr>
          <w:highlight w:val="auto"/>
        </w:rPr>
      </w:pPr>
    </w:p>
    <w:p>
      <w:pPr>
        <w:pStyle w:val="16"/>
        <w:rPr>
          <w:highlight w:val="auto"/>
        </w:rPr>
      </w:pPr>
    </w:p>
    <w:p>
      <w:pPr>
        <w:pStyle w:val="16"/>
        <w:rPr>
          <w:highlight w:val="auto"/>
        </w:rPr>
      </w:pPr>
    </w:p>
    <w:p>
      <w:pPr>
        <w:pStyle w:val="16"/>
        <w:tabs>
          <w:tab w:val="left" w:pos="3600"/>
        </w:tabs>
        <w:rPr>
          <w:rFonts w:eastAsia="宋体"/>
          <w:lang w:val="en-US" w:eastAsia="zh-CN"/>
          <w:highlight w:val="auto"/>
        </w:rPr>
      </w:pPr>
      <w:r>
        <w:rPr>
          <w:highlight w:val="auto"/>
        </w:rPr>
        <w:tab/>
      </w:r>
    </w:p>
    <w:p>
      <w:pPr>
        <w:pStyle w:val="16"/>
        <w:rPr>
          <w:highlight w:val="auto"/>
        </w:rPr>
      </w:pPr>
    </w:p>
    <w:p>
      <w:pPr>
        <w:pStyle w:val="16"/>
        <w:rPr>
          <w:highlight w:val="auto"/>
        </w:rPr>
      </w:pPr>
    </w:p>
    <w:p>
      <w:pPr>
        <w:pStyle w:val="16"/>
        <w:rPr>
          <w:highlight w:val="auto"/>
        </w:rPr>
      </w:pPr>
    </w:p>
    <w:p>
      <w:pPr>
        <w:pStyle w:val="16"/>
        <w:rPr>
          <w:highlight w:val="auto"/>
        </w:rPr>
      </w:pPr>
    </w:p>
    <w:p>
      <w:pPr>
        <w:pStyle w:val="16"/>
        <w:jc w:val="center"/>
        <w:rPr>
          <w:highlight w:val="auto"/>
        </w:rPr>
      </w:pPr>
    </w:p>
    <w:p>
      <w:pPr>
        <w:pStyle w:val="16"/>
        <w:rPr>
          <w:highlight w:val="auto"/>
        </w:rPr>
      </w:pPr>
    </w:p>
    <w:p>
      <w:pPr>
        <w:pStyle w:val="16"/>
        <w:rPr>
          <w:highlight w:val="auto"/>
        </w:rPr>
      </w:pPr>
    </w:p>
    <w:p>
      <w:pPr>
        <w:pStyle w:val="16"/>
        <w:rPr>
          <w:highlight w:val="auto"/>
        </w:rPr>
      </w:pPr>
    </w:p>
    <w:p>
      <w:pPr>
        <w:pStyle w:val="16"/>
        <w:rPr>
          <w:highlight w:val="auto"/>
        </w:rPr>
      </w:pPr>
    </w:p>
    <w:p>
      <w:pPr>
        <w:autoSpaceDE w:val="0"/>
        <w:autoSpaceDN w:val="0"/>
        <w:adjustRightInd w:val="0"/>
        <w:ind w:leftChars="200" w:left="420"/>
        <w:jc w:val="left"/>
        <w:rPr>
          <w:rFonts w:ascii="宋体"/>
          <w:sz w:val="32"/>
          <w:szCs w:val="32"/>
          <w:highlight w:val="auto"/>
        </w:rPr>
      </w:pPr>
    </w:p>
    <w:p>
      <w:pPr>
        <w:widowControl/>
        <w:jc w:val="center"/>
        <w:rPr>
          <w:rFonts w:ascii="黑体" w:eastAsia="黑体" w:hint="eastAsia"/>
          <w:color w:val="000000"/>
          <w:sz w:val="48"/>
          <w:szCs w:val="48"/>
          <w:highlight w:val="auto"/>
        </w:rPr>
      </w:pPr>
      <w:r>
        <w:rPr>
          <w:rFonts w:ascii="方正小标宋简体" w:eastAsia="方正小标宋简体"/>
          <w:color w:val="000000"/>
          <w:sz w:val="36"/>
          <w:szCs w:val="36"/>
          <w:highlight w:val="auto"/>
        </w:rPr>
        <w:br w:type="page"/>
      </w:r>
      <w:r>
        <w:rPr>
          <w:rFonts w:ascii="黑体" w:eastAsia="黑体" w:hint="eastAsia"/>
          <w:color w:val="000000"/>
          <w:sz w:val="48"/>
          <w:szCs w:val="48"/>
          <w:highlight w:val="auto"/>
        </w:rPr>
        <w:t>目</w:t>
      </w:r>
      <w:r>
        <w:rPr>
          <w:rFonts w:ascii="黑体" w:eastAsia="黑体"/>
          <w:color w:val="000000"/>
          <w:sz w:val="48"/>
          <w:szCs w:val="48"/>
          <w:highlight w:val="auto"/>
        </w:rPr>
        <w:t xml:space="preserve"> </w:t>
      </w:r>
      <w:r>
        <w:rPr>
          <w:rFonts w:ascii="黑体" w:eastAsia="黑体" w:hint="eastAsia"/>
          <w:color w:val="000000"/>
          <w:sz w:val="48"/>
          <w:szCs w:val="48"/>
          <w:highlight w:val="auto"/>
        </w:rPr>
        <w:t>录</w:t>
      </w:r>
      <w:bookmarkStart w:id="7" w:name="_Toc15377196"/>
    </w:p>
    <w:p>
      <w:pPr>
        <w:pStyle w:val="15"/>
        <w:rPr>
          <w:rFonts w:hint="eastAsia"/>
        </w:rPr>
      </w:pPr>
    </w:p>
    <w:p>
      <w:pPr>
        <w:pStyle w:val="25"/>
        <w:widowControl w:val="0"/>
        <w:tabs>
          <w:tab w:val="right" w:leader="dot" w:pos="8296"/>
        </w:tabs>
        <w:suppressAutoHyphens/>
        <w:bidi w:val="0"/>
        <w:rPr>
          <w:rFonts w:ascii="仿宋_GB2312" w:eastAsia="仿宋_GB2312" w:cs="仿宋_GB2312" w:hint="eastAsia"/>
          <w:color w:val="auto"/>
          <w:sz w:val="32"/>
          <w:szCs w:val="32"/>
          <w:lang w:eastAsia="zh-CN"/>
          <w:highlight w:val="auto"/>
        </w:rPr>
      </w:pPr>
      <w:r>
        <w:rPr>
          <w:rFonts w:ascii="仿宋_GB2312" w:eastAsia="仿宋_GB2312" w:cs="仿宋_GB2312" w:hint="eastAsia"/>
          <w:color w:val="auto"/>
          <w:sz w:val="32"/>
          <w:szCs w:val="32"/>
          <w:lang w:eastAsia="zh-CN"/>
          <w:highlight w:val="auto"/>
        </w:rPr>
        <w:t>公开时间：2025年9月25日</w:t>
      </w:r>
    </w:p>
    <w:p>
      <w:pPr>
        <w:pStyle w:val="25"/>
        <w:tabs>
          <w:tab w:val="clear" w:pos="8296"/>
          <w:tab w:val="right" w:leader="dot" w:pos="8306"/>
        </w:tabs>
      </w:pPr>
      <w:r>
        <w:rPr>
          <w:caps w:val="0"/>
          <w:smallCaps/>
          <w:sz w:val="20"/>
          <w:szCs w:val="20"/>
          <w:highlight w:val="auto"/>
        </w:rPr>
        <w:fldChar w:fldCharType="begin"/>
      </w:r>
      <w:r>
        <w:rPr>
          <w:caps w:val="0"/>
          <w:smallCaps/>
          <w:sz w:val="20"/>
          <w:szCs w:val="20"/>
          <w:highlight w:val="auto"/>
        </w:rPr>
        <w:instrText xml:space="preserve"> TOC \o "1-2" \h \z \u </w:instrText>
      </w:r>
      <w:r>
        <w:rPr>
          <w:caps w:val="0"/>
          <w:smallCaps/>
          <w:sz w:val="20"/>
          <w:szCs w:val="20"/>
          <w:highlight w:val="auto"/>
        </w:rPr>
        <w:fldChar w:fldCharType="separate"/>
      </w:r>
      <w:r>
        <w:rPr>
          <w:caps w:val="0"/>
          <w:smallCaps/>
          <w:szCs w:val="20"/>
          <w:highlight w:val="auto"/>
        </w:rPr>
        <w:fldChar w:fldCharType="begin"/>
      </w:r>
      <w:r>
        <w:rPr>
          <w:caps w:val="0"/>
          <w:smallCaps/>
          <w:szCs w:val="20"/>
          <w:highlight w:val="auto"/>
        </w:rPr>
        <w:instrText xml:space="preserve"> HYPERLINK \l _Toc24052 </w:instrText>
      </w:r>
      <w:r>
        <w:rPr>
          <w:caps w:val="0"/>
          <w:smallCaps/>
          <w:szCs w:val="20"/>
          <w:highlight w:val="auto"/>
        </w:rPr>
        <w:fldChar w:fldCharType="separate"/>
      </w:r>
      <w:r>
        <w:rPr>
          <w:rFonts w:ascii="黑体" w:eastAsia="黑体" w:cs="黑体" w:hint="eastAsia"/>
          <w:highlight w:val="auto"/>
        </w:rPr>
        <w:t xml:space="preserve">第一部分 </w:t>
      </w:r>
      <w:r>
        <w:rPr>
          <w:rFonts w:ascii="黑体" w:eastAsia="黑体" w:cs="黑体" w:hint="eastAsia"/>
          <w:bCs w:val="0"/>
          <w:highlight w:val="auto"/>
        </w:rPr>
        <w:t>部门概况</w:t>
      </w:r>
      <w:r>
        <w:tab/>
      </w:r>
      <w:r>
        <w:fldChar w:fldCharType="begin"/>
      </w:r>
      <w:r>
        <w:instrText xml:space="preserve"> PAGEREF _Toc24052 \h </w:instrText>
      </w:r>
      <w:r>
        <w:fldChar w:fldCharType="separate"/>
      </w:r>
      <w:r>
        <w:t>3</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_Toc26051 </w:instrText>
      </w:r>
      <w:r>
        <w:rPr>
          <w:caps w:val="0"/>
          <w:smallCaps/>
          <w:szCs w:val="20"/>
          <w:highlight w:val="auto"/>
        </w:rPr>
        <w:fldChar w:fldCharType="separate"/>
      </w:r>
      <w:r>
        <w:rPr>
          <w:rFonts w:ascii="黑体" w:eastAsia="黑体" w:cs="Times New Roman" w:hint="eastAsia"/>
          <w:bCs w:val="0"/>
          <w:highlight w:val="auto"/>
        </w:rPr>
        <w:t>一、部门职责</w:t>
      </w:r>
      <w:r>
        <w:tab/>
      </w:r>
      <w:r>
        <w:fldChar w:fldCharType="begin"/>
      </w:r>
      <w:r>
        <w:instrText xml:space="preserve"> PAGEREF _Toc26051 \h </w:instrText>
      </w:r>
      <w:r>
        <w:fldChar w:fldCharType="separate"/>
      </w:r>
      <w:r>
        <w:t>3</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_Toc16911 </w:instrText>
      </w:r>
      <w:r>
        <w:rPr>
          <w:caps w:val="0"/>
          <w:smallCaps/>
          <w:szCs w:val="20"/>
          <w:highlight w:val="auto"/>
        </w:rPr>
        <w:fldChar w:fldCharType="separate"/>
      </w:r>
      <w:r>
        <w:rPr>
          <w:rFonts w:ascii="黑体" w:eastAsia="黑体" w:cs="Times New Roman" w:hint="eastAsia"/>
          <w:bCs w:val="0"/>
          <w:highlight w:val="auto"/>
        </w:rPr>
        <w:t>二、机构设置</w:t>
      </w:r>
      <w:r>
        <w:tab/>
      </w:r>
      <w:r>
        <w:fldChar w:fldCharType="begin"/>
      </w:r>
      <w:r>
        <w:instrText xml:space="preserve"> PAGEREF _Toc16911 \h </w:instrText>
      </w:r>
      <w:r>
        <w:fldChar w:fldCharType="separate"/>
      </w:r>
      <w:r>
        <w:t>4</w:t>
      </w:r>
      <w:r>
        <w:fldChar w:fldCharType="end"/>
      </w:r>
      <w:r>
        <w:rPr>
          <w:caps w:val="0"/>
          <w:smallCaps/>
          <w:szCs w:val="20"/>
          <w:highlight w:val="auto"/>
        </w:rPr>
        <w:fldChar w:fldCharType="end"/>
      </w:r>
    </w:p>
    <w:p>
      <w:pPr>
        <w:pStyle w:val="25"/>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_Toc12146 </w:instrText>
      </w:r>
      <w:r>
        <w:rPr>
          <w:caps w:val="0"/>
          <w:smallCaps/>
          <w:szCs w:val="20"/>
          <w:highlight w:val="auto"/>
        </w:rPr>
        <w:fldChar w:fldCharType="separate"/>
      </w:r>
      <w:r>
        <w:rPr>
          <w:rFonts w:ascii="黑体" w:eastAsia="黑体" w:cs="黑体" w:hint="eastAsia"/>
          <w:highlight w:val="auto"/>
        </w:rPr>
        <w:t>第二部分</w:t>
      </w:r>
      <w:r>
        <w:rPr>
          <w:rFonts w:ascii="黑体" w:eastAsia="黑体" w:cs="黑体"/>
          <w:highlight w:val="auto"/>
        </w:rPr>
        <w:t xml:space="preserve"> </w:t>
      </w:r>
      <w:r>
        <w:rPr>
          <w:rFonts w:ascii="黑体" w:eastAsia="黑体" w:cs="黑体" w:hint="eastAsia"/>
          <w:lang w:eastAsia="zh-CN"/>
          <w:highlight w:val="auto"/>
        </w:rPr>
        <w:t>2024</w:t>
      </w:r>
      <w:r>
        <w:rPr>
          <w:rFonts w:ascii="黑体" w:eastAsia="黑体" w:cs="黑体"/>
          <w:highlight w:val="auto"/>
        </w:rPr>
        <w:t>年度</w:t>
      </w:r>
      <w:r>
        <w:rPr>
          <w:rFonts w:ascii="黑体" w:eastAsia="黑体" w:cs="黑体" w:hint="eastAsia"/>
          <w:lang w:eastAsia="zh-CN"/>
          <w:highlight w:val="auto"/>
        </w:rPr>
        <w:t>单位</w:t>
      </w:r>
      <w:r>
        <w:rPr>
          <w:rFonts w:ascii="黑体" w:eastAsia="黑体" w:cs="黑体"/>
          <w:highlight w:val="auto"/>
        </w:rPr>
        <w:t>决算情况说明</w:t>
      </w:r>
      <w:r>
        <w:tab/>
      </w:r>
      <w:r>
        <w:fldChar w:fldCharType="begin"/>
      </w:r>
      <w:r>
        <w:instrText xml:space="preserve"> PAGEREF _Toc12146 \h </w:instrText>
      </w:r>
      <w:r>
        <w:fldChar w:fldCharType="separate"/>
      </w:r>
      <w:r>
        <w:t>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_Toc2086 </w:instrText>
      </w:r>
      <w:r>
        <w:rPr>
          <w:caps w:val="0"/>
          <w:smallCaps/>
          <w:szCs w:val="20"/>
          <w:highlight w:val="auto"/>
        </w:rPr>
        <w:fldChar w:fldCharType="separate"/>
      </w:r>
      <w:r>
        <w:rPr>
          <w:rFonts w:ascii="黑体" w:eastAsia="黑体" w:cs="Times New Roman" w:hint="eastAsia"/>
          <w:bCs w:val="0"/>
          <w:highlight w:val="auto"/>
        </w:rPr>
        <w:t>一、收入支出决算总体情况说明</w:t>
      </w:r>
      <w:r>
        <w:tab/>
      </w:r>
      <w:r>
        <w:fldChar w:fldCharType="begin"/>
      </w:r>
      <w:r>
        <w:instrText xml:space="preserve"> PAGEREF _Toc2086 \h </w:instrText>
      </w:r>
      <w:r>
        <w:fldChar w:fldCharType="separate"/>
      </w:r>
      <w:r>
        <w:t>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_Toc25698 </w:instrText>
      </w:r>
      <w:r>
        <w:rPr>
          <w:caps w:val="0"/>
          <w:smallCaps/>
          <w:szCs w:val="20"/>
          <w:highlight w:val="auto"/>
        </w:rPr>
        <w:fldChar w:fldCharType="separate"/>
      </w:r>
      <w:r>
        <w:rPr>
          <w:rFonts w:ascii="黑体" w:eastAsia="黑体" w:cs="Times New Roman" w:hint="eastAsia"/>
          <w:bCs w:val="0"/>
          <w:highlight w:val="auto"/>
        </w:rPr>
        <w:t>二、收入决算情况说明</w:t>
      </w:r>
      <w:r>
        <w:tab/>
      </w:r>
      <w:r>
        <w:fldChar w:fldCharType="begin"/>
      </w:r>
      <w:r>
        <w:instrText xml:space="preserve"> PAGEREF _Toc25698 \h </w:instrText>
      </w:r>
      <w:r>
        <w:fldChar w:fldCharType="separate"/>
      </w:r>
      <w:r>
        <w:t>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_Toc470 </w:instrText>
      </w:r>
      <w:r>
        <w:rPr>
          <w:caps w:val="0"/>
          <w:smallCaps/>
          <w:szCs w:val="20"/>
          <w:highlight w:val="auto"/>
        </w:rPr>
        <w:fldChar w:fldCharType="separate"/>
      </w:r>
      <w:r>
        <w:rPr>
          <w:rFonts w:ascii="黑体" w:eastAsia="黑体" w:cs="Times New Roman" w:hint="eastAsia"/>
          <w:bCs w:val="0"/>
          <w:highlight w:val="auto"/>
        </w:rPr>
        <w:t>三、支出决算情况说明</w:t>
      </w:r>
      <w:r>
        <w:tab/>
      </w:r>
      <w:r>
        <w:fldChar w:fldCharType="begin"/>
      </w:r>
      <w:r>
        <w:instrText xml:space="preserve"> PAGEREF _Toc470 \h </w:instrText>
      </w:r>
      <w:r>
        <w:fldChar w:fldCharType="separate"/>
      </w:r>
      <w:r>
        <w:t>7</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_Toc9070 </w:instrText>
      </w:r>
      <w:r>
        <w:rPr>
          <w:caps w:val="0"/>
          <w:smallCaps/>
          <w:szCs w:val="20"/>
          <w:highlight w:val="auto"/>
        </w:rPr>
        <w:fldChar w:fldCharType="separate"/>
      </w:r>
      <w:r>
        <w:rPr>
          <w:rFonts w:ascii="黑体" w:eastAsia="黑体" w:cs="Times New Roman" w:hint="eastAsia"/>
          <w:bCs w:val="0"/>
          <w:highlight w:val="auto"/>
        </w:rPr>
        <w:t>四、财政拨款收入支出决算总体情况说明</w:t>
      </w:r>
      <w:r>
        <w:tab/>
      </w:r>
      <w:r>
        <w:fldChar w:fldCharType="begin"/>
      </w:r>
      <w:r>
        <w:instrText xml:space="preserve"> PAGEREF _Toc9070 \h </w:instrText>
      </w:r>
      <w:r>
        <w:fldChar w:fldCharType="separate"/>
      </w:r>
      <w:r>
        <w:t>8</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_Toc24444 </w:instrText>
      </w:r>
      <w:r>
        <w:rPr>
          <w:caps w:val="0"/>
          <w:smallCaps/>
          <w:szCs w:val="20"/>
          <w:highlight w:val="auto"/>
        </w:rPr>
        <w:fldChar w:fldCharType="separate"/>
      </w:r>
      <w:r>
        <w:rPr>
          <w:rFonts w:ascii="黑体" w:eastAsia="黑体" w:cs="Times New Roman" w:hint="eastAsia"/>
          <w:bCs w:val="0"/>
          <w:highlight w:val="auto"/>
        </w:rPr>
        <w:t>五、一般公共预算财政拨款支出决算情况说明</w:t>
      </w:r>
      <w:r>
        <w:tab/>
      </w:r>
      <w:r>
        <w:fldChar w:fldCharType="begin"/>
      </w:r>
      <w:r>
        <w:instrText xml:space="preserve"> PAGEREF _Toc24444 \h </w:instrText>
      </w:r>
      <w:r>
        <w:fldChar w:fldCharType="separate"/>
      </w:r>
      <w:r>
        <w:t>8</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_Toc23748 </w:instrText>
      </w:r>
      <w:r>
        <w:rPr>
          <w:caps w:val="0"/>
          <w:smallCaps/>
          <w:szCs w:val="20"/>
          <w:highlight w:val="auto"/>
        </w:rPr>
        <w:fldChar w:fldCharType="separate"/>
      </w:r>
      <w:r>
        <w:rPr>
          <w:rFonts w:ascii="黑体" w:eastAsia="黑体" w:cs="Times New Roman" w:hint="eastAsia"/>
          <w:bCs w:val="0"/>
          <w:highlight w:val="auto"/>
        </w:rPr>
        <w:t>六、一般公共预算财政拨款基本支出决算情况说明</w:t>
      </w:r>
      <w:r>
        <w:tab/>
      </w:r>
      <w:r>
        <w:fldChar w:fldCharType="begin"/>
      </w:r>
      <w:r>
        <w:instrText xml:space="preserve"> PAGEREF _Toc23748 \h </w:instrText>
      </w:r>
      <w:r>
        <w:fldChar w:fldCharType="separate"/>
      </w:r>
      <w:r>
        <w:t>12</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_Toc21697 </w:instrText>
      </w:r>
      <w:r>
        <w:rPr>
          <w:caps w:val="0"/>
          <w:smallCaps/>
          <w:szCs w:val="20"/>
          <w:highlight w:val="auto"/>
        </w:rPr>
        <w:fldChar w:fldCharType="separate"/>
      </w:r>
      <w:r>
        <w:rPr>
          <w:rFonts w:ascii="黑体" w:eastAsia="黑体" w:cs="Times New Roman" w:hint="eastAsia"/>
          <w:bCs w:val="0"/>
          <w:highlight w:val="auto"/>
        </w:rPr>
        <w:t>七、“三公”经费财政拨款支出决算情况说明</w:t>
      </w:r>
      <w:r>
        <w:tab/>
      </w:r>
      <w:r>
        <w:fldChar w:fldCharType="begin"/>
      </w:r>
      <w:r>
        <w:instrText xml:space="preserve"> PAGEREF _Toc21697 \h </w:instrText>
      </w:r>
      <w:r>
        <w:fldChar w:fldCharType="separate"/>
      </w:r>
      <w:r>
        <w:t>12</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_Toc20664 </w:instrText>
      </w:r>
      <w:r>
        <w:rPr>
          <w:caps w:val="0"/>
          <w:smallCaps/>
          <w:szCs w:val="20"/>
          <w:highlight w:val="auto"/>
        </w:rPr>
        <w:fldChar w:fldCharType="separate"/>
      </w:r>
      <w:r>
        <w:rPr>
          <w:rFonts w:ascii="黑体" w:eastAsia="黑体" w:cs="Times New Roman" w:hint="eastAsia"/>
          <w:bCs w:val="0"/>
          <w:highlight w:val="auto"/>
        </w:rPr>
        <w:t>八、政府性基金预算支出决算情况说明</w:t>
      </w:r>
      <w:r>
        <w:tab/>
      </w:r>
      <w:r>
        <w:fldChar w:fldCharType="begin"/>
      </w:r>
      <w:r>
        <w:instrText xml:space="preserve"> PAGEREF _Toc20664 \h </w:instrText>
      </w:r>
      <w:r>
        <w:fldChar w:fldCharType="separate"/>
      </w:r>
      <w:r>
        <w:t>14</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_Toc22202 </w:instrText>
      </w:r>
      <w:r>
        <w:rPr>
          <w:caps w:val="0"/>
          <w:smallCaps/>
          <w:szCs w:val="20"/>
          <w:highlight w:val="auto"/>
        </w:rPr>
        <w:fldChar w:fldCharType="separate"/>
      </w:r>
      <w:r>
        <w:rPr>
          <w:rFonts w:ascii="黑体" w:eastAsia="黑体" w:cs="Times New Roman" w:hint="eastAsia"/>
          <w:bCs w:val="0"/>
          <w:highlight w:val="auto"/>
        </w:rPr>
        <w:t>九、国有资本经营预算支出决算情况说明</w:t>
      </w:r>
      <w:r>
        <w:tab/>
      </w:r>
      <w:r>
        <w:fldChar w:fldCharType="begin"/>
      </w:r>
      <w:r>
        <w:instrText xml:space="preserve"> PAGEREF _Toc22202 \h </w:instrText>
      </w:r>
      <w:r>
        <w:fldChar w:fldCharType="separate"/>
      </w:r>
      <w:r>
        <w:t>14</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_Toc9711 </w:instrText>
      </w:r>
      <w:r>
        <w:rPr>
          <w:caps w:val="0"/>
          <w:smallCaps/>
          <w:szCs w:val="20"/>
          <w:highlight w:val="auto"/>
        </w:rPr>
        <w:fldChar w:fldCharType="separate"/>
      </w:r>
      <w:r>
        <w:rPr>
          <w:rFonts w:ascii="黑体" w:eastAsia="黑体" w:cs="Times New Roman" w:hint="eastAsia"/>
          <w:bCs w:val="0"/>
          <w:highlight w:val="auto"/>
        </w:rPr>
        <w:t>十、其他重要事项的情况说明</w:t>
      </w:r>
      <w:r>
        <w:tab/>
      </w:r>
      <w:r>
        <w:fldChar w:fldCharType="begin"/>
      </w:r>
      <w:r>
        <w:instrText xml:space="preserve"> PAGEREF _Toc9711 \h </w:instrText>
      </w:r>
      <w:r>
        <w:fldChar w:fldCharType="separate"/>
      </w:r>
      <w:r>
        <w:t>14</w:t>
      </w:r>
      <w:r>
        <w:fldChar w:fldCharType="end"/>
      </w:r>
      <w:r>
        <w:rPr>
          <w:caps w:val="0"/>
          <w:smallCaps/>
          <w:szCs w:val="20"/>
          <w:highlight w:val="auto"/>
        </w:rPr>
        <w:fldChar w:fldCharType="end"/>
      </w:r>
    </w:p>
    <w:p>
      <w:pPr>
        <w:pStyle w:val="25"/>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_Toc26576 </w:instrText>
      </w:r>
      <w:r>
        <w:rPr>
          <w:caps w:val="0"/>
          <w:smallCaps/>
          <w:szCs w:val="20"/>
          <w:highlight w:val="auto"/>
        </w:rPr>
        <w:fldChar w:fldCharType="separate"/>
      </w:r>
      <w:r>
        <w:rPr>
          <w:rFonts w:ascii="黑体" w:eastAsia="黑体" w:cs="黑体" w:hint="eastAsia"/>
          <w:szCs w:val="44"/>
        </w:rPr>
        <w:t xml:space="preserve">第三部分 </w:t>
      </w:r>
      <w:r>
        <w:rPr>
          <w:rFonts w:ascii="黑体" w:eastAsia="黑体" w:hint="eastAsia"/>
          <w:szCs w:val="44"/>
          <w:highlight w:val="auto"/>
        </w:rPr>
        <w:t>名</w:t>
      </w:r>
      <w:r>
        <w:rPr>
          <w:rFonts w:ascii="黑体" w:eastAsia="黑体" w:hint="eastAsia"/>
          <w:highlight w:val="auto"/>
        </w:rPr>
        <w:t>词解释</w:t>
      </w:r>
      <w:r>
        <w:tab/>
      </w:r>
      <w:r>
        <w:fldChar w:fldCharType="begin"/>
      </w:r>
      <w:r>
        <w:instrText xml:space="preserve"> PAGEREF _Toc26576 \h </w:instrText>
      </w:r>
      <w:r>
        <w:fldChar w:fldCharType="separate"/>
      </w:r>
      <w:r>
        <w:t>16</w:t>
      </w:r>
      <w:r>
        <w:fldChar w:fldCharType="end"/>
      </w:r>
      <w:r>
        <w:rPr>
          <w:caps w:val="0"/>
          <w:smallCaps/>
          <w:szCs w:val="20"/>
          <w:highlight w:val="auto"/>
        </w:rPr>
        <w:fldChar w:fldCharType="end"/>
      </w:r>
    </w:p>
    <w:p>
      <w:pPr>
        <w:pStyle w:val="25"/>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_Toc23073 </w:instrText>
      </w:r>
      <w:r>
        <w:rPr>
          <w:caps w:val="0"/>
          <w:smallCaps/>
          <w:szCs w:val="20"/>
          <w:highlight w:val="auto"/>
        </w:rPr>
        <w:fldChar w:fldCharType="separate"/>
      </w:r>
      <w:r>
        <w:rPr>
          <w:rFonts w:ascii="黑体" w:eastAsia="黑体" w:cs="黑体" w:hint="eastAsia"/>
          <w:highlight w:val="auto"/>
        </w:rPr>
        <w:t>第四部分 附件</w:t>
      </w:r>
      <w:r>
        <w:tab/>
      </w:r>
      <w:r>
        <w:fldChar w:fldCharType="begin"/>
      </w:r>
      <w:r>
        <w:instrText xml:space="preserve"> PAGEREF _Toc23073 \h </w:instrText>
      </w:r>
      <w:r>
        <w:fldChar w:fldCharType="separate"/>
      </w:r>
      <w:r>
        <w:t>20</w:t>
      </w:r>
      <w:r>
        <w:fldChar w:fldCharType="end"/>
      </w:r>
      <w:r>
        <w:rPr>
          <w:caps w:val="0"/>
          <w:smallCaps/>
          <w:szCs w:val="20"/>
          <w:highlight w:val="auto"/>
        </w:rPr>
        <w:fldChar w:fldCharType="end"/>
      </w:r>
    </w:p>
    <w:p>
      <w:pPr>
        <w:pStyle w:val="25"/>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_Toc18435 </w:instrText>
      </w:r>
      <w:r>
        <w:rPr>
          <w:caps w:val="0"/>
          <w:smallCaps/>
          <w:szCs w:val="20"/>
          <w:highlight w:val="auto"/>
        </w:rPr>
        <w:fldChar w:fldCharType="separate"/>
      </w:r>
      <w:r>
        <w:rPr>
          <w:rFonts w:ascii="黑体" w:eastAsia="黑体" w:cs="黑体" w:hint="eastAsia"/>
          <w:highlight w:val="auto"/>
        </w:rPr>
        <w:t>第五部分 附表</w:t>
      </w:r>
      <w:r>
        <w:tab/>
      </w:r>
      <w:r>
        <w:fldChar w:fldCharType="begin"/>
      </w:r>
      <w:r>
        <w:instrText xml:space="preserve"> PAGEREF _Toc18435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_Toc10701 </w:instrText>
      </w:r>
      <w:r>
        <w:rPr>
          <w:caps w:val="0"/>
          <w:smallCaps/>
          <w:szCs w:val="20"/>
          <w:highlight w:val="auto"/>
        </w:rPr>
        <w:fldChar w:fldCharType="separate"/>
      </w:r>
      <w:r>
        <w:rPr>
          <w:rFonts w:ascii="黑体" w:eastAsia="黑体" w:cs="Times New Roman" w:hint="eastAsia"/>
          <w:bCs w:val="0"/>
          <w:highlight w:val="auto"/>
        </w:rPr>
        <w:t>一、收入支出决算总表</w:t>
      </w:r>
      <w:r>
        <w:tab/>
      </w:r>
      <w:r>
        <w:fldChar w:fldCharType="begin"/>
      </w:r>
      <w:r>
        <w:instrText xml:space="preserve"> PAGEREF _Toc10701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_Toc21586 </w:instrText>
      </w:r>
      <w:r>
        <w:rPr>
          <w:caps w:val="0"/>
          <w:smallCaps/>
          <w:szCs w:val="20"/>
          <w:highlight w:val="auto"/>
        </w:rPr>
        <w:fldChar w:fldCharType="separate"/>
      </w:r>
      <w:r>
        <w:rPr>
          <w:rFonts w:ascii="黑体" w:eastAsia="黑体" w:cs="Times New Roman" w:hint="eastAsia"/>
          <w:bCs w:val="0"/>
          <w:highlight w:val="auto"/>
        </w:rPr>
        <w:t>二、收入决算表</w:t>
      </w:r>
      <w:r>
        <w:tab/>
      </w:r>
      <w:r>
        <w:fldChar w:fldCharType="begin"/>
      </w:r>
      <w:r>
        <w:instrText xml:space="preserve"> PAGEREF _Toc21586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_Toc11911 </w:instrText>
      </w:r>
      <w:r>
        <w:rPr>
          <w:caps w:val="0"/>
          <w:smallCaps/>
          <w:szCs w:val="20"/>
          <w:highlight w:val="auto"/>
        </w:rPr>
        <w:fldChar w:fldCharType="separate"/>
      </w:r>
      <w:r>
        <w:rPr>
          <w:rFonts w:ascii="黑体" w:eastAsia="黑体" w:cs="Times New Roman" w:hint="eastAsia"/>
          <w:bCs w:val="0"/>
          <w:highlight w:val="auto"/>
        </w:rPr>
        <w:t>三、支出决算表</w:t>
      </w:r>
      <w:r>
        <w:tab/>
      </w:r>
      <w:r>
        <w:fldChar w:fldCharType="begin"/>
      </w:r>
      <w:r>
        <w:instrText xml:space="preserve"> PAGEREF _Toc11911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_Toc30281 </w:instrText>
      </w:r>
      <w:r>
        <w:rPr>
          <w:caps w:val="0"/>
          <w:smallCaps/>
          <w:szCs w:val="20"/>
          <w:highlight w:val="auto"/>
        </w:rPr>
        <w:fldChar w:fldCharType="separate"/>
      </w:r>
      <w:r>
        <w:rPr>
          <w:rFonts w:ascii="黑体" w:eastAsia="黑体" w:cs="Times New Roman" w:hint="eastAsia"/>
          <w:bCs w:val="0"/>
          <w:highlight w:val="auto"/>
        </w:rPr>
        <w:t>四、财政拨款收入支出决算总表</w:t>
      </w:r>
      <w:r>
        <w:tab/>
      </w:r>
      <w:r>
        <w:fldChar w:fldCharType="begin"/>
      </w:r>
      <w:r>
        <w:instrText xml:space="preserve"> PAGEREF _Toc30281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_Toc12497 </w:instrText>
      </w:r>
      <w:r>
        <w:rPr>
          <w:caps w:val="0"/>
          <w:smallCaps/>
          <w:szCs w:val="20"/>
          <w:highlight w:val="auto"/>
        </w:rPr>
        <w:fldChar w:fldCharType="separate"/>
      </w:r>
      <w:r>
        <w:rPr>
          <w:rFonts w:ascii="黑体" w:eastAsia="黑体" w:cs="Times New Roman" w:hint="eastAsia"/>
          <w:bCs w:val="0"/>
          <w:highlight w:val="auto"/>
        </w:rPr>
        <w:t>五、财政拨款支出决算明细表</w:t>
      </w:r>
      <w:r>
        <w:tab/>
      </w:r>
      <w:r>
        <w:fldChar w:fldCharType="begin"/>
      </w:r>
      <w:r>
        <w:instrText xml:space="preserve"> PAGEREF _Toc12497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_Toc19709 </w:instrText>
      </w:r>
      <w:r>
        <w:rPr>
          <w:caps w:val="0"/>
          <w:smallCaps/>
          <w:szCs w:val="20"/>
          <w:highlight w:val="auto"/>
        </w:rPr>
        <w:fldChar w:fldCharType="separate"/>
      </w:r>
      <w:r>
        <w:rPr>
          <w:rFonts w:ascii="黑体" w:eastAsia="黑体" w:cs="Times New Roman" w:hint="eastAsia"/>
          <w:bCs w:val="0"/>
          <w:highlight w:val="auto"/>
        </w:rPr>
        <w:t>六、一般公共预算财政拨款支出决算表</w:t>
      </w:r>
      <w:r>
        <w:tab/>
      </w:r>
      <w:r>
        <w:fldChar w:fldCharType="begin"/>
      </w:r>
      <w:r>
        <w:instrText xml:space="preserve"> PAGEREF _Toc19709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_Toc20892 </w:instrText>
      </w:r>
      <w:r>
        <w:rPr>
          <w:caps w:val="0"/>
          <w:smallCaps/>
          <w:szCs w:val="20"/>
          <w:highlight w:val="auto"/>
        </w:rPr>
        <w:fldChar w:fldCharType="separate"/>
      </w:r>
      <w:r>
        <w:rPr>
          <w:rFonts w:ascii="黑体" w:eastAsia="黑体" w:cs="Times New Roman" w:hint="eastAsia"/>
          <w:bCs w:val="0"/>
          <w:highlight w:val="auto"/>
        </w:rPr>
        <w:t>七、一般公共预算财政拨款支出决算明细表</w:t>
      </w:r>
      <w:r>
        <w:tab/>
      </w:r>
      <w:r>
        <w:fldChar w:fldCharType="begin"/>
      </w:r>
      <w:r>
        <w:instrText xml:space="preserve"> PAGEREF _Toc20892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_Toc17160 </w:instrText>
      </w:r>
      <w:r>
        <w:rPr>
          <w:caps w:val="0"/>
          <w:smallCaps/>
          <w:szCs w:val="20"/>
          <w:highlight w:val="auto"/>
        </w:rPr>
        <w:fldChar w:fldCharType="separate"/>
      </w:r>
      <w:r>
        <w:rPr>
          <w:rFonts w:ascii="黑体" w:eastAsia="黑体" w:cs="Times New Roman" w:hint="eastAsia"/>
          <w:bCs w:val="0"/>
          <w:highlight w:val="auto"/>
        </w:rPr>
        <w:t>八、一般公共预算财政拨款基本支出决算表</w:t>
      </w:r>
      <w:r>
        <w:tab/>
      </w:r>
      <w:r>
        <w:fldChar w:fldCharType="begin"/>
      </w:r>
      <w:r>
        <w:instrText xml:space="preserve"> PAGEREF _Toc17160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_Toc4317 </w:instrText>
      </w:r>
      <w:r>
        <w:rPr>
          <w:caps w:val="0"/>
          <w:smallCaps/>
          <w:szCs w:val="20"/>
          <w:highlight w:val="auto"/>
        </w:rPr>
        <w:fldChar w:fldCharType="separate"/>
      </w:r>
      <w:r>
        <w:rPr>
          <w:rFonts w:ascii="黑体" w:eastAsia="黑体" w:cs="Times New Roman" w:hint="eastAsia"/>
          <w:bCs w:val="0"/>
          <w:highlight w:val="auto"/>
        </w:rPr>
        <w:t>九、一般公共预算财政拨款项目支出决算表</w:t>
      </w:r>
      <w:r>
        <w:tab/>
      </w:r>
      <w:r>
        <w:fldChar w:fldCharType="begin"/>
      </w:r>
      <w:r>
        <w:instrText xml:space="preserve"> PAGEREF _Toc4317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_Toc8510 </w:instrText>
      </w:r>
      <w:r>
        <w:rPr>
          <w:caps w:val="0"/>
          <w:smallCaps/>
          <w:szCs w:val="20"/>
          <w:highlight w:val="auto"/>
        </w:rPr>
        <w:fldChar w:fldCharType="separate"/>
      </w:r>
      <w:r>
        <w:rPr>
          <w:rFonts w:ascii="黑体" w:eastAsia="黑体" w:cs="Times New Roman" w:hint="eastAsia"/>
          <w:bCs w:val="0"/>
          <w:highlight w:val="auto"/>
        </w:rPr>
        <w:t>十、政府性基金预算财政拨款收入支出决算表</w:t>
      </w:r>
      <w:r>
        <w:tab/>
      </w:r>
      <w:r>
        <w:fldChar w:fldCharType="begin"/>
      </w:r>
      <w:r>
        <w:instrText xml:space="preserve"> PAGEREF _Toc8510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_Toc8680 </w:instrText>
      </w:r>
      <w:r>
        <w:rPr>
          <w:caps w:val="0"/>
          <w:smallCaps/>
          <w:szCs w:val="20"/>
          <w:highlight w:val="auto"/>
        </w:rPr>
        <w:fldChar w:fldCharType="separate"/>
      </w:r>
      <w:r>
        <w:rPr>
          <w:rFonts w:ascii="黑体" w:eastAsia="黑体" w:cs="Times New Roman" w:hint="eastAsia"/>
          <w:bCs w:val="0"/>
          <w:highlight w:val="auto"/>
        </w:rPr>
        <w:t>十一、国有资本经营预算财政拨款收入支出决算表</w:t>
      </w:r>
      <w:r>
        <w:tab/>
      </w:r>
      <w:r>
        <w:fldChar w:fldCharType="begin"/>
      </w:r>
      <w:r>
        <w:instrText xml:space="preserve"> PAGEREF _Toc8680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_Toc27700 </w:instrText>
      </w:r>
      <w:r>
        <w:rPr>
          <w:caps w:val="0"/>
          <w:smallCaps/>
          <w:szCs w:val="20"/>
          <w:highlight w:val="auto"/>
        </w:rPr>
        <w:fldChar w:fldCharType="separate"/>
      </w:r>
      <w:r>
        <w:rPr>
          <w:rFonts w:ascii="黑体" w:eastAsia="黑体" w:cs="Times New Roman" w:hint="eastAsia"/>
          <w:bCs w:val="0"/>
          <w:highlight w:val="auto"/>
        </w:rPr>
        <w:t>十二、国有资本经营预算财政拨款支出决算表</w:t>
      </w:r>
      <w:r>
        <w:tab/>
      </w:r>
      <w:r>
        <w:fldChar w:fldCharType="begin"/>
      </w:r>
      <w:r>
        <w:instrText xml:space="preserve"> PAGEREF _Toc27700 \h </w:instrText>
      </w:r>
      <w:r>
        <w:fldChar w:fldCharType="separate"/>
      </w:r>
      <w:r>
        <w:t>66</w:t>
      </w:r>
      <w:r>
        <w:fldChar w:fldCharType="end"/>
      </w:r>
      <w:r>
        <w:rPr>
          <w:caps w:val="0"/>
          <w:smallCaps/>
          <w:szCs w:val="20"/>
          <w:highlight w:val="auto"/>
        </w:rPr>
        <w:fldChar w:fldCharType="end"/>
      </w:r>
    </w:p>
    <w:p>
      <w:pPr>
        <w:pStyle w:val="27"/>
        <w:tabs>
          <w:tab w:val="clear" w:pos="8296"/>
          <w:tab w:val="right" w:leader="dot" w:pos="8306"/>
        </w:tabs>
      </w:pPr>
      <w:r>
        <w:rPr>
          <w:caps w:val="0"/>
          <w:smallCaps/>
          <w:szCs w:val="20"/>
          <w:highlight w:val="auto"/>
        </w:rPr>
        <w:fldChar w:fldCharType="begin"/>
      </w:r>
      <w:r>
        <w:rPr>
          <w:caps w:val="0"/>
          <w:smallCaps/>
          <w:szCs w:val="20"/>
          <w:highlight w:val="auto"/>
        </w:rPr>
        <w:instrText xml:space="preserve"> HYPERLINK \l _Toc17252 </w:instrText>
      </w:r>
      <w:r>
        <w:rPr>
          <w:caps w:val="0"/>
          <w:smallCaps/>
          <w:szCs w:val="20"/>
          <w:highlight w:val="auto"/>
        </w:rPr>
        <w:fldChar w:fldCharType="separate"/>
      </w:r>
      <w:r>
        <w:rPr>
          <w:rFonts w:ascii="黑体" w:eastAsia="黑体" w:cs="Times New Roman" w:hint="eastAsia"/>
          <w:bCs w:val="0"/>
          <w:highlight w:val="auto"/>
        </w:rPr>
        <w:t>十三、财政拨款“三公”经费支出决算表</w:t>
      </w:r>
      <w:r>
        <w:tab/>
      </w:r>
      <w:r>
        <w:fldChar w:fldCharType="begin"/>
      </w:r>
      <w:r>
        <w:instrText xml:space="preserve"> PAGEREF _Toc17252 \h </w:instrText>
      </w:r>
      <w:r>
        <w:fldChar w:fldCharType="separate"/>
      </w:r>
      <w:r>
        <w:t>66</w:t>
      </w:r>
      <w:r>
        <w:fldChar w:fldCharType="end"/>
      </w:r>
      <w:r>
        <w:rPr>
          <w:caps w:val="0"/>
          <w:smallCaps/>
          <w:szCs w:val="20"/>
          <w:highlight w:val="auto"/>
        </w:rPr>
        <w:fldChar w:fldCharType="end"/>
      </w:r>
    </w:p>
    <w:p>
      <w:pPr>
        <w:pStyle w:val="16"/>
        <w:rPr>
          <w:highlight w:val="auto"/>
        </w:rPr>
      </w:pPr>
      <w:r>
        <w:rPr>
          <w:caps w:val="0"/>
          <w:smallCaps/>
          <w:szCs w:val="20"/>
          <w:highlight w:val="auto"/>
        </w:rPr>
        <w:fldChar w:fldCharType="end"/>
      </w:r>
    </w:p>
    <w:p>
      <w:pPr>
        <w:rPr>
          <w:rFonts w:ascii="黑体" w:eastAsia="黑体" w:cs="黑体" w:hint="eastAsia"/>
          <w:highlight w:val="auto"/>
        </w:rPr>
      </w:pPr>
      <w:bookmarkStart w:id="8" w:name="_Toc111208495"/>
      <w:r>
        <w:rPr>
          <w:rFonts w:ascii="黑体" w:eastAsia="黑体" w:cs="黑体" w:hint="eastAsia"/>
          <w:highlight w:val="auto"/>
        </w:rPr>
        <w:br w:type="page"/>
      </w:r>
    </w:p>
    <w:p>
      <w:pPr>
        <w:pStyle w:val="1"/>
        <w:jc w:val="center"/>
        <w:rPr>
          <w:rFonts w:ascii="黑体" w:eastAsia="黑体" w:cs="黑体"/>
          <w:b w:val="0"/>
          <w:bCs w:val="0"/>
          <w:highlight w:val="auto"/>
        </w:rPr>
      </w:pPr>
      <w:bookmarkStart w:id="9" w:name="_Toc24052"/>
      <w:bookmarkStart w:id="10" w:name="_Toc111208498"/>
      <w:bookmarkStart w:id="11" w:name="_Toc15377204"/>
      <w:bookmarkEnd w:id="7"/>
      <w:bookmarkEnd w:id="8"/>
      <w:r>
        <w:rPr>
          <w:rFonts w:ascii="黑体" w:eastAsia="黑体" w:cs="黑体" w:hint="eastAsia"/>
          <w:highlight w:val="auto"/>
        </w:rPr>
        <w:t xml:space="preserve">第一部分 </w:t>
      </w:r>
      <w:r>
        <w:rPr>
          <w:rStyle w:val="1Char"/>
          <w:rFonts w:ascii="黑体" w:eastAsia="黑体" w:cs="黑体" w:hint="eastAsia"/>
          <w:b/>
          <w:bCs w:val="0"/>
          <w:highlight w:val="auto"/>
        </w:rPr>
        <w:t>部门概况</w:t>
      </w:r>
      <w:bookmarkEnd w:id="9"/>
    </w:p>
    <w:p>
      <w:pPr>
        <w:pStyle w:val="2"/>
        <w:keepNext/>
        <w:keepLines/>
        <w:pageBreakBefore w:val="0"/>
        <w:widowControl w:val="0"/>
        <w:kinsoku/>
        <w:wordWrap/>
        <w:overflowPunct/>
        <w:topLinePunct w:val="0"/>
        <w:autoSpaceDE/>
        <w:autoSpaceDN/>
        <w:bidi w:val="0"/>
        <w:adjustRightInd/>
        <w:snapToGrid/>
        <w:spacing w:after="0" w:afterAutospacing="0" w:line="400" w:lineRule="exact"/>
        <w:ind w:firstLineChars="200" w:firstLine="640"/>
        <w:textAlignment w:val="auto"/>
        <w:rPr>
          <w:rFonts w:ascii="黑体" w:eastAsia="黑体" w:cs="Times New Roman"/>
          <w:bCs w:val="0"/>
          <w:color w:val="000000"/>
          <w:highlight w:val="auto"/>
        </w:rPr>
      </w:pPr>
      <w:bookmarkStart w:id="12" w:name="_Toc15377197"/>
      <w:bookmarkStart w:id="13" w:name="_Toc111208496"/>
      <w:bookmarkStart w:id="14" w:name="_Toc26051"/>
      <w:r>
        <w:rPr>
          <w:rFonts w:ascii="黑体" w:eastAsia="黑体" w:cs="Times New Roman" w:hint="eastAsia"/>
          <w:bCs w:val="0"/>
          <w:color w:val="000000"/>
          <w:highlight w:val="auto"/>
        </w:rPr>
        <w:t>一、</w:t>
      </w:r>
      <w:bookmarkStart w:id="15" w:name="_Toc15378445"/>
      <w:bookmarkStart w:id="16" w:name="_Toc15377198"/>
      <w:bookmarkEnd w:id="12"/>
      <w:bookmarkEnd w:id="13"/>
      <w:r>
        <w:rPr>
          <w:rFonts w:ascii="黑体" w:eastAsia="黑体" w:cs="Times New Roman" w:hint="eastAsia"/>
          <w:bCs w:val="0"/>
          <w:color w:val="000000"/>
          <w:highlight w:val="auto"/>
        </w:rPr>
        <w:t>部门职责</w:t>
      </w:r>
      <w:bookmarkEnd w:id="14"/>
    </w:p>
    <w:p>
      <w:pPr>
        <w:keepNext w:val="0"/>
        <w:keepLines w:val="0"/>
        <w:pageBreakBefore w:val="0"/>
        <w:widowControl w:val="0"/>
        <w:kinsoku/>
        <w:wordWrap/>
        <w:overflowPunct/>
        <w:topLinePunct w:val="0"/>
        <w:autoSpaceDE/>
        <w:autoSpaceDN/>
        <w:bidi w:val="0"/>
        <w:adjustRightInd/>
        <w:snapToGrid/>
        <w:spacing w:beforeAutospacing="0" w:line="576" w:lineRule="exact"/>
        <w:ind w:firstLineChars="200" w:firstLine="640"/>
        <w:textAlignment w:val="auto"/>
        <w:rPr>
          <w:rFonts w:ascii="仿宋_GB2312" w:eastAsia="仿宋_GB2312" w:cs="仿宋_GB2312" w:hint="eastAsia"/>
          <w:sz w:val="32"/>
          <w:szCs w:val="32"/>
          <w:highlight w:val="auto"/>
        </w:rPr>
      </w:pPr>
      <w:bookmarkStart w:id="17" w:name="_Toc15377200"/>
      <w:bookmarkStart w:id="18" w:name="_Toc111208497"/>
      <w:bookmarkEnd w:id="15"/>
      <w:bookmarkEnd w:id="16"/>
      <w:r>
        <w:rPr>
          <w:rFonts w:ascii="仿宋_GB2312" w:eastAsia="仿宋_GB2312" w:cs="仿宋_GB2312" w:hint="eastAsia"/>
          <w:sz w:val="32"/>
          <w:szCs w:val="32"/>
          <w:lang w:val="en-US" w:eastAsia="zh-CN"/>
          <w:highlight w:val="auto"/>
        </w:rPr>
        <w:t>1.</w:t>
      </w:r>
      <w:r>
        <w:rPr>
          <w:rFonts w:ascii="仿宋_GB2312" w:eastAsia="仿宋_GB2312" w:cs="仿宋_GB2312" w:hint="eastAsia"/>
          <w:sz w:val="32"/>
          <w:szCs w:val="32"/>
          <w:highlight w:val="auto"/>
        </w:rPr>
        <w:t>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lang w:val="en-US" w:eastAsia="zh-CN"/>
          <w:highlight w:val="auto"/>
        </w:rPr>
        <w:t>2.</w:t>
      </w:r>
      <w:r>
        <w:rPr>
          <w:rFonts w:ascii="仿宋_GB2312" w:eastAsia="仿宋_GB2312" w:cs="仿宋_GB2312" w:hint="eastAsia"/>
          <w:sz w:val="32"/>
          <w:szCs w:val="32"/>
          <w:highlight w:val="auto"/>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lang w:val="en-US" w:eastAsia="zh-CN"/>
          <w:highlight w:val="auto"/>
        </w:rPr>
        <w:t>3.</w:t>
      </w:r>
      <w:r>
        <w:rPr>
          <w:rFonts w:ascii="仿宋_GB2312" w:eastAsia="仿宋_GB2312" w:cs="仿宋_GB2312" w:hint="eastAsia"/>
          <w:sz w:val="32"/>
          <w:szCs w:val="32"/>
          <w:highlight w:val="auto"/>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lang w:val="en-US" w:eastAsia="zh-CN"/>
          <w:highlight w:val="auto"/>
        </w:rPr>
        <w:t>4.</w:t>
      </w:r>
      <w:r>
        <w:rPr>
          <w:rFonts w:ascii="仿宋_GB2312" w:eastAsia="仿宋_GB2312" w:cs="仿宋_GB2312" w:hint="eastAsia"/>
          <w:sz w:val="32"/>
          <w:szCs w:val="32"/>
          <w:highlight w:val="auto"/>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ascii="仿宋_GB2312" w:eastAsia="仿宋_GB2312" w:cs="仿宋_GB2312" w:hint="eastAsia"/>
          <w:sz w:val="32"/>
          <w:szCs w:val="32"/>
          <w:lang w:val="en-US" w:eastAsia="zh-CN"/>
          <w:highlight w:val="auto"/>
        </w:rPr>
        <w:t>,</w:t>
      </w:r>
      <w:r>
        <w:rPr>
          <w:rFonts w:ascii="仿宋_GB2312" w:eastAsia="仿宋_GB2312" w:cs="仿宋_GB2312" w:hint="eastAsia"/>
          <w:sz w:val="32"/>
          <w:szCs w:val="32"/>
          <w:highlight w:val="auto"/>
        </w:rPr>
        <w:t>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lang w:val="en-US" w:eastAsia="zh-CN"/>
          <w:highlight w:val="auto"/>
        </w:rPr>
        <w:t>5.</w:t>
      </w:r>
      <w:r>
        <w:rPr>
          <w:rFonts w:ascii="仿宋_GB2312" w:eastAsia="仿宋_GB2312" w:cs="仿宋_GB2312" w:hint="eastAsia"/>
          <w:sz w:val="32"/>
          <w:szCs w:val="32"/>
          <w:highlight w:val="auto"/>
        </w:rPr>
        <w:t>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eastAsia="zh-CN"/>
          <w:highlight w:val="auto"/>
        </w:rPr>
      </w:pPr>
      <w:r>
        <w:rPr>
          <w:rFonts w:ascii="仿宋_GB2312" w:eastAsia="仿宋_GB2312" w:cs="仿宋_GB2312" w:hint="eastAsia"/>
          <w:sz w:val="32"/>
          <w:szCs w:val="32"/>
          <w:lang w:val="en-US" w:eastAsia="zh-CN"/>
          <w:highlight w:val="auto"/>
        </w:rPr>
        <w:t>6.</w:t>
      </w:r>
      <w:r>
        <w:rPr>
          <w:rFonts w:ascii="仿宋_GB2312" w:eastAsia="仿宋_GB2312" w:cs="仿宋_GB2312" w:hint="eastAsia"/>
          <w:sz w:val="32"/>
          <w:szCs w:val="32"/>
          <w:highlight w:val="auto"/>
        </w:rPr>
        <w:t>统筹区域发展。落实关于辖区发展的重大决策，制定辖区经济和社会发展规划、公共服务设施布局；负责乡村振兴工作，做好民生保障、扶贫开发、民族宗教等工作，推动辖区经济社会健康、有序、可持续发展</w:t>
      </w:r>
      <w:r>
        <w:rPr>
          <w:rFonts w:ascii="仿宋_GB2312" w:eastAsia="仿宋_GB2312" w:cs="仿宋_GB2312" w:hint="eastAsia"/>
          <w:sz w:val="32"/>
          <w:szCs w:val="32"/>
          <w:lang w:eastAsia="zh-CN"/>
          <w:highlight w:val="auto"/>
        </w:rPr>
        <w:t>。</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lang w:val="en-US" w:eastAsia="zh-CN"/>
          <w:highlight w:val="auto"/>
        </w:rPr>
        <w:t>7.</w:t>
      </w:r>
      <w:r>
        <w:rPr>
          <w:rFonts w:ascii="仿宋_GB2312" w:eastAsia="仿宋_GB2312" w:cs="仿宋_GB2312" w:hint="eastAsia"/>
          <w:sz w:val="32"/>
          <w:szCs w:val="32"/>
          <w:highlight w:val="auto"/>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lang w:val="en-US" w:eastAsia="zh-CN"/>
          <w:highlight w:val="auto"/>
        </w:rPr>
        <w:t>8.</w:t>
      </w:r>
      <w:r>
        <w:rPr>
          <w:rFonts w:ascii="仿宋_GB2312" w:eastAsia="仿宋_GB2312" w:cs="仿宋_GB2312" w:hint="eastAsia"/>
          <w:sz w:val="32"/>
          <w:szCs w:val="32"/>
          <w:highlight w:val="auto"/>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eastAsia="zh-CN"/>
          <w:highlight w:val="auto"/>
        </w:rPr>
      </w:pPr>
      <w:r>
        <w:rPr>
          <w:rFonts w:ascii="仿宋_GB2312" w:eastAsia="仿宋_GB2312" w:cs="仿宋_GB2312" w:hint="eastAsia"/>
          <w:sz w:val="32"/>
          <w:szCs w:val="32"/>
          <w:lang w:val="en-US" w:eastAsia="zh-CN"/>
          <w:highlight w:val="auto"/>
        </w:rPr>
        <w:t>9.</w:t>
      </w:r>
      <w:r>
        <w:rPr>
          <w:rFonts w:ascii="仿宋_GB2312" w:eastAsia="仿宋_GB2312" w:cs="仿宋_GB2312" w:hint="eastAsia"/>
          <w:sz w:val="32"/>
          <w:szCs w:val="32"/>
          <w:highlight w:val="auto"/>
        </w:rPr>
        <w:t>负责辖区范围内的应急管理、社会稳定、安全生产、生态环境保护、社会信用体系建设和审批服务便民化等</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highlight w:val="auto"/>
        </w:rPr>
        <w:t>工作。</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lang w:val="en-US" w:eastAsia="zh-CN"/>
          <w:highlight w:val="auto"/>
        </w:rPr>
        <w:t>10.</w:t>
      </w:r>
      <w:r>
        <w:rPr>
          <w:rFonts w:ascii="仿宋_GB2312" w:eastAsia="仿宋_GB2312" w:cs="仿宋_GB2312" w:hint="eastAsia"/>
          <w:sz w:val="32"/>
          <w:szCs w:val="32"/>
          <w:highlight w:val="auto"/>
        </w:rPr>
        <w:t>负责辖区农村经营管理体系建设工作。</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lang w:val="en-US" w:eastAsia="zh-CN"/>
          <w:highlight w:val="auto"/>
        </w:rPr>
        <w:t>11.</w:t>
      </w:r>
      <w:r>
        <w:rPr>
          <w:rFonts w:ascii="仿宋_GB2312" w:eastAsia="仿宋_GB2312" w:cs="仿宋_GB2312" w:hint="eastAsia"/>
          <w:sz w:val="32"/>
          <w:szCs w:val="32"/>
          <w:highlight w:val="auto"/>
        </w:rPr>
        <w:t>完成县委、</w:t>
      </w:r>
      <w:r>
        <w:rPr>
          <w:rFonts w:ascii="仿宋_GB2312" w:eastAsia="仿宋_GB2312" w:cs="仿宋_GB2312" w:hint="eastAsia"/>
          <w:sz w:val="32"/>
          <w:szCs w:val="32"/>
          <w:lang w:eastAsia="zh-CN"/>
          <w:highlight w:val="auto"/>
        </w:rPr>
        <w:t>县政府</w:t>
      </w:r>
      <w:r>
        <w:rPr>
          <w:rFonts w:ascii="仿宋_GB2312" w:eastAsia="仿宋_GB2312" w:cs="仿宋_GB2312" w:hint="eastAsia"/>
          <w:sz w:val="32"/>
          <w:szCs w:val="32"/>
          <w:highlight w:val="auto"/>
        </w:rPr>
        <w:t>交办的其他任务。</w:t>
      </w:r>
    </w:p>
    <w:p>
      <w:pPr>
        <w:pStyle w:val="2"/>
        <w:keepNext/>
        <w:keepLines/>
        <w:pageBreakBefore w:val="0"/>
        <w:widowControl w:val="0"/>
        <w:kinsoku/>
        <w:wordWrap/>
        <w:overflowPunct/>
        <w:topLinePunct w:val="0"/>
        <w:autoSpaceDE/>
        <w:autoSpaceDN/>
        <w:bidi w:val="0"/>
        <w:adjustRightInd/>
        <w:snapToGrid/>
        <w:spacing w:after="0" w:afterAutospacing="0" w:line="300" w:lineRule="exact"/>
        <w:ind w:firstLineChars="200" w:firstLine="640"/>
        <w:textAlignment w:val="auto"/>
        <w:rPr>
          <w:rFonts w:ascii="黑体" w:eastAsia="黑体" w:cs="Times New Roman" w:hint="eastAsia"/>
          <w:bCs w:val="0"/>
          <w:color w:val="000000"/>
          <w:highlight w:val="auto"/>
        </w:rPr>
      </w:pPr>
      <w:bookmarkStart w:id="19" w:name="_Toc16911"/>
      <w:r>
        <w:rPr>
          <w:rFonts w:ascii="黑体" w:eastAsia="黑体" w:cs="Times New Roman" w:hint="eastAsia"/>
          <w:bCs w:val="0"/>
          <w:color w:val="000000"/>
          <w:highlight w:val="auto"/>
        </w:rPr>
        <w:t>二、机构设置</w:t>
      </w:r>
      <w:bookmarkEnd w:id="17"/>
      <w:bookmarkEnd w:id="18"/>
      <w:bookmarkEnd w:id="19"/>
    </w:p>
    <w:p>
      <w:pPr>
        <w:keepNext w:val="0"/>
        <w:keepLines w:val="0"/>
        <w:pageBreakBefore w:val="0"/>
        <w:widowControl w:val="0"/>
        <w:kinsoku/>
        <w:wordWrap/>
        <w:overflowPunct/>
        <w:topLinePunct w:val="0"/>
        <w:autoSpaceDE/>
        <w:autoSpaceDN/>
        <w:bidi w:val="0"/>
        <w:spacing w:beforeAutospacing="0" w:line="576" w:lineRule="exact"/>
        <w:ind w:firstLineChars="200" w:firstLine="640"/>
        <w:textAlignment w:val="auto"/>
        <w:rPr>
          <w:rFonts w:ascii="仿宋_GB2312" w:eastAsia="仿宋_GB2312" w:cs="仿宋_GB2312" w:hint="eastAsia"/>
          <w:b/>
          <w:bCs/>
          <w:sz w:val="32"/>
          <w:szCs w:val="32"/>
          <w:lang w:val="zh-CN"/>
          <w:highlight w:val="auto"/>
        </w:rPr>
      </w:pPr>
      <w:r>
        <w:rPr>
          <w:rFonts w:ascii="仿宋_GB2312" w:eastAsia="仿宋_GB2312" w:cs="仿宋_GB2312" w:hint="eastAsia"/>
          <w:b/>
          <w:bCs/>
          <w:sz w:val="32"/>
          <w:szCs w:val="32"/>
          <w:lang w:val="zh-CN"/>
          <w:highlight w:val="auto"/>
        </w:rPr>
        <w:t>（一）机构组成</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rPr>
        <w:t>茂县洼底镇人民政府属一级预算单位，其中行政单位</w:t>
      </w:r>
      <w:r>
        <w:rPr>
          <w:rFonts w:ascii="仿宋_GB2312" w:eastAsia="仿宋_GB2312" w:cs="仿宋_GB2312" w:hint="eastAsia"/>
          <w:sz w:val="32"/>
          <w:szCs w:val="32"/>
          <w:lang w:val="en-US" w:eastAsia="zh-CN"/>
        </w:rPr>
        <w:t>1个，参照公务员法管理的事业单位0个，其他事业单位1个。</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纳入茂县洼底镇人民政府2024年度部门决算编制范围的二级预算单位包括：</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zh-CN"/>
          <w:highlight w:val="auto"/>
        </w:rPr>
      </w:pPr>
      <w:r>
        <w:rPr>
          <w:rFonts w:ascii="仿宋_GB2312" w:eastAsia="仿宋_GB2312" w:cs="仿宋_GB2312" w:hint="eastAsia"/>
          <w:sz w:val="32"/>
          <w:szCs w:val="32"/>
          <w:lang w:val="en-US" w:eastAsia="zh-CN"/>
        </w:rPr>
        <w:t>1.茂县洼底镇便民服务中心</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highlight w:val="auto"/>
        </w:rPr>
      </w:pPr>
      <w:r>
        <w:rPr>
          <w:rFonts w:ascii="仿宋_GB2312" w:eastAsia="仿宋_GB2312" w:cs="仿宋_GB2312" w:hint="eastAsia"/>
          <w:sz w:val="32"/>
          <w:szCs w:val="32"/>
          <w:highlight w:val="auto"/>
        </w:rPr>
        <w:br w:type="page"/>
      </w:r>
    </w:p>
    <w:p>
      <w:pPr>
        <w:pStyle w:val="1"/>
        <w:jc w:val="center"/>
        <w:rPr>
          <w:rFonts w:ascii="黑体" w:eastAsia="黑体" w:cs="黑体"/>
          <w:highlight w:val="auto"/>
        </w:rPr>
      </w:pPr>
      <w:bookmarkStart w:id="20" w:name="_Toc12146"/>
      <w:r>
        <w:rPr>
          <w:rFonts w:ascii="黑体" w:eastAsia="黑体" w:cs="黑体" w:hint="eastAsia"/>
          <w:highlight w:val="auto"/>
        </w:rPr>
        <w:t>第二部分</w:t>
      </w:r>
      <w:r>
        <w:rPr>
          <w:rFonts w:ascii="黑体" w:eastAsia="黑体" w:cs="黑体"/>
          <w:highlight w:val="auto"/>
        </w:rPr>
        <w:t xml:space="preserve"> </w:t>
      </w:r>
      <w:r>
        <w:rPr>
          <w:rFonts w:ascii="黑体" w:eastAsia="黑体" w:cs="黑体" w:hint="eastAsia"/>
          <w:lang w:eastAsia="zh-CN"/>
          <w:highlight w:val="auto"/>
        </w:rPr>
        <w:t>2024</w:t>
      </w:r>
      <w:r>
        <w:rPr>
          <w:rFonts w:ascii="黑体" w:eastAsia="黑体" w:cs="黑体"/>
          <w:u w:color="auto"/>
          <w:highlight w:val="auto"/>
        </w:rPr>
        <w:t>年度</w:t>
      </w:r>
      <w:r>
        <w:rPr>
          <w:rFonts w:ascii="黑体" w:eastAsia="黑体" w:cs="黑体" w:hint="eastAsia"/>
          <w:u w:color="auto"/>
          <w:lang w:eastAsia="zh-CN"/>
          <w:highlight w:val="auto"/>
        </w:rPr>
        <w:t>单位</w:t>
      </w:r>
      <w:r>
        <w:rPr>
          <w:rFonts w:ascii="黑体" w:eastAsia="黑体" w:cs="黑体"/>
          <w:u w:color="auto"/>
          <w:highlight w:val="auto"/>
        </w:rPr>
        <w:t>决算情况说明</w:t>
      </w:r>
      <w:bookmarkEnd w:id="10"/>
      <w:bookmarkEnd w:id="11"/>
      <w:bookmarkEnd w:id="20"/>
    </w:p>
    <w:p>
      <w:pPr>
        <w:pStyle w:val="2"/>
        <w:keepNext/>
        <w:keepLines/>
        <w:pageBreakBefore w:val="0"/>
        <w:widowControl w:val="0"/>
        <w:kinsoku/>
        <w:wordWrap/>
        <w:overflowPunct/>
        <w:topLinePunct w:val="0"/>
        <w:autoSpaceDE/>
        <w:autoSpaceDN/>
        <w:bidi w:val="0"/>
        <w:adjustRightInd/>
        <w:snapToGrid/>
        <w:spacing w:after="0" w:afterAutospacing="0" w:line="400" w:lineRule="exact"/>
        <w:ind w:firstLineChars="200" w:firstLine="640"/>
        <w:textAlignment w:val="auto"/>
        <w:rPr>
          <w:rFonts w:ascii="黑体" w:eastAsia="黑体" w:cs="Times New Roman"/>
          <w:bCs w:val="0"/>
          <w:color w:val="000000"/>
          <w:highlight w:val="auto"/>
        </w:rPr>
      </w:pPr>
      <w:bookmarkStart w:id="21" w:name="_Toc15377205"/>
      <w:bookmarkStart w:id="22" w:name="_Toc111208499"/>
      <w:bookmarkStart w:id="23" w:name="_Toc2086"/>
      <w:r>
        <w:rPr>
          <w:rFonts w:ascii="黑体" w:eastAsia="黑体" w:cs="Times New Roman" w:hint="eastAsia"/>
          <w:bCs w:val="0"/>
          <w:color w:val="000000"/>
          <w:highlight w:val="auto"/>
        </w:rPr>
        <w:t>一、收入支出决算总体情况说</w:t>
      </w:r>
      <w:bookmarkEnd w:id="21"/>
      <w:r>
        <w:rPr>
          <w:rFonts w:ascii="黑体" w:eastAsia="黑体" w:cs="Times New Roman" w:hint="eastAsia"/>
          <w:bCs w:val="0"/>
          <w:color w:val="000000"/>
          <w:highlight w:val="auto"/>
        </w:rPr>
        <w:t>明</w:t>
      </w:r>
      <w:bookmarkEnd w:id="22"/>
      <w:bookmarkEnd w:id="23"/>
    </w:p>
    <w:p>
      <w:pPr>
        <w:spacing w:beforeAutospacing="0" w:line="600" w:lineRule="exact"/>
        <w:ind w:firstLineChars="200" w:firstLine="640"/>
        <w:rPr>
          <w:rFonts w:ascii="仿宋_GB2312" w:eastAsia="仿宋_GB2312"/>
          <w:color w:val="000000"/>
          <w:sz w:val="28"/>
          <w:szCs w:val="28"/>
          <w:highlight w:val="auto"/>
        </w:rPr>
      </w:pPr>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szCs w:val="32"/>
          <w:highlight w:val="auto"/>
        </w:rPr>
        <w:t>年度收、支总计</w:t>
      </w:r>
      <w:r>
        <w:rPr>
          <w:rFonts w:ascii="仿宋_GB2312" w:eastAsia="仿宋_GB2312" w:cs="仿宋_GB2312" w:hint="eastAsia"/>
          <w:color w:val="000000"/>
          <w:sz w:val="32"/>
          <w:szCs w:val="32"/>
          <w:lang w:eastAsia="zh-CN"/>
          <w:highlight w:val="auto"/>
        </w:rPr>
        <w:t>723.42</w:t>
      </w:r>
      <w:r>
        <w:rPr>
          <w:rFonts w:ascii="仿宋_GB2312" w:eastAsia="仿宋_GB2312" w:cs="仿宋_GB2312" w:hint="eastAsia"/>
          <w:color w:val="000000"/>
          <w:sz w:val="32"/>
          <w:szCs w:val="32"/>
          <w:highlight w:val="auto"/>
        </w:rPr>
        <w:t>万元。与</w:t>
      </w:r>
      <w:r>
        <w:rPr>
          <w:rFonts w:ascii="仿宋_GB2312" w:eastAsia="仿宋_GB2312" w:cs="仿宋_GB2312" w:hint="eastAsia"/>
          <w:color w:val="000000"/>
          <w:sz w:val="32"/>
          <w:szCs w:val="32"/>
          <w:lang w:eastAsia="zh-CN"/>
          <w:highlight w:val="auto"/>
        </w:rPr>
        <w:t>2023</w:t>
      </w:r>
      <w:r>
        <w:rPr>
          <w:rFonts w:ascii="仿宋_GB2312" w:eastAsia="仿宋_GB2312" w:cs="仿宋_GB2312" w:hint="eastAsia"/>
          <w:color w:val="000000"/>
          <w:sz w:val="32"/>
          <w:szCs w:val="32"/>
          <w:highlight w:val="auto"/>
        </w:rPr>
        <w:t>年相比，收、支总计各</w:t>
      </w:r>
      <w:r>
        <w:rPr>
          <w:rFonts w:ascii="仿宋_GB2312" w:eastAsia="仿宋_GB2312" w:cs="仿宋_GB2312" w:hint="eastAsia"/>
          <w:color w:val="000000"/>
          <w:sz w:val="32"/>
          <w:szCs w:val="32"/>
          <w:lang w:val="en-US" w:eastAsia="zh-CN"/>
          <w:highlight w:val="auto"/>
        </w:rPr>
        <w:t>增加72.39</w:t>
      </w:r>
      <w:r>
        <w:rPr>
          <w:rFonts w:ascii="仿宋_GB2312" w:eastAsia="仿宋_GB2312" w:cs="仿宋_GB2312" w:hint="eastAsia"/>
          <w:color w:val="000000"/>
          <w:sz w:val="32"/>
          <w:szCs w:val="32"/>
          <w:highlight w:val="auto"/>
        </w:rPr>
        <w:t>万元，</w:t>
      </w:r>
      <w:r>
        <w:rPr>
          <w:rFonts w:ascii="仿宋_GB2312" w:eastAsia="仿宋_GB2312" w:cs="仿宋_GB2312" w:hint="eastAsia"/>
          <w:color w:val="000000"/>
          <w:sz w:val="32"/>
          <w:szCs w:val="32"/>
          <w:lang w:val="en-US" w:eastAsia="zh-CN"/>
          <w:highlight w:val="auto"/>
        </w:rPr>
        <w:t>增加11.12</w:t>
      </w:r>
      <w:r>
        <w:rPr>
          <w:rFonts w:ascii="仿宋_GB2312" w:eastAsia="仿宋_GB2312" w:cs="仿宋_GB2312" w:hint="eastAsia"/>
          <w:color w:val="000000"/>
          <w:sz w:val="32"/>
          <w:szCs w:val="32"/>
          <w:highlight w:val="auto"/>
        </w:rPr>
        <w:t>%。</w:t>
      </w:r>
      <w:r>
        <w:rPr>
          <w:rFonts w:ascii="仿宋_GB2312" w:eastAsia="仿宋_GB2312" w:cs="仿宋_GB2312" w:hint="eastAsia"/>
          <w:color w:val="000000"/>
          <w:sz w:val="32"/>
          <w:u w:color="auto"/>
          <w:highlight w:val="auto"/>
        </w:rPr>
        <w:t>主要变动原因是</w:t>
      </w:r>
      <w:r>
        <w:rPr>
          <w:rFonts w:ascii="仿宋_GB2312" w:eastAsia="仿宋_GB2312" w:cs="仿宋_GB2312" w:hint="eastAsia"/>
          <w:color w:val="000000"/>
          <w:sz w:val="32"/>
          <w:u w:color="auto"/>
          <w:lang w:eastAsia="zh-CN"/>
          <w:highlight w:val="auto"/>
        </w:rPr>
        <w:t>：人员</w:t>
      </w:r>
      <w:r>
        <w:rPr>
          <w:rFonts w:ascii="仿宋_GB2312" w:eastAsia="仿宋_GB2312" w:cs="仿宋_GB2312" w:hint="eastAsia"/>
          <w:color w:val="000000"/>
          <w:sz w:val="32"/>
          <w:u w:color="auto"/>
          <w:lang w:val="en-US" w:eastAsia="zh-CN"/>
          <w:highlight w:val="auto"/>
        </w:rPr>
        <w:t>增加</w:t>
      </w:r>
      <w:r>
        <w:rPr>
          <w:rFonts w:ascii="仿宋_GB2312" w:eastAsia="仿宋_GB2312" w:cs="仿宋_GB2312" w:hint="eastAsia"/>
          <w:color w:val="000000"/>
          <w:sz w:val="32"/>
          <w:u w:color="auto"/>
          <w:lang w:eastAsia="zh-CN"/>
          <w:highlight w:val="auto"/>
        </w:rPr>
        <w:t>。</w:t>
      </w:r>
    </w:p>
    <w:p>
      <w:pPr>
        <w:pStyle w:val="16"/>
        <w:rPr>
          <w:highlight w:val="auto"/>
        </w:rPr>
      </w:pPr>
      <w:r>
        <w:rPr>
          <w:rFonts w:eastAsia="仿宋" w:hint="eastAsia"/>
          <w:lang w:eastAsia="zh-CN"/>
          <w:highlight w:val="auto"/>
        </w:rPr>
        <w:drawing>
          <wp:inline distT="0" distB="0" distL="114300" distR="114300">
            <wp:extent cx="5256530" cy="2988310"/>
            <wp:effectExtent l="0" t="0" r="0" b="0"/>
            <wp:docPr id="1" name="图表 8"/>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keepNext/>
        <w:keepLines/>
        <w:pageBreakBefore w:val="0"/>
        <w:widowControl w:val="0"/>
        <w:kinsoku/>
        <w:wordWrap/>
        <w:overflowPunct/>
        <w:topLinePunct w:val="0"/>
        <w:autoSpaceDE/>
        <w:autoSpaceDN/>
        <w:bidi w:val="0"/>
        <w:adjustRightInd/>
        <w:snapToGrid/>
        <w:spacing w:after="0" w:afterAutospacing="0" w:line="300" w:lineRule="exact"/>
        <w:ind w:firstLineChars="200" w:firstLine="640"/>
        <w:textAlignment w:val="auto"/>
        <w:rPr>
          <w:rFonts w:ascii="黑体" w:eastAsia="黑体" w:cs="Times New Roman" w:hint="eastAsia"/>
          <w:bCs w:val="0"/>
          <w:color w:val="000000"/>
          <w:highlight w:val="auto"/>
        </w:rPr>
      </w:pPr>
      <w:bookmarkStart w:id="24" w:name="_Toc15377206"/>
      <w:bookmarkStart w:id="25" w:name="_Toc25698"/>
      <w:bookmarkStart w:id="26" w:name="_Toc111208500"/>
      <w:r>
        <w:rPr>
          <w:rFonts w:ascii="黑体" w:eastAsia="黑体" w:cs="Times New Roman" w:hint="eastAsia"/>
          <w:bCs w:val="0"/>
          <w:color w:val="000000"/>
          <w:highlight w:val="auto"/>
        </w:rPr>
        <w:t>二、收入决算情况说明</w:t>
      </w:r>
      <w:bookmarkEnd w:id="24"/>
      <w:bookmarkEnd w:id="25"/>
      <w:bookmarkEnd w:id="26"/>
    </w:p>
    <w:p>
      <w:pPr>
        <w:spacing w:beforeAutospacing="0" w:line="600" w:lineRule="exact"/>
        <w:ind w:firstLineChars="200" w:firstLine="640"/>
        <w:rPr>
          <w:rFonts w:ascii="仿宋" w:eastAsia="仿宋"/>
          <w:color w:val="000000"/>
          <w:sz w:val="32"/>
          <w:szCs w:val="32"/>
          <w:highlight w:val="auto"/>
        </w:rPr>
      </w:pPr>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u w:color="auto"/>
          <w:highlight w:val="auto"/>
        </w:rPr>
        <w:t>年收入合计</w:t>
      </w:r>
      <w:r>
        <w:rPr>
          <w:rFonts w:ascii="仿宋_GB2312" w:eastAsia="仿宋_GB2312" w:cs="仿宋_GB2312" w:hint="eastAsia"/>
          <w:color w:val="000000"/>
          <w:sz w:val="32"/>
          <w:u w:color="auto"/>
          <w:lang w:eastAsia="zh-CN"/>
          <w:highlight w:val="auto"/>
        </w:rPr>
        <w:t>723.42</w:t>
      </w:r>
      <w:r>
        <w:rPr>
          <w:rFonts w:ascii="仿宋_GB2312" w:eastAsia="仿宋_GB2312" w:cs="仿宋_GB2312" w:hint="eastAsia"/>
          <w:color w:val="000000"/>
          <w:sz w:val="32"/>
          <w:u w:color="auto"/>
          <w:highlight w:val="auto"/>
        </w:rPr>
        <w:t>万元，其中：一般公共预算财政拨款收入</w:t>
      </w:r>
      <w:r>
        <w:rPr>
          <w:rFonts w:ascii="仿宋_GB2312" w:eastAsia="仿宋_GB2312" w:cs="仿宋_GB2312" w:hint="eastAsia"/>
          <w:color w:val="000000"/>
          <w:sz w:val="32"/>
          <w:u w:color="auto"/>
          <w:lang w:eastAsia="zh-CN"/>
          <w:highlight w:val="auto"/>
        </w:rPr>
        <w:t>723.42</w:t>
      </w:r>
      <w:r>
        <w:rPr>
          <w:rFonts w:ascii="仿宋_GB2312" w:eastAsia="仿宋_GB2312" w:cs="仿宋_GB2312" w:hint="eastAsia"/>
          <w:color w:val="000000"/>
          <w:sz w:val="32"/>
          <w:u w:color="auto"/>
          <w:highlight w:val="auto"/>
        </w:rPr>
        <w:t>万元，占100%。</w:t>
      </w:r>
    </w:p>
    <w:p>
      <w:pPr>
        <w:pStyle w:val="15"/>
        <w:jc w:val="center"/>
        <w:rPr>
          <w:highlight w:val="auto"/>
        </w:rPr>
      </w:pPr>
      <w:r>
        <w:rPr>
          <w:rFonts w:ascii="仿宋_GB2312" w:eastAsia="仿宋_GB2312" w:hint="eastAsia"/>
          <w:color w:val="FF0000"/>
          <w:sz w:val="32"/>
          <w:szCs w:val="32"/>
          <w:highlight w:val="auto"/>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keepNext/>
        <w:keepLines/>
        <w:pageBreakBefore w:val="0"/>
        <w:widowControl w:val="0"/>
        <w:kinsoku/>
        <w:wordWrap/>
        <w:overflowPunct/>
        <w:topLinePunct w:val="0"/>
        <w:autoSpaceDE/>
        <w:autoSpaceDN/>
        <w:bidi w:val="0"/>
        <w:adjustRightInd/>
        <w:snapToGrid/>
        <w:spacing w:after="0" w:afterAutospacing="0" w:line="300" w:lineRule="exact"/>
        <w:ind w:firstLineChars="200" w:firstLine="640"/>
        <w:textAlignment w:val="auto"/>
        <w:rPr>
          <w:rFonts w:ascii="黑体" w:eastAsia="黑体" w:cs="Times New Roman" w:hint="eastAsia"/>
          <w:bCs w:val="0"/>
          <w:color w:val="000000"/>
          <w:highlight w:val="auto"/>
        </w:rPr>
      </w:pPr>
      <w:bookmarkStart w:id="27" w:name="_Toc15377207"/>
      <w:bookmarkStart w:id="28" w:name="_Toc111208501"/>
      <w:bookmarkStart w:id="29" w:name="_Toc470"/>
      <w:r>
        <w:rPr>
          <w:rFonts w:ascii="黑体" w:eastAsia="黑体" w:cs="Times New Roman" w:hint="eastAsia"/>
          <w:bCs w:val="0"/>
          <w:color w:val="000000"/>
          <w:highlight w:val="auto"/>
        </w:rPr>
        <w:t>三、支出决算情况说明</w:t>
      </w:r>
      <w:bookmarkEnd w:id="27"/>
      <w:bookmarkEnd w:id="28"/>
      <w:bookmarkEnd w:id="29"/>
    </w:p>
    <w:p>
      <w:pPr>
        <w:pStyle w:val="16"/>
        <w:spacing w:beforeAutospacing="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szCs w:val="32"/>
          <w:highlight w:val="auto"/>
        </w:rPr>
        <w:t>年支出合计</w:t>
      </w:r>
      <w:r>
        <w:rPr>
          <w:rFonts w:ascii="仿宋_GB2312" w:eastAsia="仿宋_GB2312" w:cs="仿宋_GB2312" w:hint="eastAsia"/>
          <w:color w:val="000000"/>
          <w:sz w:val="32"/>
          <w:szCs w:val="32"/>
          <w:lang w:eastAsia="zh-CN"/>
          <w:highlight w:val="auto"/>
        </w:rPr>
        <w:t>723.42</w:t>
      </w:r>
      <w:r>
        <w:rPr>
          <w:rFonts w:ascii="仿宋_GB2312" w:eastAsia="仿宋_GB2312" w:cs="仿宋_GB2312" w:hint="eastAsia"/>
          <w:color w:val="000000"/>
          <w:sz w:val="32"/>
          <w:szCs w:val="32"/>
          <w:highlight w:val="auto"/>
        </w:rPr>
        <w:t>万元，其中：基本支出</w:t>
      </w:r>
      <w:r>
        <w:rPr>
          <w:rFonts w:ascii="仿宋_GB2312" w:eastAsia="仿宋_GB2312" w:cs="仿宋_GB2312" w:hint="eastAsia"/>
          <w:color w:val="000000"/>
          <w:sz w:val="32"/>
          <w:szCs w:val="32"/>
          <w:lang w:eastAsia="zh-CN"/>
          <w:highlight w:val="auto"/>
        </w:rPr>
        <w:t>479.23</w:t>
      </w:r>
      <w:r>
        <w:rPr>
          <w:rFonts w:ascii="仿宋_GB2312" w:eastAsia="仿宋_GB2312" w:cs="仿宋_GB2312" w:hint="eastAsia"/>
          <w:color w:val="000000"/>
          <w:sz w:val="32"/>
          <w:szCs w:val="32"/>
          <w:highlight w:val="auto"/>
        </w:rPr>
        <w:t>万元，占</w:t>
      </w:r>
      <w:r>
        <w:rPr>
          <w:rFonts w:ascii="仿宋_GB2312" w:eastAsia="仿宋_GB2312" w:cs="仿宋_GB2312" w:hint="eastAsia"/>
          <w:color w:val="000000"/>
          <w:sz w:val="32"/>
          <w:szCs w:val="32"/>
          <w:lang w:val="en-US" w:eastAsia="zh-CN"/>
          <w:highlight w:val="auto"/>
        </w:rPr>
        <w:t>66.25</w:t>
      </w:r>
      <w:r>
        <w:rPr>
          <w:rFonts w:ascii="仿宋_GB2312" w:eastAsia="仿宋_GB2312" w:cs="仿宋_GB2312" w:hint="eastAsia"/>
          <w:color w:val="000000"/>
          <w:sz w:val="32"/>
          <w:szCs w:val="32"/>
          <w:highlight w:val="auto"/>
        </w:rPr>
        <w:t>%；项目支出</w:t>
      </w:r>
      <w:r>
        <w:rPr>
          <w:rFonts w:ascii="仿宋_GB2312" w:eastAsia="仿宋_GB2312" w:cs="仿宋_GB2312" w:hint="eastAsia"/>
          <w:color w:val="000000"/>
          <w:sz w:val="32"/>
          <w:szCs w:val="32"/>
          <w:lang w:val="en-US" w:eastAsia="zh-CN"/>
          <w:highlight w:val="auto"/>
        </w:rPr>
        <w:t>244.19</w:t>
      </w:r>
      <w:r>
        <w:rPr>
          <w:rFonts w:ascii="仿宋_GB2312" w:eastAsia="仿宋_GB2312" w:cs="仿宋_GB2312" w:hint="eastAsia"/>
          <w:color w:val="000000"/>
          <w:sz w:val="32"/>
          <w:szCs w:val="32"/>
          <w:highlight w:val="auto"/>
        </w:rPr>
        <w:t>万元，占</w:t>
      </w:r>
      <w:r>
        <w:rPr>
          <w:rFonts w:ascii="仿宋_GB2312" w:eastAsia="仿宋_GB2312" w:cs="仿宋_GB2312" w:hint="eastAsia"/>
          <w:color w:val="000000"/>
          <w:sz w:val="32"/>
          <w:szCs w:val="32"/>
          <w:lang w:val="en-US" w:eastAsia="zh-CN"/>
          <w:highlight w:val="auto"/>
        </w:rPr>
        <w:t>33.75</w:t>
      </w:r>
      <w:r>
        <w:rPr>
          <w:rFonts w:ascii="仿宋_GB2312" w:eastAsia="仿宋_GB2312" w:cs="仿宋_GB2312" w:hint="eastAsia"/>
          <w:color w:val="000000"/>
          <w:sz w:val="32"/>
          <w:szCs w:val="32"/>
          <w:highlight w:val="auto"/>
        </w:rPr>
        <w:t>%。</w:t>
      </w:r>
    </w:p>
    <w:p>
      <w:pPr>
        <w:spacing w:line="600" w:lineRule="exact"/>
        <w:ind w:firstLineChars="200" w:firstLine="64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highlight w:val="auto"/>
        </w:rPr>
        <w:t>（图3：支出决算结构图）</w:t>
      </w:r>
    </w:p>
    <w:p>
      <w:pPr>
        <w:jc w:val="center"/>
        <w:rPr>
          <w:rFonts w:ascii="仿宋_GB2312" w:eastAsia="仿宋_GB2312"/>
          <w:color w:val="FF0000"/>
          <w:sz w:val="32"/>
          <w:szCs w:val="32"/>
          <w:highlight w:val="auto"/>
        </w:rPr>
      </w:pPr>
      <w:r>
        <w:rPr>
          <w:rFonts w:ascii="仿宋" w:eastAsia="仿宋" w:hint="eastAsia"/>
          <w:sz w:val="32"/>
          <w:szCs w:val="32"/>
          <w:shd w:val="pct10" w:color="auto" w:fill="FFFFFF"/>
          <w:lang w:eastAsia="zh-CN"/>
          <w:highlight w:val="auto"/>
        </w:rPr>
        <w:drawing>
          <wp:inline distT="0" distB="0" distL="114300" distR="114300">
            <wp:extent cx="5256530" cy="2988310"/>
            <wp:effectExtent l="0" t="0" r="0" b="0"/>
            <wp:docPr id="3" name="图表 10"/>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6"/>
        <w:rPr>
          <w:highlight w:val="auto"/>
        </w:rPr>
      </w:pPr>
    </w:p>
    <w:p>
      <w:pPr>
        <w:pStyle w:val="2"/>
        <w:keepNext/>
        <w:keepLines/>
        <w:pageBreakBefore w:val="0"/>
        <w:widowControl w:val="0"/>
        <w:kinsoku/>
        <w:wordWrap/>
        <w:overflowPunct/>
        <w:topLinePunct w:val="0"/>
        <w:autoSpaceDE/>
        <w:autoSpaceDN/>
        <w:bidi w:val="0"/>
        <w:adjustRightInd/>
        <w:snapToGrid/>
        <w:spacing w:after="0" w:afterAutospacing="0" w:line="400" w:lineRule="exact"/>
        <w:ind w:firstLineChars="200" w:firstLine="640"/>
        <w:textAlignment w:val="auto"/>
        <w:rPr>
          <w:rFonts w:ascii="黑体" w:eastAsia="黑体" w:cs="Times New Roman" w:hint="eastAsia"/>
          <w:bCs w:val="0"/>
          <w:color w:val="000000"/>
          <w:highlight w:val="auto"/>
        </w:rPr>
      </w:pPr>
      <w:bookmarkStart w:id="30" w:name="_Toc15377208"/>
      <w:bookmarkStart w:id="31" w:name="_Toc9070"/>
      <w:bookmarkStart w:id="32" w:name="_Toc111208502"/>
      <w:r>
        <w:rPr>
          <w:rFonts w:ascii="黑体" w:eastAsia="黑体" w:cs="Times New Roman" w:hint="eastAsia"/>
          <w:bCs w:val="0"/>
          <w:color w:val="000000"/>
          <w:highlight w:val="auto"/>
        </w:rPr>
        <w:t>四、财政拨款收入支出决算总体情况说明</w:t>
      </w:r>
      <w:bookmarkEnd w:id="30"/>
      <w:bookmarkEnd w:id="31"/>
      <w:bookmarkEnd w:id="32"/>
    </w:p>
    <w:p>
      <w:pPr>
        <w:spacing w:beforeAutospacing="0" w:line="600" w:lineRule="exact"/>
        <w:ind w:firstLineChars="200" w:firstLine="640"/>
        <w:rPr>
          <w:highlight w:val="auto"/>
        </w:rPr>
      </w:pPr>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szCs w:val="32"/>
          <w:highlight w:val="auto"/>
        </w:rPr>
        <w:t>年度收、支总计</w:t>
      </w:r>
      <w:r>
        <w:rPr>
          <w:rFonts w:ascii="仿宋_GB2312" w:eastAsia="仿宋_GB2312" w:cs="仿宋_GB2312" w:hint="eastAsia"/>
          <w:color w:val="000000"/>
          <w:sz w:val="32"/>
          <w:szCs w:val="32"/>
          <w:lang w:eastAsia="zh-CN"/>
          <w:highlight w:val="auto"/>
        </w:rPr>
        <w:t>723.42</w:t>
      </w:r>
      <w:r>
        <w:rPr>
          <w:rFonts w:ascii="仿宋_GB2312" w:eastAsia="仿宋_GB2312" w:cs="仿宋_GB2312" w:hint="eastAsia"/>
          <w:color w:val="000000"/>
          <w:sz w:val="32"/>
          <w:szCs w:val="32"/>
          <w:highlight w:val="auto"/>
        </w:rPr>
        <w:t>万元。与</w:t>
      </w:r>
      <w:r>
        <w:rPr>
          <w:rFonts w:ascii="仿宋_GB2312" w:eastAsia="仿宋_GB2312" w:cs="仿宋_GB2312" w:hint="eastAsia"/>
          <w:color w:val="000000"/>
          <w:sz w:val="32"/>
          <w:szCs w:val="32"/>
          <w:lang w:eastAsia="zh-CN"/>
          <w:highlight w:val="auto"/>
        </w:rPr>
        <w:t>2023</w:t>
      </w:r>
      <w:r>
        <w:rPr>
          <w:rFonts w:ascii="仿宋_GB2312" w:eastAsia="仿宋_GB2312" w:cs="仿宋_GB2312" w:hint="eastAsia"/>
          <w:color w:val="000000"/>
          <w:sz w:val="32"/>
          <w:szCs w:val="32"/>
          <w:highlight w:val="auto"/>
        </w:rPr>
        <w:t>年相比，收、支总计各</w:t>
      </w:r>
      <w:r>
        <w:rPr>
          <w:rFonts w:ascii="仿宋_GB2312" w:eastAsia="仿宋_GB2312" w:cs="仿宋_GB2312" w:hint="eastAsia"/>
          <w:color w:val="000000"/>
          <w:sz w:val="32"/>
          <w:szCs w:val="32"/>
          <w:lang w:val="en-US" w:eastAsia="zh-CN"/>
          <w:highlight w:val="auto"/>
        </w:rPr>
        <w:t>增加72.39</w:t>
      </w:r>
      <w:r>
        <w:rPr>
          <w:rFonts w:ascii="仿宋_GB2312" w:eastAsia="仿宋_GB2312" w:cs="仿宋_GB2312" w:hint="eastAsia"/>
          <w:color w:val="000000"/>
          <w:sz w:val="32"/>
          <w:szCs w:val="32"/>
          <w:highlight w:val="auto"/>
        </w:rPr>
        <w:t>万元，</w:t>
      </w:r>
      <w:r>
        <w:rPr>
          <w:rFonts w:ascii="仿宋_GB2312" w:eastAsia="仿宋_GB2312" w:cs="仿宋_GB2312" w:hint="eastAsia"/>
          <w:color w:val="000000"/>
          <w:sz w:val="32"/>
          <w:szCs w:val="32"/>
          <w:lang w:val="en-US" w:eastAsia="zh-CN"/>
          <w:highlight w:val="auto"/>
        </w:rPr>
        <w:t>增加11.12</w:t>
      </w:r>
      <w:r>
        <w:rPr>
          <w:rFonts w:ascii="仿宋_GB2312" w:eastAsia="仿宋_GB2312" w:cs="仿宋_GB2312" w:hint="eastAsia"/>
          <w:color w:val="000000"/>
          <w:sz w:val="32"/>
          <w:szCs w:val="32"/>
          <w:highlight w:val="auto"/>
        </w:rPr>
        <w:t>%。</w:t>
      </w:r>
      <w:r>
        <w:rPr>
          <w:rFonts w:ascii="仿宋_GB2312" w:eastAsia="仿宋_GB2312" w:cs="仿宋_GB2312" w:hint="eastAsia"/>
          <w:color w:val="000000"/>
          <w:sz w:val="32"/>
          <w:u w:color="auto"/>
          <w:highlight w:val="auto"/>
        </w:rPr>
        <w:t>主要变动原因是</w:t>
      </w:r>
      <w:r>
        <w:rPr>
          <w:rFonts w:ascii="仿宋_GB2312" w:eastAsia="仿宋_GB2312" w:cs="仿宋_GB2312" w:hint="eastAsia"/>
          <w:color w:val="000000"/>
          <w:sz w:val="32"/>
          <w:u w:color="auto"/>
          <w:lang w:eastAsia="zh-CN"/>
          <w:highlight w:val="auto"/>
        </w:rPr>
        <w:t>：人员</w:t>
      </w:r>
      <w:r>
        <w:rPr>
          <w:rFonts w:ascii="仿宋_GB2312" w:eastAsia="仿宋_GB2312" w:cs="仿宋_GB2312" w:hint="eastAsia"/>
          <w:color w:val="000000"/>
          <w:sz w:val="32"/>
          <w:u w:color="auto"/>
          <w:lang w:val="en-US" w:eastAsia="zh-CN"/>
          <w:highlight w:val="auto"/>
        </w:rPr>
        <w:t>增加</w:t>
      </w:r>
      <w:r>
        <w:rPr>
          <w:rFonts w:ascii="仿宋_GB2312" w:eastAsia="仿宋_GB2312" w:cs="仿宋_GB2312" w:hint="eastAsia"/>
          <w:color w:val="000000"/>
          <w:sz w:val="32"/>
          <w:u w:color="auto"/>
          <w:lang w:eastAsia="zh-CN"/>
          <w:highlight w:val="auto"/>
        </w:rPr>
        <w:t>。</w:t>
      </w:r>
    </w:p>
    <w:p>
      <w:pPr>
        <w:pStyle w:val="16"/>
        <w:jc w:val="left"/>
        <w:rPr>
          <w:highlight w:val="auto"/>
        </w:rPr>
      </w:pPr>
      <w:r>
        <w:rPr>
          <w:rFonts w:eastAsia="仿宋" w:hint="eastAsia"/>
          <w:lang w:eastAsia="zh-CN"/>
          <w:highlight w:val="auto"/>
        </w:rPr>
        <w:drawing>
          <wp:inline distT="0" distB="0" distL="114300" distR="114300">
            <wp:extent cx="5256530" cy="2988310"/>
            <wp:effectExtent l="0" t="0" r="0" b="0"/>
            <wp:docPr id="4" name="图表 4"/>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6"/>
        <w:jc w:val="center"/>
        <w:rPr>
          <w:highlight w:val="auto"/>
        </w:rPr>
      </w:pPr>
    </w:p>
    <w:p>
      <w:pPr>
        <w:pStyle w:val="2"/>
        <w:keepNext/>
        <w:keepLines/>
        <w:pageBreakBefore w:val="0"/>
        <w:widowControl w:val="0"/>
        <w:kinsoku/>
        <w:wordWrap/>
        <w:overflowPunct/>
        <w:topLinePunct w:val="0"/>
        <w:autoSpaceDE/>
        <w:autoSpaceDN/>
        <w:bidi w:val="0"/>
        <w:adjustRightInd/>
        <w:snapToGrid/>
        <w:spacing w:after="0" w:afterAutospacing="0" w:line="300" w:lineRule="exact"/>
        <w:ind w:firstLineChars="200" w:firstLine="640"/>
        <w:textAlignment w:val="auto"/>
        <w:rPr>
          <w:rFonts w:ascii="黑体" w:eastAsia="黑体" w:cs="Times New Roman" w:hint="eastAsia"/>
          <w:bCs w:val="0"/>
          <w:color w:val="000000"/>
          <w:highlight w:val="auto"/>
        </w:rPr>
      </w:pPr>
      <w:bookmarkStart w:id="33" w:name="_Toc15377209"/>
      <w:bookmarkStart w:id="34" w:name="_Toc111208503"/>
      <w:bookmarkStart w:id="35" w:name="_Toc24444"/>
      <w:r>
        <w:rPr>
          <w:rFonts w:ascii="黑体" w:eastAsia="黑体" w:cs="Times New Roman" w:hint="eastAsia"/>
          <w:bCs w:val="0"/>
          <w:color w:val="000000"/>
          <w:highlight w:val="auto"/>
        </w:rPr>
        <w:t>五、一般公共预算财政拨款支出决算情况说</w:t>
      </w:r>
      <w:bookmarkEnd w:id="33"/>
      <w:r>
        <w:rPr>
          <w:rFonts w:ascii="黑体" w:eastAsia="黑体" w:cs="Times New Roman" w:hint="eastAsia"/>
          <w:bCs w:val="0"/>
          <w:color w:val="000000"/>
          <w:highlight w:val="auto"/>
        </w:rPr>
        <w:t>明</w:t>
      </w:r>
      <w:bookmarkEnd w:id="34"/>
      <w:bookmarkEnd w:id="35"/>
    </w:p>
    <w:p>
      <w:pPr>
        <w:spacing w:beforeAutospacing="0" w:line="600" w:lineRule="exact"/>
        <w:ind w:firstLineChars="200" w:firstLine="640"/>
        <w:outlineLvl w:val="2"/>
        <w:rPr>
          <w:rFonts w:ascii="仿宋_GB2312" w:eastAsia="仿宋_GB2312" w:cs="仿宋_GB2312" w:hint="eastAsia"/>
          <w:b/>
          <w:color w:val="000000"/>
          <w:sz w:val="32"/>
          <w:szCs w:val="32"/>
          <w:highlight w:val="auto"/>
        </w:rPr>
      </w:pPr>
      <w:bookmarkStart w:id="36" w:name="_Toc15377210"/>
      <w:r>
        <w:rPr>
          <w:rFonts w:ascii="仿宋_GB2312" w:eastAsia="仿宋_GB2312" w:cs="仿宋_GB2312" w:hint="eastAsia"/>
          <w:b/>
          <w:color w:val="000000"/>
          <w:sz w:val="32"/>
          <w:szCs w:val="32"/>
          <w:highlight w:val="auto"/>
        </w:rPr>
        <w:t>（一）一般公共预算财政拨款支出决算总体情况</w:t>
      </w:r>
      <w:bookmarkEnd w:id="36"/>
    </w:p>
    <w:p>
      <w:pPr>
        <w:spacing w:line="600" w:lineRule="exact"/>
        <w:ind w:firstLineChars="200" w:firstLine="640"/>
        <w:rPr>
          <w:rFonts w:ascii="仿宋_GB2312" w:eastAsia="仿宋_GB2312"/>
          <w:b/>
          <w:color w:val="000000"/>
          <w:sz w:val="32"/>
          <w:szCs w:val="32"/>
          <w:highlight w:val="auto"/>
        </w:rPr>
      </w:pPr>
      <w:bookmarkStart w:id="37" w:name="_Toc15377211"/>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szCs w:val="32"/>
          <w:highlight w:val="auto"/>
        </w:rPr>
        <w:t>年度收、支总计</w:t>
      </w:r>
      <w:r>
        <w:rPr>
          <w:rFonts w:ascii="仿宋_GB2312" w:eastAsia="仿宋_GB2312" w:cs="仿宋_GB2312" w:hint="eastAsia"/>
          <w:color w:val="000000"/>
          <w:sz w:val="32"/>
          <w:szCs w:val="32"/>
          <w:lang w:eastAsia="zh-CN"/>
          <w:highlight w:val="auto"/>
        </w:rPr>
        <w:t>723.42</w:t>
      </w:r>
      <w:r>
        <w:rPr>
          <w:rFonts w:ascii="仿宋_GB2312" w:eastAsia="仿宋_GB2312" w:cs="仿宋_GB2312" w:hint="eastAsia"/>
          <w:color w:val="000000"/>
          <w:sz w:val="32"/>
          <w:szCs w:val="32"/>
          <w:highlight w:val="auto"/>
        </w:rPr>
        <w:t>万元。与</w:t>
      </w:r>
      <w:r>
        <w:rPr>
          <w:rFonts w:ascii="仿宋_GB2312" w:eastAsia="仿宋_GB2312" w:cs="仿宋_GB2312" w:hint="eastAsia"/>
          <w:color w:val="000000"/>
          <w:sz w:val="32"/>
          <w:szCs w:val="32"/>
          <w:lang w:eastAsia="zh-CN"/>
          <w:highlight w:val="auto"/>
        </w:rPr>
        <w:t>2023</w:t>
      </w:r>
      <w:r>
        <w:rPr>
          <w:rFonts w:ascii="仿宋_GB2312" w:eastAsia="仿宋_GB2312" w:cs="仿宋_GB2312" w:hint="eastAsia"/>
          <w:color w:val="000000"/>
          <w:sz w:val="32"/>
          <w:szCs w:val="32"/>
          <w:highlight w:val="auto"/>
        </w:rPr>
        <w:t>年相比，收、支总计各</w:t>
      </w:r>
      <w:r>
        <w:rPr>
          <w:rFonts w:ascii="仿宋_GB2312" w:eastAsia="仿宋_GB2312" w:cs="仿宋_GB2312" w:hint="eastAsia"/>
          <w:color w:val="000000"/>
          <w:sz w:val="32"/>
          <w:szCs w:val="32"/>
          <w:lang w:val="en-US" w:eastAsia="zh-CN"/>
          <w:highlight w:val="auto"/>
        </w:rPr>
        <w:t>增加72.39</w:t>
      </w:r>
      <w:r>
        <w:rPr>
          <w:rFonts w:ascii="仿宋_GB2312" w:eastAsia="仿宋_GB2312" w:cs="仿宋_GB2312" w:hint="eastAsia"/>
          <w:color w:val="000000"/>
          <w:sz w:val="32"/>
          <w:szCs w:val="32"/>
          <w:highlight w:val="auto"/>
        </w:rPr>
        <w:t>万元，</w:t>
      </w:r>
      <w:r>
        <w:rPr>
          <w:rFonts w:ascii="仿宋_GB2312" w:eastAsia="仿宋_GB2312" w:cs="仿宋_GB2312" w:hint="eastAsia"/>
          <w:color w:val="000000"/>
          <w:sz w:val="32"/>
          <w:szCs w:val="32"/>
          <w:lang w:val="en-US" w:eastAsia="zh-CN"/>
          <w:highlight w:val="auto"/>
        </w:rPr>
        <w:t>增加11.12</w:t>
      </w:r>
      <w:r>
        <w:rPr>
          <w:rFonts w:ascii="仿宋_GB2312" w:eastAsia="仿宋_GB2312" w:cs="仿宋_GB2312" w:hint="eastAsia"/>
          <w:color w:val="000000"/>
          <w:sz w:val="32"/>
          <w:szCs w:val="32"/>
          <w:highlight w:val="auto"/>
        </w:rPr>
        <w:t>%。</w:t>
      </w:r>
      <w:r>
        <w:rPr>
          <w:rFonts w:ascii="仿宋_GB2312" w:eastAsia="仿宋_GB2312" w:cs="仿宋_GB2312" w:hint="eastAsia"/>
          <w:color w:val="000000"/>
          <w:sz w:val="32"/>
          <w:u w:color="auto"/>
          <w:highlight w:val="auto"/>
        </w:rPr>
        <w:t>主要变动原因是</w:t>
      </w:r>
      <w:r>
        <w:rPr>
          <w:rFonts w:ascii="仿宋_GB2312" w:eastAsia="仿宋_GB2312" w:cs="仿宋_GB2312" w:hint="eastAsia"/>
          <w:color w:val="000000"/>
          <w:sz w:val="32"/>
          <w:u w:color="auto"/>
          <w:lang w:eastAsia="zh-CN"/>
          <w:highlight w:val="auto"/>
        </w:rPr>
        <w:t>：人员</w:t>
      </w:r>
      <w:r>
        <w:rPr>
          <w:rFonts w:ascii="仿宋_GB2312" w:eastAsia="仿宋_GB2312" w:cs="仿宋_GB2312" w:hint="eastAsia"/>
          <w:color w:val="000000"/>
          <w:sz w:val="32"/>
          <w:u w:color="auto"/>
          <w:lang w:val="en-US" w:eastAsia="zh-CN"/>
          <w:highlight w:val="auto"/>
        </w:rPr>
        <w:t>增加</w:t>
      </w:r>
      <w:r>
        <w:rPr>
          <w:rFonts w:ascii="仿宋_GB2312" w:eastAsia="仿宋_GB2312" w:cs="仿宋_GB2312" w:hint="eastAsia"/>
          <w:color w:val="000000"/>
          <w:sz w:val="32"/>
          <w:u w:color="auto"/>
          <w:lang w:eastAsia="zh-CN"/>
          <w:highlight w:val="auto"/>
        </w:rPr>
        <w:t>。</w:t>
      </w:r>
    </w:p>
    <w:p>
      <w:pPr>
        <w:pStyle w:val="16"/>
        <w:ind w:firstLine="0"/>
        <w:rPr>
          <w:rFonts w:ascii="仿宋_GB2312" w:eastAsia="仿宋_GB2312"/>
          <w:b/>
          <w:color w:val="000000"/>
          <w:sz w:val="32"/>
          <w:szCs w:val="32"/>
          <w:highlight w:val="auto"/>
        </w:rPr>
      </w:pPr>
      <w:r>
        <w:rPr>
          <w:rFonts w:eastAsia="仿宋" w:hint="eastAsia"/>
          <w:lang w:eastAsia="zh-CN"/>
          <w:highlight w:val="auto"/>
        </w:rPr>
        <w:drawing>
          <wp:inline distT="0" distB="0" distL="114300" distR="114300">
            <wp:extent cx="5256530" cy="2988310"/>
            <wp:effectExtent l="0" t="0" r="0" b="0"/>
            <wp:docPr id="5" name="图表 1"/>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6"/>
        <w:ind w:firstLine="0"/>
        <w:rPr>
          <w:rFonts w:ascii="仿宋_GB2312" w:eastAsia="仿宋_GB2312"/>
          <w:b/>
          <w:color w:val="000000"/>
          <w:sz w:val="32"/>
          <w:szCs w:val="32"/>
          <w:highlight w:val="auto"/>
        </w:rPr>
      </w:pPr>
    </w:p>
    <w:p>
      <w:pPr>
        <w:spacing w:line="600" w:lineRule="exact"/>
        <w:ind w:firstLineChars="200" w:firstLine="640"/>
        <w:outlineLvl w:val="2"/>
        <w:rPr>
          <w:rFonts w:ascii="仿宋_GB2312" w:eastAsia="仿宋_GB2312" w:cs="仿宋_GB2312" w:hint="eastAsia"/>
          <w:b/>
          <w:color w:val="000000"/>
          <w:sz w:val="32"/>
          <w:szCs w:val="32"/>
          <w:highlight w:val="auto"/>
        </w:rPr>
      </w:pPr>
      <w:r>
        <w:rPr>
          <w:rFonts w:ascii="仿宋_GB2312" w:eastAsia="仿宋_GB2312" w:cs="仿宋_GB2312" w:hint="eastAsia"/>
          <w:b/>
          <w:color w:val="000000"/>
          <w:sz w:val="32"/>
          <w:szCs w:val="32"/>
          <w:highlight w:val="auto"/>
        </w:rPr>
        <w:t>（二）一般公共预算财政拨款支出决算结构情况</w:t>
      </w:r>
      <w:bookmarkEnd w:id="37"/>
    </w:p>
    <w:p>
      <w:pPr>
        <w:spacing w:line="600" w:lineRule="exact"/>
        <w:ind w:firstLineChars="200" w:firstLine="640"/>
        <w:rPr>
          <w:rFonts w:ascii="仿宋_GB2312" w:eastAsia="仿宋" w:hAnsi="仿宋_GB2312" w:hint="eastAsia"/>
          <w:color w:val="000000"/>
          <w:sz w:val="32"/>
          <w:szCs w:val="32"/>
          <w14:textFill>
            <w14:solidFill>
              <w14:srgbClr w14:val="000000"/>
            </w14:solidFill>
          </w14:textFill>
          <w:lang w:val="en-US" w:eastAsia="zh-CN"/>
          <w:highlight w:val="auto"/>
        </w:rPr>
      </w:pPr>
      <w:bookmarkStart w:id="38" w:name="_Toc15377212"/>
      <w:r>
        <w:rPr>
          <w:rFonts w:ascii="仿宋_GB2312" w:eastAsia="仿宋_GB2312" w:cs="仿宋_GB2312" w:hint="eastAsia"/>
          <w:color w:val="000000"/>
          <w:sz w:val="32"/>
          <w:szCs w:val="32"/>
          <w:lang w:eastAsia="zh-CN"/>
          <w:highlight w:val="auto"/>
        </w:rPr>
        <w:t>202</w:t>
      </w:r>
      <w:r>
        <w:rPr>
          <w:rFonts w:ascii="仿宋_GB2312" w:eastAsia="仿宋_GB2312" w:cs="仿宋_GB2312" w:hint="eastAsia"/>
          <w:color w:val="000000"/>
          <w:sz w:val="32"/>
          <w:szCs w:val="32"/>
          <w:lang w:val="en-US" w:eastAsia="zh-CN"/>
          <w:highlight w:val="auto"/>
        </w:rPr>
        <w:t>4</w:t>
      </w:r>
      <w:r>
        <w:rPr>
          <w:rFonts w:ascii="仿宋_GB2312" w:eastAsia="仿宋_GB2312" w:cs="仿宋_GB2312" w:hint="eastAsia"/>
          <w:color w:val="000000"/>
          <w:sz w:val="32"/>
          <w:u w:color="auto"/>
          <w:highlight w:val="auto"/>
        </w:rPr>
        <w:t>年一般公共预算财政拨款支出</w:t>
      </w:r>
      <w:r>
        <w:rPr>
          <w:rFonts w:ascii="仿宋_GB2312" w:eastAsia="仿宋_GB2312" w:cs="仿宋_GB2312" w:hint="eastAsia"/>
          <w:color w:val="000000"/>
          <w:sz w:val="32"/>
          <w:u w:color="auto"/>
          <w:lang w:val="en-US" w:eastAsia="zh-CN"/>
          <w:highlight w:val="auto"/>
        </w:rPr>
        <w:t>723.42</w:t>
      </w:r>
      <w:r>
        <w:rPr>
          <w:rFonts w:ascii="仿宋_GB2312" w:eastAsia="仿宋_GB2312" w:cs="仿宋_GB2312" w:hint="eastAsia"/>
          <w:color w:val="000000"/>
          <w:sz w:val="32"/>
          <w:szCs w:val="32"/>
          <w:highlight w:val="auto"/>
        </w:rPr>
        <w:t xml:space="preserve">万元，主要用于以下方面: </w:t>
      </w:r>
      <w:r>
        <w:rPr>
          <w:rFonts w:ascii="仿宋_GB2312" w:eastAsia="仿宋_GB2312" w:cs="仿宋_GB2312" w:hint="eastAsia"/>
          <w:color w:val="000000"/>
          <w:sz w:val="32"/>
          <w:u w:color="auto"/>
          <w:highlight w:val="auto"/>
        </w:rPr>
        <w:t>一般公共服务支出</w:t>
      </w:r>
      <w:r>
        <w:rPr>
          <w:rFonts w:ascii="仿宋_GB2312" w:eastAsia="仿宋_GB2312" w:cs="仿宋_GB2312" w:hint="eastAsia"/>
          <w:color w:val="000000"/>
          <w:sz w:val="32"/>
          <w:u w:color="auto"/>
          <w:lang w:eastAsia="zh-CN"/>
          <w:highlight w:val="auto"/>
        </w:rPr>
        <w:t>374.27</w:t>
      </w:r>
      <w:r>
        <w:rPr>
          <w:rFonts w:ascii="仿宋_GB2312" w:eastAsia="仿宋_GB2312" w:cs="仿宋_GB2312" w:hint="eastAsia"/>
          <w:color w:val="000000"/>
          <w:sz w:val="32"/>
          <w:u w:color="auto"/>
          <w:highlight w:val="auto"/>
        </w:rPr>
        <w:t>万元，占</w:t>
      </w:r>
      <w:r>
        <w:rPr>
          <w:rFonts w:ascii="仿宋_GB2312" w:eastAsia="仿宋_GB2312" w:cs="仿宋_GB2312" w:hint="eastAsia"/>
          <w:color w:val="000000"/>
          <w:sz w:val="32"/>
          <w:u w:color="auto"/>
          <w:lang w:eastAsia="zh-CN"/>
          <w:highlight w:val="auto"/>
        </w:rPr>
        <w:t>51.74</w:t>
      </w:r>
      <w:r>
        <w:rPr>
          <w:rFonts w:ascii="仿宋_GB2312" w:eastAsia="仿宋_GB2312" w:cs="仿宋_GB2312" w:hint="eastAsia"/>
          <w:color w:val="000000"/>
          <w:sz w:val="32"/>
          <w:u w:color="auto"/>
          <w:highlight w:val="auto"/>
        </w:rPr>
        <w:t>%；社会保障和就业支出</w:t>
      </w:r>
      <w:r>
        <w:rPr>
          <w:rFonts w:ascii="仿宋_GB2312" w:eastAsia="仿宋_GB2312" w:cs="仿宋_GB2312" w:hint="eastAsia"/>
          <w:color w:val="000000"/>
          <w:sz w:val="32"/>
          <w:u w:color="auto"/>
          <w:lang w:eastAsia="zh-CN"/>
          <w:highlight w:val="auto"/>
        </w:rPr>
        <w:t>65.60</w:t>
      </w:r>
      <w:r>
        <w:rPr>
          <w:rFonts w:ascii="仿宋_GB2312" w:eastAsia="仿宋_GB2312" w:cs="仿宋_GB2312" w:hint="eastAsia"/>
          <w:color w:val="000000"/>
          <w:sz w:val="32"/>
          <w:u w:color="auto"/>
          <w:highlight w:val="auto"/>
        </w:rPr>
        <w:t>万元，占</w:t>
      </w:r>
      <w:r>
        <w:rPr>
          <w:rFonts w:ascii="仿宋_GB2312" w:eastAsia="仿宋_GB2312" w:cs="仿宋_GB2312" w:hint="eastAsia"/>
          <w:color w:val="000000"/>
          <w:sz w:val="32"/>
          <w:u w:color="auto"/>
          <w:lang w:val="en-US" w:eastAsia="zh-CN"/>
          <w:highlight w:val="auto"/>
        </w:rPr>
        <w:t>9.07</w:t>
      </w:r>
      <w:r>
        <w:rPr>
          <w:rFonts w:ascii="仿宋_GB2312" w:eastAsia="仿宋_GB2312" w:cs="仿宋_GB2312" w:hint="eastAsia"/>
          <w:color w:val="000000"/>
          <w:sz w:val="32"/>
          <w:u w:color="auto"/>
          <w:highlight w:val="auto"/>
        </w:rPr>
        <w:t>%；卫生健康支出</w:t>
      </w:r>
      <w:r>
        <w:rPr>
          <w:rFonts w:ascii="仿宋_GB2312" w:eastAsia="仿宋_GB2312" w:cs="仿宋_GB2312" w:hint="eastAsia"/>
          <w:color w:val="000000"/>
          <w:sz w:val="32"/>
          <w:u w:color="auto"/>
          <w:lang w:eastAsia="zh-CN"/>
          <w:highlight w:val="auto"/>
        </w:rPr>
        <w:t>26.9</w:t>
      </w:r>
      <w:r>
        <w:rPr>
          <w:rFonts w:ascii="仿宋_GB2312" w:eastAsia="仿宋_GB2312" w:cs="仿宋_GB2312" w:hint="eastAsia"/>
          <w:color w:val="000000"/>
          <w:sz w:val="32"/>
          <w:u w:color="auto"/>
          <w:lang w:val="en-US" w:eastAsia="zh-CN"/>
          <w:highlight w:val="auto"/>
        </w:rPr>
        <w:t>0</w:t>
      </w:r>
      <w:r>
        <w:rPr>
          <w:rFonts w:ascii="仿宋_GB2312" w:eastAsia="仿宋_GB2312" w:cs="仿宋_GB2312" w:hint="eastAsia"/>
          <w:color w:val="000000"/>
          <w:sz w:val="32"/>
          <w:u w:color="auto"/>
          <w:highlight w:val="auto"/>
        </w:rPr>
        <w:t>万元，占</w:t>
      </w:r>
      <w:r>
        <w:rPr>
          <w:rFonts w:ascii="仿宋_GB2312" w:eastAsia="仿宋_GB2312" w:cs="仿宋_GB2312" w:hint="eastAsia"/>
          <w:color w:val="000000"/>
          <w:sz w:val="32"/>
          <w:u w:color="auto"/>
          <w:lang w:val="en-US" w:eastAsia="zh-CN"/>
          <w:highlight w:val="auto"/>
        </w:rPr>
        <w:t>3.72</w:t>
      </w:r>
      <w:r>
        <w:rPr>
          <w:rFonts w:ascii="仿宋_GB2312" w:eastAsia="仿宋_GB2312" w:cs="仿宋_GB2312" w:hint="eastAsia"/>
          <w:color w:val="000000"/>
          <w:sz w:val="32"/>
          <w:u w:color="auto"/>
          <w:highlight w:val="auto"/>
        </w:rPr>
        <w:t>%；农林水支出</w:t>
      </w:r>
      <w:r>
        <w:rPr>
          <w:rFonts w:ascii="仿宋_GB2312" w:eastAsia="仿宋_GB2312" w:cs="仿宋_GB2312" w:hint="eastAsia"/>
          <w:color w:val="000000"/>
          <w:sz w:val="32"/>
          <w:u w:color="auto"/>
          <w:lang w:eastAsia="zh-CN"/>
          <w:highlight w:val="auto"/>
        </w:rPr>
        <w:t>217.15</w:t>
      </w:r>
      <w:r>
        <w:rPr>
          <w:rFonts w:ascii="仿宋_GB2312" w:eastAsia="仿宋_GB2312" w:cs="仿宋_GB2312" w:hint="eastAsia"/>
          <w:color w:val="000000"/>
          <w:sz w:val="32"/>
          <w:u w:color="auto"/>
          <w:highlight w:val="auto"/>
        </w:rPr>
        <w:t>万元，占</w:t>
      </w:r>
      <w:r>
        <w:rPr>
          <w:rFonts w:ascii="仿宋_GB2312" w:eastAsia="仿宋_GB2312" w:cs="仿宋_GB2312" w:hint="eastAsia"/>
          <w:color w:val="000000"/>
          <w:sz w:val="32"/>
          <w:u w:color="auto"/>
          <w:lang w:val="en-US" w:eastAsia="zh-CN"/>
          <w:highlight w:val="auto"/>
        </w:rPr>
        <w:t>30.02</w:t>
      </w:r>
      <w:r>
        <w:rPr>
          <w:rFonts w:ascii="仿宋_GB2312" w:eastAsia="仿宋_GB2312" w:cs="仿宋_GB2312" w:hint="eastAsia"/>
          <w:color w:val="000000"/>
          <w:sz w:val="32"/>
          <w:u w:color="auto"/>
          <w:highlight w:val="auto"/>
        </w:rPr>
        <w:t>%；住房保障支出</w:t>
      </w:r>
      <w:r>
        <w:rPr>
          <w:rFonts w:ascii="仿宋_GB2312" w:eastAsia="仿宋_GB2312" w:cs="仿宋_GB2312" w:hint="eastAsia"/>
          <w:color w:val="000000"/>
          <w:sz w:val="32"/>
          <w:u w:color="auto"/>
          <w:lang w:eastAsia="zh-CN"/>
          <w:highlight w:val="auto"/>
        </w:rPr>
        <w:t>36.29万</w:t>
      </w:r>
      <w:r>
        <w:rPr>
          <w:rFonts w:ascii="仿宋_GB2312" w:eastAsia="仿宋_GB2312" w:cs="仿宋_GB2312" w:hint="eastAsia"/>
          <w:color w:val="000000"/>
          <w:sz w:val="32"/>
          <w:u w:color="auto"/>
          <w:highlight w:val="auto"/>
        </w:rPr>
        <w:t>元，占</w:t>
      </w:r>
      <w:r>
        <w:rPr>
          <w:rFonts w:ascii="仿宋_GB2312" w:eastAsia="仿宋_GB2312" w:cs="仿宋_GB2312" w:hint="eastAsia"/>
          <w:color w:val="000000"/>
          <w:sz w:val="32"/>
          <w:u w:color="auto"/>
          <w:lang w:val="en-US" w:eastAsia="zh-CN"/>
          <w:highlight w:val="auto"/>
        </w:rPr>
        <w:t>5.01</w:t>
      </w:r>
      <w:r>
        <w:rPr>
          <w:rFonts w:ascii="仿宋_GB2312" w:eastAsia="仿宋_GB2312" w:cs="仿宋_GB2312" w:hint="eastAsia"/>
          <w:color w:val="000000"/>
          <w:sz w:val="32"/>
          <w:u w:color="auto"/>
          <w:highlight w:val="auto"/>
        </w:rPr>
        <w:t>%</w:t>
      </w:r>
      <w:r>
        <w:rPr>
          <w:rFonts w:ascii="仿宋_GB2312" w:eastAsia="仿宋_GB2312" w:cs="仿宋_GB2312" w:hint="eastAsia"/>
          <w:color w:val="000000"/>
          <w:sz w:val="32"/>
          <w:u w:color="auto"/>
          <w:lang w:eastAsia="zh-CN"/>
          <w:highlight w:val="auto"/>
        </w:rPr>
        <w:t>；灾害防治及应急管理支出</w:t>
      </w:r>
      <w:r>
        <w:rPr>
          <w:rFonts w:ascii="仿宋_GB2312" w:eastAsia="仿宋_GB2312" w:cs="仿宋_GB2312" w:hint="eastAsia"/>
          <w:color w:val="000000"/>
          <w:sz w:val="32"/>
          <w:u w:color="auto"/>
          <w:lang w:val="en-US" w:eastAsia="zh-CN"/>
          <w:highlight w:val="auto"/>
        </w:rPr>
        <w:t>3.21万元，占0.44%</w:t>
      </w:r>
      <w:r>
        <w:rPr>
          <w:rFonts w:ascii="仿宋_GB2312" w:eastAsia="仿宋_GB2312" w:cs="仿宋_GB2312" w:hint="eastAsia"/>
          <w:color w:val="000000"/>
          <w:sz w:val="32"/>
          <w:u w:color="auto"/>
          <w:highlight w:val="auto"/>
        </w:rPr>
        <w:t>。</w:t>
      </w:r>
    </w:p>
    <w:p>
      <w:pPr>
        <w:pStyle w:val="16"/>
        <w:rPr>
          <w:highlight w:val="auto"/>
        </w:rPr>
      </w:pPr>
      <w:r>
        <w:rPr>
          <w:rFonts w:ascii="仿宋" w:eastAsia="仿宋" w:hint="eastAsia"/>
          <w:sz w:val="32"/>
          <w:szCs w:val="32"/>
          <w:lang w:eastAsia="zh-CN"/>
          <w:highlight w:val="auto"/>
        </w:rPr>
        <w:drawing>
          <wp:inline distT="0" distB="0" distL="114300" distR="114300">
            <wp:extent cx="5256530" cy="2988310"/>
            <wp:effectExtent l="0" t="0" r="0" b="0"/>
            <wp:docPr id="6" name="图表 15"/>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_GB2312" w:eastAsia="仿宋_GB2312" w:cs="仿宋_GB2312" w:hint="eastAsia"/>
          <w:b/>
          <w:color w:val="000000"/>
          <w:sz w:val="32"/>
          <w:szCs w:val="32"/>
          <w:highlight w:val="auto"/>
        </w:rPr>
      </w:pPr>
      <w:r>
        <w:rPr>
          <w:rFonts w:ascii="仿宋_GB2312" w:eastAsia="仿宋_GB2312" w:cs="仿宋_GB2312" w:hint="eastAsia"/>
          <w:b/>
          <w:color w:val="000000"/>
          <w:sz w:val="32"/>
          <w:szCs w:val="32"/>
          <w:highlight w:val="auto"/>
        </w:rPr>
        <w:t>（三）一般公共预算财政拨款支出决算具体情况</w:t>
      </w:r>
      <w:bookmarkEnd w:id="38"/>
    </w:p>
    <w:p>
      <w:pPr>
        <w:spacing w:line="600" w:lineRule="exact"/>
        <w:ind w:firstLine="640"/>
        <w:rPr>
          <w:rFonts w:ascii="仿宋_GB2312" w:eastAsia="仿宋_GB2312" w:cs="仿宋_GB2312" w:hint="eastAsia"/>
          <w:color w:val="000000"/>
          <w:sz w:val="32"/>
          <w:szCs w:val="32"/>
          <w:highlight w:val="auto"/>
        </w:rPr>
      </w:pPr>
      <w:bookmarkStart w:id="39" w:name="_Toc15377213"/>
      <w:bookmarkStart w:id="40" w:name="_Toc15378460"/>
      <w:bookmarkStart w:id="41" w:name="_Toc15377444"/>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u w:color="auto"/>
          <w:highlight w:val="auto"/>
        </w:rPr>
        <w:t>年一般公共预算支出决算数为</w:t>
      </w:r>
      <w:r>
        <w:rPr>
          <w:rFonts w:ascii="仿宋_GB2312" w:eastAsia="仿宋_GB2312" w:cs="仿宋_GB2312" w:hint="eastAsia"/>
          <w:color w:val="000000"/>
          <w:sz w:val="32"/>
          <w:u w:color="auto"/>
          <w:lang w:val="en-US" w:eastAsia="zh-CN"/>
          <w:highlight w:val="auto"/>
        </w:rPr>
        <w:t>723.42</w:t>
      </w:r>
      <w:r>
        <w:rPr>
          <w:rFonts w:ascii="仿宋_GB2312" w:eastAsia="仿宋_GB2312" w:cs="仿宋_GB2312" w:hint="eastAsia"/>
          <w:color w:val="000000"/>
          <w:sz w:val="32"/>
          <w:szCs w:val="32"/>
          <w:highlight w:val="auto"/>
        </w:rPr>
        <w:t>万</w:t>
      </w:r>
      <w:r>
        <w:rPr>
          <w:rFonts w:ascii="仿宋_GB2312" w:eastAsia="仿宋_GB2312" w:cs="仿宋_GB2312" w:hint="eastAsia"/>
          <w:color w:val="000000"/>
          <w:sz w:val="32"/>
          <w:szCs w:val="32"/>
          <w:lang w:eastAsia="zh-CN"/>
          <w:highlight w:val="auto"/>
        </w:rPr>
        <w:t>元</w:t>
      </w:r>
      <w:r>
        <w:rPr>
          <w:rFonts w:ascii="仿宋_GB2312" w:eastAsia="仿宋_GB2312" w:cs="仿宋_GB2312" w:hint="eastAsia"/>
          <w:color w:val="000000"/>
          <w:sz w:val="32"/>
          <w:szCs w:val="32"/>
          <w:highlight w:val="auto"/>
        </w:rPr>
        <w:t>，完成预算100%。其中：</w:t>
      </w:r>
      <w:bookmarkEnd w:id="39"/>
      <w:bookmarkEnd w:id="40"/>
      <w:bookmarkEnd w:id="41"/>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1.</w:t>
      </w:r>
      <w:r>
        <w:rPr>
          <w:rFonts w:ascii="仿宋_GB2312" w:eastAsia="仿宋_GB2312" w:cs="仿宋_GB2312" w:hint="eastAsia"/>
          <w:color w:val="000000"/>
          <w:sz w:val="32"/>
          <w:szCs w:val="32"/>
          <w:highlight w:val="auto"/>
        </w:rPr>
        <w:t>一般公共服务支出（201）人大事务（0</w:t>
      </w:r>
      <w:r>
        <w:rPr>
          <w:rFonts w:ascii="仿宋_GB2312" w:eastAsia="仿宋_GB2312" w:cs="仿宋_GB2312" w:hint="eastAsia"/>
          <w:color w:val="000000"/>
          <w:sz w:val="32"/>
          <w:szCs w:val="32"/>
          <w:lang w:val="en-US" w:eastAsia="zh-CN"/>
          <w:highlight w:val="auto"/>
        </w:rPr>
        <w:t>1</w:t>
      </w:r>
      <w:r>
        <w:rPr>
          <w:rFonts w:ascii="仿宋_GB2312" w:eastAsia="仿宋_GB2312" w:cs="仿宋_GB2312" w:hint="eastAsia"/>
          <w:color w:val="000000"/>
          <w:sz w:val="32"/>
          <w:szCs w:val="32"/>
          <w:highlight w:val="auto"/>
        </w:rPr>
        <w:t>）代表工作（</w:t>
      </w:r>
      <w:r>
        <w:rPr>
          <w:rFonts w:ascii="仿宋_GB2312" w:eastAsia="仿宋_GB2312" w:cs="仿宋_GB2312" w:hint="eastAsia"/>
          <w:color w:val="000000"/>
          <w:sz w:val="32"/>
          <w:szCs w:val="32"/>
          <w:lang w:val="en-US" w:eastAsia="zh-CN"/>
          <w:highlight w:val="auto"/>
        </w:rPr>
        <w:t>08</w:t>
      </w:r>
      <w:r>
        <w:rPr>
          <w:rFonts w:ascii="仿宋_GB2312" w:eastAsia="仿宋_GB2312" w:cs="仿宋_GB2312" w:hint="eastAsia"/>
          <w:color w:val="000000"/>
          <w:sz w:val="32"/>
          <w:szCs w:val="32"/>
          <w:highlight w:val="auto"/>
        </w:rPr>
        <w:t>）支出决算</w:t>
      </w:r>
      <w:r>
        <w:rPr>
          <w:rFonts w:ascii="仿宋_GB2312" w:eastAsia="仿宋_GB2312" w:cs="仿宋_GB2312" w:hint="eastAsia"/>
          <w:color w:val="000000"/>
          <w:sz w:val="32"/>
          <w:szCs w:val="32"/>
          <w:lang w:val="en-US" w:eastAsia="zh-CN"/>
          <w:highlight w:val="auto"/>
        </w:rPr>
        <w:t>9.58</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一般公共服务支出（201）政府办公厅（室）及相关机构事务（03）行政运行（01）支出决算</w:t>
      </w:r>
      <w:r>
        <w:rPr>
          <w:rFonts w:ascii="仿宋_GB2312" w:eastAsia="仿宋_GB2312" w:cs="仿宋_GB2312" w:hint="eastAsia"/>
          <w:color w:val="000000"/>
          <w:sz w:val="32"/>
          <w:szCs w:val="32"/>
          <w:lang w:val="en-US" w:eastAsia="zh-CN"/>
          <w:highlight w:val="auto"/>
        </w:rPr>
        <w:t>355.93</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3.</w:t>
      </w:r>
      <w:r>
        <w:rPr>
          <w:rFonts w:ascii="仿宋_GB2312" w:eastAsia="仿宋_GB2312" w:cs="仿宋_GB2312" w:hint="eastAsia"/>
          <w:color w:val="000000"/>
          <w:sz w:val="32"/>
          <w:szCs w:val="32"/>
          <w:highlight w:val="auto"/>
        </w:rPr>
        <w:t>一般公共服务支出（201）政府办公厅（室）及相关机构事务（03）其他政府办公厅（室）及相关机构事务支出</w:t>
      </w:r>
      <w:r>
        <w:rPr>
          <w:rFonts w:ascii="仿宋_GB2312" w:eastAsia="仿宋_GB2312" w:cs="仿宋_GB2312" w:hint="eastAsia"/>
          <w:color w:val="000000"/>
          <w:sz w:val="32"/>
          <w:szCs w:val="32"/>
          <w:lang w:eastAsia="zh-CN"/>
          <w:highlight w:val="auto"/>
        </w:rPr>
        <w:t>（99）支出决算</w:t>
      </w:r>
      <w:r>
        <w:rPr>
          <w:rFonts w:ascii="仿宋_GB2312" w:eastAsia="仿宋_GB2312" w:cs="仿宋_GB2312" w:hint="eastAsia"/>
          <w:color w:val="000000"/>
          <w:sz w:val="32"/>
          <w:szCs w:val="32"/>
          <w:lang w:val="en-US" w:eastAsia="zh-CN"/>
          <w:highlight w:val="auto"/>
        </w:rPr>
        <w:t>8.75万元，</w:t>
      </w:r>
      <w:r>
        <w:rPr>
          <w:rFonts w:ascii="仿宋_GB2312" w:eastAsia="仿宋_GB2312" w:cs="仿宋_GB2312" w:hint="eastAsia"/>
          <w:color w:val="000000"/>
          <w:sz w:val="32"/>
          <w:szCs w:val="32"/>
          <w:highlight w:val="auto"/>
        </w:rPr>
        <w:t>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4.</w:t>
      </w:r>
      <w:r>
        <w:rPr>
          <w:rFonts w:ascii="仿宋_GB2312" w:eastAsia="仿宋_GB2312" w:cs="仿宋_GB2312" w:hint="eastAsia"/>
          <w:color w:val="000000"/>
          <w:sz w:val="32"/>
          <w:szCs w:val="32"/>
          <w:highlight w:val="auto"/>
        </w:rPr>
        <w:t>社会保障和就业支出（208）行政事业单位养老支出（05）机关事业单位基本养老保险缴费支出（05）支出决算</w:t>
      </w:r>
      <w:r>
        <w:rPr>
          <w:rFonts w:ascii="仿宋_GB2312" w:eastAsia="仿宋_GB2312" w:cs="仿宋_GB2312" w:hint="eastAsia"/>
          <w:color w:val="000000"/>
          <w:sz w:val="32"/>
          <w:szCs w:val="32"/>
          <w:lang w:val="en-US" w:eastAsia="zh-CN"/>
          <w:highlight w:val="auto"/>
        </w:rPr>
        <w:t>41.07</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5.</w:t>
      </w:r>
      <w:r>
        <w:rPr>
          <w:rFonts w:ascii="仿宋_GB2312" w:eastAsia="仿宋_GB2312" w:cs="仿宋_GB2312" w:hint="eastAsia"/>
          <w:color w:val="000000"/>
          <w:sz w:val="32"/>
          <w:szCs w:val="32"/>
          <w:highlight w:val="auto"/>
        </w:rPr>
        <w:t>社会保障和就业支出（208）行政事业单位养老支出（05）机关事业单位职业年金缴费支出（06）支出决算</w:t>
      </w:r>
      <w:r>
        <w:rPr>
          <w:rFonts w:ascii="仿宋_GB2312" w:eastAsia="仿宋_GB2312" w:cs="仿宋_GB2312" w:hint="eastAsia"/>
          <w:color w:val="000000"/>
          <w:sz w:val="32"/>
          <w:szCs w:val="32"/>
          <w:lang w:val="en-US" w:eastAsia="zh-CN"/>
          <w:highlight w:val="auto"/>
        </w:rPr>
        <w:t>20.53</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6.</w:t>
      </w:r>
      <w:r>
        <w:rPr>
          <w:rFonts w:ascii="仿宋_GB2312" w:eastAsia="仿宋_GB2312" w:cs="仿宋_GB2312" w:hint="eastAsia"/>
          <w:color w:val="000000"/>
          <w:sz w:val="32"/>
          <w:szCs w:val="32"/>
          <w:highlight w:val="auto"/>
        </w:rPr>
        <w:t>社会保障和就业支出（208）就业补助（</w:t>
      </w:r>
      <w:r>
        <w:rPr>
          <w:rFonts w:ascii="仿宋_GB2312" w:eastAsia="仿宋_GB2312" w:cs="仿宋_GB2312" w:hint="eastAsia"/>
          <w:color w:val="000000"/>
          <w:sz w:val="32"/>
          <w:szCs w:val="32"/>
          <w:lang w:val="en-US" w:eastAsia="zh-CN"/>
          <w:highlight w:val="auto"/>
        </w:rPr>
        <w:t>07</w:t>
      </w:r>
      <w:r>
        <w:rPr>
          <w:rFonts w:ascii="仿宋_GB2312" w:eastAsia="仿宋_GB2312" w:cs="仿宋_GB2312" w:hint="eastAsia"/>
          <w:color w:val="000000"/>
          <w:sz w:val="32"/>
          <w:szCs w:val="32"/>
          <w:highlight w:val="auto"/>
        </w:rPr>
        <w:t>）公益性岗位补贴（05）支出决算</w:t>
      </w:r>
      <w:r>
        <w:rPr>
          <w:rFonts w:ascii="仿宋_GB2312" w:eastAsia="仿宋_GB2312" w:cs="仿宋_GB2312" w:hint="eastAsia"/>
          <w:color w:val="000000"/>
          <w:sz w:val="32"/>
          <w:szCs w:val="32"/>
          <w:lang w:val="en-US" w:eastAsia="zh-CN"/>
          <w:highlight w:val="auto"/>
        </w:rPr>
        <w:t>4.00</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7.</w:t>
      </w:r>
      <w:r>
        <w:rPr>
          <w:rFonts w:ascii="仿宋_GB2312" w:eastAsia="仿宋_GB2312" w:cs="仿宋_GB2312" w:hint="eastAsia"/>
          <w:color w:val="000000"/>
          <w:sz w:val="32"/>
          <w:szCs w:val="32"/>
          <w:highlight w:val="auto"/>
        </w:rPr>
        <w:t>卫生健康支出（210）公共卫生（04）重大公共卫生服务（09）支出决算</w:t>
      </w:r>
      <w:r>
        <w:rPr>
          <w:rFonts w:ascii="仿宋_GB2312" w:eastAsia="仿宋_GB2312" w:cs="仿宋_GB2312" w:hint="eastAsia"/>
          <w:color w:val="000000"/>
          <w:sz w:val="32"/>
          <w:szCs w:val="32"/>
          <w:lang w:val="en-US" w:eastAsia="zh-CN"/>
          <w:highlight w:val="auto"/>
        </w:rPr>
        <w:t>1.50</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8.</w:t>
      </w:r>
      <w:r>
        <w:rPr>
          <w:rFonts w:ascii="仿宋_GB2312" w:eastAsia="仿宋_GB2312" w:cs="仿宋_GB2312" w:hint="eastAsia"/>
          <w:color w:val="000000"/>
          <w:sz w:val="32"/>
          <w:szCs w:val="32"/>
          <w:highlight w:val="auto"/>
        </w:rPr>
        <w:t>卫生健康支出（210）行政事业单位医疗（11）行政单位医疗（01）支出决算</w:t>
      </w:r>
      <w:r>
        <w:rPr>
          <w:rFonts w:ascii="仿宋_GB2312" w:eastAsia="仿宋_GB2312" w:cs="仿宋_GB2312" w:hint="eastAsia"/>
          <w:color w:val="000000"/>
          <w:sz w:val="32"/>
          <w:szCs w:val="32"/>
          <w:lang w:val="en-US" w:eastAsia="zh-CN"/>
          <w:highlight w:val="auto"/>
        </w:rPr>
        <w:t>25.40</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9.</w:t>
      </w:r>
      <w:r>
        <w:rPr>
          <w:rFonts w:ascii="仿宋_GB2312" w:eastAsia="仿宋_GB2312" w:cs="仿宋_GB2312" w:hint="eastAsia"/>
          <w:color w:val="000000"/>
          <w:sz w:val="32"/>
          <w:szCs w:val="32"/>
          <w:highlight w:val="auto"/>
        </w:rPr>
        <w:t>农林水支出（213）农业农村</w:t>
      </w:r>
      <w:r>
        <w:rPr>
          <w:rFonts w:ascii="仿宋_GB2312" w:eastAsia="仿宋_GB2312" w:cs="仿宋_GB2312" w:hint="eastAsia"/>
          <w:color w:val="000000"/>
          <w:sz w:val="32"/>
          <w:szCs w:val="32"/>
          <w:lang w:eastAsia="zh-CN"/>
          <w:highlight w:val="auto"/>
        </w:rPr>
        <w:t>（01）其他农业农村支出（99）</w:t>
      </w:r>
      <w:r>
        <w:rPr>
          <w:rFonts w:ascii="仿宋_GB2312" w:eastAsia="仿宋_GB2312" w:cs="仿宋_GB2312" w:hint="eastAsia"/>
          <w:color w:val="000000"/>
          <w:sz w:val="32"/>
          <w:szCs w:val="32"/>
          <w:highlight w:val="auto"/>
        </w:rPr>
        <w:t>支出决算</w:t>
      </w:r>
      <w:r>
        <w:rPr>
          <w:rFonts w:ascii="仿宋_GB2312" w:eastAsia="仿宋_GB2312" w:cs="仿宋_GB2312" w:hint="eastAsia"/>
          <w:color w:val="000000"/>
          <w:sz w:val="32"/>
          <w:szCs w:val="32"/>
          <w:lang w:val="en-US" w:eastAsia="zh-CN"/>
          <w:highlight w:val="auto"/>
        </w:rPr>
        <w:t>18.00万元，</w:t>
      </w:r>
      <w:r>
        <w:rPr>
          <w:rFonts w:ascii="仿宋_GB2312" w:eastAsia="仿宋_GB2312" w:cs="仿宋_GB2312" w:hint="eastAsia"/>
          <w:color w:val="000000"/>
          <w:sz w:val="32"/>
          <w:szCs w:val="32"/>
          <w:highlight w:val="auto"/>
        </w:rPr>
        <w:t>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10.</w:t>
      </w:r>
      <w:r>
        <w:rPr>
          <w:rFonts w:ascii="仿宋_GB2312" w:eastAsia="仿宋_GB2312" w:cs="仿宋_GB2312" w:hint="eastAsia"/>
          <w:color w:val="000000"/>
          <w:sz w:val="32"/>
          <w:szCs w:val="32"/>
          <w:highlight w:val="auto"/>
        </w:rPr>
        <w:t>农林水支出（213）巩固脱贫衔接乡村振兴（05）农村基础设施建设</w:t>
      </w:r>
      <w:r>
        <w:rPr>
          <w:rFonts w:ascii="仿宋_GB2312" w:eastAsia="仿宋_GB2312" w:cs="仿宋_GB2312" w:hint="eastAsia"/>
          <w:color w:val="000000"/>
          <w:sz w:val="32"/>
          <w:szCs w:val="32"/>
          <w:lang w:eastAsia="zh-CN"/>
          <w:highlight w:val="auto"/>
        </w:rPr>
        <w:t>（</w:t>
      </w:r>
      <w:r>
        <w:rPr>
          <w:rFonts w:ascii="仿宋_GB2312" w:eastAsia="仿宋_GB2312" w:cs="仿宋_GB2312" w:hint="eastAsia"/>
          <w:color w:val="000000"/>
          <w:sz w:val="32"/>
          <w:szCs w:val="32"/>
          <w:highlight w:val="auto"/>
        </w:rPr>
        <w:t>04</w:t>
      </w:r>
      <w:r>
        <w:rPr>
          <w:rFonts w:ascii="仿宋_GB2312" w:eastAsia="仿宋_GB2312" w:cs="仿宋_GB2312" w:hint="eastAsia"/>
          <w:color w:val="000000"/>
          <w:sz w:val="32"/>
          <w:szCs w:val="32"/>
          <w:lang w:eastAsia="zh-CN"/>
          <w:highlight w:val="auto"/>
        </w:rPr>
        <w:t>）</w:t>
      </w:r>
      <w:r>
        <w:rPr>
          <w:rFonts w:ascii="仿宋_GB2312" w:eastAsia="仿宋_GB2312" w:cs="仿宋_GB2312" w:hint="eastAsia"/>
          <w:color w:val="000000"/>
          <w:sz w:val="32"/>
          <w:szCs w:val="32"/>
          <w:highlight w:val="auto"/>
        </w:rPr>
        <w:t>支出决算</w:t>
      </w:r>
      <w:r>
        <w:rPr>
          <w:rFonts w:ascii="仿宋_GB2312" w:eastAsia="仿宋_GB2312" w:cs="仿宋_GB2312" w:hint="eastAsia"/>
          <w:color w:val="000000"/>
          <w:sz w:val="32"/>
          <w:szCs w:val="32"/>
          <w:lang w:val="en-US" w:eastAsia="zh-CN"/>
          <w:highlight w:val="auto"/>
        </w:rPr>
        <w:t>35.83万元，</w:t>
      </w:r>
      <w:r>
        <w:rPr>
          <w:rFonts w:ascii="仿宋_GB2312" w:eastAsia="仿宋_GB2312" w:cs="仿宋_GB2312" w:hint="eastAsia"/>
          <w:color w:val="000000"/>
          <w:sz w:val="32"/>
          <w:szCs w:val="32"/>
          <w:highlight w:val="auto"/>
        </w:rPr>
        <w:t>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11.</w:t>
      </w:r>
      <w:r>
        <w:rPr>
          <w:rFonts w:ascii="仿宋_GB2312" w:eastAsia="仿宋_GB2312" w:cs="仿宋_GB2312" w:hint="eastAsia"/>
          <w:color w:val="000000"/>
          <w:sz w:val="32"/>
          <w:szCs w:val="32"/>
          <w:highlight w:val="auto"/>
        </w:rPr>
        <w:t>农林水支出（213）巩固脱贫衔接乡村振兴（05）其他巩固脱贫衔接乡村振兴支出（99）支出决算</w:t>
      </w:r>
      <w:r>
        <w:rPr>
          <w:rFonts w:ascii="仿宋_GB2312" w:eastAsia="仿宋_GB2312" w:cs="仿宋_GB2312" w:hint="eastAsia"/>
          <w:color w:val="000000"/>
          <w:sz w:val="32"/>
          <w:szCs w:val="32"/>
          <w:lang w:val="en-US" w:eastAsia="zh-CN"/>
          <w:highlight w:val="auto"/>
        </w:rPr>
        <w:t>14.34</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12.</w:t>
      </w:r>
      <w:r>
        <w:rPr>
          <w:rFonts w:ascii="仿宋_GB2312" w:eastAsia="仿宋_GB2312" w:cs="仿宋_GB2312" w:hint="eastAsia"/>
          <w:color w:val="000000"/>
          <w:sz w:val="32"/>
          <w:szCs w:val="32"/>
          <w:highlight w:val="auto"/>
        </w:rPr>
        <w:t>农林水支出（213）农村综合改革（07）对村民委员会和村党支部的补助（05）支出决算</w:t>
      </w:r>
      <w:r>
        <w:rPr>
          <w:rFonts w:ascii="仿宋_GB2312" w:eastAsia="仿宋_GB2312" w:cs="仿宋_GB2312" w:hint="eastAsia"/>
          <w:color w:val="000000"/>
          <w:sz w:val="32"/>
          <w:szCs w:val="32"/>
          <w:lang w:val="en-US" w:eastAsia="zh-CN"/>
          <w:highlight w:val="auto"/>
        </w:rPr>
        <w:t>148.98</w:t>
      </w:r>
      <w:r>
        <w:rPr>
          <w:rFonts w:ascii="仿宋_GB2312" w:eastAsia="仿宋_GB2312" w:cs="仿宋_GB2312" w:hint="eastAsia"/>
          <w:color w:val="000000"/>
          <w:sz w:val="32"/>
          <w:szCs w:val="32"/>
          <w:highlight w:val="auto"/>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13.</w:t>
      </w:r>
      <w:r>
        <w:rPr>
          <w:rFonts w:ascii="仿宋_GB2312" w:eastAsia="仿宋_GB2312" w:cs="仿宋_GB2312" w:hint="eastAsia"/>
          <w:color w:val="000000"/>
          <w:sz w:val="32"/>
          <w:szCs w:val="32"/>
          <w:highlight w:val="auto"/>
        </w:rPr>
        <w:t>住房保障支出（221）住房改革支出（02）住房公积金（01）支出决算</w:t>
      </w:r>
      <w:r>
        <w:rPr>
          <w:rFonts w:ascii="仿宋_GB2312" w:eastAsia="仿宋_GB2312" w:cs="仿宋_GB2312" w:hint="eastAsia"/>
          <w:color w:val="000000"/>
          <w:sz w:val="32"/>
          <w:szCs w:val="32"/>
          <w:lang w:val="en-US" w:eastAsia="zh-CN"/>
          <w:highlight w:val="auto"/>
        </w:rPr>
        <w:t>35.29</w:t>
      </w:r>
      <w:r>
        <w:rPr>
          <w:rFonts w:ascii="仿宋_GB2312" w:eastAsia="仿宋_GB2312" w:cs="仿宋_GB2312" w:hint="eastAsia"/>
          <w:color w:val="000000"/>
          <w:sz w:val="32"/>
          <w:szCs w:val="32"/>
          <w:highlight w:val="auto"/>
        </w:rPr>
        <w:t>万元，完成预算100%。</w:t>
      </w:r>
    </w:p>
    <w:p>
      <w:pPr>
        <w:pStyle w:val="15"/>
        <w:keepNext w:val="0"/>
        <w:keepLines w:val="0"/>
        <w:pageBreakBefore w:val="0"/>
        <w:widowControl w:val="0"/>
        <w:kinsoku/>
        <w:wordWrap/>
        <w:overflowPunct/>
        <w:topLinePunct w:val="0"/>
        <w:autoSpaceDE/>
        <w:autoSpaceDN/>
        <w:bidi w:val="0"/>
        <w:adjustRightInd/>
        <w:snapToGrid/>
        <w:ind w:leftChars="0"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val="en-US" w:eastAsia="zh-CN"/>
          <w:highlight w:val="auto"/>
        </w:rPr>
        <w:t>14.</w:t>
      </w:r>
      <w:r>
        <w:rPr>
          <w:rFonts w:ascii="仿宋_GB2312" w:eastAsia="仿宋_GB2312" w:cs="仿宋_GB2312" w:hint="eastAsia"/>
          <w:color w:val="000000"/>
          <w:sz w:val="32"/>
          <w:szCs w:val="32"/>
          <w:highlight w:val="auto"/>
        </w:rPr>
        <w:t>住房保障支出（221）住房改革支出（02）购房补贴</w:t>
      </w:r>
      <w:r>
        <w:rPr>
          <w:rFonts w:ascii="仿宋_GB2312" w:eastAsia="仿宋_GB2312" w:cs="仿宋_GB2312" w:hint="eastAsia"/>
          <w:color w:val="000000"/>
          <w:sz w:val="32"/>
          <w:szCs w:val="32"/>
          <w:lang w:eastAsia="zh-CN"/>
          <w:highlight w:val="auto"/>
        </w:rPr>
        <w:t>（03）</w:t>
      </w:r>
      <w:r>
        <w:rPr>
          <w:rFonts w:ascii="仿宋_GB2312" w:eastAsia="仿宋_GB2312" w:cs="仿宋_GB2312" w:hint="eastAsia"/>
          <w:color w:val="000000"/>
          <w:sz w:val="32"/>
          <w:szCs w:val="32"/>
          <w:highlight w:val="auto"/>
        </w:rPr>
        <w:t>支出决算</w:t>
      </w:r>
      <w:r>
        <w:rPr>
          <w:rFonts w:ascii="仿宋_GB2312" w:eastAsia="仿宋_GB2312" w:cs="仿宋_GB2312" w:hint="eastAsia"/>
          <w:color w:val="000000"/>
          <w:sz w:val="32"/>
          <w:szCs w:val="32"/>
          <w:lang w:val="en-US" w:eastAsia="zh-CN"/>
          <w:highlight w:val="auto"/>
        </w:rPr>
        <w:t>1.00</w:t>
      </w:r>
      <w:r>
        <w:rPr>
          <w:rFonts w:ascii="仿宋_GB2312" w:eastAsia="仿宋_GB2312" w:cs="仿宋_GB2312" w:hint="eastAsia"/>
          <w:color w:val="000000"/>
          <w:sz w:val="32"/>
          <w:szCs w:val="32"/>
          <w:lang w:eastAsia="zh-CN"/>
          <w:highlight w:val="auto"/>
        </w:rPr>
        <w:t>万元，</w:t>
      </w:r>
      <w:r>
        <w:rPr>
          <w:rFonts w:ascii="仿宋_GB2312" w:eastAsia="仿宋_GB2312" w:cs="仿宋_GB2312" w:hint="eastAsia"/>
          <w:color w:val="000000"/>
          <w:sz w:val="32"/>
          <w:szCs w:val="32"/>
          <w:highlight w:val="auto"/>
        </w:rPr>
        <w:t>完成预算100%。</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_GB2312" w:hint="eastAsia"/>
          <w:color w:val="000000"/>
          <w:sz w:val="32"/>
          <w:szCs w:val="32"/>
          <w:highlight w:val="auto"/>
        </w:rPr>
      </w:pPr>
      <w:r>
        <w:rPr>
          <w:rFonts w:ascii="仿宋_GB2312" w:eastAsia="仿宋_GB2312" w:cs="仿宋_GB2312" w:hint="eastAsia"/>
          <w:color w:val="000000"/>
          <w:kern w:val="2"/>
          <w:sz w:val="32"/>
          <w:szCs w:val="32"/>
          <w:lang w:val="en-US" w:eastAsia="zh-CN" w:bidi="ar-SA"/>
          <w:highlight w:val="auto"/>
        </w:rPr>
        <w:t>15.灾害防治及应急管理支出（224）自然灾害救灾及恢复重建支出（07）其他自然灾害救灾及恢复重建支出（99）</w:t>
      </w:r>
      <w:r>
        <w:rPr>
          <w:rFonts w:ascii="仿宋_GB2312" w:eastAsia="仿宋_GB2312" w:cs="仿宋_GB2312" w:hint="eastAsia"/>
          <w:color w:val="000000"/>
          <w:sz w:val="32"/>
          <w:szCs w:val="32"/>
          <w:highlight w:val="auto"/>
        </w:rPr>
        <w:t>支出决算</w:t>
      </w:r>
      <w:r>
        <w:rPr>
          <w:rFonts w:ascii="仿宋_GB2312" w:eastAsia="仿宋_GB2312" w:cs="仿宋_GB2312" w:hint="eastAsia"/>
          <w:color w:val="000000"/>
          <w:sz w:val="32"/>
          <w:szCs w:val="32"/>
          <w:lang w:val="en-US" w:eastAsia="zh-CN"/>
          <w:highlight w:val="auto"/>
        </w:rPr>
        <w:t>3.21</w:t>
      </w:r>
      <w:r>
        <w:rPr>
          <w:rFonts w:ascii="仿宋_GB2312" w:eastAsia="仿宋_GB2312" w:cs="仿宋_GB2312" w:hint="eastAsia"/>
          <w:color w:val="000000"/>
          <w:sz w:val="32"/>
          <w:szCs w:val="32"/>
          <w:lang w:eastAsia="zh-CN"/>
          <w:highlight w:val="auto"/>
        </w:rPr>
        <w:t>万元，</w:t>
      </w:r>
      <w:r>
        <w:rPr>
          <w:rFonts w:ascii="仿宋_GB2312" w:eastAsia="仿宋_GB2312" w:cs="仿宋_GB2312" w:hint="eastAsia"/>
          <w:color w:val="000000"/>
          <w:sz w:val="32"/>
          <w:szCs w:val="32"/>
          <w:highlight w:val="auto"/>
        </w:rPr>
        <w:t>完成预算100%。</w:t>
      </w:r>
    </w:p>
    <w:p>
      <w:pPr>
        <w:pStyle w:val="15"/>
        <w:rPr>
          <w:rFonts w:hint="eastAsia"/>
          <w:lang w:val="en-US" w:eastAsia="zh-CN"/>
          <w:highlight w:val="auto"/>
        </w:rPr>
      </w:pPr>
    </w:p>
    <w:p>
      <w:pPr>
        <w:pStyle w:val="2"/>
        <w:keepNext/>
        <w:keepLines/>
        <w:pageBreakBefore w:val="0"/>
        <w:widowControl w:val="0"/>
        <w:kinsoku/>
        <w:wordWrap/>
        <w:overflowPunct/>
        <w:topLinePunct w:val="0"/>
        <w:autoSpaceDE/>
        <w:autoSpaceDN/>
        <w:bidi w:val="0"/>
        <w:adjustRightInd/>
        <w:snapToGrid/>
        <w:spacing w:after="0" w:afterAutospacing="0" w:line="300" w:lineRule="exact"/>
        <w:ind w:firstLineChars="200" w:firstLine="640"/>
        <w:textAlignment w:val="auto"/>
        <w:rPr>
          <w:rFonts w:ascii="黑体" w:eastAsia="黑体" w:cs="Times New Roman" w:hint="eastAsia"/>
          <w:bCs w:val="0"/>
          <w:color w:val="000000"/>
          <w:highlight w:val="auto"/>
        </w:rPr>
      </w:pPr>
      <w:bookmarkStart w:id="42" w:name="_Toc15377214"/>
      <w:bookmarkStart w:id="43" w:name="_Toc23748"/>
      <w:bookmarkStart w:id="44" w:name="_Toc111208504"/>
      <w:r>
        <w:rPr>
          <w:rFonts w:ascii="黑体" w:eastAsia="黑体" w:cs="Times New Roman" w:hint="eastAsia"/>
          <w:bCs w:val="0"/>
          <w:color w:val="000000"/>
          <w:highlight w:val="auto"/>
        </w:rPr>
        <w:t>六、一般公共预算财政拨款基本支出决算情况说</w:t>
      </w:r>
      <w:bookmarkEnd w:id="42"/>
      <w:r>
        <w:rPr>
          <w:rFonts w:ascii="黑体" w:eastAsia="黑体" w:cs="Times New Roman" w:hint="eastAsia"/>
          <w:bCs w:val="0"/>
          <w:color w:val="000000"/>
          <w:highlight w:val="auto"/>
        </w:rPr>
        <w:t>明</w:t>
      </w:r>
      <w:bookmarkEnd w:id="43"/>
      <w:bookmarkEnd w:id="44"/>
    </w:p>
    <w:p>
      <w:pPr>
        <w:spacing w:beforeAutospacing="0" w:line="600" w:lineRule="exact"/>
        <w:ind w:firstLine="640"/>
        <w:rPr>
          <w:rFonts w:ascii="仿宋_GB2312" w:eastAsia="仿宋_GB2312" w:cs="仿宋_GB2312" w:hint="eastAsia"/>
          <w:color w:val="auto"/>
          <w:sz w:val="32"/>
          <w:szCs w:val="32"/>
          <w:highlight w:val="auto"/>
        </w:rPr>
      </w:pPr>
      <w:r>
        <w:rPr>
          <w:rFonts w:ascii="仿宋_GB2312" w:eastAsia="仿宋_GB2312" w:cs="仿宋_GB2312" w:hint="eastAsia"/>
          <w:color w:val="auto"/>
          <w:sz w:val="32"/>
          <w:szCs w:val="32"/>
          <w:lang w:eastAsia="zh-CN"/>
          <w:highlight w:val="auto"/>
        </w:rPr>
        <w:t>2024</w:t>
      </w:r>
      <w:r>
        <w:rPr>
          <w:rFonts w:ascii="仿宋_GB2312" w:eastAsia="仿宋_GB2312" w:cs="仿宋_GB2312" w:hint="eastAsia"/>
          <w:color w:val="auto"/>
          <w:sz w:val="32"/>
          <w:u w:color="auto"/>
          <w:highlight w:val="auto"/>
        </w:rPr>
        <w:t>年一般公共预算财政拨款基本支出</w:t>
      </w:r>
      <w:r>
        <w:rPr>
          <w:rFonts w:ascii="仿宋_GB2312" w:eastAsia="仿宋_GB2312" w:cs="仿宋_GB2312" w:hint="eastAsia"/>
          <w:color w:val="auto"/>
          <w:sz w:val="32"/>
          <w:u w:color="auto"/>
          <w:lang w:val="en-US" w:eastAsia="zh-CN"/>
          <w:highlight w:val="auto"/>
        </w:rPr>
        <w:t>723.42</w:t>
      </w:r>
      <w:r>
        <w:rPr>
          <w:rFonts w:ascii="仿宋_GB2312" w:eastAsia="仿宋_GB2312" w:cs="仿宋_GB2312" w:hint="eastAsia"/>
          <w:color w:val="auto"/>
          <w:sz w:val="32"/>
          <w:szCs w:val="32"/>
          <w:highlight w:val="auto"/>
        </w:rPr>
        <w:t>万元，其中：</w:t>
      </w:r>
    </w:p>
    <w:p>
      <w:pPr>
        <w:spacing w:line="600" w:lineRule="exact"/>
        <w:ind w:firstLine="640"/>
        <w:rPr>
          <w:rFonts w:ascii="仿宋_GB2312" w:eastAsia="仿宋_GB2312" w:cs="仿宋_GB2312" w:hint="eastAsia"/>
          <w:color w:val="000000"/>
          <w:sz w:val="32"/>
          <w:szCs w:val="32"/>
          <w:highlight w:val="auto"/>
        </w:rPr>
      </w:pPr>
      <w:r>
        <w:rPr>
          <w:rFonts w:ascii="仿宋_GB2312" w:eastAsia="仿宋_GB2312" w:cs="仿宋_GB2312" w:hint="eastAsia"/>
          <w:color w:val="auto"/>
          <w:sz w:val="32"/>
          <w:szCs w:val="32"/>
          <w:highlight w:val="auto"/>
        </w:rPr>
        <w:t>人员经费</w:t>
      </w:r>
      <w:r>
        <w:rPr>
          <w:rFonts w:ascii="仿宋_GB2312" w:eastAsia="仿宋_GB2312" w:cs="仿宋_GB2312" w:hint="eastAsia"/>
          <w:color w:val="auto"/>
          <w:sz w:val="32"/>
          <w:u w:color="auto"/>
          <w:lang w:val="en-US" w:eastAsia="zh-CN"/>
          <w:highlight w:val="auto"/>
        </w:rPr>
        <w:t>446.99</w:t>
      </w:r>
      <w:r>
        <w:rPr>
          <w:rFonts w:ascii="仿宋_GB2312" w:eastAsia="仿宋_GB2312" w:cs="仿宋_GB2312" w:hint="eastAsia"/>
          <w:color w:val="auto"/>
          <w:sz w:val="32"/>
          <w:szCs w:val="32"/>
          <w:highlight w:val="auto"/>
        </w:rPr>
        <w:t>万元，主要包括：</w:t>
      </w:r>
      <w:r>
        <w:rPr>
          <w:rFonts w:ascii="仿宋_GB2312" w:eastAsia="仿宋_GB2312" w:cs="仿宋_GB2312" w:hint="eastAsia"/>
          <w:color w:val="auto"/>
          <w:sz w:val="32"/>
          <w:u w:color="auto"/>
          <w:highlight w:val="auto"/>
        </w:rPr>
        <w:t>基本工资</w:t>
      </w:r>
      <w:r>
        <w:rPr>
          <w:rFonts w:ascii="仿宋_GB2312" w:eastAsia="仿宋_GB2312" w:cs="仿宋_GB2312" w:hint="eastAsia"/>
          <w:color w:val="auto"/>
          <w:sz w:val="32"/>
          <w:u w:color="auto"/>
          <w:lang w:val="en-US" w:eastAsia="zh-CN"/>
          <w:highlight w:val="auto"/>
        </w:rPr>
        <w:t>91.40</w:t>
      </w:r>
      <w:r>
        <w:rPr>
          <w:rFonts w:ascii="仿宋_GB2312" w:eastAsia="仿宋_GB2312" w:cs="仿宋_GB2312" w:hint="eastAsia"/>
          <w:color w:val="auto"/>
          <w:sz w:val="32"/>
          <w:u w:color="auto"/>
          <w:highlight w:val="auto"/>
        </w:rPr>
        <w:t>万元、津贴补贴</w:t>
      </w:r>
      <w:r>
        <w:rPr>
          <w:rFonts w:ascii="仿宋_GB2312" w:eastAsia="仿宋_GB2312" w:cs="仿宋_GB2312" w:hint="eastAsia"/>
          <w:color w:val="auto"/>
          <w:sz w:val="32"/>
          <w:u w:color="auto"/>
          <w:lang w:val="en-US" w:eastAsia="zh-CN"/>
          <w:highlight w:val="auto"/>
        </w:rPr>
        <w:t>106.59</w:t>
      </w:r>
      <w:r>
        <w:rPr>
          <w:rFonts w:ascii="仿宋_GB2312" w:eastAsia="仿宋_GB2312" w:cs="仿宋_GB2312" w:hint="eastAsia"/>
          <w:color w:val="auto"/>
          <w:sz w:val="32"/>
          <w:u w:color="auto"/>
          <w:highlight w:val="auto"/>
        </w:rPr>
        <w:t>万元</w:t>
      </w:r>
      <w:r>
        <w:rPr>
          <w:rFonts w:ascii="仿宋_GB2312" w:eastAsia="仿宋_GB2312" w:cs="仿宋_GB2312" w:hint="eastAsia"/>
          <w:color w:val="auto"/>
          <w:sz w:val="32"/>
          <w:u w:color="auto"/>
          <w:lang w:eastAsia="zh-CN"/>
          <w:highlight w:val="auto"/>
        </w:rPr>
        <w:t>、</w:t>
      </w:r>
      <w:r>
        <w:rPr>
          <w:rFonts w:ascii="仿宋_GB2312" w:eastAsia="仿宋_GB2312" w:cs="仿宋_GB2312" w:hint="eastAsia"/>
          <w:color w:val="auto"/>
          <w:sz w:val="32"/>
          <w:u w:color="auto"/>
          <w:lang w:val="en-US" w:eastAsia="zh-CN"/>
          <w:highlight w:val="auto"/>
        </w:rPr>
        <w:t>奖金115.08万元、</w:t>
      </w:r>
      <w:r>
        <w:rPr>
          <w:rFonts w:ascii="仿宋_GB2312" w:eastAsia="仿宋_GB2312" w:cs="仿宋_GB2312" w:hint="eastAsia"/>
          <w:color w:val="000000"/>
          <w:sz w:val="32"/>
          <w:u w:color="auto"/>
          <w:highlight w:val="auto"/>
        </w:rPr>
        <w:t>机关事业单位基本养老保险缴费</w:t>
      </w:r>
      <w:r>
        <w:rPr>
          <w:rFonts w:ascii="仿宋_GB2312" w:eastAsia="仿宋_GB2312" w:cs="仿宋_GB2312" w:hint="eastAsia"/>
          <w:color w:val="000000"/>
          <w:sz w:val="32"/>
          <w:u w:color="auto"/>
          <w:lang w:val="en-US" w:eastAsia="zh-CN"/>
          <w:highlight w:val="auto"/>
        </w:rPr>
        <w:t>41.07</w:t>
      </w:r>
      <w:r>
        <w:rPr>
          <w:rFonts w:ascii="仿宋_GB2312" w:eastAsia="仿宋_GB2312" w:cs="仿宋_GB2312" w:hint="eastAsia"/>
          <w:color w:val="000000"/>
          <w:sz w:val="32"/>
          <w:u w:color="auto"/>
          <w:highlight w:val="auto"/>
        </w:rPr>
        <w:t>万元、职业年金缴费</w:t>
      </w:r>
      <w:r>
        <w:rPr>
          <w:rFonts w:ascii="仿宋_GB2312" w:eastAsia="仿宋_GB2312" w:cs="仿宋_GB2312" w:hint="eastAsia"/>
          <w:color w:val="000000"/>
          <w:sz w:val="32"/>
          <w:u w:color="auto"/>
          <w:lang w:val="en-US" w:eastAsia="zh-CN"/>
          <w:highlight w:val="auto"/>
        </w:rPr>
        <w:t>20.53</w:t>
      </w:r>
      <w:r>
        <w:rPr>
          <w:rFonts w:ascii="仿宋_GB2312" w:eastAsia="仿宋_GB2312" w:cs="仿宋_GB2312" w:hint="eastAsia"/>
          <w:color w:val="000000"/>
          <w:sz w:val="32"/>
          <w:u w:color="auto"/>
          <w:highlight w:val="auto"/>
        </w:rPr>
        <w:t>万元、职工基本医疗保险缴费</w:t>
      </w:r>
      <w:r>
        <w:rPr>
          <w:rFonts w:ascii="仿宋_GB2312" w:eastAsia="仿宋_GB2312" w:cs="仿宋_GB2312" w:hint="eastAsia"/>
          <w:color w:val="000000"/>
          <w:sz w:val="32"/>
          <w:u w:color="auto"/>
          <w:lang w:val="en-US" w:eastAsia="zh-CN"/>
          <w:highlight w:val="auto"/>
        </w:rPr>
        <w:t>25.40</w:t>
      </w:r>
      <w:r>
        <w:rPr>
          <w:rFonts w:ascii="仿宋_GB2312" w:eastAsia="仿宋_GB2312" w:cs="仿宋_GB2312" w:hint="eastAsia"/>
          <w:color w:val="000000"/>
          <w:sz w:val="32"/>
          <w:u w:color="auto"/>
          <w:highlight w:val="auto"/>
        </w:rPr>
        <w:t>万元、其他社会保障缴费</w:t>
      </w:r>
      <w:r>
        <w:rPr>
          <w:rFonts w:ascii="仿宋_GB2312" w:eastAsia="仿宋_GB2312" w:cs="仿宋_GB2312" w:hint="eastAsia"/>
          <w:color w:val="000000"/>
          <w:sz w:val="32"/>
          <w:u w:color="auto"/>
          <w:lang w:val="en-US" w:eastAsia="zh-CN"/>
          <w:highlight w:val="auto"/>
        </w:rPr>
        <w:t>7.07</w:t>
      </w:r>
      <w:r>
        <w:rPr>
          <w:rFonts w:ascii="仿宋_GB2312" w:eastAsia="仿宋_GB2312" w:cs="仿宋_GB2312" w:hint="eastAsia"/>
          <w:color w:val="000000"/>
          <w:sz w:val="32"/>
          <w:u w:color="auto"/>
          <w:highlight w:val="auto"/>
        </w:rPr>
        <w:t>万元、住房公积金</w:t>
      </w:r>
      <w:r>
        <w:rPr>
          <w:rFonts w:ascii="仿宋_GB2312" w:eastAsia="仿宋_GB2312" w:cs="仿宋_GB2312" w:hint="eastAsia"/>
          <w:color w:val="000000"/>
          <w:sz w:val="32"/>
          <w:u w:color="auto"/>
          <w:lang w:val="en-US" w:eastAsia="zh-CN"/>
          <w:highlight w:val="auto"/>
        </w:rPr>
        <w:t>35.29</w:t>
      </w:r>
      <w:r>
        <w:rPr>
          <w:rFonts w:ascii="仿宋_GB2312" w:eastAsia="仿宋_GB2312" w:cs="仿宋_GB2312" w:hint="eastAsia"/>
          <w:color w:val="000000"/>
          <w:sz w:val="32"/>
          <w:u w:color="auto"/>
          <w:highlight w:val="auto"/>
        </w:rPr>
        <w:t>万元、医疗费</w:t>
      </w:r>
      <w:r>
        <w:rPr>
          <w:rFonts w:ascii="仿宋_GB2312" w:eastAsia="仿宋_GB2312" w:cs="仿宋_GB2312" w:hint="eastAsia"/>
          <w:color w:val="000000"/>
          <w:sz w:val="32"/>
          <w:u w:color="auto"/>
          <w:lang w:val="en-US" w:eastAsia="zh-CN"/>
          <w:highlight w:val="auto"/>
        </w:rPr>
        <w:t>4.55万元、</w:t>
      </w:r>
      <w:r>
        <w:rPr>
          <w:rFonts w:ascii="仿宋_GB2312" w:eastAsia="仿宋_GB2312" w:cs="仿宋_GB2312" w:hint="eastAsia"/>
          <w:color w:val="000000"/>
          <w:sz w:val="32"/>
          <w:u w:color="auto"/>
          <w:highlight w:val="auto"/>
        </w:rPr>
        <w:t>生活补助</w:t>
      </w:r>
      <w:r>
        <w:rPr>
          <w:rFonts w:ascii="仿宋_GB2312" w:eastAsia="仿宋_GB2312" w:cs="仿宋_GB2312" w:hint="eastAsia"/>
          <w:color w:val="000000"/>
          <w:sz w:val="32"/>
          <w:u w:color="auto"/>
          <w:lang w:val="en-US" w:eastAsia="zh-CN"/>
          <w:highlight w:val="auto"/>
        </w:rPr>
        <w:t>10.24</w:t>
      </w:r>
      <w:r>
        <w:rPr>
          <w:rFonts w:ascii="仿宋_GB2312" w:eastAsia="仿宋_GB2312" w:cs="仿宋_GB2312" w:hint="eastAsia"/>
          <w:color w:val="000000"/>
          <w:sz w:val="32"/>
          <w:u w:color="auto"/>
          <w:highlight w:val="auto"/>
        </w:rPr>
        <w:t>万元、奖励金0.0</w:t>
      </w:r>
      <w:r>
        <w:rPr>
          <w:rFonts w:ascii="仿宋_GB2312" w:eastAsia="仿宋_GB2312" w:cs="仿宋_GB2312" w:hint="eastAsia"/>
          <w:color w:val="000000"/>
          <w:sz w:val="32"/>
          <w:u w:color="auto"/>
          <w:lang w:val="en-US" w:eastAsia="zh-CN"/>
          <w:highlight w:val="auto"/>
        </w:rPr>
        <w:t>3</w:t>
      </w:r>
      <w:r>
        <w:rPr>
          <w:rFonts w:ascii="仿宋_GB2312" w:eastAsia="仿宋_GB2312" w:cs="仿宋_GB2312" w:hint="eastAsia"/>
          <w:color w:val="000000"/>
          <w:sz w:val="32"/>
          <w:u w:color="auto"/>
          <w:highlight w:val="auto"/>
        </w:rPr>
        <w:t>万元。</w:t>
      </w:r>
    </w:p>
    <w:p>
      <w:pPr>
        <w:spacing w:line="600" w:lineRule="exact"/>
        <w:ind w:firstLine="640"/>
        <w:rPr>
          <w:rFonts w:ascii="仿宋" w:eastAsia="仿宋" w:hint="eastAsia"/>
          <w:color w:val="000000"/>
          <w:sz w:val="32"/>
          <w:szCs w:val="32"/>
          <w:lang w:eastAsia="zh-CN"/>
          <w:highlight w:val="auto"/>
        </w:rPr>
      </w:pPr>
      <w:r>
        <w:rPr>
          <w:rFonts w:ascii="仿宋_GB2312" w:eastAsia="仿宋_GB2312" w:cs="仿宋_GB2312" w:hint="eastAsia"/>
          <w:color w:val="000000"/>
          <w:sz w:val="32"/>
          <w:szCs w:val="32"/>
          <w:highlight w:val="auto"/>
        </w:rPr>
        <w:t>公用经费</w:t>
      </w:r>
      <w:r>
        <w:rPr>
          <w:rFonts w:ascii="仿宋_GB2312" w:eastAsia="仿宋_GB2312" w:cs="仿宋_GB2312" w:hint="eastAsia"/>
          <w:color w:val="000000"/>
          <w:sz w:val="32"/>
          <w:u w:color="auto"/>
          <w:lang w:val="en-US" w:eastAsia="zh-CN"/>
          <w:highlight w:val="auto"/>
        </w:rPr>
        <w:t>21.97</w:t>
      </w:r>
      <w:r>
        <w:rPr>
          <w:rFonts w:ascii="仿宋_GB2312" w:eastAsia="仿宋_GB2312" w:cs="仿宋_GB2312" w:hint="eastAsia"/>
          <w:color w:val="000000"/>
          <w:sz w:val="32"/>
          <w:szCs w:val="32"/>
          <w:highlight w:val="auto"/>
        </w:rPr>
        <w:t>万元，主要包括：</w:t>
      </w:r>
      <w:r>
        <w:rPr>
          <w:rFonts w:ascii="仿宋_GB2312" w:eastAsia="仿宋_GB2312" w:cs="仿宋_GB2312" w:hint="eastAsia"/>
          <w:color w:val="000000"/>
          <w:sz w:val="32"/>
          <w:szCs w:val="32"/>
          <w:lang w:eastAsia="zh-CN"/>
          <w:highlight w:val="auto"/>
        </w:rPr>
        <w:t>办公费</w:t>
      </w:r>
      <w:r>
        <w:rPr>
          <w:rFonts w:ascii="仿宋_GB2312" w:eastAsia="仿宋_GB2312" w:cs="仿宋_GB2312" w:hint="eastAsia"/>
          <w:color w:val="000000"/>
          <w:sz w:val="32"/>
          <w:szCs w:val="32"/>
          <w:lang w:val="en-US" w:eastAsia="zh-CN"/>
          <w:highlight w:val="auto"/>
        </w:rPr>
        <w:t>4.31万元、电费4.00万元、邮</w:t>
      </w:r>
      <w:r>
        <w:rPr>
          <w:rFonts w:ascii="仿宋_GB2312" w:eastAsia="仿宋_GB2312" w:cs="仿宋_GB2312" w:hint="eastAsia"/>
          <w:color w:val="000000"/>
          <w:sz w:val="32"/>
          <w:u w:color="auto"/>
          <w:highlight w:val="auto"/>
        </w:rPr>
        <w:t>电费1.00万元、差旅费</w:t>
      </w:r>
      <w:r>
        <w:rPr>
          <w:rFonts w:ascii="仿宋_GB2312" w:eastAsia="仿宋_GB2312" w:cs="仿宋_GB2312" w:hint="eastAsia"/>
          <w:color w:val="000000"/>
          <w:sz w:val="32"/>
          <w:u w:color="auto"/>
          <w:lang w:val="en-US" w:eastAsia="zh-CN"/>
          <w:highlight w:val="auto"/>
        </w:rPr>
        <w:t>7.68</w:t>
      </w:r>
      <w:r>
        <w:rPr>
          <w:rFonts w:ascii="仿宋_GB2312" w:eastAsia="仿宋_GB2312" w:cs="仿宋_GB2312" w:hint="eastAsia"/>
          <w:color w:val="000000"/>
          <w:sz w:val="32"/>
          <w:u w:color="auto"/>
          <w:highlight w:val="auto"/>
        </w:rPr>
        <w:t>万元</w:t>
      </w:r>
      <w:r>
        <w:rPr>
          <w:rFonts w:ascii="仿宋_GB2312" w:eastAsia="仿宋_GB2312" w:cs="仿宋_GB2312" w:hint="eastAsia"/>
          <w:color w:val="000000"/>
          <w:sz w:val="32"/>
          <w:u w:color="auto"/>
          <w:lang w:eastAsia="zh-CN"/>
          <w:highlight w:val="auto"/>
        </w:rPr>
        <w:t>、公务用车运行维护费</w:t>
      </w:r>
      <w:r>
        <w:rPr>
          <w:rFonts w:ascii="仿宋_GB2312" w:eastAsia="仿宋_GB2312" w:cs="仿宋_GB2312" w:hint="eastAsia"/>
          <w:color w:val="000000"/>
          <w:sz w:val="32"/>
          <w:u w:color="auto"/>
          <w:lang w:val="en-US" w:eastAsia="zh-CN"/>
          <w:highlight w:val="auto"/>
        </w:rPr>
        <w:t>4.98万元</w:t>
      </w:r>
      <w:r>
        <w:rPr>
          <w:rFonts w:ascii="仿宋_GB2312" w:eastAsia="仿宋_GB2312" w:cs="仿宋_GB2312" w:hint="eastAsia"/>
          <w:color w:val="000000"/>
          <w:sz w:val="32"/>
          <w:u w:color="auto"/>
          <w:lang w:eastAsia="zh-CN"/>
          <w:highlight w:val="auto"/>
        </w:rPr>
        <w:t>。</w:t>
      </w:r>
    </w:p>
    <w:p>
      <w:pPr>
        <w:pStyle w:val="2"/>
        <w:keepNext/>
        <w:keepLines/>
        <w:pageBreakBefore w:val="0"/>
        <w:widowControl w:val="0"/>
        <w:kinsoku/>
        <w:wordWrap/>
        <w:overflowPunct/>
        <w:topLinePunct w:val="0"/>
        <w:autoSpaceDE/>
        <w:autoSpaceDN/>
        <w:bidi w:val="0"/>
        <w:adjustRightInd/>
        <w:snapToGrid/>
        <w:spacing w:after="0" w:afterAutospacing="0" w:line="300" w:lineRule="exact"/>
        <w:ind w:firstLineChars="200" w:firstLine="640"/>
        <w:textAlignment w:val="auto"/>
        <w:rPr>
          <w:rFonts w:ascii="黑体" w:eastAsia="黑体" w:cs="Times New Roman" w:hint="eastAsia"/>
          <w:bCs w:val="0"/>
          <w:color w:val="000000"/>
          <w:highlight w:val="auto"/>
        </w:rPr>
      </w:pPr>
      <w:bookmarkStart w:id="45" w:name="_Toc15377215"/>
      <w:bookmarkStart w:id="46" w:name="_Toc21697"/>
      <w:bookmarkStart w:id="47" w:name="_Toc111208505"/>
      <w:bookmarkStart w:id="48" w:name="_Toc111208506"/>
      <w:bookmarkStart w:id="49" w:name="_Toc15377218"/>
      <w:r>
        <w:rPr>
          <w:rFonts w:ascii="黑体" w:eastAsia="黑体" w:cs="Times New Roman" w:hint="eastAsia"/>
          <w:bCs w:val="0"/>
          <w:color w:val="000000"/>
          <w:highlight w:val="auto"/>
        </w:rPr>
        <w:t>七、“三公”经费财政拨款支出决算情况说明</w:t>
      </w:r>
      <w:bookmarkEnd w:id="45"/>
      <w:bookmarkEnd w:id="46"/>
      <w:bookmarkEnd w:id="47"/>
    </w:p>
    <w:p>
      <w:pPr>
        <w:spacing w:beforeAutospacing="0" w:line="600" w:lineRule="exact"/>
        <w:ind w:firstLineChars="200" w:firstLine="640"/>
        <w:outlineLvl w:val="2"/>
        <w:rPr>
          <w:rFonts w:ascii="仿宋_GB2312" w:eastAsia="仿宋_GB2312" w:cs="仿宋_GB2312" w:hint="eastAsia"/>
          <w:b/>
          <w:color w:val="000000"/>
          <w:sz w:val="32"/>
          <w:szCs w:val="32"/>
          <w:highlight w:val="auto"/>
        </w:rPr>
      </w:pPr>
      <w:bookmarkStart w:id="50" w:name="_Toc15377216"/>
      <w:r>
        <w:rPr>
          <w:rFonts w:ascii="仿宋_GB2312" w:eastAsia="仿宋_GB2312" w:cs="仿宋_GB2312" w:hint="eastAsia"/>
          <w:b/>
          <w:color w:val="000000"/>
          <w:sz w:val="32"/>
          <w:szCs w:val="32"/>
          <w:highlight w:val="auto"/>
        </w:rPr>
        <w:t>（一）“三公”经费财政拨款支出决算总体情况说明</w:t>
      </w:r>
      <w:bookmarkEnd w:id="50"/>
    </w:p>
    <w:p>
      <w:pPr>
        <w:spacing w:line="600" w:lineRule="exact"/>
        <w:ind w:firstLine="64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u w:color="auto"/>
          <w:highlight w:val="auto"/>
        </w:rPr>
        <w:t>年“三公”经费财政拨款支出决算为</w:t>
      </w:r>
      <w:r>
        <w:rPr>
          <w:rFonts w:ascii="仿宋_GB2312" w:eastAsia="仿宋_GB2312" w:cs="仿宋_GB2312" w:hint="eastAsia"/>
          <w:color w:val="000000"/>
          <w:sz w:val="32"/>
          <w:u w:color="auto"/>
          <w:lang w:val="en-US" w:eastAsia="zh-CN"/>
          <w:highlight w:val="auto"/>
        </w:rPr>
        <w:t>4.98</w:t>
      </w:r>
      <w:r>
        <w:rPr>
          <w:rFonts w:ascii="仿宋_GB2312" w:eastAsia="仿宋_GB2312" w:cs="仿宋_GB2312" w:hint="eastAsia"/>
          <w:color w:val="000000"/>
          <w:sz w:val="32"/>
          <w:szCs w:val="32"/>
          <w:highlight w:val="auto"/>
        </w:rPr>
        <w:t>万元，完成预算</w:t>
      </w:r>
      <w:r>
        <w:rPr>
          <w:rFonts w:ascii="仿宋_GB2312" w:eastAsia="仿宋_GB2312" w:cs="仿宋_GB2312" w:hint="eastAsia"/>
          <w:color w:val="000000"/>
          <w:sz w:val="32"/>
          <w:u w:color="auto"/>
          <w:highlight w:val="auto"/>
        </w:rPr>
        <w:t>10</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w:t>
      </w:r>
      <w:bookmarkStart w:id="51" w:name="_Toc15377217"/>
    </w:p>
    <w:p>
      <w:pPr>
        <w:spacing w:line="600" w:lineRule="exact"/>
        <w:ind w:firstLineChars="200" w:firstLine="640"/>
        <w:outlineLvl w:val="2"/>
        <w:rPr>
          <w:rFonts w:ascii="仿宋" w:eastAsia="仿宋"/>
          <w:b/>
          <w:color w:val="000000"/>
          <w:sz w:val="32"/>
          <w:szCs w:val="32"/>
          <w:highlight w:val="auto"/>
        </w:rPr>
      </w:pPr>
      <w:r>
        <w:rPr>
          <w:rFonts w:ascii="仿宋" w:eastAsia="仿宋" w:hint="eastAsia"/>
          <w:b/>
          <w:color w:val="000000"/>
          <w:sz w:val="32"/>
          <w:szCs w:val="32"/>
          <w:highlight w:val="auto"/>
        </w:rPr>
        <w:t>（二）“三公”经费财政拨款支出决算具体情况说明</w:t>
      </w:r>
      <w:bookmarkEnd w:id="51"/>
    </w:p>
    <w:p>
      <w:pPr>
        <w:spacing w:line="600" w:lineRule="exact"/>
        <w:ind w:firstLine="64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u w:color="auto"/>
          <w:highlight w:val="auto"/>
        </w:rPr>
        <w:t>年“三公”经费财政拨款支出</w:t>
      </w:r>
      <w:r>
        <w:rPr>
          <w:rFonts w:ascii="仿宋_GB2312" w:eastAsia="仿宋_GB2312" w:cs="仿宋_GB2312" w:hint="eastAsia"/>
          <w:color w:val="000000"/>
          <w:sz w:val="32"/>
          <w:u w:color="auto"/>
          <w:lang w:val="en-US" w:eastAsia="zh-CN"/>
          <w:highlight w:val="auto"/>
        </w:rPr>
        <w:t>4.98</w:t>
      </w:r>
      <w:r>
        <w:rPr>
          <w:rFonts w:ascii="仿宋_GB2312" w:eastAsia="仿宋_GB2312" w:cs="仿宋_GB2312" w:hint="eastAsia"/>
          <w:color w:val="000000"/>
          <w:sz w:val="32"/>
          <w:szCs w:val="32"/>
          <w:highlight w:val="auto"/>
        </w:rPr>
        <w:t>万元，因公出国（境）费支出决算</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万元；公务用车购置及运行维护费支出决算</w:t>
      </w:r>
      <w:r>
        <w:rPr>
          <w:rFonts w:ascii="仿宋_GB2312" w:eastAsia="仿宋_GB2312" w:cs="仿宋_GB2312" w:hint="eastAsia"/>
          <w:color w:val="000000"/>
          <w:sz w:val="32"/>
          <w:u w:color="auto"/>
          <w:lang w:val="en-US" w:eastAsia="zh-CN"/>
          <w:highlight w:val="auto"/>
        </w:rPr>
        <w:t>4.98</w:t>
      </w:r>
      <w:r>
        <w:rPr>
          <w:rFonts w:ascii="仿宋_GB2312" w:eastAsia="仿宋_GB2312" w:cs="仿宋_GB2312" w:hint="eastAsia"/>
          <w:color w:val="000000"/>
          <w:sz w:val="32"/>
          <w:szCs w:val="32"/>
          <w:highlight w:val="auto"/>
        </w:rPr>
        <w:t>万元，占</w:t>
      </w:r>
      <w:r>
        <w:rPr>
          <w:rFonts w:ascii="仿宋_GB2312" w:eastAsia="仿宋_GB2312" w:cs="仿宋_GB2312" w:hint="eastAsia"/>
          <w:color w:val="000000"/>
          <w:sz w:val="32"/>
          <w:u w:color="auto"/>
          <w:highlight w:val="auto"/>
        </w:rPr>
        <w:t>10</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%；公务接待费支出决算</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万元。具体情况如下：</w:t>
      </w:r>
    </w:p>
    <w:p>
      <w:pPr>
        <w:pStyle w:val="16"/>
        <w:rPr>
          <w:rFonts w:ascii="仿宋_GB2312" w:eastAsia="仿宋_GB2312"/>
          <w:color w:val="000000"/>
          <w:sz w:val="32"/>
          <w:szCs w:val="32"/>
          <w:highlight w:val="auto"/>
        </w:rPr>
      </w:pPr>
      <w:r>
        <w:rPr>
          <w:rFonts w:eastAsia="仿宋" w:hint="eastAsia"/>
          <w:lang w:eastAsia="zh-CN"/>
          <w:highlight w:val="auto"/>
        </w:rPr>
        <w:drawing>
          <wp:inline distT="0" distB="0" distL="114300" distR="114300">
            <wp:extent cx="5256530" cy="2988310"/>
            <wp:effectExtent l="0" t="0" r="0" b="0"/>
            <wp:docPr id="7" name="图表 5" descr="7b0a202020202263686172745265734964223a20223230343735353430220a7d0a"/>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highlight w:val="auto"/>
        </w:rPr>
        <w:t>1.因公出国（境）经费支出</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万元。全年安排因公出国（境）团组</w:t>
      </w:r>
      <w:r>
        <w:rPr>
          <w:rFonts w:ascii="仿宋_GB2312" w:eastAsia="仿宋_GB2312" w:cs="仿宋_GB2312" w:hint="eastAsia"/>
          <w:color w:val="000000"/>
          <w:sz w:val="32"/>
          <w:u w:color="auto"/>
          <w:highlight w:val="auto"/>
        </w:rPr>
        <w:t>0</w:t>
      </w:r>
      <w:r>
        <w:rPr>
          <w:rFonts w:ascii="仿宋_GB2312" w:eastAsia="仿宋_GB2312" w:cs="仿宋_GB2312" w:hint="eastAsia"/>
          <w:color w:val="000000"/>
          <w:sz w:val="32"/>
          <w:szCs w:val="32"/>
          <w:highlight w:val="auto"/>
        </w:rPr>
        <w:t>次，出国（境）</w:t>
      </w:r>
      <w:r>
        <w:rPr>
          <w:rFonts w:ascii="仿宋_GB2312" w:eastAsia="仿宋_GB2312" w:cs="仿宋_GB2312" w:hint="eastAsia"/>
          <w:color w:val="000000"/>
          <w:sz w:val="32"/>
          <w:u w:color="auto"/>
          <w:highlight w:val="auto"/>
        </w:rPr>
        <w:t>0</w:t>
      </w:r>
      <w:r>
        <w:rPr>
          <w:rFonts w:ascii="仿宋_GB2312" w:eastAsia="仿宋_GB2312" w:cs="仿宋_GB2312" w:hint="eastAsia"/>
          <w:color w:val="000000"/>
          <w:sz w:val="32"/>
          <w:szCs w:val="32"/>
          <w:highlight w:val="auto"/>
        </w:rPr>
        <w:t>人。因公出国（境）支出决算比</w:t>
      </w:r>
      <w:r>
        <w:rPr>
          <w:rFonts w:ascii="仿宋_GB2312" w:eastAsia="仿宋_GB2312" w:cs="仿宋_GB2312" w:hint="eastAsia"/>
          <w:color w:val="000000"/>
          <w:sz w:val="32"/>
          <w:u w:color="auto"/>
          <w:lang w:eastAsia="zh-CN"/>
          <w:highlight w:val="auto"/>
        </w:rPr>
        <w:t>2023</w:t>
      </w:r>
      <w:r>
        <w:rPr>
          <w:rFonts w:ascii="仿宋_GB2312" w:eastAsia="仿宋_GB2312" w:cs="仿宋_GB2312" w:hint="eastAsia"/>
          <w:color w:val="000000"/>
          <w:sz w:val="32"/>
          <w:u w:color="auto"/>
          <w:highlight w:val="auto"/>
        </w:rPr>
        <w:t>年增加</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w:t>
      </w:r>
      <w:r>
        <w:rPr>
          <w:rFonts w:ascii="仿宋_GB2312" w:eastAsia="仿宋_GB2312" w:cs="仿宋_GB2312" w:hint="eastAsia"/>
          <w:color w:val="000000"/>
          <w:sz w:val="32"/>
          <w:u w:color="auto"/>
          <w:highlight w:val="auto"/>
        </w:rPr>
        <w:t xml:space="preserve"> </w:t>
      </w:r>
    </w:p>
    <w:p>
      <w:pPr>
        <w:spacing w:line="600" w:lineRule="exact"/>
        <w:ind w:firstLine="64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highlight w:val="auto"/>
        </w:rPr>
        <w:t>2.公务用车购置及运行维护费支出</w:t>
      </w:r>
      <w:r>
        <w:rPr>
          <w:rFonts w:ascii="仿宋_GB2312" w:eastAsia="仿宋_GB2312" w:cs="仿宋_GB2312" w:hint="eastAsia"/>
          <w:color w:val="000000"/>
          <w:sz w:val="32"/>
          <w:u w:color="auto"/>
          <w:lang w:val="en-US" w:eastAsia="zh-CN"/>
          <w:highlight w:val="auto"/>
        </w:rPr>
        <w:t>4.98</w:t>
      </w:r>
      <w:r>
        <w:rPr>
          <w:rFonts w:ascii="仿宋_GB2312" w:eastAsia="仿宋_GB2312" w:cs="仿宋_GB2312" w:hint="eastAsia"/>
          <w:color w:val="000000"/>
          <w:sz w:val="32"/>
          <w:szCs w:val="32"/>
          <w:highlight w:val="auto"/>
        </w:rPr>
        <w:t>万元,完成预算</w:t>
      </w:r>
      <w:r>
        <w:rPr>
          <w:rFonts w:ascii="仿宋_GB2312" w:eastAsia="仿宋_GB2312" w:cs="仿宋_GB2312" w:hint="eastAsia"/>
          <w:color w:val="000000"/>
          <w:sz w:val="32"/>
          <w:u w:color="auto"/>
          <w:highlight w:val="auto"/>
        </w:rPr>
        <w:t>10</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%。公务用车购置及运行维护费支出决算比</w:t>
      </w:r>
      <w:r>
        <w:rPr>
          <w:rFonts w:ascii="仿宋_GB2312" w:eastAsia="仿宋_GB2312" w:cs="仿宋_GB2312" w:hint="eastAsia"/>
          <w:color w:val="000000"/>
          <w:sz w:val="32"/>
          <w:u w:color="auto"/>
          <w:lang w:eastAsia="zh-CN"/>
          <w:highlight w:val="auto"/>
        </w:rPr>
        <w:t>2023</w:t>
      </w:r>
      <w:r>
        <w:rPr>
          <w:rFonts w:ascii="仿宋_GB2312" w:eastAsia="仿宋_GB2312" w:cs="仿宋_GB2312" w:hint="eastAsia"/>
          <w:color w:val="000000"/>
          <w:sz w:val="32"/>
          <w:u w:color="auto"/>
          <w:highlight w:val="auto"/>
        </w:rPr>
        <w:t>年</w:t>
      </w:r>
      <w:r>
        <w:rPr>
          <w:rFonts w:ascii="仿宋_GB2312" w:eastAsia="仿宋_GB2312" w:cs="仿宋_GB2312" w:hint="eastAsia"/>
          <w:color w:val="000000"/>
          <w:sz w:val="32"/>
          <w:u w:color="auto"/>
          <w:lang w:eastAsia="zh-CN"/>
          <w:highlight w:val="auto"/>
        </w:rPr>
        <w:t>减少</w:t>
      </w:r>
      <w:r>
        <w:rPr>
          <w:rFonts w:ascii="仿宋_GB2312" w:eastAsia="仿宋_GB2312" w:cs="仿宋_GB2312" w:hint="eastAsia"/>
          <w:color w:val="000000"/>
          <w:sz w:val="32"/>
          <w:u w:color="auto"/>
          <w:lang w:val="en-US" w:eastAsia="zh-CN"/>
          <w:highlight w:val="auto"/>
        </w:rPr>
        <w:t>4.16</w:t>
      </w:r>
      <w:r>
        <w:rPr>
          <w:rFonts w:ascii="仿宋_GB2312" w:eastAsia="仿宋_GB2312" w:cs="仿宋_GB2312" w:hint="eastAsia"/>
          <w:color w:val="000000"/>
          <w:sz w:val="32"/>
          <w:szCs w:val="32"/>
          <w:highlight w:val="auto"/>
        </w:rPr>
        <w:t>万元，</w:t>
      </w:r>
      <w:r>
        <w:rPr>
          <w:rFonts w:ascii="仿宋_GB2312" w:eastAsia="仿宋_GB2312" w:cs="仿宋_GB2312" w:hint="eastAsia"/>
          <w:color w:val="000000"/>
          <w:sz w:val="32"/>
          <w:u w:color="auto"/>
          <w:lang w:eastAsia="zh-CN"/>
          <w:highlight w:val="auto"/>
        </w:rPr>
        <w:t>减少</w:t>
      </w:r>
      <w:r>
        <w:rPr>
          <w:rFonts w:ascii="仿宋_GB2312" w:eastAsia="仿宋_GB2312" w:cs="仿宋_GB2312" w:hint="eastAsia"/>
          <w:color w:val="000000"/>
          <w:sz w:val="32"/>
          <w:u w:color="auto"/>
          <w:lang w:val="en-US" w:eastAsia="zh-CN"/>
          <w:highlight w:val="auto"/>
        </w:rPr>
        <w:t>45.51</w:t>
      </w:r>
      <w:r>
        <w:rPr>
          <w:rFonts w:ascii="仿宋_GB2312" w:eastAsia="仿宋_GB2312" w:cs="仿宋_GB2312" w:hint="eastAsia"/>
          <w:color w:val="000000"/>
          <w:sz w:val="32"/>
          <w:szCs w:val="32"/>
          <w:highlight w:val="auto"/>
        </w:rPr>
        <w:t>%。</w:t>
      </w:r>
      <w:r>
        <w:rPr>
          <w:rFonts w:ascii="仿宋_GB2312" w:eastAsia="仿宋_GB2312" w:cs="仿宋_GB2312" w:hint="eastAsia"/>
          <w:color w:val="000000"/>
          <w:sz w:val="32"/>
          <w:u w:color="auto"/>
          <w:highlight w:val="auto"/>
        </w:rPr>
        <w:t>主要原因是</w:t>
      </w:r>
      <w:r>
        <w:rPr>
          <w:rFonts w:ascii="仿宋_GB2312" w:eastAsia="仿宋_GB2312" w:cs="仿宋_GB2312" w:hint="eastAsia"/>
          <w:color w:val="000000"/>
          <w:sz w:val="32"/>
          <w:u w:color="auto"/>
          <w:lang w:eastAsia="zh-CN"/>
          <w:highlight w:val="auto"/>
        </w:rPr>
        <w:t>：控制</w:t>
      </w:r>
      <w:r>
        <w:rPr>
          <w:rFonts w:ascii="仿宋_GB2312" w:eastAsia="仿宋_GB2312" w:cs="仿宋_GB2312" w:hint="eastAsia"/>
          <w:color w:val="000000"/>
          <w:sz w:val="32"/>
          <w:u w:color="auto"/>
          <w:highlight w:val="auto"/>
        </w:rPr>
        <w:t>运行</w:t>
      </w:r>
      <w:r>
        <w:rPr>
          <w:rFonts w:ascii="仿宋_GB2312" w:eastAsia="仿宋_GB2312" w:cs="仿宋_GB2312" w:hint="eastAsia"/>
          <w:color w:val="000000"/>
          <w:sz w:val="32"/>
          <w:u w:color="auto"/>
          <w:lang w:eastAsia="zh-CN"/>
          <w:highlight w:val="auto"/>
        </w:rPr>
        <w:t>成本</w:t>
      </w:r>
      <w:r>
        <w:rPr>
          <w:rFonts w:ascii="仿宋_GB2312" w:eastAsia="仿宋_GB2312" w:cs="仿宋_GB2312" w:hint="eastAsia"/>
          <w:color w:val="000000"/>
          <w:sz w:val="32"/>
          <w:u w:color="auto"/>
          <w:highlight w:val="auto"/>
        </w:rPr>
        <w:t xml:space="preserve">。 </w:t>
      </w:r>
    </w:p>
    <w:p>
      <w:pPr>
        <w:spacing w:line="600" w:lineRule="exact"/>
        <w:ind w:firstLineChars="200" w:firstLine="64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highlight w:val="auto"/>
        </w:rPr>
        <w:t>其中：公务用车购置支出</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u w:color="auto"/>
          <w:highlight w:val="auto"/>
        </w:rPr>
        <w:t>万元。全年按规定更新购置公务用车0辆，其中：轿车0辆、金额</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u w:color="auto"/>
          <w:highlight w:val="auto"/>
        </w:rPr>
        <w:t>万元，越野车0辆、金额</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u w:color="auto"/>
          <w:highlight w:val="auto"/>
        </w:rPr>
        <w:t>万元，载客汽车0辆、金额</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u w:color="auto"/>
          <w:highlight w:val="auto"/>
        </w:rPr>
        <w:t>万元。截至</w:t>
      </w:r>
      <w:r>
        <w:rPr>
          <w:rFonts w:ascii="仿宋_GB2312" w:eastAsia="仿宋_GB2312" w:cs="仿宋_GB2312" w:hint="eastAsia"/>
          <w:color w:val="000000"/>
          <w:sz w:val="32"/>
          <w:szCs w:val="32"/>
          <w:lang w:val="en-US" w:eastAsia="zh-CN"/>
          <w:highlight w:val="auto"/>
        </w:rPr>
        <w:t>2024年</w:t>
      </w:r>
      <w:r>
        <w:rPr>
          <w:rFonts w:ascii="仿宋_GB2312" w:eastAsia="仿宋_GB2312" w:cs="仿宋_GB2312" w:hint="eastAsia"/>
          <w:color w:val="000000"/>
          <w:sz w:val="32"/>
          <w:szCs w:val="32"/>
          <w:highlight w:val="auto"/>
        </w:rPr>
        <w:t>，单位共有公务用车2辆，其中：轿车</w:t>
      </w:r>
      <w:r>
        <w:rPr>
          <w:rFonts w:ascii="仿宋_GB2312" w:eastAsia="仿宋_GB2312" w:cs="仿宋_GB2312" w:hint="eastAsia"/>
          <w:color w:val="000000"/>
          <w:sz w:val="32"/>
          <w:u w:color="auto"/>
          <w:highlight w:val="auto"/>
        </w:rPr>
        <w:t>0辆、越野车2辆、载客汽车0辆。</w:t>
      </w:r>
    </w:p>
    <w:p>
      <w:pPr>
        <w:spacing w:line="600" w:lineRule="exact"/>
        <w:ind w:firstLine="64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highlight w:val="auto"/>
        </w:rPr>
        <w:t>公务用车运行维护费支出</w:t>
      </w:r>
      <w:r>
        <w:rPr>
          <w:rFonts w:ascii="仿宋_GB2312" w:eastAsia="仿宋_GB2312" w:cs="仿宋_GB2312" w:hint="eastAsia"/>
          <w:color w:val="000000"/>
          <w:sz w:val="32"/>
          <w:u w:color="auto"/>
          <w:lang w:val="en-US" w:eastAsia="zh-CN"/>
          <w:highlight w:val="auto"/>
        </w:rPr>
        <w:t>4.98</w:t>
      </w:r>
      <w:r>
        <w:rPr>
          <w:rFonts w:ascii="仿宋_GB2312" w:eastAsia="仿宋_GB2312" w:cs="仿宋_GB2312" w:hint="eastAsia"/>
          <w:color w:val="000000"/>
          <w:sz w:val="32"/>
          <w:szCs w:val="32"/>
          <w:highlight w:val="auto"/>
        </w:rPr>
        <w:t>万元。</w:t>
      </w:r>
      <w:r>
        <w:rPr>
          <w:rFonts w:ascii="仿宋_GB2312" w:eastAsia="仿宋_GB2312" w:cs="仿宋_GB2312" w:hint="eastAsia"/>
          <w:color w:val="000000"/>
          <w:sz w:val="32"/>
          <w:u w:color="auto"/>
          <w:highlight w:val="auto"/>
        </w:rPr>
        <w:t>主要用于</w:t>
      </w:r>
      <w:r>
        <w:rPr>
          <w:rFonts w:ascii="仿宋_GB2312" w:eastAsia="仿宋_GB2312" w:cs="仿宋_GB2312" w:hint="eastAsia"/>
          <w:color w:val="000000"/>
          <w:sz w:val="32"/>
          <w:u w:color="auto"/>
          <w:lang w:eastAsia="zh-CN"/>
          <w:highlight w:val="auto"/>
        </w:rPr>
        <w:t>下村等工作所需的公务用车燃料费、维修费、过路过桥费、保险费等支出</w:t>
      </w:r>
      <w:r>
        <w:rPr>
          <w:rFonts w:ascii="仿宋_GB2312" w:eastAsia="仿宋_GB2312" w:cs="仿宋_GB2312" w:hint="eastAsia"/>
          <w:color w:val="000000"/>
          <w:sz w:val="32"/>
          <w:u w:color="auto"/>
          <w:highlight w:val="auto"/>
        </w:rPr>
        <w:t>。</w:t>
      </w:r>
    </w:p>
    <w:p>
      <w:pPr>
        <w:pStyle w:val="16"/>
        <w:keepNext w:val="0"/>
        <w:keepLines w:val="0"/>
        <w:pageBreakBefore w:val="0"/>
        <w:widowControl w:val="0"/>
        <w:numPr>
          <w:ilvl w:val="0"/>
          <w:numId w:val="1"/>
        </w:numPr>
        <w:kinsoku/>
        <w:wordWrap/>
        <w:overflowPunct/>
        <w:topLinePunct w:val="0"/>
        <w:autoSpaceDE/>
        <w:autoSpaceDN/>
        <w:bidi w:val="0"/>
        <w:adjustRightInd/>
        <w:snapToGrid/>
        <w:ind w:leftChars="200" w:left="420" w:firstLine="0"/>
        <w:jc w:val="left"/>
        <w:textAlignment w:val="auto"/>
        <w:rPr>
          <w:rFonts w:ascii="仿宋_GB2312" w:eastAsia="仿宋_GB2312" w:cs="仿宋_GB2312" w:hint="eastAsia"/>
          <w:color w:val="000000"/>
          <w:kern w:val="2"/>
          <w:sz w:val="32"/>
          <w:szCs w:val="32"/>
          <w:lang w:val="en-US" w:eastAsia="zh-CN" w:bidi="ar-SA"/>
          <w:highlight w:val="auto"/>
        </w:rPr>
      </w:pPr>
      <w:bookmarkStart w:id="52" w:name="_Toc20664"/>
      <w:r>
        <w:rPr>
          <w:rFonts w:ascii="仿宋_GB2312" w:eastAsia="仿宋_GB2312" w:cs="仿宋_GB2312" w:hint="eastAsia"/>
          <w:color w:val="000000"/>
          <w:kern w:val="2"/>
          <w:sz w:val="32"/>
          <w:szCs w:val="32"/>
          <w:lang w:val="en-US" w:eastAsia="zh-CN" w:bidi="ar-SA"/>
          <w:highlight w:val="auto"/>
        </w:rPr>
        <w:t>公务接待费</w:t>
      </w:r>
    </w:p>
    <w:p>
      <w:pPr>
        <w:pStyle w:val="16"/>
        <w:spacing w:afterAutospacing="0"/>
        <w:ind w:leftChars="200" w:left="420"/>
        <w:rPr>
          <w:rFonts w:ascii="仿宋" w:eastAsia="仿宋"/>
          <w:color w:val="000000"/>
          <w:sz w:val="32"/>
          <w:szCs w:val="32"/>
          <w:lang w:val="en-US" w:eastAsia="zh-CN"/>
          <w:highlight w:val="auto"/>
        </w:rPr>
      </w:pPr>
      <w:r>
        <w:rPr>
          <w:rFonts w:ascii="仿宋_GB2312" w:eastAsia="仿宋_GB2312" w:cs="仿宋_GB2312" w:hint="eastAsia"/>
          <w:color w:val="000000"/>
          <w:sz w:val="32"/>
          <w:szCs w:val="32"/>
          <w:lang w:val="en-US" w:eastAsia="zh-CN"/>
          <w:highlight w:val="auto"/>
        </w:rPr>
        <w:t>2024年公务接待费支出0万元。</w:t>
      </w:r>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500" w:lineRule="exact"/>
        <w:ind w:firstLineChars="200" w:firstLine="640"/>
        <w:textAlignment w:val="auto"/>
        <w:rPr>
          <w:rFonts w:ascii="黑体" w:eastAsia="黑体" w:cs="Times New Roman"/>
          <w:bCs w:val="0"/>
          <w:color w:val="000000"/>
          <w:highlight w:val="auto"/>
        </w:rPr>
      </w:pPr>
      <w:r>
        <w:rPr>
          <w:rFonts w:ascii="黑体" w:eastAsia="黑体" w:cs="Times New Roman" w:hint="eastAsia"/>
          <w:bCs w:val="0"/>
          <w:color w:val="000000"/>
          <w:highlight w:val="auto"/>
        </w:rPr>
        <w:t>八、政府性基金预算支出决算情况说明</w:t>
      </w:r>
      <w:bookmarkEnd w:id="48"/>
      <w:bookmarkEnd w:id="49"/>
      <w:bookmarkEnd w:id="52"/>
    </w:p>
    <w:p>
      <w:pPr>
        <w:pageBreakBefore w:val="0"/>
        <w:widowControl w:val="0"/>
        <w:kinsoku/>
        <w:wordWrap/>
        <w:overflowPunct/>
        <w:topLinePunct w:val="0"/>
        <w:autoSpaceDE/>
        <w:autoSpaceDN/>
        <w:bidi w:val="0"/>
        <w:adjustRightInd/>
        <w:snapToGrid/>
        <w:spacing w:beforeAutospacing="0" w:afterAutospacing="0" w:line="500" w:lineRule="exact"/>
        <w:ind w:firstLine="640"/>
        <w:textAlignment w:val="auto"/>
        <w:rPr>
          <w:rFonts w:ascii="仿宋_GB2312" w:eastAsia="仿宋_GB2312" w:cs="仿宋_GB2312" w:hint="eastAsia"/>
          <w:highlight w:val="auto"/>
        </w:rPr>
      </w:pPr>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u w:color="auto"/>
          <w:highlight w:val="auto"/>
        </w:rPr>
        <w:t>年政府性基金预算拨款支出</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w:t>
      </w:r>
      <w:bookmarkStart w:id="53" w:name="_Toc15377219"/>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500" w:lineRule="exact"/>
        <w:ind w:firstLineChars="200" w:firstLine="640"/>
        <w:textAlignment w:val="auto"/>
        <w:rPr>
          <w:rFonts w:ascii="黑体" w:eastAsia="黑体" w:cs="Times New Roman"/>
          <w:bCs w:val="0"/>
          <w:color w:val="000000"/>
          <w:highlight w:val="auto"/>
        </w:rPr>
      </w:pPr>
      <w:bookmarkStart w:id="54" w:name="_Toc22202"/>
      <w:bookmarkStart w:id="55" w:name="_Toc111208507"/>
      <w:r>
        <w:rPr>
          <w:rFonts w:ascii="黑体" w:eastAsia="黑体" w:cs="Times New Roman" w:hint="eastAsia"/>
          <w:bCs w:val="0"/>
          <w:color w:val="000000"/>
          <w:highlight w:val="auto"/>
        </w:rPr>
        <w:t>九、国有资本经营预算支出决算情况说明</w:t>
      </w:r>
      <w:bookmarkEnd w:id="53"/>
      <w:bookmarkEnd w:id="54"/>
      <w:bookmarkEnd w:id="55"/>
    </w:p>
    <w:p>
      <w:pPr>
        <w:pageBreakBefore w:val="0"/>
        <w:widowControl w:val="0"/>
        <w:kinsoku/>
        <w:wordWrap/>
        <w:overflowPunct/>
        <w:topLinePunct w:val="0"/>
        <w:autoSpaceDE/>
        <w:autoSpaceDN/>
        <w:bidi w:val="0"/>
        <w:adjustRightInd/>
        <w:snapToGrid/>
        <w:spacing w:beforeAutospacing="0" w:afterAutospacing="0" w:line="500" w:lineRule="exact"/>
        <w:ind w:firstLine="640"/>
        <w:textAlignment w:val="auto"/>
        <w:rPr>
          <w:rFonts w:ascii="仿宋_GB2312" w:eastAsia="仿宋_GB2312" w:cs="仿宋_GB2312" w:hint="eastAsia"/>
          <w:color w:val="000000"/>
          <w:sz w:val="32"/>
          <w:szCs w:val="32"/>
          <w:lang w:eastAsia="zh-CN"/>
          <w:highlight w:val="auto"/>
        </w:rPr>
      </w:pPr>
      <w:r>
        <w:rPr>
          <w:rFonts w:ascii="仿宋_GB2312" w:eastAsia="仿宋_GB2312" w:cs="仿宋_GB2312" w:hint="eastAsia"/>
          <w:color w:val="000000"/>
          <w:sz w:val="32"/>
          <w:szCs w:val="32"/>
          <w:lang w:eastAsia="zh-CN"/>
          <w:highlight w:val="auto"/>
        </w:rPr>
        <w:t>2024年国有资本经营预算拨款支出0万元。</w:t>
      </w:r>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500" w:lineRule="exact"/>
        <w:ind w:firstLineChars="200" w:firstLine="640"/>
        <w:textAlignment w:val="auto"/>
        <w:rPr>
          <w:rFonts w:ascii="黑体" w:eastAsia="黑体" w:cs="Times New Roman"/>
          <w:bCs w:val="0"/>
          <w:color w:val="000000"/>
          <w:highlight w:val="auto"/>
        </w:rPr>
      </w:pPr>
      <w:bookmarkStart w:id="56" w:name="_Toc111208508"/>
      <w:bookmarkStart w:id="57" w:name="_Toc15377221"/>
      <w:bookmarkStart w:id="58" w:name="_Toc9711"/>
      <w:r>
        <w:rPr>
          <w:rFonts w:ascii="黑体" w:eastAsia="黑体" w:cs="Times New Roman" w:hint="eastAsia"/>
          <w:bCs w:val="0"/>
          <w:color w:val="000000"/>
          <w:highlight w:val="auto"/>
        </w:rPr>
        <w:t>十、其他重要事项的情况说明</w:t>
      </w:r>
      <w:bookmarkEnd w:id="56"/>
      <w:bookmarkEnd w:id="57"/>
      <w:bookmarkEnd w:id="58"/>
    </w:p>
    <w:p>
      <w:pPr>
        <w:pageBreakBefore w:val="0"/>
        <w:widowControl w:val="0"/>
        <w:kinsoku/>
        <w:wordWrap/>
        <w:overflowPunct/>
        <w:topLinePunct w:val="0"/>
        <w:autoSpaceDE/>
        <w:autoSpaceDN/>
        <w:bidi w:val="0"/>
        <w:adjustRightInd/>
        <w:snapToGrid/>
        <w:spacing w:beforeAutospacing="0" w:line="400" w:lineRule="exact"/>
        <w:ind w:firstLineChars="200" w:firstLine="640"/>
        <w:textAlignment w:val="auto"/>
        <w:outlineLvl w:val="2"/>
        <w:rPr>
          <w:rFonts w:ascii="仿宋_GB2312" w:eastAsia="仿宋_GB2312" w:cs="仿宋_GB2312" w:hint="eastAsia"/>
          <w:b/>
          <w:color w:val="000000"/>
          <w:sz w:val="32"/>
          <w:szCs w:val="32"/>
          <w:highlight w:val="auto"/>
        </w:rPr>
      </w:pPr>
      <w:bookmarkStart w:id="59" w:name="_Toc15377222"/>
      <w:r>
        <w:rPr>
          <w:rFonts w:ascii="仿宋_GB2312" w:eastAsia="仿宋_GB2312" w:cs="仿宋_GB2312" w:hint="eastAsia"/>
          <w:b/>
          <w:color w:val="000000"/>
          <w:sz w:val="32"/>
          <w:szCs w:val="32"/>
          <w:highlight w:val="auto"/>
        </w:rPr>
        <w:t>（一）机关运行经费支出情况</w:t>
      </w:r>
      <w:bookmarkEnd w:id="59"/>
    </w:p>
    <w:p>
      <w:pPr>
        <w:pageBreakBefore w:val="0"/>
        <w:widowControl w:val="0"/>
        <w:kinsoku/>
        <w:wordWrap/>
        <w:overflowPunct/>
        <w:topLinePunct w:val="0"/>
        <w:autoSpaceDE/>
        <w:autoSpaceDN/>
        <w:bidi w:val="0"/>
        <w:adjustRightInd/>
        <w:snapToGrid/>
        <w:spacing w:beforeAutospacing="0" w:afterAutospacing="0" w:line="500" w:lineRule="exact"/>
        <w:ind w:firstLine="640"/>
        <w:textAlignment w:val="auto"/>
        <w:rPr>
          <w:rFonts w:ascii="仿宋_GB2312" w:eastAsia="仿宋_GB2312" w:cs="仿宋_GB2312" w:hint="eastAsia"/>
          <w:color w:val="000000"/>
          <w:sz w:val="32"/>
          <w:szCs w:val="32"/>
          <w:lang w:eastAsia="zh-CN"/>
          <w:highlight w:val="auto"/>
        </w:rPr>
      </w:pPr>
      <w:r>
        <w:rPr>
          <w:rFonts w:ascii="仿宋_GB2312" w:eastAsia="仿宋_GB2312" w:cs="仿宋_GB2312" w:hint="eastAsia"/>
          <w:color w:val="000000"/>
          <w:sz w:val="32"/>
          <w:szCs w:val="32"/>
          <w:lang w:eastAsia="zh-CN"/>
          <w:highlight w:val="auto"/>
        </w:rPr>
        <w:t>2024年，机关运行经费支出</w:t>
      </w:r>
      <w:r>
        <w:rPr>
          <w:rFonts w:ascii="仿宋_GB2312" w:eastAsia="仿宋_GB2312" w:cs="仿宋_GB2312" w:hint="eastAsia"/>
          <w:color w:val="000000"/>
          <w:sz w:val="32"/>
          <w:szCs w:val="32"/>
          <w:lang w:val="en-US" w:eastAsia="zh-CN"/>
          <w:highlight w:val="auto"/>
        </w:rPr>
        <w:t>21.98</w:t>
      </w:r>
      <w:r>
        <w:rPr>
          <w:rFonts w:ascii="仿宋_GB2312" w:eastAsia="仿宋_GB2312" w:cs="仿宋_GB2312" w:hint="eastAsia"/>
          <w:color w:val="000000"/>
          <w:sz w:val="32"/>
          <w:szCs w:val="32"/>
          <w:lang w:eastAsia="zh-CN"/>
          <w:highlight w:val="auto"/>
        </w:rPr>
        <w:t>万元，比2023年增加</w:t>
      </w:r>
      <w:r>
        <w:rPr>
          <w:rFonts w:ascii="仿宋_GB2312" w:eastAsia="仿宋_GB2312" w:cs="仿宋_GB2312" w:hint="eastAsia"/>
          <w:color w:val="000000"/>
          <w:sz w:val="32"/>
          <w:szCs w:val="32"/>
          <w:lang w:val="en-US" w:eastAsia="zh-CN"/>
          <w:highlight w:val="auto"/>
        </w:rPr>
        <w:t>2.39</w:t>
      </w:r>
      <w:r>
        <w:rPr>
          <w:rFonts w:ascii="仿宋_GB2312" w:eastAsia="仿宋_GB2312" w:cs="仿宋_GB2312" w:hint="eastAsia"/>
          <w:color w:val="000000"/>
          <w:sz w:val="32"/>
          <w:szCs w:val="32"/>
          <w:lang w:eastAsia="zh-CN"/>
          <w:highlight w:val="auto"/>
        </w:rPr>
        <w:t>万元，增加</w:t>
      </w:r>
      <w:r>
        <w:rPr>
          <w:rFonts w:ascii="仿宋_GB2312" w:eastAsia="仿宋_GB2312" w:cs="仿宋_GB2312" w:hint="eastAsia"/>
          <w:color w:val="000000"/>
          <w:sz w:val="32"/>
          <w:szCs w:val="32"/>
          <w:lang w:val="en-US" w:eastAsia="zh-CN"/>
          <w:highlight w:val="auto"/>
        </w:rPr>
        <w:t>12.15</w:t>
      </w:r>
      <w:r>
        <w:rPr>
          <w:rFonts w:ascii="仿宋_GB2312" w:eastAsia="仿宋_GB2312" w:cs="仿宋_GB2312" w:hint="eastAsia"/>
          <w:color w:val="000000"/>
          <w:sz w:val="32"/>
          <w:szCs w:val="32"/>
          <w:lang w:eastAsia="zh-CN"/>
          <w:highlight w:val="auto"/>
        </w:rPr>
        <w:t xml:space="preserve">%。 </w:t>
      </w:r>
    </w:p>
    <w:p>
      <w:pPr>
        <w:spacing w:line="600" w:lineRule="exact"/>
        <w:ind w:firstLineChars="200" w:firstLine="640"/>
        <w:outlineLvl w:val="2"/>
        <w:rPr>
          <w:rFonts w:ascii="仿宋_GB2312" w:eastAsia="仿宋_GB2312" w:cs="仿宋_GB2312" w:hint="eastAsia"/>
          <w:b/>
          <w:color w:val="000000"/>
          <w:sz w:val="32"/>
          <w:szCs w:val="32"/>
          <w:highlight w:val="auto"/>
        </w:rPr>
      </w:pPr>
      <w:bookmarkStart w:id="60" w:name="_Toc15377223"/>
      <w:r>
        <w:rPr>
          <w:rFonts w:ascii="仿宋_GB2312" w:eastAsia="仿宋_GB2312" w:cs="仿宋_GB2312" w:hint="eastAsia"/>
          <w:b/>
          <w:color w:val="000000"/>
          <w:sz w:val="32"/>
          <w:szCs w:val="32"/>
          <w:highlight w:val="auto"/>
        </w:rPr>
        <w:t>（二）政府采购支出情况</w:t>
      </w:r>
      <w:bookmarkEnd w:id="60"/>
    </w:p>
    <w:p>
      <w:pPr>
        <w:spacing w:line="600" w:lineRule="exact"/>
        <w:ind w:firstLine="640"/>
        <w:rPr>
          <w:rFonts w:ascii="仿宋_GB2312" w:eastAsia="仿宋_GB2312" w:cs="仿宋_GB2312" w:hint="eastAsia"/>
          <w:color w:val="000000"/>
          <w:sz w:val="32"/>
          <w:szCs w:val="32"/>
          <w:lang w:val="en-US" w:eastAsia="zh-CN"/>
          <w:highlight w:val="auto"/>
        </w:rPr>
      </w:pPr>
      <w:r>
        <w:rPr>
          <w:rFonts w:ascii="仿宋_GB2312" w:eastAsia="仿宋_GB2312" w:cs="仿宋_GB2312" w:hint="eastAsia"/>
          <w:color w:val="000000"/>
          <w:sz w:val="32"/>
          <w:szCs w:val="32"/>
          <w:lang w:eastAsia="zh-CN"/>
          <w:highlight w:val="auto"/>
        </w:rPr>
        <w:t>2024</w:t>
      </w:r>
      <w:r>
        <w:rPr>
          <w:rFonts w:ascii="仿宋_GB2312" w:eastAsia="仿宋_GB2312" w:cs="仿宋_GB2312" w:hint="eastAsia"/>
          <w:color w:val="000000"/>
          <w:sz w:val="32"/>
          <w:u w:color="auto"/>
          <w:highlight w:val="auto"/>
        </w:rPr>
        <w:t>年，政府采购支出总额</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万元，其中：政府采购货物支出</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万元、政府采购工程支出</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万元、政府采购服务支出</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万元。授予中小企业合同金额</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万元，其中：授予小微企业合同金额</w:t>
      </w:r>
      <w:r>
        <w:rPr>
          <w:rFonts w:ascii="仿宋_GB2312" w:eastAsia="仿宋_GB2312" w:cs="仿宋_GB2312" w:hint="eastAsia"/>
          <w:color w:val="000000"/>
          <w:sz w:val="32"/>
          <w:u w:color="auto"/>
          <w:lang w:eastAsia="zh-CN"/>
          <w:highlight w:val="auto"/>
        </w:rPr>
        <w:t>0</w:t>
      </w:r>
      <w:r>
        <w:rPr>
          <w:rFonts w:ascii="仿宋_GB2312" w:eastAsia="仿宋_GB2312" w:cs="仿宋_GB2312" w:hint="eastAsia"/>
          <w:color w:val="000000"/>
          <w:sz w:val="32"/>
          <w:szCs w:val="32"/>
          <w:highlight w:val="auto"/>
        </w:rPr>
        <w:t>万元</w:t>
      </w:r>
      <w:r>
        <w:rPr>
          <w:rFonts w:ascii="仿宋_GB2312" w:eastAsia="仿宋_GB2312" w:cs="仿宋_GB2312" w:hint="eastAsia"/>
          <w:color w:val="000000"/>
          <w:sz w:val="32"/>
          <w:szCs w:val="32"/>
          <w:lang w:eastAsia="zh-CN"/>
          <w:highlight w:val="auto"/>
        </w:rPr>
        <w:t>，占比</w:t>
      </w:r>
      <w:r>
        <w:rPr>
          <w:rFonts w:ascii="仿宋_GB2312" w:eastAsia="仿宋_GB2312" w:cs="仿宋_GB2312" w:hint="eastAsia"/>
          <w:color w:val="000000"/>
          <w:sz w:val="32"/>
          <w:szCs w:val="32"/>
          <w:lang w:val="en-US" w:eastAsia="zh-CN"/>
          <w:highlight w:val="auto"/>
        </w:rPr>
        <w:t>0.00%。</w:t>
      </w:r>
    </w:p>
    <w:p>
      <w:pPr>
        <w:spacing w:line="600" w:lineRule="exact"/>
        <w:ind w:firstLineChars="200" w:firstLine="640"/>
        <w:outlineLvl w:val="2"/>
        <w:rPr>
          <w:rFonts w:ascii="仿宋_GB2312" w:eastAsia="仿宋_GB2312" w:cs="仿宋_GB2312" w:hint="eastAsia"/>
          <w:b/>
          <w:color w:val="000000"/>
          <w:sz w:val="32"/>
          <w:szCs w:val="32"/>
          <w:highlight w:val="auto"/>
        </w:rPr>
      </w:pPr>
      <w:bookmarkStart w:id="61" w:name="_Toc15377224"/>
      <w:r>
        <w:rPr>
          <w:rFonts w:ascii="仿宋_GB2312" w:eastAsia="仿宋_GB2312" w:cs="仿宋_GB2312" w:hint="eastAsia"/>
          <w:b/>
          <w:color w:val="000000"/>
          <w:sz w:val="32"/>
          <w:szCs w:val="32"/>
          <w:highlight w:val="auto"/>
        </w:rPr>
        <w:t>（三）国有资产占有使用情况</w:t>
      </w:r>
      <w:bookmarkEnd w:id="61"/>
    </w:p>
    <w:p>
      <w:pPr>
        <w:spacing w:line="600" w:lineRule="exact"/>
        <w:ind w:firstLine="640"/>
        <w:rPr>
          <w:rFonts w:ascii="仿宋_GB2312" w:eastAsia="仿宋_GB2312" w:cs="仿宋_GB2312" w:hint="eastAsia"/>
          <w:color w:val="000000"/>
          <w:sz w:val="32"/>
          <w:szCs w:val="32"/>
          <w:highlight w:val="auto"/>
        </w:rPr>
      </w:pPr>
      <w:r>
        <w:rPr>
          <w:rFonts w:ascii="仿宋_GB2312" w:eastAsia="仿宋_GB2312" w:cs="仿宋_GB2312" w:hint="eastAsia"/>
          <w:color w:val="000000"/>
          <w:sz w:val="32"/>
          <w:szCs w:val="32"/>
          <w:highlight w:val="auto"/>
        </w:rPr>
        <w:t>截至</w:t>
      </w:r>
      <w:r>
        <w:rPr>
          <w:rFonts w:ascii="仿宋_GB2312" w:eastAsia="仿宋_GB2312" w:cs="仿宋_GB2312" w:hint="eastAsia"/>
          <w:color w:val="000000"/>
          <w:sz w:val="32"/>
          <w:u w:color="auto"/>
          <w:lang w:eastAsia="zh-CN"/>
          <w:highlight w:val="auto"/>
        </w:rPr>
        <w:t>2024</w:t>
      </w:r>
      <w:r>
        <w:rPr>
          <w:rFonts w:ascii="仿宋_GB2312" w:eastAsia="仿宋_GB2312" w:cs="仿宋_GB2312" w:hint="eastAsia"/>
          <w:color w:val="000000"/>
          <w:sz w:val="32"/>
          <w:u w:color="auto"/>
          <w:highlight w:val="auto"/>
        </w:rPr>
        <w:t>年</w:t>
      </w:r>
      <w:r>
        <w:rPr>
          <w:rFonts w:ascii="仿宋_GB2312" w:eastAsia="仿宋_GB2312" w:cs="仿宋_GB2312" w:hint="eastAsia"/>
          <w:color w:val="000000"/>
          <w:sz w:val="32"/>
          <w:szCs w:val="32"/>
          <w:highlight w:val="auto"/>
        </w:rPr>
        <w:t>12月31日，共有车辆</w:t>
      </w:r>
      <w:r>
        <w:rPr>
          <w:rFonts w:ascii="仿宋_GB2312" w:eastAsia="仿宋_GB2312" w:cs="仿宋_GB2312" w:hint="eastAsia"/>
          <w:color w:val="000000"/>
          <w:sz w:val="32"/>
          <w:u w:color="auto"/>
          <w:highlight w:val="auto"/>
        </w:rPr>
        <w:t>4辆，其中：主要领导干部用车0</w:t>
      </w:r>
      <w:r>
        <w:rPr>
          <w:rFonts w:ascii="仿宋_GB2312" w:eastAsia="仿宋_GB2312" w:cs="仿宋_GB2312" w:hint="eastAsia"/>
          <w:color w:val="000000"/>
          <w:sz w:val="32"/>
          <w:szCs w:val="32"/>
          <w:highlight w:val="auto"/>
        </w:rPr>
        <w:t>辆、机要通信用车</w:t>
      </w:r>
      <w:r>
        <w:rPr>
          <w:rFonts w:ascii="仿宋_GB2312" w:eastAsia="仿宋_GB2312" w:cs="仿宋_GB2312" w:hint="eastAsia"/>
          <w:color w:val="000000"/>
          <w:sz w:val="32"/>
          <w:u w:color="auto"/>
          <w:highlight w:val="auto"/>
        </w:rPr>
        <w:t>0</w:t>
      </w:r>
      <w:r>
        <w:rPr>
          <w:rFonts w:ascii="仿宋_GB2312" w:eastAsia="仿宋_GB2312" w:cs="仿宋_GB2312" w:hint="eastAsia"/>
          <w:color w:val="000000"/>
          <w:sz w:val="32"/>
          <w:szCs w:val="32"/>
          <w:highlight w:val="auto"/>
        </w:rPr>
        <w:t>辆、应急保障用车</w:t>
      </w:r>
      <w:r>
        <w:rPr>
          <w:rFonts w:ascii="仿宋_GB2312" w:eastAsia="仿宋_GB2312" w:cs="仿宋_GB2312" w:hint="eastAsia"/>
          <w:color w:val="000000"/>
          <w:sz w:val="32"/>
          <w:u w:color="auto"/>
          <w:highlight w:val="auto"/>
        </w:rPr>
        <w:t>4</w:t>
      </w:r>
      <w:r>
        <w:rPr>
          <w:rFonts w:ascii="仿宋_GB2312" w:eastAsia="仿宋_GB2312" w:cs="仿宋_GB2312" w:hint="eastAsia"/>
          <w:color w:val="000000"/>
          <w:sz w:val="32"/>
          <w:szCs w:val="32"/>
          <w:highlight w:val="auto"/>
        </w:rPr>
        <w:t>辆、其他用车</w:t>
      </w:r>
      <w:r>
        <w:rPr>
          <w:rFonts w:ascii="仿宋_GB2312" w:eastAsia="仿宋_GB2312" w:cs="仿宋_GB2312" w:hint="eastAsia"/>
          <w:color w:val="000000"/>
          <w:sz w:val="32"/>
          <w:u w:color="auto"/>
          <w:highlight w:val="auto"/>
        </w:rPr>
        <w:t>0</w:t>
      </w:r>
      <w:r>
        <w:rPr>
          <w:rFonts w:ascii="仿宋_GB2312" w:eastAsia="仿宋_GB2312" w:cs="仿宋_GB2312" w:hint="eastAsia"/>
          <w:color w:val="000000"/>
          <w:sz w:val="32"/>
          <w:szCs w:val="32"/>
          <w:highlight w:val="auto"/>
        </w:rPr>
        <w:t>辆。单价50万元以上通用设备</w:t>
      </w:r>
      <w:r>
        <w:rPr>
          <w:rFonts w:ascii="仿宋_GB2312" w:eastAsia="仿宋_GB2312" w:cs="仿宋_GB2312" w:hint="eastAsia"/>
          <w:color w:val="000000"/>
          <w:sz w:val="32"/>
          <w:u w:color="auto"/>
          <w:highlight w:val="auto"/>
        </w:rPr>
        <w:t>0</w:t>
      </w:r>
      <w:r>
        <w:rPr>
          <w:rFonts w:ascii="仿宋_GB2312" w:eastAsia="仿宋_GB2312" w:cs="仿宋_GB2312" w:hint="eastAsia"/>
          <w:color w:val="000000"/>
          <w:sz w:val="32"/>
          <w:szCs w:val="32"/>
          <w:highlight w:val="auto"/>
        </w:rPr>
        <w:t>台（套），单价100万元以上专用设备</w:t>
      </w:r>
      <w:r>
        <w:rPr>
          <w:rFonts w:ascii="仿宋_GB2312" w:eastAsia="仿宋_GB2312" w:cs="仿宋_GB2312" w:hint="eastAsia"/>
          <w:color w:val="000000"/>
          <w:sz w:val="32"/>
          <w:szCs w:val="32"/>
          <w:lang w:val="en-US" w:eastAsia="zh-CN"/>
          <w:highlight w:val="auto"/>
        </w:rPr>
        <w:t>0</w:t>
      </w:r>
      <w:r>
        <w:rPr>
          <w:rFonts w:ascii="仿宋_GB2312" w:eastAsia="仿宋_GB2312" w:cs="仿宋_GB2312" w:hint="eastAsia"/>
          <w:color w:val="000000"/>
          <w:sz w:val="32"/>
          <w:szCs w:val="32"/>
          <w:highlight w:val="auto"/>
        </w:rPr>
        <w:t>台（套）。</w:t>
      </w:r>
    </w:p>
    <w:p>
      <w:pPr>
        <w:spacing w:line="600" w:lineRule="exact"/>
        <w:ind w:firstLineChars="200" w:firstLine="640"/>
        <w:outlineLvl w:val="2"/>
        <w:rPr>
          <w:rFonts w:ascii="仿宋_GB2312" w:eastAsia="仿宋_GB2312" w:cs="仿宋_GB2312" w:hint="eastAsia"/>
          <w:b/>
          <w:color w:val="000000"/>
          <w:sz w:val="32"/>
          <w:szCs w:val="32"/>
          <w:highlight w:val="auto"/>
        </w:rPr>
      </w:pPr>
      <w:r>
        <w:rPr>
          <w:rFonts w:ascii="仿宋_GB2312" w:eastAsia="仿宋_GB2312" w:cs="仿宋_GB2312" w:hint="eastAsia"/>
          <w:b/>
          <w:color w:val="000000"/>
          <w:sz w:val="32"/>
          <w:szCs w:val="32"/>
          <w:highlight w:val="auto"/>
        </w:rPr>
        <w:t>（四）预算绩效管理情况</w:t>
      </w:r>
    </w:p>
    <w:p>
      <w:pPr>
        <w:ind w:firstLineChars="200" w:firstLine="640"/>
        <w:rPr>
          <w:rFonts w:ascii="仿宋_GB2312" w:eastAsia="仿宋_GB2312" w:cs="仿宋_GB2312" w:hint="eastAsia"/>
          <w:highlight w:val="auto"/>
        </w:rPr>
      </w:pPr>
      <w:r>
        <w:rPr>
          <w:rFonts w:ascii="仿宋_GB2312" w:eastAsia="仿宋_GB2312" w:cs="仿宋_GB2312" w:hint="eastAsia"/>
          <w:sz w:val="32"/>
          <w:szCs w:val="32"/>
          <w:highlight w:val="auto"/>
        </w:rPr>
        <w:t>根据预算绩效管理要求，本</w:t>
      </w:r>
      <w:r>
        <w:rPr>
          <w:rFonts w:ascii="仿宋_GB2312" w:eastAsia="仿宋_GB2312" w:cs="仿宋_GB2312" w:hint="eastAsia"/>
          <w:sz w:val="32"/>
          <w:szCs w:val="32"/>
          <w:lang w:eastAsia="zh-CN"/>
          <w:highlight w:val="auto"/>
        </w:rPr>
        <w:t>单位</w:t>
      </w:r>
      <w:r>
        <w:rPr>
          <w:rFonts w:ascii="仿宋_GB2312" w:eastAsia="仿宋_GB2312" w:cs="仿宋_GB2312" w:hint="eastAsia"/>
          <w:sz w:val="32"/>
          <w:szCs w:val="32"/>
          <w:highlight w:val="auto"/>
        </w:rPr>
        <w:t>在</w:t>
      </w:r>
      <w:r>
        <w:rPr>
          <w:rFonts w:ascii="仿宋_GB2312" w:eastAsia="仿宋_GB2312" w:cs="仿宋_GB2312" w:hint="eastAsia"/>
          <w:sz w:val="32"/>
          <w:szCs w:val="32"/>
          <w:lang w:eastAsia="zh-CN"/>
          <w:highlight w:val="auto"/>
        </w:rPr>
        <w:t>2024</w:t>
      </w:r>
      <w:r>
        <w:rPr>
          <w:rFonts w:ascii="仿宋_GB2312" w:eastAsia="仿宋_GB2312" w:cs="仿宋_GB2312" w:hint="eastAsia"/>
          <w:sz w:val="32"/>
          <w:szCs w:val="32"/>
          <w:highlight w:val="auto"/>
        </w:rPr>
        <w:t>年度预算编制阶段，组织对</w:t>
      </w:r>
      <w:r>
        <w:rPr>
          <w:rFonts w:ascii="仿宋_GB2312" w:eastAsia="仿宋_GB2312" w:cs="仿宋_GB2312" w:hint="eastAsia"/>
          <w:sz w:val="32"/>
          <w:szCs w:val="32"/>
          <w:lang w:eastAsia="zh-CN"/>
          <w:highlight w:val="auto"/>
        </w:rPr>
        <w:t>扶持壮大村集体经济</w:t>
      </w:r>
      <w:r>
        <w:rPr>
          <w:rFonts w:ascii="仿宋_GB2312" w:eastAsia="仿宋_GB2312" w:cs="仿宋_GB2312" w:hint="eastAsia"/>
          <w:sz w:val="32"/>
          <w:szCs w:val="32"/>
          <w:highlight w:val="auto"/>
        </w:rPr>
        <w:t>项目</w:t>
      </w:r>
      <w:r>
        <w:rPr>
          <w:rFonts w:ascii="仿宋_GB2312" w:eastAsia="仿宋_GB2312" w:cs="仿宋_GB2312" w:hint="eastAsia"/>
          <w:sz w:val="32"/>
          <w:szCs w:val="32"/>
          <w:lang w:eastAsia="zh-CN"/>
          <w:highlight w:val="auto"/>
        </w:rPr>
        <w:t>、</w:t>
      </w:r>
      <w:r>
        <w:rPr>
          <w:rFonts w:ascii="仿宋_GB2312" w:eastAsia="仿宋_GB2312" w:cs="仿宋_GB2312" w:hint="eastAsia"/>
          <w:sz w:val="32"/>
          <w:szCs w:val="32"/>
          <w:lang w:val="en-US" w:eastAsia="zh-CN"/>
          <w:highlight w:val="auto"/>
        </w:rPr>
        <w:t>农村生活污水治理、人大工作经费建设</w:t>
      </w:r>
      <w:r>
        <w:rPr>
          <w:rFonts w:ascii="仿宋_GB2312" w:eastAsia="仿宋_GB2312" w:cs="仿宋_GB2312" w:hint="eastAsia"/>
          <w:sz w:val="32"/>
          <w:szCs w:val="32"/>
          <w:lang w:val="zh-CN" w:eastAsia="zh-CN"/>
          <w:highlight w:val="auto"/>
        </w:rPr>
        <w:t>项</w:t>
      </w:r>
      <w:r>
        <w:rPr>
          <w:rFonts w:ascii="仿宋_GB2312" w:eastAsia="仿宋_GB2312" w:cs="仿宋_GB2312" w:hint="eastAsia"/>
          <w:kern w:val="2"/>
          <w:sz w:val="32"/>
          <w:szCs w:val="32"/>
          <w:lang w:val="zh-CN" w:eastAsia="zh-CN"/>
          <w:highlight w:val="auto"/>
        </w:rPr>
        <w:t>目</w:t>
      </w:r>
      <w:r>
        <w:rPr>
          <w:rFonts w:ascii="仿宋_GB2312" w:eastAsia="仿宋_GB2312" w:cs="仿宋_GB2312" w:hint="eastAsia"/>
          <w:sz w:val="32"/>
          <w:szCs w:val="32"/>
          <w:highlight w:val="auto"/>
        </w:rPr>
        <w:t>等</w:t>
      </w:r>
      <w:r>
        <w:rPr>
          <w:rFonts w:ascii="仿宋_GB2312" w:eastAsia="仿宋_GB2312" w:cs="仿宋_GB2312" w:hint="eastAsia"/>
          <w:sz w:val="32"/>
          <w:szCs w:val="32"/>
          <w:lang w:val="en-US" w:eastAsia="zh-CN"/>
          <w:highlight w:val="auto"/>
        </w:rPr>
        <w:t>28</w:t>
      </w:r>
      <w:r>
        <w:rPr>
          <w:rFonts w:ascii="仿宋_GB2312" w:eastAsia="仿宋_GB2312" w:cs="仿宋_GB2312" w:hint="eastAsia"/>
          <w:sz w:val="32"/>
          <w:szCs w:val="32"/>
          <w:highlight w:val="auto"/>
        </w:rPr>
        <w:t>个项目开展了预算事前绩效评估，对</w:t>
      </w:r>
      <w:r>
        <w:rPr>
          <w:rFonts w:ascii="仿宋_GB2312" w:eastAsia="仿宋_GB2312" w:cs="仿宋_GB2312" w:hint="eastAsia"/>
          <w:sz w:val="32"/>
          <w:szCs w:val="32"/>
          <w:lang w:val="en-US" w:eastAsia="zh-CN"/>
          <w:highlight w:val="auto"/>
        </w:rPr>
        <w:t>28</w:t>
      </w:r>
      <w:r>
        <w:rPr>
          <w:rFonts w:ascii="仿宋_GB2312" w:eastAsia="仿宋_GB2312" w:cs="仿宋_GB2312" w:hint="eastAsia"/>
          <w:sz w:val="32"/>
          <w:szCs w:val="32"/>
          <w:highlight w:val="auto"/>
        </w:rPr>
        <w:t>个项目编制了绩效目标，预算执行过程中，选取</w:t>
      </w:r>
      <w:r>
        <w:rPr>
          <w:rFonts w:ascii="仿宋_GB2312" w:eastAsia="仿宋_GB2312" w:cs="仿宋_GB2312" w:hint="eastAsia"/>
          <w:sz w:val="32"/>
          <w:szCs w:val="32"/>
          <w:lang w:val="en-US" w:eastAsia="zh-CN"/>
          <w:highlight w:val="auto"/>
        </w:rPr>
        <w:t>28</w:t>
      </w:r>
      <w:r>
        <w:rPr>
          <w:rFonts w:ascii="仿宋_GB2312" w:eastAsia="仿宋_GB2312" w:cs="仿宋_GB2312" w:hint="eastAsia"/>
          <w:sz w:val="32"/>
          <w:szCs w:val="32"/>
          <w:highlight w:val="auto"/>
        </w:rPr>
        <w:t>个项目开展绩效监控，组织对</w:t>
      </w:r>
      <w:r>
        <w:rPr>
          <w:rFonts w:ascii="仿宋_GB2312" w:eastAsia="仿宋_GB2312" w:cs="仿宋_GB2312" w:hint="eastAsia"/>
          <w:sz w:val="32"/>
          <w:szCs w:val="32"/>
          <w:lang w:val="en-US" w:eastAsia="zh-CN"/>
          <w:highlight w:val="auto"/>
        </w:rPr>
        <w:t>5</w:t>
      </w:r>
      <w:r>
        <w:rPr>
          <w:rFonts w:ascii="仿宋_GB2312" w:eastAsia="仿宋_GB2312" w:cs="仿宋_GB2312" w:hint="eastAsia"/>
          <w:sz w:val="32"/>
          <w:szCs w:val="32"/>
          <w:highlight w:val="auto"/>
        </w:rPr>
        <w:t>个项目开展绩效自评，绩效自评表详见第四部分附件。</w:t>
      </w:r>
    </w:p>
    <w:p>
      <w:pPr>
        <w:widowControl/>
        <w:jc w:val="left"/>
        <w:rPr>
          <w:rFonts w:ascii="仿宋_GB2312" w:eastAsia="仿宋_GB2312"/>
          <w:b/>
          <w:color w:val="000000"/>
          <w:sz w:val="32"/>
          <w:szCs w:val="32"/>
          <w:highlight w:val="auto"/>
        </w:rPr>
      </w:pPr>
      <w:r>
        <w:rPr>
          <w:rFonts w:ascii="仿宋_GB2312" w:eastAsia="仿宋_GB2312"/>
          <w:b/>
          <w:color w:val="000000"/>
          <w:sz w:val="32"/>
          <w:szCs w:val="32"/>
          <w:highlight w:val="auto"/>
        </w:rPr>
        <w:br w:type="page"/>
      </w:r>
    </w:p>
    <w:p>
      <w:pPr>
        <w:numPr>
          <w:ilvl w:val="0"/>
          <w:numId w:val="2"/>
        </w:numPr>
        <w:spacing w:line="600" w:lineRule="exact"/>
        <w:ind w:left="0" w:firstLineChars="150" w:firstLine="660"/>
        <w:jc w:val="center"/>
        <w:outlineLvl w:val="0"/>
        <w:rPr>
          <w:rStyle w:val="1Char"/>
          <w:rFonts w:ascii="黑体" w:eastAsia="黑体"/>
          <w:b w:val="0"/>
          <w:highlight w:val="auto"/>
        </w:rPr>
      </w:pPr>
      <w:bookmarkStart w:id="62" w:name="_Toc15396613"/>
      <w:bookmarkStart w:id="63" w:name="_Toc26576"/>
      <w:bookmarkStart w:id="64" w:name="_Toc15377225"/>
      <w:bookmarkStart w:id="65" w:name="_Toc111208510"/>
      <w:r>
        <w:rPr>
          <w:rFonts w:ascii="黑体" w:eastAsia="黑体" w:hint="eastAsia"/>
          <w:sz w:val="44"/>
          <w:szCs w:val="44"/>
          <w:highlight w:val="auto"/>
        </w:rPr>
        <w:t>名</w:t>
      </w:r>
      <w:r>
        <w:rPr>
          <w:rStyle w:val="1Char"/>
          <w:rFonts w:ascii="黑体" w:eastAsia="黑体" w:hint="eastAsia"/>
          <w:b w:val="0"/>
          <w:highlight w:val="auto"/>
        </w:rPr>
        <w:t>词解释</w:t>
      </w:r>
      <w:bookmarkEnd w:id="62"/>
      <w:bookmarkEnd w:id="63"/>
      <w:bookmarkEnd w:id="64"/>
    </w:p>
    <w:p>
      <w:pPr>
        <w:spacing w:line="600" w:lineRule="exact"/>
        <w:jc w:val="left"/>
        <w:rPr>
          <w:rFonts w:ascii="宋体"/>
          <w:b/>
          <w:sz w:val="44"/>
          <w:szCs w:val="44"/>
          <w:highlight w:val="auto"/>
        </w:rPr>
      </w:pPr>
    </w:p>
    <w:p>
      <w:pPr>
        <w:pStyle w:val="31"/>
        <w:spacing w:line="560" w:lineRule="exact"/>
        <w:ind w:firstLineChars="200" w:firstLine="640"/>
        <w:rPr>
          <w:rFonts w:ascii="仿宋_GB2312" w:eastAsia="仿宋_GB2312"/>
          <w:sz w:val="32"/>
          <w:szCs w:val="32"/>
          <w:highlight w:val="auto"/>
        </w:rPr>
      </w:pPr>
      <w:r>
        <w:rPr>
          <w:rFonts w:ascii="仿宋_GB2312" w:eastAsia="仿宋_GB2312"/>
          <w:sz w:val="32"/>
          <w:szCs w:val="32"/>
          <w:highlight w:val="auto"/>
        </w:rPr>
        <w:t>1.</w:t>
      </w:r>
      <w:r>
        <w:rPr>
          <w:rFonts w:ascii="仿宋_GB2312" w:eastAsia="仿宋_GB2312" w:hint="eastAsia"/>
          <w:sz w:val="32"/>
          <w:szCs w:val="32"/>
          <w:highlight w:val="auto"/>
        </w:rPr>
        <w:t>财政拨款收入：指单位从同级财政部门取得的财政预算资金。</w:t>
      </w:r>
    </w:p>
    <w:p>
      <w:pPr>
        <w:pStyle w:val="31"/>
        <w:spacing w:line="560" w:lineRule="exact"/>
        <w:ind w:firstLineChars="200" w:firstLine="640"/>
        <w:rPr>
          <w:rFonts w:ascii="仿宋_GB2312" w:eastAsia="仿宋_GB2312"/>
          <w:sz w:val="32"/>
          <w:szCs w:val="32"/>
          <w:highlight w:val="auto"/>
        </w:rPr>
      </w:pPr>
      <w:r>
        <w:rPr>
          <w:rFonts w:ascii="仿宋_GB2312" w:eastAsia="仿宋_GB2312"/>
          <w:sz w:val="32"/>
          <w:szCs w:val="32"/>
          <w:highlight w:val="auto"/>
        </w:rPr>
        <w:t>2.</w:t>
      </w:r>
      <w:r>
        <w:rPr>
          <w:rFonts w:ascii="仿宋_GB2312" w:eastAsia="仿宋_GB2312" w:hint="eastAsia"/>
          <w:sz w:val="32"/>
          <w:szCs w:val="32"/>
          <w:highlight w:val="auto"/>
        </w:rPr>
        <w:t>事业收入：指事业单位开展专业业务活动及辅助活动取得的收入。</w:t>
      </w:r>
    </w:p>
    <w:p>
      <w:pPr>
        <w:pStyle w:val="31"/>
        <w:spacing w:line="560" w:lineRule="exact"/>
        <w:ind w:firstLineChars="200" w:firstLine="640"/>
        <w:rPr>
          <w:rFonts w:ascii="仿宋_GB2312" w:eastAsia="仿宋_GB2312" w:hint="eastAsia"/>
          <w:sz w:val="32"/>
          <w:szCs w:val="32"/>
          <w:highlight w:val="auto"/>
        </w:rPr>
      </w:pPr>
      <w:r>
        <w:rPr>
          <w:rFonts w:ascii="仿宋_GB2312" w:eastAsia="仿宋_GB2312"/>
          <w:sz w:val="32"/>
          <w:szCs w:val="32"/>
          <w:highlight w:val="auto"/>
        </w:rPr>
        <w:t>3.</w:t>
      </w:r>
      <w:r>
        <w:rPr>
          <w:rFonts w:ascii="仿宋_GB2312" w:eastAsia="仿宋_GB2312" w:hint="eastAsia"/>
          <w:sz w:val="32"/>
          <w:szCs w:val="32"/>
          <w:highlight w:val="auto"/>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highlight w:val="auto"/>
        </w:rPr>
      </w:pPr>
      <w:r>
        <w:rPr>
          <w:rFonts w:ascii="仿宋_GB2312" w:eastAsia="仿宋_GB2312"/>
          <w:sz w:val="32"/>
          <w:szCs w:val="32"/>
          <w:highlight w:val="auto"/>
        </w:rPr>
        <w:t>4.</w:t>
      </w:r>
      <w:r>
        <w:rPr>
          <w:rFonts w:ascii="仿宋_GB2312" w:eastAsia="仿宋_GB2312" w:hint="eastAsia"/>
          <w:sz w:val="32"/>
          <w:szCs w:val="32"/>
          <w:highlight w:val="auto"/>
        </w:rPr>
        <w:t>其他收入：指单位取得的除上述收入以外的各项收入。</w:t>
      </w:r>
      <w:r>
        <w:rPr>
          <w:rFonts w:ascii="仿宋_GB2312" w:eastAsia="仿宋_GB2312"/>
          <w:sz w:val="32"/>
          <w:szCs w:val="32"/>
          <w:highlight w:val="auto"/>
        </w:rPr>
        <w:t xml:space="preserve"> </w:t>
      </w:r>
    </w:p>
    <w:p>
      <w:pPr>
        <w:pStyle w:val="31"/>
        <w:spacing w:line="560" w:lineRule="exact"/>
        <w:ind w:firstLineChars="200" w:firstLine="640"/>
        <w:rPr>
          <w:rFonts w:ascii="仿宋_GB2312" w:eastAsia="仿宋_GB2312"/>
          <w:sz w:val="32"/>
          <w:szCs w:val="32"/>
          <w:highlight w:val="auto"/>
        </w:rPr>
      </w:pPr>
      <w:r>
        <w:rPr>
          <w:rFonts w:ascii="仿宋_GB2312" w:eastAsia="仿宋_GB2312"/>
          <w:sz w:val="32"/>
          <w:szCs w:val="32"/>
          <w:highlight w:val="auto"/>
        </w:rPr>
        <w:t>5.</w:t>
      </w:r>
      <w:r>
        <w:rPr>
          <w:rFonts w:ascii="仿宋_GB2312" w:eastAsia="仿宋_GB2312" w:hint="eastAsia"/>
          <w:sz w:val="32"/>
          <w:szCs w:val="32"/>
          <w:highlight w:val="auto"/>
        </w:rPr>
        <w:t>使用非财政拨款结余：指事业单位使用以前年度积累的非财政拨款结余弥补当年收支差额的金额。</w:t>
      </w:r>
      <w:r>
        <w:rPr>
          <w:rFonts w:ascii="仿宋_GB2312" w:eastAsia="仿宋_GB2312"/>
          <w:sz w:val="32"/>
          <w:szCs w:val="32"/>
          <w:highlight w:val="auto"/>
        </w:rPr>
        <w:t xml:space="preserve"> </w:t>
      </w:r>
    </w:p>
    <w:p>
      <w:pPr>
        <w:pStyle w:val="31"/>
        <w:spacing w:line="560" w:lineRule="exact"/>
        <w:ind w:firstLineChars="200" w:firstLine="640"/>
        <w:rPr>
          <w:rFonts w:ascii="仿宋_GB2312" w:eastAsia="仿宋_GB2312"/>
          <w:sz w:val="32"/>
          <w:szCs w:val="32"/>
          <w:highlight w:val="auto"/>
        </w:rPr>
      </w:pPr>
      <w:r>
        <w:rPr>
          <w:rFonts w:ascii="仿宋_GB2312" w:eastAsia="仿宋_GB2312"/>
          <w:sz w:val="32"/>
          <w:szCs w:val="32"/>
          <w:highlight w:val="auto"/>
        </w:rPr>
        <w:t>6.</w:t>
      </w:r>
      <w:r>
        <w:rPr>
          <w:rFonts w:ascii="仿宋_GB2312" w:eastAsia="仿宋_GB2312" w:hint="eastAsia"/>
          <w:sz w:val="32"/>
          <w:szCs w:val="32"/>
          <w:highlight w:val="auto"/>
        </w:rPr>
        <w:t>年初结转和结余：指以前年度尚未完成、结转到本年按有关规定继续使用的资金。</w:t>
      </w:r>
      <w:r>
        <w:rPr>
          <w:rFonts w:ascii="仿宋_GB2312" w:eastAsia="仿宋_GB2312"/>
          <w:sz w:val="32"/>
          <w:szCs w:val="32"/>
          <w:highlight w:val="auto"/>
        </w:rPr>
        <w:t xml:space="preserve"> </w:t>
      </w:r>
    </w:p>
    <w:p>
      <w:pPr>
        <w:pStyle w:val="31"/>
        <w:spacing w:line="560" w:lineRule="exact"/>
        <w:ind w:firstLineChars="200" w:firstLine="640"/>
        <w:rPr>
          <w:rFonts w:ascii="仿宋_GB2312" w:eastAsia="仿宋_GB2312"/>
          <w:sz w:val="32"/>
          <w:szCs w:val="32"/>
          <w:highlight w:val="auto"/>
        </w:rPr>
      </w:pPr>
      <w:r>
        <w:rPr>
          <w:rFonts w:ascii="仿宋_GB2312" w:eastAsia="仿宋_GB2312"/>
          <w:sz w:val="32"/>
          <w:szCs w:val="32"/>
          <w:highlight w:val="auto"/>
        </w:rPr>
        <w:t>7.</w:t>
      </w:r>
      <w:r>
        <w:rPr>
          <w:rFonts w:ascii="仿宋_GB2312" w:eastAsia="仿宋_GB2312" w:hint="eastAsia"/>
          <w:sz w:val="32"/>
          <w:szCs w:val="32"/>
          <w:highlight w:val="auto"/>
        </w:rPr>
        <w:t>结余分配：指事业单位按照会计制度规定缴纳的所得税、提取的专用结余以及转入非财政拨款结余的金额等。</w:t>
      </w:r>
    </w:p>
    <w:p>
      <w:pPr>
        <w:pStyle w:val="31"/>
        <w:spacing w:line="560" w:lineRule="exact"/>
        <w:ind w:firstLineChars="200" w:firstLine="640"/>
        <w:rPr>
          <w:rFonts w:ascii="仿宋_GB2312" w:eastAsia="仿宋_GB2312"/>
          <w:sz w:val="32"/>
          <w:szCs w:val="32"/>
          <w:highlight w:val="auto"/>
        </w:rPr>
      </w:pPr>
      <w:r>
        <w:rPr>
          <w:rFonts w:ascii="仿宋_GB2312" w:eastAsia="仿宋_GB2312"/>
          <w:sz w:val="32"/>
          <w:szCs w:val="32"/>
          <w:highlight w:val="auto"/>
        </w:rPr>
        <w:t>8</w:t>
      </w:r>
      <w:r>
        <w:rPr>
          <w:rFonts w:ascii="仿宋_GB2312" w:eastAsia="仿宋_GB2312" w:hint="eastAsia"/>
          <w:sz w:val="32"/>
          <w:szCs w:val="32"/>
          <w:highlight w:val="auto"/>
        </w:rPr>
        <w:t>、年末结转和结余：指单位按有关规定结转到下年或以后年度继续使用的资金。</w:t>
      </w:r>
    </w:p>
    <w:p>
      <w:pPr>
        <w:spacing w:line="576" w:lineRule="atLeast"/>
        <w:ind w:firstLineChars="200" w:firstLine="640"/>
        <w:rPr>
          <w:rStyle w:val="28"/>
          <w:rFonts w:ascii="仿宋_GB2312" w:eastAsia="仿宋_GB2312"/>
          <w:b w:val="0"/>
          <w:color w:val="0000FF"/>
          <w:sz w:val="32"/>
          <w:szCs w:val="32"/>
          <w:highlight w:val="auto"/>
        </w:rPr>
      </w:pPr>
      <w:r>
        <w:rPr>
          <w:rStyle w:val="28"/>
          <w:rFonts w:ascii="仿宋_GB2312" w:eastAsia="仿宋_GB2312" w:cs="仿宋_GB2312"/>
          <w:b w:val="0"/>
          <w:color w:val="000000"/>
          <w:sz w:val="32"/>
          <w:szCs w:val="32"/>
          <w:highlight w:val="auto"/>
        </w:rPr>
        <w:t>9.</w:t>
      </w:r>
      <w:r>
        <w:rPr>
          <w:rStyle w:val="28"/>
          <w:rFonts w:ascii="仿宋_GB2312" w:eastAsia="仿宋_GB2312" w:cs="仿宋_GB2312" w:hint="eastAsia"/>
          <w:b w:val="0"/>
          <w:color w:val="000000"/>
          <w:sz w:val="32"/>
          <w:szCs w:val="32"/>
          <w:highlight w:val="auto"/>
        </w:rPr>
        <w:t>一般公共服务（类）人大事务（款）人大会议（项）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w:t>
      </w:r>
      <w:r>
        <w:rPr>
          <w:rFonts w:ascii="仿宋_GB2312" w:eastAsia="仿宋_GB2312" w:cs="仿宋_GB2312" w:hint="eastAsia"/>
          <w:color w:val="000000"/>
          <w:sz w:val="32"/>
          <w:szCs w:val="32"/>
          <w:highlight w:val="auto"/>
        </w:rPr>
        <w:t>单位人大召开人民代表大会等专门会议的支出</w:t>
      </w:r>
      <w:r>
        <w:rPr>
          <w:rStyle w:val="28"/>
          <w:rFonts w:ascii="仿宋_GB2312" w:eastAsia="仿宋_GB2312" w:cs="仿宋_GB2312" w:hint="eastAsia"/>
          <w:b w:val="0"/>
          <w:color w:val="0000FF"/>
          <w:sz w:val="32"/>
          <w:szCs w:val="32"/>
          <w:highlight w:val="auto"/>
        </w:rPr>
        <w:t>。</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b w:val="0"/>
          <w:color w:val="000000"/>
          <w:sz w:val="32"/>
          <w:szCs w:val="32"/>
          <w:highlight w:val="auto"/>
        </w:rPr>
        <w:t>10.</w:t>
      </w:r>
      <w:r>
        <w:rPr>
          <w:rStyle w:val="28"/>
          <w:rFonts w:ascii="仿宋_GB2312" w:eastAsia="仿宋_GB2312" w:cs="仿宋_GB2312" w:hint="eastAsia"/>
          <w:b w:val="0"/>
          <w:color w:val="000000"/>
          <w:sz w:val="32"/>
          <w:szCs w:val="32"/>
          <w:highlight w:val="auto"/>
        </w:rPr>
        <w:t>一般公共服务（类）政府办公厅（室）及相关机构事务（款）行政运行（项）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指单位（包括实行公务员管理的事业单位）的基本支出。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b w:val="0"/>
          <w:color w:val="000000"/>
          <w:sz w:val="32"/>
          <w:szCs w:val="32"/>
          <w:highlight w:val="auto"/>
        </w:rPr>
        <w:t>11.</w:t>
      </w:r>
      <w:r>
        <w:rPr>
          <w:rStyle w:val="28"/>
          <w:rFonts w:ascii="仿宋_GB2312" w:eastAsia="仿宋_GB2312" w:cs="仿宋_GB2312" w:hint="eastAsia"/>
          <w:b w:val="0"/>
          <w:color w:val="000000"/>
          <w:sz w:val="32"/>
          <w:szCs w:val="32"/>
          <w:highlight w:val="auto"/>
        </w:rPr>
        <w:t>一般公共服务（类）财政事务（款）事业运行（项）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w:t>
      </w:r>
      <w:r>
        <w:rPr>
          <w:rFonts w:ascii="仿宋_GB2312" w:eastAsia="仿宋_GB2312" w:cs="仿宋_GB2312" w:hint="eastAsia"/>
          <w:color w:val="000000"/>
          <w:kern w:val="0"/>
          <w:sz w:val="32"/>
          <w:szCs w:val="32"/>
          <w:highlight w:val="auto"/>
        </w:rPr>
        <w:t>单位机关及参公管理事业单位用于保障机构正常运行、开展日常工作的基本支出</w:t>
      </w:r>
      <w:r>
        <w:rPr>
          <w:rStyle w:val="28"/>
          <w:rFonts w:ascii="仿宋_GB2312" w:eastAsia="仿宋_GB2312" w:cs="仿宋_GB2312" w:hint="eastAsia"/>
          <w:b w:val="0"/>
          <w:color w:val="000000"/>
          <w:sz w:val="32"/>
          <w:szCs w:val="32"/>
          <w:highlight w:val="auto"/>
        </w:rPr>
        <w:t>。</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b w:val="0"/>
          <w:color w:val="000000"/>
          <w:sz w:val="32"/>
          <w:szCs w:val="32"/>
          <w:highlight w:val="auto"/>
        </w:rPr>
        <w:t>12.</w:t>
      </w:r>
      <w:r>
        <w:rPr>
          <w:rStyle w:val="28"/>
          <w:rFonts w:ascii="仿宋_GB2312" w:eastAsia="仿宋_GB2312" w:cs="仿宋_GB2312" w:hint="eastAsia"/>
          <w:b w:val="0"/>
          <w:color w:val="000000"/>
          <w:sz w:val="32"/>
          <w:szCs w:val="32"/>
          <w:highlight w:val="auto"/>
        </w:rPr>
        <w:t>一般公共服务（类）民族事务（款）其他民族事务支出（项）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指单位除上述项目以外其他用于民族事务方面的支出。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b w:val="0"/>
          <w:color w:val="000000"/>
          <w:sz w:val="32"/>
          <w:szCs w:val="32"/>
          <w:highlight w:val="auto"/>
        </w:rPr>
        <w:t>13.</w:t>
      </w:r>
      <w:r>
        <w:rPr>
          <w:rStyle w:val="28"/>
          <w:rFonts w:ascii="仿宋_GB2312" w:eastAsia="仿宋_GB2312" w:cs="仿宋_GB2312" w:hint="eastAsia"/>
          <w:b w:val="0"/>
          <w:color w:val="000000"/>
          <w:sz w:val="32"/>
          <w:szCs w:val="32"/>
          <w:highlight w:val="auto"/>
        </w:rPr>
        <w:t>一般公共服务（类）党委办公厅（室）及相关机构事务（款）行政运行（项）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指单位</w:t>
      </w:r>
      <w:r>
        <w:rPr>
          <w:rFonts w:ascii="仿宋_GB2312" w:eastAsia="仿宋_GB2312" w:cs="仿宋_GB2312" w:hint="eastAsia"/>
          <w:color w:val="000000"/>
          <w:kern w:val="0"/>
          <w:sz w:val="32"/>
          <w:szCs w:val="32"/>
          <w:highlight w:val="auto"/>
        </w:rPr>
        <w:t>用于保障机构正常运行、开展日常工作的基本支出</w:t>
      </w:r>
      <w:r>
        <w:rPr>
          <w:rStyle w:val="28"/>
          <w:rFonts w:ascii="仿宋_GB2312" w:eastAsia="仿宋_GB2312" w:cs="仿宋_GB2312" w:hint="eastAsia"/>
          <w:b w:val="0"/>
          <w:color w:val="000000"/>
          <w:sz w:val="32"/>
          <w:szCs w:val="32"/>
          <w:highlight w:val="auto"/>
        </w:rPr>
        <w:t>。</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b w:val="0"/>
          <w:color w:val="000000"/>
          <w:sz w:val="32"/>
          <w:szCs w:val="32"/>
          <w:highlight w:val="auto"/>
        </w:rPr>
        <w:t>14.</w:t>
      </w:r>
      <w:r>
        <w:rPr>
          <w:rStyle w:val="28"/>
          <w:rFonts w:ascii="仿宋_GB2312" w:eastAsia="仿宋_GB2312" w:cs="仿宋_GB2312" w:hint="eastAsia"/>
          <w:b w:val="0"/>
          <w:color w:val="000000"/>
          <w:sz w:val="32"/>
          <w:szCs w:val="32"/>
          <w:highlight w:val="auto"/>
        </w:rPr>
        <w:t>国防支出（类）其他国防支出（款）其他国防支出（项）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指单位其他用于国防方面的支出。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b w:val="0"/>
          <w:color w:val="000000"/>
          <w:sz w:val="32"/>
          <w:szCs w:val="32"/>
          <w:highlight w:val="auto"/>
        </w:rPr>
        <w:t>1</w:t>
      </w:r>
      <w:r>
        <w:rPr>
          <w:rStyle w:val="28"/>
          <w:rFonts w:ascii="仿宋_GB2312" w:eastAsia="仿宋_GB2312" w:cs="仿宋_GB2312" w:hint="eastAsia"/>
          <w:b w:val="0"/>
          <w:color w:val="000000"/>
          <w:sz w:val="32"/>
          <w:szCs w:val="32"/>
          <w:highlight w:val="auto"/>
        </w:rPr>
        <w:t>5</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社会保障和就业（类）行政事业单位离退休（款）机关事业单位基本养老保险缴费支出（项）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w:t>
      </w:r>
      <w:r>
        <w:rPr>
          <w:rFonts w:ascii="仿宋_GB2312" w:eastAsia="仿宋_GB2312" w:cs="仿宋_GB2312" w:hint="eastAsia"/>
          <w:color w:val="000000"/>
          <w:kern w:val="0"/>
          <w:sz w:val="32"/>
          <w:szCs w:val="32"/>
          <w:highlight w:val="auto"/>
        </w:rPr>
        <w:t>单位实施养老保险制度由单位缴纳的养老保险费的支出</w:t>
      </w:r>
      <w:r>
        <w:rPr>
          <w:rStyle w:val="28"/>
          <w:rFonts w:ascii="仿宋_GB2312" w:eastAsia="仿宋_GB2312" w:cs="仿宋_GB2312" w:hint="eastAsia"/>
          <w:b w:val="0"/>
          <w:color w:val="000000"/>
          <w:sz w:val="32"/>
          <w:szCs w:val="32"/>
          <w:highlight w:val="auto"/>
        </w:rPr>
        <w:t>。</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16</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社会保障和就业（类）行政事业单位离退休（款）机关事业单位职业年金缴费支出（项）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w:t>
      </w:r>
      <w:r>
        <w:rPr>
          <w:rFonts w:ascii="仿宋_GB2312" w:eastAsia="仿宋_GB2312" w:cs="仿宋_GB2312" w:hint="eastAsia"/>
          <w:color w:val="000000"/>
          <w:kern w:val="0"/>
          <w:sz w:val="32"/>
          <w:szCs w:val="32"/>
          <w:highlight w:val="auto"/>
        </w:rPr>
        <w:t>单位实施养老保险制度由单位缴纳的职业年金的支出</w:t>
      </w:r>
      <w:r>
        <w:rPr>
          <w:rStyle w:val="28"/>
          <w:rFonts w:ascii="仿宋_GB2312" w:eastAsia="仿宋_GB2312" w:cs="仿宋_GB2312" w:hint="eastAsia"/>
          <w:b w:val="0"/>
          <w:color w:val="000000"/>
          <w:sz w:val="32"/>
          <w:szCs w:val="32"/>
          <w:highlight w:val="auto"/>
        </w:rPr>
        <w:t>。</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17</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社会保障和就业（类）社会福利（款）老年福利（项）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指对老年人提供福利服务方面的支出。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18</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社会保障和就业（类）社会福利（款）其他社会福利支出（项）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指除上述项目以外其他用于社会福利方面的支出。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19</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医疗卫生与计划生育（类）基层医疗卫生机构（款）镇镇卫生院（项）</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指用于镇镇卫生院支出。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20</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医疗卫生与计划生育（类）行政事业单位医疗（款）行政单位医疗（项）</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指</w:t>
      </w:r>
      <w:r>
        <w:rPr>
          <w:rFonts w:ascii="仿宋_GB2312" w:eastAsia="仿宋_GB2312" w:cs="仿宋_GB2312" w:hint="eastAsia"/>
          <w:color w:val="000000"/>
          <w:kern w:val="0"/>
          <w:sz w:val="32"/>
          <w:szCs w:val="32"/>
          <w:highlight w:val="auto"/>
        </w:rPr>
        <w:t>行政单位用于缴纳单位基本医疗保险支出</w:t>
      </w:r>
      <w:r>
        <w:rPr>
          <w:rStyle w:val="28"/>
          <w:rFonts w:ascii="仿宋_GB2312" w:eastAsia="仿宋_GB2312" w:cs="仿宋_GB2312" w:hint="eastAsia"/>
          <w:b w:val="0"/>
          <w:color w:val="000000"/>
          <w:sz w:val="32"/>
          <w:szCs w:val="32"/>
          <w:highlight w:val="auto"/>
        </w:rPr>
        <w:t>。</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21</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医疗卫生与计划生育（类）行政事业单位医疗（款）事业单位医疗（项）</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指</w:t>
      </w:r>
      <w:r>
        <w:rPr>
          <w:rFonts w:ascii="仿宋_GB2312" w:eastAsia="仿宋_GB2312" w:cs="仿宋_GB2312" w:hint="eastAsia"/>
          <w:color w:val="000000"/>
          <w:kern w:val="0"/>
          <w:sz w:val="32"/>
          <w:szCs w:val="32"/>
          <w:highlight w:val="auto"/>
        </w:rPr>
        <w:t>事业单位用于缴纳单位基本医疗保险支出</w:t>
      </w:r>
      <w:r>
        <w:rPr>
          <w:rStyle w:val="28"/>
          <w:rFonts w:ascii="仿宋_GB2312" w:eastAsia="仿宋_GB2312" w:cs="仿宋_GB2312" w:hint="eastAsia"/>
          <w:b w:val="0"/>
          <w:color w:val="000000"/>
          <w:sz w:val="32"/>
          <w:szCs w:val="32"/>
          <w:highlight w:val="auto"/>
        </w:rPr>
        <w:t>。</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22</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农林水支出（类）农业（款）事业运行（项）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指用于农业事业单位基本支出，事业单位设施、系统运行与资产维护等方面的支出。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23</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农林水支出（类）农业（款）农业资源保护修复与利用（项）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指用于农业耕地保护、修复与建设，草原草场生态保护、改良、利用及建设，渔业水产及水生生物资源保护与利用等方面的支出。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24</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农林水支出（类）农业（款）其他农业支出（项）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指除上述项目以外其他用于农业方面的支出。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25</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农林水支出（类）扶贫（款）农村基础设施建设（项）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指用于农村贫困地区镇村道路、住房、基本农田、水利设施、</w:t>
      </w:r>
      <w:r>
        <w:rPr>
          <w:rStyle w:val="28"/>
          <w:rFonts w:ascii="仿宋_GB2312" w:eastAsia="仿宋_GB2312" w:cs="仿宋_GB2312" w:hint="eastAsia"/>
          <w:b w:val="0"/>
          <w:color w:val="000000"/>
          <w:sz w:val="32"/>
          <w:szCs w:val="32"/>
        </w:rPr>
        <w:t>人畜饮水</w:t>
      </w:r>
      <w:r>
        <w:rPr>
          <w:rStyle w:val="28"/>
          <w:rFonts w:ascii="仿宋_GB2312" w:eastAsia="仿宋_GB2312" w:cs="仿宋_GB2312" w:hint="eastAsia"/>
          <w:b w:val="0"/>
          <w:color w:val="000000"/>
          <w:sz w:val="32"/>
          <w:szCs w:val="32"/>
          <w:highlight w:val="auto"/>
        </w:rPr>
        <w:t>、生态环境保护等生产生活条件改善方面的支出。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26</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农林水支出（类）扶贫（款）其他扶贫支出（项）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指农业综合开发部门的其他支出。</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27</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农林水支出（类）农村综合改革（款）对村委会和村党支部的补助（项）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指对村民委员会和对村党支部的补助支出，以及支持建立县级基本财力保障机制安排的村级组织运转奖补资金。</w:t>
      </w:r>
    </w:p>
    <w:p>
      <w:pPr>
        <w:spacing w:line="576" w:lineRule="atLeast"/>
        <w:ind w:firstLineChars="200" w:firstLine="640"/>
        <w:rPr>
          <w:rStyle w:val="28"/>
          <w:rFonts w:ascii="仿宋_GB2312" w:eastAsia="仿宋_GB2312"/>
          <w:b w:val="0"/>
          <w:color w:val="000000"/>
          <w:sz w:val="32"/>
          <w:szCs w:val="32"/>
          <w:highlight w:val="auto"/>
        </w:rPr>
      </w:pPr>
      <w:r>
        <w:rPr>
          <w:rStyle w:val="28"/>
          <w:rFonts w:ascii="仿宋_GB2312" w:eastAsia="仿宋_GB2312" w:cs="仿宋_GB2312" w:hint="eastAsia"/>
          <w:b w:val="0"/>
          <w:color w:val="000000"/>
          <w:sz w:val="32"/>
          <w:szCs w:val="32"/>
          <w:highlight w:val="auto"/>
        </w:rPr>
        <w:t>28</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农林水支出（类）其他农林水支出（款）其他农林水支出（项）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指除上述项目以外其他用于农林水方面的支出。</w:t>
      </w:r>
    </w:p>
    <w:p>
      <w:pPr>
        <w:spacing w:line="576" w:lineRule="atLeast"/>
        <w:ind w:firstLineChars="200" w:firstLine="640"/>
        <w:rPr>
          <w:rFonts w:ascii="仿宋_GB2312" w:eastAsia="仿宋_GB2312"/>
          <w:color w:val="000000"/>
          <w:sz w:val="32"/>
          <w:szCs w:val="32"/>
          <w:highlight w:val="auto"/>
        </w:rPr>
      </w:pPr>
      <w:r>
        <w:rPr>
          <w:rStyle w:val="28"/>
          <w:rFonts w:ascii="仿宋_GB2312" w:eastAsia="仿宋_GB2312" w:cs="仿宋_GB2312" w:hint="eastAsia"/>
          <w:b w:val="0"/>
          <w:color w:val="000000"/>
          <w:sz w:val="32"/>
          <w:szCs w:val="32"/>
          <w:highlight w:val="auto"/>
        </w:rPr>
        <w:t>29</w:t>
      </w:r>
      <w:r>
        <w:rPr>
          <w:rStyle w:val="28"/>
          <w:rFonts w:ascii="仿宋_GB2312" w:eastAsia="仿宋_GB2312" w:cs="仿宋_GB2312"/>
          <w:b w:val="0"/>
          <w:color w:val="000000"/>
          <w:sz w:val="32"/>
          <w:szCs w:val="32"/>
          <w:highlight w:val="auto"/>
        </w:rPr>
        <w:t>.</w:t>
      </w:r>
      <w:r>
        <w:rPr>
          <w:rStyle w:val="28"/>
          <w:rFonts w:ascii="仿宋_GB2312" w:eastAsia="仿宋_GB2312" w:cs="仿宋_GB2312" w:hint="eastAsia"/>
          <w:b w:val="0"/>
          <w:color w:val="000000"/>
          <w:sz w:val="32"/>
          <w:szCs w:val="32"/>
          <w:highlight w:val="auto"/>
        </w:rPr>
        <w:t>住房保障支出（类）住房改革支出（款）住房公积金（项）</w:t>
      </w:r>
      <w:r>
        <w:rPr>
          <w:rStyle w:val="28"/>
          <w:rFonts w:ascii="仿宋_GB2312" w:eastAsia="仿宋_GB2312" w:cs="仿宋_GB2312"/>
          <w:b w:val="0"/>
          <w:color w:val="000000"/>
          <w:sz w:val="32"/>
          <w:szCs w:val="32"/>
          <w:highlight w:val="auto"/>
        </w:rPr>
        <w:t xml:space="preserve">: </w:t>
      </w:r>
      <w:r>
        <w:rPr>
          <w:rStyle w:val="28"/>
          <w:rFonts w:ascii="仿宋_GB2312" w:eastAsia="仿宋_GB2312" w:cs="仿宋_GB2312" w:hint="eastAsia"/>
          <w:b w:val="0"/>
          <w:color w:val="000000"/>
          <w:sz w:val="32"/>
          <w:szCs w:val="32"/>
          <w:highlight w:val="auto"/>
        </w:rPr>
        <w:t>指</w:t>
      </w:r>
      <w:r>
        <w:rPr>
          <w:rFonts w:ascii="仿宋_GB2312" w:eastAsia="仿宋_GB2312" w:cs="仿宋_GB2312" w:hint="eastAsia"/>
          <w:color w:val="000000"/>
          <w:kern w:val="0"/>
          <w:sz w:val="32"/>
          <w:szCs w:val="32"/>
          <w:highlight w:val="auto"/>
        </w:rPr>
        <w:t>反映行政事业单位按规定为职工缴纳的住房公积金</w:t>
      </w:r>
      <w:r>
        <w:rPr>
          <w:rStyle w:val="28"/>
          <w:rFonts w:ascii="仿宋_GB2312" w:eastAsia="仿宋_GB2312" w:cs="仿宋_GB2312" w:hint="eastAsia"/>
          <w:b w:val="0"/>
          <w:color w:val="000000"/>
          <w:sz w:val="32"/>
          <w:szCs w:val="32"/>
          <w:highlight w:val="auto"/>
        </w:rPr>
        <w:t>。</w:t>
      </w:r>
    </w:p>
    <w:p>
      <w:pPr>
        <w:spacing w:line="576" w:lineRule="atLeast"/>
        <w:ind w:firstLineChars="200" w:firstLine="640"/>
        <w:rPr>
          <w:rFonts w:ascii="仿宋_GB2312" w:eastAsia="仿宋_GB2312"/>
          <w:color w:val="000000"/>
          <w:sz w:val="32"/>
          <w:szCs w:val="32"/>
          <w:highlight w:val="auto"/>
        </w:rPr>
      </w:pPr>
      <w:r>
        <w:rPr>
          <w:rFonts w:ascii="仿宋_GB2312" w:eastAsia="仿宋_GB2312" w:cs="仿宋_GB2312" w:hint="eastAsia"/>
          <w:color w:val="000000"/>
          <w:sz w:val="32"/>
          <w:szCs w:val="32"/>
          <w:highlight w:val="auto"/>
        </w:rPr>
        <w:t>30</w:t>
      </w:r>
      <w:r>
        <w:rPr>
          <w:rFonts w:ascii="仿宋_GB2312" w:eastAsia="仿宋_GB2312" w:cs="仿宋_GB2312"/>
          <w:color w:val="000000"/>
          <w:sz w:val="32"/>
          <w:szCs w:val="32"/>
          <w:highlight w:val="auto"/>
        </w:rPr>
        <w:t>.</w:t>
      </w:r>
      <w:r>
        <w:rPr>
          <w:rFonts w:ascii="仿宋_GB2312" w:eastAsia="仿宋_GB2312" w:cs="仿宋_GB2312" w:hint="eastAsia"/>
          <w:color w:val="000000"/>
          <w:sz w:val="32"/>
          <w:szCs w:val="32"/>
          <w:highlight w:val="auto"/>
        </w:rPr>
        <w:t>基本支出：指为保障机构正常运转、完成日常工作任务而发生的人员支出和公用支出。</w:t>
      </w:r>
    </w:p>
    <w:p>
      <w:pPr>
        <w:spacing w:line="576" w:lineRule="atLeast"/>
        <w:ind w:firstLineChars="200" w:firstLine="640"/>
        <w:rPr>
          <w:rFonts w:ascii="仿宋_GB2312" w:eastAsia="仿宋_GB2312"/>
          <w:color w:val="000000"/>
          <w:sz w:val="32"/>
          <w:szCs w:val="32"/>
          <w:highlight w:val="auto"/>
        </w:rPr>
      </w:pPr>
      <w:r>
        <w:rPr>
          <w:rFonts w:ascii="仿宋_GB2312" w:eastAsia="仿宋_GB2312" w:cs="仿宋_GB2312" w:hint="eastAsia"/>
          <w:color w:val="000000"/>
          <w:sz w:val="32"/>
          <w:szCs w:val="32"/>
          <w:highlight w:val="auto"/>
        </w:rPr>
        <w:t>31</w:t>
      </w:r>
      <w:r>
        <w:rPr>
          <w:rFonts w:ascii="仿宋_GB2312" w:eastAsia="仿宋_GB2312" w:cs="仿宋_GB2312"/>
          <w:color w:val="000000"/>
          <w:sz w:val="32"/>
          <w:szCs w:val="32"/>
          <w:highlight w:val="auto"/>
        </w:rPr>
        <w:t>.</w:t>
      </w:r>
      <w:r>
        <w:rPr>
          <w:rFonts w:ascii="仿宋_GB2312" w:eastAsia="仿宋_GB2312" w:cs="仿宋_GB2312" w:hint="eastAsia"/>
          <w:color w:val="000000"/>
          <w:sz w:val="32"/>
          <w:szCs w:val="32"/>
          <w:highlight w:val="auto"/>
        </w:rPr>
        <w:t>项目支出：指在基本支出之外为完成特定行政任务和事业发展目标所发生的支出。</w:t>
      </w:r>
    </w:p>
    <w:p>
      <w:pPr>
        <w:spacing w:line="576" w:lineRule="atLeast"/>
        <w:ind w:firstLineChars="200" w:firstLine="640"/>
        <w:rPr>
          <w:rFonts w:ascii="仿宋_GB2312" w:eastAsia="仿宋_GB2312"/>
          <w:color w:val="000000"/>
          <w:sz w:val="32"/>
          <w:szCs w:val="32"/>
          <w:highlight w:val="auto"/>
        </w:rPr>
      </w:pPr>
      <w:r>
        <w:rPr>
          <w:rFonts w:ascii="仿宋_GB2312" w:eastAsia="仿宋_GB2312" w:cs="仿宋_GB2312" w:hint="eastAsia"/>
          <w:color w:val="000000"/>
          <w:sz w:val="32"/>
          <w:szCs w:val="32"/>
          <w:highlight w:val="auto"/>
        </w:rPr>
        <w:t>32</w:t>
      </w:r>
      <w:r>
        <w:rPr>
          <w:rFonts w:ascii="仿宋_GB2312" w:eastAsia="仿宋_GB2312" w:cs="仿宋_GB2312"/>
          <w:color w:val="000000"/>
          <w:sz w:val="32"/>
          <w:szCs w:val="32"/>
          <w:highlight w:val="auto"/>
        </w:rPr>
        <w:t>.</w:t>
      </w:r>
      <w:r>
        <w:rPr>
          <w:rFonts w:ascii="仿宋_GB2312" w:eastAsia="仿宋_GB2312" w:cs="仿宋_GB2312" w:hint="eastAsia"/>
          <w:color w:val="000000"/>
          <w:sz w:val="32"/>
          <w:szCs w:val="32"/>
          <w:highlight w:val="auto"/>
        </w:rPr>
        <w:t>经营支出：指事业单位在专业业务活动及其辅助活动之外开展非独立核算经营活动发生的支出。</w:t>
      </w:r>
    </w:p>
    <w:p>
      <w:pPr>
        <w:pStyle w:val="31"/>
        <w:spacing w:line="576" w:lineRule="atLeast"/>
        <w:ind w:firstLineChars="200" w:firstLine="640"/>
        <w:jc w:val="both"/>
        <w:rPr>
          <w:rFonts w:ascii="仿宋_GB2312" w:eastAsia="仿宋_GB2312" w:cs="Times New Roman"/>
          <w:sz w:val="32"/>
          <w:szCs w:val="32"/>
          <w:highlight w:val="auto"/>
        </w:rPr>
      </w:pPr>
      <w:r>
        <w:rPr>
          <w:rFonts w:ascii="仿宋_GB2312" w:eastAsia="仿宋_GB2312" w:cs="仿宋_GB2312" w:hint="eastAsia"/>
          <w:sz w:val="32"/>
          <w:szCs w:val="32"/>
          <w:highlight w:val="auto"/>
        </w:rPr>
        <w:t>33</w:t>
      </w:r>
      <w:r>
        <w:rPr>
          <w:rFonts w:ascii="仿宋_GB2312" w:eastAsia="仿宋_GB2312" w:cs="仿宋_GB2312"/>
          <w:sz w:val="32"/>
          <w:szCs w:val="32"/>
          <w:highlight w:val="auto"/>
        </w:rPr>
        <w:t>.</w:t>
      </w:r>
      <w:r>
        <w:rPr>
          <w:rFonts w:ascii="仿宋_GB2312" w:eastAsia="仿宋_GB2312" w:cs="仿宋_GB2312" w:hint="eastAsia"/>
          <w:sz w:val="32"/>
          <w:szCs w:val="32"/>
          <w:highlight w:val="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
        <w:jc w:val="center"/>
        <w:rPr>
          <w:rFonts w:ascii="黑体" w:eastAsia="黑体" w:cs="黑体"/>
          <w:highlight w:val="auto"/>
        </w:rPr>
      </w:pPr>
      <w:bookmarkStart w:id="66" w:name="_Toc23073"/>
      <w:r>
        <w:rPr>
          <w:rFonts w:ascii="黑体" w:eastAsia="黑体" w:cs="黑体" w:hint="eastAsia"/>
          <w:highlight w:val="auto"/>
        </w:rPr>
        <w:t>第四部分 附件</w:t>
      </w:r>
      <w:bookmarkEnd w:id="65"/>
      <w:bookmarkEnd w:id="66"/>
    </w:p>
    <w:p>
      <w:pPr>
        <w:rPr>
          <w:rFonts w:ascii="仿宋_GB2312" w:eastAsia="仿宋_GB2312"/>
          <w:sz w:val="32"/>
          <w:szCs w:val="32"/>
          <w:highlight w:val="auto"/>
        </w:r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76"/>
        <w:gridCol w:w="1101"/>
        <w:gridCol w:w="951"/>
        <w:gridCol w:w="1218"/>
        <w:gridCol w:w="396"/>
        <w:gridCol w:w="899"/>
        <w:gridCol w:w="396"/>
        <w:gridCol w:w="588"/>
        <w:gridCol w:w="396"/>
        <w:gridCol w:w="396"/>
        <w:gridCol w:w="1381"/>
      </w:tblGrid>
      <w:tr>
        <w:trPr>
          <w:trHeight w:val="407"/>
        </w:trPr>
        <w:tc>
          <w:tcPr>
            <w:tcW w:w="2395" w:type="pct"/>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eastAsia="宋体" w:cs="宋体"/>
                <w:i w:val="0"/>
                <w:iCs w:val="0"/>
                <w:color w:val="C0C0C0"/>
                <w:sz w:val="20"/>
                <w:szCs w:val="20"/>
                <w:u w:val="none"/>
                <w:highlight w:val="auto"/>
              </w:rPr>
            </w:pPr>
            <w:r>
              <w:rPr>
                <w:rFonts w:ascii="宋体" w:eastAsia="宋体" w:cs="宋体"/>
                <w:i w:val="0"/>
                <w:iCs w:val="0"/>
                <w:color w:val="C0C0C0"/>
                <w:kern w:val="0"/>
                <w:sz w:val="20"/>
                <w:szCs w:val="20"/>
                <w:u w:val="none"/>
                <w:lang w:val="en-US" w:eastAsia="zh-CN"/>
                <w:highlight w:val="auto"/>
              </w:rPr>
              <w:t>报表编号：510000_0013zp</w:t>
            </w:r>
          </w:p>
        </w:tc>
        <w:tc>
          <w:tcPr>
            <w:tcW w:w="18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highlight w:val="auto"/>
              </w:rPr>
            </w:pPr>
          </w:p>
        </w:tc>
        <w:tc>
          <w:tcPr>
            <w:tcW w:w="1163" w:type="pct"/>
            <w:gridSpan w:val="3"/>
            <w:tcBorders>
              <w:top w:val="nil"/>
              <w:left w:val="nil"/>
              <w:bottom w:val="nil"/>
              <w:right w:val="nil"/>
            </w:tcBorders>
            <w:shd w:val="clear" w:color="auto" w:fill="auto"/>
            <w:vAlign w:val="center"/>
          </w:tcPr>
          <w:p>
            <w:pPr>
              <w:rPr>
                <w:rFonts w:ascii="宋体" w:eastAsia="宋体" w:cs="宋体" w:hint="eastAsia"/>
                <w:i w:val="0"/>
                <w:iCs w:val="0"/>
                <w:color w:val="000000"/>
                <w:sz w:val="20"/>
                <w:szCs w:val="20"/>
                <w:u w:val="none"/>
                <w:highlight w:val="auto"/>
              </w:rPr>
            </w:pPr>
          </w:p>
        </w:tc>
        <w:tc>
          <w:tcPr>
            <w:tcW w:w="187"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highlight w:val="auto"/>
              </w:rPr>
            </w:pPr>
          </w:p>
        </w:tc>
        <w:tc>
          <w:tcPr>
            <w:tcW w:w="16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highlight w:val="auto"/>
              </w:rPr>
            </w:pPr>
          </w:p>
        </w:tc>
        <w:tc>
          <w:tcPr>
            <w:tcW w:w="907"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51322321R000000066857-机关事业养老保险</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34.34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41.07</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41.07</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34.34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41.07</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41.07</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51322321R000000066859-职业年金</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17.17</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20.53</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20.53</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17.17</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20.53</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20.53</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51322321R000000066868-医疗保险及公务员医疗补助（行政）</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27.09</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25.40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25.40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27.09</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25.40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25.40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51322321R000000066881-其他社会保险缴费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0.44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0.56</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0.56</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0.44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0.56</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0.56</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51322321R000000067578-住房公积金</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36.43</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35.29</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35.29</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36.43</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35.29</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35.29</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51322321R000000067580-独子费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0.03</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0.03</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0.03</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0.03</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51322321Y000000067627-公务用车运行维护费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提高预算编制质量，严格执行预算，保障单位日常运转</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科目调整次数</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次</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67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预算编制准确率（计算方法为：∣（执行数-预算数）/预算数∣）</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904"/>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“三公经费”控制率[计算方法为：（三公经费实际支出数/预算安排数]×100%）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运转保障率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51322322R000005486280-目标绩效奖励金</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33.07</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33.07</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33.07</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33.07</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51322322R000006138015-退休人员一次性住房补贴及安家费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51322322T000006536036-包虫病资金</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包虫病资金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项目金额</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项目完成质量</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项目完成时间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更好的开展此项工作</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防范病虫害，保证农村农业经济发展</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可持续发展指标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保障第一产业，实现乡村振兴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51322323R000007784147-基础绩效奖(行政)</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79.58</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68.21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68.21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79.58</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68.21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68.21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51322323R000008651401-残疾人保障金</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6.51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6.51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6.51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6.51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51322323T000008027508-茂县洼底镇村级运维费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村级基础设施维护费用洼底镇原9个村每个村10000元，共计90000元。</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2.81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2.81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2.81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2.81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洼地镇各村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保障各村正常运转率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完成年度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推进乡村组织振兴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可持续发展指标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完善乡村治理体系</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基层组织活动经费和公共运行维护费</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51322323T000008027533-茂县洼底镇村干部体检费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2024年关心关爱村干部身体健康20人每人400元共计8000元。</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0.80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0.80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0.80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0.80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0.80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0.80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洼地镇各村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保障各村正常运转率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完成年度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提高基层治理水平</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可持续发展指标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促进农村繁荣水平</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投入资金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51322323T000008027567-茂县洼底镇村级办公费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茂县洼底镇人民政府原9个村每个村10000元合计90000元，保障村级日常办公需求。</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8.98</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8.98</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8.98</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8.98</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洼地镇各村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项目实完成率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完成年度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推动村级发展</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可持续发展指标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推动村级运转</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财政资金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51322323T000008027620-茂县洼底镇村干部生活补助</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2024年村书记4人*3500*12=168000元；副书记5人副主任1人*2800*12=201600元；监委会主任5人会计5人*2450*12=294000元；组长20人妇女主任5人*800*12=240000元；共计903600元。</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90.36</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91.20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91.20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90.36</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91.20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91.20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村干部人数</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人</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完成年度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更好的统筹工作</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保障村干部工资及时发放率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更好为群众服务</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村干部满意度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村干部工资</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90.36</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万元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51322323T000008504171-洼底镇百和村农村污水处理设施项目</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洼底镇百和村农村污水处理设施项目</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35.83</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35.83</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35.83</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35.83</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项目涉及金额</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38000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项目完成质量</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98</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项目完成时间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项目达标效益</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98</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51322323T000009220200-基层组织活动和公共服务运行经费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省级基层组织活动和公共服务运行补助经费，每个村每年7万元；州级基层组织活动和公共服务运行补助经费，每个村每年2万元。</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45.19</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45.19</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45.19</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45.19</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洼地镇各村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各村基础设施维护率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完成年度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促进农村发展水平</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可持续发展指标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提高群众生活水平</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村民的满意度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基层组织和公共运行补助经费-维护费</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51322324R000010353219-在职体检费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3.64</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3.64</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3.64</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3.64</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51322324R000010354720-退休体检费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0.91</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0.91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0.91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0.91</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0.91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0.91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51322324R000010578722-高海拔地区折算工龄补贴</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0.73</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0.69</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0.69</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0.73</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0.69</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0.69</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51322324R000010579154-乡镇工作补贴</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8.64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9.34</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9.34</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8.64</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9.34</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9.34</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51322324R000010579376-艰苦边远地区津贴</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12.05</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11.31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11.31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12.05</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11.31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11.31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51322324R000010723793-基础绩效奖（退休）</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4.32</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4.56</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4.56</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4.32</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4.56</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4.56</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51322324R000010725059-退休人员生活补助</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3.62</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3.62</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3.62</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3.62</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51322324R000011493104-工资性支出(县级)</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189.45</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189.45</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189.45</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189.45</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51322324R000011493306-其他人员支出(县级)</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严格执行相关政策，保障工资及时、足额发放或社保及时、足额缴纳，预算编制科学合理，减少结余资金</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2.06</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2.06</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2.06</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2.06</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发放（缴纳）覆盖率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足额保障率（参保率）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51322324T000011083631-驻村工作队经费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洼底镇5个村，每个村驻村工作队3人，每人5000</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7.21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7.21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7.21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7.21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洼底镇各村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完成年度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推动村级发展</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可持续影响指标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推动村级发展</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财政资金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7.5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万元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51322324T000011847933-红色家园党员志愿服务项目</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茂县洼底镇“红色家园”党员志愿服务项目1户（殷永春）一万元</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帮扶户数</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户</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帮扶成效</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帮扶时间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帮扶困难群众助力乡村振兴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可持续发展指标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实现农民富，农村美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帮扶对象满意度指标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帮扶对象满意度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帮扶资金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万元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51322324T000011909066-洼底镇人大工作经费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洼底镇人大工作经费</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9.58</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9.58</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9.58</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9.58</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洼底镇各村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保证人大正常运转率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完成年度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提高人大服务水平</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可持续发展指标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带动人大代表为群众办好事办实事</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人民群众满意度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下达资金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万元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51322324T000011947046-原白溪乡政府政府大楼维修工程</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2019原白溪乡政府政府大楼维修工程2.6万元</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2.60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2.60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2.60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2.60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项目涉及金额</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26000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项目完成质量</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项目完成年度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2019</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提升干部幸福感</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可持续发展指标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改善基础设施条件</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财政投入资金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26000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51322324Y000011494188-日常公用经费(县级)</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提高预算编制质量，严格执行预算，保障单位日常运转</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17.97</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17.97</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17.97</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17.97</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科目调整次数</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次</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67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预算编制准确率（计算方法为：∣（执行数-预算数）/预算数∣）</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904"/>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“三公经费”控制率[计算方法为：（三公经费实际支出数/预算安排数]×100%）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运转保障率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51322325T000012121293-2024年强降雨应急抢险资金</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2024年应急抢险资金100000元</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3.21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3.21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3.21</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3.21</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项目验收合格率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项目完工及时率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项目完成时间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2024</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保障人民群众的生命财产安全</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进一步提升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生态效益指标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清理淤泥、保护生态环境</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进一步提升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15</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受益群众满意度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95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2024年强降雨应急抢险资金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万元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51322325T000012400057-网格员绩效</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发放网格员绩效工资</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洼底镇各村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质量指标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网格员工资完成质量</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2024年1至12月</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12</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月</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完善基层治理体系，提升群众满意度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服务对象满意度指标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经济成本指标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网格员工资</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40000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增加就业岗位，提升群众经济收入</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51322325T000012402469-洼底镇百和村农田灌溉设施提升改造项目</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洼底镇百和村农田灌溉设施提升改造项目</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产出指标</w:t>
            </w:r>
          </w:p>
        </w:tc>
        <w:tc>
          <w:tcPr>
            <w:tcW w:w="6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数量指标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项目金额</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180000</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洼底镇百和村</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个</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时效指标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项目完成时间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效益指标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社会效益指标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改善水利灌溉设施，帮扶乡村振兴</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满意度指标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帮扶对象满意度指标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群众满意度</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高中低</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45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成本指标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社会成本指标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提升洼底镇村民经济收入，助力产业发展</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生态环境成本指标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建设美丽新农田</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定性</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优良中差</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51322325T000012848810-2024年基层机关食堂伙食补助</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8.75</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8.75</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8.75</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8.75</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51322325T000013103951-2024驻村工作队经费</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6.36</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6.36</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6.36</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6.36</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904"/>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highlight w:val="auto"/>
              </w:rPr>
            </w:pPr>
            <w:r>
              <w:rPr>
                <w:rFonts w:ascii="黑体" w:eastAsia="黑体" w:cs="黑体" w:hint="eastAsia"/>
                <w:b/>
                <w:bCs/>
                <w:i w:val="0"/>
                <w:iCs w:val="0"/>
                <w:color w:val="000000"/>
                <w:kern w:val="0"/>
                <w:sz w:val="30"/>
                <w:szCs w:val="30"/>
                <w:u w:val="none"/>
                <w:lang w:val="en-US" w:eastAsia="zh-CN"/>
                <w:highlight w:val="auto"/>
              </w:rPr>
              <w:t>部门预算项目支出绩效自评表（2024年度）</w:t>
            </w:r>
          </w:p>
        </w:tc>
      </w:tr>
      <w:tr>
        <w:trPr>
          <w:trHeight w:val="286"/>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项目名称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51322325T000013241042-驻村工作队通讯补贴</w:t>
            </w:r>
          </w:p>
        </w:tc>
      </w:tr>
      <w:tr>
        <w:trPr>
          <w:trHeight w:val="512"/>
        </w:trPr>
        <w:tc>
          <w:tcPr>
            <w:tcW w:w="9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主管部门</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w:t>
            </w:r>
          </w:p>
        </w:tc>
        <w:tc>
          <w:tcPr>
            <w:tcW w:w="386"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实施单位 （盖章）</w:t>
            </w:r>
          </w:p>
        </w:tc>
        <w:tc>
          <w:tcPr>
            <w:tcW w:w="125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茂县洼底镇人民政府（行政）</w:t>
            </w:r>
          </w:p>
        </w:tc>
      </w:tr>
      <w:tr>
        <w:trPr>
          <w:trHeight w:val="286"/>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项目基本情况</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1.项目年度目标完成情况</w:t>
            </w: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项目年度目标</w:t>
            </w: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年度目标完成情况</w:t>
            </w:r>
          </w:p>
        </w:tc>
      </w:tr>
      <w:tr>
        <w:trPr>
          <w:trHeight w:val="708"/>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1642"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对照年度目标，说明相关任务目标的完成情况（100字以内）</w:t>
            </w:r>
          </w:p>
        </w:tc>
      </w:tr>
      <w:tr>
        <w:trPr>
          <w:trHeight w:val="693"/>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2.项目实施内容及过程概述</w:t>
            </w:r>
          </w:p>
        </w:tc>
        <w:tc>
          <w:tcPr>
            <w:tcW w:w="4032"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361"/>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预算执行情况（10分）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年度预算数（万元）</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年初预算</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调整后预算数</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预算执行数</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预算执行率</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原因</w:t>
            </w:r>
          </w:p>
        </w:tc>
      </w:tr>
      <w:tr>
        <w:trPr>
          <w:trHeight w:val="346"/>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总额</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0.77</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0.77</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iCs/>
                <w:color w:val="000000"/>
                <w:sz w:val="18"/>
                <w:szCs w:val="18"/>
                <w:u w:val="none"/>
                <w:highlight w:val="auto"/>
              </w:rPr>
            </w:pPr>
            <w:r>
              <w:rPr>
                <w:rFonts w:ascii="黑体" w:eastAsia="黑体" w:cs="黑体" w:hint="eastAsia"/>
                <w:i/>
                <w:iCs/>
                <w:color w:val="000000"/>
                <w:kern w:val="0"/>
                <w:sz w:val="18"/>
                <w:szCs w:val="18"/>
                <w:u w:val="none"/>
                <w:lang w:val="en-US" w:eastAsia="zh-CN"/>
                <w:highlight w:val="auto"/>
              </w:rPr>
              <w:t>1.预算执行率=预算执行数/调整后预算数，预算执行率未达到90%的需说明原因（100字以内）;2.年中发生预算调整的（追加或调减）,应单独说明理由；3.其他资金包括：社会投入资金、银行贷款.</w:t>
            </w:r>
          </w:p>
        </w:tc>
      </w:tr>
      <w:tr>
        <w:trPr>
          <w:trHeight w:val="39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其中：财政资金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0.77</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0.77</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07"/>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财政专户管理资金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61"/>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单位资金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0.00%</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其他资金</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96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r>
      <w:tr>
        <w:trPr>
          <w:trHeight w:val="45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绩效指标（90分）</w:t>
            </w: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一级指标</w:t>
            </w: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二级指标</w:t>
            </w: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三级指标</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指标性质</w:t>
            </w: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指标值</w:t>
            </w: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度量单位</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完成值</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权重</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得分</w:t>
            </w: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未完成原因分析</w:t>
            </w:r>
          </w:p>
        </w:tc>
      </w:tr>
      <w:tr>
        <w:trPr>
          <w:trHeight w:val="339"/>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72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80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微软雅黑" w:eastAsia="微软雅黑" w:cs="微软雅黑" w:hint="eastAsia"/>
                <w:i/>
                <w:iCs/>
                <w:color w:val="000000"/>
                <w:sz w:val="16"/>
                <w:szCs w:val="16"/>
                <w:u w:val="none"/>
                <w:highlight w:val="auto"/>
              </w:rPr>
            </w:pPr>
          </w:p>
        </w:tc>
      </w:tr>
      <w:tr>
        <w:trPr>
          <w:trHeight w:val="286"/>
        </w:trPr>
        <w:tc>
          <w:tcPr>
            <w:tcW w:w="3743"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合计</w:t>
            </w:r>
          </w:p>
        </w:tc>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100</w:t>
            </w:r>
          </w:p>
        </w:tc>
        <w:tc>
          <w:tcPr>
            <w:tcW w:w="161"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宋体" w:eastAsia="宋体" w:cs="宋体" w:hint="eastAsia"/>
                <w:i w:val="0"/>
                <w:iCs w:val="0"/>
                <w:color w:val="000000"/>
                <w:sz w:val="18"/>
                <w:szCs w:val="18"/>
                <w:u w:val="none"/>
                <w:highlight w:val="auto"/>
              </w:rPr>
            </w:pPr>
          </w:p>
        </w:tc>
      </w:tr>
      <w:tr>
        <w:trPr>
          <w:trHeight w:val="60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评价结论</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结合自评情况，说明项目自评总分，说明项目实施取得的成效或成果。（200字以内）</w:t>
            </w:r>
          </w:p>
        </w:tc>
      </w:tr>
      <w:tr>
        <w:trPr>
          <w:trHeight w:val="572"/>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存在问题</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结合自评情况，分析存在的问题及原因。（200字以内）</w:t>
            </w:r>
          </w:p>
        </w:tc>
      </w:tr>
      <w:tr>
        <w:trPr>
          <w:trHeight w:val="633"/>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i w:val="0"/>
                <w:iCs w:val="0"/>
                <w:color w:val="000000"/>
                <w:sz w:val="18"/>
                <w:szCs w:val="18"/>
                <w:u w:val="none"/>
                <w:highlight w:val="auto"/>
              </w:rPr>
            </w:pPr>
            <w:r>
              <w:rPr>
                <w:rFonts w:ascii="宋体" w:eastAsia="宋体" w:cs="宋体"/>
                <w:i w:val="0"/>
                <w:iCs w:val="0"/>
                <w:color w:val="000000"/>
                <w:kern w:val="0"/>
                <w:sz w:val="18"/>
                <w:szCs w:val="18"/>
                <w:u w:val="none"/>
                <w:lang w:val="en-US" w:eastAsia="zh-CN"/>
                <w:highlight w:val="auto"/>
              </w:rPr>
              <w:t>改进措施</w:t>
            </w:r>
          </w:p>
        </w:tc>
        <w:tc>
          <w:tcPr>
            <w:tcW w:w="4757"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highlight w:val="auto"/>
              </w:rPr>
            </w:pPr>
            <w:r>
              <w:rPr>
                <w:rFonts w:ascii="微软雅黑" w:eastAsia="微软雅黑" w:cs="微软雅黑" w:hint="eastAsia"/>
                <w:i/>
                <w:iCs/>
                <w:color w:val="000000"/>
                <w:kern w:val="0"/>
                <w:sz w:val="16"/>
                <w:szCs w:val="16"/>
                <w:u w:val="none"/>
                <w:lang w:val="en-US" w:eastAsia="zh-CN"/>
                <w:highlight w:val="auto"/>
              </w:rPr>
              <w:t>针对项目自评中发现的问题，提出下一步改进完善的意见及有关政策性建议。（200字以内）</w:t>
            </w:r>
          </w:p>
        </w:tc>
      </w:tr>
      <w:tr>
        <w:trPr>
          <w:trHeight w:val="286"/>
        </w:trPr>
        <w:tc>
          <w:tcPr>
            <w:tcW w:w="2579"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项目负责人：</w:t>
            </w:r>
          </w:p>
        </w:tc>
        <w:tc>
          <w:tcPr>
            <w:tcW w:w="242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highlight w:val="auto"/>
              </w:rPr>
            </w:pPr>
            <w:r>
              <w:rPr>
                <w:rFonts w:ascii="黑体" w:eastAsia="黑体" w:cs="黑体" w:hint="eastAsia"/>
                <w:i w:val="0"/>
                <w:iCs w:val="0"/>
                <w:color w:val="000000"/>
                <w:kern w:val="0"/>
                <w:sz w:val="18"/>
                <w:szCs w:val="18"/>
                <w:u w:val="none"/>
                <w:lang w:val="en-US" w:eastAsia="zh-CN"/>
                <w:highlight w:val="auto"/>
              </w:rPr>
              <w:t>财务负责人：</w:t>
            </w:r>
          </w:p>
        </w:tc>
      </w:tr>
      <w:tr>
        <w:trPr>
          <w:trHeight w:val="286"/>
        </w:trPr>
        <w:tc>
          <w:tcPr>
            <w:tcW w:w="24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72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62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80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5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38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8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1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c>
          <w:tcPr>
            <w:tcW w:w="90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highlight w:val="auto"/>
              </w:rPr>
            </w:pPr>
          </w:p>
        </w:tc>
      </w:tr>
    </w:tbl>
    <w:p>
      <w:pPr>
        <w:rPr>
          <w:rFonts w:ascii="仿宋_GB2312" w:eastAsia="仿宋_GB2312"/>
          <w:sz w:val="32"/>
          <w:szCs w:val="32"/>
          <w:highlight w:val="auto"/>
        </w:rPr>
      </w:pPr>
    </w:p>
    <w:p>
      <w:pPr>
        <w:rPr>
          <w:rFonts w:ascii="仿宋_GB2312" w:eastAsia="仿宋_GB2312" w:hint="eastAsia"/>
          <w:sz w:val="32"/>
          <w:szCs w:val="32"/>
          <w:highlight w:val="auto"/>
        </w:rPr>
      </w:pPr>
      <w:r>
        <w:rPr>
          <w:rFonts w:ascii="仿宋_GB2312" w:eastAsia="仿宋_GB2312" w:hint="eastAsia"/>
          <w:sz w:val="32"/>
          <w:szCs w:val="32"/>
          <w:highlight w:val="auto"/>
        </w:rPr>
        <w:br w:type="page"/>
      </w:r>
    </w:p>
    <w:p>
      <w:pPr>
        <w:pageBreakBefore w:val="0"/>
        <w:widowControl w:val="0"/>
        <w:kinsoku/>
        <w:wordWrap/>
        <w:overflowPunct/>
        <w:topLinePunct w:val="0"/>
        <w:bidi w:val="0"/>
        <w:spacing w:line="576" w:lineRule="atLeast"/>
        <w:ind w:firstLineChars="200" w:firstLine="640"/>
        <w:rPr>
          <w:rFonts w:ascii="仿宋_GB2312" w:eastAsia="仿宋_GB2312" w:hint="eastAsia"/>
          <w:sz w:val="32"/>
          <w:szCs w:val="32"/>
          <w:highlight w:val="auto"/>
        </w:rPr>
      </w:pPr>
    </w:p>
    <w:p>
      <w:pPr>
        <w:pStyle w:val="23"/>
        <w:tabs>
          <w:tab w:val="center" w:pos="4153"/>
          <w:tab w:val="right" w:pos="8306"/>
        </w:tabs>
        <w:rPr>
          <w:highlight w:val="auto"/>
        </w:rPr>
      </w:pPr>
    </w:p>
    <w:p>
      <w:pPr>
        <w:pStyle w:val="1"/>
        <w:jc w:val="center"/>
        <w:rPr>
          <w:rFonts w:ascii="黑体" w:eastAsia="黑体" w:cs="黑体"/>
          <w:b w:val="0"/>
          <w:bCs w:val="0"/>
          <w:highlight w:val="auto"/>
        </w:rPr>
      </w:pPr>
      <w:bookmarkStart w:id="67" w:name="_Toc79163635"/>
      <w:bookmarkStart w:id="68" w:name="_Toc111208512"/>
      <w:bookmarkStart w:id="69" w:name="_Toc18435"/>
      <w:bookmarkStart w:id="70" w:name="_Toc79163885"/>
      <w:r>
        <w:rPr>
          <w:rFonts w:ascii="黑体" w:eastAsia="黑体" w:cs="黑体" w:hint="eastAsia"/>
          <w:b w:val="0"/>
          <w:bCs w:val="0"/>
          <w:highlight w:val="auto"/>
        </w:rPr>
        <w:t>第五部分 附表</w:t>
      </w:r>
      <w:bookmarkEnd w:id="67"/>
      <w:bookmarkEnd w:id="68"/>
      <w:bookmarkEnd w:id="69"/>
      <w:bookmarkEnd w:id="70"/>
    </w:p>
    <w:p>
      <w:pPr>
        <w:pStyle w:val="2"/>
        <w:ind w:firstLineChars="200" w:firstLine="640"/>
        <w:rPr>
          <w:rFonts w:ascii="黑体" w:eastAsia="黑体" w:cs="Times New Roman" w:hint="eastAsia"/>
          <w:b w:val="0"/>
          <w:bCs w:val="0"/>
          <w:color w:val="000000"/>
          <w:highlight w:val="auto"/>
        </w:rPr>
      </w:pPr>
      <w:bookmarkStart w:id="71" w:name="_Toc10701"/>
      <w:r>
        <w:rPr>
          <w:rFonts w:ascii="黑体" w:eastAsia="黑体" w:cs="Times New Roman" w:hint="eastAsia"/>
          <w:b w:val="0"/>
          <w:bCs w:val="0"/>
          <w:color w:val="000000"/>
          <w:highlight w:val="auto"/>
        </w:rPr>
        <w:t>一、收入支出决算总表</w:t>
      </w:r>
      <w:bookmarkEnd w:id="71"/>
    </w:p>
    <w:p>
      <w:pPr>
        <w:pStyle w:val="2"/>
        <w:ind w:firstLineChars="200" w:firstLine="640"/>
        <w:rPr>
          <w:rFonts w:ascii="黑体" w:eastAsia="黑体" w:cs="Times New Roman" w:hint="eastAsia"/>
          <w:b w:val="0"/>
          <w:bCs w:val="0"/>
          <w:color w:val="000000"/>
          <w:highlight w:val="auto"/>
        </w:rPr>
      </w:pPr>
      <w:bookmarkStart w:id="72" w:name="_Toc21586"/>
      <w:r>
        <w:rPr>
          <w:rFonts w:ascii="黑体" w:eastAsia="黑体" w:cs="Times New Roman" w:hint="eastAsia"/>
          <w:b w:val="0"/>
          <w:bCs w:val="0"/>
          <w:color w:val="000000"/>
          <w:highlight w:val="auto"/>
        </w:rPr>
        <w:t>二、收入决算表</w:t>
      </w:r>
      <w:bookmarkEnd w:id="72"/>
    </w:p>
    <w:p>
      <w:pPr>
        <w:pStyle w:val="2"/>
        <w:ind w:firstLineChars="200" w:firstLine="640"/>
        <w:rPr>
          <w:rFonts w:ascii="黑体" w:eastAsia="黑体" w:cs="Times New Roman" w:hint="eastAsia"/>
          <w:b w:val="0"/>
          <w:bCs w:val="0"/>
          <w:color w:val="000000"/>
          <w:highlight w:val="auto"/>
        </w:rPr>
      </w:pPr>
      <w:bookmarkStart w:id="73" w:name="_Toc11911"/>
      <w:r>
        <w:rPr>
          <w:rFonts w:ascii="黑体" w:eastAsia="黑体" w:cs="Times New Roman" w:hint="eastAsia"/>
          <w:b w:val="0"/>
          <w:bCs w:val="0"/>
          <w:color w:val="000000"/>
          <w:highlight w:val="auto"/>
        </w:rPr>
        <w:t>三、支出决算表</w:t>
      </w:r>
      <w:bookmarkEnd w:id="73"/>
    </w:p>
    <w:p>
      <w:pPr>
        <w:pStyle w:val="2"/>
        <w:ind w:firstLineChars="200" w:firstLine="640"/>
        <w:rPr>
          <w:rFonts w:ascii="黑体" w:eastAsia="黑体" w:cs="Times New Roman" w:hint="eastAsia"/>
          <w:b w:val="0"/>
          <w:bCs w:val="0"/>
          <w:color w:val="000000"/>
          <w:highlight w:val="auto"/>
        </w:rPr>
      </w:pPr>
      <w:bookmarkStart w:id="74" w:name="_Toc30281"/>
      <w:r>
        <w:rPr>
          <w:rFonts w:ascii="黑体" w:eastAsia="黑体" w:cs="Times New Roman" w:hint="eastAsia"/>
          <w:b w:val="0"/>
          <w:bCs w:val="0"/>
          <w:color w:val="000000"/>
          <w:highlight w:val="auto"/>
        </w:rPr>
        <w:t>四、财政拨款收入支出决算总表</w:t>
      </w:r>
      <w:bookmarkEnd w:id="74"/>
    </w:p>
    <w:p>
      <w:pPr>
        <w:pStyle w:val="2"/>
        <w:ind w:firstLineChars="200" w:firstLine="640"/>
        <w:rPr>
          <w:rFonts w:ascii="黑体" w:eastAsia="黑体" w:cs="Times New Roman" w:hint="eastAsia"/>
          <w:b w:val="0"/>
          <w:bCs w:val="0"/>
          <w:color w:val="000000"/>
          <w:highlight w:val="auto"/>
        </w:rPr>
      </w:pPr>
      <w:bookmarkStart w:id="75" w:name="_Toc12497"/>
      <w:r>
        <w:rPr>
          <w:rFonts w:ascii="黑体" w:eastAsia="黑体" w:cs="Times New Roman" w:hint="eastAsia"/>
          <w:b w:val="0"/>
          <w:bCs w:val="0"/>
          <w:color w:val="000000"/>
          <w:highlight w:val="auto"/>
        </w:rPr>
        <w:t>五、财政拨款支出决算明细表</w:t>
      </w:r>
      <w:bookmarkEnd w:id="75"/>
    </w:p>
    <w:p>
      <w:pPr>
        <w:pStyle w:val="2"/>
        <w:ind w:firstLineChars="200" w:firstLine="640"/>
        <w:rPr>
          <w:rFonts w:ascii="黑体" w:eastAsia="黑体" w:cs="Times New Roman" w:hint="eastAsia"/>
          <w:b w:val="0"/>
          <w:bCs w:val="0"/>
          <w:color w:val="000000"/>
          <w:highlight w:val="auto"/>
        </w:rPr>
      </w:pPr>
      <w:bookmarkStart w:id="76" w:name="_Toc19709"/>
      <w:r>
        <w:rPr>
          <w:rFonts w:ascii="黑体" w:eastAsia="黑体" w:cs="Times New Roman" w:hint="eastAsia"/>
          <w:b w:val="0"/>
          <w:bCs w:val="0"/>
          <w:color w:val="000000"/>
          <w:highlight w:val="auto"/>
        </w:rPr>
        <w:t>六、一般公共预算财政拨款支出决算表</w:t>
      </w:r>
      <w:bookmarkEnd w:id="76"/>
    </w:p>
    <w:p>
      <w:pPr>
        <w:pStyle w:val="2"/>
        <w:ind w:firstLineChars="200" w:firstLine="640"/>
        <w:rPr>
          <w:rFonts w:ascii="黑体" w:eastAsia="黑体" w:cs="Times New Roman" w:hint="eastAsia"/>
          <w:b w:val="0"/>
          <w:bCs w:val="0"/>
          <w:color w:val="000000"/>
          <w:highlight w:val="auto"/>
        </w:rPr>
      </w:pPr>
      <w:bookmarkStart w:id="77" w:name="_Toc20892"/>
      <w:r>
        <w:rPr>
          <w:rFonts w:ascii="黑体" w:eastAsia="黑体" w:cs="Times New Roman" w:hint="eastAsia"/>
          <w:b w:val="0"/>
          <w:bCs w:val="0"/>
          <w:color w:val="000000"/>
          <w:highlight w:val="auto"/>
        </w:rPr>
        <w:t>七、一般公共预算财政拨款支出决算明细表</w:t>
      </w:r>
      <w:bookmarkEnd w:id="77"/>
    </w:p>
    <w:p>
      <w:pPr>
        <w:pStyle w:val="2"/>
        <w:ind w:firstLineChars="200" w:firstLine="640"/>
        <w:rPr>
          <w:rFonts w:ascii="黑体" w:eastAsia="黑体" w:cs="Times New Roman" w:hint="eastAsia"/>
          <w:b w:val="0"/>
          <w:bCs w:val="0"/>
          <w:color w:val="000000"/>
          <w:highlight w:val="auto"/>
        </w:rPr>
      </w:pPr>
      <w:bookmarkStart w:id="78" w:name="_Toc17160"/>
      <w:r>
        <w:rPr>
          <w:rFonts w:ascii="黑体" w:eastAsia="黑体" w:cs="Times New Roman" w:hint="eastAsia"/>
          <w:b w:val="0"/>
          <w:bCs w:val="0"/>
          <w:color w:val="000000"/>
          <w:highlight w:val="auto"/>
        </w:rPr>
        <w:t>八、一般公共预算财政拨款基本支出决算表</w:t>
      </w:r>
      <w:bookmarkEnd w:id="78"/>
    </w:p>
    <w:p>
      <w:pPr>
        <w:pStyle w:val="2"/>
        <w:ind w:firstLineChars="200" w:firstLine="640"/>
        <w:rPr>
          <w:rFonts w:ascii="黑体" w:eastAsia="黑体" w:cs="Times New Roman" w:hint="eastAsia"/>
          <w:b w:val="0"/>
          <w:bCs w:val="0"/>
          <w:color w:val="000000"/>
          <w:highlight w:val="auto"/>
        </w:rPr>
      </w:pPr>
      <w:bookmarkStart w:id="79" w:name="_Toc4317"/>
      <w:r>
        <w:rPr>
          <w:rFonts w:ascii="黑体" w:eastAsia="黑体" w:cs="Times New Roman" w:hint="eastAsia"/>
          <w:b w:val="0"/>
          <w:bCs w:val="0"/>
          <w:color w:val="000000"/>
          <w:highlight w:val="auto"/>
        </w:rPr>
        <w:t>九、一般公共预算财政拨款项目支出决算表</w:t>
      </w:r>
      <w:bookmarkEnd w:id="79"/>
    </w:p>
    <w:p>
      <w:pPr>
        <w:pStyle w:val="2"/>
        <w:ind w:firstLineChars="200" w:firstLine="640"/>
        <w:rPr>
          <w:rFonts w:ascii="黑体" w:eastAsia="黑体" w:cs="Times New Roman" w:hint="eastAsia"/>
          <w:b w:val="0"/>
          <w:bCs w:val="0"/>
          <w:color w:val="000000"/>
          <w:highlight w:val="auto"/>
        </w:rPr>
      </w:pPr>
      <w:bookmarkStart w:id="80" w:name="_Toc8510"/>
      <w:r>
        <w:rPr>
          <w:rFonts w:ascii="黑体" w:eastAsia="黑体" w:cs="Times New Roman" w:hint="eastAsia"/>
          <w:b w:val="0"/>
          <w:bCs w:val="0"/>
          <w:color w:val="000000"/>
          <w:highlight w:val="auto"/>
        </w:rPr>
        <w:t>十、政府性基金预算财政拨款收入支出决算表</w:t>
      </w:r>
      <w:bookmarkEnd w:id="80"/>
    </w:p>
    <w:p>
      <w:pPr>
        <w:pStyle w:val="2"/>
        <w:ind w:firstLineChars="200" w:firstLine="640"/>
        <w:rPr>
          <w:rFonts w:ascii="黑体" w:eastAsia="黑体" w:cs="Times New Roman" w:hint="eastAsia"/>
          <w:b w:val="0"/>
          <w:bCs w:val="0"/>
          <w:color w:val="000000"/>
          <w:highlight w:val="auto"/>
        </w:rPr>
      </w:pPr>
      <w:bookmarkStart w:id="81" w:name="_Toc8680"/>
      <w:r>
        <w:rPr>
          <w:rFonts w:ascii="黑体" w:eastAsia="黑体" w:cs="Times New Roman" w:hint="eastAsia"/>
          <w:b w:val="0"/>
          <w:bCs w:val="0"/>
          <w:color w:val="000000"/>
          <w:highlight w:val="auto"/>
        </w:rPr>
        <w:t>十一、国有资本经营预算财政拨款收入支出决算表</w:t>
      </w:r>
      <w:bookmarkEnd w:id="81"/>
    </w:p>
    <w:p>
      <w:pPr>
        <w:pStyle w:val="2"/>
        <w:ind w:firstLineChars="200" w:firstLine="640"/>
        <w:rPr>
          <w:rFonts w:ascii="黑体" w:eastAsia="黑体" w:cs="Times New Roman" w:hint="eastAsia"/>
          <w:b w:val="0"/>
          <w:bCs w:val="0"/>
          <w:color w:val="000000"/>
          <w:highlight w:val="auto"/>
        </w:rPr>
      </w:pPr>
      <w:bookmarkStart w:id="82" w:name="_Toc27700"/>
      <w:r>
        <w:rPr>
          <w:rFonts w:ascii="黑体" w:eastAsia="黑体" w:cs="Times New Roman" w:hint="eastAsia"/>
          <w:b w:val="0"/>
          <w:bCs w:val="0"/>
          <w:color w:val="000000"/>
          <w:highlight w:val="auto"/>
        </w:rPr>
        <w:t>十二、国有资本经营预算财政拨款支出决算表</w:t>
      </w:r>
      <w:bookmarkEnd w:id="82"/>
    </w:p>
    <w:p>
      <w:pPr>
        <w:pStyle w:val="2"/>
        <w:ind w:firstLineChars="200" w:firstLine="640"/>
        <w:rPr>
          <w:rFonts w:ascii="黑体" w:eastAsia="黑体" w:cs="Times New Roman"/>
          <w:b w:val="0"/>
          <w:bCs w:val="0"/>
          <w:color w:val="000000"/>
          <w:highlight w:val="auto"/>
        </w:rPr>
      </w:pPr>
      <w:bookmarkStart w:id="83" w:name="_Toc17252"/>
      <w:r>
        <w:rPr>
          <w:rFonts w:ascii="黑体" w:eastAsia="黑体" w:cs="Times New Roman" w:hint="eastAsia"/>
          <w:b w:val="0"/>
          <w:bCs w:val="0"/>
          <w:color w:val="000000"/>
          <w:highlight w:val="auto"/>
        </w:rPr>
        <w:t>十三、财政拨款“三公”经费支出决算表</w:t>
      </w:r>
      <w:bookmarkEnd w:id="83"/>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7A"/>
    <w:family w:val="auto"/>
    <w:pitch w:val="variable"/>
    <w:sig w:usb0="00000000" w:usb1="00000000" w:usb2="00000006" w:usb3="00000000" w:csb0="00040001" w:csb1="00000000"/>
  </w:font>
  <w:font w:name="方正小标宋简体">
    <w:panose1 w:val="03000509000000000000"/>
    <w:charset w:val="86"/>
    <w:family w:val="script"/>
    <w:pitch w:val="variable"/>
    <w:sig w:usb0="00000001" w:usb1="080E0000" w:usb2="00000000" w:usb3="00000000" w:csb0="00040000" w:csb1="00000000"/>
  </w:font>
  <w:font w:name="Times New Roman">
    <w:altName w:val="Nimbus Roman No9 L"/>
    <w:panose1 w:val="02020603050405020304"/>
    <w:charset w:val="01"/>
    <w:family w:val="auto"/>
    <w:pitch w:val="variable"/>
    <w:sig w:usb0="00000000" w:usb1="00000000"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仿宋">
    <w:altName w:val="方正仿宋_GBK"/>
    <w:panose1 w:val="02010609060101010101"/>
    <w:charset w:val="86"/>
    <w:family w:val="modern"/>
    <w:pitch w:val="variable"/>
    <w:sig w:usb0="00000000" w:usb1="00000000" w:usb2="00000016" w:usb3="00000000" w:csb0="00040001" w:csb1="00000000"/>
  </w:font>
  <w:font w:name="微软雅黑">
    <w:altName w:val="黑体"/>
    <w:panose1 w:val="020B0503020204020204"/>
    <w:charset w:val="86"/>
    <w:family w:val="auto"/>
    <w:pitch w:val="variable"/>
    <w:sig w:usb0="00000000" w:usb1="00000000" w:usb2="00000016" w:usb3="00000000" w:csb0="0004001F" w:csb1="00000000"/>
  </w:font>
  <w:font w:name="Cambria">
    <w:altName w:val="Noto Sans Syriac Eastern"/>
    <w:panose1 w:val="02040503050406030204"/>
    <w:charset w:val="00"/>
    <w:family w:val="roman"/>
    <w:pitch w:val="variable"/>
    <w:sig w:usb0="00000000" w:usb1="00000000" w:usb2="02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02791249"/>
    </w:sdtPr>
    <w:sdtContent>
      <w:p>
        <w:pPr>
          <w:pStyle w:val="23"/>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23"/>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43FA922"/>
    <w:multiLevelType w:val="singleLevel"/>
    <w:tmpl w:val="443FA922"/>
    <w:lvl w:ilvl="0">
      <w:start w:val="3"/>
      <w:numFmt w:val="decimal"/>
      <w:lvlRestart w:val="0"/>
      <w:lvlText w:val="%1."/>
      <w:lvlJc w:val="left"/>
      <w:pPr>
        <w:ind w:left="0" w:hanging="0"/>
      </w:pPr>
    </w:lvl>
  </w:abstractNum>
  <w:abstractNum w:abstractNumId="1">
    <w:nsid w:val="E2FA047D"/>
    <w:multiLevelType w:val="singleLevel"/>
    <w:tmpl w:val="E2FA047D"/>
    <w:lvl w:ilvl="0">
      <w:start w:val="3"/>
      <w:numFmt w:val="chineseCounting"/>
      <w:lvlRestart w:val="0"/>
      <w:suff w:val="space"/>
      <w:lvlText w:val="第%1部分"/>
      <w:lvlJc w:val="left"/>
      <w:pPr>
        <w:ind w:left="0" w:hanging="0"/>
      </w:pPr>
      <w:rPr>
        <w:rFonts w:ascii="黑体" w:hAnsi="黑体" w:eastAsia="黑体" w:cs="黑体" w:hint="eastAsia"/>
        <w:sz w:val="44"/>
        <w:szCs w:val="44"/>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5"/>
  </w:compat>
  <w:docVars>
    <w:docVar w:name="commondata" w:val="eyJoZGlkIjoiY2Q1YTUwNmMwNTRjM2JmNGQ4NmRkYzUwOGZlNjkwM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Normal Indent"/>
    <w:basedOn w:val="0"/>
    <w:pPr>
      <w:ind w:firstLine="680"/>
    </w:pPr>
  </w:style>
  <w:style w:type="paragraph" w:styleId="17">
    <w:name w:val="annotation text"/>
    <w:basedOn w:val="0"/>
    <w:pPr>
      <w:jc w:val="left"/>
    </w:pPr>
  </w:style>
  <w:style w:type="paragraph" w:styleId="18">
    <w:name w:val="Body Text"/>
    <w:basedOn w:val="0"/>
    <w:pPr>
      <w:spacing w:beforeLines="30" w:before="30"/>
    </w:pPr>
    <w:rPr>
      <w:rFonts w:ascii="仿宋_GB2312" w:eastAsia="仿宋_GB2312"/>
      <w:kern w:val="0"/>
      <w:sz w:val="30"/>
    </w:rPr>
  </w:style>
  <w:style w:type="paragraph" w:styleId="19">
    <w:name w:val="Body Text Indent"/>
    <w:basedOn w:val="0"/>
    <w:next w:val="20"/>
    <w:pPr>
      <w:spacing w:after="120"/>
      <w:ind w:leftChars="200" w:left="200"/>
    </w:pPr>
    <w:rPr>
      <w:rFonts w:ascii="仿宋_GB2312" w:hAnsi="仿宋_GB2312"/>
      <w:szCs w:val="32"/>
    </w:rPr>
  </w:style>
  <w:style w:type="paragraph" w:styleId="20">
    <w:name w:val="Body Text First Indent 2"/>
    <w:basedOn w:val="19"/>
    <w:pPr>
      <w:ind w:firstLineChars="200" w:firstLine="200"/>
    </w:pPr>
  </w:style>
  <w:style w:type="paragraph" w:styleId="21">
    <w:name w:val="toc 3"/>
    <w:basedOn w:val="0"/>
    <w:next w:val="0"/>
    <w:pPr>
      <w:tabs>
        <w:tab w:val="right" w:leader="dot" w:pos="8296"/>
      </w:tabs>
      <w:ind w:leftChars="400" w:left="400"/>
    </w:p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rFonts w:ascii="Calibri" w:hAnsi="Calibri"/>
      <w:kern w:val="0"/>
      <w:sz w:val="18"/>
      <w:szCs w:val="18"/>
    </w:rPr>
  </w:style>
  <w:style w:type="paragraph" w:styleId="24">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5">
    <w:name w:val="toc 1"/>
    <w:basedOn w:val="0"/>
    <w:next w:val="0"/>
    <w:pPr>
      <w:tabs>
        <w:tab w:val="right" w:leader="dot" w:pos="8296"/>
      </w:tabs>
      <w:spacing w:before="93"/>
      <w:jc w:val="center"/>
    </w:pPr>
    <w:rPr>
      <w:rFonts w:ascii="仿宋" w:eastAsia="仿宋"/>
      <w:sz w:val="28"/>
      <w:szCs w:val="28"/>
    </w:rPr>
  </w:style>
  <w:style w:type="paragraph" w:styleId="26">
    <w:name w:val="footnote text"/>
    <w:basedOn w:val="0"/>
    <w:next w:val="20"/>
    <w:pPr>
      <w:snapToGrid w:val="0"/>
      <w:jc w:val="left"/>
    </w:pPr>
    <w:rPr>
      <w:sz w:val="18"/>
      <w:szCs w:val="18"/>
    </w:rPr>
  </w:style>
  <w:style w:type="paragraph" w:styleId="27">
    <w:name w:val="toc 2"/>
    <w:basedOn w:val="0"/>
    <w:next w:val="0"/>
    <w:pPr>
      <w:tabs>
        <w:tab w:val="right" w:leader="dot" w:pos="8296"/>
      </w:tabs>
      <w:ind w:leftChars="200" w:left="200"/>
    </w:pPr>
  </w:style>
  <w:style w:type="character" w:styleId="28">
    <w:name w:val="Strong"/>
    <w:basedOn w:val="10"/>
    <w:rPr>
      <w:b/>
    </w:rPr>
  </w:style>
  <w:style w:type="character" w:styleId="29">
    <w:name w:val="Hyperlink"/>
    <w:basedOn w:val="10"/>
    <w:rPr>
      <w:color w:val="0000FF"/>
      <w:u w:val="single"/>
    </w:rPr>
  </w:style>
  <w:style w:type="character" w:styleId="30">
    <w:name w:val="annotation reference"/>
    <w:basedOn w:val="10"/>
    <w:rPr>
      <w:sz w:val="21"/>
      <w:szCs w:val="21"/>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32">
    <w:name w:val="Header Char"/>
    <w:basedOn w:val="10"/>
    <w:rPr>
      <w:rFonts w:ascii="Times New Roman" w:hAnsi="Times New Roman"/>
      <w:sz w:val="18"/>
      <w:szCs w:val="18"/>
    </w:rPr>
  </w:style>
  <w:style w:type="character" w:customStyle="1" w:styleId="33">
    <w:name w:val="Footer Char"/>
    <w:basedOn w:val="10"/>
    <w:rPr>
      <w:rFonts w:ascii="Times New Roman" w:hAnsi="Times New Roman"/>
      <w:sz w:val="18"/>
      <w:szCs w:val="18"/>
    </w:rPr>
  </w:style>
  <w:style w:type="character" w:customStyle="1" w:styleId="34">
    <w:name w:val="Body Text Char"/>
    <w:basedOn w:val="10"/>
    <w:rPr>
      <w:rFonts w:ascii="Times New Roman" w:hAnsi="Times New Roman"/>
      <w:szCs w:val="24"/>
    </w:rPr>
  </w:style>
  <w:style w:type="paragraph" w:styleId="35">
    <w:name w:val="List Paragraph"/>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404040"/>
                </a:solidFill>
                <a:latin typeface="Times New Roman"/>
                <a:ea typeface="宋体"/>
                <a:cs typeface="Lucida Sans"/>
              </a:rPr>
              <a:t>收、支决算总计变动情况表</a:t>
            </a:r>
            <a:r>
              <a:rPr lang="zh-CN" sz="1400" b="1" i="0" u="none" strike="noStrike" baseline="0">
                <a:solidFill>
                  <a:srgbClr val="404040"/>
                </a:solidFill>
                <a:latin typeface="Times New Roman"/>
                <a:ea typeface="宋体"/>
                <a:cs typeface="Lucida Sans"/>
              </a:rPr>
              <a:t>
</a:t>
            </a:r>
          </a:p>
        </c:rich>
      </c:tx>
      <c:layout/>
      <c:overlay val="0"/>
      <c:spPr>
        <a:noFill/>
        <a:ln>
          <a:noFill/>
        </a:ln>
      </c:spPr>
    </c:title>
    <c:autoTitleDeleted val="1"/>
    <c:plotArea>
      <c:layout>
        <c:manualLayout>
          <c:layoutTarget val="inner"/>
          <c:xMode val="edge"/>
          <c:yMode val="edge"/>
          <c:x val="0.06143996"/>
          <c:y val="0.23331916"/>
          <c:w val="0.9083595"/>
          <c:h val="0.5676583"/>
        </c:manualLayout>
      </c:layout>
      <c:barChart>
        <c:barDir val="col"/>
        <c:grouping val="stacked"/>
        <c:varyColors val="0"/>
        <c:ser>
          <c:idx val="0"/>
          <c:order val="0"/>
          <c:tx>
            <c:strRef>
              <c:f>'Sheet1'!$B$1</c:f>
              <c:strCache>
                <c:ptCount val="1"/>
                <c:pt idx="0">
                  <c:v>收、支决算总计变动情况图</c:v>
                </c:pt>
              </c:strCache>
            </c:strRef>
          </c:tx>
          <c:spPr>
            <a:gradFill rotWithShape="1">
              <a:gsLst>
                <a:gs pos="100000">
                  <a:srgbClr val="C0504D">
                    <a:alpha val="100000"/>
                  </a:srgbClr>
                </a:gs>
                <a:gs pos="0">
                  <a:srgbClr val="C04D7F">
                    <a:alpha val="100000"/>
                  </a:srgbClr>
                </a:gs>
              </a:gsLst>
              <a:lin ang="5400000" scaled="1"/>
            </a:gradFill>
            <a:ln w="6350">
              <a:solidFill>
                <a:srgbClr val="000000"/>
              </a:solidFill>
              <a:prstDash val="solid"/>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Pos val="ctr"/>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2023年</c:v>
                </c:pt>
                <c:pt idx="1">
                  <c:v>2024年</c:v>
                </c:pt>
              </c:strCache>
            </c:strRef>
          </c:cat>
          <c:val>
            <c:numRef>
              <c:f>'Sheet1'!$B$2:$B$3</c:f>
              <c:numCache>
                <c:formatCode>General</c:formatCode>
                <c:ptCount val="2"/>
                <c:pt idx="0">
                  <c:v>651.03</c:v>
                </c:pt>
                <c:pt idx="1">
                  <c:v>723.42</c:v>
                </c:pt>
              </c:numCache>
            </c:numRef>
          </c:val>
        </c:ser>
        <c:overlap val="100"/>
        <c:gapWidth val="50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5F5F5"/>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a:ln>
              <a:noFill/>
            </a:ln>
          </c:spPr>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6107287.36</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Lbls>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outEnd"/>
              <c:showLegendKey val="0"/>
              <c:showVal val="1"/>
              <c:showCatName val="1"/>
              <c:showSerName val="0"/>
              <c:showPercent val="0"/>
              <c:showBubbleSize val="0"/>
            </c:dLbl>
            <c:dLbl>
              <c:idx val="1"/>
              <c:numFmt formatCode="General" sourceLinked="0"/>
              <c:spPr>
                <a:noFill/>
                <a:ln>
                  <a:noFill/>
                </a:ln>
              </c:spPr>
              <c:txPr>
                <a:bodyPr vert="horz"/>
                <a:lstStyle/>
                <a:p>
                  <a:pPr>
                    <a:defRPr sz="1000" b="1" i="0" u="none" strike="noStrike" baseline="0">
                      <a:solidFill>
                        <a:srgbClr val="C0504D"/>
                      </a:solidFill>
                      <a:latin typeface="Times New Roman"/>
                      <a:ea typeface="宋体"/>
                      <a:cs typeface="Lucida Sans"/>
                    </a:defRPr>
                  </a:pPr>
                  <a:endParaRPr lang="zh-CN"/>
                </a:p>
              </c:txPr>
              <c:dLblPos val="outEnd"/>
              <c:showLegendKey val="0"/>
              <c:showVal val="1"/>
              <c:showCatName val="1"/>
              <c:showSerName val="0"/>
              <c:showPercent val="0"/>
              <c:showBubbleSize val="0"/>
            </c:dLbl>
            <c:dLblPos val="outEnd"/>
            <c:showLegendKey val="0"/>
            <c:showVal val="1"/>
            <c:showCatName val="1"/>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479.23</c:v>
                </c:pt>
                <c:pt idx="1">
                  <c:v>244.19</c:v>
                </c:pt>
              </c:numCache>
            </c:numRef>
          </c:val>
        </c:ser>
        <c:firstSliceAng val="0"/>
      </c:pieChart>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404040"/>
                </a:solidFill>
                <a:latin typeface="Times New Roman"/>
                <a:ea typeface="宋体"/>
                <a:cs typeface="Lucida Sans"/>
              </a:rPr>
              <a:t>收、支决算总计变动情况表</a:t>
            </a:r>
            <a:r>
              <a:rPr lang="zh-CN" sz="1400" b="1" i="0" u="none" strike="noStrike" baseline="0">
                <a:solidFill>
                  <a:srgbClr val="404040"/>
                </a:solidFill>
                <a:latin typeface="Times New Roman"/>
                <a:ea typeface="宋体"/>
                <a:cs typeface="Lucida Sans"/>
              </a:rPr>
              <a:t>
</a:t>
            </a:r>
          </a:p>
        </c:rich>
      </c:tx>
      <c:layout/>
      <c:overlay val="0"/>
      <c:spPr>
        <a:noFill/>
        <a:ln>
          <a:noFill/>
        </a:ln>
      </c:spPr>
    </c:title>
    <c:autoTitleDeleted val="1"/>
    <c:plotArea>
      <c:layout>
        <c:manualLayout>
          <c:layoutTarget val="inner"/>
          <c:xMode val="edge"/>
          <c:yMode val="edge"/>
          <c:x val="0.06143996"/>
          <c:y val="0.23331916"/>
          <c:w val="0.9083595"/>
          <c:h val="0.5676583"/>
        </c:manualLayout>
      </c:layout>
      <c:barChart>
        <c:barDir val="col"/>
        <c:grouping val="stacked"/>
        <c:varyColors val="0"/>
        <c:ser>
          <c:idx val="0"/>
          <c:order val="0"/>
          <c:tx>
            <c:strRef>
              <c:f>'Sheet1 (4)'!$B$1</c:f>
              <c:strCache>
                <c:ptCount val="1"/>
                <c:pt idx="0">
                  <c:v>收、支决算总计变动情况图</c:v>
                </c:pt>
              </c:strCache>
            </c:strRef>
          </c:tx>
          <c:spPr>
            <a:gradFill rotWithShape="1">
              <a:gsLst>
                <a:gs pos="100000">
                  <a:srgbClr val="C0504D">
                    <a:alpha val="100000"/>
                  </a:srgbClr>
                </a:gs>
                <a:gs pos="0">
                  <a:srgbClr val="C04D7F">
                    <a:alpha val="100000"/>
                  </a:srgbClr>
                </a:gs>
              </a:gsLst>
              <a:lin ang="5400000" scaled="1"/>
            </a:gradFill>
            <a:ln w="6350">
              <a:solidFill>
                <a:srgbClr val="000000"/>
              </a:solidFill>
              <a:prstDash val="solid"/>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Pos val="ctr"/>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2023年</c:v>
                </c:pt>
                <c:pt idx="1">
                  <c:v>2024年</c:v>
                </c:pt>
              </c:strCache>
            </c:strRef>
          </c:cat>
          <c:val>
            <c:numRef>
              <c:f>'Sheet1 (4)'!$B$2:$B$3</c:f>
              <c:numCache>
                <c:formatCode>General</c:formatCode>
                <c:ptCount val="2"/>
                <c:pt idx="0">
                  <c:v>651.03</c:v>
                </c:pt>
                <c:pt idx="1">
                  <c:v>723.42</c:v>
                </c:pt>
              </c:numCache>
            </c:numRef>
          </c:val>
        </c:ser>
        <c:overlap val="100"/>
        <c:gapWidth val="50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5F5F5"/>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一般公共预算财政拨款支出决算变动情况</a:t>
            </a:r>
          </a:p>
        </c:rich>
      </c:tx>
      <c:layout>
        <c:manualLayout>
          <c:xMode val="edge"/>
          <c:yMode val="edge"/>
          <c:x val="0.2100749"/>
          <c:y val="0.02124947"/>
        </c:manualLayout>
      </c:layout>
      <c:overlay val="0"/>
      <c:spPr>
        <a:noFill/>
        <a:ln>
          <a:noFill/>
        </a:ln>
      </c:spPr>
    </c:title>
    <c:autoTitleDeleted val="1"/>
    <c:plotArea>
      <c:layout/>
      <c:barChart>
        <c:barDir val="col"/>
        <c:grouping val="clustered"/>
        <c:varyColors val="0"/>
        <c:ser>
          <c:idx val="2"/>
          <c:order val="0"/>
          <c:tx>
            <c:strRef>
              <c:f>'Sheet1 (5)'!$B$1</c:f>
              <c:strCache>
                <c:ptCount val="1"/>
                <c:pt idx="0">
                  <c:v>一般公共预算财政拨款支出决算变动情况图</c:v>
                </c:pt>
              </c:strCache>
            </c:strRef>
          </c:tx>
          <c:spPr>
            <a:solidFill>
              <a:srgbClr val="9BBB59"/>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2023年</c:v>
                </c:pt>
                <c:pt idx="1">
                  <c:v>2024年</c:v>
                </c:pt>
              </c:strCache>
            </c:strRef>
          </c:cat>
          <c:val>
            <c:numRef>
              <c:f>'Sheet1 (5)'!$B$2:$B$3</c:f>
              <c:numCache>
                <c:formatCode>General</c:formatCode>
                <c:ptCount val="2"/>
                <c:pt idx="0">
                  <c:v>651.03</c:v>
                </c:pt>
                <c:pt idx="1">
                  <c:v>723.42</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c:spPr>
          <c:dPt>
            <c:idx val="0"/>
            <c:bubble3D val="0"/>
            <c:spPr>
              <a:gradFill rotWithShape="1">
                <a:gsLst>
                  <a:gs pos="0">
                    <a:srgbClr val="4FB4BD">
                      <a:alpha val="100000"/>
                    </a:srgbClr>
                  </a:gs>
                  <a:gs pos="100000">
                    <a:srgbClr val="4F81BD">
                      <a:alpha val="100000"/>
                    </a:srgbClr>
                  </a:gs>
                </a:gsLst>
                <a:lin ang="5400000" scaled="1"/>
              </a:gradFill>
              <a:ln w="6350">
                <a:solidFill>
                  <a:srgbClr val="868686"/>
                </a:solidFill>
                <a:prstDash val="solid"/>
              </a:ln>
            </c:spPr>
          </c:dPt>
          <c:dPt>
            <c:idx val="1"/>
            <c:bubble3D val="0"/>
            <c:spPr>
              <a:gradFill rotWithShape="1">
                <a:gsLst>
                  <a:gs pos="0">
                    <a:srgbClr val="C04D7F">
                      <a:alpha val="100000"/>
                    </a:srgbClr>
                  </a:gs>
                  <a:gs pos="100000">
                    <a:srgbClr val="C0504D">
                      <a:alpha val="100000"/>
                    </a:srgbClr>
                  </a:gs>
                </a:gsLst>
                <a:lin ang="5400000" scaled="1"/>
              </a:gradFill>
              <a:ln w="6350">
                <a:solidFill>
                  <a:srgbClr val="868686"/>
                </a:solidFill>
                <a:prstDash val="solid"/>
              </a:ln>
            </c:spPr>
          </c:dPt>
          <c:dPt>
            <c:idx val="2"/>
            <c:bubble3D val="0"/>
            <c:spPr>
              <a:gradFill rotWithShape="1">
                <a:gsLst>
                  <a:gs pos="0">
                    <a:srgbClr val="BBAE59">
                      <a:alpha val="100000"/>
                    </a:srgbClr>
                  </a:gs>
                  <a:gs pos="100000">
                    <a:srgbClr val="9BBB59">
                      <a:alpha val="100000"/>
                    </a:srgbClr>
                  </a:gs>
                </a:gsLst>
                <a:lin ang="5400000" scaled="1"/>
              </a:gradFill>
              <a:ln w="6350">
                <a:solidFill>
                  <a:srgbClr val="868686"/>
                </a:solidFill>
                <a:prstDash val="solid"/>
              </a:ln>
            </c:spPr>
          </c:dPt>
          <c:dPt>
            <c:idx val="3"/>
            <c:bubble3D val="0"/>
            <c:spPr>
              <a:gradFill rotWithShape="1">
                <a:gsLst>
                  <a:gs pos="0">
                    <a:srgbClr val="6465A2">
                      <a:alpha val="100000"/>
                    </a:srgbClr>
                  </a:gs>
                  <a:gs pos="100000">
                    <a:srgbClr val="8064A2">
                      <a:alpha val="100000"/>
                    </a:srgbClr>
                  </a:gs>
                </a:gsLst>
                <a:lin ang="5400000" scaled="1"/>
              </a:gradFill>
              <a:ln w="6350">
                <a:solidFill>
                  <a:srgbClr val="868686"/>
                </a:solidFill>
                <a:prstDash val="solid"/>
              </a:ln>
            </c:spPr>
          </c:dPt>
          <c:dPt>
            <c:idx val="4"/>
            <c:bubble3D val="0"/>
            <c:spPr>
              <a:gradFill rotWithShape="1">
                <a:gsLst>
                  <a:gs pos="0">
                    <a:srgbClr val="4BC6A7">
                      <a:alpha val="100000"/>
                    </a:srgbClr>
                  </a:gs>
                  <a:gs pos="100000">
                    <a:srgbClr val="4BACC6">
                      <a:alpha val="100000"/>
                    </a:srgbClr>
                  </a:gs>
                </a:gsLst>
                <a:lin ang="5400000" scaled="1"/>
              </a:gradFill>
              <a:ln w="6350">
                <a:solidFill>
                  <a:srgbClr val="868686"/>
                </a:solidFill>
                <a:prstDash val="solid"/>
              </a:ln>
            </c:spPr>
          </c:dPt>
          <c:dPt>
            <c:idx val="5"/>
            <c:bubble3D val="0"/>
            <c:spPr>
              <a:gradFill rotWithShape="1">
                <a:gsLst>
                  <a:gs pos="0">
                    <a:srgbClr val="F74648">
                      <a:alpha val="100000"/>
                    </a:srgbClr>
                  </a:gs>
                  <a:gs pos="100000">
                    <a:srgbClr val="F79646">
                      <a:alpha val="100000"/>
                    </a:srgbClr>
                  </a:gs>
                </a:gsLst>
                <a:lin ang="5400000" scaled="1"/>
              </a:gradFill>
              <a:ln w="6350">
                <a:solidFill>
                  <a:srgbClr val="868686"/>
                </a:solidFill>
                <a:prstDash val="solid"/>
              </a:ln>
            </c:spPr>
          </c:dPt>
          <c:dPt>
            <c:idx val="6"/>
            <c:bubble3D val="0"/>
            <c:spPr>
              <a:gradFill rotWithShape="1">
                <a:gsLst>
                  <a:gs pos="0">
                    <a:srgbClr val="2C6F75">
                      <a:alpha val="100000"/>
                    </a:srgbClr>
                  </a:gs>
                  <a:gs pos="100000">
                    <a:srgbClr val="2C4D75">
                      <a:alpha val="100000"/>
                    </a:srgbClr>
                  </a:gs>
                </a:gsLst>
                <a:lin ang="5400000" scaled="1"/>
              </a:gradFill>
              <a:ln w="6350">
                <a:solidFill>
                  <a:srgbClr val="868686"/>
                </a:solidFill>
                <a:prstDash val="solid"/>
              </a:ln>
            </c:spPr>
          </c:dPt>
          <c:dPt>
            <c:idx val="7"/>
            <c:bubble3D val="0"/>
            <c:spPr>
              <a:gradFill rotWithShape="1">
                <a:gsLst>
                  <a:gs pos="0">
                    <a:srgbClr val="772A4C">
                      <a:alpha val="100000"/>
                    </a:srgbClr>
                  </a:gs>
                  <a:gs pos="100000">
                    <a:srgbClr val="772C2A">
                      <a:alpha val="100000"/>
                    </a:srgbClr>
                  </a:gs>
                </a:gsLst>
                <a:lin ang="5400000" scaled="1"/>
              </a:gradFill>
              <a:ln w="6350">
                <a:solidFill>
                  <a:srgbClr val="868686"/>
                </a:solidFill>
                <a:prstDash val="solid"/>
              </a:ln>
            </c:spPr>
          </c:dPt>
          <c:dLbls>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numFmt formatCode="0%" sourceLinked="0"/>
            <c:dLbl>
              <c:idx val="0"/>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outEnd"/>
              <c:showLegendKey val="0"/>
              <c:showVal val="0"/>
              <c:showCatName val="1"/>
              <c:showSerName val="0"/>
              <c:showPercent val="1"/>
              <c:showBubbleSize val="0"/>
              <c:separator>
</c:separator>
            </c:dLbl>
            <c:dLbl>
              <c:idx val="1"/>
              <c:layout>
                <c:manualLayout>
                  <c:x val="0.29004592"/>
                  <c:y val="0.04887378"/>
                </c:manualLayout>
              </c:layout>
              <c:spPr>
                <a:noFill/>
                <a:ln>
                  <a:noFill/>
                </a:ln>
              </c:spPr>
              <c:txPr>
                <a:bodyPr vert="horz"/>
                <a:lstStyle/>
                <a:p>
                  <a:pPr>
                    <a:defRPr sz="1000" b="1" i="0" u="none" strike="noStrike" baseline="0">
                      <a:solidFill>
                        <a:srgbClr val="C0504D"/>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2"/>
              <c:layout>
                <c:manualLayout>
                  <c:x val="0.17383426"/>
                  <c:y val="0.14279643"/>
                </c:manualLayout>
              </c:layout>
              <c:spPr>
                <a:noFill/>
                <a:ln>
                  <a:noFill/>
                </a:ln>
              </c:spPr>
              <c:txPr>
                <a:bodyPr vert="horz"/>
                <a:lstStyle/>
                <a:p>
                  <a:pPr>
                    <a:defRPr sz="1000" b="1" i="0" u="none" strike="noStrike" baseline="0">
                      <a:solidFill>
                        <a:srgbClr val="9BBB59"/>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3"/>
              <c:layout>
                <c:manualLayout>
                  <c:x val="-0.1304663"/>
                  <c:y val="-0.12749681"/>
                </c:manualLayout>
              </c:layout>
              <c:spPr>
                <a:noFill/>
                <a:ln>
                  <a:noFill/>
                </a:ln>
              </c:spPr>
              <c:txPr>
                <a:bodyPr vert="horz"/>
                <a:lstStyle/>
                <a:p>
                  <a:pPr>
                    <a:defRPr sz="1000" b="1" i="0" u="none" strike="noStrike" baseline="0">
                      <a:solidFill>
                        <a:srgbClr val="8064A2"/>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4"/>
              <c:spPr>
                <a:noFill/>
                <a:ln>
                  <a:noFill/>
                </a:ln>
              </c:spPr>
              <c:txPr>
                <a:bodyPr vert="horz"/>
                <a:lstStyle/>
                <a:p>
                  <a:pPr>
                    <a:defRPr sz="1000" b="1" i="0" u="none" strike="noStrike" baseline="0">
                      <a:solidFill>
                        <a:srgbClr val="4BACC6"/>
                      </a:solidFill>
                      <a:latin typeface="Times New Roman"/>
                      <a:ea typeface="宋体"/>
                      <a:cs typeface="Lucida Sans"/>
                    </a:defRPr>
                  </a:pPr>
                  <a:endParaRPr lang="zh-CN"/>
                </a:p>
              </c:txPr>
              <c:dLblPos val="outEnd"/>
              <c:showLegendKey val="0"/>
              <c:showVal val="0"/>
              <c:showCatName val="1"/>
              <c:showSerName val="0"/>
              <c:showPercent val="1"/>
              <c:showBubbleSize val="0"/>
              <c:separator>
</c:separator>
            </c:dLbl>
            <c:dLbl>
              <c:idx val="5"/>
              <c:layout>
                <c:manualLayout>
                  <c:x val="0.0024160426"/>
                  <c:y val="0.07224819"/>
                </c:manualLayout>
              </c:layout>
              <c:spPr>
                <a:noFill/>
                <a:ln>
                  <a:noFill/>
                </a:ln>
              </c:spPr>
              <c:txPr>
                <a:bodyPr vert="horz"/>
                <a:lstStyle/>
                <a:p>
                  <a:pPr>
                    <a:defRPr sz="1000" b="1" i="0" u="none" strike="noStrike" baseline="0">
                      <a:solidFill>
                        <a:srgbClr val="F79646"/>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6"/>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outEnd"/>
              <c:showLegendKey val="0"/>
              <c:showVal val="0"/>
              <c:showCatName val="1"/>
              <c:showSerName val="0"/>
              <c:showPercent val="1"/>
              <c:showBubbleSize val="0"/>
              <c:separator>
</c:separator>
            </c:dLbl>
            <c:dLbl>
              <c:idx val="7"/>
              <c:layout>
                <c:manualLayout>
                  <c:x val="-0.271684"/>
                  <c:y val="0.100722484"/>
                </c:manualLayout>
              </c:layout>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(6)'!$A$2:$A$9</c:f>
              <c:strCache>
                <c:ptCount val="8"/>
                <c:pt idx="1">
                  <c:v>社会保障和就业（类）支出</c:v>
                </c:pt>
                <c:pt idx="2">
                  <c:v>卫生健康（类）支出</c:v>
                </c:pt>
                <c:pt idx="4">
                  <c:v>农林水（类）支出</c:v>
                </c:pt>
                <c:pt idx="5">
                  <c:v>住房保障（类）支出</c:v>
                </c:pt>
                <c:pt idx="6">
                  <c:v>一般公共服务（类）支出</c:v>
                </c:pt>
                <c:pt idx="7">
                  <c:v>灾害防治及应急管理（类）支出</c:v>
                </c:pt>
              </c:strCache>
            </c:strRef>
          </c:cat>
          <c:val>
            <c:numRef>
              <c:f>'Sheet1 (6)'!$B$2:$B$9</c:f>
              <c:numCache>
                <c:formatCode>General</c:formatCode>
                <c:ptCount val="8"/>
                <c:pt idx="1">
                  <c:v>65.6</c:v>
                </c:pt>
                <c:pt idx="2">
                  <c:v>26.9</c:v>
                </c:pt>
                <c:pt idx="4">
                  <c:v>217.15</c:v>
                </c:pt>
                <c:pt idx="5">
                  <c:v>36.29</c:v>
                </c:pt>
                <c:pt idx="6">
                  <c:v>374.27</c:v>
                </c:pt>
                <c:pt idx="7">
                  <c:v>3.21</c:v>
                </c:pt>
              </c:numCache>
            </c:numRef>
          </c:val>
        </c:ser>
        <c:firstSliceAng val="0"/>
      </c:pieChart>
      <c:spPr>
        <a:noFill/>
        <a:ln>
          <a:noFill/>
        </a:ln>
      </c:spPr>
    </c:plotArea>
    <c:plotVisOnly val="1"/>
    <c:dispBlanksAs val="gap"/>
    <c:showDLblsOverMax val="0"/>
  </c:chart>
  <c:spPr>
    <a:solidFill>
      <a:srgbClr val="F5F5F5"/>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0" i="0" u="none" strike="noStrike" baseline="0">
                <a:solidFill>
                  <a:srgbClr val="FFFFFF"/>
                </a:solidFill>
                <a:latin typeface="Times New Roman"/>
                <a:ea typeface="宋体"/>
                <a:cs typeface="Lucida Sans"/>
              </a:rPr>
              <a:t>“</a:t>
            </a:r>
            <a:r>
              <a:rPr lang="zh-CN" sz="1400" b="0" i="0" u="none" strike="noStrike" baseline="0">
                <a:solidFill>
                  <a:srgbClr val="FFFFFF"/>
                </a:solidFill>
                <a:latin typeface="Times New Roman"/>
                <a:ea typeface="宋体"/>
                <a:cs typeface="Lucida Sans"/>
              </a:rPr>
              <a:t>三公</a:t>
            </a:r>
            <a:r>
              <a:rPr lang="zh-CN" sz="1400" b="0" i="0" u="none" strike="noStrike" baseline="0">
                <a:solidFill>
                  <a:srgbClr val="FFFFFF"/>
                </a:solidFill>
                <a:latin typeface="Times New Roman"/>
                <a:ea typeface="宋体"/>
                <a:cs typeface="Lucida Sans"/>
              </a:rPr>
              <a:t>”</a:t>
            </a:r>
            <a:r>
              <a:rPr lang="zh-CN" sz="1400" b="0" i="0" u="none" strike="noStrike" baseline="0">
                <a:solidFill>
                  <a:srgbClr val="FFFFFF"/>
                </a:solidFill>
                <a:latin typeface="Times New Roman"/>
                <a:ea typeface="宋体"/>
                <a:cs typeface="Lucida Sans"/>
              </a:rPr>
              <a:t>经费财政拨款支出结构图</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w="19050">
              <a:solidFill>
                <a:srgbClr val="FFFFFF"/>
              </a:solidFill>
              <a:prstDash val="solid"/>
            </a:ln>
            <a:effectLst>
              <a:outerShdw dist="35921" dir="2700000" algn="br">
                <a:srgbClr val="000000"/>
              </a:outerShdw>
            </a:effectLst>
          </c:spPr>
          <c:dPt>
            <c:idx val="0"/>
            <c:bubble3D val="0"/>
            <c:explosion val="5"/>
            <c:spPr>
              <a:gradFill rotWithShape="1">
                <a:gsLst>
                  <a:gs pos="0">
                    <a:srgbClr val="95B3D7">
                      <a:alpha val="100000"/>
                    </a:srgbClr>
                  </a:gs>
                  <a:gs pos="50000">
                    <a:srgbClr val="4F81BD">
                      <a:alpha val="100000"/>
                    </a:srgbClr>
                  </a:gs>
                </a:gsLst>
                <a:lin ang="2700000" scaled="1"/>
              </a:gradFill>
              <a:ln w="19050">
                <a:solidFill>
                  <a:srgbClr val="FFFFFF"/>
                </a:solidFill>
                <a:prstDash val="solid"/>
              </a:ln>
              <a:effectLst>
                <a:outerShdw dist="35921" dir="2700000" algn="br">
                  <a:srgbClr val="000000"/>
                </a:outerShdw>
              </a:effectLst>
            </c:spPr>
          </c:dPt>
          <c:dPt>
            <c:idx val="1"/>
            <c:bubble3D val="0"/>
            <c:explosion val="5"/>
            <c:spPr>
              <a:gradFill rotWithShape="1">
                <a:gsLst>
                  <a:gs pos="0">
                    <a:srgbClr val="D99694">
                      <a:alpha val="100000"/>
                    </a:srgbClr>
                  </a:gs>
                  <a:gs pos="60000">
                    <a:srgbClr val="C0504D">
                      <a:alpha val="100000"/>
                    </a:srgbClr>
                  </a:gs>
                </a:gsLst>
                <a:lin ang="2700000" scaled="1"/>
              </a:gradFill>
              <a:ln w="19050">
                <a:solidFill>
                  <a:srgbClr val="FFFFFF"/>
                </a:solidFill>
                <a:prstDash val="solid"/>
              </a:ln>
              <a:effectLst>
                <a:outerShdw dist="35921" dir="2700000" algn="br">
                  <a:srgbClr val="000000"/>
                </a:outerShdw>
              </a:effectLst>
            </c:spPr>
          </c:dPt>
          <c:dPt>
            <c:idx val="2"/>
            <c:bubble3D val="0"/>
            <c:explosion val="5"/>
            <c:spPr>
              <a:gradFill rotWithShape="1">
                <a:gsLst>
                  <a:gs pos="0">
                    <a:srgbClr val="FAC090">
                      <a:alpha val="100000"/>
                    </a:srgbClr>
                  </a:gs>
                  <a:gs pos="60000">
                    <a:srgbClr val="F79646">
                      <a:alpha val="100000"/>
                    </a:srgbClr>
                  </a:gs>
                </a:gsLst>
                <a:lin ang="2700000" scaled="1"/>
              </a:gradFill>
              <a:ln w="19050">
                <a:solidFill>
                  <a:srgbClr val="FFFFFF"/>
                </a:solidFill>
                <a:prstDash val="solid"/>
              </a:ln>
              <a:effectLst>
                <a:outerShdw dist="35921" dir="2700000" algn="br">
                  <a:srgbClr val="000000"/>
                </a:outerShdw>
              </a:effectLst>
            </c:spPr>
          </c:dPt>
          <c:dLbls>
            <c:spPr>
              <a:noFill/>
              <a:ln>
                <a:noFill/>
              </a:ln>
            </c:spPr>
            <c:txPr>
              <a:bodyPr vert="horz"/>
              <a:lstStyle/>
              <a:p>
                <a:pPr>
                  <a:defRPr sz="900" b="0" i="0" u="none" strike="noStrike" baseline="0">
                    <a:solidFill>
                      <a:srgbClr val="FFFFFF"/>
                    </a:solidFill>
                    <a:latin typeface="Times New Roman"/>
                    <a:ea typeface="宋体"/>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(7)'!$A$2:$A$4</c:f>
              <c:strCache>
                <c:ptCount val="3"/>
                <c:pt idx="0">
                  <c:v>公务用车购置及运行维护费支出</c:v>
                </c:pt>
                <c:pt idx="1">
                  <c:v>因公出国（境）费支出</c:v>
                </c:pt>
                <c:pt idx="2">
                  <c:v>公务接待费支出</c:v>
                </c:pt>
              </c:strCache>
            </c:strRef>
          </c:cat>
          <c:val>
            <c:numRef>
              <c:f>'Sheet1 (7)'!$B$2:$B$4</c:f>
              <c:numCache>
                <c:formatCode>General</c:formatCode>
                <c:ptCount val="3"/>
                <c:pt idx="0">
                  <c:v>7.0</c:v>
                </c:pt>
                <c:pt idx="1">
                  <c:v>0.0</c:v>
                </c:pt>
                <c:pt idx="2">
                  <c:v>0.0</c:v>
                </c:pt>
              </c:numCache>
            </c:numRef>
          </c:val>
        </c:ser>
        <c:firstSliceAng val="285"/>
      </c:pieChart>
      <c:spPr>
        <a:noFill/>
        <a:ln>
          <a:noFill/>
        </a:ln>
      </c:spPr>
    </c:plotArea>
    <c:legend>
      <c:legendPos val="r"/>
      <c:layout/>
      <c:overlay val="0"/>
      <c:spPr>
        <a:noFill/>
        <a:ln>
          <a:noFill/>
        </a:ln>
      </c:spPr>
      <c:txPr>
        <a:bodyPr/>
        <a:lstStyle/>
        <a:p>
          <a:pPr>
            <a:defRPr sz="900" b="0" i="0" u="none" strike="noStrike" baseline="0">
              <a:solidFill>
                <a:srgbClr val="BFBFBF"/>
              </a:solidFill>
              <a:latin typeface="Times New Roman"/>
              <a:ea typeface="宋体"/>
              <a:cs typeface="Lucida Sans"/>
            </a:defRPr>
          </a:pPr>
          <a:endParaRPr lang="zh-CN"/>
        </a:p>
      </c:txPr>
    </c:legend>
    <c:plotVisOnly val="1"/>
    <c:dispBlanksAs val="gap"/>
    <c:showDLblsOverMax val="0"/>
  </c:chart>
  <c:spPr>
    <a:gradFill rotWithShape="1">
      <a:gsLst>
        <a:gs pos="0">
          <a:srgbClr val="595959">
            <a:alpha val="100000"/>
          </a:srgbClr>
        </a:gs>
        <a:gs pos="100000">
          <a:srgbClr val="262626">
            <a:alpha val="100000"/>
          </a:srgbClr>
        </a:gs>
      </a:gsLst>
      <a:path path="circle">
        <a:fillToRect l="50000" t="50000" r="50000" b="50000"/>
      </a:path>
      <a:tileRect/>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14</TotalTime>
  <Application>Yozo_Office27021597764231179</Application>
  <Pages>69</Pages>
  <Words>28740</Words>
  <Characters>33825</Characters>
  <Lines>7923</Lines>
  <Paragraphs>3925</Paragraphs>
  <CharactersWithSpaces>33931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pjf</dc:creator>
  <cp:lastModifiedBy>user</cp:lastModifiedBy>
  <cp:revision>42</cp:revision>
  <cp:lastPrinted>2025-09-10T19:39:00Z</cp:lastPrinted>
  <dcterms:created xsi:type="dcterms:W3CDTF">2023-08-19T23:28:00Z</dcterms:created>
  <dcterms:modified xsi:type="dcterms:W3CDTF">2026-04-21T08:20:29Z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B93CA6F4BEAD4F359769D1203595D585</vt:lpwstr>
  </property>
  <property fmtid="{D5CDD505-2E9C-101B-9397-08002B2CF9AE}" pid="4" name="KSOTemplateDocerSaveRecord">
    <vt:lpwstr>eyJoZGlkIjoiYzFkY2M3Y2QxM2FjYzE0NWRiMDE4NGExMzJkNDBkNzciLCJ1c2VySWQiOiIyNjc2MjkwNjIifQ==</vt:lpwstr>
  </property>
</Properties>
</file>