
<file path=[Content_Types].xml><?xml version="1.0" encoding="utf-8"?>
<Types xmlns="http://schemas.openxmlformats.org/package/2006/content-types">
  <Default Extension="xlsx" ContentType="application/vnd.openxmlformats-officedocument.spreadsheetml.shee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both"/>
        <w:outlineLvl w:val="0"/>
        <w:rPr>
          <w:rFonts w:ascii="方正小标宋简体" w:hAnsi="宋体" w:eastAsia="方正小标宋简体"/>
          <w:color w:val="000000"/>
          <w:sz w:val="72"/>
          <w:szCs w:val="72"/>
        </w:rPr>
      </w:pPr>
      <w:bookmarkStart w:id="0" w:name="_Hlk82072008"/>
      <w:bookmarkEnd w:id="0"/>
      <w:bookmarkStart w:id="1" w:name="_Toc15306267"/>
    </w:p>
    <w:p>
      <w:pPr>
        <w:jc w:val="center"/>
        <w:rPr>
          <w:rFonts w:hint="eastAsia" w:ascii="方正小标宋简体" w:eastAsia="方正小标宋简体"/>
          <w:sz w:val="72"/>
          <w:szCs w:val="72"/>
        </w:rPr>
      </w:pPr>
      <w:bookmarkStart w:id="2" w:name="_Toc15377425"/>
      <w:bookmarkStart w:id="3" w:name="_Toc15396475"/>
      <w:bookmarkStart w:id="4" w:name="_Toc15396597"/>
      <w:bookmarkStart w:id="5" w:name="_Toc15377193"/>
      <w:bookmarkStart w:id="6" w:name="_Toc15378441"/>
    </w:p>
    <w:p>
      <w:pPr>
        <w:jc w:val="center"/>
        <w:rPr>
          <w:rFonts w:hint="eastAsia" w:ascii="方正小标宋简体" w:eastAsia="方正小标宋简体"/>
          <w:sz w:val="72"/>
          <w:szCs w:val="72"/>
        </w:rPr>
      </w:pPr>
      <w:r>
        <w:rPr>
          <w:rFonts w:hint="eastAsia" w:ascii="方正小标宋简体" w:eastAsia="方正小标宋简体"/>
          <w:sz w:val="72"/>
          <w:szCs w:val="72"/>
        </w:rPr>
        <w:t>2020年度</w:t>
      </w:r>
      <w:bookmarkEnd w:id="2"/>
      <w:bookmarkEnd w:id="3"/>
      <w:bookmarkEnd w:id="4"/>
      <w:bookmarkEnd w:id="5"/>
      <w:bookmarkEnd w:id="6"/>
      <w:bookmarkStart w:id="7" w:name="_Toc15377426"/>
      <w:bookmarkStart w:id="8" w:name="_Toc15396476"/>
      <w:bookmarkStart w:id="9" w:name="_Toc15378442"/>
      <w:bookmarkStart w:id="10" w:name="_Toc15377194"/>
      <w:bookmarkStart w:id="11" w:name="_Toc15396598"/>
    </w:p>
    <w:p>
      <w:pPr>
        <w:jc w:val="center"/>
        <w:rPr>
          <w:rFonts w:hint="eastAsia" w:ascii="方正小标宋简体" w:eastAsia="方正小标宋简体"/>
          <w:sz w:val="72"/>
          <w:szCs w:val="72"/>
        </w:rPr>
      </w:pPr>
      <w:r>
        <w:rPr>
          <w:rFonts w:hint="eastAsia" w:ascii="方正小标宋简体" w:eastAsia="方正小标宋简体"/>
          <w:sz w:val="72"/>
          <w:szCs w:val="72"/>
        </w:rPr>
        <w:t>四川省茂县退役军人事务局</w:t>
      </w:r>
      <w:bookmarkEnd w:id="1"/>
      <w:bookmarkStart w:id="12" w:name="_Toc15306268"/>
      <w:r>
        <w:rPr>
          <w:rFonts w:hint="eastAsia" w:ascii="方正小标宋简体" w:eastAsia="方正小标宋简体"/>
          <w:sz w:val="72"/>
          <w:szCs w:val="72"/>
        </w:rPr>
        <w:t>部门决算</w:t>
      </w:r>
      <w:bookmarkEnd w:id="7"/>
      <w:bookmarkEnd w:id="8"/>
      <w:bookmarkEnd w:id="9"/>
      <w:bookmarkEnd w:id="10"/>
      <w:bookmarkEnd w:id="11"/>
      <w:bookmarkEnd w:id="12"/>
    </w:p>
    <w:p>
      <w:pPr>
        <w:jc w:val="center"/>
        <w:rPr>
          <w:rFonts w:ascii="方正小标宋简体" w:eastAsia="方正小标宋简体"/>
          <w:sz w:val="52"/>
          <w:szCs w:val="52"/>
        </w:rPr>
      </w:pPr>
    </w:p>
    <w:p>
      <w:pPr>
        <w:widowControl/>
        <w:jc w:val="center"/>
        <w:rPr>
          <w:rFonts w:ascii="方正小标宋简体" w:hAnsi="宋体" w:eastAsia="方正小标宋简体"/>
          <w:color w:val="000000"/>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autoSpaceDE w:val="0"/>
        <w:autoSpaceDN w:val="0"/>
        <w:adjustRightInd w:val="0"/>
        <w:ind w:left="420" w:left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保密审查情况：已审查，内容审定</w:t>
      </w:r>
    </w:p>
    <w:p>
      <w:pPr>
        <w:autoSpaceDE w:val="0"/>
        <w:autoSpaceDN w:val="0"/>
        <w:adjustRightInd w:val="0"/>
        <w:ind w:left="420" w:leftChars="200"/>
        <w:jc w:val="left"/>
        <w:rPr>
          <w:rFonts w:ascii="宋体" w:hAnsi="宋体"/>
          <w:sz w:val="32"/>
          <w:szCs w:val="32"/>
        </w:rPr>
      </w:pPr>
      <w:r>
        <w:rPr>
          <w:rFonts w:hint="eastAsia" w:ascii="仿宋_GB2312" w:hAnsi="仿宋_GB2312" w:eastAsia="仿宋_GB2312" w:cs="仿宋_GB2312"/>
          <w:sz w:val="32"/>
          <w:szCs w:val="32"/>
        </w:rPr>
        <w:t>部门主要负责人审签情况：已审签，同意对外公开</w:t>
      </w:r>
    </w:p>
    <w:p>
      <w:pPr>
        <w:widowControl/>
        <w:jc w:val="center"/>
        <w:rPr>
          <w:rFonts w:ascii="黑体" w:hAnsi="黑体" w:eastAsia="黑体"/>
          <w:color w:val="000000"/>
          <w:sz w:val="48"/>
          <w:szCs w:val="48"/>
        </w:rPr>
      </w:pPr>
      <w:r>
        <w:rPr>
          <w:rFonts w:ascii="方正小标宋简体" w:hAnsi="宋体" w:eastAsia="方正小标宋简体"/>
          <w:sz w:val="36"/>
          <w:szCs w:val="36"/>
        </w:rPr>
        <w:br w:type="page"/>
      </w:r>
      <w:r>
        <w:rPr>
          <w:rFonts w:hint="eastAsia" w:ascii="黑体" w:hAnsi="黑体" w:eastAsia="黑体"/>
          <w:color w:val="000000"/>
          <w:sz w:val="48"/>
          <w:szCs w:val="48"/>
        </w:rPr>
        <w:t>目录</w:t>
      </w:r>
    </w:p>
    <w:p>
      <w:pPr>
        <w:pStyle w:val="14"/>
        <w:jc w:val="center"/>
        <w:rPr>
          <w:rFonts w:hAnsiTheme="minorHAnsi"/>
          <w:b w:val="0"/>
          <w:bCs w:val="0"/>
          <w:sz w:val="24"/>
          <w:szCs w:val="24"/>
        </w:rPr>
      </w:pPr>
      <w:r>
        <w:rPr>
          <w:rFonts w:hint="eastAsia" w:hAnsiTheme="minorHAnsi"/>
          <w:b w:val="0"/>
          <w:bCs w:val="0"/>
          <w:sz w:val="24"/>
          <w:szCs w:val="24"/>
        </w:rPr>
        <w:t>公开时间：2021年 月 日</w:t>
      </w:r>
    </w:p>
    <w:p>
      <w:pPr>
        <w:pStyle w:val="14"/>
        <w:tabs>
          <w:tab w:val="right" w:leader="dot" w:pos="8296"/>
        </w:tabs>
        <w:rPr>
          <w:rFonts w:ascii="仿宋_GB2312" w:hAnsi="仿宋" w:eastAsia="仿宋_GB2312"/>
          <w:b w:val="0"/>
          <w:bCs w:val="0"/>
          <w:caps w:val="0"/>
          <w:smallCaps/>
          <w:sz w:val="32"/>
          <w:szCs w:val="32"/>
        </w:rPr>
      </w:pPr>
      <w:r>
        <w:rPr>
          <w:rFonts w:ascii="仿宋_GB2312" w:hAnsi="仿宋" w:eastAsia="仿宋_GB2312"/>
          <w:b w:val="0"/>
          <w:bCs w:val="0"/>
          <w:caps w:val="0"/>
          <w:smallCaps/>
          <w:sz w:val="32"/>
          <w:szCs w:val="32"/>
        </w:rPr>
        <w:fldChar w:fldCharType="begin"/>
      </w:r>
      <w:r>
        <w:rPr>
          <w:rFonts w:ascii="仿宋_GB2312" w:hAnsi="仿宋" w:eastAsia="仿宋_GB2312"/>
          <w:b w:val="0"/>
          <w:bCs w:val="0"/>
          <w:caps w:val="0"/>
          <w:smallCaps/>
          <w:sz w:val="32"/>
          <w:szCs w:val="32"/>
        </w:rPr>
        <w:instrText xml:space="preserve"> TOC \o \u </w:instrText>
      </w:r>
      <w:r>
        <w:rPr>
          <w:rFonts w:ascii="仿宋_GB2312" w:hAnsi="仿宋" w:eastAsia="仿宋_GB2312"/>
          <w:b w:val="0"/>
          <w:bCs w:val="0"/>
          <w:caps w:val="0"/>
          <w:smallCaps/>
          <w:sz w:val="32"/>
          <w:szCs w:val="32"/>
        </w:rPr>
        <w:fldChar w:fldCharType="separate"/>
      </w:r>
      <w:r>
        <w:rPr>
          <w:rFonts w:hint="eastAsia" w:ascii="仿宋_GB2312" w:hAnsi="仿宋_GB2312" w:eastAsia="仿宋_GB2312" w:cs="仿宋_GB2312"/>
          <w:b w:val="0"/>
          <w:bCs w:val="0"/>
          <w:caps w:val="0"/>
          <w:kern w:val="2"/>
          <w:sz w:val="32"/>
          <w:szCs w:val="32"/>
          <w:lang w:val="en-US" w:eastAsia="zh-CN" w:bidi="ar-SA"/>
        </w:rPr>
        <w:t>第一部分 部门概况</w:t>
      </w:r>
      <w:r>
        <w:rPr>
          <w:rFonts w:ascii="仿宋_GB2312" w:hAnsi="仿宋" w:eastAsia="仿宋_GB2312"/>
          <w:b w:val="0"/>
          <w:bCs w:val="0"/>
          <w:caps w:val="0"/>
          <w:smallCaps/>
          <w:sz w:val="32"/>
          <w:szCs w:val="32"/>
        </w:rPr>
        <w:tab/>
      </w:r>
      <w:r>
        <w:rPr>
          <w:rFonts w:ascii="仿宋_GB2312" w:hAnsi="仿宋" w:eastAsia="仿宋_GB2312"/>
          <w:b w:val="0"/>
          <w:bCs w:val="0"/>
          <w:caps w:val="0"/>
          <w:smallCaps/>
          <w:sz w:val="32"/>
          <w:szCs w:val="32"/>
        </w:rPr>
        <w:fldChar w:fldCharType="begin"/>
      </w:r>
      <w:r>
        <w:rPr>
          <w:rFonts w:ascii="仿宋_GB2312" w:hAnsi="仿宋" w:eastAsia="仿宋_GB2312"/>
          <w:b w:val="0"/>
          <w:bCs w:val="0"/>
          <w:caps w:val="0"/>
          <w:smallCaps/>
          <w:sz w:val="32"/>
          <w:szCs w:val="32"/>
        </w:rPr>
        <w:instrText xml:space="preserve"> PAGEREF _Toc82764197 \h </w:instrText>
      </w:r>
      <w:r>
        <w:rPr>
          <w:rFonts w:ascii="仿宋_GB2312" w:hAnsi="仿宋" w:eastAsia="仿宋_GB2312"/>
          <w:b w:val="0"/>
          <w:bCs w:val="0"/>
          <w:caps w:val="0"/>
          <w:smallCaps/>
          <w:sz w:val="32"/>
          <w:szCs w:val="32"/>
        </w:rPr>
        <w:fldChar w:fldCharType="separate"/>
      </w:r>
      <w:r>
        <w:rPr>
          <w:rFonts w:ascii="仿宋_GB2312" w:hAnsi="仿宋" w:eastAsia="仿宋_GB2312"/>
          <w:b w:val="0"/>
          <w:bCs w:val="0"/>
          <w:caps w:val="0"/>
          <w:smallCaps/>
          <w:sz w:val="32"/>
          <w:szCs w:val="32"/>
        </w:rPr>
        <w:t>5</w:t>
      </w:r>
      <w:r>
        <w:rPr>
          <w:rFonts w:ascii="仿宋_GB2312" w:hAnsi="仿宋" w:eastAsia="仿宋_GB2312"/>
          <w:b w:val="0"/>
          <w:bCs w:val="0"/>
          <w:caps w:val="0"/>
          <w:smallCaps/>
          <w:sz w:val="32"/>
          <w:szCs w:val="32"/>
        </w:rPr>
        <w:fldChar w:fldCharType="end"/>
      </w:r>
    </w:p>
    <w:p>
      <w:pPr>
        <w:pStyle w:val="14"/>
        <w:tabs>
          <w:tab w:val="right" w:leader="dot" w:pos="8296"/>
        </w:tabs>
        <w:rPr>
          <w:rFonts w:ascii="仿宋_GB2312" w:hAnsi="仿宋" w:eastAsia="仿宋_GB2312"/>
          <w:b w:val="0"/>
          <w:bCs w:val="0"/>
          <w:caps w:val="0"/>
          <w:smallCaps/>
          <w:sz w:val="32"/>
          <w:szCs w:val="32"/>
        </w:rPr>
      </w:pPr>
      <w:r>
        <w:rPr>
          <w:rFonts w:hint="eastAsia" w:ascii="仿宋_GB2312" w:hAnsi="仿宋" w:eastAsia="仿宋_GB2312"/>
          <w:b w:val="0"/>
          <w:bCs w:val="0"/>
          <w:caps w:val="0"/>
          <w:smallCaps/>
          <w:sz w:val="32"/>
          <w:szCs w:val="32"/>
        </w:rPr>
        <w:t>一、基本职能及主要工作</w:t>
      </w:r>
      <w:r>
        <w:rPr>
          <w:rFonts w:ascii="仿宋_GB2312" w:hAnsi="仿宋" w:eastAsia="仿宋_GB2312"/>
          <w:b w:val="0"/>
          <w:bCs w:val="0"/>
          <w:caps w:val="0"/>
          <w:smallCaps/>
          <w:sz w:val="32"/>
          <w:szCs w:val="32"/>
        </w:rPr>
        <w:tab/>
      </w:r>
      <w:r>
        <w:rPr>
          <w:rFonts w:ascii="仿宋_GB2312" w:hAnsi="仿宋" w:eastAsia="仿宋_GB2312"/>
          <w:b w:val="0"/>
          <w:bCs w:val="0"/>
          <w:caps w:val="0"/>
          <w:smallCaps/>
          <w:sz w:val="32"/>
          <w:szCs w:val="32"/>
        </w:rPr>
        <w:fldChar w:fldCharType="begin"/>
      </w:r>
      <w:r>
        <w:rPr>
          <w:rFonts w:ascii="仿宋_GB2312" w:hAnsi="仿宋" w:eastAsia="仿宋_GB2312"/>
          <w:b w:val="0"/>
          <w:bCs w:val="0"/>
          <w:caps w:val="0"/>
          <w:smallCaps/>
          <w:sz w:val="32"/>
          <w:szCs w:val="32"/>
        </w:rPr>
        <w:instrText xml:space="preserve"> PAGEREF _Toc82764198 \h </w:instrText>
      </w:r>
      <w:r>
        <w:rPr>
          <w:rFonts w:ascii="仿宋_GB2312" w:hAnsi="仿宋" w:eastAsia="仿宋_GB2312"/>
          <w:b w:val="0"/>
          <w:bCs w:val="0"/>
          <w:caps w:val="0"/>
          <w:smallCaps/>
          <w:sz w:val="32"/>
          <w:szCs w:val="32"/>
        </w:rPr>
        <w:fldChar w:fldCharType="separate"/>
      </w:r>
      <w:r>
        <w:rPr>
          <w:rFonts w:ascii="仿宋_GB2312" w:hAnsi="仿宋" w:eastAsia="仿宋_GB2312"/>
          <w:b w:val="0"/>
          <w:bCs w:val="0"/>
          <w:caps w:val="0"/>
          <w:smallCaps/>
          <w:sz w:val="32"/>
          <w:szCs w:val="32"/>
        </w:rPr>
        <w:t>5</w:t>
      </w:r>
      <w:r>
        <w:rPr>
          <w:rFonts w:ascii="仿宋_GB2312" w:hAnsi="仿宋" w:eastAsia="仿宋_GB2312"/>
          <w:b w:val="0"/>
          <w:bCs w:val="0"/>
          <w:caps w:val="0"/>
          <w:smallCaps/>
          <w:sz w:val="32"/>
          <w:szCs w:val="32"/>
        </w:rPr>
        <w:fldChar w:fldCharType="end"/>
      </w:r>
    </w:p>
    <w:p>
      <w:pPr>
        <w:pStyle w:val="14"/>
        <w:tabs>
          <w:tab w:val="right" w:leader="dot" w:pos="8296"/>
        </w:tabs>
        <w:rPr>
          <w:rFonts w:ascii="仿宋_GB2312" w:hAnsi="仿宋" w:eastAsia="仿宋_GB2312"/>
          <w:b w:val="0"/>
          <w:bCs w:val="0"/>
          <w:caps w:val="0"/>
          <w:smallCaps/>
          <w:sz w:val="32"/>
          <w:szCs w:val="32"/>
        </w:rPr>
      </w:pPr>
      <w:r>
        <w:rPr>
          <w:rFonts w:hint="eastAsia" w:ascii="仿宋_GB2312" w:hAnsi="仿宋" w:eastAsia="仿宋_GB2312"/>
          <w:b w:val="0"/>
          <w:bCs w:val="0"/>
          <w:caps w:val="0"/>
          <w:smallCaps/>
          <w:sz w:val="32"/>
          <w:szCs w:val="32"/>
        </w:rPr>
        <w:t>（一）</w:t>
      </w:r>
      <w:r>
        <w:rPr>
          <w:rFonts w:ascii="仿宋_GB2312" w:hAnsi="仿宋" w:eastAsia="仿宋_GB2312"/>
          <w:b w:val="0"/>
          <w:bCs w:val="0"/>
          <w:caps w:val="0"/>
          <w:smallCaps/>
          <w:sz w:val="32"/>
          <w:szCs w:val="32"/>
        </w:rPr>
        <w:t>2020</w:t>
      </w:r>
      <w:r>
        <w:rPr>
          <w:rFonts w:hint="eastAsia" w:ascii="仿宋_GB2312" w:hAnsi="仿宋" w:eastAsia="仿宋_GB2312"/>
          <w:b w:val="0"/>
          <w:bCs w:val="0"/>
          <w:caps w:val="0"/>
          <w:smallCaps/>
          <w:sz w:val="32"/>
          <w:szCs w:val="32"/>
        </w:rPr>
        <w:t>年重点工作完成情况</w:t>
      </w:r>
      <w:r>
        <w:rPr>
          <w:rFonts w:ascii="仿宋_GB2312" w:hAnsi="仿宋" w:eastAsia="仿宋_GB2312"/>
          <w:b w:val="0"/>
          <w:bCs w:val="0"/>
          <w:caps w:val="0"/>
          <w:smallCaps/>
          <w:sz w:val="32"/>
          <w:szCs w:val="32"/>
        </w:rPr>
        <w:tab/>
      </w:r>
      <w:r>
        <w:rPr>
          <w:rFonts w:ascii="仿宋_GB2312" w:hAnsi="仿宋" w:eastAsia="仿宋_GB2312"/>
          <w:b w:val="0"/>
          <w:bCs w:val="0"/>
          <w:caps w:val="0"/>
          <w:smallCaps/>
          <w:sz w:val="32"/>
          <w:szCs w:val="32"/>
        </w:rPr>
        <w:fldChar w:fldCharType="begin"/>
      </w:r>
      <w:r>
        <w:rPr>
          <w:rFonts w:ascii="仿宋_GB2312" w:hAnsi="仿宋" w:eastAsia="仿宋_GB2312"/>
          <w:b w:val="0"/>
          <w:bCs w:val="0"/>
          <w:caps w:val="0"/>
          <w:smallCaps/>
          <w:sz w:val="32"/>
          <w:szCs w:val="32"/>
        </w:rPr>
        <w:instrText xml:space="preserve"> PAGEREF _Toc82764199 \h </w:instrText>
      </w:r>
      <w:r>
        <w:rPr>
          <w:rFonts w:ascii="仿宋_GB2312" w:hAnsi="仿宋" w:eastAsia="仿宋_GB2312"/>
          <w:b w:val="0"/>
          <w:bCs w:val="0"/>
          <w:caps w:val="0"/>
          <w:smallCaps/>
          <w:sz w:val="32"/>
          <w:szCs w:val="32"/>
        </w:rPr>
        <w:fldChar w:fldCharType="separate"/>
      </w:r>
      <w:r>
        <w:rPr>
          <w:rFonts w:ascii="仿宋_GB2312" w:hAnsi="仿宋" w:eastAsia="仿宋_GB2312"/>
          <w:b w:val="0"/>
          <w:bCs w:val="0"/>
          <w:caps w:val="0"/>
          <w:smallCaps/>
          <w:sz w:val="32"/>
          <w:szCs w:val="32"/>
        </w:rPr>
        <w:t>5</w:t>
      </w:r>
      <w:r>
        <w:rPr>
          <w:rFonts w:ascii="仿宋_GB2312" w:hAnsi="仿宋" w:eastAsia="仿宋_GB2312"/>
          <w:b w:val="0"/>
          <w:bCs w:val="0"/>
          <w:caps w:val="0"/>
          <w:smallCaps/>
          <w:sz w:val="32"/>
          <w:szCs w:val="32"/>
        </w:rPr>
        <w:fldChar w:fldCharType="end"/>
      </w:r>
    </w:p>
    <w:p>
      <w:pPr>
        <w:pStyle w:val="14"/>
        <w:tabs>
          <w:tab w:val="right" w:leader="dot" w:pos="8296"/>
        </w:tabs>
        <w:rPr>
          <w:rFonts w:ascii="仿宋_GB2312" w:hAnsi="仿宋" w:eastAsia="仿宋_GB2312"/>
          <w:b w:val="0"/>
          <w:bCs w:val="0"/>
          <w:caps w:val="0"/>
          <w:smallCaps/>
          <w:sz w:val="32"/>
          <w:szCs w:val="32"/>
        </w:rPr>
      </w:pPr>
      <w:r>
        <w:rPr>
          <w:rFonts w:hint="eastAsia" w:ascii="仿宋_GB2312" w:hAnsi="仿宋" w:eastAsia="仿宋_GB2312"/>
          <w:b w:val="0"/>
          <w:bCs w:val="0"/>
          <w:caps w:val="0"/>
          <w:smallCaps/>
          <w:sz w:val="32"/>
          <w:szCs w:val="32"/>
        </w:rPr>
        <w:t>二、机构设置</w:t>
      </w:r>
      <w:r>
        <w:rPr>
          <w:rFonts w:ascii="仿宋_GB2312" w:hAnsi="仿宋" w:eastAsia="仿宋_GB2312"/>
          <w:b w:val="0"/>
          <w:bCs w:val="0"/>
          <w:caps w:val="0"/>
          <w:smallCaps/>
          <w:sz w:val="32"/>
          <w:szCs w:val="32"/>
        </w:rPr>
        <w:tab/>
      </w:r>
      <w:r>
        <w:rPr>
          <w:rFonts w:ascii="仿宋_GB2312" w:hAnsi="仿宋" w:eastAsia="仿宋_GB2312"/>
          <w:b w:val="0"/>
          <w:bCs w:val="0"/>
          <w:caps w:val="0"/>
          <w:smallCaps/>
          <w:sz w:val="32"/>
          <w:szCs w:val="32"/>
        </w:rPr>
        <w:fldChar w:fldCharType="begin"/>
      </w:r>
      <w:r>
        <w:rPr>
          <w:rFonts w:ascii="仿宋_GB2312" w:hAnsi="仿宋" w:eastAsia="仿宋_GB2312"/>
          <w:b w:val="0"/>
          <w:bCs w:val="0"/>
          <w:caps w:val="0"/>
          <w:smallCaps/>
          <w:sz w:val="32"/>
          <w:szCs w:val="32"/>
        </w:rPr>
        <w:instrText xml:space="preserve"> PAGEREF _Toc82764200 \h </w:instrText>
      </w:r>
      <w:r>
        <w:rPr>
          <w:rFonts w:ascii="仿宋_GB2312" w:hAnsi="仿宋" w:eastAsia="仿宋_GB2312"/>
          <w:b w:val="0"/>
          <w:bCs w:val="0"/>
          <w:caps w:val="0"/>
          <w:smallCaps/>
          <w:sz w:val="32"/>
          <w:szCs w:val="32"/>
        </w:rPr>
        <w:fldChar w:fldCharType="separate"/>
      </w:r>
      <w:r>
        <w:rPr>
          <w:rFonts w:ascii="仿宋_GB2312" w:hAnsi="仿宋" w:eastAsia="仿宋_GB2312"/>
          <w:b w:val="0"/>
          <w:bCs w:val="0"/>
          <w:caps w:val="0"/>
          <w:smallCaps/>
          <w:sz w:val="32"/>
          <w:szCs w:val="32"/>
        </w:rPr>
        <w:t>10</w:t>
      </w:r>
      <w:r>
        <w:rPr>
          <w:rFonts w:ascii="仿宋_GB2312" w:hAnsi="仿宋" w:eastAsia="仿宋_GB2312"/>
          <w:b w:val="0"/>
          <w:bCs w:val="0"/>
          <w:caps w:val="0"/>
          <w:smallCaps/>
          <w:sz w:val="32"/>
          <w:szCs w:val="32"/>
        </w:rPr>
        <w:fldChar w:fldCharType="end"/>
      </w:r>
    </w:p>
    <w:p>
      <w:pPr>
        <w:pStyle w:val="14"/>
        <w:tabs>
          <w:tab w:val="right" w:leader="dot" w:pos="8296"/>
        </w:tabs>
        <w:rPr>
          <w:rFonts w:ascii="仿宋_GB2312" w:hAnsi="仿宋" w:eastAsia="仿宋_GB2312"/>
          <w:b w:val="0"/>
          <w:bCs w:val="0"/>
          <w:caps w:val="0"/>
          <w:smallCaps/>
          <w:sz w:val="32"/>
          <w:szCs w:val="32"/>
        </w:rPr>
      </w:pPr>
      <w:r>
        <w:rPr>
          <w:rFonts w:ascii="仿宋_GB2312" w:hAnsi="仿宋" w:eastAsia="仿宋_GB2312"/>
          <w:b w:val="0"/>
          <w:bCs w:val="0"/>
          <w:caps w:val="0"/>
          <w:smallCaps/>
          <w:sz w:val="32"/>
          <w:szCs w:val="32"/>
        </w:rPr>
        <w:t>1.</w:t>
      </w:r>
      <w:r>
        <w:rPr>
          <w:rFonts w:hint="eastAsia" w:ascii="仿宋_GB2312" w:hAnsi="仿宋" w:eastAsia="仿宋_GB2312"/>
          <w:b w:val="0"/>
          <w:bCs w:val="0"/>
          <w:caps w:val="0"/>
          <w:smallCaps/>
          <w:sz w:val="32"/>
          <w:szCs w:val="32"/>
        </w:rPr>
        <w:t>茂县退役军人服务中心</w:t>
      </w:r>
      <w:r>
        <w:rPr>
          <w:rFonts w:ascii="仿宋_GB2312" w:hAnsi="仿宋" w:eastAsia="仿宋_GB2312"/>
          <w:b w:val="0"/>
          <w:bCs w:val="0"/>
          <w:caps w:val="0"/>
          <w:smallCaps/>
          <w:sz w:val="32"/>
          <w:szCs w:val="32"/>
        </w:rPr>
        <w:tab/>
      </w:r>
      <w:r>
        <w:rPr>
          <w:rFonts w:ascii="仿宋_GB2312" w:hAnsi="仿宋" w:eastAsia="仿宋_GB2312"/>
          <w:b w:val="0"/>
          <w:bCs w:val="0"/>
          <w:caps w:val="0"/>
          <w:smallCaps/>
          <w:sz w:val="32"/>
          <w:szCs w:val="32"/>
        </w:rPr>
        <w:fldChar w:fldCharType="begin"/>
      </w:r>
      <w:r>
        <w:rPr>
          <w:rFonts w:ascii="仿宋_GB2312" w:hAnsi="仿宋" w:eastAsia="仿宋_GB2312"/>
          <w:b w:val="0"/>
          <w:bCs w:val="0"/>
          <w:caps w:val="0"/>
          <w:smallCaps/>
          <w:sz w:val="32"/>
          <w:szCs w:val="32"/>
        </w:rPr>
        <w:instrText xml:space="preserve"> PAGEREF _Toc82764201 \h </w:instrText>
      </w:r>
      <w:r>
        <w:rPr>
          <w:rFonts w:ascii="仿宋_GB2312" w:hAnsi="仿宋" w:eastAsia="仿宋_GB2312"/>
          <w:b w:val="0"/>
          <w:bCs w:val="0"/>
          <w:caps w:val="0"/>
          <w:smallCaps/>
          <w:sz w:val="32"/>
          <w:szCs w:val="32"/>
        </w:rPr>
        <w:fldChar w:fldCharType="separate"/>
      </w:r>
      <w:r>
        <w:rPr>
          <w:rFonts w:ascii="仿宋_GB2312" w:hAnsi="仿宋" w:eastAsia="仿宋_GB2312"/>
          <w:b w:val="0"/>
          <w:bCs w:val="0"/>
          <w:caps w:val="0"/>
          <w:smallCaps/>
          <w:sz w:val="32"/>
          <w:szCs w:val="32"/>
        </w:rPr>
        <w:t>10</w:t>
      </w:r>
      <w:r>
        <w:rPr>
          <w:rFonts w:ascii="仿宋_GB2312" w:hAnsi="仿宋" w:eastAsia="仿宋_GB2312"/>
          <w:b w:val="0"/>
          <w:bCs w:val="0"/>
          <w:caps w:val="0"/>
          <w:smallCaps/>
          <w:sz w:val="32"/>
          <w:szCs w:val="32"/>
        </w:rPr>
        <w:fldChar w:fldCharType="end"/>
      </w:r>
    </w:p>
    <w:p>
      <w:pPr>
        <w:pStyle w:val="14"/>
        <w:tabs>
          <w:tab w:val="right" w:leader="dot" w:pos="8296"/>
        </w:tabs>
        <w:rPr>
          <w:rFonts w:ascii="仿宋_GB2312" w:hAnsi="仿宋" w:eastAsia="仿宋_GB2312"/>
          <w:b w:val="0"/>
          <w:bCs w:val="0"/>
          <w:caps w:val="0"/>
          <w:smallCaps/>
          <w:sz w:val="32"/>
          <w:szCs w:val="32"/>
        </w:rPr>
      </w:pPr>
      <w:r>
        <w:rPr>
          <w:rFonts w:hint="eastAsia" w:ascii="仿宋_GB2312" w:hAnsi="仿宋" w:eastAsia="仿宋_GB2312"/>
          <w:b w:val="0"/>
          <w:bCs w:val="0"/>
          <w:caps w:val="0"/>
          <w:smallCaps/>
          <w:sz w:val="32"/>
          <w:szCs w:val="32"/>
        </w:rPr>
        <w:t>第二部分</w:t>
      </w:r>
      <w:r>
        <w:rPr>
          <w:rFonts w:ascii="仿宋_GB2312" w:hAnsi="仿宋" w:eastAsia="仿宋_GB2312"/>
          <w:b w:val="0"/>
          <w:bCs w:val="0"/>
          <w:caps w:val="0"/>
          <w:smallCaps/>
          <w:sz w:val="32"/>
          <w:szCs w:val="32"/>
        </w:rPr>
        <w:t xml:space="preserve"> 2020</w:t>
      </w:r>
      <w:r>
        <w:rPr>
          <w:rFonts w:hint="eastAsia" w:ascii="仿宋_GB2312" w:hAnsi="仿宋" w:eastAsia="仿宋_GB2312"/>
          <w:b w:val="0"/>
          <w:bCs w:val="0"/>
          <w:caps w:val="0"/>
          <w:smallCaps/>
          <w:sz w:val="32"/>
          <w:szCs w:val="32"/>
        </w:rPr>
        <w:t>年度部门决算情况说明</w:t>
      </w:r>
      <w:r>
        <w:rPr>
          <w:rFonts w:ascii="仿宋_GB2312" w:hAnsi="仿宋" w:eastAsia="仿宋_GB2312"/>
          <w:b w:val="0"/>
          <w:bCs w:val="0"/>
          <w:caps w:val="0"/>
          <w:smallCaps/>
          <w:sz w:val="32"/>
          <w:szCs w:val="32"/>
        </w:rPr>
        <w:tab/>
      </w:r>
      <w:r>
        <w:rPr>
          <w:rFonts w:ascii="仿宋_GB2312" w:hAnsi="仿宋" w:eastAsia="仿宋_GB2312"/>
          <w:b w:val="0"/>
          <w:bCs w:val="0"/>
          <w:caps w:val="0"/>
          <w:smallCaps/>
          <w:sz w:val="32"/>
          <w:szCs w:val="32"/>
        </w:rPr>
        <w:fldChar w:fldCharType="begin"/>
      </w:r>
      <w:r>
        <w:rPr>
          <w:rFonts w:ascii="仿宋_GB2312" w:hAnsi="仿宋" w:eastAsia="仿宋_GB2312"/>
          <w:b w:val="0"/>
          <w:bCs w:val="0"/>
          <w:caps w:val="0"/>
          <w:smallCaps/>
          <w:sz w:val="32"/>
          <w:szCs w:val="32"/>
        </w:rPr>
        <w:instrText xml:space="preserve"> PAGEREF _Toc82764202 \h </w:instrText>
      </w:r>
      <w:r>
        <w:rPr>
          <w:rFonts w:ascii="仿宋_GB2312" w:hAnsi="仿宋" w:eastAsia="仿宋_GB2312"/>
          <w:b w:val="0"/>
          <w:bCs w:val="0"/>
          <w:caps w:val="0"/>
          <w:smallCaps/>
          <w:sz w:val="32"/>
          <w:szCs w:val="32"/>
        </w:rPr>
        <w:fldChar w:fldCharType="separate"/>
      </w:r>
      <w:r>
        <w:rPr>
          <w:rFonts w:ascii="仿宋_GB2312" w:hAnsi="仿宋" w:eastAsia="仿宋_GB2312"/>
          <w:b w:val="0"/>
          <w:bCs w:val="0"/>
          <w:caps w:val="0"/>
          <w:smallCaps/>
          <w:sz w:val="32"/>
          <w:szCs w:val="32"/>
        </w:rPr>
        <w:t>11</w:t>
      </w:r>
      <w:r>
        <w:rPr>
          <w:rFonts w:ascii="仿宋_GB2312" w:hAnsi="仿宋" w:eastAsia="仿宋_GB2312"/>
          <w:b w:val="0"/>
          <w:bCs w:val="0"/>
          <w:caps w:val="0"/>
          <w:smallCaps/>
          <w:sz w:val="32"/>
          <w:szCs w:val="32"/>
        </w:rPr>
        <w:fldChar w:fldCharType="end"/>
      </w:r>
    </w:p>
    <w:p>
      <w:pPr>
        <w:pStyle w:val="14"/>
        <w:tabs>
          <w:tab w:val="right" w:leader="dot" w:pos="8296"/>
        </w:tabs>
        <w:rPr>
          <w:rFonts w:ascii="仿宋_GB2312" w:hAnsi="仿宋" w:eastAsia="仿宋_GB2312"/>
          <w:b w:val="0"/>
          <w:bCs w:val="0"/>
          <w:caps w:val="0"/>
          <w:smallCaps/>
          <w:sz w:val="32"/>
          <w:szCs w:val="32"/>
        </w:rPr>
      </w:pPr>
      <w:r>
        <w:rPr>
          <w:rFonts w:hint="eastAsia" w:ascii="仿宋_GB2312" w:hAnsi="仿宋" w:eastAsia="仿宋_GB2312"/>
          <w:b w:val="0"/>
          <w:bCs w:val="0"/>
          <w:caps w:val="0"/>
          <w:smallCaps/>
          <w:sz w:val="32"/>
          <w:szCs w:val="32"/>
        </w:rPr>
        <w:t>一、收入支出决算总体情况说明</w:t>
      </w:r>
      <w:r>
        <w:rPr>
          <w:rFonts w:ascii="仿宋_GB2312" w:hAnsi="仿宋" w:eastAsia="仿宋_GB2312"/>
          <w:b w:val="0"/>
          <w:bCs w:val="0"/>
          <w:caps w:val="0"/>
          <w:smallCaps/>
          <w:sz w:val="32"/>
          <w:szCs w:val="32"/>
        </w:rPr>
        <w:tab/>
      </w:r>
      <w:r>
        <w:rPr>
          <w:rFonts w:ascii="仿宋_GB2312" w:hAnsi="仿宋" w:eastAsia="仿宋_GB2312"/>
          <w:b w:val="0"/>
          <w:bCs w:val="0"/>
          <w:caps w:val="0"/>
          <w:smallCaps/>
          <w:sz w:val="32"/>
          <w:szCs w:val="32"/>
        </w:rPr>
        <w:fldChar w:fldCharType="begin"/>
      </w:r>
      <w:r>
        <w:rPr>
          <w:rFonts w:ascii="仿宋_GB2312" w:hAnsi="仿宋" w:eastAsia="仿宋_GB2312"/>
          <w:b w:val="0"/>
          <w:bCs w:val="0"/>
          <w:caps w:val="0"/>
          <w:smallCaps/>
          <w:sz w:val="32"/>
          <w:szCs w:val="32"/>
        </w:rPr>
        <w:instrText xml:space="preserve"> PAGEREF _Toc82764203 \h </w:instrText>
      </w:r>
      <w:r>
        <w:rPr>
          <w:rFonts w:ascii="仿宋_GB2312" w:hAnsi="仿宋" w:eastAsia="仿宋_GB2312"/>
          <w:b w:val="0"/>
          <w:bCs w:val="0"/>
          <w:caps w:val="0"/>
          <w:smallCaps/>
          <w:sz w:val="32"/>
          <w:szCs w:val="32"/>
        </w:rPr>
        <w:fldChar w:fldCharType="separate"/>
      </w:r>
      <w:r>
        <w:rPr>
          <w:rFonts w:ascii="仿宋_GB2312" w:hAnsi="仿宋" w:eastAsia="仿宋_GB2312"/>
          <w:b w:val="0"/>
          <w:bCs w:val="0"/>
          <w:caps w:val="0"/>
          <w:smallCaps/>
          <w:sz w:val="32"/>
          <w:szCs w:val="32"/>
        </w:rPr>
        <w:t>11</w:t>
      </w:r>
      <w:r>
        <w:rPr>
          <w:rFonts w:ascii="仿宋_GB2312" w:hAnsi="仿宋" w:eastAsia="仿宋_GB2312"/>
          <w:b w:val="0"/>
          <w:bCs w:val="0"/>
          <w:caps w:val="0"/>
          <w:smallCaps/>
          <w:sz w:val="32"/>
          <w:szCs w:val="32"/>
        </w:rPr>
        <w:fldChar w:fldCharType="end"/>
      </w:r>
    </w:p>
    <w:p>
      <w:pPr>
        <w:pStyle w:val="14"/>
        <w:tabs>
          <w:tab w:val="right" w:leader="dot" w:pos="8296"/>
        </w:tabs>
        <w:rPr>
          <w:rFonts w:ascii="仿宋_GB2312" w:hAnsi="仿宋" w:eastAsia="仿宋_GB2312"/>
          <w:b w:val="0"/>
          <w:bCs w:val="0"/>
          <w:caps w:val="0"/>
          <w:smallCaps/>
          <w:sz w:val="32"/>
          <w:szCs w:val="32"/>
        </w:rPr>
      </w:pPr>
      <w:r>
        <w:rPr>
          <w:rFonts w:hint="eastAsia" w:ascii="仿宋_GB2312" w:hAnsi="仿宋" w:eastAsia="仿宋_GB2312"/>
          <w:b w:val="0"/>
          <w:bCs w:val="0"/>
          <w:caps w:val="0"/>
          <w:smallCaps/>
          <w:sz w:val="32"/>
          <w:szCs w:val="32"/>
        </w:rPr>
        <w:t>二、收入决算情况说明</w:t>
      </w:r>
      <w:r>
        <w:rPr>
          <w:rFonts w:ascii="仿宋_GB2312" w:hAnsi="仿宋" w:eastAsia="仿宋_GB2312"/>
          <w:b w:val="0"/>
          <w:bCs w:val="0"/>
          <w:caps w:val="0"/>
          <w:smallCaps/>
          <w:sz w:val="32"/>
          <w:szCs w:val="32"/>
        </w:rPr>
        <w:tab/>
      </w:r>
      <w:r>
        <w:rPr>
          <w:rFonts w:ascii="仿宋_GB2312" w:hAnsi="仿宋" w:eastAsia="仿宋_GB2312"/>
          <w:b w:val="0"/>
          <w:bCs w:val="0"/>
          <w:caps w:val="0"/>
          <w:smallCaps/>
          <w:sz w:val="32"/>
          <w:szCs w:val="32"/>
        </w:rPr>
        <w:fldChar w:fldCharType="begin"/>
      </w:r>
      <w:r>
        <w:rPr>
          <w:rFonts w:ascii="仿宋_GB2312" w:hAnsi="仿宋" w:eastAsia="仿宋_GB2312"/>
          <w:b w:val="0"/>
          <w:bCs w:val="0"/>
          <w:caps w:val="0"/>
          <w:smallCaps/>
          <w:sz w:val="32"/>
          <w:szCs w:val="32"/>
        </w:rPr>
        <w:instrText xml:space="preserve"> PAGEREF _Toc82764205 \h </w:instrText>
      </w:r>
      <w:r>
        <w:rPr>
          <w:rFonts w:ascii="仿宋_GB2312" w:hAnsi="仿宋" w:eastAsia="仿宋_GB2312"/>
          <w:b w:val="0"/>
          <w:bCs w:val="0"/>
          <w:caps w:val="0"/>
          <w:smallCaps/>
          <w:sz w:val="32"/>
          <w:szCs w:val="32"/>
        </w:rPr>
        <w:fldChar w:fldCharType="separate"/>
      </w:r>
      <w:r>
        <w:rPr>
          <w:rFonts w:ascii="仿宋_GB2312" w:hAnsi="仿宋" w:eastAsia="仿宋_GB2312"/>
          <w:b w:val="0"/>
          <w:bCs w:val="0"/>
          <w:caps w:val="0"/>
          <w:smallCaps/>
          <w:sz w:val="32"/>
          <w:szCs w:val="32"/>
        </w:rPr>
        <w:t>12</w:t>
      </w:r>
      <w:r>
        <w:rPr>
          <w:rFonts w:ascii="仿宋_GB2312" w:hAnsi="仿宋" w:eastAsia="仿宋_GB2312"/>
          <w:b w:val="0"/>
          <w:bCs w:val="0"/>
          <w:caps w:val="0"/>
          <w:smallCaps/>
          <w:sz w:val="32"/>
          <w:szCs w:val="32"/>
        </w:rPr>
        <w:fldChar w:fldCharType="end"/>
      </w:r>
    </w:p>
    <w:p>
      <w:pPr>
        <w:pStyle w:val="14"/>
        <w:tabs>
          <w:tab w:val="right" w:leader="dot" w:pos="8296"/>
        </w:tabs>
        <w:rPr>
          <w:rFonts w:ascii="仿宋_GB2312" w:hAnsi="仿宋" w:eastAsia="仿宋_GB2312"/>
          <w:b w:val="0"/>
          <w:bCs w:val="0"/>
          <w:caps w:val="0"/>
          <w:smallCaps/>
          <w:sz w:val="32"/>
          <w:szCs w:val="32"/>
        </w:rPr>
      </w:pPr>
      <w:r>
        <w:rPr>
          <w:rFonts w:hint="eastAsia" w:ascii="仿宋_GB2312" w:hAnsi="仿宋" w:eastAsia="仿宋_GB2312"/>
          <w:b w:val="0"/>
          <w:bCs w:val="0"/>
          <w:caps w:val="0"/>
          <w:smallCaps/>
          <w:sz w:val="32"/>
          <w:szCs w:val="32"/>
        </w:rPr>
        <w:t>三、支出决算情况说明</w:t>
      </w:r>
      <w:r>
        <w:rPr>
          <w:rFonts w:ascii="仿宋_GB2312" w:hAnsi="仿宋" w:eastAsia="仿宋_GB2312"/>
          <w:b w:val="0"/>
          <w:bCs w:val="0"/>
          <w:caps w:val="0"/>
          <w:smallCaps/>
          <w:sz w:val="32"/>
          <w:szCs w:val="32"/>
        </w:rPr>
        <w:tab/>
      </w:r>
      <w:r>
        <w:rPr>
          <w:rFonts w:ascii="仿宋_GB2312" w:hAnsi="仿宋" w:eastAsia="仿宋_GB2312"/>
          <w:b w:val="0"/>
          <w:bCs w:val="0"/>
          <w:caps w:val="0"/>
          <w:smallCaps/>
          <w:sz w:val="32"/>
          <w:szCs w:val="32"/>
        </w:rPr>
        <w:fldChar w:fldCharType="begin"/>
      </w:r>
      <w:r>
        <w:rPr>
          <w:rFonts w:ascii="仿宋_GB2312" w:hAnsi="仿宋" w:eastAsia="仿宋_GB2312"/>
          <w:b w:val="0"/>
          <w:bCs w:val="0"/>
          <w:caps w:val="0"/>
          <w:smallCaps/>
          <w:sz w:val="32"/>
          <w:szCs w:val="32"/>
        </w:rPr>
        <w:instrText xml:space="preserve"> PAGEREF _Toc82764206 \h </w:instrText>
      </w:r>
      <w:r>
        <w:rPr>
          <w:rFonts w:ascii="仿宋_GB2312" w:hAnsi="仿宋" w:eastAsia="仿宋_GB2312"/>
          <w:b w:val="0"/>
          <w:bCs w:val="0"/>
          <w:caps w:val="0"/>
          <w:smallCaps/>
          <w:sz w:val="32"/>
          <w:szCs w:val="32"/>
        </w:rPr>
        <w:fldChar w:fldCharType="separate"/>
      </w:r>
      <w:r>
        <w:rPr>
          <w:rFonts w:ascii="仿宋_GB2312" w:hAnsi="仿宋" w:eastAsia="仿宋_GB2312"/>
          <w:b w:val="0"/>
          <w:bCs w:val="0"/>
          <w:caps w:val="0"/>
          <w:smallCaps/>
          <w:sz w:val="32"/>
          <w:szCs w:val="32"/>
        </w:rPr>
        <w:t>12</w:t>
      </w:r>
      <w:r>
        <w:rPr>
          <w:rFonts w:ascii="仿宋_GB2312" w:hAnsi="仿宋" w:eastAsia="仿宋_GB2312"/>
          <w:b w:val="0"/>
          <w:bCs w:val="0"/>
          <w:caps w:val="0"/>
          <w:smallCaps/>
          <w:sz w:val="32"/>
          <w:szCs w:val="32"/>
        </w:rPr>
        <w:fldChar w:fldCharType="end"/>
      </w:r>
    </w:p>
    <w:p>
      <w:pPr>
        <w:pStyle w:val="14"/>
        <w:tabs>
          <w:tab w:val="right" w:leader="dot" w:pos="8296"/>
        </w:tabs>
        <w:rPr>
          <w:rFonts w:ascii="仿宋_GB2312" w:hAnsi="仿宋" w:eastAsia="仿宋_GB2312"/>
          <w:b w:val="0"/>
          <w:bCs w:val="0"/>
          <w:caps w:val="0"/>
          <w:smallCaps/>
          <w:sz w:val="32"/>
          <w:szCs w:val="32"/>
        </w:rPr>
      </w:pPr>
      <w:r>
        <w:rPr>
          <w:rFonts w:hint="eastAsia" w:ascii="仿宋_GB2312" w:hAnsi="仿宋" w:eastAsia="仿宋_GB2312"/>
          <w:b w:val="0"/>
          <w:bCs w:val="0"/>
          <w:caps w:val="0"/>
          <w:smallCaps/>
          <w:sz w:val="32"/>
          <w:szCs w:val="32"/>
        </w:rPr>
        <w:t>四、财政拨款收入支出决算总体情况说明</w:t>
      </w:r>
      <w:r>
        <w:rPr>
          <w:rFonts w:ascii="仿宋_GB2312" w:hAnsi="仿宋" w:eastAsia="仿宋_GB2312"/>
          <w:b w:val="0"/>
          <w:bCs w:val="0"/>
          <w:caps w:val="0"/>
          <w:smallCaps/>
          <w:sz w:val="32"/>
          <w:szCs w:val="32"/>
        </w:rPr>
        <w:tab/>
      </w:r>
      <w:r>
        <w:rPr>
          <w:rFonts w:ascii="仿宋_GB2312" w:hAnsi="仿宋" w:eastAsia="仿宋_GB2312"/>
          <w:b w:val="0"/>
          <w:bCs w:val="0"/>
          <w:caps w:val="0"/>
          <w:smallCaps/>
          <w:sz w:val="32"/>
          <w:szCs w:val="32"/>
        </w:rPr>
        <w:fldChar w:fldCharType="begin"/>
      </w:r>
      <w:r>
        <w:rPr>
          <w:rFonts w:ascii="仿宋_GB2312" w:hAnsi="仿宋" w:eastAsia="仿宋_GB2312"/>
          <w:b w:val="0"/>
          <w:bCs w:val="0"/>
          <w:caps w:val="0"/>
          <w:smallCaps/>
          <w:sz w:val="32"/>
          <w:szCs w:val="32"/>
        </w:rPr>
        <w:instrText xml:space="preserve"> PAGEREF _Toc82764207 \h </w:instrText>
      </w:r>
      <w:r>
        <w:rPr>
          <w:rFonts w:ascii="仿宋_GB2312" w:hAnsi="仿宋" w:eastAsia="仿宋_GB2312"/>
          <w:b w:val="0"/>
          <w:bCs w:val="0"/>
          <w:caps w:val="0"/>
          <w:smallCaps/>
          <w:sz w:val="32"/>
          <w:szCs w:val="32"/>
        </w:rPr>
        <w:fldChar w:fldCharType="separate"/>
      </w:r>
      <w:r>
        <w:rPr>
          <w:rFonts w:ascii="仿宋_GB2312" w:hAnsi="仿宋" w:eastAsia="仿宋_GB2312"/>
          <w:b w:val="0"/>
          <w:bCs w:val="0"/>
          <w:caps w:val="0"/>
          <w:smallCaps/>
          <w:sz w:val="32"/>
          <w:szCs w:val="32"/>
        </w:rPr>
        <w:t>13</w:t>
      </w:r>
      <w:r>
        <w:rPr>
          <w:rFonts w:ascii="仿宋_GB2312" w:hAnsi="仿宋" w:eastAsia="仿宋_GB2312"/>
          <w:b w:val="0"/>
          <w:bCs w:val="0"/>
          <w:caps w:val="0"/>
          <w:smallCaps/>
          <w:sz w:val="32"/>
          <w:szCs w:val="32"/>
        </w:rPr>
        <w:fldChar w:fldCharType="end"/>
      </w:r>
    </w:p>
    <w:p>
      <w:pPr>
        <w:pStyle w:val="14"/>
        <w:tabs>
          <w:tab w:val="right" w:leader="dot" w:pos="8296"/>
        </w:tabs>
        <w:rPr>
          <w:rFonts w:ascii="仿宋_GB2312" w:hAnsi="仿宋" w:eastAsia="仿宋_GB2312"/>
          <w:b w:val="0"/>
          <w:bCs w:val="0"/>
          <w:caps w:val="0"/>
          <w:smallCaps/>
          <w:sz w:val="32"/>
          <w:szCs w:val="32"/>
        </w:rPr>
      </w:pPr>
      <w:r>
        <w:rPr>
          <w:rFonts w:hint="eastAsia" w:ascii="仿宋_GB2312" w:hAnsi="仿宋" w:eastAsia="仿宋_GB2312"/>
          <w:b w:val="0"/>
          <w:bCs w:val="0"/>
          <w:caps w:val="0"/>
          <w:smallCaps/>
          <w:sz w:val="32"/>
          <w:szCs w:val="32"/>
        </w:rPr>
        <w:t>五、一般公共预算财政拨款支出决算情况说明</w:t>
      </w:r>
      <w:r>
        <w:rPr>
          <w:rFonts w:ascii="仿宋_GB2312" w:hAnsi="仿宋" w:eastAsia="仿宋_GB2312"/>
          <w:b w:val="0"/>
          <w:bCs w:val="0"/>
          <w:caps w:val="0"/>
          <w:smallCaps/>
          <w:sz w:val="32"/>
          <w:szCs w:val="32"/>
        </w:rPr>
        <w:tab/>
      </w:r>
      <w:r>
        <w:rPr>
          <w:rFonts w:ascii="仿宋_GB2312" w:hAnsi="仿宋" w:eastAsia="仿宋_GB2312"/>
          <w:b w:val="0"/>
          <w:bCs w:val="0"/>
          <w:caps w:val="0"/>
          <w:smallCaps/>
          <w:sz w:val="32"/>
          <w:szCs w:val="32"/>
        </w:rPr>
        <w:fldChar w:fldCharType="begin"/>
      </w:r>
      <w:r>
        <w:rPr>
          <w:rFonts w:ascii="仿宋_GB2312" w:hAnsi="仿宋" w:eastAsia="仿宋_GB2312"/>
          <w:b w:val="0"/>
          <w:bCs w:val="0"/>
          <w:caps w:val="0"/>
          <w:smallCaps/>
          <w:sz w:val="32"/>
          <w:szCs w:val="32"/>
        </w:rPr>
        <w:instrText xml:space="preserve"> PAGEREF _Toc82764209 \h </w:instrText>
      </w:r>
      <w:r>
        <w:rPr>
          <w:rFonts w:ascii="仿宋_GB2312" w:hAnsi="仿宋" w:eastAsia="仿宋_GB2312"/>
          <w:b w:val="0"/>
          <w:bCs w:val="0"/>
          <w:caps w:val="0"/>
          <w:smallCaps/>
          <w:sz w:val="32"/>
          <w:szCs w:val="32"/>
        </w:rPr>
        <w:fldChar w:fldCharType="separate"/>
      </w:r>
      <w:r>
        <w:rPr>
          <w:rFonts w:ascii="仿宋_GB2312" w:hAnsi="仿宋" w:eastAsia="仿宋_GB2312"/>
          <w:b w:val="0"/>
          <w:bCs w:val="0"/>
          <w:caps w:val="0"/>
          <w:smallCaps/>
          <w:sz w:val="32"/>
          <w:szCs w:val="32"/>
        </w:rPr>
        <w:t>14</w:t>
      </w:r>
      <w:r>
        <w:rPr>
          <w:rFonts w:ascii="仿宋_GB2312" w:hAnsi="仿宋" w:eastAsia="仿宋_GB2312"/>
          <w:b w:val="0"/>
          <w:bCs w:val="0"/>
          <w:caps w:val="0"/>
          <w:smallCaps/>
          <w:sz w:val="32"/>
          <w:szCs w:val="32"/>
        </w:rPr>
        <w:fldChar w:fldCharType="end"/>
      </w:r>
    </w:p>
    <w:p>
      <w:pPr>
        <w:pStyle w:val="14"/>
        <w:tabs>
          <w:tab w:val="right" w:leader="dot" w:pos="8296"/>
        </w:tabs>
        <w:rPr>
          <w:rFonts w:ascii="仿宋_GB2312" w:hAnsi="仿宋" w:eastAsia="仿宋_GB2312"/>
          <w:b w:val="0"/>
          <w:bCs w:val="0"/>
          <w:caps w:val="0"/>
          <w:smallCaps/>
          <w:sz w:val="32"/>
          <w:szCs w:val="32"/>
        </w:rPr>
      </w:pPr>
      <w:r>
        <w:rPr>
          <w:rFonts w:hint="eastAsia" w:ascii="仿宋_GB2312" w:hAnsi="仿宋" w:eastAsia="仿宋_GB2312"/>
          <w:b w:val="0"/>
          <w:bCs w:val="0"/>
          <w:caps w:val="0"/>
          <w:smallCaps/>
          <w:sz w:val="32"/>
          <w:szCs w:val="32"/>
        </w:rPr>
        <w:t>（一）一般公共预算财政拨款支出决算总体情况</w:t>
      </w:r>
      <w:r>
        <w:rPr>
          <w:rFonts w:ascii="仿宋_GB2312" w:hAnsi="仿宋" w:eastAsia="仿宋_GB2312"/>
          <w:b w:val="0"/>
          <w:bCs w:val="0"/>
          <w:caps w:val="0"/>
          <w:smallCaps/>
          <w:sz w:val="32"/>
          <w:szCs w:val="32"/>
        </w:rPr>
        <w:tab/>
      </w:r>
      <w:r>
        <w:rPr>
          <w:rFonts w:ascii="仿宋_GB2312" w:hAnsi="仿宋" w:eastAsia="仿宋_GB2312"/>
          <w:b w:val="0"/>
          <w:bCs w:val="0"/>
          <w:caps w:val="0"/>
          <w:smallCaps/>
          <w:sz w:val="32"/>
          <w:szCs w:val="32"/>
        </w:rPr>
        <w:fldChar w:fldCharType="begin"/>
      </w:r>
      <w:r>
        <w:rPr>
          <w:rFonts w:ascii="仿宋_GB2312" w:hAnsi="仿宋" w:eastAsia="仿宋_GB2312"/>
          <w:b w:val="0"/>
          <w:bCs w:val="0"/>
          <w:caps w:val="0"/>
          <w:smallCaps/>
          <w:sz w:val="32"/>
          <w:szCs w:val="32"/>
        </w:rPr>
        <w:instrText xml:space="preserve"> PAGEREF _Toc82764210 \h </w:instrText>
      </w:r>
      <w:r>
        <w:rPr>
          <w:rFonts w:ascii="仿宋_GB2312" w:hAnsi="仿宋" w:eastAsia="仿宋_GB2312"/>
          <w:b w:val="0"/>
          <w:bCs w:val="0"/>
          <w:caps w:val="0"/>
          <w:smallCaps/>
          <w:sz w:val="32"/>
          <w:szCs w:val="32"/>
        </w:rPr>
        <w:fldChar w:fldCharType="separate"/>
      </w:r>
      <w:r>
        <w:rPr>
          <w:rFonts w:ascii="仿宋_GB2312" w:hAnsi="仿宋" w:eastAsia="仿宋_GB2312"/>
          <w:b w:val="0"/>
          <w:bCs w:val="0"/>
          <w:caps w:val="0"/>
          <w:smallCaps/>
          <w:sz w:val="32"/>
          <w:szCs w:val="32"/>
        </w:rPr>
        <w:t>14</w:t>
      </w:r>
      <w:r>
        <w:rPr>
          <w:rFonts w:ascii="仿宋_GB2312" w:hAnsi="仿宋" w:eastAsia="仿宋_GB2312"/>
          <w:b w:val="0"/>
          <w:bCs w:val="0"/>
          <w:caps w:val="0"/>
          <w:smallCaps/>
          <w:sz w:val="32"/>
          <w:szCs w:val="32"/>
        </w:rPr>
        <w:fldChar w:fldCharType="end"/>
      </w:r>
    </w:p>
    <w:p>
      <w:pPr>
        <w:pStyle w:val="14"/>
        <w:tabs>
          <w:tab w:val="right" w:leader="dot" w:pos="8296"/>
        </w:tabs>
        <w:rPr>
          <w:rFonts w:ascii="仿宋_GB2312" w:hAnsi="仿宋" w:eastAsia="仿宋_GB2312"/>
          <w:b w:val="0"/>
          <w:bCs w:val="0"/>
          <w:caps w:val="0"/>
          <w:smallCaps/>
          <w:sz w:val="32"/>
          <w:szCs w:val="32"/>
        </w:rPr>
      </w:pPr>
      <w:r>
        <w:rPr>
          <w:rFonts w:hint="eastAsia" w:ascii="仿宋_GB2312" w:hAnsi="仿宋" w:eastAsia="仿宋_GB2312"/>
          <w:b w:val="0"/>
          <w:bCs w:val="0"/>
          <w:caps w:val="0"/>
          <w:smallCaps/>
          <w:sz w:val="32"/>
          <w:szCs w:val="32"/>
        </w:rPr>
        <w:t>（二）一般公共预算财政拨款支出决算结构情况</w:t>
      </w:r>
      <w:r>
        <w:rPr>
          <w:rFonts w:ascii="仿宋_GB2312" w:hAnsi="仿宋" w:eastAsia="仿宋_GB2312"/>
          <w:b w:val="0"/>
          <w:bCs w:val="0"/>
          <w:caps w:val="0"/>
          <w:smallCaps/>
          <w:sz w:val="32"/>
          <w:szCs w:val="32"/>
        </w:rPr>
        <w:tab/>
      </w:r>
      <w:r>
        <w:rPr>
          <w:rFonts w:ascii="仿宋_GB2312" w:hAnsi="仿宋" w:eastAsia="仿宋_GB2312"/>
          <w:b w:val="0"/>
          <w:bCs w:val="0"/>
          <w:caps w:val="0"/>
          <w:smallCaps/>
          <w:sz w:val="32"/>
          <w:szCs w:val="32"/>
        </w:rPr>
        <w:fldChar w:fldCharType="begin"/>
      </w:r>
      <w:r>
        <w:rPr>
          <w:rFonts w:ascii="仿宋_GB2312" w:hAnsi="仿宋" w:eastAsia="仿宋_GB2312"/>
          <w:b w:val="0"/>
          <w:bCs w:val="0"/>
          <w:caps w:val="0"/>
          <w:smallCaps/>
          <w:sz w:val="32"/>
          <w:szCs w:val="32"/>
        </w:rPr>
        <w:instrText xml:space="preserve"> PAGEREF _Toc82764211 \h </w:instrText>
      </w:r>
      <w:r>
        <w:rPr>
          <w:rFonts w:ascii="仿宋_GB2312" w:hAnsi="仿宋" w:eastAsia="仿宋_GB2312"/>
          <w:b w:val="0"/>
          <w:bCs w:val="0"/>
          <w:caps w:val="0"/>
          <w:smallCaps/>
          <w:sz w:val="32"/>
          <w:szCs w:val="32"/>
        </w:rPr>
        <w:fldChar w:fldCharType="separate"/>
      </w:r>
      <w:r>
        <w:rPr>
          <w:rFonts w:ascii="仿宋_GB2312" w:hAnsi="仿宋" w:eastAsia="仿宋_GB2312"/>
          <w:b w:val="0"/>
          <w:bCs w:val="0"/>
          <w:caps w:val="0"/>
          <w:smallCaps/>
          <w:sz w:val="32"/>
          <w:szCs w:val="32"/>
        </w:rPr>
        <w:t>15</w:t>
      </w:r>
      <w:r>
        <w:rPr>
          <w:rFonts w:ascii="仿宋_GB2312" w:hAnsi="仿宋" w:eastAsia="仿宋_GB2312"/>
          <w:b w:val="0"/>
          <w:bCs w:val="0"/>
          <w:caps w:val="0"/>
          <w:smallCaps/>
          <w:sz w:val="32"/>
          <w:szCs w:val="32"/>
        </w:rPr>
        <w:fldChar w:fldCharType="end"/>
      </w:r>
    </w:p>
    <w:p>
      <w:pPr>
        <w:pStyle w:val="14"/>
        <w:tabs>
          <w:tab w:val="right" w:leader="dot" w:pos="8296"/>
        </w:tabs>
        <w:rPr>
          <w:rFonts w:ascii="仿宋_GB2312" w:hAnsi="仿宋" w:eastAsia="仿宋_GB2312"/>
          <w:b w:val="0"/>
          <w:bCs w:val="0"/>
          <w:caps w:val="0"/>
          <w:smallCaps/>
          <w:sz w:val="32"/>
          <w:szCs w:val="32"/>
        </w:rPr>
      </w:pPr>
      <w:r>
        <w:rPr>
          <w:rFonts w:hint="eastAsia" w:ascii="仿宋_GB2312" w:hAnsi="仿宋" w:eastAsia="仿宋_GB2312"/>
          <w:b w:val="0"/>
          <w:bCs w:val="0"/>
          <w:caps w:val="0"/>
          <w:smallCaps/>
          <w:sz w:val="32"/>
          <w:szCs w:val="32"/>
        </w:rPr>
        <w:t>（三）一般公共预算财政拨款支出决算具体情况</w:t>
      </w:r>
      <w:r>
        <w:rPr>
          <w:rFonts w:ascii="仿宋_GB2312" w:hAnsi="仿宋" w:eastAsia="仿宋_GB2312"/>
          <w:b w:val="0"/>
          <w:bCs w:val="0"/>
          <w:caps w:val="0"/>
          <w:smallCaps/>
          <w:sz w:val="32"/>
          <w:szCs w:val="32"/>
        </w:rPr>
        <w:tab/>
      </w:r>
      <w:r>
        <w:rPr>
          <w:rFonts w:ascii="仿宋_GB2312" w:hAnsi="仿宋" w:eastAsia="仿宋_GB2312"/>
          <w:b w:val="0"/>
          <w:bCs w:val="0"/>
          <w:caps w:val="0"/>
          <w:smallCaps/>
          <w:sz w:val="32"/>
          <w:szCs w:val="32"/>
        </w:rPr>
        <w:fldChar w:fldCharType="begin"/>
      </w:r>
      <w:r>
        <w:rPr>
          <w:rFonts w:ascii="仿宋_GB2312" w:hAnsi="仿宋" w:eastAsia="仿宋_GB2312"/>
          <w:b w:val="0"/>
          <w:bCs w:val="0"/>
          <w:caps w:val="0"/>
          <w:smallCaps/>
          <w:sz w:val="32"/>
          <w:szCs w:val="32"/>
        </w:rPr>
        <w:instrText xml:space="preserve"> PAGEREF _Toc82764212 \h </w:instrText>
      </w:r>
      <w:r>
        <w:rPr>
          <w:rFonts w:ascii="仿宋_GB2312" w:hAnsi="仿宋" w:eastAsia="仿宋_GB2312"/>
          <w:b w:val="0"/>
          <w:bCs w:val="0"/>
          <w:caps w:val="0"/>
          <w:smallCaps/>
          <w:sz w:val="32"/>
          <w:szCs w:val="32"/>
        </w:rPr>
        <w:fldChar w:fldCharType="separate"/>
      </w:r>
      <w:r>
        <w:rPr>
          <w:rFonts w:ascii="仿宋_GB2312" w:hAnsi="仿宋" w:eastAsia="仿宋_GB2312"/>
          <w:b w:val="0"/>
          <w:bCs w:val="0"/>
          <w:caps w:val="0"/>
          <w:smallCaps/>
          <w:sz w:val="32"/>
          <w:szCs w:val="32"/>
        </w:rPr>
        <w:t>16</w:t>
      </w:r>
      <w:r>
        <w:rPr>
          <w:rFonts w:ascii="仿宋_GB2312" w:hAnsi="仿宋" w:eastAsia="仿宋_GB2312"/>
          <w:b w:val="0"/>
          <w:bCs w:val="0"/>
          <w:caps w:val="0"/>
          <w:smallCaps/>
          <w:sz w:val="32"/>
          <w:szCs w:val="32"/>
        </w:rPr>
        <w:fldChar w:fldCharType="end"/>
      </w:r>
    </w:p>
    <w:p>
      <w:pPr>
        <w:pStyle w:val="14"/>
        <w:tabs>
          <w:tab w:val="right" w:leader="dot" w:pos="8296"/>
        </w:tabs>
        <w:rPr>
          <w:rFonts w:ascii="仿宋_GB2312" w:hAnsi="仿宋" w:eastAsia="仿宋_GB2312"/>
          <w:b w:val="0"/>
          <w:bCs w:val="0"/>
          <w:caps w:val="0"/>
          <w:smallCaps/>
          <w:sz w:val="32"/>
          <w:szCs w:val="32"/>
        </w:rPr>
      </w:pPr>
      <w:r>
        <w:rPr>
          <w:rFonts w:hint="eastAsia" w:ascii="仿宋_GB2312" w:hAnsi="仿宋" w:eastAsia="仿宋_GB2312"/>
          <w:b w:val="0"/>
          <w:bCs w:val="0"/>
          <w:caps w:val="0"/>
          <w:smallCaps/>
          <w:sz w:val="32"/>
          <w:szCs w:val="32"/>
        </w:rPr>
        <w:t>六、一般公共预算财政拨款基本支出决算情况说明</w:t>
      </w:r>
      <w:r>
        <w:rPr>
          <w:rFonts w:ascii="仿宋_GB2312" w:hAnsi="仿宋" w:eastAsia="仿宋_GB2312"/>
          <w:b w:val="0"/>
          <w:bCs w:val="0"/>
          <w:caps w:val="0"/>
          <w:smallCaps/>
          <w:sz w:val="32"/>
          <w:szCs w:val="32"/>
        </w:rPr>
        <w:tab/>
      </w:r>
      <w:r>
        <w:rPr>
          <w:rFonts w:ascii="仿宋_GB2312" w:hAnsi="仿宋" w:eastAsia="仿宋_GB2312"/>
          <w:b w:val="0"/>
          <w:bCs w:val="0"/>
          <w:caps w:val="0"/>
          <w:smallCaps/>
          <w:sz w:val="32"/>
          <w:szCs w:val="32"/>
        </w:rPr>
        <w:fldChar w:fldCharType="begin"/>
      </w:r>
      <w:r>
        <w:rPr>
          <w:rFonts w:ascii="仿宋_GB2312" w:hAnsi="仿宋" w:eastAsia="仿宋_GB2312"/>
          <w:b w:val="0"/>
          <w:bCs w:val="0"/>
          <w:caps w:val="0"/>
          <w:smallCaps/>
          <w:sz w:val="32"/>
          <w:szCs w:val="32"/>
        </w:rPr>
        <w:instrText xml:space="preserve"> PAGEREF _Toc82764213 \h </w:instrText>
      </w:r>
      <w:r>
        <w:rPr>
          <w:rFonts w:ascii="仿宋_GB2312" w:hAnsi="仿宋" w:eastAsia="仿宋_GB2312"/>
          <w:b w:val="0"/>
          <w:bCs w:val="0"/>
          <w:caps w:val="0"/>
          <w:smallCaps/>
          <w:sz w:val="32"/>
          <w:szCs w:val="32"/>
        </w:rPr>
        <w:fldChar w:fldCharType="separate"/>
      </w:r>
      <w:r>
        <w:rPr>
          <w:rFonts w:ascii="仿宋_GB2312" w:hAnsi="仿宋" w:eastAsia="仿宋_GB2312"/>
          <w:b w:val="0"/>
          <w:bCs w:val="0"/>
          <w:caps w:val="0"/>
          <w:smallCaps/>
          <w:sz w:val="32"/>
          <w:szCs w:val="32"/>
        </w:rPr>
        <w:t>18</w:t>
      </w:r>
      <w:r>
        <w:rPr>
          <w:rFonts w:ascii="仿宋_GB2312" w:hAnsi="仿宋" w:eastAsia="仿宋_GB2312"/>
          <w:b w:val="0"/>
          <w:bCs w:val="0"/>
          <w:caps w:val="0"/>
          <w:smallCaps/>
          <w:sz w:val="32"/>
          <w:szCs w:val="32"/>
        </w:rPr>
        <w:fldChar w:fldCharType="end"/>
      </w:r>
    </w:p>
    <w:p>
      <w:pPr>
        <w:pStyle w:val="14"/>
        <w:tabs>
          <w:tab w:val="right" w:leader="dot" w:pos="8296"/>
        </w:tabs>
        <w:rPr>
          <w:rFonts w:ascii="仿宋_GB2312" w:hAnsi="仿宋" w:eastAsia="仿宋_GB2312"/>
          <w:b w:val="0"/>
          <w:bCs w:val="0"/>
          <w:caps w:val="0"/>
          <w:smallCaps/>
          <w:sz w:val="32"/>
          <w:szCs w:val="32"/>
        </w:rPr>
      </w:pPr>
      <w:r>
        <w:rPr>
          <w:rFonts w:hint="eastAsia" w:ascii="仿宋_GB2312" w:hAnsi="仿宋" w:eastAsia="仿宋_GB2312"/>
          <w:b w:val="0"/>
          <w:bCs w:val="0"/>
          <w:caps w:val="0"/>
          <w:smallCaps/>
          <w:sz w:val="32"/>
          <w:szCs w:val="32"/>
        </w:rPr>
        <w:t>七、</w:t>
      </w:r>
      <w:r>
        <w:rPr>
          <w:rFonts w:ascii="仿宋_GB2312" w:hAnsi="仿宋" w:eastAsia="仿宋_GB2312"/>
          <w:b w:val="0"/>
          <w:bCs w:val="0"/>
          <w:caps w:val="0"/>
          <w:smallCaps/>
          <w:sz w:val="32"/>
          <w:szCs w:val="32"/>
        </w:rPr>
        <w:t>“</w:t>
      </w:r>
      <w:r>
        <w:rPr>
          <w:rFonts w:hint="eastAsia" w:ascii="仿宋_GB2312" w:hAnsi="仿宋" w:eastAsia="仿宋_GB2312"/>
          <w:b w:val="0"/>
          <w:bCs w:val="0"/>
          <w:caps w:val="0"/>
          <w:smallCaps/>
          <w:sz w:val="32"/>
          <w:szCs w:val="32"/>
        </w:rPr>
        <w:t>三公”经费财政拨款支出决算情况说明</w:t>
      </w:r>
      <w:r>
        <w:rPr>
          <w:rFonts w:ascii="仿宋_GB2312" w:hAnsi="仿宋" w:eastAsia="仿宋_GB2312"/>
          <w:b w:val="0"/>
          <w:bCs w:val="0"/>
          <w:caps w:val="0"/>
          <w:smallCaps/>
          <w:sz w:val="32"/>
          <w:szCs w:val="32"/>
        </w:rPr>
        <w:tab/>
      </w:r>
      <w:r>
        <w:rPr>
          <w:rFonts w:ascii="仿宋_GB2312" w:hAnsi="仿宋" w:eastAsia="仿宋_GB2312"/>
          <w:b w:val="0"/>
          <w:bCs w:val="0"/>
          <w:caps w:val="0"/>
          <w:smallCaps/>
          <w:sz w:val="32"/>
          <w:szCs w:val="32"/>
        </w:rPr>
        <w:fldChar w:fldCharType="begin"/>
      </w:r>
      <w:r>
        <w:rPr>
          <w:rFonts w:ascii="仿宋_GB2312" w:hAnsi="仿宋" w:eastAsia="仿宋_GB2312"/>
          <w:b w:val="0"/>
          <w:bCs w:val="0"/>
          <w:caps w:val="0"/>
          <w:smallCaps/>
          <w:sz w:val="32"/>
          <w:szCs w:val="32"/>
        </w:rPr>
        <w:instrText xml:space="preserve"> PAGEREF _Toc82764214 \h </w:instrText>
      </w:r>
      <w:r>
        <w:rPr>
          <w:rFonts w:ascii="仿宋_GB2312" w:hAnsi="仿宋" w:eastAsia="仿宋_GB2312"/>
          <w:b w:val="0"/>
          <w:bCs w:val="0"/>
          <w:caps w:val="0"/>
          <w:smallCaps/>
          <w:sz w:val="32"/>
          <w:szCs w:val="32"/>
        </w:rPr>
        <w:fldChar w:fldCharType="separate"/>
      </w:r>
      <w:r>
        <w:rPr>
          <w:rFonts w:ascii="仿宋_GB2312" w:hAnsi="仿宋" w:eastAsia="仿宋_GB2312"/>
          <w:b w:val="0"/>
          <w:bCs w:val="0"/>
          <w:caps w:val="0"/>
          <w:smallCaps/>
          <w:sz w:val="32"/>
          <w:szCs w:val="32"/>
        </w:rPr>
        <w:t>19</w:t>
      </w:r>
      <w:r>
        <w:rPr>
          <w:rFonts w:ascii="仿宋_GB2312" w:hAnsi="仿宋" w:eastAsia="仿宋_GB2312"/>
          <w:b w:val="0"/>
          <w:bCs w:val="0"/>
          <w:caps w:val="0"/>
          <w:smallCaps/>
          <w:sz w:val="32"/>
          <w:szCs w:val="32"/>
        </w:rPr>
        <w:fldChar w:fldCharType="end"/>
      </w:r>
    </w:p>
    <w:p>
      <w:pPr>
        <w:pStyle w:val="14"/>
        <w:tabs>
          <w:tab w:val="right" w:leader="dot" w:pos="8296"/>
        </w:tabs>
        <w:rPr>
          <w:rFonts w:ascii="仿宋_GB2312" w:hAnsi="仿宋" w:eastAsia="仿宋_GB2312"/>
          <w:b w:val="0"/>
          <w:bCs w:val="0"/>
          <w:caps w:val="0"/>
          <w:smallCaps/>
          <w:sz w:val="32"/>
          <w:szCs w:val="32"/>
        </w:rPr>
      </w:pPr>
      <w:r>
        <w:rPr>
          <w:rFonts w:hint="eastAsia" w:ascii="仿宋_GB2312" w:hAnsi="仿宋" w:eastAsia="仿宋_GB2312"/>
          <w:b w:val="0"/>
          <w:bCs w:val="0"/>
          <w:caps w:val="0"/>
          <w:smallCaps/>
          <w:sz w:val="32"/>
          <w:szCs w:val="32"/>
        </w:rPr>
        <w:t>（一）“三公”经费财政拨款支出决算总体情况说明</w:t>
      </w:r>
      <w:r>
        <w:rPr>
          <w:rFonts w:ascii="仿宋_GB2312" w:hAnsi="仿宋" w:eastAsia="仿宋_GB2312"/>
          <w:b w:val="0"/>
          <w:bCs w:val="0"/>
          <w:caps w:val="0"/>
          <w:smallCaps/>
          <w:sz w:val="32"/>
          <w:szCs w:val="32"/>
        </w:rPr>
        <w:tab/>
      </w:r>
      <w:r>
        <w:rPr>
          <w:rFonts w:ascii="仿宋_GB2312" w:hAnsi="仿宋" w:eastAsia="仿宋_GB2312"/>
          <w:b w:val="0"/>
          <w:bCs w:val="0"/>
          <w:caps w:val="0"/>
          <w:smallCaps/>
          <w:sz w:val="32"/>
          <w:szCs w:val="32"/>
        </w:rPr>
        <w:fldChar w:fldCharType="begin"/>
      </w:r>
      <w:r>
        <w:rPr>
          <w:rFonts w:ascii="仿宋_GB2312" w:hAnsi="仿宋" w:eastAsia="仿宋_GB2312"/>
          <w:b w:val="0"/>
          <w:bCs w:val="0"/>
          <w:caps w:val="0"/>
          <w:smallCaps/>
          <w:sz w:val="32"/>
          <w:szCs w:val="32"/>
        </w:rPr>
        <w:instrText xml:space="preserve"> PAGEREF _Toc82764215 \h </w:instrText>
      </w:r>
      <w:r>
        <w:rPr>
          <w:rFonts w:ascii="仿宋_GB2312" w:hAnsi="仿宋" w:eastAsia="仿宋_GB2312"/>
          <w:b w:val="0"/>
          <w:bCs w:val="0"/>
          <w:caps w:val="0"/>
          <w:smallCaps/>
          <w:sz w:val="32"/>
          <w:szCs w:val="32"/>
        </w:rPr>
        <w:fldChar w:fldCharType="separate"/>
      </w:r>
      <w:r>
        <w:rPr>
          <w:rFonts w:ascii="仿宋_GB2312" w:hAnsi="仿宋" w:eastAsia="仿宋_GB2312"/>
          <w:b w:val="0"/>
          <w:bCs w:val="0"/>
          <w:caps w:val="0"/>
          <w:smallCaps/>
          <w:sz w:val="32"/>
          <w:szCs w:val="32"/>
        </w:rPr>
        <w:t>19</w:t>
      </w:r>
      <w:r>
        <w:rPr>
          <w:rFonts w:ascii="仿宋_GB2312" w:hAnsi="仿宋" w:eastAsia="仿宋_GB2312"/>
          <w:b w:val="0"/>
          <w:bCs w:val="0"/>
          <w:caps w:val="0"/>
          <w:smallCaps/>
          <w:sz w:val="32"/>
          <w:szCs w:val="32"/>
        </w:rPr>
        <w:fldChar w:fldCharType="end"/>
      </w:r>
    </w:p>
    <w:p>
      <w:pPr>
        <w:pStyle w:val="14"/>
        <w:tabs>
          <w:tab w:val="right" w:leader="dot" w:pos="8296"/>
        </w:tabs>
        <w:rPr>
          <w:rFonts w:ascii="仿宋_GB2312" w:hAnsi="仿宋" w:eastAsia="仿宋_GB2312"/>
          <w:b w:val="0"/>
          <w:bCs w:val="0"/>
          <w:caps w:val="0"/>
          <w:smallCaps/>
          <w:sz w:val="32"/>
          <w:szCs w:val="32"/>
        </w:rPr>
      </w:pPr>
      <w:r>
        <w:rPr>
          <w:rFonts w:hint="eastAsia" w:ascii="仿宋_GB2312" w:hAnsi="仿宋" w:eastAsia="仿宋_GB2312"/>
          <w:b w:val="0"/>
          <w:bCs w:val="0"/>
          <w:caps w:val="0"/>
          <w:smallCaps/>
          <w:sz w:val="32"/>
          <w:szCs w:val="32"/>
        </w:rPr>
        <w:t>（二）“三公”经费财政拨款支出决算具体情况说明</w:t>
      </w:r>
      <w:r>
        <w:rPr>
          <w:rFonts w:ascii="仿宋_GB2312" w:hAnsi="仿宋" w:eastAsia="仿宋_GB2312"/>
          <w:b w:val="0"/>
          <w:bCs w:val="0"/>
          <w:caps w:val="0"/>
          <w:smallCaps/>
          <w:sz w:val="32"/>
          <w:szCs w:val="32"/>
        </w:rPr>
        <w:tab/>
      </w:r>
      <w:r>
        <w:rPr>
          <w:rFonts w:ascii="仿宋_GB2312" w:hAnsi="仿宋" w:eastAsia="仿宋_GB2312"/>
          <w:b w:val="0"/>
          <w:bCs w:val="0"/>
          <w:caps w:val="0"/>
          <w:smallCaps/>
          <w:sz w:val="32"/>
          <w:szCs w:val="32"/>
        </w:rPr>
        <w:fldChar w:fldCharType="begin"/>
      </w:r>
      <w:r>
        <w:rPr>
          <w:rFonts w:ascii="仿宋_GB2312" w:hAnsi="仿宋" w:eastAsia="仿宋_GB2312"/>
          <w:b w:val="0"/>
          <w:bCs w:val="0"/>
          <w:caps w:val="0"/>
          <w:smallCaps/>
          <w:sz w:val="32"/>
          <w:szCs w:val="32"/>
        </w:rPr>
        <w:instrText xml:space="preserve"> PAGEREF _Toc82764216 \h </w:instrText>
      </w:r>
      <w:r>
        <w:rPr>
          <w:rFonts w:ascii="仿宋_GB2312" w:hAnsi="仿宋" w:eastAsia="仿宋_GB2312"/>
          <w:b w:val="0"/>
          <w:bCs w:val="0"/>
          <w:caps w:val="0"/>
          <w:smallCaps/>
          <w:sz w:val="32"/>
          <w:szCs w:val="32"/>
        </w:rPr>
        <w:fldChar w:fldCharType="separate"/>
      </w:r>
      <w:r>
        <w:rPr>
          <w:rFonts w:ascii="仿宋_GB2312" w:hAnsi="仿宋" w:eastAsia="仿宋_GB2312"/>
          <w:b w:val="0"/>
          <w:bCs w:val="0"/>
          <w:caps w:val="0"/>
          <w:smallCaps/>
          <w:sz w:val="32"/>
          <w:szCs w:val="32"/>
        </w:rPr>
        <w:t>19</w:t>
      </w:r>
      <w:r>
        <w:rPr>
          <w:rFonts w:ascii="仿宋_GB2312" w:hAnsi="仿宋" w:eastAsia="仿宋_GB2312"/>
          <w:b w:val="0"/>
          <w:bCs w:val="0"/>
          <w:caps w:val="0"/>
          <w:smallCaps/>
          <w:sz w:val="32"/>
          <w:szCs w:val="32"/>
        </w:rPr>
        <w:fldChar w:fldCharType="end"/>
      </w:r>
    </w:p>
    <w:p>
      <w:pPr>
        <w:pStyle w:val="14"/>
        <w:tabs>
          <w:tab w:val="right" w:leader="dot" w:pos="8296"/>
        </w:tabs>
        <w:rPr>
          <w:rFonts w:ascii="仿宋_GB2312" w:hAnsi="仿宋" w:eastAsia="仿宋_GB2312"/>
          <w:b w:val="0"/>
          <w:bCs w:val="0"/>
          <w:caps w:val="0"/>
          <w:smallCaps/>
          <w:sz w:val="32"/>
          <w:szCs w:val="32"/>
        </w:rPr>
      </w:pPr>
      <w:r>
        <w:rPr>
          <w:rFonts w:hint="eastAsia" w:ascii="仿宋_GB2312" w:hAnsi="仿宋" w:eastAsia="仿宋_GB2312"/>
          <w:b w:val="0"/>
          <w:bCs w:val="0"/>
          <w:caps w:val="0"/>
          <w:smallCaps/>
          <w:sz w:val="32"/>
          <w:szCs w:val="32"/>
        </w:rPr>
        <w:t>八、政府性基金预算支出决算情况说明</w:t>
      </w:r>
      <w:r>
        <w:rPr>
          <w:rFonts w:ascii="仿宋_GB2312" w:hAnsi="仿宋" w:eastAsia="仿宋_GB2312"/>
          <w:b w:val="0"/>
          <w:bCs w:val="0"/>
          <w:caps w:val="0"/>
          <w:smallCaps/>
          <w:sz w:val="32"/>
          <w:szCs w:val="32"/>
        </w:rPr>
        <w:tab/>
      </w:r>
      <w:r>
        <w:rPr>
          <w:rFonts w:ascii="仿宋_GB2312" w:hAnsi="仿宋" w:eastAsia="仿宋_GB2312"/>
          <w:b w:val="0"/>
          <w:bCs w:val="0"/>
          <w:caps w:val="0"/>
          <w:smallCaps/>
          <w:sz w:val="32"/>
          <w:szCs w:val="32"/>
        </w:rPr>
        <w:fldChar w:fldCharType="begin"/>
      </w:r>
      <w:r>
        <w:rPr>
          <w:rFonts w:ascii="仿宋_GB2312" w:hAnsi="仿宋" w:eastAsia="仿宋_GB2312"/>
          <w:b w:val="0"/>
          <w:bCs w:val="0"/>
          <w:caps w:val="0"/>
          <w:smallCaps/>
          <w:sz w:val="32"/>
          <w:szCs w:val="32"/>
        </w:rPr>
        <w:instrText xml:space="preserve"> PAGEREF _Toc82764217 \h </w:instrText>
      </w:r>
      <w:r>
        <w:rPr>
          <w:rFonts w:ascii="仿宋_GB2312" w:hAnsi="仿宋" w:eastAsia="仿宋_GB2312"/>
          <w:b w:val="0"/>
          <w:bCs w:val="0"/>
          <w:caps w:val="0"/>
          <w:smallCaps/>
          <w:sz w:val="32"/>
          <w:szCs w:val="32"/>
        </w:rPr>
        <w:fldChar w:fldCharType="separate"/>
      </w:r>
      <w:r>
        <w:rPr>
          <w:rFonts w:ascii="仿宋_GB2312" w:hAnsi="仿宋" w:eastAsia="仿宋_GB2312"/>
          <w:b w:val="0"/>
          <w:bCs w:val="0"/>
          <w:caps w:val="0"/>
          <w:smallCaps/>
          <w:sz w:val="32"/>
          <w:szCs w:val="32"/>
        </w:rPr>
        <w:t>20</w:t>
      </w:r>
      <w:r>
        <w:rPr>
          <w:rFonts w:ascii="仿宋_GB2312" w:hAnsi="仿宋" w:eastAsia="仿宋_GB2312"/>
          <w:b w:val="0"/>
          <w:bCs w:val="0"/>
          <w:caps w:val="0"/>
          <w:smallCaps/>
          <w:sz w:val="32"/>
          <w:szCs w:val="32"/>
        </w:rPr>
        <w:fldChar w:fldCharType="end"/>
      </w:r>
    </w:p>
    <w:p>
      <w:pPr>
        <w:pStyle w:val="14"/>
        <w:tabs>
          <w:tab w:val="right" w:leader="dot" w:pos="8296"/>
        </w:tabs>
        <w:rPr>
          <w:rFonts w:ascii="仿宋_GB2312" w:hAnsi="仿宋" w:eastAsia="仿宋_GB2312"/>
          <w:b w:val="0"/>
          <w:bCs w:val="0"/>
          <w:caps w:val="0"/>
          <w:smallCaps/>
          <w:sz w:val="32"/>
          <w:szCs w:val="32"/>
        </w:rPr>
      </w:pPr>
      <w:r>
        <w:rPr>
          <w:rFonts w:hint="eastAsia" w:ascii="仿宋_GB2312" w:hAnsi="仿宋" w:eastAsia="仿宋_GB2312"/>
          <w:b w:val="0"/>
          <w:bCs w:val="0"/>
          <w:caps w:val="0"/>
          <w:smallCaps/>
          <w:sz w:val="32"/>
          <w:szCs w:val="32"/>
        </w:rPr>
        <w:t>九、 国有资本经营预算支出决算情况说明</w:t>
      </w:r>
      <w:r>
        <w:rPr>
          <w:rFonts w:ascii="仿宋_GB2312" w:hAnsi="仿宋" w:eastAsia="仿宋_GB2312"/>
          <w:b w:val="0"/>
          <w:bCs w:val="0"/>
          <w:caps w:val="0"/>
          <w:smallCaps/>
          <w:sz w:val="32"/>
          <w:szCs w:val="32"/>
        </w:rPr>
        <w:tab/>
      </w:r>
      <w:r>
        <w:rPr>
          <w:rFonts w:ascii="仿宋_GB2312" w:hAnsi="仿宋" w:eastAsia="仿宋_GB2312"/>
          <w:b w:val="0"/>
          <w:bCs w:val="0"/>
          <w:caps w:val="0"/>
          <w:smallCaps/>
          <w:sz w:val="32"/>
          <w:szCs w:val="32"/>
        </w:rPr>
        <w:fldChar w:fldCharType="begin"/>
      </w:r>
      <w:r>
        <w:rPr>
          <w:rFonts w:ascii="仿宋_GB2312" w:hAnsi="仿宋" w:eastAsia="仿宋_GB2312"/>
          <w:b w:val="0"/>
          <w:bCs w:val="0"/>
          <w:caps w:val="0"/>
          <w:smallCaps/>
          <w:sz w:val="32"/>
          <w:szCs w:val="32"/>
        </w:rPr>
        <w:instrText xml:space="preserve"> PAGEREF _Toc82764218 \h </w:instrText>
      </w:r>
      <w:r>
        <w:rPr>
          <w:rFonts w:ascii="仿宋_GB2312" w:hAnsi="仿宋" w:eastAsia="仿宋_GB2312"/>
          <w:b w:val="0"/>
          <w:bCs w:val="0"/>
          <w:caps w:val="0"/>
          <w:smallCaps/>
          <w:sz w:val="32"/>
          <w:szCs w:val="32"/>
        </w:rPr>
        <w:fldChar w:fldCharType="separate"/>
      </w:r>
      <w:r>
        <w:rPr>
          <w:rFonts w:ascii="仿宋_GB2312" w:hAnsi="仿宋" w:eastAsia="仿宋_GB2312"/>
          <w:b w:val="0"/>
          <w:bCs w:val="0"/>
          <w:caps w:val="0"/>
          <w:smallCaps/>
          <w:sz w:val="32"/>
          <w:szCs w:val="32"/>
        </w:rPr>
        <w:t>20</w:t>
      </w:r>
      <w:r>
        <w:rPr>
          <w:rFonts w:ascii="仿宋_GB2312" w:hAnsi="仿宋" w:eastAsia="仿宋_GB2312"/>
          <w:b w:val="0"/>
          <w:bCs w:val="0"/>
          <w:caps w:val="0"/>
          <w:smallCaps/>
          <w:sz w:val="32"/>
          <w:szCs w:val="32"/>
        </w:rPr>
        <w:fldChar w:fldCharType="end"/>
      </w:r>
    </w:p>
    <w:p>
      <w:pPr>
        <w:pStyle w:val="14"/>
        <w:tabs>
          <w:tab w:val="right" w:leader="dot" w:pos="8296"/>
        </w:tabs>
        <w:rPr>
          <w:rFonts w:ascii="仿宋_GB2312" w:hAnsi="仿宋" w:eastAsia="仿宋_GB2312"/>
          <w:b w:val="0"/>
          <w:bCs w:val="0"/>
          <w:caps w:val="0"/>
          <w:smallCaps/>
          <w:sz w:val="32"/>
          <w:szCs w:val="32"/>
        </w:rPr>
      </w:pPr>
      <w:r>
        <w:rPr>
          <w:rFonts w:hint="eastAsia" w:ascii="仿宋_GB2312" w:hAnsi="仿宋" w:eastAsia="仿宋_GB2312"/>
          <w:b w:val="0"/>
          <w:bCs w:val="0"/>
          <w:caps w:val="0"/>
          <w:smallCaps/>
          <w:sz w:val="32"/>
          <w:szCs w:val="32"/>
        </w:rPr>
        <w:t>十、其他重要事项的情况说明</w:t>
      </w:r>
      <w:r>
        <w:rPr>
          <w:rFonts w:ascii="仿宋_GB2312" w:hAnsi="仿宋" w:eastAsia="仿宋_GB2312"/>
          <w:b w:val="0"/>
          <w:bCs w:val="0"/>
          <w:caps w:val="0"/>
          <w:smallCaps/>
          <w:sz w:val="32"/>
          <w:szCs w:val="32"/>
        </w:rPr>
        <w:tab/>
      </w:r>
      <w:r>
        <w:rPr>
          <w:rFonts w:ascii="仿宋_GB2312" w:hAnsi="仿宋" w:eastAsia="仿宋_GB2312"/>
          <w:b w:val="0"/>
          <w:bCs w:val="0"/>
          <w:caps w:val="0"/>
          <w:smallCaps/>
          <w:sz w:val="32"/>
          <w:szCs w:val="32"/>
        </w:rPr>
        <w:fldChar w:fldCharType="begin"/>
      </w:r>
      <w:r>
        <w:rPr>
          <w:rFonts w:ascii="仿宋_GB2312" w:hAnsi="仿宋" w:eastAsia="仿宋_GB2312"/>
          <w:b w:val="0"/>
          <w:bCs w:val="0"/>
          <w:caps w:val="0"/>
          <w:smallCaps/>
          <w:sz w:val="32"/>
          <w:szCs w:val="32"/>
        </w:rPr>
        <w:instrText xml:space="preserve"> PAGEREF _Toc82764219 \h </w:instrText>
      </w:r>
      <w:r>
        <w:rPr>
          <w:rFonts w:ascii="仿宋_GB2312" w:hAnsi="仿宋" w:eastAsia="仿宋_GB2312"/>
          <w:b w:val="0"/>
          <w:bCs w:val="0"/>
          <w:caps w:val="0"/>
          <w:smallCaps/>
          <w:sz w:val="32"/>
          <w:szCs w:val="32"/>
        </w:rPr>
        <w:fldChar w:fldCharType="separate"/>
      </w:r>
      <w:r>
        <w:rPr>
          <w:rFonts w:ascii="仿宋_GB2312" w:hAnsi="仿宋" w:eastAsia="仿宋_GB2312"/>
          <w:b w:val="0"/>
          <w:bCs w:val="0"/>
          <w:caps w:val="0"/>
          <w:smallCaps/>
          <w:sz w:val="32"/>
          <w:szCs w:val="32"/>
        </w:rPr>
        <w:t>20</w:t>
      </w:r>
      <w:r>
        <w:rPr>
          <w:rFonts w:ascii="仿宋_GB2312" w:hAnsi="仿宋" w:eastAsia="仿宋_GB2312"/>
          <w:b w:val="0"/>
          <w:bCs w:val="0"/>
          <w:caps w:val="0"/>
          <w:smallCaps/>
          <w:sz w:val="32"/>
          <w:szCs w:val="32"/>
        </w:rPr>
        <w:fldChar w:fldCharType="end"/>
      </w:r>
    </w:p>
    <w:p>
      <w:pPr>
        <w:pStyle w:val="14"/>
        <w:tabs>
          <w:tab w:val="right" w:leader="dot" w:pos="8296"/>
        </w:tabs>
        <w:rPr>
          <w:rFonts w:ascii="仿宋_GB2312" w:hAnsi="仿宋" w:eastAsia="仿宋_GB2312"/>
          <w:b w:val="0"/>
          <w:bCs w:val="0"/>
          <w:caps w:val="0"/>
          <w:smallCaps/>
          <w:sz w:val="32"/>
          <w:szCs w:val="32"/>
        </w:rPr>
      </w:pPr>
      <w:r>
        <w:rPr>
          <w:rFonts w:hint="eastAsia" w:ascii="仿宋_GB2312" w:hAnsi="仿宋" w:eastAsia="仿宋_GB2312"/>
          <w:b w:val="0"/>
          <w:bCs w:val="0"/>
          <w:caps w:val="0"/>
          <w:smallCaps/>
          <w:sz w:val="32"/>
          <w:szCs w:val="32"/>
        </w:rPr>
        <w:t>（一）机关运行经费支出情况</w:t>
      </w:r>
      <w:r>
        <w:rPr>
          <w:rFonts w:ascii="仿宋_GB2312" w:hAnsi="仿宋" w:eastAsia="仿宋_GB2312"/>
          <w:b w:val="0"/>
          <w:bCs w:val="0"/>
          <w:caps w:val="0"/>
          <w:smallCaps/>
          <w:sz w:val="32"/>
          <w:szCs w:val="32"/>
        </w:rPr>
        <w:tab/>
      </w:r>
      <w:r>
        <w:rPr>
          <w:rFonts w:ascii="仿宋_GB2312" w:hAnsi="仿宋" w:eastAsia="仿宋_GB2312"/>
          <w:b w:val="0"/>
          <w:bCs w:val="0"/>
          <w:caps w:val="0"/>
          <w:smallCaps/>
          <w:sz w:val="32"/>
          <w:szCs w:val="32"/>
        </w:rPr>
        <w:fldChar w:fldCharType="begin"/>
      </w:r>
      <w:r>
        <w:rPr>
          <w:rFonts w:ascii="仿宋_GB2312" w:hAnsi="仿宋" w:eastAsia="仿宋_GB2312"/>
          <w:b w:val="0"/>
          <w:bCs w:val="0"/>
          <w:caps w:val="0"/>
          <w:smallCaps/>
          <w:sz w:val="32"/>
          <w:szCs w:val="32"/>
        </w:rPr>
        <w:instrText xml:space="preserve"> PAGEREF _Toc82764220 \h </w:instrText>
      </w:r>
      <w:r>
        <w:rPr>
          <w:rFonts w:ascii="仿宋_GB2312" w:hAnsi="仿宋" w:eastAsia="仿宋_GB2312"/>
          <w:b w:val="0"/>
          <w:bCs w:val="0"/>
          <w:caps w:val="0"/>
          <w:smallCaps/>
          <w:sz w:val="32"/>
          <w:szCs w:val="32"/>
        </w:rPr>
        <w:fldChar w:fldCharType="separate"/>
      </w:r>
      <w:r>
        <w:rPr>
          <w:rFonts w:ascii="仿宋_GB2312" w:hAnsi="仿宋" w:eastAsia="仿宋_GB2312"/>
          <w:b w:val="0"/>
          <w:bCs w:val="0"/>
          <w:caps w:val="0"/>
          <w:smallCaps/>
          <w:sz w:val="32"/>
          <w:szCs w:val="32"/>
        </w:rPr>
        <w:t>20</w:t>
      </w:r>
      <w:r>
        <w:rPr>
          <w:rFonts w:ascii="仿宋_GB2312" w:hAnsi="仿宋" w:eastAsia="仿宋_GB2312"/>
          <w:b w:val="0"/>
          <w:bCs w:val="0"/>
          <w:caps w:val="0"/>
          <w:smallCaps/>
          <w:sz w:val="32"/>
          <w:szCs w:val="32"/>
        </w:rPr>
        <w:fldChar w:fldCharType="end"/>
      </w:r>
    </w:p>
    <w:p>
      <w:pPr>
        <w:pStyle w:val="14"/>
        <w:tabs>
          <w:tab w:val="right" w:leader="dot" w:pos="8296"/>
        </w:tabs>
        <w:rPr>
          <w:rFonts w:ascii="仿宋_GB2312" w:hAnsi="仿宋" w:eastAsia="仿宋_GB2312"/>
          <w:b w:val="0"/>
          <w:bCs w:val="0"/>
          <w:caps w:val="0"/>
          <w:smallCaps/>
          <w:sz w:val="32"/>
          <w:szCs w:val="32"/>
        </w:rPr>
      </w:pPr>
      <w:r>
        <w:rPr>
          <w:rFonts w:hint="eastAsia" w:ascii="仿宋_GB2312" w:hAnsi="仿宋" w:eastAsia="仿宋_GB2312"/>
          <w:b w:val="0"/>
          <w:bCs w:val="0"/>
          <w:caps w:val="0"/>
          <w:smallCaps/>
          <w:sz w:val="32"/>
          <w:szCs w:val="32"/>
        </w:rPr>
        <w:t>（二）政府采购支出情况</w:t>
      </w:r>
      <w:r>
        <w:rPr>
          <w:rFonts w:ascii="仿宋_GB2312" w:hAnsi="仿宋" w:eastAsia="仿宋_GB2312"/>
          <w:b w:val="0"/>
          <w:bCs w:val="0"/>
          <w:caps w:val="0"/>
          <w:smallCaps/>
          <w:sz w:val="32"/>
          <w:szCs w:val="32"/>
        </w:rPr>
        <w:tab/>
      </w:r>
      <w:r>
        <w:rPr>
          <w:rFonts w:ascii="仿宋_GB2312" w:hAnsi="仿宋" w:eastAsia="仿宋_GB2312"/>
          <w:b w:val="0"/>
          <w:bCs w:val="0"/>
          <w:caps w:val="0"/>
          <w:smallCaps/>
          <w:sz w:val="32"/>
          <w:szCs w:val="32"/>
        </w:rPr>
        <w:fldChar w:fldCharType="begin"/>
      </w:r>
      <w:r>
        <w:rPr>
          <w:rFonts w:ascii="仿宋_GB2312" w:hAnsi="仿宋" w:eastAsia="仿宋_GB2312"/>
          <w:b w:val="0"/>
          <w:bCs w:val="0"/>
          <w:caps w:val="0"/>
          <w:smallCaps/>
          <w:sz w:val="32"/>
          <w:szCs w:val="32"/>
        </w:rPr>
        <w:instrText xml:space="preserve"> PAGEREF _Toc82764221 \h </w:instrText>
      </w:r>
      <w:r>
        <w:rPr>
          <w:rFonts w:ascii="仿宋_GB2312" w:hAnsi="仿宋" w:eastAsia="仿宋_GB2312"/>
          <w:b w:val="0"/>
          <w:bCs w:val="0"/>
          <w:caps w:val="0"/>
          <w:smallCaps/>
          <w:sz w:val="32"/>
          <w:szCs w:val="32"/>
        </w:rPr>
        <w:fldChar w:fldCharType="separate"/>
      </w:r>
      <w:r>
        <w:rPr>
          <w:rFonts w:ascii="仿宋_GB2312" w:hAnsi="仿宋" w:eastAsia="仿宋_GB2312"/>
          <w:b w:val="0"/>
          <w:bCs w:val="0"/>
          <w:caps w:val="0"/>
          <w:smallCaps/>
          <w:sz w:val="32"/>
          <w:szCs w:val="32"/>
        </w:rPr>
        <w:t>20</w:t>
      </w:r>
      <w:r>
        <w:rPr>
          <w:rFonts w:ascii="仿宋_GB2312" w:hAnsi="仿宋" w:eastAsia="仿宋_GB2312"/>
          <w:b w:val="0"/>
          <w:bCs w:val="0"/>
          <w:caps w:val="0"/>
          <w:smallCaps/>
          <w:sz w:val="32"/>
          <w:szCs w:val="32"/>
        </w:rPr>
        <w:fldChar w:fldCharType="end"/>
      </w:r>
    </w:p>
    <w:p>
      <w:pPr>
        <w:pStyle w:val="14"/>
        <w:tabs>
          <w:tab w:val="right" w:leader="dot" w:pos="8296"/>
        </w:tabs>
        <w:rPr>
          <w:rFonts w:ascii="仿宋_GB2312" w:hAnsi="仿宋" w:eastAsia="仿宋_GB2312"/>
          <w:b w:val="0"/>
          <w:bCs w:val="0"/>
          <w:caps w:val="0"/>
          <w:smallCaps/>
          <w:sz w:val="32"/>
          <w:szCs w:val="32"/>
        </w:rPr>
      </w:pPr>
      <w:r>
        <w:rPr>
          <w:rFonts w:hint="eastAsia" w:ascii="仿宋_GB2312" w:hAnsi="仿宋" w:eastAsia="仿宋_GB2312"/>
          <w:b w:val="0"/>
          <w:bCs w:val="0"/>
          <w:caps w:val="0"/>
          <w:smallCaps/>
          <w:sz w:val="32"/>
          <w:szCs w:val="32"/>
        </w:rPr>
        <w:t>（三）国有资产占有使用情况</w:t>
      </w:r>
      <w:r>
        <w:rPr>
          <w:rFonts w:ascii="仿宋_GB2312" w:hAnsi="仿宋" w:eastAsia="仿宋_GB2312"/>
          <w:b w:val="0"/>
          <w:bCs w:val="0"/>
          <w:caps w:val="0"/>
          <w:smallCaps/>
          <w:sz w:val="32"/>
          <w:szCs w:val="32"/>
        </w:rPr>
        <w:tab/>
      </w:r>
      <w:r>
        <w:rPr>
          <w:rFonts w:ascii="仿宋_GB2312" w:hAnsi="仿宋" w:eastAsia="仿宋_GB2312"/>
          <w:b w:val="0"/>
          <w:bCs w:val="0"/>
          <w:caps w:val="0"/>
          <w:smallCaps/>
          <w:sz w:val="32"/>
          <w:szCs w:val="32"/>
        </w:rPr>
        <w:fldChar w:fldCharType="begin"/>
      </w:r>
      <w:r>
        <w:rPr>
          <w:rFonts w:ascii="仿宋_GB2312" w:hAnsi="仿宋" w:eastAsia="仿宋_GB2312"/>
          <w:b w:val="0"/>
          <w:bCs w:val="0"/>
          <w:caps w:val="0"/>
          <w:smallCaps/>
          <w:sz w:val="32"/>
          <w:szCs w:val="32"/>
        </w:rPr>
        <w:instrText xml:space="preserve"> PAGEREF _Toc82764222 \h </w:instrText>
      </w:r>
      <w:r>
        <w:rPr>
          <w:rFonts w:ascii="仿宋_GB2312" w:hAnsi="仿宋" w:eastAsia="仿宋_GB2312"/>
          <w:b w:val="0"/>
          <w:bCs w:val="0"/>
          <w:caps w:val="0"/>
          <w:smallCaps/>
          <w:sz w:val="32"/>
          <w:szCs w:val="32"/>
        </w:rPr>
        <w:fldChar w:fldCharType="separate"/>
      </w:r>
      <w:r>
        <w:rPr>
          <w:rFonts w:ascii="仿宋_GB2312" w:hAnsi="仿宋" w:eastAsia="仿宋_GB2312"/>
          <w:b w:val="0"/>
          <w:bCs w:val="0"/>
          <w:caps w:val="0"/>
          <w:smallCaps/>
          <w:sz w:val="32"/>
          <w:szCs w:val="32"/>
        </w:rPr>
        <w:t>20</w:t>
      </w:r>
      <w:r>
        <w:rPr>
          <w:rFonts w:ascii="仿宋_GB2312" w:hAnsi="仿宋" w:eastAsia="仿宋_GB2312"/>
          <w:b w:val="0"/>
          <w:bCs w:val="0"/>
          <w:caps w:val="0"/>
          <w:smallCaps/>
          <w:sz w:val="32"/>
          <w:szCs w:val="32"/>
        </w:rPr>
        <w:fldChar w:fldCharType="end"/>
      </w:r>
    </w:p>
    <w:p>
      <w:pPr>
        <w:pStyle w:val="14"/>
        <w:tabs>
          <w:tab w:val="right" w:leader="dot" w:pos="8296"/>
        </w:tabs>
        <w:rPr>
          <w:rFonts w:ascii="仿宋_GB2312" w:hAnsi="仿宋" w:eastAsia="仿宋_GB2312"/>
          <w:b w:val="0"/>
          <w:bCs w:val="0"/>
          <w:caps w:val="0"/>
          <w:smallCaps/>
          <w:sz w:val="32"/>
          <w:szCs w:val="32"/>
        </w:rPr>
      </w:pPr>
      <w:r>
        <w:rPr>
          <w:rFonts w:hint="eastAsia" w:ascii="仿宋_GB2312" w:hAnsi="仿宋" w:eastAsia="仿宋_GB2312"/>
          <w:b w:val="0"/>
          <w:bCs w:val="0"/>
          <w:caps w:val="0"/>
          <w:smallCaps/>
          <w:sz w:val="32"/>
          <w:szCs w:val="32"/>
        </w:rPr>
        <w:t>（四）预算绩效管理情况</w:t>
      </w:r>
      <w:r>
        <w:rPr>
          <w:rFonts w:ascii="仿宋_GB2312" w:hAnsi="仿宋" w:eastAsia="仿宋_GB2312"/>
          <w:b w:val="0"/>
          <w:bCs w:val="0"/>
          <w:caps w:val="0"/>
          <w:smallCaps/>
          <w:sz w:val="32"/>
          <w:szCs w:val="32"/>
        </w:rPr>
        <w:tab/>
      </w:r>
      <w:r>
        <w:rPr>
          <w:rFonts w:ascii="仿宋_GB2312" w:hAnsi="仿宋" w:eastAsia="仿宋_GB2312"/>
          <w:b w:val="0"/>
          <w:bCs w:val="0"/>
          <w:caps w:val="0"/>
          <w:smallCaps/>
          <w:sz w:val="32"/>
          <w:szCs w:val="32"/>
        </w:rPr>
        <w:fldChar w:fldCharType="begin"/>
      </w:r>
      <w:r>
        <w:rPr>
          <w:rFonts w:ascii="仿宋_GB2312" w:hAnsi="仿宋" w:eastAsia="仿宋_GB2312"/>
          <w:b w:val="0"/>
          <w:bCs w:val="0"/>
          <w:caps w:val="0"/>
          <w:smallCaps/>
          <w:sz w:val="32"/>
          <w:szCs w:val="32"/>
        </w:rPr>
        <w:instrText xml:space="preserve"> PAGEREF _Toc82764223 \h </w:instrText>
      </w:r>
      <w:r>
        <w:rPr>
          <w:rFonts w:ascii="仿宋_GB2312" w:hAnsi="仿宋" w:eastAsia="仿宋_GB2312"/>
          <w:b w:val="0"/>
          <w:bCs w:val="0"/>
          <w:caps w:val="0"/>
          <w:smallCaps/>
          <w:sz w:val="32"/>
          <w:szCs w:val="32"/>
        </w:rPr>
        <w:fldChar w:fldCharType="separate"/>
      </w:r>
      <w:r>
        <w:rPr>
          <w:rFonts w:ascii="仿宋_GB2312" w:hAnsi="仿宋" w:eastAsia="仿宋_GB2312"/>
          <w:b w:val="0"/>
          <w:bCs w:val="0"/>
          <w:caps w:val="0"/>
          <w:smallCaps/>
          <w:sz w:val="32"/>
          <w:szCs w:val="32"/>
        </w:rPr>
        <w:t>20</w:t>
      </w:r>
      <w:r>
        <w:rPr>
          <w:rFonts w:ascii="仿宋_GB2312" w:hAnsi="仿宋" w:eastAsia="仿宋_GB2312"/>
          <w:b w:val="0"/>
          <w:bCs w:val="0"/>
          <w:caps w:val="0"/>
          <w:smallCaps/>
          <w:sz w:val="32"/>
          <w:szCs w:val="32"/>
        </w:rPr>
        <w:fldChar w:fldCharType="end"/>
      </w:r>
    </w:p>
    <w:p>
      <w:pPr>
        <w:pStyle w:val="14"/>
        <w:tabs>
          <w:tab w:val="right" w:leader="dot" w:pos="8296"/>
        </w:tabs>
        <w:rPr>
          <w:rFonts w:ascii="仿宋_GB2312" w:hAnsi="仿宋" w:eastAsia="仿宋_GB2312"/>
          <w:b w:val="0"/>
          <w:bCs w:val="0"/>
          <w:caps w:val="0"/>
          <w:smallCaps/>
          <w:sz w:val="32"/>
          <w:szCs w:val="32"/>
        </w:rPr>
      </w:pPr>
      <w:r>
        <w:rPr>
          <w:rFonts w:hint="eastAsia" w:ascii="仿宋_GB2312" w:hAnsi="仿宋" w:eastAsia="仿宋_GB2312"/>
          <w:b w:val="0"/>
          <w:bCs w:val="0"/>
          <w:caps w:val="0"/>
          <w:smallCaps/>
          <w:sz w:val="32"/>
          <w:szCs w:val="32"/>
        </w:rPr>
        <w:t>第三部分名词解释</w:t>
      </w:r>
      <w:r>
        <w:rPr>
          <w:rFonts w:ascii="仿宋_GB2312" w:hAnsi="仿宋" w:eastAsia="仿宋_GB2312"/>
          <w:b w:val="0"/>
          <w:bCs w:val="0"/>
          <w:caps w:val="0"/>
          <w:smallCaps/>
          <w:sz w:val="32"/>
          <w:szCs w:val="32"/>
        </w:rPr>
        <w:tab/>
      </w:r>
      <w:r>
        <w:rPr>
          <w:rFonts w:ascii="仿宋_GB2312" w:hAnsi="仿宋" w:eastAsia="仿宋_GB2312"/>
          <w:b w:val="0"/>
          <w:bCs w:val="0"/>
          <w:caps w:val="0"/>
          <w:smallCaps/>
          <w:sz w:val="32"/>
          <w:szCs w:val="32"/>
        </w:rPr>
        <w:fldChar w:fldCharType="begin"/>
      </w:r>
      <w:r>
        <w:rPr>
          <w:rFonts w:ascii="仿宋_GB2312" w:hAnsi="仿宋" w:eastAsia="仿宋_GB2312"/>
          <w:b w:val="0"/>
          <w:bCs w:val="0"/>
          <w:caps w:val="0"/>
          <w:smallCaps/>
          <w:sz w:val="32"/>
          <w:szCs w:val="32"/>
        </w:rPr>
        <w:instrText xml:space="preserve"> PAGEREF _Toc82764224 \h </w:instrText>
      </w:r>
      <w:r>
        <w:rPr>
          <w:rFonts w:ascii="仿宋_GB2312" w:hAnsi="仿宋" w:eastAsia="仿宋_GB2312"/>
          <w:b w:val="0"/>
          <w:bCs w:val="0"/>
          <w:caps w:val="0"/>
          <w:smallCaps/>
          <w:sz w:val="32"/>
          <w:szCs w:val="32"/>
        </w:rPr>
        <w:fldChar w:fldCharType="separate"/>
      </w:r>
      <w:r>
        <w:rPr>
          <w:rFonts w:ascii="仿宋_GB2312" w:hAnsi="仿宋" w:eastAsia="仿宋_GB2312"/>
          <w:b w:val="0"/>
          <w:bCs w:val="0"/>
          <w:caps w:val="0"/>
          <w:smallCaps/>
          <w:sz w:val="32"/>
          <w:szCs w:val="32"/>
        </w:rPr>
        <w:t>29</w:t>
      </w:r>
      <w:r>
        <w:rPr>
          <w:rFonts w:ascii="仿宋_GB2312" w:hAnsi="仿宋" w:eastAsia="仿宋_GB2312"/>
          <w:b w:val="0"/>
          <w:bCs w:val="0"/>
          <w:caps w:val="0"/>
          <w:smallCaps/>
          <w:sz w:val="32"/>
          <w:szCs w:val="32"/>
        </w:rPr>
        <w:fldChar w:fldCharType="end"/>
      </w:r>
    </w:p>
    <w:p>
      <w:pPr>
        <w:pStyle w:val="14"/>
        <w:tabs>
          <w:tab w:val="right" w:leader="dot" w:pos="8296"/>
        </w:tabs>
        <w:rPr>
          <w:rFonts w:ascii="仿宋_GB2312" w:hAnsi="仿宋" w:eastAsia="仿宋_GB2312"/>
          <w:b w:val="0"/>
          <w:bCs w:val="0"/>
          <w:caps w:val="0"/>
          <w:smallCaps/>
          <w:sz w:val="32"/>
          <w:szCs w:val="32"/>
        </w:rPr>
      </w:pPr>
      <w:r>
        <w:rPr>
          <w:rFonts w:hint="eastAsia" w:ascii="仿宋_GB2312" w:hAnsi="仿宋" w:eastAsia="仿宋_GB2312"/>
          <w:b w:val="0"/>
          <w:bCs w:val="0"/>
          <w:caps w:val="0"/>
          <w:smallCaps/>
          <w:sz w:val="32"/>
          <w:szCs w:val="32"/>
        </w:rPr>
        <w:t>第四部分</w:t>
      </w:r>
      <w:r>
        <w:rPr>
          <w:rFonts w:ascii="仿宋_GB2312" w:hAnsi="仿宋" w:eastAsia="仿宋_GB2312"/>
          <w:b w:val="0"/>
          <w:bCs w:val="0"/>
          <w:caps w:val="0"/>
          <w:smallCaps/>
          <w:sz w:val="32"/>
          <w:szCs w:val="32"/>
        </w:rPr>
        <w:t xml:space="preserve"> </w:t>
      </w:r>
      <w:r>
        <w:rPr>
          <w:rFonts w:hint="eastAsia" w:ascii="仿宋_GB2312" w:hAnsi="仿宋" w:eastAsia="仿宋_GB2312"/>
          <w:b w:val="0"/>
          <w:bCs w:val="0"/>
          <w:caps w:val="0"/>
          <w:smallCaps/>
          <w:sz w:val="32"/>
          <w:szCs w:val="32"/>
        </w:rPr>
        <w:t>附件</w:t>
      </w:r>
      <w:r>
        <w:rPr>
          <w:rFonts w:ascii="仿宋_GB2312" w:hAnsi="仿宋" w:eastAsia="仿宋_GB2312"/>
          <w:b w:val="0"/>
          <w:bCs w:val="0"/>
          <w:caps w:val="0"/>
          <w:smallCaps/>
          <w:sz w:val="32"/>
          <w:szCs w:val="32"/>
        </w:rPr>
        <w:tab/>
      </w:r>
      <w:r>
        <w:rPr>
          <w:rFonts w:ascii="仿宋_GB2312" w:hAnsi="仿宋" w:eastAsia="仿宋_GB2312"/>
          <w:b w:val="0"/>
          <w:bCs w:val="0"/>
          <w:caps w:val="0"/>
          <w:smallCaps/>
          <w:sz w:val="32"/>
          <w:szCs w:val="32"/>
        </w:rPr>
        <w:fldChar w:fldCharType="begin"/>
      </w:r>
      <w:r>
        <w:rPr>
          <w:rFonts w:ascii="仿宋_GB2312" w:hAnsi="仿宋" w:eastAsia="仿宋_GB2312"/>
          <w:b w:val="0"/>
          <w:bCs w:val="0"/>
          <w:caps w:val="0"/>
          <w:smallCaps/>
          <w:sz w:val="32"/>
          <w:szCs w:val="32"/>
        </w:rPr>
        <w:instrText xml:space="preserve"> PAGEREF _Toc82764225 \h </w:instrText>
      </w:r>
      <w:r>
        <w:rPr>
          <w:rFonts w:ascii="仿宋_GB2312" w:hAnsi="仿宋" w:eastAsia="仿宋_GB2312"/>
          <w:b w:val="0"/>
          <w:bCs w:val="0"/>
          <w:caps w:val="0"/>
          <w:smallCaps/>
          <w:sz w:val="32"/>
          <w:szCs w:val="32"/>
        </w:rPr>
        <w:fldChar w:fldCharType="separate"/>
      </w:r>
      <w:r>
        <w:rPr>
          <w:rFonts w:ascii="仿宋_GB2312" w:hAnsi="仿宋" w:eastAsia="仿宋_GB2312"/>
          <w:b w:val="0"/>
          <w:bCs w:val="0"/>
          <w:caps w:val="0"/>
          <w:smallCaps/>
          <w:sz w:val="32"/>
          <w:szCs w:val="32"/>
        </w:rPr>
        <w:t>34</w:t>
      </w:r>
      <w:r>
        <w:rPr>
          <w:rFonts w:ascii="仿宋_GB2312" w:hAnsi="仿宋" w:eastAsia="仿宋_GB2312"/>
          <w:b w:val="0"/>
          <w:bCs w:val="0"/>
          <w:caps w:val="0"/>
          <w:smallCaps/>
          <w:sz w:val="32"/>
          <w:szCs w:val="32"/>
        </w:rPr>
        <w:fldChar w:fldCharType="end"/>
      </w:r>
    </w:p>
    <w:p>
      <w:pPr>
        <w:pStyle w:val="14"/>
        <w:tabs>
          <w:tab w:val="right" w:leader="dot" w:pos="8296"/>
        </w:tabs>
        <w:rPr>
          <w:rFonts w:ascii="仿宋_GB2312" w:hAnsi="仿宋" w:eastAsia="仿宋_GB2312"/>
          <w:b w:val="0"/>
          <w:bCs w:val="0"/>
          <w:caps w:val="0"/>
          <w:smallCaps/>
          <w:sz w:val="32"/>
          <w:szCs w:val="32"/>
        </w:rPr>
      </w:pPr>
      <w:r>
        <w:rPr>
          <w:rFonts w:hint="eastAsia" w:ascii="仿宋_GB2312" w:hAnsi="仿宋" w:eastAsia="仿宋_GB2312"/>
          <w:b w:val="0"/>
          <w:bCs w:val="0"/>
          <w:caps w:val="0"/>
          <w:smallCaps/>
          <w:sz w:val="32"/>
          <w:szCs w:val="32"/>
        </w:rPr>
        <w:t>附件</w:t>
      </w:r>
      <w:r>
        <w:rPr>
          <w:rFonts w:ascii="仿宋_GB2312" w:hAnsi="仿宋" w:eastAsia="仿宋_GB2312"/>
          <w:b w:val="0"/>
          <w:bCs w:val="0"/>
          <w:caps w:val="0"/>
          <w:smallCaps/>
          <w:sz w:val="32"/>
          <w:szCs w:val="32"/>
        </w:rPr>
        <w:t>1</w:t>
      </w:r>
      <w:r>
        <w:rPr>
          <w:rFonts w:ascii="仿宋_GB2312" w:hAnsi="仿宋" w:eastAsia="仿宋_GB2312"/>
          <w:b w:val="0"/>
          <w:bCs w:val="0"/>
          <w:caps w:val="0"/>
          <w:smallCaps/>
          <w:sz w:val="32"/>
          <w:szCs w:val="32"/>
        </w:rPr>
        <w:tab/>
      </w:r>
      <w:r>
        <w:rPr>
          <w:rFonts w:ascii="仿宋_GB2312" w:hAnsi="仿宋" w:eastAsia="仿宋_GB2312"/>
          <w:b w:val="0"/>
          <w:bCs w:val="0"/>
          <w:caps w:val="0"/>
          <w:smallCaps/>
          <w:sz w:val="32"/>
          <w:szCs w:val="32"/>
        </w:rPr>
        <w:fldChar w:fldCharType="begin"/>
      </w:r>
      <w:r>
        <w:rPr>
          <w:rFonts w:ascii="仿宋_GB2312" w:hAnsi="仿宋" w:eastAsia="仿宋_GB2312"/>
          <w:b w:val="0"/>
          <w:bCs w:val="0"/>
          <w:caps w:val="0"/>
          <w:smallCaps/>
          <w:sz w:val="32"/>
          <w:szCs w:val="32"/>
        </w:rPr>
        <w:instrText xml:space="preserve"> PAGEREF _Toc82764226 \h </w:instrText>
      </w:r>
      <w:r>
        <w:rPr>
          <w:rFonts w:ascii="仿宋_GB2312" w:hAnsi="仿宋" w:eastAsia="仿宋_GB2312"/>
          <w:b w:val="0"/>
          <w:bCs w:val="0"/>
          <w:caps w:val="0"/>
          <w:smallCaps/>
          <w:sz w:val="32"/>
          <w:szCs w:val="32"/>
        </w:rPr>
        <w:fldChar w:fldCharType="separate"/>
      </w:r>
      <w:r>
        <w:rPr>
          <w:rFonts w:ascii="仿宋_GB2312" w:hAnsi="仿宋" w:eastAsia="仿宋_GB2312"/>
          <w:b w:val="0"/>
          <w:bCs w:val="0"/>
          <w:caps w:val="0"/>
          <w:smallCaps/>
          <w:sz w:val="32"/>
          <w:szCs w:val="32"/>
        </w:rPr>
        <w:t>34</w:t>
      </w:r>
      <w:r>
        <w:rPr>
          <w:rFonts w:ascii="仿宋_GB2312" w:hAnsi="仿宋" w:eastAsia="仿宋_GB2312"/>
          <w:b w:val="0"/>
          <w:bCs w:val="0"/>
          <w:caps w:val="0"/>
          <w:smallCaps/>
          <w:sz w:val="32"/>
          <w:szCs w:val="32"/>
        </w:rPr>
        <w:fldChar w:fldCharType="end"/>
      </w:r>
    </w:p>
    <w:p>
      <w:pPr>
        <w:pStyle w:val="14"/>
        <w:tabs>
          <w:tab w:val="right" w:leader="dot" w:pos="8296"/>
        </w:tabs>
        <w:rPr>
          <w:rFonts w:ascii="仿宋_GB2312" w:hAnsi="仿宋" w:eastAsia="仿宋_GB2312"/>
          <w:b w:val="0"/>
          <w:bCs w:val="0"/>
          <w:caps w:val="0"/>
          <w:smallCaps/>
          <w:sz w:val="32"/>
          <w:szCs w:val="32"/>
        </w:rPr>
      </w:pPr>
      <w:r>
        <w:rPr>
          <w:rFonts w:hint="eastAsia" w:ascii="仿宋_GB2312" w:hAnsi="仿宋" w:eastAsia="仿宋_GB2312"/>
          <w:b w:val="0"/>
          <w:bCs w:val="0"/>
          <w:caps w:val="0"/>
          <w:smallCaps/>
          <w:sz w:val="32"/>
          <w:szCs w:val="32"/>
        </w:rPr>
        <w:t>附件</w:t>
      </w:r>
      <w:r>
        <w:rPr>
          <w:rFonts w:ascii="仿宋_GB2312" w:hAnsi="仿宋" w:eastAsia="仿宋_GB2312"/>
          <w:b w:val="0"/>
          <w:bCs w:val="0"/>
          <w:caps w:val="0"/>
          <w:smallCaps/>
          <w:sz w:val="32"/>
          <w:szCs w:val="32"/>
        </w:rPr>
        <w:t>2</w:t>
      </w:r>
      <w:r>
        <w:rPr>
          <w:rFonts w:ascii="仿宋_GB2312" w:hAnsi="仿宋" w:eastAsia="仿宋_GB2312"/>
          <w:b w:val="0"/>
          <w:bCs w:val="0"/>
          <w:caps w:val="0"/>
          <w:smallCaps/>
          <w:sz w:val="32"/>
          <w:szCs w:val="32"/>
        </w:rPr>
        <w:tab/>
      </w:r>
      <w:r>
        <w:rPr>
          <w:rFonts w:ascii="仿宋_GB2312" w:hAnsi="仿宋" w:eastAsia="仿宋_GB2312"/>
          <w:b w:val="0"/>
          <w:bCs w:val="0"/>
          <w:caps w:val="0"/>
          <w:smallCaps/>
          <w:sz w:val="32"/>
          <w:szCs w:val="32"/>
        </w:rPr>
        <w:fldChar w:fldCharType="begin"/>
      </w:r>
      <w:r>
        <w:rPr>
          <w:rFonts w:ascii="仿宋_GB2312" w:hAnsi="仿宋" w:eastAsia="仿宋_GB2312"/>
          <w:b w:val="0"/>
          <w:bCs w:val="0"/>
          <w:caps w:val="0"/>
          <w:smallCaps/>
          <w:sz w:val="32"/>
          <w:szCs w:val="32"/>
        </w:rPr>
        <w:instrText xml:space="preserve"> PAGEREF _Toc82764228 \h </w:instrText>
      </w:r>
      <w:r>
        <w:rPr>
          <w:rFonts w:ascii="仿宋_GB2312" w:hAnsi="仿宋" w:eastAsia="仿宋_GB2312"/>
          <w:b w:val="0"/>
          <w:bCs w:val="0"/>
          <w:caps w:val="0"/>
          <w:smallCaps/>
          <w:sz w:val="32"/>
          <w:szCs w:val="32"/>
        </w:rPr>
        <w:fldChar w:fldCharType="separate"/>
      </w:r>
      <w:r>
        <w:rPr>
          <w:rFonts w:ascii="仿宋_GB2312" w:hAnsi="仿宋" w:eastAsia="仿宋_GB2312"/>
          <w:b w:val="0"/>
          <w:bCs w:val="0"/>
          <w:caps w:val="0"/>
          <w:smallCaps/>
          <w:sz w:val="32"/>
          <w:szCs w:val="32"/>
        </w:rPr>
        <w:t>39</w:t>
      </w:r>
      <w:r>
        <w:rPr>
          <w:rFonts w:ascii="仿宋_GB2312" w:hAnsi="仿宋" w:eastAsia="仿宋_GB2312"/>
          <w:b w:val="0"/>
          <w:bCs w:val="0"/>
          <w:caps w:val="0"/>
          <w:smallCaps/>
          <w:sz w:val="32"/>
          <w:szCs w:val="32"/>
        </w:rPr>
        <w:fldChar w:fldCharType="end"/>
      </w:r>
    </w:p>
    <w:p>
      <w:pPr>
        <w:pStyle w:val="14"/>
        <w:tabs>
          <w:tab w:val="right" w:leader="dot" w:pos="8296"/>
        </w:tabs>
        <w:rPr>
          <w:rFonts w:ascii="仿宋_GB2312" w:hAnsi="仿宋" w:eastAsia="仿宋_GB2312"/>
          <w:b w:val="0"/>
          <w:bCs w:val="0"/>
          <w:caps w:val="0"/>
          <w:smallCaps/>
          <w:sz w:val="32"/>
          <w:szCs w:val="32"/>
        </w:rPr>
      </w:pPr>
      <w:r>
        <w:rPr>
          <w:rFonts w:hint="eastAsia" w:ascii="仿宋_GB2312" w:hAnsi="仿宋" w:eastAsia="仿宋_GB2312"/>
          <w:b w:val="0"/>
          <w:bCs w:val="0"/>
          <w:caps w:val="0"/>
          <w:smallCaps/>
          <w:sz w:val="32"/>
          <w:szCs w:val="32"/>
        </w:rPr>
        <w:t>（二）项目管理情况</w:t>
      </w:r>
      <w:r>
        <w:rPr>
          <w:rFonts w:ascii="仿宋_GB2312" w:hAnsi="仿宋" w:eastAsia="仿宋_GB2312"/>
          <w:b w:val="0"/>
          <w:bCs w:val="0"/>
          <w:caps w:val="0"/>
          <w:smallCaps/>
          <w:sz w:val="32"/>
          <w:szCs w:val="32"/>
        </w:rPr>
        <w:tab/>
      </w:r>
      <w:r>
        <w:rPr>
          <w:rFonts w:ascii="仿宋_GB2312" w:hAnsi="仿宋" w:eastAsia="仿宋_GB2312"/>
          <w:b w:val="0"/>
          <w:bCs w:val="0"/>
          <w:caps w:val="0"/>
          <w:smallCaps/>
          <w:sz w:val="32"/>
          <w:szCs w:val="32"/>
        </w:rPr>
        <w:fldChar w:fldCharType="begin"/>
      </w:r>
      <w:r>
        <w:rPr>
          <w:rFonts w:ascii="仿宋_GB2312" w:hAnsi="仿宋" w:eastAsia="仿宋_GB2312"/>
          <w:b w:val="0"/>
          <w:bCs w:val="0"/>
          <w:caps w:val="0"/>
          <w:smallCaps/>
          <w:sz w:val="32"/>
          <w:szCs w:val="32"/>
        </w:rPr>
        <w:instrText xml:space="preserve"> PAGEREF _Toc82764229 \h </w:instrText>
      </w:r>
      <w:r>
        <w:rPr>
          <w:rFonts w:ascii="仿宋_GB2312" w:hAnsi="仿宋" w:eastAsia="仿宋_GB2312"/>
          <w:b w:val="0"/>
          <w:bCs w:val="0"/>
          <w:caps w:val="0"/>
          <w:smallCaps/>
          <w:sz w:val="32"/>
          <w:szCs w:val="32"/>
        </w:rPr>
        <w:fldChar w:fldCharType="separate"/>
      </w:r>
      <w:r>
        <w:rPr>
          <w:rFonts w:ascii="仿宋_GB2312" w:hAnsi="仿宋" w:eastAsia="仿宋_GB2312"/>
          <w:b w:val="0"/>
          <w:bCs w:val="0"/>
          <w:caps w:val="0"/>
          <w:smallCaps/>
          <w:sz w:val="32"/>
          <w:szCs w:val="32"/>
        </w:rPr>
        <w:t>42</w:t>
      </w:r>
      <w:r>
        <w:rPr>
          <w:rFonts w:ascii="仿宋_GB2312" w:hAnsi="仿宋" w:eastAsia="仿宋_GB2312"/>
          <w:b w:val="0"/>
          <w:bCs w:val="0"/>
          <w:caps w:val="0"/>
          <w:smallCaps/>
          <w:sz w:val="32"/>
          <w:szCs w:val="32"/>
        </w:rPr>
        <w:fldChar w:fldCharType="end"/>
      </w:r>
    </w:p>
    <w:p>
      <w:pPr>
        <w:pStyle w:val="14"/>
        <w:tabs>
          <w:tab w:val="right" w:leader="dot" w:pos="8296"/>
        </w:tabs>
        <w:rPr>
          <w:rFonts w:ascii="仿宋_GB2312" w:hAnsi="仿宋" w:eastAsia="仿宋_GB2312"/>
          <w:b w:val="0"/>
          <w:bCs w:val="0"/>
          <w:caps w:val="0"/>
          <w:smallCaps/>
          <w:sz w:val="32"/>
          <w:szCs w:val="32"/>
        </w:rPr>
      </w:pPr>
      <w:r>
        <w:rPr>
          <w:rFonts w:hint="eastAsia" w:ascii="仿宋_GB2312" w:hAnsi="仿宋" w:eastAsia="仿宋_GB2312"/>
          <w:b w:val="0"/>
          <w:bCs w:val="0"/>
          <w:caps w:val="0"/>
          <w:smallCaps/>
          <w:sz w:val="32"/>
          <w:szCs w:val="32"/>
        </w:rPr>
        <w:t>（三）项目监管情况</w:t>
      </w:r>
      <w:r>
        <w:rPr>
          <w:rFonts w:ascii="仿宋_GB2312" w:hAnsi="仿宋" w:eastAsia="仿宋_GB2312"/>
          <w:b w:val="0"/>
          <w:bCs w:val="0"/>
          <w:caps w:val="0"/>
          <w:smallCaps/>
          <w:sz w:val="32"/>
          <w:szCs w:val="32"/>
        </w:rPr>
        <w:tab/>
      </w:r>
      <w:r>
        <w:rPr>
          <w:rFonts w:ascii="仿宋_GB2312" w:hAnsi="仿宋" w:eastAsia="仿宋_GB2312"/>
          <w:b w:val="0"/>
          <w:bCs w:val="0"/>
          <w:caps w:val="0"/>
          <w:smallCaps/>
          <w:sz w:val="32"/>
          <w:szCs w:val="32"/>
        </w:rPr>
        <w:fldChar w:fldCharType="begin"/>
      </w:r>
      <w:r>
        <w:rPr>
          <w:rFonts w:ascii="仿宋_GB2312" w:hAnsi="仿宋" w:eastAsia="仿宋_GB2312"/>
          <w:b w:val="0"/>
          <w:bCs w:val="0"/>
          <w:caps w:val="0"/>
          <w:smallCaps/>
          <w:sz w:val="32"/>
          <w:szCs w:val="32"/>
        </w:rPr>
        <w:instrText xml:space="preserve"> PAGEREF _Toc82764231 \h </w:instrText>
      </w:r>
      <w:r>
        <w:rPr>
          <w:rFonts w:ascii="仿宋_GB2312" w:hAnsi="仿宋" w:eastAsia="仿宋_GB2312"/>
          <w:b w:val="0"/>
          <w:bCs w:val="0"/>
          <w:caps w:val="0"/>
          <w:smallCaps/>
          <w:sz w:val="32"/>
          <w:szCs w:val="32"/>
        </w:rPr>
        <w:fldChar w:fldCharType="separate"/>
      </w:r>
      <w:r>
        <w:rPr>
          <w:rFonts w:ascii="仿宋_GB2312" w:hAnsi="仿宋" w:eastAsia="仿宋_GB2312"/>
          <w:b w:val="0"/>
          <w:bCs w:val="0"/>
          <w:caps w:val="0"/>
          <w:smallCaps/>
          <w:sz w:val="32"/>
          <w:szCs w:val="32"/>
        </w:rPr>
        <w:t>42</w:t>
      </w:r>
      <w:r>
        <w:rPr>
          <w:rFonts w:ascii="仿宋_GB2312" w:hAnsi="仿宋" w:eastAsia="仿宋_GB2312"/>
          <w:b w:val="0"/>
          <w:bCs w:val="0"/>
          <w:caps w:val="0"/>
          <w:smallCaps/>
          <w:sz w:val="32"/>
          <w:szCs w:val="32"/>
        </w:rPr>
        <w:fldChar w:fldCharType="end"/>
      </w:r>
    </w:p>
    <w:p>
      <w:pPr>
        <w:pStyle w:val="14"/>
        <w:tabs>
          <w:tab w:val="right" w:leader="dot" w:pos="8296"/>
        </w:tabs>
        <w:rPr>
          <w:rFonts w:ascii="仿宋_GB2312" w:hAnsi="仿宋" w:eastAsia="仿宋_GB2312"/>
          <w:b w:val="0"/>
          <w:bCs w:val="0"/>
          <w:caps w:val="0"/>
          <w:smallCaps/>
          <w:sz w:val="32"/>
          <w:szCs w:val="32"/>
        </w:rPr>
      </w:pPr>
      <w:r>
        <w:rPr>
          <w:rFonts w:hint="eastAsia" w:ascii="仿宋_GB2312" w:hAnsi="仿宋" w:eastAsia="仿宋_GB2312"/>
          <w:b w:val="0"/>
          <w:bCs w:val="0"/>
          <w:caps w:val="0"/>
          <w:smallCaps/>
          <w:sz w:val="32"/>
          <w:szCs w:val="32"/>
        </w:rPr>
        <w:t>第五部分</w:t>
      </w:r>
      <w:r>
        <w:rPr>
          <w:rFonts w:ascii="仿宋_GB2312" w:hAnsi="仿宋" w:eastAsia="仿宋_GB2312"/>
          <w:b w:val="0"/>
          <w:bCs w:val="0"/>
          <w:caps w:val="0"/>
          <w:smallCaps/>
          <w:sz w:val="32"/>
          <w:szCs w:val="32"/>
        </w:rPr>
        <w:t xml:space="preserve"> </w:t>
      </w:r>
      <w:r>
        <w:rPr>
          <w:rFonts w:hint="eastAsia" w:ascii="仿宋_GB2312" w:hAnsi="仿宋" w:eastAsia="仿宋_GB2312"/>
          <w:b w:val="0"/>
          <w:bCs w:val="0"/>
          <w:caps w:val="0"/>
          <w:smallCaps/>
          <w:sz w:val="32"/>
          <w:szCs w:val="32"/>
        </w:rPr>
        <w:t>附表</w:t>
      </w:r>
      <w:r>
        <w:rPr>
          <w:rFonts w:ascii="仿宋_GB2312" w:hAnsi="仿宋" w:eastAsia="仿宋_GB2312"/>
          <w:b w:val="0"/>
          <w:bCs w:val="0"/>
          <w:caps w:val="0"/>
          <w:smallCaps/>
          <w:sz w:val="32"/>
          <w:szCs w:val="32"/>
        </w:rPr>
        <w:tab/>
      </w:r>
      <w:r>
        <w:rPr>
          <w:rFonts w:ascii="仿宋_GB2312" w:hAnsi="仿宋" w:eastAsia="仿宋_GB2312"/>
          <w:b w:val="0"/>
          <w:bCs w:val="0"/>
          <w:caps w:val="0"/>
          <w:smallCaps/>
          <w:sz w:val="32"/>
          <w:szCs w:val="32"/>
        </w:rPr>
        <w:fldChar w:fldCharType="begin"/>
      </w:r>
      <w:r>
        <w:rPr>
          <w:rFonts w:ascii="仿宋_GB2312" w:hAnsi="仿宋" w:eastAsia="仿宋_GB2312"/>
          <w:b w:val="0"/>
          <w:bCs w:val="0"/>
          <w:caps w:val="0"/>
          <w:smallCaps/>
          <w:sz w:val="32"/>
          <w:szCs w:val="32"/>
        </w:rPr>
        <w:instrText xml:space="preserve"> PAGEREF _Toc82764235 \h </w:instrText>
      </w:r>
      <w:r>
        <w:rPr>
          <w:rFonts w:ascii="仿宋_GB2312" w:hAnsi="仿宋" w:eastAsia="仿宋_GB2312"/>
          <w:b w:val="0"/>
          <w:bCs w:val="0"/>
          <w:caps w:val="0"/>
          <w:smallCaps/>
          <w:sz w:val="32"/>
          <w:szCs w:val="32"/>
        </w:rPr>
        <w:fldChar w:fldCharType="separate"/>
      </w:r>
      <w:r>
        <w:rPr>
          <w:rFonts w:ascii="仿宋_GB2312" w:hAnsi="仿宋" w:eastAsia="仿宋_GB2312"/>
          <w:b w:val="0"/>
          <w:bCs w:val="0"/>
          <w:caps w:val="0"/>
          <w:smallCaps/>
          <w:sz w:val="32"/>
          <w:szCs w:val="32"/>
        </w:rPr>
        <w:t>68</w:t>
      </w:r>
      <w:r>
        <w:rPr>
          <w:rFonts w:ascii="仿宋_GB2312" w:hAnsi="仿宋" w:eastAsia="仿宋_GB2312"/>
          <w:b w:val="0"/>
          <w:bCs w:val="0"/>
          <w:caps w:val="0"/>
          <w:smallCaps/>
          <w:sz w:val="32"/>
          <w:szCs w:val="32"/>
        </w:rPr>
        <w:fldChar w:fldCharType="end"/>
      </w:r>
    </w:p>
    <w:p>
      <w:pPr>
        <w:pStyle w:val="14"/>
        <w:tabs>
          <w:tab w:val="right" w:leader="dot" w:pos="8296"/>
        </w:tabs>
        <w:rPr>
          <w:rFonts w:ascii="仿宋_GB2312" w:hAnsi="仿宋" w:eastAsia="仿宋_GB2312"/>
          <w:b w:val="0"/>
          <w:bCs w:val="0"/>
          <w:caps w:val="0"/>
          <w:smallCaps/>
          <w:sz w:val="32"/>
          <w:szCs w:val="32"/>
        </w:rPr>
      </w:pPr>
      <w:r>
        <w:rPr>
          <w:rFonts w:hint="eastAsia" w:ascii="仿宋_GB2312" w:hAnsi="仿宋" w:eastAsia="仿宋_GB2312"/>
          <w:b w:val="0"/>
          <w:bCs w:val="0"/>
          <w:caps w:val="0"/>
          <w:smallCaps/>
          <w:sz w:val="32"/>
          <w:szCs w:val="32"/>
        </w:rPr>
        <w:t>一、收入支出决算总表</w:t>
      </w:r>
      <w:r>
        <w:rPr>
          <w:rFonts w:ascii="仿宋_GB2312" w:hAnsi="仿宋" w:eastAsia="仿宋_GB2312"/>
          <w:b w:val="0"/>
          <w:bCs w:val="0"/>
          <w:caps w:val="0"/>
          <w:smallCaps/>
          <w:sz w:val="32"/>
          <w:szCs w:val="32"/>
        </w:rPr>
        <w:tab/>
      </w:r>
      <w:r>
        <w:rPr>
          <w:rFonts w:ascii="仿宋_GB2312" w:hAnsi="仿宋" w:eastAsia="仿宋_GB2312"/>
          <w:b w:val="0"/>
          <w:bCs w:val="0"/>
          <w:caps w:val="0"/>
          <w:smallCaps/>
          <w:sz w:val="32"/>
          <w:szCs w:val="32"/>
        </w:rPr>
        <w:fldChar w:fldCharType="begin"/>
      </w:r>
      <w:r>
        <w:rPr>
          <w:rFonts w:ascii="仿宋_GB2312" w:hAnsi="仿宋" w:eastAsia="仿宋_GB2312"/>
          <w:b w:val="0"/>
          <w:bCs w:val="0"/>
          <w:caps w:val="0"/>
          <w:smallCaps/>
          <w:sz w:val="32"/>
          <w:szCs w:val="32"/>
        </w:rPr>
        <w:instrText xml:space="preserve"> PAGEREF _Toc82764236 \h </w:instrText>
      </w:r>
      <w:r>
        <w:rPr>
          <w:rFonts w:ascii="仿宋_GB2312" w:hAnsi="仿宋" w:eastAsia="仿宋_GB2312"/>
          <w:b w:val="0"/>
          <w:bCs w:val="0"/>
          <w:caps w:val="0"/>
          <w:smallCaps/>
          <w:sz w:val="32"/>
          <w:szCs w:val="32"/>
        </w:rPr>
        <w:fldChar w:fldCharType="separate"/>
      </w:r>
      <w:r>
        <w:rPr>
          <w:rFonts w:ascii="仿宋_GB2312" w:hAnsi="仿宋" w:eastAsia="仿宋_GB2312"/>
          <w:b w:val="0"/>
          <w:bCs w:val="0"/>
          <w:caps w:val="0"/>
          <w:smallCaps/>
          <w:sz w:val="32"/>
          <w:szCs w:val="32"/>
        </w:rPr>
        <w:t>68</w:t>
      </w:r>
      <w:r>
        <w:rPr>
          <w:rFonts w:ascii="仿宋_GB2312" w:hAnsi="仿宋" w:eastAsia="仿宋_GB2312"/>
          <w:b w:val="0"/>
          <w:bCs w:val="0"/>
          <w:caps w:val="0"/>
          <w:smallCaps/>
          <w:sz w:val="32"/>
          <w:szCs w:val="32"/>
        </w:rPr>
        <w:fldChar w:fldCharType="end"/>
      </w:r>
    </w:p>
    <w:p>
      <w:pPr>
        <w:pStyle w:val="14"/>
        <w:tabs>
          <w:tab w:val="right" w:leader="dot" w:pos="8296"/>
        </w:tabs>
        <w:rPr>
          <w:rFonts w:ascii="仿宋_GB2312" w:hAnsi="仿宋" w:eastAsia="仿宋_GB2312"/>
          <w:b w:val="0"/>
          <w:bCs w:val="0"/>
          <w:caps w:val="0"/>
          <w:smallCaps/>
          <w:sz w:val="32"/>
          <w:szCs w:val="32"/>
        </w:rPr>
      </w:pPr>
      <w:r>
        <w:rPr>
          <w:rFonts w:hint="eastAsia" w:ascii="仿宋_GB2312" w:hAnsi="仿宋" w:eastAsia="仿宋_GB2312"/>
          <w:b w:val="0"/>
          <w:bCs w:val="0"/>
          <w:caps w:val="0"/>
          <w:smallCaps/>
          <w:sz w:val="32"/>
          <w:szCs w:val="32"/>
        </w:rPr>
        <w:t>二、收入决算表</w:t>
      </w:r>
      <w:r>
        <w:rPr>
          <w:rFonts w:ascii="仿宋_GB2312" w:hAnsi="仿宋" w:eastAsia="仿宋_GB2312"/>
          <w:b w:val="0"/>
          <w:bCs w:val="0"/>
          <w:caps w:val="0"/>
          <w:smallCaps/>
          <w:sz w:val="32"/>
          <w:szCs w:val="32"/>
        </w:rPr>
        <w:tab/>
      </w:r>
      <w:r>
        <w:rPr>
          <w:rFonts w:ascii="仿宋_GB2312" w:hAnsi="仿宋" w:eastAsia="仿宋_GB2312"/>
          <w:b w:val="0"/>
          <w:bCs w:val="0"/>
          <w:caps w:val="0"/>
          <w:smallCaps/>
          <w:sz w:val="32"/>
          <w:szCs w:val="32"/>
        </w:rPr>
        <w:fldChar w:fldCharType="begin"/>
      </w:r>
      <w:r>
        <w:rPr>
          <w:rFonts w:ascii="仿宋_GB2312" w:hAnsi="仿宋" w:eastAsia="仿宋_GB2312"/>
          <w:b w:val="0"/>
          <w:bCs w:val="0"/>
          <w:caps w:val="0"/>
          <w:smallCaps/>
          <w:sz w:val="32"/>
          <w:szCs w:val="32"/>
        </w:rPr>
        <w:instrText xml:space="preserve"> PAGEREF _Toc82764237 \h </w:instrText>
      </w:r>
      <w:r>
        <w:rPr>
          <w:rFonts w:ascii="仿宋_GB2312" w:hAnsi="仿宋" w:eastAsia="仿宋_GB2312"/>
          <w:b w:val="0"/>
          <w:bCs w:val="0"/>
          <w:caps w:val="0"/>
          <w:smallCaps/>
          <w:sz w:val="32"/>
          <w:szCs w:val="32"/>
        </w:rPr>
        <w:fldChar w:fldCharType="separate"/>
      </w:r>
      <w:r>
        <w:rPr>
          <w:rFonts w:ascii="仿宋_GB2312" w:hAnsi="仿宋" w:eastAsia="仿宋_GB2312"/>
          <w:b w:val="0"/>
          <w:bCs w:val="0"/>
          <w:caps w:val="0"/>
          <w:smallCaps/>
          <w:sz w:val="32"/>
          <w:szCs w:val="32"/>
        </w:rPr>
        <w:t>68</w:t>
      </w:r>
      <w:r>
        <w:rPr>
          <w:rFonts w:ascii="仿宋_GB2312" w:hAnsi="仿宋" w:eastAsia="仿宋_GB2312"/>
          <w:b w:val="0"/>
          <w:bCs w:val="0"/>
          <w:caps w:val="0"/>
          <w:smallCaps/>
          <w:sz w:val="32"/>
          <w:szCs w:val="32"/>
        </w:rPr>
        <w:fldChar w:fldCharType="end"/>
      </w:r>
    </w:p>
    <w:p>
      <w:pPr>
        <w:pStyle w:val="14"/>
        <w:tabs>
          <w:tab w:val="right" w:leader="dot" w:pos="8296"/>
        </w:tabs>
        <w:rPr>
          <w:rFonts w:ascii="仿宋_GB2312" w:hAnsi="仿宋" w:eastAsia="仿宋_GB2312"/>
          <w:b w:val="0"/>
          <w:bCs w:val="0"/>
          <w:caps w:val="0"/>
          <w:smallCaps/>
          <w:sz w:val="32"/>
          <w:szCs w:val="32"/>
        </w:rPr>
      </w:pPr>
      <w:r>
        <w:rPr>
          <w:rFonts w:hint="eastAsia" w:ascii="仿宋_GB2312" w:hAnsi="仿宋" w:eastAsia="仿宋_GB2312"/>
          <w:b w:val="0"/>
          <w:bCs w:val="0"/>
          <w:caps w:val="0"/>
          <w:smallCaps/>
          <w:sz w:val="32"/>
          <w:szCs w:val="32"/>
        </w:rPr>
        <w:t>三、支出决算表</w:t>
      </w:r>
      <w:r>
        <w:rPr>
          <w:rFonts w:ascii="仿宋_GB2312" w:hAnsi="仿宋" w:eastAsia="仿宋_GB2312"/>
          <w:b w:val="0"/>
          <w:bCs w:val="0"/>
          <w:caps w:val="0"/>
          <w:smallCaps/>
          <w:sz w:val="32"/>
          <w:szCs w:val="32"/>
        </w:rPr>
        <w:tab/>
      </w:r>
      <w:r>
        <w:rPr>
          <w:rFonts w:ascii="仿宋_GB2312" w:hAnsi="仿宋" w:eastAsia="仿宋_GB2312"/>
          <w:b w:val="0"/>
          <w:bCs w:val="0"/>
          <w:caps w:val="0"/>
          <w:smallCaps/>
          <w:sz w:val="32"/>
          <w:szCs w:val="32"/>
        </w:rPr>
        <w:fldChar w:fldCharType="begin"/>
      </w:r>
      <w:r>
        <w:rPr>
          <w:rFonts w:ascii="仿宋_GB2312" w:hAnsi="仿宋" w:eastAsia="仿宋_GB2312"/>
          <w:b w:val="0"/>
          <w:bCs w:val="0"/>
          <w:caps w:val="0"/>
          <w:smallCaps/>
          <w:sz w:val="32"/>
          <w:szCs w:val="32"/>
        </w:rPr>
        <w:instrText xml:space="preserve"> PAGEREF _Toc82764238 \h </w:instrText>
      </w:r>
      <w:r>
        <w:rPr>
          <w:rFonts w:ascii="仿宋_GB2312" w:hAnsi="仿宋" w:eastAsia="仿宋_GB2312"/>
          <w:b w:val="0"/>
          <w:bCs w:val="0"/>
          <w:caps w:val="0"/>
          <w:smallCaps/>
          <w:sz w:val="32"/>
          <w:szCs w:val="32"/>
        </w:rPr>
        <w:fldChar w:fldCharType="separate"/>
      </w:r>
      <w:r>
        <w:rPr>
          <w:rFonts w:ascii="仿宋_GB2312" w:hAnsi="仿宋" w:eastAsia="仿宋_GB2312"/>
          <w:b w:val="0"/>
          <w:bCs w:val="0"/>
          <w:caps w:val="0"/>
          <w:smallCaps/>
          <w:sz w:val="32"/>
          <w:szCs w:val="32"/>
        </w:rPr>
        <w:t>68</w:t>
      </w:r>
      <w:r>
        <w:rPr>
          <w:rFonts w:ascii="仿宋_GB2312" w:hAnsi="仿宋" w:eastAsia="仿宋_GB2312"/>
          <w:b w:val="0"/>
          <w:bCs w:val="0"/>
          <w:caps w:val="0"/>
          <w:smallCaps/>
          <w:sz w:val="32"/>
          <w:szCs w:val="32"/>
        </w:rPr>
        <w:fldChar w:fldCharType="end"/>
      </w:r>
    </w:p>
    <w:p>
      <w:pPr>
        <w:pStyle w:val="14"/>
        <w:tabs>
          <w:tab w:val="right" w:leader="dot" w:pos="8296"/>
        </w:tabs>
        <w:rPr>
          <w:rFonts w:ascii="仿宋_GB2312" w:hAnsi="仿宋" w:eastAsia="仿宋_GB2312"/>
          <w:b w:val="0"/>
          <w:bCs w:val="0"/>
          <w:caps w:val="0"/>
          <w:smallCaps/>
          <w:sz w:val="32"/>
          <w:szCs w:val="32"/>
        </w:rPr>
      </w:pPr>
      <w:r>
        <w:rPr>
          <w:rFonts w:hint="eastAsia" w:ascii="仿宋_GB2312" w:hAnsi="仿宋" w:eastAsia="仿宋_GB2312"/>
          <w:b w:val="0"/>
          <w:bCs w:val="0"/>
          <w:caps w:val="0"/>
          <w:smallCaps/>
          <w:sz w:val="32"/>
          <w:szCs w:val="32"/>
        </w:rPr>
        <w:t>四、财政拨款收入支出决算总表</w:t>
      </w:r>
      <w:r>
        <w:rPr>
          <w:rFonts w:ascii="仿宋_GB2312" w:hAnsi="仿宋" w:eastAsia="仿宋_GB2312"/>
          <w:b w:val="0"/>
          <w:bCs w:val="0"/>
          <w:caps w:val="0"/>
          <w:smallCaps/>
          <w:sz w:val="32"/>
          <w:szCs w:val="32"/>
        </w:rPr>
        <w:tab/>
      </w:r>
      <w:r>
        <w:rPr>
          <w:rFonts w:ascii="仿宋_GB2312" w:hAnsi="仿宋" w:eastAsia="仿宋_GB2312"/>
          <w:b w:val="0"/>
          <w:bCs w:val="0"/>
          <w:caps w:val="0"/>
          <w:smallCaps/>
          <w:sz w:val="32"/>
          <w:szCs w:val="32"/>
        </w:rPr>
        <w:fldChar w:fldCharType="begin"/>
      </w:r>
      <w:r>
        <w:rPr>
          <w:rFonts w:ascii="仿宋_GB2312" w:hAnsi="仿宋" w:eastAsia="仿宋_GB2312"/>
          <w:b w:val="0"/>
          <w:bCs w:val="0"/>
          <w:caps w:val="0"/>
          <w:smallCaps/>
          <w:sz w:val="32"/>
          <w:szCs w:val="32"/>
        </w:rPr>
        <w:instrText xml:space="preserve"> PAGEREF _Toc82764239 \h </w:instrText>
      </w:r>
      <w:r>
        <w:rPr>
          <w:rFonts w:ascii="仿宋_GB2312" w:hAnsi="仿宋" w:eastAsia="仿宋_GB2312"/>
          <w:b w:val="0"/>
          <w:bCs w:val="0"/>
          <w:caps w:val="0"/>
          <w:smallCaps/>
          <w:sz w:val="32"/>
          <w:szCs w:val="32"/>
        </w:rPr>
        <w:fldChar w:fldCharType="separate"/>
      </w:r>
      <w:r>
        <w:rPr>
          <w:rFonts w:ascii="仿宋_GB2312" w:hAnsi="仿宋" w:eastAsia="仿宋_GB2312"/>
          <w:b w:val="0"/>
          <w:bCs w:val="0"/>
          <w:caps w:val="0"/>
          <w:smallCaps/>
          <w:sz w:val="32"/>
          <w:szCs w:val="32"/>
        </w:rPr>
        <w:t>68</w:t>
      </w:r>
      <w:r>
        <w:rPr>
          <w:rFonts w:ascii="仿宋_GB2312" w:hAnsi="仿宋" w:eastAsia="仿宋_GB2312"/>
          <w:b w:val="0"/>
          <w:bCs w:val="0"/>
          <w:caps w:val="0"/>
          <w:smallCaps/>
          <w:sz w:val="32"/>
          <w:szCs w:val="32"/>
        </w:rPr>
        <w:fldChar w:fldCharType="end"/>
      </w:r>
    </w:p>
    <w:p>
      <w:pPr>
        <w:pStyle w:val="14"/>
        <w:tabs>
          <w:tab w:val="right" w:leader="dot" w:pos="8296"/>
        </w:tabs>
        <w:rPr>
          <w:rFonts w:ascii="仿宋_GB2312" w:hAnsi="仿宋" w:eastAsia="仿宋_GB2312"/>
          <w:b w:val="0"/>
          <w:bCs w:val="0"/>
          <w:caps w:val="0"/>
          <w:smallCaps/>
          <w:sz w:val="32"/>
          <w:szCs w:val="32"/>
        </w:rPr>
      </w:pPr>
      <w:r>
        <w:rPr>
          <w:rFonts w:hint="eastAsia" w:ascii="仿宋_GB2312" w:hAnsi="仿宋" w:eastAsia="仿宋_GB2312"/>
          <w:b w:val="0"/>
          <w:bCs w:val="0"/>
          <w:caps w:val="0"/>
          <w:smallCaps/>
          <w:sz w:val="32"/>
          <w:szCs w:val="32"/>
        </w:rPr>
        <w:t>五、财政拨款支出决算明细表</w:t>
      </w:r>
      <w:r>
        <w:rPr>
          <w:rFonts w:ascii="仿宋_GB2312" w:hAnsi="仿宋" w:eastAsia="仿宋_GB2312"/>
          <w:b w:val="0"/>
          <w:bCs w:val="0"/>
          <w:caps w:val="0"/>
          <w:smallCaps/>
          <w:sz w:val="32"/>
          <w:szCs w:val="32"/>
        </w:rPr>
        <w:tab/>
      </w:r>
      <w:r>
        <w:rPr>
          <w:rFonts w:ascii="仿宋_GB2312" w:hAnsi="仿宋" w:eastAsia="仿宋_GB2312"/>
          <w:b w:val="0"/>
          <w:bCs w:val="0"/>
          <w:caps w:val="0"/>
          <w:smallCaps/>
          <w:sz w:val="32"/>
          <w:szCs w:val="32"/>
        </w:rPr>
        <w:fldChar w:fldCharType="begin"/>
      </w:r>
      <w:r>
        <w:rPr>
          <w:rFonts w:ascii="仿宋_GB2312" w:hAnsi="仿宋" w:eastAsia="仿宋_GB2312"/>
          <w:b w:val="0"/>
          <w:bCs w:val="0"/>
          <w:caps w:val="0"/>
          <w:smallCaps/>
          <w:sz w:val="32"/>
          <w:szCs w:val="32"/>
        </w:rPr>
        <w:instrText xml:space="preserve"> PAGEREF _Toc82764240 \h </w:instrText>
      </w:r>
      <w:r>
        <w:rPr>
          <w:rFonts w:ascii="仿宋_GB2312" w:hAnsi="仿宋" w:eastAsia="仿宋_GB2312"/>
          <w:b w:val="0"/>
          <w:bCs w:val="0"/>
          <w:caps w:val="0"/>
          <w:smallCaps/>
          <w:sz w:val="32"/>
          <w:szCs w:val="32"/>
        </w:rPr>
        <w:fldChar w:fldCharType="separate"/>
      </w:r>
      <w:r>
        <w:rPr>
          <w:rFonts w:ascii="仿宋_GB2312" w:hAnsi="仿宋" w:eastAsia="仿宋_GB2312"/>
          <w:b w:val="0"/>
          <w:bCs w:val="0"/>
          <w:caps w:val="0"/>
          <w:smallCaps/>
          <w:sz w:val="32"/>
          <w:szCs w:val="32"/>
        </w:rPr>
        <w:t>68</w:t>
      </w:r>
      <w:r>
        <w:rPr>
          <w:rFonts w:ascii="仿宋_GB2312" w:hAnsi="仿宋" w:eastAsia="仿宋_GB2312"/>
          <w:b w:val="0"/>
          <w:bCs w:val="0"/>
          <w:caps w:val="0"/>
          <w:smallCaps/>
          <w:sz w:val="32"/>
          <w:szCs w:val="32"/>
        </w:rPr>
        <w:fldChar w:fldCharType="end"/>
      </w:r>
    </w:p>
    <w:p>
      <w:pPr>
        <w:pStyle w:val="14"/>
        <w:tabs>
          <w:tab w:val="right" w:leader="dot" w:pos="8296"/>
        </w:tabs>
        <w:rPr>
          <w:rFonts w:ascii="仿宋_GB2312" w:hAnsi="仿宋" w:eastAsia="仿宋_GB2312"/>
          <w:b w:val="0"/>
          <w:bCs w:val="0"/>
          <w:caps w:val="0"/>
          <w:smallCaps/>
          <w:sz w:val="32"/>
          <w:szCs w:val="32"/>
        </w:rPr>
      </w:pPr>
      <w:r>
        <w:rPr>
          <w:rFonts w:hint="eastAsia" w:ascii="仿宋_GB2312" w:hAnsi="仿宋" w:eastAsia="仿宋_GB2312"/>
          <w:b w:val="0"/>
          <w:bCs w:val="0"/>
          <w:caps w:val="0"/>
          <w:smallCaps/>
          <w:sz w:val="32"/>
          <w:szCs w:val="32"/>
        </w:rPr>
        <w:t>六、一般公共预算财政拨款支出决算表</w:t>
      </w:r>
      <w:r>
        <w:rPr>
          <w:rFonts w:ascii="仿宋_GB2312" w:hAnsi="仿宋" w:eastAsia="仿宋_GB2312"/>
          <w:b w:val="0"/>
          <w:bCs w:val="0"/>
          <w:caps w:val="0"/>
          <w:smallCaps/>
          <w:sz w:val="32"/>
          <w:szCs w:val="32"/>
        </w:rPr>
        <w:tab/>
      </w:r>
      <w:r>
        <w:rPr>
          <w:rFonts w:ascii="仿宋_GB2312" w:hAnsi="仿宋" w:eastAsia="仿宋_GB2312"/>
          <w:b w:val="0"/>
          <w:bCs w:val="0"/>
          <w:caps w:val="0"/>
          <w:smallCaps/>
          <w:sz w:val="32"/>
          <w:szCs w:val="32"/>
        </w:rPr>
        <w:fldChar w:fldCharType="begin"/>
      </w:r>
      <w:r>
        <w:rPr>
          <w:rFonts w:ascii="仿宋_GB2312" w:hAnsi="仿宋" w:eastAsia="仿宋_GB2312"/>
          <w:b w:val="0"/>
          <w:bCs w:val="0"/>
          <w:caps w:val="0"/>
          <w:smallCaps/>
          <w:sz w:val="32"/>
          <w:szCs w:val="32"/>
        </w:rPr>
        <w:instrText xml:space="preserve"> PAGEREF _Toc82764241 \h </w:instrText>
      </w:r>
      <w:r>
        <w:rPr>
          <w:rFonts w:ascii="仿宋_GB2312" w:hAnsi="仿宋" w:eastAsia="仿宋_GB2312"/>
          <w:b w:val="0"/>
          <w:bCs w:val="0"/>
          <w:caps w:val="0"/>
          <w:smallCaps/>
          <w:sz w:val="32"/>
          <w:szCs w:val="32"/>
        </w:rPr>
        <w:fldChar w:fldCharType="separate"/>
      </w:r>
      <w:r>
        <w:rPr>
          <w:rFonts w:ascii="仿宋_GB2312" w:hAnsi="仿宋" w:eastAsia="仿宋_GB2312"/>
          <w:b w:val="0"/>
          <w:bCs w:val="0"/>
          <w:caps w:val="0"/>
          <w:smallCaps/>
          <w:sz w:val="32"/>
          <w:szCs w:val="32"/>
        </w:rPr>
        <w:t>68</w:t>
      </w:r>
      <w:r>
        <w:rPr>
          <w:rFonts w:ascii="仿宋_GB2312" w:hAnsi="仿宋" w:eastAsia="仿宋_GB2312"/>
          <w:b w:val="0"/>
          <w:bCs w:val="0"/>
          <w:caps w:val="0"/>
          <w:smallCaps/>
          <w:sz w:val="32"/>
          <w:szCs w:val="32"/>
        </w:rPr>
        <w:fldChar w:fldCharType="end"/>
      </w:r>
    </w:p>
    <w:p>
      <w:pPr>
        <w:pStyle w:val="14"/>
        <w:tabs>
          <w:tab w:val="right" w:leader="dot" w:pos="8296"/>
        </w:tabs>
        <w:rPr>
          <w:rFonts w:ascii="仿宋_GB2312" w:hAnsi="仿宋" w:eastAsia="仿宋_GB2312"/>
          <w:b w:val="0"/>
          <w:bCs w:val="0"/>
          <w:caps w:val="0"/>
          <w:smallCaps/>
          <w:sz w:val="32"/>
          <w:szCs w:val="32"/>
        </w:rPr>
      </w:pPr>
      <w:r>
        <w:rPr>
          <w:rFonts w:hint="eastAsia" w:ascii="仿宋_GB2312" w:hAnsi="仿宋" w:eastAsia="仿宋_GB2312"/>
          <w:b w:val="0"/>
          <w:bCs w:val="0"/>
          <w:caps w:val="0"/>
          <w:smallCaps/>
          <w:sz w:val="32"/>
          <w:szCs w:val="32"/>
        </w:rPr>
        <w:t>七、一般公共预算财政拨款支出决算明细表</w:t>
      </w:r>
      <w:r>
        <w:rPr>
          <w:rFonts w:ascii="仿宋_GB2312" w:hAnsi="仿宋" w:eastAsia="仿宋_GB2312"/>
          <w:b w:val="0"/>
          <w:bCs w:val="0"/>
          <w:caps w:val="0"/>
          <w:smallCaps/>
          <w:sz w:val="32"/>
          <w:szCs w:val="32"/>
        </w:rPr>
        <w:tab/>
      </w:r>
      <w:r>
        <w:rPr>
          <w:rFonts w:ascii="仿宋_GB2312" w:hAnsi="仿宋" w:eastAsia="仿宋_GB2312"/>
          <w:b w:val="0"/>
          <w:bCs w:val="0"/>
          <w:caps w:val="0"/>
          <w:smallCaps/>
          <w:sz w:val="32"/>
          <w:szCs w:val="32"/>
        </w:rPr>
        <w:fldChar w:fldCharType="begin"/>
      </w:r>
      <w:r>
        <w:rPr>
          <w:rFonts w:ascii="仿宋_GB2312" w:hAnsi="仿宋" w:eastAsia="仿宋_GB2312"/>
          <w:b w:val="0"/>
          <w:bCs w:val="0"/>
          <w:caps w:val="0"/>
          <w:smallCaps/>
          <w:sz w:val="32"/>
          <w:szCs w:val="32"/>
        </w:rPr>
        <w:instrText xml:space="preserve"> PAGEREF _Toc82764242 \h </w:instrText>
      </w:r>
      <w:r>
        <w:rPr>
          <w:rFonts w:ascii="仿宋_GB2312" w:hAnsi="仿宋" w:eastAsia="仿宋_GB2312"/>
          <w:b w:val="0"/>
          <w:bCs w:val="0"/>
          <w:caps w:val="0"/>
          <w:smallCaps/>
          <w:sz w:val="32"/>
          <w:szCs w:val="32"/>
        </w:rPr>
        <w:fldChar w:fldCharType="separate"/>
      </w:r>
      <w:r>
        <w:rPr>
          <w:rFonts w:ascii="仿宋_GB2312" w:hAnsi="仿宋" w:eastAsia="仿宋_GB2312"/>
          <w:b w:val="0"/>
          <w:bCs w:val="0"/>
          <w:caps w:val="0"/>
          <w:smallCaps/>
          <w:sz w:val="32"/>
          <w:szCs w:val="32"/>
        </w:rPr>
        <w:t>68</w:t>
      </w:r>
      <w:r>
        <w:rPr>
          <w:rFonts w:ascii="仿宋_GB2312" w:hAnsi="仿宋" w:eastAsia="仿宋_GB2312"/>
          <w:b w:val="0"/>
          <w:bCs w:val="0"/>
          <w:caps w:val="0"/>
          <w:smallCaps/>
          <w:sz w:val="32"/>
          <w:szCs w:val="32"/>
        </w:rPr>
        <w:fldChar w:fldCharType="end"/>
      </w:r>
    </w:p>
    <w:p>
      <w:pPr>
        <w:pStyle w:val="14"/>
        <w:tabs>
          <w:tab w:val="right" w:leader="dot" w:pos="8296"/>
        </w:tabs>
        <w:rPr>
          <w:rFonts w:ascii="仿宋_GB2312" w:hAnsi="仿宋" w:eastAsia="仿宋_GB2312"/>
          <w:b w:val="0"/>
          <w:bCs w:val="0"/>
          <w:caps w:val="0"/>
          <w:smallCaps/>
          <w:sz w:val="32"/>
          <w:szCs w:val="32"/>
        </w:rPr>
      </w:pPr>
      <w:r>
        <w:rPr>
          <w:rFonts w:hint="eastAsia" w:ascii="仿宋_GB2312" w:hAnsi="仿宋" w:eastAsia="仿宋_GB2312"/>
          <w:b w:val="0"/>
          <w:bCs w:val="0"/>
          <w:caps w:val="0"/>
          <w:smallCaps/>
          <w:sz w:val="32"/>
          <w:szCs w:val="32"/>
        </w:rPr>
        <w:t>八、一般公共预算财政拨款基本支出决算表</w:t>
      </w:r>
      <w:r>
        <w:rPr>
          <w:rFonts w:ascii="仿宋_GB2312" w:hAnsi="仿宋" w:eastAsia="仿宋_GB2312"/>
          <w:b w:val="0"/>
          <w:bCs w:val="0"/>
          <w:caps w:val="0"/>
          <w:smallCaps/>
          <w:sz w:val="32"/>
          <w:szCs w:val="32"/>
        </w:rPr>
        <w:tab/>
      </w:r>
      <w:r>
        <w:rPr>
          <w:rFonts w:ascii="仿宋_GB2312" w:hAnsi="仿宋" w:eastAsia="仿宋_GB2312"/>
          <w:b w:val="0"/>
          <w:bCs w:val="0"/>
          <w:caps w:val="0"/>
          <w:smallCaps/>
          <w:sz w:val="32"/>
          <w:szCs w:val="32"/>
        </w:rPr>
        <w:fldChar w:fldCharType="begin"/>
      </w:r>
      <w:r>
        <w:rPr>
          <w:rFonts w:ascii="仿宋_GB2312" w:hAnsi="仿宋" w:eastAsia="仿宋_GB2312"/>
          <w:b w:val="0"/>
          <w:bCs w:val="0"/>
          <w:caps w:val="0"/>
          <w:smallCaps/>
          <w:sz w:val="32"/>
          <w:szCs w:val="32"/>
        </w:rPr>
        <w:instrText xml:space="preserve"> PAGEREF _Toc82764243 \h </w:instrText>
      </w:r>
      <w:r>
        <w:rPr>
          <w:rFonts w:ascii="仿宋_GB2312" w:hAnsi="仿宋" w:eastAsia="仿宋_GB2312"/>
          <w:b w:val="0"/>
          <w:bCs w:val="0"/>
          <w:caps w:val="0"/>
          <w:smallCaps/>
          <w:sz w:val="32"/>
          <w:szCs w:val="32"/>
        </w:rPr>
        <w:fldChar w:fldCharType="separate"/>
      </w:r>
      <w:r>
        <w:rPr>
          <w:rFonts w:ascii="仿宋_GB2312" w:hAnsi="仿宋" w:eastAsia="仿宋_GB2312"/>
          <w:b w:val="0"/>
          <w:bCs w:val="0"/>
          <w:caps w:val="0"/>
          <w:smallCaps/>
          <w:sz w:val="32"/>
          <w:szCs w:val="32"/>
        </w:rPr>
        <w:t>68</w:t>
      </w:r>
      <w:r>
        <w:rPr>
          <w:rFonts w:ascii="仿宋_GB2312" w:hAnsi="仿宋" w:eastAsia="仿宋_GB2312"/>
          <w:b w:val="0"/>
          <w:bCs w:val="0"/>
          <w:caps w:val="0"/>
          <w:smallCaps/>
          <w:sz w:val="32"/>
          <w:szCs w:val="32"/>
        </w:rPr>
        <w:fldChar w:fldCharType="end"/>
      </w:r>
    </w:p>
    <w:p>
      <w:pPr>
        <w:pStyle w:val="14"/>
        <w:tabs>
          <w:tab w:val="right" w:leader="dot" w:pos="8296"/>
        </w:tabs>
        <w:rPr>
          <w:rFonts w:ascii="仿宋_GB2312" w:hAnsi="仿宋" w:eastAsia="仿宋_GB2312"/>
          <w:b w:val="0"/>
          <w:bCs w:val="0"/>
          <w:caps w:val="0"/>
          <w:smallCaps/>
          <w:sz w:val="32"/>
          <w:szCs w:val="32"/>
        </w:rPr>
      </w:pPr>
      <w:r>
        <w:rPr>
          <w:rFonts w:hint="eastAsia" w:ascii="仿宋_GB2312" w:hAnsi="仿宋" w:eastAsia="仿宋_GB2312"/>
          <w:b w:val="0"/>
          <w:bCs w:val="0"/>
          <w:caps w:val="0"/>
          <w:smallCaps/>
          <w:sz w:val="32"/>
          <w:szCs w:val="32"/>
        </w:rPr>
        <w:t>九、一般公共预算财政拨款项目支出决算表</w:t>
      </w:r>
      <w:r>
        <w:rPr>
          <w:rFonts w:ascii="仿宋_GB2312" w:hAnsi="仿宋" w:eastAsia="仿宋_GB2312"/>
          <w:b w:val="0"/>
          <w:bCs w:val="0"/>
          <w:caps w:val="0"/>
          <w:smallCaps/>
          <w:sz w:val="32"/>
          <w:szCs w:val="32"/>
        </w:rPr>
        <w:tab/>
      </w:r>
      <w:r>
        <w:rPr>
          <w:rFonts w:ascii="仿宋_GB2312" w:hAnsi="仿宋" w:eastAsia="仿宋_GB2312"/>
          <w:b w:val="0"/>
          <w:bCs w:val="0"/>
          <w:caps w:val="0"/>
          <w:smallCaps/>
          <w:sz w:val="32"/>
          <w:szCs w:val="32"/>
        </w:rPr>
        <w:fldChar w:fldCharType="begin"/>
      </w:r>
      <w:r>
        <w:rPr>
          <w:rFonts w:ascii="仿宋_GB2312" w:hAnsi="仿宋" w:eastAsia="仿宋_GB2312"/>
          <w:b w:val="0"/>
          <w:bCs w:val="0"/>
          <w:caps w:val="0"/>
          <w:smallCaps/>
          <w:sz w:val="32"/>
          <w:szCs w:val="32"/>
        </w:rPr>
        <w:instrText xml:space="preserve"> PAGEREF _Toc82764244 \h </w:instrText>
      </w:r>
      <w:r>
        <w:rPr>
          <w:rFonts w:ascii="仿宋_GB2312" w:hAnsi="仿宋" w:eastAsia="仿宋_GB2312"/>
          <w:b w:val="0"/>
          <w:bCs w:val="0"/>
          <w:caps w:val="0"/>
          <w:smallCaps/>
          <w:sz w:val="32"/>
          <w:szCs w:val="32"/>
        </w:rPr>
        <w:fldChar w:fldCharType="separate"/>
      </w:r>
      <w:r>
        <w:rPr>
          <w:rFonts w:ascii="仿宋_GB2312" w:hAnsi="仿宋" w:eastAsia="仿宋_GB2312"/>
          <w:b w:val="0"/>
          <w:bCs w:val="0"/>
          <w:caps w:val="0"/>
          <w:smallCaps/>
          <w:sz w:val="32"/>
          <w:szCs w:val="32"/>
        </w:rPr>
        <w:t>68</w:t>
      </w:r>
      <w:r>
        <w:rPr>
          <w:rFonts w:ascii="仿宋_GB2312" w:hAnsi="仿宋" w:eastAsia="仿宋_GB2312"/>
          <w:b w:val="0"/>
          <w:bCs w:val="0"/>
          <w:caps w:val="0"/>
          <w:smallCaps/>
          <w:sz w:val="32"/>
          <w:szCs w:val="32"/>
        </w:rPr>
        <w:fldChar w:fldCharType="end"/>
      </w:r>
    </w:p>
    <w:p>
      <w:pPr>
        <w:pStyle w:val="14"/>
        <w:tabs>
          <w:tab w:val="right" w:leader="dot" w:pos="8296"/>
        </w:tabs>
        <w:rPr>
          <w:rFonts w:ascii="仿宋_GB2312" w:hAnsi="仿宋" w:eastAsia="仿宋_GB2312"/>
          <w:b w:val="0"/>
          <w:bCs w:val="0"/>
          <w:caps w:val="0"/>
          <w:smallCaps/>
          <w:sz w:val="32"/>
          <w:szCs w:val="32"/>
        </w:rPr>
      </w:pPr>
      <w:r>
        <w:rPr>
          <w:rFonts w:hint="eastAsia" w:ascii="仿宋_GB2312" w:hAnsi="仿宋" w:eastAsia="仿宋_GB2312"/>
          <w:b w:val="0"/>
          <w:bCs w:val="0"/>
          <w:caps w:val="0"/>
          <w:smallCaps/>
          <w:sz w:val="32"/>
          <w:szCs w:val="32"/>
        </w:rPr>
        <w:t>十、一般公共预算财政拨款“三公”经费支出决算表</w:t>
      </w:r>
      <w:r>
        <w:rPr>
          <w:rFonts w:ascii="仿宋_GB2312" w:hAnsi="仿宋" w:eastAsia="仿宋_GB2312"/>
          <w:b w:val="0"/>
          <w:bCs w:val="0"/>
          <w:caps w:val="0"/>
          <w:smallCaps/>
          <w:sz w:val="32"/>
          <w:szCs w:val="32"/>
        </w:rPr>
        <w:tab/>
      </w:r>
      <w:r>
        <w:rPr>
          <w:rFonts w:ascii="仿宋_GB2312" w:hAnsi="仿宋" w:eastAsia="仿宋_GB2312"/>
          <w:b w:val="0"/>
          <w:bCs w:val="0"/>
          <w:caps w:val="0"/>
          <w:smallCaps/>
          <w:sz w:val="32"/>
          <w:szCs w:val="32"/>
        </w:rPr>
        <w:fldChar w:fldCharType="begin"/>
      </w:r>
      <w:r>
        <w:rPr>
          <w:rFonts w:ascii="仿宋_GB2312" w:hAnsi="仿宋" w:eastAsia="仿宋_GB2312"/>
          <w:b w:val="0"/>
          <w:bCs w:val="0"/>
          <w:caps w:val="0"/>
          <w:smallCaps/>
          <w:sz w:val="32"/>
          <w:szCs w:val="32"/>
        </w:rPr>
        <w:instrText xml:space="preserve"> PAGEREF _Toc82764245 \h </w:instrText>
      </w:r>
      <w:r>
        <w:rPr>
          <w:rFonts w:ascii="仿宋_GB2312" w:hAnsi="仿宋" w:eastAsia="仿宋_GB2312"/>
          <w:b w:val="0"/>
          <w:bCs w:val="0"/>
          <w:caps w:val="0"/>
          <w:smallCaps/>
          <w:sz w:val="32"/>
          <w:szCs w:val="32"/>
        </w:rPr>
        <w:fldChar w:fldCharType="separate"/>
      </w:r>
      <w:r>
        <w:rPr>
          <w:rFonts w:ascii="仿宋_GB2312" w:hAnsi="仿宋" w:eastAsia="仿宋_GB2312"/>
          <w:b w:val="0"/>
          <w:bCs w:val="0"/>
          <w:caps w:val="0"/>
          <w:smallCaps/>
          <w:sz w:val="32"/>
          <w:szCs w:val="32"/>
        </w:rPr>
        <w:t>68</w:t>
      </w:r>
      <w:r>
        <w:rPr>
          <w:rFonts w:ascii="仿宋_GB2312" w:hAnsi="仿宋" w:eastAsia="仿宋_GB2312"/>
          <w:b w:val="0"/>
          <w:bCs w:val="0"/>
          <w:caps w:val="0"/>
          <w:smallCaps/>
          <w:sz w:val="32"/>
          <w:szCs w:val="32"/>
        </w:rPr>
        <w:fldChar w:fldCharType="end"/>
      </w:r>
    </w:p>
    <w:p>
      <w:pPr>
        <w:pStyle w:val="14"/>
        <w:tabs>
          <w:tab w:val="right" w:leader="dot" w:pos="8296"/>
        </w:tabs>
        <w:rPr>
          <w:rFonts w:ascii="仿宋_GB2312" w:hAnsi="仿宋" w:eastAsia="仿宋_GB2312"/>
          <w:b w:val="0"/>
          <w:bCs w:val="0"/>
          <w:caps w:val="0"/>
          <w:smallCaps/>
          <w:sz w:val="32"/>
          <w:szCs w:val="32"/>
        </w:rPr>
      </w:pPr>
      <w:r>
        <w:rPr>
          <w:rFonts w:hint="eastAsia" w:ascii="仿宋_GB2312" w:hAnsi="仿宋" w:eastAsia="仿宋_GB2312"/>
          <w:b w:val="0"/>
          <w:bCs w:val="0"/>
          <w:caps w:val="0"/>
          <w:smallCaps/>
          <w:sz w:val="32"/>
          <w:szCs w:val="32"/>
        </w:rPr>
        <w:t>十一、政府性基金预算财政拨款收入支出决算表</w:t>
      </w:r>
      <w:r>
        <w:rPr>
          <w:rFonts w:ascii="仿宋_GB2312" w:hAnsi="仿宋" w:eastAsia="仿宋_GB2312"/>
          <w:b w:val="0"/>
          <w:bCs w:val="0"/>
          <w:caps w:val="0"/>
          <w:smallCaps/>
          <w:sz w:val="32"/>
          <w:szCs w:val="32"/>
        </w:rPr>
        <w:tab/>
      </w:r>
      <w:r>
        <w:rPr>
          <w:rFonts w:ascii="仿宋_GB2312" w:hAnsi="仿宋" w:eastAsia="仿宋_GB2312"/>
          <w:b w:val="0"/>
          <w:bCs w:val="0"/>
          <w:caps w:val="0"/>
          <w:smallCaps/>
          <w:sz w:val="32"/>
          <w:szCs w:val="32"/>
        </w:rPr>
        <w:fldChar w:fldCharType="begin"/>
      </w:r>
      <w:r>
        <w:rPr>
          <w:rFonts w:ascii="仿宋_GB2312" w:hAnsi="仿宋" w:eastAsia="仿宋_GB2312"/>
          <w:b w:val="0"/>
          <w:bCs w:val="0"/>
          <w:caps w:val="0"/>
          <w:smallCaps/>
          <w:sz w:val="32"/>
          <w:szCs w:val="32"/>
        </w:rPr>
        <w:instrText xml:space="preserve"> PAGEREF _Toc82764246 \h </w:instrText>
      </w:r>
      <w:r>
        <w:rPr>
          <w:rFonts w:ascii="仿宋_GB2312" w:hAnsi="仿宋" w:eastAsia="仿宋_GB2312"/>
          <w:b w:val="0"/>
          <w:bCs w:val="0"/>
          <w:caps w:val="0"/>
          <w:smallCaps/>
          <w:sz w:val="32"/>
          <w:szCs w:val="32"/>
        </w:rPr>
        <w:fldChar w:fldCharType="separate"/>
      </w:r>
      <w:r>
        <w:rPr>
          <w:rFonts w:ascii="仿宋_GB2312" w:hAnsi="仿宋" w:eastAsia="仿宋_GB2312"/>
          <w:b w:val="0"/>
          <w:bCs w:val="0"/>
          <w:caps w:val="0"/>
          <w:smallCaps/>
          <w:sz w:val="32"/>
          <w:szCs w:val="32"/>
        </w:rPr>
        <w:t>68</w:t>
      </w:r>
      <w:r>
        <w:rPr>
          <w:rFonts w:ascii="仿宋_GB2312" w:hAnsi="仿宋" w:eastAsia="仿宋_GB2312"/>
          <w:b w:val="0"/>
          <w:bCs w:val="0"/>
          <w:caps w:val="0"/>
          <w:smallCaps/>
          <w:sz w:val="32"/>
          <w:szCs w:val="32"/>
        </w:rPr>
        <w:fldChar w:fldCharType="end"/>
      </w:r>
    </w:p>
    <w:p>
      <w:pPr>
        <w:pStyle w:val="14"/>
        <w:tabs>
          <w:tab w:val="right" w:leader="dot" w:pos="8296"/>
        </w:tabs>
        <w:rPr>
          <w:rFonts w:ascii="仿宋_GB2312" w:hAnsi="仿宋" w:eastAsia="仿宋_GB2312"/>
          <w:b w:val="0"/>
          <w:bCs w:val="0"/>
          <w:caps w:val="0"/>
          <w:smallCaps/>
          <w:sz w:val="32"/>
          <w:szCs w:val="32"/>
        </w:rPr>
      </w:pPr>
      <w:r>
        <w:rPr>
          <w:rFonts w:hint="eastAsia" w:ascii="仿宋_GB2312" w:hAnsi="仿宋" w:eastAsia="仿宋_GB2312"/>
          <w:b w:val="0"/>
          <w:bCs w:val="0"/>
          <w:caps w:val="0"/>
          <w:smallCaps/>
          <w:sz w:val="32"/>
          <w:szCs w:val="32"/>
        </w:rPr>
        <w:t>十二、政府性基金预算财政拨款“三公”经费支出决算表</w:t>
      </w:r>
      <w:r>
        <w:rPr>
          <w:rFonts w:ascii="仿宋_GB2312" w:hAnsi="仿宋" w:eastAsia="仿宋_GB2312"/>
          <w:b w:val="0"/>
          <w:bCs w:val="0"/>
          <w:caps w:val="0"/>
          <w:smallCaps/>
          <w:sz w:val="32"/>
          <w:szCs w:val="32"/>
        </w:rPr>
        <w:tab/>
      </w:r>
      <w:r>
        <w:rPr>
          <w:rFonts w:ascii="仿宋_GB2312" w:hAnsi="仿宋" w:eastAsia="仿宋_GB2312"/>
          <w:b w:val="0"/>
          <w:bCs w:val="0"/>
          <w:caps w:val="0"/>
          <w:smallCaps/>
          <w:sz w:val="32"/>
          <w:szCs w:val="32"/>
        </w:rPr>
        <w:fldChar w:fldCharType="begin"/>
      </w:r>
      <w:r>
        <w:rPr>
          <w:rFonts w:ascii="仿宋_GB2312" w:hAnsi="仿宋" w:eastAsia="仿宋_GB2312"/>
          <w:b w:val="0"/>
          <w:bCs w:val="0"/>
          <w:caps w:val="0"/>
          <w:smallCaps/>
          <w:sz w:val="32"/>
          <w:szCs w:val="32"/>
        </w:rPr>
        <w:instrText xml:space="preserve"> PAGEREF _Toc82764247 \h </w:instrText>
      </w:r>
      <w:r>
        <w:rPr>
          <w:rFonts w:ascii="仿宋_GB2312" w:hAnsi="仿宋" w:eastAsia="仿宋_GB2312"/>
          <w:b w:val="0"/>
          <w:bCs w:val="0"/>
          <w:caps w:val="0"/>
          <w:smallCaps/>
          <w:sz w:val="32"/>
          <w:szCs w:val="32"/>
        </w:rPr>
        <w:fldChar w:fldCharType="separate"/>
      </w:r>
      <w:r>
        <w:rPr>
          <w:rFonts w:ascii="仿宋_GB2312" w:hAnsi="仿宋" w:eastAsia="仿宋_GB2312"/>
          <w:b w:val="0"/>
          <w:bCs w:val="0"/>
          <w:caps w:val="0"/>
          <w:smallCaps/>
          <w:sz w:val="32"/>
          <w:szCs w:val="32"/>
        </w:rPr>
        <w:t>68</w:t>
      </w:r>
      <w:r>
        <w:rPr>
          <w:rFonts w:ascii="仿宋_GB2312" w:hAnsi="仿宋" w:eastAsia="仿宋_GB2312"/>
          <w:b w:val="0"/>
          <w:bCs w:val="0"/>
          <w:caps w:val="0"/>
          <w:smallCaps/>
          <w:sz w:val="32"/>
          <w:szCs w:val="32"/>
        </w:rPr>
        <w:fldChar w:fldCharType="end"/>
      </w:r>
    </w:p>
    <w:p>
      <w:pPr>
        <w:pStyle w:val="14"/>
        <w:tabs>
          <w:tab w:val="right" w:leader="dot" w:pos="8296"/>
        </w:tabs>
        <w:rPr>
          <w:rFonts w:ascii="仿宋_GB2312" w:hAnsi="仿宋" w:eastAsia="仿宋_GB2312"/>
          <w:b w:val="0"/>
          <w:bCs w:val="0"/>
          <w:caps w:val="0"/>
          <w:smallCaps/>
          <w:sz w:val="32"/>
          <w:szCs w:val="32"/>
        </w:rPr>
      </w:pPr>
      <w:r>
        <w:rPr>
          <w:rFonts w:hint="eastAsia" w:ascii="仿宋_GB2312" w:hAnsi="仿宋" w:eastAsia="仿宋_GB2312"/>
          <w:b w:val="0"/>
          <w:bCs w:val="0"/>
          <w:caps w:val="0"/>
          <w:smallCaps/>
          <w:sz w:val="32"/>
          <w:szCs w:val="32"/>
        </w:rPr>
        <w:t>十三、国有资本经营预算财政拨款支出决算表</w:t>
      </w:r>
      <w:r>
        <w:rPr>
          <w:rFonts w:ascii="仿宋_GB2312" w:hAnsi="仿宋" w:eastAsia="仿宋_GB2312"/>
          <w:b w:val="0"/>
          <w:bCs w:val="0"/>
          <w:caps w:val="0"/>
          <w:smallCaps/>
          <w:sz w:val="32"/>
          <w:szCs w:val="32"/>
        </w:rPr>
        <w:tab/>
      </w:r>
      <w:r>
        <w:rPr>
          <w:rFonts w:ascii="仿宋_GB2312" w:hAnsi="仿宋" w:eastAsia="仿宋_GB2312"/>
          <w:b w:val="0"/>
          <w:bCs w:val="0"/>
          <w:caps w:val="0"/>
          <w:smallCaps/>
          <w:sz w:val="32"/>
          <w:szCs w:val="32"/>
        </w:rPr>
        <w:fldChar w:fldCharType="begin"/>
      </w:r>
      <w:r>
        <w:rPr>
          <w:rFonts w:ascii="仿宋_GB2312" w:hAnsi="仿宋" w:eastAsia="仿宋_GB2312"/>
          <w:b w:val="0"/>
          <w:bCs w:val="0"/>
          <w:caps w:val="0"/>
          <w:smallCaps/>
          <w:sz w:val="32"/>
          <w:szCs w:val="32"/>
        </w:rPr>
        <w:instrText xml:space="preserve"> PAGEREF _Toc82764248 \h </w:instrText>
      </w:r>
      <w:r>
        <w:rPr>
          <w:rFonts w:ascii="仿宋_GB2312" w:hAnsi="仿宋" w:eastAsia="仿宋_GB2312"/>
          <w:b w:val="0"/>
          <w:bCs w:val="0"/>
          <w:caps w:val="0"/>
          <w:smallCaps/>
          <w:sz w:val="32"/>
          <w:szCs w:val="32"/>
        </w:rPr>
        <w:fldChar w:fldCharType="separate"/>
      </w:r>
      <w:r>
        <w:rPr>
          <w:rFonts w:ascii="仿宋_GB2312" w:hAnsi="仿宋" w:eastAsia="仿宋_GB2312"/>
          <w:b w:val="0"/>
          <w:bCs w:val="0"/>
          <w:caps w:val="0"/>
          <w:smallCaps/>
          <w:sz w:val="32"/>
          <w:szCs w:val="32"/>
        </w:rPr>
        <w:t>68</w:t>
      </w:r>
      <w:r>
        <w:rPr>
          <w:rFonts w:ascii="仿宋_GB2312" w:hAnsi="仿宋" w:eastAsia="仿宋_GB2312"/>
          <w:b w:val="0"/>
          <w:bCs w:val="0"/>
          <w:caps w:val="0"/>
          <w:smallCaps/>
          <w:sz w:val="32"/>
          <w:szCs w:val="32"/>
        </w:rPr>
        <w:fldChar w:fldCharType="end"/>
      </w:r>
    </w:p>
    <w:p>
      <w:pPr>
        <w:pStyle w:val="14"/>
        <w:tabs>
          <w:tab w:val="right" w:leader="dot" w:pos="8296"/>
        </w:tabs>
        <w:rPr>
          <w:rFonts w:ascii="仿宋_GB2312" w:hAnsi="仿宋" w:eastAsia="仿宋_GB2312"/>
          <w:b w:val="0"/>
          <w:bCs w:val="0"/>
          <w:caps w:val="0"/>
          <w:smallCaps/>
          <w:sz w:val="32"/>
          <w:szCs w:val="32"/>
        </w:rPr>
      </w:pPr>
      <w:r>
        <w:rPr>
          <w:rFonts w:hint="eastAsia" w:ascii="仿宋_GB2312" w:hAnsi="仿宋" w:eastAsia="仿宋_GB2312"/>
          <w:b w:val="0"/>
          <w:bCs w:val="0"/>
          <w:caps w:val="0"/>
          <w:smallCaps/>
          <w:sz w:val="32"/>
          <w:szCs w:val="32"/>
        </w:rPr>
        <w:t>十四、国有资本经营预算财政拨款支出决算表</w:t>
      </w:r>
      <w:r>
        <w:rPr>
          <w:rFonts w:ascii="仿宋_GB2312" w:hAnsi="仿宋" w:eastAsia="仿宋_GB2312"/>
          <w:b w:val="0"/>
          <w:bCs w:val="0"/>
          <w:caps w:val="0"/>
          <w:smallCaps/>
          <w:sz w:val="32"/>
          <w:szCs w:val="32"/>
        </w:rPr>
        <w:tab/>
      </w:r>
      <w:r>
        <w:rPr>
          <w:rFonts w:ascii="仿宋_GB2312" w:hAnsi="仿宋" w:eastAsia="仿宋_GB2312"/>
          <w:b w:val="0"/>
          <w:bCs w:val="0"/>
          <w:caps w:val="0"/>
          <w:smallCaps/>
          <w:sz w:val="32"/>
          <w:szCs w:val="32"/>
        </w:rPr>
        <w:fldChar w:fldCharType="begin"/>
      </w:r>
      <w:r>
        <w:rPr>
          <w:rFonts w:ascii="仿宋_GB2312" w:hAnsi="仿宋" w:eastAsia="仿宋_GB2312"/>
          <w:b w:val="0"/>
          <w:bCs w:val="0"/>
          <w:caps w:val="0"/>
          <w:smallCaps/>
          <w:sz w:val="32"/>
          <w:szCs w:val="32"/>
        </w:rPr>
        <w:instrText xml:space="preserve"> PAGEREF _Toc82764249 \h </w:instrText>
      </w:r>
      <w:r>
        <w:rPr>
          <w:rFonts w:ascii="仿宋_GB2312" w:hAnsi="仿宋" w:eastAsia="仿宋_GB2312"/>
          <w:b w:val="0"/>
          <w:bCs w:val="0"/>
          <w:caps w:val="0"/>
          <w:smallCaps/>
          <w:sz w:val="32"/>
          <w:szCs w:val="32"/>
        </w:rPr>
        <w:fldChar w:fldCharType="separate"/>
      </w:r>
      <w:r>
        <w:rPr>
          <w:rFonts w:ascii="仿宋_GB2312" w:hAnsi="仿宋" w:eastAsia="仿宋_GB2312"/>
          <w:b w:val="0"/>
          <w:bCs w:val="0"/>
          <w:caps w:val="0"/>
          <w:smallCaps/>
          <w:sz w:val="32"/>
          <w:szCs w:val="32"/>
        </w:rPr>
        <w:t>68</w:t>
      </w:r>
      <w:r>
        <w:rPr>
          <w:rFonts w:ascii="仿宋_GB2312" w:hAnsi="仿宋" w:eastAsia="仿宋_GB2312"/>
          <w:b w:val="0"/>
          <w:bCs w:val="0"/>
          <w:caps w:val="0"/>
          <w:smallCaps/>
          <w:sz w:val="32"/>
          <w:szCs w:val="32"/>
        </w:rPr>
        <w:fldChar w:fldCharType="end"/>
      </w:r>
    </w:p>
    <w:p>
      <w:pPr>
        <w:pStyle w:val="14"/>
        <w:tabs>
          <w:tab w:val="right" w:leader="dot" w:pos="8296"/>
        </w:tabs>
        <w:rPr>
          <w:rFonts w:ascii="仿宋_GB2312" w:hAnsi="仿宋" w:eastAsia="仿宋_GB2312"/>
          <w:b w:val="0"/>
          <w:bCs w:val="0"/>
          <w:caps w:val="0"/>
          <w:smallCaps/>
          <w:sz w:val="32"/>
          <w:szCs w:val="32"/>
        </w:rPr>
      </w:pPr>
      <w:r>
        <w:rPr>
          <w:rFonts w:ascii="仿宋_GB2312" w:hAnsi="仿宋" w:eastAsia="仿宋_GB2312"/>
          <w:b w:val="0"/>
          <w:bCs w:val="0"/>
          <w:caps w:val="0"/>
          <w:smallCaps/>
          <w:sz w:val="32"/>
          <w:szCs w:val="32"/>
        </w:rPr>
        <w:fldChar w:fldCharType="end"/>
      </w:r>
    </w:p>
    <w:p>
      <w:pPr>
        <w:pStyle w:val="14"/>
        <w:tabs>
          <w:tab w:val="right" w:leader="dot" w:pos="8296"/>
        </w:tabs>
        <w:rPr>
          <w:rFonts w:ascii="仿宋_GB2312" w:hAnsi="仿宋" w:eastAsia="仿宋_GB2312"/>
          <w:b w:val="0"/>
          <w:bCs w:val="0"/>
          <w:caps w:val="0"/>
          <w:smallCaps/>
          <w:sz w:val="32"/>
          <w:szCs w:val="32"/>
        </w:rPr>
      </w:pPr>
      <w:bookmarkStart w:id="13" w:name="_Toc15377196"/>
      <w:bookmarkStart w:id="14" w:name="_Toc15396599"/>
      <w:r>
        <w:rPr>
          <w:rFonts w:ascii="仿宋_GB2312" w:hAnsi="仿宋" w:eastAsia="仿宋_GB2312"/>
          <w:b w:val="0"/>
          <w:bCs w:val="0"/>
          <w:caps w:val="0"/>
          <w:smallCaps/>
          <w:sz w:val="32"/>
          <w:szCs w:val="32"/>
        </w:rPr>
        <w:br w:type="page"/>
      </w:r>
    </w:p>
    <w:p>
      <w:pPr>
        <w:pStyle w:val="2"/>
        <w:pageBreakBefore w:val="0"/>
        <w:kinsoku/>
        <w:wordWrap/>
        <w:overflowPunct/>
        <w:topLinePunct w:val="0"/>
        <w:autoSpaceDE/>
        <w:autoSpaceDN/>
        <w:bidi w:val="0"/>
        <w:snapToGrid/>
        <w:spacing w:before="0" w:after="0" w:line="576" w:lineRule="exact"/>
        <w:jc w:val="center"/>
        <w:textAlignment w:val="auto"/>
        <w:rPr>
          <w:rStyle w:val="25"/>
          <w:rFonts w:hint="eastAsia" w:ascii="方正小标宋简体" w:hAnsi="方正小标宋简体" w:eastAsia="方正小标宋简体" w:cs="方正小标宋简体"/>
          <w:b/>
          <w:bCs w:val="0"/>
        </w:rPr>
      </w:pPr>
      <w:bookmarkStart w:id="15" w:name="_Toc79163601"/>
      <w:bookmarkStart w:id="16" w:name="_Toc82764197"/>
      <w:r>
        <w:rPr>
          <w:rFonts w:hint="eastAsia" w:ascii="方正小标宋简体" w:hAnsi="方正小标宋简体" w:eastAsia="方正小标宋简体" w:cs="方正小标宋简体"/>
          <w:b w:val="0"/>
        </w:rPr>
        <w:t xml:space="preserve">第一部分 </w:t>
      </w:r>
      <w:r>
        <w:rPr>
          <w:rStyle w:val="25"/>
          <w:rFonts w:hint="eastAsia" w:ascii="方正小标宋简体" w:hAnsi="方正小标宋简体" w:eastAsia="方正小标宋简体" w:cs="方正小标宋简体"/>
          <w:b w:val="0"/>
          <w:bCs w:val="0"/>
        </w:rPr>
        <w:t>部门概况</w:t>
      </w:r>
      <w:bookmarkEnd w:id="13"/>
      <w:bookmarkEnd w:id="14"/>
      <w:bookmarkEnd w:id="15"/>
      <w:bookmarkEnd w:id="16"/>
    </w:p>
    <w:p>
      <w:pPr>
        <w:pageBreakBefore w:val="0"/>
        <w:widowControl/>
        <w:kinsoku/>
        <w:wordWrap/>
        <w:overflowPunct/>
        <w:topLinePunct w:val="0"/>
        <w:autoSpaceDE/>
        <w:autoSpaceDN/>
        <w:bidi w:val="0"/>
        <w:snapToGrid/>
        <w:spacing w:line="576" w:lineRule="exact"/>
        <w:jc w:val="left"/>
        <w:textAlignment w:val="auto"/>
        <w:rPr>
          <w:rFonts w:ascii="黑体" w:eastAsia="黑体"/>
          <w:color w:val="000000"/>
          <w:sz w:val="32"/>
          <w:szCs w:val="32"/>
        </w:rPr>
      </w:pPr>
    </w:p>
    <w:p>
      <w:pPr>
        <w:pStyle w:val="3"/>
        <w:pageBreakBefore w:val="0"/>
        <w:kinsoku/>
        <w:wordWrap/>
        <w:overflowPunct/>
        <w:topLinePunct w:val="0"/>
        <w:autoSpaceDE/>
        <w:autoSpaceDN/>
        <w:bidi w:val="0"/>
        <w:snapToGrid/>
        <w:spacing w:before="0" w:after="0" w:line="576" w:lineRule="exact"/>
        <w:ind w:firstLine="640" w:firstLineChars="200"/>
        <w:textAlignment w:val="auto"/>
        <w:rPr>
          <w:rStyle w:val="26"/>
          <w:rFonts w:hint="eastAsia" w:ascii="黑体" w:hAnsi="黑体" w:eastAsia="黑体"/>
          <w:b w:val="0"/>
          <w:bCs w:val="0"/>
        </w:rPr>
      </w:pPr>
      <w:bookmarkStart w:id="17" w:name="_Toc79163602"/>
      <w:bookmarkStart w:id="18" w:name="_Toc82764198"/>
      <w:bookmarkStart w:id="19" w:name="_Toc15396600"/>
      <w:bookmarkStart w:id="20" w:name="_Toc15377197"/>
      <w:r>
        <w:rPr>
          <w:rFonts w:hint="eastAsia" w:ascii="黑体" w:hAnsi="黑体" w:eastAsia="黑体"/>
          <w:b w:val="0"/>
          <w:color w:val="000000"/>
        </w:rPr>
        <w:t>一、基</w:t>
      </w:r>
      <w:r>
        <w:rPr>
          <w:rStyle w:val="26"/>
          <w:rFonts w:hint="eastAsia" w:ascii="黑体" w:hAnsi="黑体" w:eastAsia="黑体"/>
          <w:b w:val="0"/>
          <w:bCs w:val="0"/>
        </w:rPr>
        <w:t>本职能及主要工作</w:t>
      </w:r>
      <w:bookmarkEnd w:id="17"/>
      <w:bookmarkEnd w:id="18"/>
      <w:bookmarkEnd w:id="19"/>
      <w:bookmarkEnd w:id="20"/>
      <w:bookmarkStart w:id="21" w:name="_Toc15377199"/>
      <w:bookmarkStart w:id="22" w:name="_Toc79163604"/>
      <w:bookmarkStart w:id="23" w:name="_Toc15378446"/>
      <w:bookmarkStart w:id="24" w:name="_Toc82764199"/>
    </w:p>
    <w:p>
      <w:pPr>
        <w:pStyle w:val="3"/>
        <w:pageBreakBefore w:val="0"/>
        <w:kinsoku/>
        <w:wordWrap/>
        <w:overflowPunct/>
        <w:topLinePunct w:val="0"/>
        <w:autoSpaceDE/>
        <w:autoSpaceDN/>
        <w:bidi w:val="0"/>
        <w:snapToGrid/>
        <w:spacing w:before="0" w:after="0" w:line="576" w:lineRule="exact"/>
        <w:ind w:firstLine="642" w:firstLineChars="200"/>
        <w:textAlignment w:val="auto"/>
        <w:rPr>
          <w:rFonts w:hint="eastAsia" w:ascii="仿宋_GB2312" w:hAnsi="仿宋_GB2312" w:eastAsia="仿宋_GB2312" w:cs="仿宋_GB2312"/>
          <w:b/>
          <w:bCs w:val="0"/>
          <w:color w:val="000000"/>
          <w:sz w:val="32"/>
          <w:szCs w:val="32"/>
        </w:rPr>
      </w:pPr>
      <w:r>
        <w:rPr>
          <w:rFonts w:hint="eastAsia" w:ascii="仿宋_GB2312" w:hAnsi="仿宋_GB2312" w:eastAsia="仿宋_GB2312" w:cs="仿宋_GB2312"/>
          <w:b/>
          <w:bCs w:val="0"/>
          <w:color w:val="000000"/>
          <w:sz w:val="32"/>
          <w:szCs w:val="32"/>
        </w:rPr>
        <w:t>（一）2020年重点工作完成情况</w:t>
      </w:r>
      <w:bookmarkEnd w:id="21"/>
      <w:bookmarkEnd w:id="22"/>
      <w:bookmarkEnd w:id="23"/>
      <w:bookmarkEnd w:id="24"/>
    </w:p>
    <w:p>
      <w:pPr>
        <w:pageBreakBefore w:val="0"/>
        <w:widowControl/>
        <w:kinsoku/>
        <w:wordWrap/>
        <w:overflowPunct/>
        <w:topLinePunct w:val="0"/>
        <w:autoSpaceDE/>
        <w:autoSpaceDN/>
        <w:bidi w:val="0"/>
        <w:snapToGrid/>
        <w:spacing w:line="576" w:lineRule="exact"/>
        <w:ind w:firstLine="640" w:firstLineChars="200"/>
        <w:textAlignment w:val="auto"/>
        <w:rPr>
          <w:rFonts w:ascii="仿宋_GB2312" w:hAnsi="仿宋_GB2312" w:eastAsia="仿宋_GB2312" w:cs="仿宋_GB2312"/>
          <w:sz w:val="32"/>
          <w:szCs w:val="32"/>
        </w:rPr>
      </w:pPr>
      <w:r>
        <w:rPr>
          <w:rFonts w:hint="eastAsia" w:ascii="楷体_GB2312" w:hAnsi="楷体_GB2312" w:eastAsia="楷体_GB2312" w:cs="楷体_GB2312"/>
          <w:sz w:val="32"/>
          <w:szCs w:val="32"/>
        </w:rPr>
        <w:t>1.认真贯彻全面从严治党新要求，抓好党风廉政建设和基层党建工作责任制落实。</w:t>
      </w:r>
      <w:r>
        <w:rPr>
          <w:rFonts w:hint="eastAsia" w:ascii="仿宋_GB2312" w:hAnsi="仿宋_GB2312" w:eastAsia="仿宋_GB2312" w:cs="仿宋_GB2312"/>
          <w:sz w:val="32"/>
          <w:szCs w:val="32"/>
        </w:rPr>
        <w:t>按照高标准、严要求贯彻执行党的十九大以来的各项规定和要求，恪守规矩、严守纪律，统筹推进全局各项工作正常开展。</w:t>
      </w:r>
      <w:r>
        <w:rPr>
          <w:rFonts w:hint="eastAsia" w:ascii="仿宋_GB2312" w:hAnsi="仿宋_GB2312" w:eastAsia="仿宋_GB2312" w:cs="仿宋_GB2312"/>
          <w:b/>
          <w:bCs/>
          <w:sz w:val="32"/>
          <w:szCs w:val="32"/>
        </w:rPr>
        <w:t>一是强化责任落实。</w:t>
      </w:r>
      <w:r>
        <w:rPr>
          <w:rFonts w:hint="eastAsia" w:ascii="仿宋_GB2312" w:hAnsi="仿宋_GB2312" w:eastAsia="仿宋_GB2312" w:cs="仿宋_GB2312"/>
          <w:sz w:val="32"/>
          <w:szCs w:val="32"/>
        </w:rPr>
        <w:t>为进一步落实党风廉政建设主体责任和监督责任，成立由党组书记任组长的党风廉政建设领导小组，将党风廉政责任进行分解，定期召开局党组会议专题研究、部署党风廉政建设工作。</w:t>
      </w:r>
      <w:r>
        <w:rPr>
          <w:rFonts w:hint="eastAsia" w:ascii="仿宋_GB2312" w:hAnsi="仿宋_GB2312" w:eastAsia="仿宋_GB2312" w:cs="仿宋_GB2312"/>
          <w:b/>
          <w:bCs/>
          <w:sz w:val="32"/>
          <w:szCs w:val="32"/>
        </w:rPr>
        <w:t>二是健全完善制度监管。</w:t>
      </w:r>
      <w:r>
        <w:rPr>
          <w:rFonts w:hint="eastAsia" w:ascii="仿宋_GB2312" w:hAnsi="仿宋_GB2312" w:eastAsia="仿宋_GB2312" w:cs="仿宋_GB2312"/>
          <w:sz w:val="32"/>
          <w:szCs w:val="32"/>
        </w:rPr>
        <w:t>制定完善的管理制度，对保密、财务管理、公车使用等制度进行细化，坚持刚性执行。</w:t>
      </w:r>
      <w:r>
        <w:rPr>
          <w:rFonts w:hint="eastAsia" w:ascii="仿宋_GB2312" w:hAnsi="仿宋_GB2312" w:eastAsia="仿宋_GB2312" w:cs="仿宋_GB2312"/>
          <w:b/>
          <w:bCs/>
          <w:sz w:val="32"/>
          <w:szCs w:val="32"/>
        </w:rPr>
        <w:t>三是作风建设监督管理常态化。</w:t>
      </w:r>
      <w:r>
        <w:rPr>
          <w:rFonts w:hint="eastAsia" w:ascii="仿宋_GB2312" w:hAnsi="仿宋_GB2312" w:eastAsia="仿宋_GB2312" w:cs="仿宋_GB2312"/>
          <w:sz w:val="32"/>
          <w:szCs w:val="32"/>
        </w:rPr>
        <w:t>切实加强干部日常管理和监督，深入开展专题教育和专项整治，把廉政教育与政治学习、党课学习紧密结合，丰富学习形式，确保意识形态方向正确，使每个党员脑中有把“戒尺”，心中有盏“红绿灯”。</w:t>
      </w:r>
    </w:p>
    <w:p>
      <w:pPr>
        <w:pageBreakBefore w:val="0"/>
        <w:widowControl/>
        <w:kinsoku/>
        <w:wordWrap/>
        <w:overflowPunct/>
        <w:topLinePunct w:val="0"/>
        <w:autoSpaceDE/>
        <w:autoSpaceDN/>
        <w:bidi w:val="0"/>
        <w:snapToGrid/>
        <w:spacing w:line="576" w:lineRule="exact"/>
        <w:ind w:firstLine="640" w:firstLineChars="200"/>
        <w:textAlignment w:val="auto"/>
      </w:pPr>
      <w:r>
        <w:rPr>
          <w:rFonts w:hint="eastAsia" w:ascii="楷体_GB2312" w:hAnsi="楷体_GB2312" w:eastAsia="楷体_GB2312" w:cs="楷体_GB2312"/>
          <w:sz w:val="32"/>
          <w:szCs w:val="32"/>
        </w:rPr>
        <w:t>2.深入开展“基层基础基本建设年”、“思想政治工作年”活动和“常态化联系退役军人”制度。</w:t>
      </w:r>
      <w:r>
        <w:rPr>
          <w:rFonts w:hint="eastAsia" w:ascii="仿宋_GB2312" w:hAnsi="仿宋_GB2312" w:eastAsia="仿宋_GB2312" w:cs="仿宋_GB2312"/>
          <w:b/>
          <w:color w:val="333333"/>
          <w:sz w:val="32"/>
          <w:szCs w:val="32"/>
          <w:shd w:val="clear" w:color="auto" w:fill="FFFFFF"/>
        </w:rPr>
        <w:t>一是认真落实和完善思想政治工作相关政策制度。</w:t>
      </w:r>
      <w:r>
        <w:rPr>
          <w:rFonts w:hint="eastAsia" w:ascii="仿宋_GB2312" w:hAnsi="仿宋_GB2312" w:eastAsia="仿宋_GB2312" w:cs="仿宋_GB2312"/>
          <w:sz w:val="32"/>
          <w:szCs w:val="32"/>
        </w:rPr>
        <w:t>通过组织人员对标对表中央、省、州各类政策，全面梳理现有涉及退役军人的所有政策法规，认真组织学习和全面掌握与经济社会发展水平相适应、与国防和军队改革相衔接的各项政策制度，为退役军人工作持续发展提供可靠制度保证。同时，扎实做好“困难退役军</w:t>
      </w:r>
      <w:r>
        <w:rPr>
          <w:rFonts w:hint="eastAsia" w:ascii="仿宋_GB2312" w:hAnsi="仿宋_GB2312" w:eastAsia="仿宋_GB2312" w:cs="仿宋_GB2312"/>
          <w:color w:val="333333"/>
          <w:sz w:val="32"/>
          <w:szCs w:val="32"/>
          <w:shd w:val="clear" w:color="auto" w:fill="FFFFFF"/>
        </w:rPr>
        <w:t>人关爱帮扶基金”的实施工作。推动困难退役军人救助实施办法的出台和实行，对生活严重困难的退役军人家庭给予临时性、应急性帮扶救助等，</w:t>
      </w:r>
      <w:r>
        <w:rPr>
          <w:rFonts w:hint="eastAsia" w:ascii="仿宋_GB2312" w:hAnsi="仿宋_GB2312" w:eastAsia="仿宋_GB2312" w:cs="仿宋_GB2312"/>
          <w:b/>
          <w:color w:val="333333"/>
          <w:sz w:val="32"/>
          <w:szCs w:val="32"/>
          <w:shd w:val="clear" w:color="auto" w:fill="FFFFFF"/>
        </w:rPr>
        <w:t>二是做好了退役军人党员教育管理。</w:t>
      </w:r>
      <w:r>
        <w:rPr>
          <w:rFonts w:hint="eastAsia" w:ascii="仿宋_GB2312" w:hAnsi="仿宋_GB2312" w:eastAsia="仿宋_GB2312" w:cs="仿宋_GB2312"/>
          <w:sz w:val="32"/>
          <w:szCs w:val="32"/>
        </w:rPr>
        <w:t>协助县委组织部门，及时做好退役军人党员组织关系转接、日常教育管理及流动党员的沟通联系工作。积极把退役军人党员纳入各级党组织进行有效管理，扎实开展组织关系排摸工作，让退役军人“口袋党员”“隐形党员”回归组织怀抱。</w:t>
      </w:r>
      <w:r>
        <w:rPr>
          <w:rFonts w:hint="eastAsia" w:ascii="仿宋_GB2312" w:hAnsi="仿宋_GB2312" w:eastAsia="仿宋_GB2312" w:cs="仿宋_GB2312"/>
          <w:b/>
          <w:color w:val="333333"/>
          <w:sz w:val="32"/>
          <w:szCs w:val="32"/>
          <w:shd w:val="clear" w:color="auto" w:fill="FFFFFF"/>
        </w:rPr>
        <w:t>三是建立常态化联系退役军人制度，</w:t>
      </w:r>
      <w:r>
        <w:rPr>
          <w:rFonts w:hint="eastAsia" w:ascii="仿宋_GB2312" w:hAnsi="仿宋_GB2312" w:eastAsia="仿宋_GB2312" w:cs="仿宋_GB2312"/>
          <w:sz w:val="32"/>
          <w:szCs w:val="32"/>
        </w:rPr>
        <w:t>主动开展沟通联络、走访慰问、谈心谈话活动，深入了解退役军人的家庭情况、思想变化、实际需求，通过经常性沟通联系及时做好政策解释、思想疏导和权益维护等工作。</w:t>
      </w:r>
      <w:r>
        <w:rPr>
          <w:rFonts w:hint="eastAsia" w:hAnsi="仿宋_GB2312" w:eastAsia="仿宋_GB2312"/>
          <w:sz w:val="32"/>
          <w:szCs w:val="32"/>
        </w:rPr>
        <w:t>明确</w:t>
      </w:r>
      <w:r>
        <w:rPr>
          <w:rFonts w:hAnsi="仿宋_GB2312" w:eastAsia="仿宋_GB2312"/>
          <w:sz w:val="32"/>
          <w:szCs w:val="32"/>
        </w:rPr>
        <w:t>局领导班子</w:t>
      </w:r>
      <w:r>
        <w:rPr>
          <w:rFonts w:hint="eastAsia" w:hAnsi="仿宋_GB2312" w:eastAsia="仿宋_GB2312"/>
          <w:sz w:val="32"/>
          <w:szCs w:val="32"/>
        </w:rPr>
        <w:t>及退役军人服务中心主任挂钩片区3个镇，每镇</w:t>
      </w:r>
      <w:r>
        <w:rPr>
          <w:rFonts w:hAnsi="仿宋_GB2312" w:eastAsia="仿宋_GB2312"/>
          <w:sz w:val="32"/>
          <w:szCs w:val="32"/>
        </w:rPr>
        <w:t>联系</w:t>
      </w:r>
      <w:r>
        <w:rPr>
          <w:rFonts w:hint="eastAsia" w:eastAsia="仿宋_GB2312"/>
          <w:sz w:val="32"/>
          <w:szCs w:val="32"/>
        </w:rPr>
        <w:t>3</w:t>
      </w:r>
      <w:r>
        <w:rPr>
          <w:rFonts w:hAnsi="仿宋_GB2312" w:eastAsia="仿宋_GB2312"/>
          <w:sz w:val="32"/>
          <w:szCs w:val="32"/>
        </w:rPr>
        <w:t>名服务对象。其他</w:t>
      </w:r>
      <w:r>
        <w:rPr>
          <w:rFonts w:hint="eastAsia" w:hAnsi="仿宋_GB2312" w:eastAsia="仿宋_GB2312"/>
          <w:sz w:val="32"/>
          <w:szCs w:val="32"/>
        </w:rPr>
        <w:t>干部职工以内设机构为单位，联系3个镇，每镇2</w:t>
      </w:r>
      <w:r>
        <w:rPr>
          <w:rFonts w:hAnsi="仿宋_GB2312" w:eastAsia="仿宋_GB2312"/>
          <w:sz w:val="32"/>
          <w:szCs w:val="32"/>
        </w:rPr>
        <w:t>名服务对象。</w:t>
      </w:r>
      <w:r>
        <w:rPr>
          <w:rFonts w:hint="eastAsia" w:hAnsi="仿宋_GB2312" w:eastAsia="仿宋_GB2312"/>
          <w:sz w:val="32"/>
          <w:szCs w:val="32"/>
        </w:rPr>
        <w:t>全局常态化联系退役军人及其他优抚对象共计56名。并建立县、镇、村三级干部包联工作制度，实现包联工作全覆盖。并建立微信</w:t>
      </w:r>
      <w:r>
        <w:rPr>
          <w:rFonts w:hint="eastAsia" w:ascii="仿宋_GB2312" w:hAnsi="仿宋_GB2312" w:eastAsia="仿宋_GB2312" w:cs="仿宋_GB2312"/>
          <w:sz w:val="32"/>
          <w:szCs w:val="32"/>
        </w:rPr>
        <w:t>、QQ群等，最大限度了解退役军人集体的思想动态。通过一些日常工作的开展引导退役军人转变身份、转变心态、转变思想，确保沟通渠道的畅通。</w:t>
      </w:r>
    </w:p>
    <w:p>
      <w:pPr>
        <w:pageBreakBefore w:val="0"/>
        <w:widowControl/>
        <w:kinsoku/>
        <w:wordWrap/>
        <w:overflowPunct/>
        <w:topLinePunct w:val="0"/>
        <w:autoSpaceDE/>
        <w:autoSpaceDN/>
        <w:bidi w:val="0"/>
        <w:snapToGrid/>
        <w:spacing w:line="576"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3.全力推进双拥工作</w:t>
      </w:r>
    </w:p>
    <w:p>
      <w:pPr>
        <w:pageBreakBefore w:val="0"/>
        <w:widowControl/>
        <w:kinsoku/>
        <w:wordWrap/>
        <w:overflowPunct/>
        <w:topLinePunct w:val="0"/>
        <w:autoSpaceDE/>
        <w:autoSpaceDN/>
        <w:bidi w:val="0"/>
        <w:snapToGrid/>
        <w:spacing w:line="576"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立足茂县实际，制定印发《茂县2020年双拥工作要点》及工作清单，建立全县双拥工作联络表，及时贯彻精神、传达政策，大力营造拥军社会氛围，组织开展“送政策送法规进军营”，组织开展“继承优良传统 弘扬革命精神”党课，大力开展“4·15国家安全教育日”宣传。结合庆祝建军93周年,组织走访慰问，进一步巩固发展“军民一家亲、军民鱼水情”社会氛围。</w:t>
      </w:r>
    </w:p>
    <w:p>
      <w:pPr>
        <w:pageBreakBefore w:val="0"/>
        <w:widowControl/>
        <w:kinsoku/>
        <w:wordWrap/>
        <w:overflowPunct/>
        <w:topLinePunct w:val="0"/>
        <w:autoSpaceDE/>
        <w:autoSpaceDN/>
        <w:bidi w:val="0"/>
        <w:snapToGrid/>
        <w:spacing w:line="576"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4.认真落实优抚安置政策及资金发放工作</w:t>
      </w:r>
    </w:p>
    <w:p>
      <w:pPr>
        <w:pageBreakBefore w:val="0"/>
        <w:widowControl/>
        <w:kinsoku/>
        <w:wordWrap/>
        <w:overflowPunct/>
        <w:topLinePunct w:val="0"/>
        <w:autoSpaceDE/>
        <w:autoSpaceDN/>
        <w:bidi w:val="0"/>
        <w:snapToGrid/>
        <w:spacing w:line="576"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每季度提醒乡镇对优抚对象信息进行了核对增减，按时发放发放各类优抚对象定期生活补助。2020年1-12月为全县优抚对象1181人次发放生活补助353.86万元；为2348人次优抚对象发放物价补贴30.5万元；为3名军队退休人员和2名无军籍职工发放工资80.72万元；18名优抚对象医疗救助2.69万元；发放2020年义务兵家庭优待金75.87万元；发放地方一次性自主就业补助金38.55万元；大学生应征入伍11名发放奖励金8.3万元；确保各类优抚资金及时到各类对象手中。</w:t>
      </w:r>
    </w:p>
    <w:p>
      <w:pPr>
        <w:pStyle w:val="20"/>
        <w:pageBreakBefore w:val="0"/>
        <w:widowControl/>
        <w:kinsoku/>
        <w:wordWrap/>
        <w:overflowPunct/>
        <w:topLinePunct w:val="0"/>
        <w:autoSpaceDE/>
        <w:autoSpaceDN/>
        <w:bidi w:val="0"/>
        <w:snapToGrid/>
        <w:spacing w:after="0" w:line="576" w:lineRule="exact"/>
        <w:ind w:left="0" w:leftChars="0" w:firstLine="640"/>
        <w:textAlignment w:val="auto"/>
        <w:rPr>
          <w:rFonts w:hint="eastAsia" w:ascii="楷体_GB2312" w:hAnsi="楷体_GB2312" w:eastAsia="楷体_GB2312" w:cs="楷体_GB2312"/>
          <w:kern w:val="2"/>
          <w:sz w:val="32"/>
          <w:szCs w:val="32"/>
          <w:lang w:val="en-US" w:eastAsia="zh-CN" w:bidi="ar-SA"/>
        </w:rPr>
      </w:pPr>
      <w:r>
        <w:rPr>
          <w:rFonts w:hint="eastAsia" w:ascii="楷体_GB2312" w:hAnsi="楷体_GB2312" w:eastAsia="楷体_GB2312" w:cs="楷体_GB2312"/>
          <w:kern w:val="2"/>
          <w:sz w:val="32"/>
          <w:szCs w:val="32"/>
          <w:lang w:val="en-US" w:eastAsia="zh-CN" w:bidi="ar-SA"/>
        </w:rPr>
        <w:t>5.用心打造退役军人服务工程</w:t>
      </w:r>
    </w:p>
    <w:p>
      <w:pPr>
        <w:pStyle w:val="20"/>
        <w:pageBreakBefore w:val="0"/>
        <w:widowControl/>
        <w:kinsoku/>
        <w:wordWrap/>
        <w:overflowPunct/>
        <w:topLinePunct w:val="0"/>
        <w:autoSpaceDE/>
        <w:autoSpaceDN/>
        <w:bidi w:val="0"/>
        <w:snapToGrid/>
        <w:spacing w:after="0" w:line="576" w:lineRule="exact"/>
        <w:ind w:left="0" w:leftChars="0" w:firstLine="64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按照省州工作要求，针对当前退役军人重点工作，落实“大走访”实现重点优抚对象全覆盖，以“两活动一制度”为契机，全面梳理各镇退役军人人数、居住分布、再就业情况，建立《军队转业干部台账》《重点优抚对象台账》《退役军人台账》并进行动态管理，按照“就业安置、扶持安置、有偿转移与自谋职业、行政调配和市场调节相结合”的思路，组织退役士兵参加岗前学习，提出安置建议，完成符合安置的转业退役军人移交安置工作，积极开展就业培训，举办退役军人现场招聘会短期就业创业培训，全力保障落实优抚安置政策，落实困难退役军人关爱帮扶援助基金政策。</w:t>
      </w:r>
    </w:p>
    <w:p>
      <w:pPr>
        <w:pStyle w:val="19"/>
        <w:pageBreakBefore w:val="0"/>
        <w:shd w:val="clear" w:color="auto" w:fill="FFFFFF"/>
        <w:kinsoku/>
        <w:wordWrap/>
        <w:overflowPunct/>
        <w:topLinePunct w:val="0"/>
        <w:autoSpaceDE/>
        <w:autoSpaceDN/>
        <w:bidi w:val="0"/>
        <w:snapToGrid/>
        <w:spacing w:before="0" w:beforeAutospacing="0" w:after="0" w:afterAutospacing="0" w:line="576" w:lineRule="exact"/>
        <w:ind w:firstLine="645"/>
        <w:jc w:val="both"/>
        <w:textAlignment w:val="auto"/>
        <w:rPr>
          <w:rFonts w:hint="eastAsia" w:ascii="楷体_GB2312" w:hAnsi="楷体_GB2312" w:eastAsia="楷体_GB2312" w:cs="楷体_GB2312"/>
          <w:kern w:val="2"/>
          <w:sz w:val="32"/>
          <w:szCs w:val="32"/>
          <w:lang w:val="en-US" w:eastAsia="zh-CN" w:bidi="ar-SA"/>
        </w:rPr>
      </w:pPr>
      <w:r>
        <w:rPr>
          <w:rFonts w:hint="eastAsia" w:ascii="楷体_GB2312" w:hAnsi="楷体_GB2312" w:eastAsia="楷体_GB2312" w:cs="楷体_GB2312"/>
          <w:kern w:val="2"/>
          <w:sz w:val="32"/>
          <w:szCs w:val="32"/>
          <w:lang w:val="en-US" w:eastAsia="zh-CN" w:bidi="ar-SA"/>
        </w:rPr>
        <w:t>6.鲜明导向强化基础建设</w:t>
      </w:r>
    </w:p>
    <w:p>
      <w:pPr>
        <w:pStyle w:val="19"/>
        <w:pageBreakBefore w:val="0"/>
        <w:shd w:val="clear" w:color="auto" w:fill="FFFFFF"/>
        <w:kinsoku/>
        <w:wordWrap/>
        <w:overflowPunct/>
        <w:topLinePunct w:val="0"/>
        <w:autoSpaceDE/>
        <w:autoSpaceDN/>
        <w:bidi w:val="0"/>
        <w:snapToGrid/>
        <w:spacing w:before="0" w:beforeAutospacing="0" w:after="0" w:afterAutospacing="0" w:line="576" w:lineRule="exact"/>
        <w:ind w:firstLine="645"/>
        <w:jc w:val="both"/>
        <w:textAlignment w:val="auto"/>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按照“五有”要求，在撤乡并镇后，在全县11个镇便民服务中心加挂“退役军人服务站”牌子，进一步完善服务中心和镇服务站，精心打造示范县建设，有序推进“十四五”规划编制工作，积极跟踪对接上级部门，编制上报维修改造项目、茂县退役军人服务中心标准化建设项目、茂县退役军人服务中心应急管理信息化平台等建设项目。</w:t>
      </w:r>
    </w:p>
    <w:p>
      <w:pPr>
        <w:pageBreakBefore w:val="0"/>
        <w:widowControl/>
        <w:kinsoku/>
        <w:wordWrap/>
        <w:overflowPunct/>
        <w:topLinePunct w:val="0"/>
        <w:autoSpaceDE/>
        <w:autoSpaceDN/>
        <w:bidi w:val="0"/>
        <w:snapToGrid/>
        <w:spacing w:line="576"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7.全面完成部分退役士兵社会保险接续后续工作</w:t>
      </w:r>
    </w:p>
    <w:p>
      <w:pPr>
        <w:pageBreakBefore w:val="0"/>
        <w:kinsoku/>
        <w:wordWrap/>
        <w:overflowPunct/>
        <w:topLinePunct w:val="0"/>
        <w:autoSpaceDE/>
        <w:autoSpaceDN/>
        <w:bidi w:val="0"/>
        <w:snapToGrid/>
        <w:spacing w:line="576"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按照省、州要求，为全面完成部分退役士兵社会保险接续工作，第一时间成立了由分管副县长任组长的全县部分退役士兵社会保险接续工作专班，明确了各成员单位的工作内容、时限、职责。召开专班成员单位工作协调会2次，工作</w:t>
      </w:r>
      <w:r>
        <w:rPr>
          <w:rFonts w:hint="eastAsia" w:ascii="仿宋_GB2312" w:eastAsia="仿宋_GB2312"/>
          <w:sz w:val="32"/>
          <w:szCs w:val="32"/>
        </w:rPr>
        <w:t>推进会2次，不断推进社保接续各项工作。广泛</w:t>
      </w:r>
      <w:r>
        <w:rPr>
          <w:rFonts w:hint="eastAsia" w:ascii="仿宋_GB2312" w:hAnsi="仿宋_GB2312" w:eastAsia="仿宋_GB2312" w:cs="仿宋_GB2312"/>
          <w:sz w:val="32"/>
          <w:szCs w:val="32"/>
        </w:rPr>
        <w:t>宣传部分退役士兵社保接续相关政策工作，通过电视台、政府门户网站、微茂县、全县11个镇便民服务中心LED电子显示屏等方式宣传；在人员聚集较多的地方和各住在小区、广场、广告牌等地方张贴海报和宣传单；达到了全县每名退役军人家喻户晓。组织专人完成复核符合部分退役士兵社会保险接续人员全部资料，最终初审出51人符合本次部分退役士兵社会保险接续政策。符合接续条件下发缴费通知，收集缴费回执单等相关手续。截至</w:t>
      </w:r>
      <w:bookmarkStart w:id="210" w:name="_GoBack"/>
      <w:bookmarkEnd w:id="210"/>
      <w:r>
        <w:rPr>
          <w:rFonts w:hint="eastAsia" w:ascii="仿宋_GB2312" w:hAnsi="仿宋_GB2312" w:eastAsia="仿宋_GB2312" w:cs="仿宋_GB2312"/>
          <w:sz w:val="32"/>
          <w:szCs w:val="32"/>
        </w:rPr>
        <w:t>目前我县已办结退役士兵社会保险接续51人，完成率达到百分之百。</w:t>
      </w:r>
    </w:p>
    <w:p>
      <w:pPr>
        <w:pStyle w:val="20"/>
        <w:pageBreakBefore w:val="0"/>
        <w:tabs>
          <w:tab w:val="left" w:pos="960"/>
        </w:tabs>
        <w:kinsoku/>
        <w:wordWrap/>
        <w:overflowPunct/>
        <w:topLinePunct w:val="0"/>
        <w:autoSpaceDE/>
        <w:autoSpaceDN/>
        <w:bidi w:val="0"/>
        <w:snapToGrid/>
        <w:spacing w:after="0" w:line="576" w:lineRule="exact"/>
        <w:ind w:left="0" w:leftChars="0" w:firstLine="640"/>
        <w:textAlignment w:val="auto"/>
        <w:rPr>
          <w:rFonts w:hint="eastAsia" w:ascii="楷体_GB2312" w:hAnsi="楷体_GB2312" w:eastAsia="楷体_GB2312" w:cs="楷体_GB2312"/>
          <w:kern w:val="2"/>
          <w:sz w:val="32"/>
          <w:szCs w:val="32"/>
          <w:lang w:val="en-US" w:eastAsia="zh-CN" w:bidi="ar-SA"/>
        </w:rPr>
      </w:pPr>
      <w:r>
        <w:rPr>
          <w:rFonts w:hint="eastAsia" w:ascii="楷体_GB2312" w:hAnsi="楷体_GB2312" w:eastAsia="楷体_GB2312" w:cs="楷体_GB2312"/>
          <w:kern w:val="2"/>
          <w:sz w:val="32"/>
          <w:szCs w:val="32"/>
          <w:lang w:val="en-US" w:eastAsia="zh-CN" w:bidi="ar-SA"/>
        </w:rPr>
        <w:t>8.全力做好退役军人信访稳定工作</w:t>
      </w:r>
    </w:p>
    <w:p>
      <w:pPr>
        <w:pStyle w:val="20"/>
        <w:pageBreakBefore w:val="0"/>
        <w:tabs>
          <w:tab w:val="left" w:pos="960"/>
        </w:tabs>
        <w:kinsoku/>
        <w:wordWrap/>
        <w:overflowPunct/>
        <w:topLinePunct w:val="0"/>
        <w:autoSpaceDE/>
        <w:autoSpaceDN/>
        <w:bidi w:val="0"/>
        <w:snapToGrid/>
        <w:spacing w:after="0" w:line="576" w:lineRule="exact"/>
        <w:ind w:left="0" w:leftChars="0" w:firstLine="64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结合实际，围绕重点群体，进行拉网式排查，及时掌握涉军群体的思想动态，建立台账，分类梳理出不稳定因素，对重点对象的诉求、成因、当前状况等做到心中有数，按照“件件有着落、事事有回音”的工作要求，严谨、细致、高标准的接待每一位来访人员、办理每一封来信、每一件电话诉求，做到了把隐患化解在萌芽，反应问题均得到妥善处理，至今未出现任何负面影响。</w:t>
      </w:r>
    </w:p>
    <w:p>
      <w:pPr>
        <w:pageBreakBefore w:val="0"/>
        <w:widowControl/>
        <w:kinsoku/>
        <w:wordWrap/>
        <w:overflowPunct/>
        <w:topLinePunct w:val="0"/>
        <w:autoSpaceDE/>
        <w:autoSpaceDN/>
        <w:bidi w:val="0"/>
        <w:snapToGrid/>
        <w:spacing w:line="576"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9.积极争取国家支持阿坝州经济社会发展规划建设项目，使“退役军人服务保障体系、烈士纪念设施提升改造”项目，进入“十四五”规划</w:t>
      </w:r>
    </w:p>
    <w:p>
      <w:pPr>
        <w:pageBreakBefore w:val="0"/>
        <w:widowControl/>
        <w:kinsoku/>
        <w:wordWrap/>
        <w:overflowPunct/>
        <w:topLinePunct w:val="0"/>
        <w:autoSpaceDE/>
        <w:autoSpaceDN/>
        <w:bidi w:val="0"/>
        <w:snapToGrid/>
        <w:spacing w:line="576" w:lineRule="exact"/>
        <w:ind w:firstLine="640" w:firstLineChars="200"/>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一是茂县革命烈士纪念馆建设项目。中央预算内投资（藏区专项），总投资500万元。新建茂县革命烈士纪念馆300平米及展区等配套设施设备。二是茂县烈士陵园扩建改造提升项目。中央预算内投资（藏区专项），总投资1000万元。新修纪念碑、烈士碑维修及翻新刷漆、内外墙刷乳胶漆、绿化带、新修卫生间及更换附属设施设备、拆换墓碑、烈士英名墙、提升烈士陵园展厅、纪念广场等主体建筑物，及其排水、公共厕所、停车场、道路硬化、消防设施设备、安装监控系统等配套公共服务设施建设。中央预算内投资（藏区专项）。三是茂县退役军人服务中心建设项目。中央预算内投资（藏区专项），总投资3000万元。总建筑面积6200㎡,其中包括:县退役军人服务中心建筑面积4000.㎡，11个镇级服务中心面积2200㎡，包含退役军人培训中心信息化建设，退役军人之家、退役军人图书室以及活动中心，购买办公设施、设备和安装网络系统等相关配套。</w:t>
      </w:r>
    </w:p>
    <w:p>
      <w:pPr>
        <w:pStyle w:val="3"/>
        <w:pageBreakBefore w:val="0"/>
        <w:kinsoku/>
        <w:wordWrap/>
        <w:overflowPunct/>
        <w:topLinePunct w:val="0"/>
        <w:autoSpaceDE/>
        <w:autoSpaceDN/>
        <w:bidi w:val="0"/>
        <w:snapToGrid/>
        <w:spacing w:before="0" w:after="0" w:line="576" w:lineRule="exact"/>
        <w:textAlignment w:val="auto"/>
        <w:rPr>
          <w:rStyle w:val="26"/>
          <w:b w:val="0"/>
          <w:bCs w:val="0"/>
        </w:rPr>
      </w:pPr>
      <w:bookmarkStart w:id="25" w:name="_Toc15377200"/>
      <w:bookmarkStart w:id="26" w:name="_Toc82764200"/>
      <w:bookmarkStart w:id="27" w:name="_Toc79163605"/>
      <w:bookmarkStart w:id="28" w:name="_Toc15396601"/>
      <w:r>
        <w:rPr>
          <w:rFonts w:hint="eastAsia" w:ascii="黑体" w:eastAsia="黑体"/>
          <w:b w:val="0"/>
          <w:color w:val="000000"/>
        </w:rPr>
        <w:t>二、</w:t>
      </w:r>
      <w:r>
        <w:rPr>
          <w:rFonts w:hint="eastAsia" w:ascii="黑体" w:hAnsi="黑体" w:eastAsia="黑体"/>
          <w:b w:val="0"/>
          <w:color w:val="000000"/>
        </w:rPr>
        <w:t>机</w:t>
      </w:r>
      <w:r>
        <w:rPr>
          <w:rStyle w:val="26"/>
          <w:rFonts w:hint="eastAsia" w:ascii="黑体" w:hAnsi="黑体" w:eastAsia="黑体"/>
          <w:b w:val="0"/>
          <w:bCs w:val="0"/>
        </w:rPr>
        <w:t>构设置</w:t>
      </w:r>
      <w:bookmarkEnd w:id="25"/>
      <w:bookmarkEnd w:id="26"/>
      <w:bookmarkEnd w:id="27"/>
      <w:bookmarkEnd w:id="28"/>
    </w:p>
    <w:p>
      <w:pPr>
        <w:pageBreakBefore w:val="0"/>
        <w:kinsoku/>
        <w:wordWrap/>
        <w:overflowPunct/>
        <w:topLinePunct w:val="0"/>
        <w:autoSpaceDE/>
        <w:autoSpaceDN/>
        <w:bidi w:val="0"/>
        <w:snapToGrid/>
        <w:spacing w:line="576" w:lineRule="exact"/>
        <w:ind w:firstLine="800" w:firstLineChars="25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茂县退役军人事务局下属二级单位1个，其中其他事业单位1个。</w:t>
      </w:r>
    </w:p>
    <w:p>
      <w:pPr>
        <w:pStyle w:val="6"/>
        <w:pageBreakBefore w:val="0"/>
        <w:kinsoku/>
        <w:wordWrap/>
        <w:overflowPunct/>
        <w:topLinePunct w:val="0"/>
        <w:autoSpaceDE/>
        <w:autoSpaceDN/>
        <w:bidi w:val="0"/>
        <w:adjustRightInd w:val="0"/>
        <w:snapToGrid/>
        <w:spacing w:beforeLines="0" w:line="576" w:lineRule="exact"/>
        <w:ind w:firstLine="672" w:firstLineChars="21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纳入茂县退役军人事务局2019年度部门决算编制范围的二级预算单位包括：</w:t>
      </w:r>
    </w:p>
    <w:p>
      <w:pPr>
        <w:pStyle w:val="6"/>
        <w:pageBreakBefore w:val="0"/>
        <w:numPr>
          <w:ilvl w:val="0"/>
          <w:numId w:val="0"/>
        </w:numPr>
        <w:kinsoku/>
        <w:wordWrap/>
        <w:overflowPunct/>
        <w:topLinePunct w:val="0"/>
        <w:autoSpaceDE/>
        <w:autoSpaceDN/>
        <w:bidi w:val="0"/>
        <w:adjustRightInd w:val="0"/>
        <w:snapToGrid/>
        <w:spacing w:beforeLines="0" w:line="576" w:lineRule="exact"/>
        <w:ind w:firstLine="640" w:firstLineChars="200"/>
        <w:textAlignment w:val="auto"/>
        <w:outlineLvl w:val="2"/>
        <w:rPr>
          <w:rFonts w:hint="eastAsia" w:ascii="仿宋_GB2312" w:hAnsi="仿宋_GB2312" w:eastAsia="仿宋_GB2312" w:cs="仿宋_GB2312"/>
          <w:color w:val="000000"/>
          <w:sz w:val="32"/>
          <w:szCs w:val="32"/>
        </w:rPr>
      </w:pPr>
      <w:bookmarkStart w:id="29" w:name="_Toc82764201"/>
      <w:r>
        <w:rPr>
          <w:rFonts w:hint="eastAsia" w:ascii="仿宋_GB2312" w:hAnsi="仿宋_GB2312" w:eastAsia="仿宋_GB2312" w:cs="仿宋_GB2312"/>
          <w:color w:val="000000"/>
          <w:sz w:val="32"/>
          <w:szCs w:val="32"/>
        </w:rPr>
        <w:t>茂县退役军人服务中心</w:t>
      </w:r>
      <w:bookmarkEnd w:id="29"/>
    </w:p>
    <w:p>
      <w:pPr>
        <w:pageBreakBefore w:val="0"/>
        <w:widowControl/>
        <w:kinsoku/>
        <w:wordWrap/>
        <w:overflowPunct/>
        <w:topLinePunct w:val="0"/>
        <w:autoSpaceDE/>
        <w:autoSpaceDN/>
        <w:bidi w:val="0"/>
        <w:snapToGrid/>
        <w:spacing w:line="576" w:lineRule="exact"/>
        <w:jc w:val="left"/>
        <w:textAlignment w:val="auto"/>
        <w:rPr>
          <w:rFonts w:ascii="仿宋" w:hAnsi="仿宋" w:eastAsia="仿宋"/>
          <w:color w:val="000000"/>
          <w:kern w:val="0"/>
          <w:sz w:val="32"/>
          <w:szCs w:val="32"/>
        </w:rPr>
      </w:pPr>
      <w:r>
        <w:rPr>
          <w:rFonts w:ascii="仿宋" w:hAnsi="仿宋" w:eastAsia="仿宋"/>
          <w:color w:val="000000"/>
          <w:sz w:val="32"/>
          <w:szCs w:val="32"/>
        </w:rPr>
        <w:br w:type="page"/>
      </w:r>
    </w:p>
    <w:p>
      <w:pPr>
        <w:pStyle w:val="2"/>
        <w:pageBreakBefore w:val="0"/>
        <w:kinsoku/>
        <w:wordWrap/>
        <w:overflowPunct/>
        <w:topLinePunct w:val="0"/>
        <w:autoSpaceDE/>
        <w:autoSpaceDN/>
        <w:bidi w:val="0"/>
        <w:snapToGrid/>
        <w:spacing w:before="0" w:after="0" w:line="576" w:lineRule="exact"/>
        <w:jc w:val="center"/>
        <w:textAlignment w:val="auto"/>
        <w:rPr>
          <w:rFonts w:hint="eastAsia" w:ascii="方正小标宋简体" w:hAnsi="方正小标宋简体" w:eastAsia="方正小标宋简体" w:cs="方正小标宋简体"/>
          <w:b w:val="0"/>
        </w:rPr>
      </w:pPr>
      <w:bookmarkStart w:id="30" w:name="_Toc82764202"/>
      <w:bookmarkStart w:id="31" w:name="_Toc15396602"/>
      <w:bookmarkStart w:id="32" w:name="_Toc15377204"/>
      <w:bookmarkStart w:id="33" w:name="_Toc79163609"/>
      <w:r>
        <w:rPr>
          <w:rFonts w:hint="eastAsia" w:ascii="方正小标宋简体" w:hAnsi="方正小标宋简体" w:eastAsia="方正小标宋简体" w:cs="方正小标宋简体"/>
          <w:b w:val="0"/>
        </w:rPr>
        <w:t>第二部分 2020年度部门决算情况说明</w:t>
      </w:r>
      <w:bookmarkEnd w:id="30"/>
      <w:bookmarkEnd w:id="31"/>
      <w:bookmarkEnd w:id="32"/>
      <w:bookmarkEnd w:id="33"/>
    </w:p>
    <w:p/>
    <w:p>
      <w:pPr>
        <w:pStyle w:val="36"/>
        <w:numPr>
          <w:ilvl w:val="0"/>
          <w:numId w:val="1"/>
        </w:numPr>
        <w:spacing w:line="600" w:lineRule="exact"/>
        <w:ind w:firstLineChars="0"/>
        <w:outlineLvl w:val="1"/>
        <w:rPr>
          <w:rStyle w:val="26"/>
          <w:rFonts w:ascii="黑体" w:hAnsi="黑体" w:eastAsia="黑体"/>
          <w:b w:val="0"/>
        </w:rPr>
      </w:pPr>
      <w:bookmarkStart w:id="34" w:name="_Toc79163610"/>
      <w:bookmarkStart w:id="35" w:name="_Toc82764203"/>
      <w:bookmarkStart w:id="36" w:name="_Toc15377205"/>
      <w:bookmarkStart w:id="37" w:name="_Toc15396603"/>
      <w:r>
        <w:rPr>
          <w:rFonts w:hint="eastAsia" w:ascii="黑体" w:hAnsi="黑体" w:eastAsia="黑体"/>
          <w:color w:val="000000"/>
          <w:sz w:val="32"/>
          <w:szCs w:val="32"/>
        </w:rPr>
        <w:t>收</w:t>
      </w:r>
      <w:r>
        <w:rPr>
          <w:rStyle w:val="26"/>
          <w:rFonts w:hint="eastAsia" w:ascii="黑体" w:hAnsi="黑体" w:eastAsia="黑体"/>
          <w:b w:val="0"/>
        </w:rPr>
        <w:t>入支出决算总体情况说明</w:t>
      </w:r>
      <w:bookmarkEnd w:id="34"/>
      <w:bookmarkEnd w:id="35"/>
      <w:bookmarkEnd w:id="36"/>
      <w:bookmarkEnd w:id="37"/>
    </w:p>
    <w:p>
      <w:pPr>
        <w:pageBreakBefore w:val="0"/>
        <w:kinsoku/>
        <w:wordWrap/>
        <w:overflowPunct/>
        <w:topLinePunct w:val="0"/>
        <w:autoSpaceDE/>
        <w:autoSpaceDN/>
        <w:bidi w:val="0"/>
        <w:snapToGrid/>
        <w:spacing w:line="576" w:lineRule="exact"/>
        <w:ind w:firstLine="800" w:firstLineChars="250"/>
        <w:textAlignment w:val="auto"/>
        <w:rPr>
          <w:rFonts w:hint="eastAsia" w:ascii="仿宋_GB2312" w:hAnsi="仿宋_GB2312" w:eastAsia="仿宋_GB2312" w:cs="仿宋_GB2312"/>
          <w:sz w:val="32"/>
          <w:szCs w:val="32"/>
        </w:rPr>
      </w:pPr>
      <w:bookmarkStart w:id="38" w:name="_Toc82764204"/>
      <w:r>
        <w:rPr>
          <w:rFonts w:hint="eastAsia" w:ascii="仿宋_GB2312" w:hAnsi="仿宋_GB2312" w:eastAsia="仿宋_GB2312" w:cs="仿宋_GB2312"/>
          <w:sz w:val="32"/>
          <w:szCs w:val="32"/>
        </w:rPr>
        <w:t>2020年度收、支总计943.65万元。与2019年相比，收、支总计各增加198.87万元，增长21%。主要变动原因：</w:t>
      </w:r>
      <w:bookmarkEnd w:id="38"/>
    </w:p>
    <w:p>
      <w:pPr>
        <w:pageBreakBefore w:val="0"/>
        <w:kinsoku/>
        <w:wordWrap/>
        <w:overflowPunct/>
        <w:topLinePunct w:val="0"/>
        <w:autoSpaceDE/>
        <w:autoSpaceDN/>
        <w:bidi w:val="0"/>
        <w:snapToGrid/>
        <w:spacing w:line="576"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人员增加和优抚对象生活补助经费增加。</w:t>
      </w:r>
    </w:p>
    <w:p>
      <w:pPr>
        <w:pageBreakBefore w:val="0"/>
        <w:kinsoku/>
        <w:wordWrap/>
        <w:overflowPunct/>
        <w:topLinePunct w:val="0"/>
        <w:autoSpaceDE/>
        <w:autoSpaceDN/>
        <w:bidi w:val="0"/>
        <w:snapToGrid/>
        <w:spacing w:line="576" w:lineRule="exact"/>
        <w:ind w:firstLine="800" w:firstLineChars="25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drawing>
          <wp:anchor distT="0" distB="0" distL="114300" distR="114300" simplePos="0" relativeHeight="251661312" behindDoc="0" locked="0" layoutInCell="1" allowOverlap="1">
            <wp:simplePos x="0" y="0"/>
            <wp:positionH relativeFrom="column">
              <wp:posOffset>200025</wp:posOffset>
            </wp:positionH>
            <wp:positionV relativeFrom="paragraph">
              <wp:posOffset>548640</wp:posOffset>
            </wp:positionV>
            <wp:extent cx="5048250" cy="4076700"/>
            <wp:effectExtent l="0" t="0" r="0" b="0"/>
            <wp:wrapTopAndBottom/>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r>
        <w:rPr>
          <w:rFonts w:hint="eastAsia" w:ascii="仿宋_GB2312" w:hAnsi="仿宋_GB2312" w:eastAsia="仿宋_GB2312" w:cs="仿宋_GB2312"/>
          <w:sz w:val="32"/>
          <w:szCs w:val="32"/>
        </w:rPr>
        <w:t>单位：万元</w:t>
      </w:r>
    </w:p>
    <w:p>
      <w:pPr>
        <w:spacing w:line="600" w:lineRule="exact"/>
        <w:ind w:firstLine="640" w:firstLineChars="200"/>
        <w:jc w:val="left"/>
        <w:rPr>
          <w:rFonts w:ascii="仿宋" w:hAnsi="仿宋" w:eastAsia="仿宋"/>
          <w:color w:val="000000"/>
          <w:sz w:val="32"/>
          <w:szCs w:val="32"/>
        </w:rPr>
      </w:pPr>
    </w:p>
    <w:p>
      <w:pPr>
        <w:spacing w:line="600" w:lineRule="exact"/>
        <w:ind w:firstLine="640" w:firstLineChars="200"/>
        <w:jc w:val="left"/>
        <w:rPr>
          <w:rFonts w:ascii="仿宋" w:hAnsi="仿宋" w:eastAsia="仿宋"/>
          <w:color w:val="000000"/>
          <w:sz w:val="32"/>
          <w:szCs w:val="32"/>
        </w:rPr>
      </w:pPr>
    </w:p>
    <w:p>
      <w:pPr>
        <w:spacing w:line="600" w:lineRule="exact"/>
        <w:ind w:firstLine="640" w:firstLineChars="200"/>
        <w:jc w:val="left"/>
        <w:rPr>
          <w:rFonts w:ascii="仿宋" w:hAnsi="仿宋" w:eastAsia="仿宋"/>
          <w:color w:val="000000"/>
          <w:sz w:val="32"/>
          <w:szCs w:val="32"/>
        </w:rPr>
      </w:pPr>
    </w:p>
    <w:p>
      <w:pPr>
        <w:spacing w:line="600" w:lineRule="exact"/>
        <w:ind w:firstLine="640" w:firstLineChars="200"/>
        <w:jc w:val="left"/>
        <w:rPr>
          <w:rFonts w:ascii="仿宋" w:hAnsi="仿宋" w:eastAsia="仿宋"/>
          <w:color w:val="000000"/>
          <w:sz w:val="32"/>
          <w:szCs w:val="32"/>
        </w:rPr>
      </w:pPr>
    </w:p>
    <w:p>
      <w:pPr>
        <w:spacing w:line="600" w:lineRule="exact"/>
        <w:jc w:val="left"/>
        <w:rPr>
          <w:rFonts w:ascii="仿宋_GB2312" w:eastAsia="仿宋_GB2312"/>
          <w:color w:val="000000"/>
          <w:sz w:val="32"/>
          <w:szCs w:val="32"/>
        </w:rPr>
      </w:pPr>
    </w:p>
    <w:p>
      <w:pPr>
        <w:pStyle w:val="36"/>
        <w:numPr>
          <w:ilvl w:val="0"/>
          <w:numId w:val="1"/>
        </w:numPr>
        <w:spacing w:line="600" w:lineRule="exact"/>
        <w:ind w:firstLineChars="0"/>
        <w:outlineLvl w:val="1"/>
        <w:rPr>
          <w:rStyle w:val="26"/>
          <w:rFonts w:ascii="黑体" w:hAnsi="黑体" w:eastAsia="黑体"/>
          <w:b w:val="0"/>
        </w:rPr>
      </w:pPr>
      <w:bookmarkStart w:id="39" w:name="_Toc79163611"/>
      <w:bookmarkStart w:id="40" w:name="_Toc15396604"/>
      <w:bookmarkStart w:id="41" w:name="_Toc15377206"/>
      <w:bookmarkStart w:id="42" w:name="_Toc82764205"/>
      <w:r>
        <w:rPr>
          <w:rFonts w:hint="eastAsia" w:ascii="黑体" w:hAnsi="黑体" w:eastAsia="黑体"/>
          <w:color w:val="000000"/>
          <w:sz w:val="32"/>
          <w:szCs w:val="32"/>
        </w:rPr>
        <w:t>收</w:t>
      </w:r>
      <w:r>
        <w:rPr>
          <w:rStyle w:val="26"/>
          <w:rFonts w:hint="eastAsia" w:ascii="黑体" w:hAnsi="黑体" w:eastAsia="黑体"/>
          <w:b w:val="0"/>
        </w:rPr>
        <w:t>入决算情况说明</w:t>
      </w:r>
      <w:bookmarkEnd w:id="39"/>
      <w:bookmarkEnd w:id="40"/>
      <w:bookmarkEnd w:id="41"/>
      <w:bookmarkEnd w:id="42"/>
    </w:p>
    <w:p>
      <w:pPr>
        <w:pageBreakBefore w:val="0"/>
        <w:kinsoku/>
        <w:wordWrap/>
        <w:overflowPunct/>
        <w:topLinePunct w:val="0"/>
        <w:autoSpaceDE/>
        <w:autoSpaceDN/>
        <w:bidi w:val="0"/>
        <w:snapToGrid/>
        <w:spacing w:line="576" w:lineRule="exact"/>
        <w:ind w:firstLine="800" w:firstLineChars="25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2020年本年收入合计811.97万元，其中：一般公共预算财政拨款收入811.97万元，占100%；政府性基金预算财政拨款收入0万元，上级补助收入0万元，事业收入0万元，经营收入0万元，附属单位上缴收入0万元，其他收入0万元。</w:t>
      </w:r>
    </w:p>
    <w:p>
      <w:pPr>
        <w:spacing w:line="600" w:lineRule="exact"/>
        <w:ind w:firstLine="640" w:firstLineChars="200"/>
        <w:rPr>
          <w:rFonts w:ascii="仿宋" w:hAnsi="仿宋" w:eastAsia="仿宋"/>
          <w:color w:val="000000"/>
          <w:sz w:val="32"/>
          <w:szCs w:val="32"/>
        </w:rPr>
      </w:pPr>
      <w:r>
        <w:rPr>
          <w:rFonts w:hint="eastAsia" w:ascii="仿宋_GB2312" w:eastAsia="仿宋_GB2312"/>
          <w:color w:val="FF0000"/>
          <w:sz w:val="32"/>
          <w:szCs w:val="32"/>
        </w:rPr>
        <w:drawing>
          <wp:anchor distT="0" distB="0" distL="114300" distR="114300" simplePos="0" relativeHeight="251663360" behindDoc="0" locked="0" layoutInCell="1" allowOverlap="1">
            <wp:simplePos x="0" y="0"/>
            <wp:positionH relativeFrom="column">
              <wp:posOffset>409575</wp:posOffset>
            </wp:positionH>
            <wp:positionV relativeFrom="paragraph">
              <wp:posOffset>581025</wp:posOffset>
            </wp:positionV>
            <wp:extent cx="4562475" cy="3133725"/>
            <wp:effectExtent l="0" t="0" r="9525" b="9525"/>
            <wp:wrapTopAndBottom/>
            <wp:docPr id="9"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pPr>
        <w:pStyle w:val="36"/>
        <w:numPr>
          <w:ilvl w:val="0"/>
          <w:numId w:val="1"/>
        </w:numPr>
        <w:spacing w:line="600" w:lineRule="exact"/>
        <w:ind w:firstLineChars="0"/>
        <w:outlineLvl w:val="1"/>
        <w:rPr>
          <w:rStyle w:val="26"/>
          <w:rFonts w:ascii="黑体" w:hAnsi="黑体" w:eastAsia="黑体"/>
          <w:b w:val="0"/>
        </w:rPr>
      </w:pPr>
      <w:bookmarkStart w:id="43" w:name="_Toc82764206"/>
      <w:bookmarkStart w:id="44" w:name="_Toc15377207"/>
      <w:bookmarkStart w:id="45" w:name="_Toc15396605"/>
      <w:bookmarkStart w:id="46" w:name="_Toc79163612"/>
      <w:r>
        <w:rPr>
          <w:rFonts w:hint="eastAsia" w:ascii="黑体" w:hAnsi="黑体" w:eastAsia="黑体"/>
          <w:color w:val="000000"/>
          <w:sz w:val="32"/>
          <w:szCs w:val="32"/>
        </w:rPr>
        <w:t>支</w:t>
      </w:r>
      <w:r>
        <w:rPr>
          <w:rStyle w:val="26"/>
          <w:rFonts w:hint="eastAsia" w:ascii="黑体" w:hAnsi="黑体" w:eastAsia="黑体"/>
          <w:b w:val="0"/>
        </w:rPr>
        <w:t>出决算情况说明</w:t>
      </w:r>
      <w:bookmarkEnd w:id="43"/>
      <w:bookmarkEnd w:id="44"/>
      <w:bookmarkEnd w:id="45"/>
      <w:bookmarkEnd w:id="46"/>
    </w:p>
    <w:p>
      <w:pPr>
        <w:pageBreakBefore w:val="0"/>
        <w:kinsoku/>
        <w:wordWrap/>
        <w:overflowPunct/>
        <w:topLinePunct w:val="0"/>
        <w:autoSpaceDE/>
        <w:autoSpaceDN/>
        <w:bidi w:val="0"/>
        <w:snapToGrid/>
        <w:spacing w:line="576" w:lineRule="exact"/>
        <w:ind w:firstLine="800" w:firstLineChars="25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2020年本年支出合计848.72万元，其中：基本支出142.87万元，占17%；项目支出705.85万元，占83%；上缴上级支出0万元，经营支出0万元，对附属单位补助支出0万元。</w:t>
      </w:r>
    </w:p>
    <w:p>
      <w:pPr>
        <w:spacing w:line="600" w:lineRule="exact"/>
        <w:ind w:firstLine="640"/>
        <w:rPr>
          <w:rFonts w:ascii="仿宋" w:hAnsi="仿宋" w:eastAsia="仿宋"/>
          <w:color w:val="000000"/>
          <w:sz w:val="32"/>
          <w:szCs w:val="32"/>
          <w:shd w:val="pct10" w:color="auto" w:fill="FFFFFF"/>
        </w:rPr>
      </w:pPr>
    </w:p>
    <w:p>
      <w:pPr>
        <w:spacing w:line="600" w:lineRule="exact"/>
        <w:rPr>
          <w:rFonts w:ascii="仿宋_GB2312" w:eastAsia="仿宋_GB2312"/>
          <w:color w:val="FF0000"/>
          <w:sz w:val="32"/>
          <w:szCs w:val="32"/>
        </w:rPr>
      </w:pPr>
    </w:p>
    <w:p>
      <w:pPr>
        <w:spacing w:line="600" w:lineRule="exact"/>
        <w:ind w:firstLine="640" w:firstLineChars="200"/>
        <w:outlineLvl w:val="1"/>
        <w:rPr>
          <w:rFonts w:ascii="黑体" w:hAnsi="黑体" w:eastAsia="黑体"/>
          <w:color w:val="000000"/>
          <w:sz w:val="32"/>
          <w:szCs w:val="32"/>
        </w:rPr>
      </w:pPr>
      <w:bookmarkStart w:id="47" w:name="_Toc15377208"/>
      <w:bookmarkStart w:id="48" w:name="_Toc79163613"/>
      <w:bookmarkStart w:id="49" w:name="_Toc15396606"/>
    </w:p>
    <w:p>
      <w:pPr>
        <w:spacing w:line="600" w:lineRule="exact"/>
        <w:ind w:firstLine="640" w:firstLineChars="200"/>
        <w:outlineLvl w:val="1"/>
        <w:rPr>
          <w:rFonts w:ascii="黑体" w:hAnsi="黑体" w:eastAsia="黑体"/>
          <w:color w:val="000000"/>
          <w:sz w:val="32"/>
          <w:szCs w:val="32"/>
        </w:rPr>
      </w:pPr>
    </w:p>
    <w:p>
      <w:pPr>
        <w:spacing w:line="600" w:lineRule="exact"/>
        <w:ind w:firstLine="640" w:firstLineChars="200"/>
        <w:outlineLvl w:val="1"/>
        <w:rPr>
          <w:rFonts w:ascii="黑体" w:hAnsi="黑体" w:eastAsia="黑体"/>
          <w:color w:val="000000"/>
          <w:sz w:val="32"/>
          <w:szCs w:val="32"/>
        </w:rPr>
      </w:pPr>
    </w:p>
    <w:p>
      <w:pPr>
        <w:spacing w:line="600" w:lineRule="exact"/>
        <w:ind w:firstLine="640" w:firstLineChars="200"/>
        <w:outlineLvl w:val="1"/>
        <w:rPr>
          <w:rFonts w:ascii="黑体" w:hAnsi="黑体" w:eastAsia="黑体"/>
          <w:color w:val="000000"/>
          <w:sz w:val="32"/>
          <w:szCs w:val="32"/>
        </w:rPr>
      </w:pPr>
      <w:r>
        <w:rPr>
          <w:rFonts w:ascii="仿宋_GB2312" w:eastAsia="仿宋_GB2312"/>
          <w:color w:val="FF0000"/>
          <w:sz w:val="32"/>
          <w:szCs w:val="32"/>
        </w:rPr>
        <w:drawing>
          <wp:anchor distT="0" distB="0" distL="114300" distR="114300" simplePos="0" relativeHeight="251662336" behindDoc="0" locked="0" layoutInCell="1" allowOverlap="1">
            <wp:simplePos x="0" y="0"/>
            <wp:positionH relativeFrom="column">
              <wp:posOffset>171450</wp:posOffset>
            </wp:positionH>
            <wp:positionV relativeFrom="paragraph">
              <wp:posOffset>466725</wp:posOffset>
            </wp:positionV>
            <wp:extent cx="4924425" cy="3086100"/>
            <wp:effectExtent l="0" t="0" r="9525" b="0"/>
            <wp:wrapTopAndBottom/>
            <wp:docPr id="10" name="图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spacing w:line="600" w:lineRule="exact"/>
        <w:ind w:firstLine="640" w:firstLineChars="200"/>
        <w:outlineLvl w:val="1"/>
        <w:rPr>
          <w:rStyle w:val="26"/>
          <w:rFonts w:ascii="黑体" w:hAnsi="黑体" w:eastAsia="黑体"/>
          <w:b w:val="0"/>
        </w:rPr>
      </w:pPr>
      <w:bookmarkStart w:id="50" w:name="_Toc82764207"/>
      <w:r>
        <w:rPr>
          <w:rFonts w:hint="eastAsia" w:ascii="黑体" w:hAnsi="黑体" w:eastAsia="黑体"/>
          <w:color w:val="000000"/>
          <w:sz w:val="32"/>
          <w:szCs w:val="32"/>
        </w:rPr>
        <w:t>四、财</w:t>
      </w:r>
      <w:r>
        <w:rPr>
          <w:rStyle w:val="26"/>
          <w:rFonts w:hint="eastAsia" w:ascii="黑体" w:hAnsi="黑体" w:eastAsia="黑体"/>
          <w:b w:val="0"/>
        </w:rPr>
        <w:t>政拨款收入支出决算总体情况说明</w:t>
      </w:r>
      <w:bookmarkEnd w:id="47"/>
      <w:bookmarkEnd w:id="48"/>
      <w:bookmarkEnd w:id="49"/>
      <w:bookmarkEnd w:id="50"/>
    </w:p>
    <w:p>
      <w:pPr>
        <w:pageBreakBefore w:val="0"/>
        <w:kinsoku/>
        <w:wordWrap/>
        <w:overflowPunct/>
        <w:topLinePunct w:val="0"/>
        <w:autoSpaceDE/>
        <w:autoSpaceDN/>
        <w:bidi w:val="0"/>
        <w:snapToGrid/>
        <w:spacing w:line="576" w:lineRule="exact"/>
        <w:ind w:firstLine="800" w:firstLineChars="250"/>
        <w:textAlignment w:val="auto"/>
        <w:rPr>
          <w:rFonts w:hint="eastAsia" w:ascii="仿宋_GB2312" w:hAnsi="仿宋_GB2312" w:eastAsia="仿宋_GB2312" w:cs="仿宋_GB2312"/>
          <w:sz w:val="32"/>
          <w:szCs w:val="32"/>
        </w:rPr>
      </w:pPr>
      <w:bookmarkStart w:id="51" w:name="_Toc82764208"/>
      <w:r>
        <w:rPr>
          <w:rFonts w:hint="eastAsia" w:ascii="仿宋_GB2312" w:hAnsi="仿宋_GB2312" w:eastAsia="仿宋_GB2312" w:cs="仿宋_GB2312"/>
          <w:sz w:val="32"/>
          <w:szCs w:val="32"/>
        </w:rPr>
        <w:t>2020年度收、支总计943.65万元。与2019年相比，收、支总计各增加198.87万元，增长21%。主要变动原因：</w:t>
      </w:r>
      <w:bookmarkEnd w:id="51"/>
    </w:p>
    <w:p>
      <w:pPr>
        <w:pageBreakBefore w:val="0"/>
        <w:kinsoku/>
        <w:wordWrap/>
        <w:overflowPunct/>
        <w:topLinePunct w:val="0"/>
        <w:autoSpaceDE/>
        <w:autoSpaceDN/>
        <w:bidi w:val="0"/>
        <w:snapToGrid/>
        <w:spacing w:line="576" w:lineRule="exact"/>
        <w:textAlignment w:val="auto"/>
        <w:rPr>
          <w:rFonts w:hint="eastAsia" w:ascii="仿宋_GB2312" w:hAnsi="仿宋_GB2312" w:eastAsia="仿宋_GB2312" w:cs="仿宋_GB2312"/>
          <w:sz w:val="32"/>
          <w:szCs w:val="32"/>
        </w:rPr>
      </w:pPr>
      <w:bookmarkStart w:id="52" w:name="_Hlk82421121"/>
      <w:r>
        <w:rPr>
          <w:rFonts w:hint="eastAsia" w:ascii="仿宋_GB2312" w:hAnsi="仿宋_GB2312" w:eastAsia="仿宋_GB2312" w:cs="仿宋_GB2312"/>
          <w:sz w:val="32"/>
          <w:szCs w:val="32"/>
        </w:rPr>
        <w:t>人员增加和优抚对象生活补助经费增加</w:t>
      </w:r>
      <w:bookmarkEnd w:id="52"/>
      <w:r>
        <w:rPr>
          <w:rFonts w:hint="eastAsia" w:ascii="仿宋_GB2312" w:hAnsi="仿宋_GB2312" w:eastAsia="仿宋_GB2312" w:cs="仿宋_GB2312"/>
          <w:sz w:val="32"/>
          <w:szCs w:val="32"/>
        </w:rPr>
        <w:t>。</w:t>
      </w:r>
    </w:p>
    <w:p>
      <w:pPr>
        <w:spacing w:line="600" w:lineRule="exact"/>
        <w:rPr>
          <w:rFonts w:ascii="仿宋" w:hAnsi="仿宋" w:eastAsia="仿宋"/>
          <w:color w:val="000000"/>
          <w:sz w:val="32"/>
          <w:szCs w:val="32"/>
        </w:rPr>
      </w:pPr>
    </w:p>
    <w:p>
      <w:pPr>
        <w:spacing w:line="600" w:lineRule="exact"/>
        <w:rPr>
          <w:rFonts w:ascii="仿宋" w:hAnsi="仿宋" w:eastAsia="仿宋"/>
          <w:color w:val="000000"/>
          <w:sz w:val="32"/>
          <w:szCs w:val="32"/>
        </w:rPr>
      </w:pPr>
      <w:r>
        <w:rPr>
          <w:rFonts w:ascii="仿宋" w:hAnsi="仿宋" w:eastAsia="仿宋"/>
          <w:b/>
          <w:color w:val="00B050"/>
          <w:sz w:val="32"/>
          <w:szCs w:val="32"/>
        </w:rPr>
        <w:drawing>
          <wp:anchor distT="0" distB="0" distL="114300" distR="114300" simplePos="0" relativeHeight="251660288" behindDoc="0" locked="0" layoutInCell="1" allowOverlap="1">
            <wp:simplePos x="0" y="0"/>
            <wp:positionH relativeFrom="column">
              <wp:posOffset>419100</wp:posOffset>
            </wp:positionH>
            <wp:positionV relativeFrom="paragraph">
              <wp:posOffset>695325</wp:posOffset>
            </wp:positionV>
            <wp:extent cx="4162425" cy="2933700"/>
            <wp:effectExtent l="0" t="0" r="9525" b="0"/>
            <wp:wrapTopAndBottom/>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pPr>
        <w:spacing w:line="600" w:lineRule="exact"/>
        <w:ind w:firstLine="640" w:firstLineChars="200"/>
        <w:outlineLvl w:val="1"/>
        <w:rPr>
          <w:rStyle w:val="26"/>
          <w:rFonts w:ascii="黑体" w:hAnsi="黑体" w:eastAsia="黑体"/>
          <w:b w:val="0"/>
        </w:rPr>
      </w:pPr>
      <w:bookmarkStart w:id="53" w:name="_Toc82764209"/>
      <w:bookmarkStart w:id="54" w:name="_Toc79163614"/>
      <w:bookmarkStart w:id="55" w:name="_Toc15377209"/>
      <w:bookmarkStart w:id="56" w:name="_Toc15396607"/>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6"/>
          <w:rFonts w:hint="eastAsia" w:ascii="黑体" w:hAnsi="黑体" w:eastAsia="黑体"/>
          <w:b w:val="0"/>
        </w:rPr>
        <w:t>般公共预算财政拨款支出决算情况说明</w:t>
      </w:r>
      <w:bookmarkEnd w:id="53"/>
      <w:bookmarkEnd w:id="54"/>
      <w:bookmarkEnd w:id="55"/>
      <w:bookmarkEnd w:id="56"/>
    </w:p>
    <w:p>
      <w:pPr>
        <w:spacing w:line="600" w:lineRule="exact"/>
        <w:ind w:firstLine="642" w:firstLineChars="200"/>
        <w:outlineLvl w:val="2"/>
        <w:rPr>
          <w:rFonts w:ascii="仿宋" w:hAnsi="仿宋" w:eastAsia="仿宋"/>
          <w:b/>
          <w:color w:val="000000"/>
          <w:sz w:val="32"/>
          <w:szCs w:val="32"/>
        </w:rPr>
      </w:pPr>
      <w:bookmarkStart w:id="57" w:name="_Toc15377210"/>
      <w:bookmarkStart w:id="58" w:name="_Toc79163615"/>
      <w:bookmarkStart w:id="59" w:name="_Toc82764210"/>
      <w:r>
        <w:rPr>
          <w:rFonts w:hint="eastAsia" w:ascii="仿宋" w:hAnsi="仿宋" w:eastAsia="仿宋"/>
          <w:b/>
          <w:color w:val="000000"/>
          <w:sz w:val="32"/>
          <w:szCs w:val="32"/>
        </w:rPr>
        <w:t>（一）一般公共预算财政拨款支出决算总体情况</w:t>
      </w:r>
      <w:bookmarkEnd w:id="57"/>
      <w:bookmarkEnd w:id="58"/>
      <w:bookmarkEnd w:id="59"/>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年一般公共预算财政拨款支出</w:t>
      </w:r>
      <w:r>
        <w:rPr>
          <w:rFonts w:ascii="仿宋" w:hAnsi="仿宋" w:eastAsia="仿宋"/>
          <w:color w:val="000000"/>
          <w:sz w:val="32"/>
          <w:szCs w:val="32"/>
        </w:rPr>
        <w:t>848.72</w:t>
      </w:r>
      <w:r>
        <w:rPr>
          <w:rFonts w:hint="eastAsia" w:ascii="仿宋" w:hAnsi="仿宋" w:eastAsia="仿宋"/>
          <w:color w:val="000000"/>
          <w:sz w:val="32"/>
          <w:szCs w:val="32"/>
        </w:rPr>
        <w:t>万元，占本年支出合计的</w:t>
      </w:r>
      <w:r>
        <w:rPr>
          <w:rFonts w:ascii="仿宋" w:hAnsi="仿宋" w:eastAsia="仿宋"/>
          <w:color w:val="000000"/>
          <w:sz w:val="32"/>
          <w:szCs w:val="32"/>
        </w:rPr>
        <w:t>100%</w:t>
      </w:r>
      <w:r>
        <w:rPr>
          <w:rFonts w:hint="eastAsia" w:ascii="仿宋" w:hAnsi="仿宋" w:eastAsia="仿宋"/>
          <w:color w:val="000000"/>
          <w:sz w:val="32"/>
          <w:szCs w:val="32"/>
        </w:rPr>
        <w:t>。与</w:t>
      </w:r>
      <w:r>
        <w:rPr>
          <w:rFonts w:ascii="仿宋" w:hAnsi="仿宋" w:eastAsia="仿宋"/>
          <w:color w:val="000000"/>
          <w:sz w:val="32"/>
          <w:szCs w:val="32"/>
        </w:rPr>
        <w:t>2019</w:t>
      </w:r>
      <w:r>
        <w:rPr>
          <w:rFonts w:hint="eastAsia" w:ascii="仿宋" w:hAnsi="仿宋" w:eastAsia="仿宋"/>
          <w:color w:val="000000"/>
          <w:sz w:val="32"/>
          <w:szCs w:val="32"/>
        </w:rPr>
        <w:t>年相比，一般公共预算财政拨款增加</w:t>
      </w:r>
      <w:r>
        <w:rPr>
          <w:rFonts w:ascii="仿宋" w:hAnsi="仿宋" w:eastAsia="仿宋"/>
          <w:color w:val="000000"/>
          <w:sz w:val="32"/>
          <w:szCs w:val="32"/>
        </w:rPr>
        <w:t>251.96</w:t>
      </w:r>
      <w:r>
        <w:rPr>
          <w:rFonts w:hint="eastAsia" w:ascii="仿宋" w:hAnsi="仿宋" w:eastAsia="仿宋"/>
          <w:color w:val="000000"/>
          <w:sz w:val="32"/>
          <w:szCs w:val="32"/>
        </w:rPr>
        <w:t>万元，增长</w:t>
      </w:r>
      <w:r>
        <w:rPr>
          <w:rFonts w:ascii="仿宋" w:hAnsi="仿宋" w:eastAsia="仿宋"/>
          <w:color w:val="000000"/>
          <w:sz w:val="32"/>
          <w:szCs w:val="32"/>
        </w:rPr>
        <w:t>30%</w:t>
      </w:r>
      <w:r>
        <w:rPr>
          <w:rFonts w:hint="eastAsia" w:ascii="仿宋" w:hAnsi="仿宋" w:eastAsia="仿宋"/>
          <w:color w:val="000000"/>
          <w:sz w:val="32"/>
          <w:szCs w:val="32"/>
        </w:rPr>
        <w:t>。主要变动原因是人员增加和优抚对象生活补助经费增加。</w:t>
      </w:r>
    </w:p>
    <w:p>
      <w:pPr>
        <w:spacing w:line="600" w:lineRule="exact"/>
        <w:rPr>
          <w:rFonts w:ascii="仿宋" w:hAnsi="仿宋" w:eastAsia="仿宋"/>
          <w:color w:val="000000"/>
          <w:sz w:val="32"/>
          <w:szCs w:val="32"/>
        </w:rPr>
      </w:pPr>
    </w:p>
    <w:p>
      <w:pPr>
        <w:spacing w:line="600" w:lineRule="exact"/>
        <w:rPr>
          <w:rFonts w:ascii="仿宋" w:hAnsi="仿宋" w:eastAsia="仿宋"/>
          <w:color w:val="000000"/>
          <w:sz w:val="32"/>
          <w:szCs w:val="32"/>
        </w:rPr>
      </w:pPr>
      <w:r>
        <w:rPr>
          <w:rFonts w:ascii="仿宋" w:hAnsi="仿宋" w:eastAsia="仿宋"/>
          <w:b/>
          <w:color w:val="00B050"/>
          <w:sz w:val="32"/>
          <w:szCs w:val="32"/>
        </w:rPr>
        <w:drawing>
          <wp:anchor distT="0" distB="0" distL="114300" distR="114300" simplePos="0" relativeHeight="251659264" behindDoc="0" locked="0" layoutInCell="1" allowOverlap="1">
            <wp:simplePos x="0" y="0"/>
            <wp:positionH relativeFrom="column">
              <wp:posOffset>713740</wp:posOffset>
            </wp:positionH>
            <wp:positionV relativeFrom="paragraph">
              <wp:posOffset>1085850</wp:posOffset>
            </wp:positionV>
            <wp:extent cx="4029075" cy="3143250"/>
            <wp:effectExtent l="0" t="0" r="0" b="0"/>
            <wp:wrapTopAndBottom/>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pPr>
        <w:spacing w:line="600" w:lineRule="exact"/>
        <w:ind w:firstLine="640" w:firstLineChars="200"/>
        <w:rPr>
          <w:rFonts w:ascii="仿宋" w:hAnsi="仿宋" w:eastAsia="仿宋"/>
          <w:color w:val="000000"/>
          <w:sz w:val="32"/>
          <w:szCs w:val="32"/>
        </w:rPr>
      </w:pPr>
    </w:p>
    <w:p>
      <w:pPr>
        <w:spacing w:line="600" w:lineRule="exact"/>
        <w:ind w:firstLine="642" w:firstLineChars="200"/>
        <w:outlineLvl w:val="2"/>
        <w:rPr>
          <w:rFonts w:ascii="仿宋" w:hAnsi="仿宋" w:eastAsia="仿宋"/>
          <w:b/>
          <w:color w:val="000000"/>
          <w:sz w:val="32"/>
          <w:szCs w:val="32"/>
        </w:rPr>
      </w:pPr>
      <w:bookmarkStart w:id="60" w:name="_Toc15377211"/>
      <w:bookmarkStart w:id="61" w:name="_Toc82764211"/>
      <w:bookmarkStart w:id="62" w:name="_Toc79163616"/>
      <w:r>
        <w:rPr>
          <w:rFonts w:hint="eastAsia" w:ascii="仿宋" w:hAnsi="仿宋" w:eastAsia="仿宋"/>
          <w:b/>
          <w:color w:val="000000"/>
          <w:sz w:val="32"/>
          <w:szCs w:val="32"/>
        </w:rPr>
        <w:t>（二）一般公共预算财政拨款支出决算结构情况</w:t>
      </w:r>
      <w:bookmarkEnd w:id="60"/>
      <w:bookmarkEnd w:id="61"/>
      <w:bookmarkEnd w:id="62"/>
    </w:p>
    <w:p>
      <w:pPr>
        <w:spacing w:line="600" w:lineRule="exact"/>
        <w:ind w:firstLine="640"/>
        <w:rPr>
          <w:rFonts w:ascii="仿宋" w:hAnsi="仿宋" w:eastAsia="仿宋"/>
          <w:b/>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年一般公共预算财政拨款支出</w:t>
      </w:r>
      <w:r>
        <w:rPr>
          <w:rFonts w:ascii="仿宋" w:hAnsi="仿宋" w:eastAsia="仿宋"/>
          <w:color w:val="000000"/>
          <w:sz w:val="32"/>
          <w:szCs w:val="32"/>
        </w:rPr>
        <w:t>848.72</w:t>
      </w:r>
      <w:r>
        <w:rPr>
          <w:rFonts w:hint="eastAsia" w:ascii="仿宋" w:hAnsi="仿宋" w:eastAsia="仿宋"/>
          <w:color w:val="000000"/>
          <w:sz w:val="32"/>
          <w:szCs w:val="32"/>
        </w:rPr>
        <w:t>万元，主要用于以下方面</w:t>
      </w:r>
      <w:r>
        <w:rPr>
          <w:rFonts w:ascii="仿宋" w:hAnsi="仿宋" w:eastAsia="仿宋"/>
          <w:color w:val="000000"/>
          <w:sz w:val="32"/>
          <w:szCs w:val="32"/>
        </w:rPr>
        <w:t>:</w:t>
      </w:r>
      <w:r>
        <w:rPr>
          <w:rFonts w:hint="eastAsia" w:ascii="仿宋" w:hAnsi="仿宋" w:eastAsia="仿宋"/>
          <w:b/>
          <w:color w:val="000000"/>
          <w:sz w:val="32"/>
          <w:szCs w:val="32"/>
        </w:rPr>
        <w:t xml:space="preserve"> </w:t>
      </w:r>
      <w:r>
        <w:rPr>
          <w:rFonts w:hint="eastAsia" w:ascii="仿宋" w:hAnsi="仿宋" w:eastAsia="仿宋"/>
          <w:b/>
          <w:bCs/>
          <w:color w:val="000000"/>
          <w:sz w:val="32"/>
          <w:szCs w:val="32"/>
        </w:rPr>
        <w:t>社会保障和就业</w:t>
      </w:r>
      <w:r>
        <w:rPr>
          <w:rFonts w:hint="eastAsia" w:ascii="仿宋" w:hAnsi="仿宋" w:eastAsia="仿宋"/>
          <w:color w:val="000000"/>
          <w:sz w:val="32"/>
          <w:szCs w:val="32"/>
        </w:rPr>
        <w:t>支出</w:t>
      </w:r>
      <w:r>
        <w:rPr>
          <w:rFonts w:ascii="仿宋" w:hAnsi="仿宋" w:eastAsia="仿宋"/>
          <w:color w:val="000000"/>
          <w:sz w:val="32"/>
          <w:szCs w:val="32"/>
        </w:rPr>
        <w:t>822.57</w:t>
      </w:r>
      <w:r>
        <w:rPr>
          <w:rFonts w:hint="eastAsia" w:ascii="仿宋" w:hAnsi="仿宋" w:eastAsia="仿宋"/>
          <w:color w:val="000000"/>
          <w:sz w:val="32"/>
          <w:szCs w:val="32"/>
        </w:rPr>
        <w:t>万元，占</w:t>
      </w:r>
      <w:r>
        <w:rPr>
          <w:rFonts w:ascii="仿宋" w:hAnsi="仿宋" w:eastAsia="仿宋"/>
          <w:color w:val="000000"/>
          <w:sz w:val="32"/>
          <w:szCs w:val="32"/>
        </w:rPr>
        <w:t>97%</w:t>
      </w:r>
      <w:r>
        <w:rPr>
          <w:rFonts w:hint="eastAsia" w:ascii="仿宋" w:hAnsi="仿宋" w:eastAsia="仿宋"/>
          <w:color w:val="000000"/>
          <w:sz w:val="32"/>
          <w:szCs w:val="32"/>
        </w:rPr>
        <w:t>；</w:t>
      </w:r>
      <w:r>
        <w:rPr>
          <w:rFonts w:hint="eastAsia" w:ascii="仿宋" w:hAnsi="仿宋" w:eastAsia="仿宋"/>
          <w:b/>
          <w:bCs/>
          <w:color w:val="000000"/>
          <w:sz w:val="32"/>
          <w:szCs w:val="32"/>
        </w:rPr>
        <w:t>卫生健康支出</w:t>
      </w:r>
      <w:r>
        <w:rPr>
          <w:rFonts w:ascii="仿宋" w:hAnsi="仿宋" w:eastAsia="仿宋"/>
          <w:color w:val="000000"/>
          <w:sz w:val="32"/>
          <w:szCs w:val="32"/>
        </w:rPr>
        <w:t>15.15</w:t>
      </w:r>
      <w:r>
        <w:rPr>
          <w:rFonts w:hint="eastAsia" w:ascii="仿宋" w:hAnsi="仿宋" w:eastAsia="仿宋"/>
          <w:color w:val="000000"/>
          <w:sz w:val="32"/>
          <w:szCs w:val="32"/>
        </w:rPr>
        <w:t>万元，占</w:t>
      </w:r>
      <w:r>
        <w:rPr>
          <w:rFonts w:ascii="仿宋" w:hAnsi="仿宋" w:eastAsia="仿宋"/>
          <w:color w:val="000000"/>
          <w:sz w:val="32"/>
          <w:szCs w:val="32"/>
        </w:rPr>
        <w:t>2%</w:t>
      </w:r>
      <w:r>
        <w:rPr>
          <w:rFonts w:hint="eastAsia" w:ascii="仿宋" w:hAnsi="仿宋" w:eastAsia="仿宋"/>
          <w:color w:val="000000"/>
          <w:sz w:val="32"/>
          <w:szCs w:val="32"/>
        </w:rPr>
        <w:t>；住房保障支出</w:t>
      </w:r>
      <w:r>
        <w:rPr>
          <w:rFonts w:ascii="仿宋" w:hAnsi="仿宋" w:eastAsia="仿宋"/>
          <w:color w:val="000000"/>
          <w:sz w:val="32"/>
          <w:szCs w:val="32"/>
        </w:rPr>
        <w:t>11</w:t>
      </w:r>
      <w:r>
        <w:rPr>
          <w:rFonts w:hint="eastAsia" w:ascii="仿宋" w:hAnsi="仿宋" w:eastAsia="仿宋"/>
          <w:color w:val="000000"/>
          <w:sz w:val="32"/>
          <w:szCs w:val="32"/>
        </w:rPr>
        <w:t>万元，占</w:t>
      </w:r>
      <w:r>
        <w:rPr>
          <w:rFonts w:ascii="仿宋" w:hAnsi="仿宋" w:eastAsia="仿宋"/>
          <w:color w:val="000000"/>
          <w:sz w:val="32"/>
          <w:szCs w:val="32"/>
        </w:rPr>
        <w:t>1%</w:t>
      </w:r>
      <w:r>
        <w:rPr>
          <w:rFonts w:hint="eastAsia" w:ascii="仿宋" w:hAnsi="仿宋" w:eastAsia="仿宋"/>
          <w:color w:val="000000"/>
          <w:sz w:val="32"/>
          <w:szCs w:val="32"/>
        </w:rPr>
        <w:t>。</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6</w:t>
      </w:r>
      <w:r>
        <w:rPr>
          <w:rFonts w:hint="eastAsia" w:ascii="仿宋" w:hAnsi="仿宋" w:eastAsia="仿宋"/>
          <w:color w:val="000000"/>
          <w:sz w:val="32"/>
          <w:szCs w:val="32"/>
        </w:rPr>
        <w:t>：一般公共预算财政拨款支出决算结构）（饼状图）</w:t>
      </w: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drawing>
          <wp:anchor distT="0" distB="0" distL="114300" distR="114300" simplePos="0" relativeHeight="251664384" behindDoc="0" locked="0" layoutInCell="1" allowOverlap="1">
            <wp:simplePos x="0" y="0"/>
            <wp:positionH relativeFrom="column">
              <wp:posOffset>200025</wp:posOffset>
            </wp:positionH>
            <wp:positionV relativeFrom="paragraph">
              <wp:posOffset>114300</wp:posOffset>
            </wp:positionV>
            <wp:extent cx="4705350" cy="2581275"/>
            <wp:effectExtent l="0" t="0" r="0" b="9525"/>
            <wp:wrapTopAndBottom/>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spacing w:line="600" w:lineRule="exact"/>
        <w:ind w:firstLine="642" w:firstLineChars="200"/>
        <w:outlineLvl w:val="2"/>
        <w:rPr>
          <w:rFonts w:ascii="仿宋" w:hAnsi="仿宋" w:eastAsia="仿宋"/>
          <w:b/>
          <w:color w:val="000000"/>
          <w:sz w:val="32"/>
          <w:szCs w:val="32"/>
        </w:rPr>
      </w:pPr>
      <w:bookmarkStart w:id="63" w:name="_Toc82764212"/>
      <w:bookmarkStart w:id="64" w:name="_Toc79163617"/>
      <w:bookmarkStart w:id="65" w:name="_Toc15377212"/>
      <w:r>
        <w:rPr>
          <w:rFonts w:hint="eastAsia" w:ascii="仿宋" w:hAnsi="仿宋" w:eastAsia="仿宋"/>
          <w:b/>
          <w:color w:val="000000"/>
          <w:sz w:val="32"/>
          <w:szCs w:val="32"/>
        </w:rPr>
        <w:t>（三）一般公共预算财政拨款支出决算具体情况</w:t>
      </w:r>
      <w:bookmarkEnd w:id="63"/>
      <w:bookmarkEnd w:id="64"/>
      <w:bookmarkEnd w:id="65"/>
    </w:p>
    <w:p>
      <w:pPr>
        <w:spacing w:line="600" w:lineRule="exact"/>
        <w:ind w:firstLine="642" w:firstLineChars="200"/>
        <w:rPr>
          <w:rFonts w:ascii="仿宋_GB2312" w:eastAsia="仿宋_GB2312"/>
          <w:b/>
          <w:bCs/>
          <w:sz w:val="32"/>
          <w:szCs w:val="32"/>
        </w:rPr>
      </w:pPr>
      <w:bookmarkStart w:id="66" w:name="_Toc15377444"/>
      <w:bookmarkStart w:id="67" w:name="_Toc15377213"/>
      <w:bookmarkStart w:id="68" w:name="_Toc15378460"/>
      <w:r>
        <w:rPr>
          <w:rFonts w:ascii="仿宋_GB2312" w:eastAsia="仿宋_GB2312"/>
          <w:b/>
          <w:bCs/>
          <w:sz w:val="32"/>
          <w:szCs w:val="32"/>
        </w:rPr>
        <w:t>2020</w:t>
      </w:r>
      <w:r>
        <w:rPr>
          <w:rFonts w:hint="eastAsia" w:ascii="仿宋_GB2312" w:eastAsia="仿宋_GB2312"/>
          <w:b/>
          <w:bCs/>
          <w:sz w:val="32"/>
          <w:szCs w:val="32"/>
        </w:rPr>
        <w:t>年一般公共预算支出决算数为</w:t>
      </w:r>
      <w:r>
        <w:rPr>
          <w:rFonts w:ascii="仿宋_GB2312" w:eastAsia="仿宋_GB2312"/>
          <w:b/>
          <w:bCs/>
          <w:sz w:val="32"/>
          <w:szCs w:val="32"/>
        </w:rPr>
        <w:t>848.72</w:t>
      </w:r>
      <w:r>
        <w:rPr>
          <w:rFonts w:hint="eastAsia" w:ascii="仿宋_GB2312" w:eastAsia="仿宋_GB2312"/>
          <w:b/>
          <w:bCs/>
          <w:sz w:val="32"/>
          <w:szCs w:val="32"/>
        </w:rPr>
        <w:t>万元，完成预算</w:t>
      </w:r>
      <w:r>
        <w:rPr>
          <w:rFonts w:ascii="仿宋_GB2312" w:eastAsia="仿宋_GB2312"/>
          <w:b/>
          <w:bCs/>
          <w:sz w:val="32"/>
          <w:szCs w:val="32"/>
        </w:rPr>
        <w:t>100%</w:t>
      </w:r>
      <w:r>
        <w:rPr>
          <w:rFonts w:hint="eastAsia" w:ascii="仿宋_GB2312" w:eastAsia="仿宋_GB2312"/>
          <w:b/>
          <w:bCs/>
          <w:sz w:val="32"/>
          <w:szCs w:val="32"/>
        </w:rPr>
        <w:t>。其中：</w:t>
      </w:r>
      <w:bookmarkEnd w:id="66"/>
      <w:bookmarkEnd w:id="67"/>
      <w:bookmarkEnd w:id="68"/>
    </w:p>
    <w:p>
      <w:pPr>
        <w:spacing w:line="576"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．社会保障和就业支出（</w:t>
      </w:r>
      <w:r>
        <w:rPr>
          <w:rFonts w:ascii="仿宋_GB2312" w:eastAsia="仿宋_GB2312"/>
          <w:sz w:val="32"/>
          <w:szCs w:val="32"/>
        </w:rPr>
        <w:t>208</w:t>
      </w:r>
      <w:r>
        <w:rPr>
          <w:rFonts w:hint="eastAsia" w:ascii="仿宋_GB2312" w:eastAsia="仿宋_GB2312"/>
          <w:sz w:val="32"/>
          <w:szCs w:val="32"/>
        </w:rPr>
        <w:t>）行政事业单位养老支出（</w:t>
      </w:r>
      <w:r>
        <w:rPr>
          <w:rFonts w:ascii="仿宋_GB2312" w:eastAsia="仿宋_GB2312"/>
          <w:sz w:val="32"/>
          <w:szCs w:val="32"/>
        </w:rPr>
        <w:t>05</w:t>
      </w:r>
      <w:r>
        <w:rPr>
          <w:rFonts w:hint="eastAsia" w:ascii="仿宋_GB2312" w:eastAsia="仿宋_GB2312"/>
          <w:sz w:val="32"/>
          <w:szCs w:val="32"/>
        </w:rPr>
        <w:t>）机关事业单位基本养老保险缴费支出（</w:t>
      </w:r>
      <w:r>
        <w:rPr>
          <w:rFonts w:ascii="仿宋_GB2312" w:eastAsia="仿宋_GB2312"/>
          <w:sz w:val="32"/>
          <w:szCs w:val="32"/>
        </w:rPr>
        <w:t>05</w:t>
      </w:r>
      <w:r>
        <w:rPr>
          <w:rFonts w:hint="eastAsia" w:ascii="仿宋_GB2312" w:eastAsia="仿宋_GB2312"/>
          <w:sz w:val="32"/>
          <w:szCs w:val="32"/>
        </w:rPr>
        <w:t>）</w:t>
      </w:r>
      <w:bookmarkStart w:id="69" w:name="_Hlk51311839"/>
      <w:r>
        <w:rPr>
          <w:rFonts w:hint="eastAsia" w:ascii="仿宋_GB2312" w:eastAsia="仿宋_GB2312"/>
          <w:sz w:val="32"/>
          <w:szCs w:val="32"/>
        </w:rPr>
        <w:t>支出决算数为</w:t>
      </w:r>
      <w:r>
        <w:rPr>
          <w:rFonts w:ascii="仿宋_GB2312" w:eastAsia="仿宋_GB2312"/>
          <w:sz w:val="32"/>
          <w:szCs w:val="32"/>
        </w:rPr>
        <w:t>10.63</w:t>
      </w:r>
      <w:r>
        <w:rPr>
          <w:rFonts w:hint="eastAsia" w:ascii="仿宋_GB2312" w:eastAsia="仿宋_GB2312"/>
          <w:sz w:val="32"/>
          <w:szCs w:val="32"/>
        </w:rPr>
        <w:t>万元，完成预算</w:t>
      </w:r>
      <w:r>
        <w:rPr>
          <w:rFonts w:ascii="仿宋_GB2312" w:eastAsia="仿宋_GB2312"/>
          <w:sz w:val="32"/>
          <w:szCs w:val="32"/>
        </w:rPr>
        <w:t>100%</w:t>
      </w:r>
      <w:r>
        <w:rPr>
          <w:rFonts w:hint="eastAsia" w:ascii="仿宋_GB2312" w:eastAsia="仿宋_GB2312"/>
          <w:sz w:val="32"/>
          <w:szCs w:val="32"/>
        </w:rPr>
        <w:t>。</w:t>
      </w:r>
    </w:p>
    <w:bookmarkEnd w:id="69"/>
    <w:p>
      <w:pPr>
        <w:spacing w:line="576"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．社会保障和就业支出（</w:t>
      </w:r>
      <w:r>
        <w:rPr>
          <w:rFonts w:ascii="仿宋_GB2312" w:eastAsia="仿宋_GB2312"/>
          <w:sz w:val="32"/>
          <w:szCs w:val="32"/>
        </w:rPr>
        <w:t>208</w:t>
      </w:r>
      <w:r>
        <w:rPr>
          <w:rFonts w:hint="eastAsia" w:ascii="仿宋_GB2312" w:eastAsia="仿宋_GB2312"/>
          <w:sz w:val="32"/>
          <w:szCs w:val="32"/>
        </w:rPr>
        <w:t>）行政事业单位养老支出（</w:t>
      </w:r>
      <w:r>
        <w:rPr>
          <w:rFonts w:ascii="仿宋_GB2312" w:eastAsia="仿宋_GB2312"/>
          <w:sz w:val="32"/>
          <w:szCs w:val="32"/>
        </w:rPr>
        <w:t>05</w:t>
      </w:r>
      <w:r>
        <w:rPr>
          <w:rFonts w:hint="eastAsia" w:ascii="仿宋_GB2312" w:eastAsia="仿宋_GB2312"/>
          <w:sz w:val="32"/>
          <w:szCs w:val="32"/>
        </w:rPr>
        <w:t>）机关事业单位职业年金缴费支出（</w:t>
      </w:r>
      <w:r>
        <w:rPr>
          <w:rFonts w:ascii="仿宋_GB2312" w:eastAsia="仿宋_GB2312"/>
          <w:sz w:val="32"/>
          <w:szCs w:val="32"/>
        </w:rPr>
        <w:t>06</w:t>
      </w:r>
      <w:r>
        <w:rPr>
          <w:rFonts w:hint="eastAsia" w:ascii="仿宋_GB2312" w:eastAsia="仿宋_GB2312"/>
          <w:sz w:val="32"/>
          <w:szCs w:val="32"/>
        </w:rPr>
        <w:t>）支出决算数为</w:t>
      </w:r>
      <w:r>
        <w:rPr>
          <w:rFonts w:ascii="仿宋_GB2312" w:eastAsia="仿宋_GB2312"/>
          <w:sz w:val="32"/>
          <w:szCs w:val="32"/>
        </w:rPr>
        <w:t>5.31</w:t>
      </w:r>
      <w:r>
        <w:rPr>
          <w:rFonts w:hint="eastAsia" w:ascii="仿宋_GB2312" w:eastAsia="仿宋_GB2312"/>
          <w:sz w:val="32"/>
          <w:szCs w:val="32"/>
        </w:rPr>
        <w:t>万元，完成预算</w:t>
      </w:r>
      <w:r>
        <w:rPr>
          <w:rFonts w:ascii="仿宋_GB2312" w:eastAsia="仿宋_GB2312"/>
          <w:sz w:val="32"/>
          <w:szCs w:val="32"/>
        </w:rPr>
        <w:t>100%</w:t>
      </w:r>
      <w:r>
        <w:rPr>
          <w:rFonts w:hint="eastAsia" w:ascii="仿宋_GB2312" w:eastAsia="仿宋_GB2312"/>
          <w:sz w:val="32"/>
          <w:szCs w:val="32"/>
        </w:rPr>
        <w:t>。</w:t>
      </w:r>
    </w:p>
    <w:p>
      <w:pPr>
        <w:spacing w:line="576" w:lineRule="exact"/>
        <w:ind w:firstLine="640" w:firstLineChars="200"/>
        <w:rPr>
          <w:rFonts w:ascii="仿宋_GB2312" w:eastAsia="仿宋_GB2312"/>
          <w:sz w:val="32"/>
          <w:szCs w:val="32"/>
        </w:rPr>
      </w:pPr>
      <w:bookmarkStart w:id="70" w:name="_Hlk51312987"/>
      <w:r>
        <w:rPr>
          <w:rFonts w:ascii="仿宋_GB2312" w:eastAsia="仿宋_GB2312"/>
          <w:sz w:val="32"/>
          <w:szCs w:val="32"/>
        </w:rPr>
        <w:t>3</w:t>
      </w:r>
      <w:r>
        <w:rPr>
          <w:rFonts w:hint="eastAsia" w:ascii="仿宋_GB2312" w:eastAsia="仿宋_GB2312"/>
          <w:sz w:val="32"/>
          <w:szCs w:val="32"/>
        </w:rPr>
        <w:t>．卫生健康支出（</w:t>
      </w:r>
      <w:r>
        <w:rPr>
          <w:rFonts w:ascii="仿宋_GB2312" w:eastAsia="仿宋_GB2312"/>
          <w:sz w:val="32"/>
          <w:szCs w:val="32"/>
        </w:rPr>
        <w:t>210</w:t>
      </w:r>
      <w:r>
        <w:rPr>
          <w:rFonts w:hint="eastAsia" w:ascii="仿宋_GB2312" w:eastAsia="仿宋_GB2312"/>
          <w:sz w:val="32"/>
          <w:szCs w:val="32"/>
        </w:rPr>
        <w:t>）行政事业单位医疗（</w:t>
      </w:r>
      <w:r>
        <w:rPr>
          <w:rFonts w:ascii="仿宋_GB2312" w:eastAsia="仿宋_GB2312"/>
          <w:sz w:val="32"/>
          <w:szCs w:val="32"/>
        </w:rPr>
        <w:t>11</w:t>
      </w:r>
      <w:r>
        <w:rPr>
          <w:rFonts w:hint="eastAsia" w:ascii="仿宋_GB2312" w:eastAsia="仿宋_GB2312"/>
          <w:sz w:val="32"/>
          <w:szCs w:val="32"/>
        </w:rPr>
        <w:t>）行政单位医疗（</w:t>
      </w:r>
      <w:r>
        <w:rPr>
          <w:rFonts w:ascii="仿宋_GB2312" w:eastAsia="仿宋_GB2312"/>
          <w:sz w:val="32"/>
          <w:szCs w:val="32"/>
        </w:rPr>
        <w:t>01</w:t>
      </w:r>
      <w:r>
        <w:rPr>
          <w:rFonts w:hint="eastAsia" w:ascii="仿宋_GB2312" w:eastAsia="仿宋_GB2312"/>
          <w:sz w:val="32"/>
          <w:szCs w:val="32"/>
        </w:rPr>
        <w:t>）支出决算数为</w:t>
      </w:r>
      <w:r>
        <w:rPr>
          <w:rFonts w:ascii="仿宋_GB2312" w:eastAsia="仿宋_GB2312"/>
          <w:sz w:val="32"/>
          <w:szCs w:val="32"/>
        </w:rPr>
        <w:t>4.96</w:t>
      </w:r>
      <w:r>
        <w:rPr>
          <w:rFonts w:hint="eastAsia" w:ascii="仿宋_GB2312" w:eastAsia="仿宋_GB2312"/>
          <w:sz w:val="32"/>
          <w:szCs w:val="32"/>
        </w:rPr>
        <w:t>万元，完成预算</w:t>
      </w:r>
      <w:r>
        <w:rPr>
          <w:rFonts w:ascii="仿宋_GB2312" w:eastAsia="仿宋_GB2312"/>
          <w:sz w:val="32"/>
          <w:szCs w:val="32"/>
        </w:rPr>
        <w:t>100%</w:t>
      </w:r>
      <w:r>
        <w:rPr>
          <w:rFonts w:hint="eastAsia" w:ascii="仿宋_GB2312" w:eastAsia="仿宋_GB2312"/>
          <w:sz w:val="32"/>
          <w:szCs w:val="32"/>
        </w:rPr>
        <w:t>。</w:t>
      </w:r>
    </w:p>
    <w:bookmarkEnd w:id="70"/>
    <w:p>
      <w:pPr>
        <w:spacing w:line="576"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．卫生健康支出（</w:t>
      </w:r>
      <w:r>
        <w:rPr>
          <w:rFonts w:ascii="仿宋_GB2312" w:eastAsia="仿宋_GB2312"/>
          <w:sz w:val="32"/>
          <w:szCs w:val="32"/>
        </w:rPr>
        <w:t>210</w:t>
      </w:r>
      <w:r>
        <w:rPr>
          <w:rFonts w:hint="eastAsia" w:ascii="仿宋_GB2312" w:eastAsia="仿宋_GB2312"/>
          <w:sz w:val="32"/>
          <w:szCs w:val="32"/>
        </w:rPr>
        <w:t>）行政事业单位医疗（</w:t>
      </w:r>
      <w:r>
        <w:rPr>
          <w:rFonts w:ascii="仿宋_GB2312" w:eastAsia="仿宋_GB2312"/>
          <w:sz w:val="32"/>
          <w:szCs w:val="32"/>
        </w:rPr>
        <w:t>11</w:t>
      </w:r>
      <w:r>
        <w:rPr>
          <w:rFonts w:hint="eastAsia" w:ascii="仿宋_GB2312" w:eastAsia="仿宋_GB2312"/>
          <w:sz w:val="32"/>
          <w:szCs w:val="32"/>
        </w:rPr>
        <w:t>）事业单位医疗（</w:t>
      </w:r>
      <w:r>
        <w:rPr>
          <w:rFonts w:ascii="仿宋_GB2312" w:eastAsia="仿宋_GB2312"/>
          <w:sz w:val="32"/>
          <w:szCs w:val="32"/>
        </w:rPr>
        <w:t>02</w:t>
      </w:r>
      <w:r>
        <w:rPr>
          <w:rFonts w:hint="eastAsia" w:ascii="仿宋_GB2312" w:eastAsia="仿宋_GB2312"/>
          <w:sz w:val="32"/>
          <w:szCs w:val="32"/>
        </w:rPr>
        <w:t>）支出决算数为</w:t>
      </w:r>
      <w:r>
        <w:rPr>
          <w:rFonts w:ascii="仿宋_GB2312" w:eastAsia="仿宋_GB2312"/>
          <w:sz w:val="32"/>
          <w:szCs w:val="32"/>
        </w:rPr>
        <w:t>3.7</w:t>
      </w:r>
      <w:r>
        <w:rPr>
          <w:rFonts w:hint="eastAsia" w:ascii="仿宋_GB2312" w:eastAsia="仿宋_GB2312"/>
          <w:sz w:val="32"/>
          <w:szCs w:val="32"/>
        </w:rPr>
        <w:t>万元，完成预算</w:t>
      </w:r>
      <w:r>
        <w:rPr>
          <w:rFonts w:ascii="仿宋_GB2312" w:eastAsia="仿宋_GB2312"/>
          <w:sz w:val="32"/>
          <w:szCs w:val="32"/>
        </w:rPr>
        <w:t>100%</w:t>
      </w:r>
      <w:r>
        <w:rPr>
          <w:rFonts w:hint="eastAsia" w:ascii="仿宋_GB2312" w:eastAsia="仿宋_GB2312"/>
          <w:sz w:val="32"/>
          <w:szCs w:val="32"/>
        </w:rPr>
        <w:t>。</w:t>
      </w:r>
    </w:p>
    <w:p>
      <w:pPr>
        <w:spacing w:line="576"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．住房保障支出（</w:t>
      </w:r>
      <w:r>
        <w:rPr>
          <w:rFonts w:ascii="仿宋_GB2312" w:eastAsia="仿宋_GB2312"/>
          <w:sz w:val="32"/>
          <w:szCs w:val="32"/>
        </w:rPr>
        <w:t>221</w:t>
      </w:r>
      <w:r>
        <w:rPr>
          <w:rFonts w:hint="eastAsia" w:ascii="仿宋_GB2312" w:eastAsia="仿宋_GB2312"/>
          <w:sz w:val="32"/>
          <w:szCs w:val="32"/>
        </w:rPr>
        <w:t>）住房改革支出（</w:t>
      </w:r>
      <w:r>
        <w:rPr>
          <w:rFonts w:ascii="仿宋_GB2312" w:eastAsia="仿宋_GB2312"/>
          <w:sz w:val="32"/>
          <w:szCs w:val="32"/>
        </w:rPr>
        <w:t>02</w:t>
      </w:r>
      <w:r>
        <w:rPr>
          <w:rFonts w:hint="eastAsia" w:ascii="仿宋_GB2312" w:eastAsia="仿宋_GB2312"/>
          <w:sz w:val="32"/>
          <w:szCs w:val="32"/>
        </w:rPr>
        <w:t>）住房公积金（</w:t>
      </w:r>
      <w:r>
        <w:rPr>
          <w:rFonts w:ascii="仿宋_GB2312" w:eastAsia="仿宋_GB2312"/>
          <w:sz w:val="32"/>
          <w:szCs w:val="32"/>
        </w:rPr>
        <w:t>01</w:t>
      </w:r>
      <w:r>
        <w:rPr>
          <w:rFonts w:hint="eastAsia" w:ascii="仿宋_GB2312" w:eastAsia="仿宋_GB2312"/>
          <w:sz w:val="32"/>
          <w:szCs w:val="32"/>
        </w:rPr>
        <w:t>）支出决算数为</w:t>
      </w:r>
      <w:r>
        <w:rPr>
          <w:rFonts w:ascii="仿宋_GB2312" w:eastAsia="仿宋_GB2312"/>
          <w:sz w:val="32"/>
          <w:szCs w:val="32"/>
        </w:rPr>
        <w:t>11</w:t>
      </w:r>
      <w:r>
        <w:rPr>
          <w:rFonts w:hint="eastAsia" w:ascii="仿宋_GB2312" w:eastAsia="仿宋_GB2312"/>
          <w:sz w:val="32"/>
          <w:szCs w:val="32"/>
        </w:rPr>
        <w:t>万元，完成预算</w:t>
      </w:r>
      <w:r>
        <w:rPr>
          <w:rFonts w:ascii="仿宋_GB2312" w:eastAsia="仿宋_GB2312"/>
          <w:sz w:val="32"/>
          <w:szCs w:val="32"/>
        </w:rPr>
        <w:t>100%</w:t>
      </w:r>
      <w:r>
        <w:rPr>
          <w:rFonts w:hint="eastAsia" w:ascii="仿宋_GB2312" w:eastAsia="仿宋_GB2312"/>
          <w:sz w:val="32"/>
          <w:szCs w:val="32"/>
        </w:rPr>
        <w:t>。</w:t>
      </w:r>
    </w:p>
    <w:p>
      <w:pPr>
        <w:spacing w:line="576" w:lineRule="exact"/>
        <w:ind w:firstLine="640" w:firstLineChars="200"/>
        <w:rPr>
          <w:rFonts w:ascii="仿宋_GB2312" w:eastAsia="仿宋_GB2312"/>
          <w:sz w:val="32"/>
          <w:szCs w:val="32"/>
        </w:rPr>
      </w:pPr>
      <w:r>
        <w:rPr>
          <w:rFonts w:ascii="仿宋_GB2312" w:eastAsia="仿宋_GB2312"/>
          <w:sz w:val="32"/>
          <w:szCs w:val="32"/>
        </w:rPr>
        <w:t xml:space="preserve">6. </w:t>
      </w:r>
      <w:r>
        <w:rPr>
          <w:rFonts w:hint="eastAsia" w:ascii="仿宋_GB2312" w:eastAsia="仿宋_GB2312"/>
          <w:sz w:val="32"/>
          <w:szCs w:val="32"/>
        </w:rPr>
        <w:t>社会保障和就业支出（</w:t>
      </w:r>
      <w:r>
        <w:rPr>
          <w:rFonts w:ascii="仿宋_GB2312" w:eastAsia="仿宋_GB2312"/>
          <w:sz w:val="32"/>
          <w:szCs w:val="32"/>
        </w:rPr>
        <w:t>208</w:t>
      </w:r>
      <w:r>
        <w:rPr>
          <w:rFonts w:hint="eastAsia" w:ascii="仿宋_GB2312" w:eastAsia="仿宋_GB2312"/>
          <w:sz w:val="32"/>
          <w:szCs w:val="32"/>
        </w:rPr>
        <w:t>）退役安置（</w:t>
      </w:r>
      <w:r>
        <w:rPr>
          <w:rFonts w:ascii="仿宋_GB2312" w:eastAsia="仿宋_GB2312"/>
          <w:sz w:val="32"/>
          <w:szCs w:val="32"/>
        </w:rPr>
        <w:t>09</w:t>
      </w:r>
      <w:r>
        <w:rPr>
          <w:rFonts w:hint="eastAsia" w:ascii="仿宋_GB2312" w:eastAsia="仿宋_GB2312"/>
          <w:sz w:val="32"/>
          <w:szCs w:val="32"/>
        </w:rPr>
        <w:t>）军队转业干部安置（</w:t>
      </w:r>
      <w:r>
        <w:rPr>
          <w:rFonts w:ascii="仿宋_GB2312" w:eastAsia="仿宋_GB2312"/>
          <w:sz w:val="32"/>
          <w:szCs w:val="32"/>
        </w:rPr>
        <w:t>05</w:t>
      </w:r>
      <w:r>
        <w:rPr>
          <w:rFonts w:hint="eastAsia" w:ascii="仿宋_GB2312" w:eastAsia="仿宋_GB2312"/>
          <w:sz w:val="32"/>
          <w:szCs w:val="32"/>
        </w:rPr>
        <w:t>）支出决算数为</w:t>
      </w:r>
      <w:r>
        <w:rPr>
          <w:rFonts w:ascii="仿宋_GB2312" w:eastAsia="仿宋_GB2312"/>
          <w:sz w:val="32"/>
          <w:szCs w:val="32"/>
        </w:rPr>
        <w:t>12.12</w:t>
      </w:r>
      <w:r>
        <w:rPr>
          <w:rFonts w:hint="eastAsia" w:ascii="仿宋_GB2312" w:eastAsia="仿宋_GB2312"/>
          <w:sz w:val="32"/>
          <w:szCs w:val="32"/>
        </w:rPr>
        <w:t>万元，完成预算</w:t>
      </w:r>
      <w:r>
        <w:rPr>
          <w:rFonts w:ascii="仿宋_GB2312" w:eastAsia="仿宋_GB2312"/>
          <w:sz w:val="32"/>
          <w:szCs w:val="32"/>
        </w:rPr>
        <w:t>100%</w:t>
      </w:r>
      <w:r>
        <w:rPr>
          <w:rFonts w:hint="eastAsia" w:ascii="仿宋_GB2312" w:eastAsia="仿宋_GB2312"/>
          <w:sz w:val="32"/>
          <w:szCs w:val="32"/>
        </w:rPr>
        <w:t>。</w:t>
      </w:r>
    </w:p>
    <w:p>
      <w:pPr>
        <w:spacing w:line="576" w:lineRule="exact"/>
        <w:ind w:firstLine="640" w:firstLineChars="200"/>
        <w:rPr>
          <w:rFonts w:ascii="仿宋_GB2312" w:eastAsia="仿宋_GB2312"/>
          <w:sz w:val="32"/>
          <w:szCs w:val="32"/>
        </w:rPr>
      </w:pPr>
      <w:r>
        <w:rPr>
          <w:rFonts w:ascii="仿宋_GB2312" w:eastAsia="仿宋_GB2312"/>
          <w:sz w:val="32"/>
          <w:szCs w:val="32"/>
        </w:rPr>
        <w:t>7.</w:t>
      </w:r>
      <w:bookmarkStart w:id="71" w:name="_Hlk42761990"/>
      <w:r>
        <w:rPr>
          <w:rFonts w:hint="eastAsia" w:ascii="仿宋_GB2312" w:eastAsia="仿宋_GB2312"/>
          <w:sz w:val="32"/>
          <w:szCs w:val="32"/>
        </w:rPr>
        <w:t>社会保障和就业支出</w:t>
      </w:r>
      <w:bookmarkEnd w:id="71"/>
      <w:r>
        <w:rPr>
          <w:rFonts w:hint="eastAsia" w:ascii="仿宋_GB2312" w:eastAsia="仿宋_GB2312"/>
          <w:sz w:val="32"/>
          <w:szCs w:val="32"/>
        </w:rPr>
        <w:t>（</w:t>
      </w:r>
      <w:r>
        <w:rPr>
          <w:rFonts w:ascii="仿宋_GB2312" w:eastAsia="仿宋_GB2312"/>
          <w:sz w:val="32"/>
          <w:szCs w:val="32"/>
        </w:rPr>
        <w:t>208</w:t>
      </w:r>
      <w:r>
        <w:rPr>
          <w:rFonts w:hint="eastAsia" w:ascii="仿宋_GB2312" w:eastAsia="仿宋_GB2312"/>
          <w:sz w:val="32"/>
          <w:szCs w:val="32"/>
        </w:rPr>
        <w:t>）抚恤支出（</w:t>
      </w:r>
      <w:r>
        <w:rPr>
          <w:rFonts w:ascii="仿宋_GB2312" w:eastAsia="仿宋_GB2312"/>
          <w:sz w:val="32"/>
          <w:szCs w:val="32"/>
        </w:rPr>
        <w:t>08</w:t>
      </w:r>
      <w:r>
        <w:rPr>
          <w:rFonts w:hint="eastAsia" w:ascii="仿宋_GB2312" w:eastAsia="仿宋_GB2312"/>
          <w:sz w:val="32"/>
          <w:szCs w:val="32"/>
        </w:rPr>
        <w:t>）优抚事业单位支出（</w:t>
      </w:r>
      <w:r>
        <w:rPr>
          <w:rFonts w:ascii="仿宋_GB2312" w:eastAsia="仿宋_GB2312"/>
          <w:sz w:val="32"/>
          <w:szCs w:val="32"/>
        </w:rPr>
        <w:t>04</w:t>
      </w:r>
      <w:r>
        <w:rPr>
          <w:rFonts w:hint="eastAsia" w:ascii="仿宋_GB2312" w:eastAsia="仿宋_GB2312"/>
          <w:sz w:val="32"/>
          <w:szCs w:val="32"/>
        </w:rPr>
        <w:t>）</w:t>
      </w:r>
      <w:bookmarkStart w:id="72" w:name="_Hlk51312189"/>
      <w:r>
        <w:rPr>
          <w:rFonts w:hint="eastAsia" w:ascii="仿宋_GB2312" w:eastAsia="仿宋_GB2312"/>
          <w:sz w:val="32"/>
          <w:szCs w:val="32"/>
        </w:rPr>
        <w:t>支出决算数为</w:t>
      </w:r>
      <w:r>
        <w:rPr>
          <w:rFonts w:ascii="仿宋_GB2312" w:eastAsia="仿宋_GB2312"/>
          <w:sz w:val="32"/>
          <w:szCs w:val="32"/>
        </w:rPr>
        <w:t>4.13</w:t>
      </w:r>
      <w:r>
        <w:rPr>
          <w:rFonts w:hint="eastAsia" w:ascii="仿宋_GB2312" w:eastAsia="仿宋_GB2312"/>
          <w:sz w:val="32"/>
          <w:szCs w:val="32"/>
        </w:rPr>
        <w:t>万元，完成预算</w:t>
      </w:r>
      <w:r>
        <w:rPr>
          <w:rFonts w:ascii="仿宋_GB2312" w:eastAsia="仿宋_GB2312"/>
          <w:sz w:val="32"/>
          <w:szCs w:val="32"/>
        </w:rPr>
        <w:t>100%</w:t>
      </w:r>
      <w:r>
        <w:rPr>
          <w:rFonts w:hint="eastAsia" w:ascii="仿宋_GB2312" w:eastAsia="仿宋_GB2312"/>
          <w:sz w:val="32"/>
          <w:szCs w:val="32"/>
        </w:rPr>
        <w:t>。</w:t>
      </w:r>
    </w:p>
    <w:bookmarkEnd w:id="72"/>
    <w:p>
      <w:pPr>
        <w:spacing w:line="576" w:lineRule="exact"/>
        <w:ind w:firstLine="640" w:firstLineChars="200"/>
        <w:rPr>
          <w:rFonts w:ascii="仿宋_GB2312" w:eastAsia="仿宋_GB2312"/>
          <w:sz w:val="32"/>
          <w:szCs w:val="32"/>
        </w:rPr>
      </w:pPr>
      <w:bookmarkStart w:id="73" w:name="_Hlk51312593"/>
      <w:r>
        <w:rPr>
          <w:rFonts w:ascii="仿宋_GB2312" w:eastAsia="仿宋_GB2312"/>
          <w:sz w:val="32"/>
          <w:szCs w:val="32"/>
        </w:rPr>
        <w:t xml:space="preserve">8. </w:t>
      </w:r>
      <w:r>
        <w:rPr>
          <w:rFonts w:hint="eastAsia" w:ascii="仿宋_GB2312" w:eastAsia="仿宋_GB2312"/>
          <w:sz w:val="32"/>
          <w:szCs w:val="32"/>
        </w:rPr>
        <w:t>社会保障和就业支出（</w:t>
      </w:r>
      <w:r>
        <w:rPr>
          <w:rFonts w:ascii="仿宋_GB2312" w:eastAsia="仿宋_GB2312"/>
          <w:sz w:val="32"/>
          <w:szCs w:val="32"/>
        </w:rPr>
        <w:t>208</w:t>
      </w:r>
      <w:r>
        <w:rPr>
          <w:rFonts w:hint="eastAsia" w:ascii="仿宋_GB2312" w:eastAsia="仿宋_GB2312"/>
          <w:sz w:val="32"/>
          <w:szCs w:val="32"/>
        </w:rPr>
        <w:t>）退役安置（</w:t>
      </w:r>
      <w:r>
        <w:rPr>
          <w:rFonts w:ascii="仿宋_GB2312" w:eastAsia="仿宋_GB2312"/>
          <w:sz w:val="32"/>
          <w:szCs w:val="32"/>
        </w:rPr>
        <w:t>09</w:t>
      </w:r>
      <w:r>
        <w:rPr>
          <w:rFonts w:hint="eastAsia" w:ascii="仿宋_GB2312" w:eastAsia="仿宋_GB2312"/>
          <w:sz w:val="32"/>
          <w:szCs w:val="32"/>
        </w:rPr>
        <w:t>）退役士兵安置（</w:t>
      </w:r>
      <w:r>
        <w:rPr>
          <w:rFonts w:ascii="仿宋_GB2312" w:eastAsia="仿宋_GB2312"/>
          <w:sz w:val="32"/>
          <w:szCs w:val="32"/>
        </w:rPr>
        <w:t>01</w:t>
      </w:r>
      <w:r>
        <w:rPr>
          <w:rFonts w:hint="eastAsia" w:ascii="仿宋_GB2312" w:eastAsia="仿宋_GB2312"/>
          <w:sz w:val="32"/>
          <w:szCs w:val="32"/>
        </w:rPr>
        <w:t>）支出决算数为</w:t>
      </w:r>
      <w:r>
        <w:rPr>
          <w:rFonts w:ascii="仿宋_GB2312" w:eastAsia="仿宋_GB2312"/>
          <w:sz w:val="32"/>
          <w:szCs w:val="32"/>
        </w:rPr>
        <w:t>38.55</w:t>
      </w:r>
      <w:r>
        <w:rPr>
          <w:rFonts w:hint="eastAsia" w:ascii="仿宋_GB2312" w:eastAsia="仿宋_GB2312"/>
          <w:sz w:val="32"/>
          <w:szCs w:val="32"/>
        </w:rPr>
        <w:t>万元，完成预算</w:t>
      </w:r>
      <w:r>
        <w:rPr>
          <w:rFonts w:ascii="仿宋_GB2312" w:eastAsia="仿宋_GB2312"/>
          <w:sz w:val="32"/>
          <w:szCs w:val="32"/>
        </w:rPr>
        <w:t>100%</w:t>
      </w:r>
      <w:r>
        <w:rPr>
          <w:rFonts w:hint="eastAsia" w:ascii="仿宋_GB2312" w:eastAsia="仿宋_GB2312"/>
          <w:sz w:val="32"/>
          <w:szCs w:val="32"/>
        </w:rPr>
        <w:t>。</w:t>
      </w:r>
    </w:p>
    <w:bookmarkEnd w:id="73"/>
    <w:p>
      <w:pPr>
        <w:spacing w:line="576" w:lineRule="exact"/>
        <w:ind w:firstLine="640" w:firstLineChars="200"/>
        <w:rPr>
          <w:rFonts w:ascii="仿宋_GB2312" w:eastAsia="仿宋_GB2312"/>
          <w:sz w:val="32"/>
          <w:szCs w:val="32"/>
        </w:rPr>
      </w:pPr>
      <w:r>
        <w:rPr>
          <w:rFonts w:ascii="仿宋_GB2312" w:eastAsia="仿宋_GB2312"/>
          <w:sz w:val="32"/>
          <w:szCs w:val="32"/>
        </w:rPr>
        <w:t>9.</w:t>
      </w:r>
      <w:bookmarkStart w:id="74" w:name="_Hlk42762618"/>
      <w:r>
        <w:rPr>
          <w:rFonts w:hint="eastAsia" w:ascii="仿宋_GB2312" w:eastAsia="仿宋_GB2312"/>
          <w:sz w:val="32"/>
          <w:szCs w:val="32"/>
        </w:rPr>
        <w:t>社会保障和就业支出（</w:t>
      </w:r>
      <w:r>
        <w:rPr>
          <w:rFonts w:ascii="仿宋_GB2312" w:eastAsia="仿宋_GB2312"/>
          <w:sz w:val="32"/>
          <w:szCs w:val="32"/>
        </w:rPr>
        <w:t>208</w:t>
      </w:r>
      <w:r>
        <w:rPr>
          <w:rFonts w:hint="eastAsia" w:ascii="仿宋_GB2312" w:eastAsia="仿宋_GB2312"/>
          <w:sz w:val="32"/>
          <w:szCs w:val="32"/>
        </w:rPr>
        <w:t>）退役军人管理实务（</w:t>
      </w:r>
      <w:r>
        <w:rPr>
          <w:rFonts w:ascii="仿宋_GB2312" w:eastAsia="仿宋_GB2312"/>
          <w:sz w:val="32"/>
          <w:szCs w:val="32"/>
        </w:rPr>
        <w:t>28</w:t>
      </w:r>
      <w:r>
        <w:rPr>
          <w:rFonts w:hint="eastAsia" w:ascii="仿宋_GB2312" w:eastAsia="仿宋_GB2312"/>
          <w:sz w:val="32"/>
          <w:szCs w:val="32"/>
        </w:rPr>
        <w:t>）行政运行（</w:t>
      </w:r>
      <w:r>
        <w:rPr>
          <w:rFonts w:ascii="仿宋_GB2312" w:eastAsia="仿宋_GB2312"/>
          <w:sz w:val="32"/>
          <w:szCs w:val="32"/>
        </w:rPr>
        <w:t>01</w:t>
      </w:r>
      <w:r>
        <w:rPr>
          <w:rFonts w:hint="eastAsia" w:ascii="仿宋_GB2312" w:eastAsia="仿宋_GB2312"/>
          <w:sz w:val="32"/>
          <w:szCs w:val="32"/>
        </w:rPr>
        <w:t>）</w:t>
      </w:r>
      <w:bookmarkEnd w:id="74"/>
      <w:bookmarkStart w:id="75" w:name="_Hlk51312229"/>
      <w:r>
        <w:rPr>
          <w:rFonts w:hint="eastAsia" w:ascii="仿宋_GB2312" w:eastAsia="仿宋_GB2312"/>
          <w:sz w:val="32"/>
          <w:szCs w:val="32"/>
        </w:rPr>
        <w:t>支出决算数为</w:t>
      </w:r>
      <w:r>
        <w:rPr>
          <w:rFonts w:ascii="仿宋_GB2312" w:eastAsia="仿宋_GB2312"/>
          <w:sz w:val="32"/>
          <w:szCs w:val="32"/>
        </w:rPr>
        <w:t>66.83</w:t>
      </w:r>
      <w:r>
        <w:rPr>
          <w:rFonts w:hint="eastAsia" w:ascii="仿宋_GB2312" w:eastAsia="仿宋_GB2312"/>
          <w:sz w:val="32"/>
          <w:szCs w:val="32"/>
        </w:rPr>
        <w:t>万元，完成预算</w:t>
      </w:r>
      <w:r>
        <w:rPr>
          <w:rFonts w:ascii="仿宋_GB2312" w:eastAsia="仿宋_GB2312"/>
          <w:sz w:val="32"/>
          <w:szCs w:val="32"/>
        </w:rPr>
        <w:t>100%</w:t>
      </w:r>
      <w:r>
        <w:rPr>
          <w:rFonts w:hint="eastAsia" w:ascii="仿宋_GB2312" w:eastAsia="仿宋_GB2312"/>
          <w:sz w:val="32"/>
          <w:szCs w:val="32"/>
        </w:rPr>
        <w:t>。</w:t>
      </w:r>
    </w:p>
    <w:bookmarkEnd w:id="75"/>
    <w:p>
      <w:pPr>
        <w:spacing w:line="576" w:lineRule="exact"/>
        <w:ind w:firstLine="640" w:firstLineChars="200"/>
        <w:rPr>
          <w:rFonts w:ascii="仿宋_GB2312" w:eastAsia="仿宋_GB2312"/>
          <w:sz w:val="32"/>
          <w:szCs w:val="32"/>
        </w:rPr>
      </w:pPr>
      <w:bookmarkStart w:id="76" w:name="_Hlk51312268"/>
      <w:r>
        <w:rPr>
          <w:rFonts w:ascii="仿宋_GB2312" w:eastAsia="仿宋_GB2312"/>
          <w:sz w:val="32"/>
          <w:szCs w:val="32"/>
        </w:rPr>
        <w:t xml:space="preserve">11. </w:t>
      </w:r>
      <w:r>
        <w:rPr>
          <w:rFonts w:hint="eastAsia" w:ascii="仿宋_GB2312" w:eastAsia="仿宋_GB2312"/>
          <w:sz w:val="32"/>
          <w:szCs w:val="32"/>
        </w:rPr>
        <w:t>社会保障和就业支出（</w:t>
      </w:r>
      <w:r>
        <w:rPr>
          <w:rFonts w:ascii="仿宋_GB2312" w:eastAsia="仿宋_GB2312"/>
          <w:sz w:val="32"/>
          <w:szCs w:val="32"/>
        </w:rPr>
        <w:t>208</w:t>
      </w:r>
      <w:r>
        <w:rPr>
          <w:rFonts w:hint="eastAsia" w:ascii="仿宋_GB2312" w:eastAsia="仿宋_GB2312"/>
          <w:sz w:val="32"/>
          <w:szCs w:val="32"/>
        </w:rPr>
        <w:t>）抚恤（</w:t>
      </w:r>
      <w:r>
        <w:rPr>
          <w:rFonts w:ascii="仿宋_GB2312" w:eastAsia="仿宋_GB2312"/>
          <w:sz w:val="32"/>
          <w:szCs w:val="32"/>
        </w:rPr>
        <w:t>08</w:t>
      </w:r>
      <w:r>
        <w:rPr>
          <w:rFonts w:hint="eastAsia" w:ascii="仿宋_GB2312" w:eastAsia="仿宋_GB2312"/>
          <w:sz w:val="32"/>
          <w:szCs w:val="32"/>
        </w:rPr>
        <w:t>）死亡抚恤（</w:t>
      </w:r>
      <w:r>
        <w:rPr>
          <w:rFonts w:ascii="仿宋_GB2312" w:eastAsia="仿宋_GB2312"/>
          <w:sz w:val="32"/>
          <w:szCs w:val="32"/>
        </w:rPr>
        <w:t>01</w:t>
      </w:r>
      <w:r>
        <w:rPr>
          <w:rFonts w:hint="eastAsia" w:ascii="仿宋_GB2312" w:eastAsia="仿宋_GB2312"/>
          <w:sz w:val="32"/>
          <w:szCs w:val="32"/>
        </w:rPr>
        <w:t>）支出决算数为</w:t>
      </w:r>
      <w:r>
        <w:rPr>
          <w:rFonts w:ascii="仿宋_GB2312" w:eastAsia="仿宋_GB2312"/>
          <w:sz w:val="32"/>
          <w:szCs w:val="32"/>
        </w:rPr>
        <w:t>140.38</w:t>
      </w:r>
      <w:r>
        <w:rPr>
          <w:rFonts w:hint="eastAsia" w:ascii="仿宋_GB2312" w:eastAsia="仿宋_GB2312"/>
          <w:sz w:val="32"/>
          <w:szCs w:val="32"/>
        </w:rPr>
        <w:t>万元，完成预算</w:t>
      </w:r>
      <w:r>
        <w:rPr>
          <w:rFonts w:ascii="仿宋_GB2312" w:eastAsia="仿宋_GB2312"/>
          <w:sz w:val="32"/>
          <w:szCs w:val="32"/>
        </w:rPr>
        <w:t>100%</w:t>
      </w:r>
      <w:r>
        <w:rPr>
          <w:rFonts w:hint="eastAsia" w:ascii="仿宋_GB2312" w:eastAsia="仿宋_GB2312"/>
          <w:sz w:val="32"/>
          <w:szCs w:val="32"/>
        </w:rPr>
        <w:t>。</w:t>
      </w:r>
    </w:p>
    <w:bookmarkEnd w:id="76"/>
    <w:p>
      <w:pPr>
        <w:spacing w:line="576" w:lineRule="exact"/>
        <w:ind w:firstLine="640" w:firstLineChars="200"/>
        <w:rPr>
          <w:rFonts w:ascii="仿宋_GB2312" w:eastAsia="仿宋_GB2312"/>
          <w:sz w:val="32"/>
          <w:szCs w:val="32"/>
        </w:rPr>
      </w:pPr>
      <w:bookmarkStart w:id="77" w:name="_Hlk51312765"/>
      <w:r>
        <w:rPr>
          <w:rFonts w:ascii="仿宋_GB2312" w:eastAsia="仿宋_GB2312"/>
          <w:sz w:val="32"/>
          <w:szCs w:val="32"/>
        </w:rPr>
        <w:t xml:space="preserve">12. </w:t>
      </w:r>
      <w:r>
        <w:rPr>
          <w:rFonts w:hint="eastAsia" w:ascii="仿宋_GB2312" w:eastAsia="仿宋_GB2312"/>
          <w:sz w:val="32"/>
          <w:szCs w:val="32"/>
        </w:rPr>
        <w:t>社会保障和就业支出（</w:t>
      </w:r>
      <w:r>
        <w:rPr>
          <w:rFonts w:ascii="仿宋_GB2312" w:eastAsia="仿宋_GB2312"/>
          <w:sz w:val="32"/>
          <w:szCs w:val="32"/>
        </w:rPr>
        <w:t>208</w:t>
      </w:r>
      <w:r>
        <w:rPr>
          <w:rFonts w:hint="eastAsia" w:ascii="仿宋_GB2312" w:eastAsia="仿宋_GB2312"/>
          <w:sz w:val="32"/>
          <w:szCs w:val="32"/>
        </w:rPr>
        <w:t>）退役军人管理实务（</w:t>
      </w:r>
      <w:r>
        <w:rPr>
          <w:rFonts w:ascii="仿宋_GB2312" w:eastAsia="仿宋_GB2312"/>
          <w:sz w:val="32"/>
          <w:szCs w:val="32"/>
        </w:rPr>
        <w:t>28</w:t>
      </w:r>
      <w:r>
        <w:rPr>
          <w:rFonts w:hint="eastAsia" w:ascii="仿宋_GB2312" w:eastAsia="仿宋_GB2312"/>
          <w:sz w:val="32"/>
          <w:szCs w:val="32"/>
        </w:rPr>
        <w:t>）事业运行（</w:t>
      </w:r>
      <w:r>
        <w:rPr>
          <w:rFonts w:ascii="仿宋_GB2312" w:eastAsia="仿宋_GB2312"/>
          <w:sz w:val="32"/>
          <w:szCs w:val="32"/>
        </w:rPr>
        <w:t>50</w:t>
      </w:r>
      <w:r>
        <w:rPr>
          <w:rFonts w:hint="eastAsia" w:ascii="仿宋_GB2312" w:eastAsia="仿宋_GB2312"/>
          <w:sz w:val="32"/>
          <w:szCs w:val="32"/>
        </w:rPr>
        <w:t>）支出决算数为</w:t>
      </w:r>
      <w:r>
        <w:rPr>
          <w:rFonts w:ascii="仿宋_GB2312" w:eastAsia="仿宋_GB2312"/>
          <w:sz w:val="32"/>
          <w:szCs w:val="32"/>
        </w:rPr>
        <w:t>40.43</w:t>
      </w:r>
      <w:r>
        <w:rPr>
          <w:rFonts w:hint="eastAsia" w:ascii="仿宋_GB2312" w:eastAsia="仿宋_GB2312"/>
          <w:sz w:val="32"/>
          <w:szCs w:val="32"/>
        </w:rPr>
        <w:t>万元，完成预算</w:t>
      </w:r>
      <w:r>
        <w:rPr>
          <w:rFonts w:ascii="仿宋_GB2312" w:eastAsia="仿宋_GB2312"/>
          <w:sz w:val="32"/>
          <w:szCs w:val="32"/>
        </w:rPr>
        <w:t>100%</w:t>
      </w:r>
      <w:r>
        <w:rPr>
          <w:rFonts w:hint="eastAsia" w:ascii="仿宋_GB2312" w:eastAsia="仿宋_GB2312"/>
          <w:sz w:val="32"/>
          <w:szCs w:val="32"/>
        </w:rPr>
        <w:t>。</w:t>
      </w:r>
    </w:p>
    <w:bookmarkEnd w:id="77"/>
    <w:p>
      <w:pPr>
        <w:spacing w:line="576" w:lineRule="exact"/>
        <w:ind w:firstLine="640" w:firstLineChars="200"/>
        <w:rPr>
          <w:rFonts w:ascii="仿宋_GB2312" w:eastAsia="仿宋_GB2312"/>
          <w:sz w:val="32"/>
          <w:szCs w:val="32"/>
        </w:rPr>
      </w:pPr>
      <w:r>
        <w:rPr>
          <w:rFonts w:ascii="仿宋_GB2312" w:eastAsia="仿宋_GB2312"/>
          <w:sz w:val="32"/>
          <w:szCs w:val="32"/>
        </w:rPr>
        <w:t xml:space="preserve">13. </w:t>
      </w:r>
      <w:r>
        <w:rPr>
          <w:rFonts w:hint="eastAsia" w:ascii="仿宋_GB2312" w:eastAsia="仿宋_GB2312"/>
          <w:sz w:val="32"/>
          <w:szCs w:val="32"/>
        </w:rPr>
        <w:t>社会保障和就业支出（</w:t>
      </w:r>
      <w:r>
        <w:rPr>
          <w:rFonts w:ascii="仿宋_GB2312" w:eastAsia="仿宋_GB2312"/>
          <w:sz w:val="32"/>
          <w:szCs w:val="32"/>
        </w:rPr>
        <w:t>208</w:t>
      </w:r>
      <w:r>
        <w:rPr>
          <w:rFonts w:hint="eastAsia" w:ascii="仿宋_GB2312" w:eastAsia="仿宋_GB2312"/>
          <w:sz w:val="32"/>
          <w:szCs w:val="32"/>
        </w:rPr>
        <w:t>）抚恤（</w:t>
      </w:r>
      <w:r>
        <w:rPr>
          <w:rFonts w:ascii="仿宋_GB2312" w:eastAsia="仿宋_GB2312"/>
          <w:sz w:val="32"/>
          <w:szCs w:val="32"/>
        </w:rPr>
        <w:t>08</w:t>
      </w:r>
      <w:r>
        <w:rPr>
          <w:rFonts w:hint="eastAsia" w:ascii="仿宋_GB2312" w:eastAsia="仿宋_GB2312"/>
          <w:sz w:val="32"/>
          <w:szCs w:val="32"/>
        </w:rPr>
        <w:t>）伤残抚恤（</w:t>
      </w:r>
      <w:r>
        <w:rPr>
          <w:rFonts w:ascii="仿宋_GB2312" w:eastAsia="仿宋_GB2312"/>
          <w:sz w:val="32"/>
          <w:szCs w:val="32"/>
        </w:rPr>
        <w:t>02</w:t>
      </w:r>
      <w:r>
        <w:rPr>
          <w:rFonts w:hint="eastAsia" w:ascii="仿宋_GB2312" w:eastAsia="仿宋_GB2312"/>
          <w:sz w:val="32"/>
          <w:szCs w:val="32"/>
        </w:rPr>
        <w:t>）支出决算数为</w:t>
      </w:r>
      <w:r>
        <w:rPr>
          <w:rFonts w:ascii="仿宋_GB2312" w:eastAsia="仿宋_GB2312"/>
          <w:sz w:val="32"/>
          <w:szCs w:val="32"/>
        </w:rPr>
        <w:t>48.79</w:t>
      </w:r>
      <w:r>
        <w:rPr>
          <w:rFonts w:hint="eastAsia" w:ascii="仿宋_GB2312" w:eastAsia="仿宋_GB2312"/>
          <w:sz w:val="32"/>
          <w:szCs w:val="32"/>
        </w:rPr>
        <w:t>万元，完成预算</w:t>
      </w:r>
      <w:r>
        <w:rPr>
          <w:rFonts w:ascii="仿宋_GB2312" w:eastAsia="仿宋_GB2312"/>
          <w:sz w:val="32"/>
          <w:szCs w:val="32"/>
        </w:rPr>
        <w:t>100%</w:t>
      </w:r>
      <w:r>
        <w:rPr>
          <w:rFonts w:hint="eastAsia" w:ascii="仿宋_GB2312" w:eastAsia="仿宋_GB2312"/>
          <w:sz w:val="32"/>
          <w:szCs w:val="32"/>
        </w:rPr>
        <w:t>。</w:t>
      </w:r>
    </w:p>
    <w:p>
      <w:pPr>
        <w:spacing w:line="576" w:lineRule="exact"/>
        <w:ind w:firstLine="640" w:firstLineChars="200"/>
        <w:rPr>
          <w:rFonts w:ascii="仿宋_GB2312" w:eastAsia="仿宋_GB2312"/>
          <w:sz w:val="32"/>
          <w:szCs w:val="32"/>
        </w:rPr>
      </w:pPr>
      <w:bookmarkStart w:id="78" w:name="_Hlk51313347"/>
      <w:r>
        <w:rPr>
          <w:rFonts w:ascii="仿宋_GB2312" w:eastAsia="仿宋_GB2312"/>
          <w:sz w:val="32"/>
          <w:szCs w:val="32"/>
        </w:rPr>
        <w:t xml:space="preserve">14. </w:t>
      </w:r>
      <w:r>
        <w:rPr>
          <w:rFonts w:hint="eastAsia" w:ascii="仿宋_GB2312" w:eastAsia="仿宋_GB2312"/>
          <w:sz w:val="32"/>
          <w:szCs w:val="32"/>
        </w:rPr>
        <w:t>社会保障和就业支出（</w:t>
      </w:r>
      <w:r>
        <w:rPr>
          <w:rFonts w:ascii="仿宋_GB2312" w:eastAsia="仿宋_GB2312"/>
          <w:sz w:val="32"/>
          <w:szCs w:val="32"/>
        </w:rPr>
        <w:t>208</w:t>
      </w:r>
      <w:r>
        <w:rPr>
          <w:rFonts w:hint="eastAsia" w:ascii="仿宋_GB2312" w:eastAsia="仿宋_GB2312"/>
          <w:sz w:val="32"/>
          <w:szCs w:val="32"/>
        </w:rPr>
        <w:t>）抚恤（</w:t>
      </w:r>
      <w:r>
        <w:rPr>
          <w:rFonts w:ascii="仿宋_GB2312" w:eastAsia="仿宋_GB2312"/>
          <w:sz w:val="32"/>
          <w:szCs w:val="32"/>
        </w:rPr>
        <w:t>08</w:t>
      </w:r>
      <w:r>
        <w:rPr>
          <w:rFonts w:hint="eastAsia" w:ascii="仿宋_GB2312" w:eastAsia="仿宋_GB2312"/>
          <w:sz w:val="32"/>
          <w:szCs w:val="32"/>
        </w:rPr>
        <w:t>）在乡复员、退伍军人生活补助（</w:t>
      </w:r>
      <w:r>
        <w:rPr>
          <w:rFonts w:ascii="仿宋_GB2312" w:eastAsia="仿宋_GB2312"/>
          <w:sz w:val="32"/>
          <w:szCs w:val="32"/>
        </w:rPr>
        <w:t>03</w:t>
      </w:r>
      <w:r>
        <w:rPr>
          <w:rFonts w:hint="eastAsia" w:ascii="仿宋_GB2312" w:eastAsia="仿宋_GB2312"/>
          <w:sz w:val="32"/>
          <w:szCs w:val="32"/>
        </w:rPr>
        <w:t>）支出决算数为</w:t>
      </w:r>
      <w:r>
        <w:rPr>
          <w:rFonts w:ascii="仿宋_GB2312" w:eastAsia="仿宋_GB2312"/>
          <w:sz w:val="32"/>
          <w:szCs w:val="32"/>
        </w:rPr>
        <w:t>157.96</w:t>
      </w:r>
      <w:r>
        <w:rPr>
          <w:rFonts w:hint="eastAsia" w:ascii="仿宋_GB2312" w:eastAsia="仿宋_GB2312"/>
          <w:sz w:val="32"/>
          <w:szCs w:val="32"/>
        </w:rPr>
        <w:t>万元，完成预算</w:t>
      </w:r>
      <w:r>
        <w:rPr>
          <w:rFonts w:ascii="仿宋_GB2312" w:eastAsia="仿宋_GB2312"/>
          <w:sz w:val="32"/>
          <w:szCs w:val="32"/>
        </w:rPr>
        <w:t>100%</w:t>
      </w:r>
      <w:r>
        <w:rPr>
          <w:rFonts w:hint="eastAsia" w:ascii="仿宋_GB2312" w:eastAsia="仿宋_GB2312"/>
          <w:sz w:val="32"/>
          <w:szCs w:val="32"/>
        </w:rPr>
        <w:t>。</w:t>
      </w:r>
    </w:p>
    <w:bookmarkEnd w:id="78"/>
    <w:p>
      <w:pPr>
        <w:spacing w:line="576" w:lineRule="exact"/>
        <w:ind w:firstLine="640" w:firstLineChars="200"/>
        <w:rPr>
          <w:rFonts w:ascii="仿宋_GB2312" w:eastAsia="仿宋_GB2312"/>
          <w:sz w:val="32"/>
          <w:szCs w:val="32"/>
        </w:rPr>
      </w:pPr>
      <w:r>
        <w:rPr>
          <w:rFonts w:ascii="仿宋_GB2312" w:eastAsia="仿宋_GB2312"/>
          <w:sz w:val="32"/>
          <w:szCs w:val="32"/>
        </w:rPr>
        <w:t xml:space="preserve">15. </w:t>
      </w:r>
      <w:r>
        <w:rPr>
          <w:rFonts w:hint="eastAsia" w:ascii="仿宋_GB2312" w:eastAsia="仿宋_GB2312"/>
          <w:sz w:val="32"/>
          <w:szCs w:val="32"/>
        </w:rPr>
        <w:t>社会保障和就业支出（</w:t>
      </w:r>
      <w:r>
        <w:rPr>
          <w:rFonts w:ascii="仿宋_GB2312" w:eastAsia="仿宋_GB2312"/>
          <w:sz w:val="32"/>
          <w:szCs w:val="32"/>
        </w:rPr>
        <w:t>208</w:t>
      </w:r>
      <w:r>
        <w:rPr>
          <w:rFonts w:hint="eastAsia" w:ascii="仿宋_GB2312" w:eastAsia="仿宋_GB2312"/>
          <w:sz w:val="32"/>
          <w:szCs w:val="32"/>
        </w:rPr>
        <w:t>）退役安置（</w:t>
      </w:r>
      <w:r>
        <w:rPr>
          <w:rFonts w:ascii="仿宋_GB2312" w:eastAsia="仿宋_GB2312"/>
          <w:sz w:val="32"/>
          <w:szCs w:val="32"/>
        </w:rPr>
        <w:t>09</w:t>
      </w:r>
      <w:r>
        <w:rPr>
          <w:rFonts w:hint="eastAsia" w:ascii="仿宋_GB2312" w:eastAsia="仿宋_GB2312"/>
          <w:sz w:val="32"/>
          <w:szCs w:val="32"/>
        </w:rPr>
        <w:t>）军队移交政府的离退休人员安置（</w:t>
      </w:r>
      <w:r>
        <w:rPr>
          <w:rFonts w:ascii="仿宋_GB2312" w:eastAsia="仿宋_GB2312"/>
          <w:sz w:val="32"/>
          <w:szCs w:val="32"/>
        </w:rPr>
        <w:t>02</w:t>
      </w:r>
      <w:r>
        <w:rPr>
          <w:rFonts w:hint="eastAsia" w:ascii="仿宋_GB2312" w:eastAsia="仿宋_GB2312"/>
          <w:sz w:val="32"/>
          <w:szCs w:val="32"/>
        </w:rPr>
        <w:t>）支出决算数为</w:t>
      </w:r>
      <w:r>
        <w:rPr>
          <w:rFonts w:ascii="仿宋_GB2312" w:eastAsia="仿宋_GB2312"/>
          <w:sz w:val="32"/>
          <w:szCs w:val="32"/>
        </w:rPr>
        <w:t>81.12</w:t>
      </w:r>
      <w:r>
        <w:rPr>
          <w:rFonts w:hint="eastAsia" w:ascii="仿宋_GB2312" w:eastAsia="仿宋_GB2312"/>
          <w:sz w:val="32"/>
          <w:szCs w:val="32"/>
        </w:rPr>
        <w:t>万元，完成预算</w:t>
      </w:r>
      <w:r>
        <w:rPr>
          <w:rFonts w:ascii="仿宋_GB2312" w:eastAsia="仿宋_GB2312"/>
          <w:sz w:val="32"/>
          <w:szCs w:val="32"/>
        </w:rPr>
        <w:t>100%</w:t>
      </w:r>
      <w:r>
        <w:rPr>
          <w:rFonts w:hint="eastAsia" w:ascii="仿宋_GB2312" w:eastAsia="仿宋_GB2312"/>
          <w:sz w:val="32"/>
          <w:szCs w:val="32"/>
        </w:rPr>
        <w:t>。</w:t>
      </w:r>
    </w:p>
    <w:p>
      <w:pPr>
        <w:spacing w:line="576" w:lineRule="exact"/>
        <w:ind w:firstLine="640" w:firstLineChars="200"/>
        <w:rPr>
          <w:rFonts w:ascii="仿宋_GB2312" w:eastAsia="仿宋_GB2312"/>
          <w:sz w:val="32"/>
          <w:szCs w:val="32"/>
        </w:rPr>
      </w:pPr>
      <w:r>
        <w:rPr>
          <w:rFonts w:ascii="仿宋_GB2312" w:eastAsia="仿宋_GB2312"/>
          <w:sz w:val="32"/>
          <w:szCs w:val="32"/>
        </w:rPr>
        <w:t xml:space="preserve">16. </w:t>
      </w:r>
      <w:r>
        <w:rPr>
          <w:rFonts w:hint="eastAsia" w:ascii="仿宋_GB2312" w:eastAsia="仿宋_GB2312"/>
          <w:sz w:val="32"/>
          <w:szCs w:val="32"/>
        </w:rPr>
        <w:t>社会保障和就业支出（</w:t>
      </w:r>
      <w:r>
        <w:rPr>
          <w:rFonts w:ascii="仿宋_GB2312" w:eastAsia="仿宋_GB2312"/>
          <w:sz w:val="32"/>
          <w:szCs w:val="32"/>
        </w:rPr>
        <w:t>208</w:t>
      </w:r>
      <w:r>
        <w:rPr>
          <w:rFonts w:hint="eastAsia" w:ascii="仿宋_GB2312" w:eastAsia="仿宋_GB2312"/>
          <w:sz w:val="32"/>
          <w:szCs w:val="32"/>
        </w:rPr>
        <w:t>）退役安置（</w:t>
      </w:r>
      <w:r>
        <w:rPr>
          <w:rFonts w:ascii="仿宋_GB2312" w:eastAsia="仿宋_GB2312"/>
          <w:sz w:val="32"/>
          <w:szCs w:val="32"/>
        </w:rPr>
        <w:t>09</w:t>
      </w:r>
      <w:r>
        <w:rPr>
          <w:rFonts w:hint="eastAsia" w:ascii="仿宋_GB2312" w:eastAsia="仿宋_GB2312"/>
          <w:sz w:val="32"/>
          <w:szCs w:val="32"/>
        </w:rPr>
        <w:t>）军队移交政府离退休管理机构（</w:t>
      </w:r>
      <w:r>
        <w:rPr>
          <w:rFonts w:ascii="仿宋_GB2312" w:eastAsia="仿宋_GB2312"/>
          <w:sz w:val="32"/>
          <w:szCs w:val="32"/>
        </w:rPr>
        <w:t>03</w:t>
      </w:r>
      <w:r>
        <w:rPr>
          <w:rFonts w:hint="eastAsia" w:ascii="仿宋_GB2312" w:eastAsia="仿宋_GB2312"/>
          <w:sz w:val="32"/>
          <w:szCs w:val="32"/>
        </w:rPr>
        <w:t>）支出决算数为</w:t>
      </w:r>
      <w:r>
        <w:rPr>
          <w:rFonts w:ascii="仿宋_GB2312" w:eastAsia="仿宋_GB2312"/>
          <w:sz w:val="32"/>
          <w:szCs w:val="32"/>
        </w:rPr>
        <w:t>3.87</w:t>
      </w:r>
      <w:r>
        <w:rPr>
          <w:rFonts w:hint="eastAsia" w:ascii="仿宋_GB2312" w:eastAsia="仿宋_GB2312"/>
          <w:sz w:val="32"/>
          <w:szCs w:val="32"/>
        </w:rPr>
        <w:t>万元，完成预算</w:t>
      </w:r>
      <w:r>
        <w:rPr>
          <w:rFonts w:ascii="仿宋_GB2312" w:eastAsia="仿宋_GB2312"/>
          <w:sz w:val="32"/>
          <w:szCs w:val="32"/>
        </w:rPr>
        <w:t>100%</w:t>
      </w:r>
      <w:r>
        <w:rPr>
          <w:rFonts w:hint="eastAsia" w:ascii="仿宋_GB2312" w:eastAsia="仿宋_GB2312"/>
          <w:sz w:val="32"/>
          <w:szCs w:val="32"/>
        </w:rPr>
        <w:t>。</w:t>
      </w:r>
    </w:p>
    <w:p>
      <w:pPr>
        <w:spacing w:line="576" w:lineRule="exact"/>
        <w:ind w:firstLine="640" w:firstLineChars="200"/>
        <w:rPr>
          <w:rFonts w:ascii="仿宋_GB2312" w:eastAsia="仿宋_GB2312"/>
          <w:sz w:val="32"/>
          <w:szCs w:val="32"/>
        </w:rPr>
      </w:pPr>
      <w:r>
        <w:rPr>
          <w:rFonts w:ascii="仿宋_GB2312" w:eastAsia="仿宋_GB2312"/>
          <w:sz w:val="32"/>
          <w:szCs w:val="32"/>
        </w:rPr>
        <w:t xml:space="preserve">17. </w:t>
      </w:r>
      <w:r>
        <w:rPr>
          <w:rFonts w:hint="eastAsia" w:ascii="仿宋_GB2312" w:eastAsia="仿宋_GB2312"/>
          <w:sz w:val="32"/>
          <w:szCs w:val="32"/>
        </w:rPr>
        <w:t>社会保障和就业支出（</w:t>
      </w:r>
      <w:r>
        <w:rPr>
          <w:rFonts w:ascii="仿宋_GB2312" w:eastAsia="仿宋_GB2312"/>
          <w:sz w:val="32"/>
          <w:szCs w:val="32"/>
        </w:rPr>
        <w:t>208</w:t>
      </w:r>
      <w:r>
        <w:rPr>
          <w:rFonts w:hint="eastAsia" w:ascii="仿宋_GB2312" w:eastAsia="仿宋_GB2312"/>
          <w:sz w:val="32"/>
          <w:szCs w:val="32"/>
        </w:rPr>
        <w:t>）退役军人管理实务（</w:t>
      </w:r>
      <w:r>
        <w:rPr>
          <w:rFonts w:ascii="仿宋_GB2312" w:eastAsia="仿宋_GB2312"/>
          <w:sz w:val="32"/>
          <w:szCs w:val="32"/>
        </w:rPr>
        <w:t>28</w:t>
      </w:r>
      <w:r>
        <w:rPr>
          <w:rFonts w:hint="eastAsia" w:ascii="仿宋_GB2312" w:eastAsia="仿宋_GB2312"/>
          <w:sz w:val="32"/>
          <w:szCs w:val="32"/>
        </w:rPr>
        <w:t>）一般行政管理事务（</w:t>
      </w:r>
      <w:r>
        <w:rPr>
          <w:rFonts w:ascii="仿宋_GB2312" w:eastAsia="仿宋_GB2312"/>
          <w:sz w:val="32"/>
          <w:szCs w:val="32"/>
        </w:rPr>
        <w:t>02</w:t>
      </w:r>
      <w:r>
        <w:rPr>
          <w:rFonts w:hint="eastAsia" w:ascii="仿宋_GB2312" w:eastAsia="仿宋_GB2312"/>
          <w:sz w:val="32"/>
          <w:szCs w:val="32"/>
        </w:rPr>
        <w:t>）支出决算数为</w:t>
      </w:r>
      <w:r>
        <w:rPr>
          <w:rFonts w:ascii="仿宋_GB2312" w:eastAsia="仿宋_GB2312"/>
          <w:sz w:val="32"/>
          <w:szCs w:val="32"/>
        </w:rPr>
        <w:t>10</w:t>
      </w:r>
      <w:r>
        <w:rPr>
          <w:rFonts w:hint="eastAsia" w:ascii="仿宋_GB2312" w:eastAsia="仿宋_GB2312"/>
          <w:sz w:val="32"/>
          <w:szCs w:val="32"/>
        </w:rPr>
        <w:t>万元，完成预算</w:t>
      </w:r>
      <w:r>
        <w:rPr>
          <w:rFonts w:ascii="仿宋_GB2312" w:eastAsia="仿宋_GB2312"/>
          <w:sz w:val="32"/>
          <w:szCs w:val="32"/>
        </w:rPr>
        <w:t>100%</w:t>
      </w:r>
      <w:r>
        <w:rPr>
          <w:rFonts w:hint="eastAsia" w:ascii="仿宋_GB2312" w:eastAsia="仿宋_GB2312"/>
          <w:sz w:val="32"/>
          <w:szCs w:val="32"/>
        </w:rPr>
        <w:t>。</w:t>
      </w:r>
    </w:p>
    <w:p>
      <w:pPr>
        <w:spacing w:line="576" w:lineRule="exact"/>
        <w:ind w:firstLine="640" w:firstLineChars="200"/>
        <w:rPr>
          <w:rFonts w:ascii="仿宋_GB2312" w:eastAsia="仿宋_GB2312"/>
          <w:sz w:val="32"/>
          <w:szCs w:val="32"/>
        </w:rPr>
      </w:pPr>
      <w:r>
        <w:rPr>
          <w:rFonts w:ascii="仿宋_GB2312" w:eastAsia="仿宋_GB2312"/>
          <w:sz w:val="32"/>
          <w:szCs w:val="32"/>
        </w:rPr>
        <w:t xml:space="preserve">18. </w:t>
      </w:r>
      <w:r>
        <w:rPr>
          <w:rFonts w:hint="eastAsia" w:ascii="仿宋_GB2312" w:eastAsia="仿宋_GB2312"/>
          <w:sz w:val="32"/>
          <w:szCs w:val="32"/>
        </w:rPr>
        <w:t>社会保障和就业支出（</w:t>
      </w:r>
      <w:r>
        <w:rPr>
          <w:rFonts w:ascii="仿宋_GB2312" w:eastAsia="仿宋_GB2312"/>
          <w:sz w:val="32"/>
          <w:szCs w:val="32"/>
        </w:rPr>
        <w:t>208</w:t>
      </w:r>
      <w:r>
        <w:rPr>
          <w:rFonts w:hint="eastAsia" w:ascii="仿宋_GB2312" w:eastAsia="仿宋_GB2312"/>
          <w:sz w:val="32"/>
          <w:szCs w:val="32"/>
        </w:rPr>
        <w:t>）退役军人管理实务（</w:t>
      </w:r>
      <w:r>
        <w:rPr>
          <w:rFonts w:ascii="仿宋_GB2312" w:eastAsia="仿宋_GB2312"/>
          <w:sz w:val="32"/>
          <w:szCs w:val="32"/>
        </w:rPr>
        <w:t>28</w:t>
      </w:r>
      <w:r>
        <w:rPr>
          <w:rFonts w:hint="eastAsia" w:ascii="仿宋_GB2312" w:eastAsia="仿宋_GB2312"/>
          <w:sz w:val="32"/>
          <w:szCs w:val="32"/>
        </w:rPr>
        <w:t>）拥军优属（</w:t>
      </w:r>
      <w:r>
        <w:rPr>
          <w:rFonts w:ascii="仿宋_GB2312" w:eastAsia="仿宋_GB2312"/>
          <w:sz w:val="32"/>
          <w:szCs w:val="32"/>
        </w:rPr>
        <w:t>04</w:t>
      </w:r>
      <w:r>
        <w:rPr>
          <w:rFonts w:hint="eastAsia" w:ascii="仿宋_GB2312" w:eastAsia="仿宋_GB2312"/>
          <w:sz w:val="32"/>
          <w:szCs w:val="32"/>
        </w:rPr>
        <w:t>）支出决算数为</w:t>
      </w:r>
      <w:r>
        <w:rPr>
          <w:rFonts w:ascii="仿宋_GB2312" w:eastAsia="仿宋_GB2312"/>
          <w:sz w:val="32"/>
          <w:szCs w:val="32"/>
        </w:rPr>
        <w:t>14.17</w:t>
      </w:r>
      <w:r>
        <w:rPr>
          <w:rFonts w:hint="eastAsia" w:ascii="仿宋_GB2312" w:eastAsia="仿宋_GB2312"/>
          <w:sz w:val="32"/>
          <w:szCs w:val="32"/>
        </w:rPr>
        <w:t>万元，完成预算</w:t>
      </w:r>
      <w:r>
        <w:rPr>
          <w:rFonts w:ascii="仿宋_GB2312" w:eastAsia="仿宋_GB2312"/>
          <w:sz w:val="32"/>
          <w:szCs w:val="32"/>
        </w:rPr>
        <w:t>100%</w:t>
      </w:r>
      <w:r>
        <w:rPr>
          <w:rFonts w:hint="eastAsia" w:ascii="仿宋_GB2312" w:eastAsia="仿宋_GB2312"/>
          <w:sz w:val="32"/>
          <w:szCs w:val="32"/>
        </w:rPr>
        <w:t>。</w:t>
      </w:r>
    </w:p>
    <w:p>
      <w:pPr>
        <w:spacing w:line="576" w:lineRule="exact"/>
        <w:ind w:firstLine="640" w:firstLineChars="200"/>
        <w:rPr>
          <w:rFonts w:ascii="仿宋_GB2312" w:eastAsia="仿宋_GB2312"/>
          <w:sz w:val="32"/>
          <w:szCs w:val="32"/>
        </w:rPr>
      </w:pPr>
      <w:r>
        <w:rPr>
          <w:rFonts w:ascii="仿宋_GB2312" w:eastAsia="仿宋_GB2312"/>
          <w:sz w:val="32"/>
          <w:szCs w:val="32"/>
        </w:rPr>
        <w:t xml:space="preserve">19. </w:t>
      </w:r>
      <w:r>
        <w:rPr>
          <w:rFonts w:hint="eastAsia" w:ascii="仿宋_GB2312" w:eastAsia="仿宋_GB2312"/>
          <w:sz w:val="32"/>
          <w:szCs w:val="32"/>
        </w:rPr>
        <w:t>社会保障和就业支出（</w:t>
      </w:r>
      <w:r>
        <w:rPr>
          <w:rFonts w:ascii="仿宋_GB2312" w:eastAsia="仿宋_GB2312"/>
          <w:sz w:val="32"/>
          <w:szCs w:val="32"/>
        </w:rPr>
        <w:t>208</w:t>
      </w:r>
      <w:r>
        <w:rPr>
          <w:rFonts w:hint="eastAsia" w:ascii="仿宋_GB2312" w:eastAsia="仿宋_GB2312"/>
          <w:sz w:val="32"/>
          <w:szCs w:val="32"/>
        </w:rPr>
        <w:t>）退役军人管理实务（</w:t>
      </w:r>
      <w:r>
        <w:rPr>
          <w:rFonts w:ascii="仿宋_GB2312" w:eastAsia="仿宋_GB2312"/>
          <w:sz w:val="32"/>
          <w:szCs w:val="32"/>
        </w:rPr>
        <w:t>28</w:t>
      </w:r>
      <w:r>
        <w:rPr>
          <w:rFonts w:hint="eastAsia" w:ascii="仿宋_GB2312" w:eastAsia="仿宋_GB2312"/>
          <w:sz w:val="32"/>
          <w:szCs w:val="32"/>
        </w:rPr>
        <w:t>）其他退役军人事务管理支出（</w:t>
      </w:r>
      <w:r>
        <w:rPr>
          <w:rFonts w:ascii="仿宋_GB2312" w:eastAsia="仿宋_GB2312"/>
          <w:sz w:val="32"/>
          <w:szCs w:val="32"/>
        </w:rPr>
        <w:t>99</w:t>
      </w:r>
      <w:r>
        <w:rPr>
          <w:rFonts w:hint="eastAsia" w:ascii="仿宋_GB2312" w:eastAsia="仿宋_GB2312"/>
          <w:sz w:val="32"/>
          <w:szCs w:val="32"/>
        </w:rPr>
        <w:t>）支出决算数为</w:t>
      </w:r>
      <w:r>
        <w:rPr>
          <w:rFonts w:ascii="仿宋_GB2312" w:eastAsia="仿宋_GB2312"/>
          <w:sz w:val="32"/>
          <w:szCs w:val="32"/>
        </w:rPr>
        <w:t>17</w:t>
      </w:r>
      <w:r>
        <w:rPr>
          <w:rFonts w:hint="eastAsia" w:ascii="仿宋_GB2312" w:eastAsia="仿宋_GB2312"/>
          <w:sz w:val="32"/>
          <w:szCs w:val="32"/>
        </w:rPr>
        <w:t>万元，完成预算</w:t>
      </w:r>
      <w:r>
        <w:rPr>
          <w:rFonts w:ascii="仿宋_GB2312" w:eastAsia="仿宋_GB2312"/>
          <w:sz w:val="32"/>
          <w:szCs w:val="32"/>
        </w:rPr>
        <w:t>100%</w:t>
      </w:r>
      <w:r>
        <w:rPr>
          <w:rFonts w:hint="eastAsia" w:ascii="仿宋_GB2312" w:eastAsia="仿宋_GB2312"/>
          <w:sz w:val="32"/>
          <w:szCs w:val="32"/>
        </w:rPr>
        <w:t>。</w:t>
      </w:r>
    </w:p>
    <w:p>
      <w:pPr>
        <w:spacing w:line="576" w:lineRule="exact"/>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．卫生健康支出（</w:t>
      </w:r>
      <w:r>
        <w:rPr>
          <w:rFonts w:ascii="仿宋_GB2312" w:eastAsia="仿宋_GB2312"/>
          <w:sz w:val="32"/>
          <w:szCs w:val="32"/>
        </w:rPr>
        <w:t>210</w:t>
      </w:r>
      <w:r>
        <w:rPr>
          <w:rFonts w:hint="eastAsia" w:ascii="仿宋_GB2312" w:eastAsia="仿宋_GB2312"/>
          <w:sz w:val="32"/>
          <w:szCs w:val="32"/>
        </w:rPr>
        <w:t>）</w:t>
      </w:r>
      <w:bookmarkStart w:id="79" w:name="_Hlk51313032"/>
      <w:r>
        <w:rPr>
          <w:rFonts w:hint="eastAsia" w:ascii="仿宋_GB2312" w:eastAsia="仿宋_GB2312"/>
          <w:sz w:val="32"/>
          <w:szCs w:val="32"/>
        </w:rPr>
        <w:t>优抚对象医疗</w:t>
      </w:r>
      <w:bookmarkEnd w:id="79"/>
      <w:r>
        <w:rPr>
          <w:rFonts w:hint="eastAsia" w:ascii="仿宋_GB2312" w:eastAsia="仿宋_GB2312"/>
          <w:sz w:val="32"/>
          <w:szCs w:val="32"/>
        </w:rPr>
        <w:t>（</w:t>
      </w:r>
      <w:r>
        <w:rPr>
          <w:rFonts w:ascii="仿宋_GB2312" w:eastAsia="仿宋_GB2312"/>
          <w:sz w:val="32"/>
          <w:szCs w:val="32"/>
        </w:rPr>
        <w:t>14</w:t>
      </w:r>
      <w:r>
        <w:rPr>
          <w:rFonts w:hint="eastAsia" w:ascii="仿宋_GB2312" w:eastAsia="仿宋_GB2312"/>
          <w:sz w:val="32"/>
          <w:szCs w:val="32"/>
        </w:rPr>
        <w:t>）优抚对象医疗补助（</w:t>
      </w:r>
      <w:r>
        <w:rPr>
          <w:rFonts w:ascii="仿宋_GB2312" w:eastAsia="仿宋_GB2312"/>
          <w:sz w:val="32"/>
          <w:szCs w:val="32"/>
        </w:rPr>
        <w:t>01</w:t>
      </w:r>
      <w:r>
        <w:rPr>
          <w:rFonts w:hint="eastAsia" w:ascii="仿宋_GB2312" w:eastAsia="仿宋_GB2312"/>
          <w:sz w:val="32"/>
          <w:szCs w:val="32"/>
        </w:rPr>
        <w:t>）支出决算数为</w:t>
      </w:r>
      <w:r>
        <w:rPr>
          <w:rFonts w:ascii="仿宋_GB2312" w:eastAsia="仿宋_GB2312"/>
          <w:sz w:val="32"/>
          <w:szCs w:val="32"/>
        </w:rPr>
        <w:t>6.48</w:t>
      </w:r>
      <w:r>
        <w:rPr>
          <w:rFonts w:hint="eastAsia" w:ascii="仿宋_GB2312" w:eastAsia="仿宋_GB2312"/>
          <w:sz w:val="32"/>
          <w:szCs w:val="32"/>
        </w:rPr>
        <w:t>万元，完成预算</w:t>
      </w:r>
      <w:r>
        <w:rPr>
          <w:rFonts w:ascii="仿宋_GB2312" w:eastAsia="仿宋_GB2312"/>
          <w:sz w:val="32"/>
          <w:szCs w:val="32"/>
        </w:rPr>
        <w:t>100%</w:t>
      </w:r>
      <w:r>
        <w:rPr>
          <w:rFonts w:hint="eastAsia" w:ascii="仿宋_GB2312" w:eastAsia="仿宋_GB2312"/>
          <w:sz w:val="32"/>
          <w:szCs w:val="32"/>
        </w:rPr>
        <w:t>。</w:t>
      </w:r>
    </w:p>
    <w:p>
      <w:pPr>
        <w:spacing w:line="576" w:lineRule="exact"/>
        <w:ind w:firstLine="640" w:firstLineChars="200"/>
        <w:rPr>
          <w:rFonts w:ascii="仿宋_GB2312" w:eastAsia="仿宋_GB2312"/>
          <w:sz w:val="32"/>
          <w:szCs w:val="32"/>
        </w:rPr>
      </w:pPr>
      <w:r>
        <w:rPr>
          <w:rFonts w:ascii="仿宋_GB2312" w:eastAsia="仿宋_GB2312"/>
          <w:sz w:val="32"/>
          <w:szCs w:val="32"/>
        </w:rPr>
        <w:t xml:space="preserve">21. </w:t>
      </w:r>
      <w:r>
        <w:rPr>
          <w:rFonts w:hint="eastAsia" w:ascii="仿宋_GB2312" w:eastAsia="仿宋_GB2312"/>
          <w:sz w:val="32"/>
          <w:szCs w:val="32"/>
        </w:rPr>
        <w:t>社会保障和就业支出（</w:t>
      </w:r>
      <w:r>
        <w:rPr>
          <w:rFonts w:ascii="仿宋_GB2312" w:eastAsia="仿宋_GB2312"/>
          <w:sz w:val="32"/>
          <w:szCs w:val="32"/>
        </w:rPr>
        <w:t>208</w:t>
      </w:r>
      <w:r>
        <w:rPr>
          <w:rFonts w:hint="eastAsia" w:ascii="仿宋_GB2312" w:eastAsia="仿宋_GB2312"/>
          <w:sz w:val="32"/>
          <w:szCs w:val="32"/>
        </w:rPr>
        <w:t>）抚恤（</w:t>
      </w:r>
      <w:r>
        <w:rPr>
          <w:rFonts w:ascii="仿宋_GB2312" w:eastAsia="仿宋_GB2312"/>
          <w:sz w:val="32"/>
          <w:szCs w:val="32"/>
        </w:rPr>
        <w:t>08</w:t>
      </w:r>
      <w:r>
        <w:rPr>
          <w:rFonts w:hint="eastAsia" w:ascii="仿宋_GB2312" w:eastAsia="仿宋_GB2312"/>
          <w:sz w:val="32"/>
          <w:szCs w:val="32"/>
        </w:rPr>
        <w:t>）农村籍退役士兵生活补助（</w:t>
      </w:r>
      <w:r>
        <w:rPr>
          <w:rFonts w:ascii="仿宋_GB2312" w:eastAsia="仿宋_GB2312"/>
          <w:sz w:val="32"/>
          <w:szCs w:val="32"/>
        </w:rPr>
        <w:t>06</w:t>
      </w:r>
      <w:r>
        <w:rPr>
          <w:rFonts w:hint="eastAsia" w:ascii="仿宋_GB2312" w:eastAsia="仿宋_GB2312"/>
          <w:sz w:val="32"/>
          <w:szCs w:val="32"/>
        </w:rPr>
        <w:t>）支出决算数为</w:t>
      </w:r>
      <w:r>
        <w:rPr>
          <w:rFonts w:ascii="仿宋_GB2312" w:eastAsia="仿宋_GB2312"/>
          <w:sz w:val="32"/>
          <w:szCs w:val="32"/>
        </w:rPr>
        <w:t>27.84</w:t>
      </w:r>
      <w:r>
        <w:rPr>
          <w:rFonts w:hint="eastAsia" w:ascii="仿宋_GB2312" w:eastAsia="仿宋_GB2312"/>
          <w:sz w:val="32"/>
          <w:szCs w:val="32"/>
        </w:rPr>
        <w:t>万元，完成预算</w:t>
      </w:r>
      <w:r>
        <w:rPr>
          <w:rFonts w:ascii="仿宋_GB2312" w:eastAsia="仿宋_GB2312"/>
          <w:sz w:val="32"/>
          <w:szCs w:val="32"/>
        </w:rPr>
        <w:t>100%</w:t>
      </w:r>
      <w:r>
        <w:rPr>
          <w:rFonts w:hint="eastAsia" w:ascii="仿宋_GB2312" w:eastAsia="仿宋_GB2312"/>
          <w:sz w:val="32"/>
          <w:szCs w:val="32"/>
        </w:rPr>
        <w:t>。</w:t>
      </w:r>
    </w:p>
    <w:p>
      <w:pPr>
        <w:spacing w:line="576" w:lineRule="exact"/>
        <w:ind w:firstLine="640" w:firstLineChars="200"/>
        <w:rPr>
          <w:rFonts w:ascii="仿宋_GB2312" w:eastAsia="仿宋_GB2312"/>
          <w:sz w:val="32"/>
          <w:szCs w:val="32"/>
        </w:rPr>
      </w:pPr>
      <w:r>
        <w:rPr>
          <w:rFonts w:ascii="仿宋_GB2312" w:eastAsia="仿宋_GB2312"/>
          <w:sz w:val="32"/>
          <w:szCs w:val="32"/>
        </w:rPr>
        <w:t xml:space="preserve">22. </w:t>
      </w:r>
      <w:bookmarkStart w:id="80" w:name="_Hlk82423139"/>
      <w:r>
        <w:rPr>
          <w:rFonts w:hint="eastAsia" w:ascii="仿宋_GB2312" w:eastAsia="仿宋_GB2312"/>
          <w:sz w:val="32"/>
          <w:szCs w:val="32"/>
        </w:rPr>
        <w:t>社会保障和就业支出（</w:t>
      </w:r>
      <w:r>
        <w:rPr>
          <w:rFonts w:ascii="仿宋_GB2312" w:eastAsia="仿宋_GB2312"/>
          <w:sz w:val="32"/>
          <w:szCs w:val="32"/>
        </w:rPr>
        <w:t>208</w:t>
      </w:r>
      <w:r>
        <w:rPr>
          <w:rFonts w:hint="eastAsia" w:ascii="仿宋_GB2312" w:eastAsia="仿宋_GB2312"/>
          <w:sz w:val="32"/>
          <w:szCs w:val="32"/>
        </w:rPr>
        <w:t>）抚恤（</w:t>
      </w:r>
      <w:r>
        <w:rPr>
          <w:rFonts w:ascii="仿宋_GB2312" w:eastAsia="仿宋_GB2312"/>
          <w:sz w:val="32"/>
          <w:szCs w:val="32"/>
        </w:rPr>
        <w:t>08</w:t>
      </w:r>
      <w:r>
        <w:rPr>
          <w:rFonts w:hint="eastAsia" w:ascii="仿宋_GB2312" w:eastAsia="仿宋_GB2312"/>
          <w:sz w:val="32"/>
          <w:szCs w:val="32"/>
        </w:rPr>
        <w:t>）其他优抚支出（</w:t>
      </w:r>
      <w:r>
        <w:rPr>
          <w:rFonts w:ascii="仿宋_GB2312" w:eastAsia="仿宋_GB2312"/>
          <w:sz w:val="32"/>
          <w:szCs w:val="32"/>
        </w:rPr>
        <w:t>99</w:t>
      </w:r>
      <w:r>
        <w:rPr>
          <w:rFonts w:hint="eastAsia" w:ascii="仿宋_GB2312" w:eastAsia="仿宋_GB2312"/>
          <w:sz w:val="32"/>
          <w:szCs w:val="32"/>
        </w:rPr>
        <w:t>）支出决算数为</w:t>
      </w:r>
      <w:r>
        <w:rPr>
          <w:rFonts w:ascii="仿宋_GB2312" w:eastAsia="仿宋_GB2312"/>
          <w:sz w:val="32"/>
          <w:szCs w:val="32"/>
        </w:rPr>
        <w:t>13.58</w:t>
      </w:r>
      <w:r>
        <w:rPr>
          <w:rFonts w:hint="eastAsia" w:ascii="仿宋_GB2312" w:eastAsia="仿宋_GB2312"/>
          <w:sz w:val="32"/>
          <w:szCs w:val="32"/>
        </w:rPr>
        <w:t>万元，完成预算</w:t>
      </w:r>
      <w:r>
        <w:rPr>
          <w:rFonts w:ascii="仿宋_GB2312" w:eastAsia="仿宋_GB2312"/>
          <w:sz w:val="32"/>
          <w:szCs w:val="32"/>
        </w:rPr>
        <w:t>100%</w:t>
      </w:r>
      <w:r>
        <w:rPr>
          <w:rFonts w:hint="eastAsia" w:ascii="仿宋_GB2312" w:eastAsia="仿宋_GB2312"/>
          <w:sz w:val="32"/>
          <w:szCs w:val="32"/>
        </w:rPr>
        <w:t>。</w:t>
      </w:r>
      <w:bookmarkEnd w:id="80"/>
    </w:p>
    <w:p>
      <w:pPr>
        <w:spacing w:line="576" w:lineRule="exact"/>
        <w:ind w:firstLine="640" w:firstLineChars="200"/>
        <w:rPr>
          <w:rFonts w:ascii="仿宋_GB2312" w:eastAsia="仿宋_GB2312"/>
          <w:sz w:val="32"/>
          <w:szCs w:val="32"/>
        </w:rPr>
      </w:pPr>
      <w:bookmarkStart w:id="81" w:name="_Hlk82423208"/>
      <w:r>
        <w:rPr>
          <w:rFonts w:ascii="仿宋_GB2312" w:eastAsia="仿宋_GB2312"/>
          <w:sz w:val="32"/>
          <w:szCs w:val="32"/>
        </w:rPr>
        <w:t>23.</w:t>
      </w:r>
      <w:r>
        <w:rPr>
          <w:rFonts w:hint="eastAsia" w:ascii="仿宋_GB2312" w:eastAsia="仿宋_GB2312"/>
          <w:sz w:val="32"/>
          <w:szCs w:val="32"/>
        </w:rPr>
        <w:t xml:space="preserve"> 社会保障和就业支出（</w:t>
      </w:r>
      <w:r>
        <w:rPr>
          <w:rFonts w:ascii="仿宋_GB2312" w:eastAsia="仿宋_GB2312"/>
          <w:sz w:val="32"/>
          <w:szCs w:val="32"/>
        </w:rPr>
        <w:t>208</w:t>
      </w:r>
      <w:r>
        <w:rPr>
          <w:rFonts w:hint="eastAsia" w:ascii="仿宋_GB2312" w:eastAsia="仿宋_GB2312"/>
          <w:sz w:val="32"/>
          <w:szCs w:val="32"/>
        </w:rPr>
        <w:t>）抚恤（</w:t>
      </w:r>
      <w:r>
        <w:rPr>
          <w:rFonts w:ascii="仿宋_GB2312" w:eastAsia="仿宋_GB2312"/>
          <w:sz w:val="32"/>
          <w:szCs w:val="32"/>
        </w:rPr>
        <w:t>08</w:t>
      </w:r>
      <w:r>
        <w:rPr>
          <w:rFonts w:hint="eastAsia" w:ascii="仿宋_GB2312" w:eastAsia="仿宋_GB2312"/>
          <w:sz w:val="32"/>
          <w:szCs w:val="32"/>
        </w:rPr>
        <w:t>）义务兵优待支出（</w:t>
      </w:r>
      <w:r>
        <w:rPr>
          <w:rFonts w:ascii="仿宋_GB2312" w:eastAsia="仿宋_GB2312"/>
          <w:sz w:val="32"/>
          <w:szCs w:val="32"/>
        </w:rPr>
        <w:t>05</w:t>
      </w:r>
      <w:r>
        <w:rPr>
          <w:rFonts w:hint="eastAsia" w:ascii="仿宋_GB2312" w:eastAsia="仿宋_GB2312"/>
          <w:sz w:val="32"/>
          <w:szCs w:val="32"/>
        </w:rPr>
        <w:t>）支出决算数为</w:t>
      </w:r>
      <w:r>
        <w:rPr>
          <w:rFonts w:ascii="仿宋_GB2312" w:eastAsia="仿宋_GB2312"/>
          <w:sz w:val="32"/>
          <w:szCs w:val="32"/>
        </w:rPr>
        <w:t>84.17</w:t>
      </w:r>
      <w:r>
        <w:rPr>
          <w:rFonts w:hint="eastAsia" w:ascii="仿宋_GB2312" w:eastAsia="仿宋_GB2312"/>
          <w:sz w:val="32"/>
          <w:szCs w:val="32"/>
        </w:rPr>
        <w:t>万元，完成预算</w:t>
      </w:r>
      <w:r>
        <w:rPr>
          <w:rFonts w:ascii="仿宋_GB2312" w:eastAsia="仿宋_GB2312"/>
          <w:sz w:val="32"/>
          <w:szCs w:val="32"/>
        </w:rPr>
        <w:t>100%</w:t>
      </w:r>
      <w:r>
        <w:rPr>
          <w:rFonts w:hint="eastAsia" w:ascii="仿宋_GB2312" w:eastAsia="仿宋_GB2312"/>
          <w:sz w:val="32"/>
          <w:szCs w:val="32"/>
        </w:rPr>
        <w:t>。</w:t>
      </w:r>
    </w:p>
    <w:bookmarkEnd w:id="81"/>
    <w:p>
      <w:pPr>
        <w:spacing w:line="576" w:lineRule="exact"/>
        <w:ind w:firstLine="640" w:firstLineChars="200"/>
        <w:rPr>
          <w:rFonts w:ascii="仿宋_GB2312" w:eastAsia="仿宋_GB2312"/>
          <w:sz w:val="32"/>
          <w:szCs w:val="32"/>
        </w:rPr>
      </w:pPr>
      <w:bookmarkStart w:id="82" w:name="_Hlk82423288"/>
      <w:r>
        <w:rPr>
          <w:rFonts w:ascii="仿宋_GB2312" w:eastAsia="仿宋_GB2312"/>
          <w:sz w:val="32"/>
          <w:szCs w:val="32"/>
        </w:rPr>
        <w:t>24.</w:t>
      </w:r>
      <w:r>
        <w:rPr>
          <w:rFonts w:hint="eastAsia" w:ascii="仿宋_GB2312" w:eastAsia="仿宋_GB2312"/>
          <w:sz w:val="32"/>
          <w:szCs w:val="32"/>
        </w:rPr>
        <w:t xml:space="preserve"> 社会保障和就业支出（</w:t>
      </w:r>
      <w:r>
        <w:rPr>
          <w:rFonts w:ascii="仿宋_GB2312" w:eastAsia="仿宋_GB2312"/>
          <w:sz w:val="32"/>
          <w:szCs w:val="32"/>
        </w:rPr>
        <w:t>208</w:t>
      </w:r>
      <w:r>
        <w:rPr>
          <w:rFonts w:hint="eastAsia" w:ascii="仿宋_GB2312" w:eastAsia="仿宋_GB2312"/>
          <w:sz w:val="32"/>
          <w:szCs w:val="32"/>
        </w:rPr>
        <w:t>）退役安置（</w:t>
      </w:r>
      <w:r>
        <w:rPr>
          <w:rFonts w:ascii="仿宋_GB2312" w:eastAsia="仿宋_GB2312"/>
          <w:sz w:val="32"/>
          <w:szCs w:val="32"/>
        </w:rPr>
        <w:t>09</w:t>
      </w:r>
      <w:r>
        <w:rPr>
          <w:rFonts w:hint="eastAsia" w:ascii="仿宋_GB2312" w:eastAsia="仿宋_GB2312"/>
          <w:sz w:val="32"/>
          <w:szCs w:val="32"/>
        </w:rPr>
        <w:t>）其他退役安置支出（</w:t>
      </w:r>
      <w:r>
        <w:rPr>
          <w:rFonts w:ascii="仿宋_GB2312" w:eastAsia="仿宋_GB2312"/>
          <w:sz w:val="32"/>
          <w:szCs w:val="32"/>
        </w:rPr>
        <w:t>99</w:t>
      </w:r>
      <w:r>
        <w:rPr>
          <w:rFonts w:hint="eastAsia" w:ascii="仿宋_GB2312" w:eastAsia="仿宋_GB2312"/>
          <w:sz w:val="32"/>
          <w:szCs w:val="32"/>
        </w:rPr>
        <w:t>）支出决算数为</w:t>
      </w:r>
      <w:r>
        <w:rPr>
          <w:rFonts w:ascii="仿宋_GB2312" w:eastAsia="仿宋_GB2312"/>
          <w:sz w:val="32"/>
          <w:szCs w:val="32"/>
        </w:rPr>
        <w:t>28.74</w:t>
      </w:r>
      <w:r>
        <w:rPr>
          <w:rFonts w:hint="eastAsia" w:ascii="仿宋_GB2312" w:eastAsia="仿宋_GB2312"/>
          <w:sz w:val="32"/>
          <w:szCs w:val="32"/>
        </w:rPr>
        <w:t>万元，完成预算</w:t>
      </w:r>
      <w:r>
        <w:rPr>
          <w:rFonts w:ascii="仿宋_GB2312" w:eastAsia="仿宋_GB2312"/>
          <w:sz w:val="32"/>
          <w:szCs w:val="32"/>
        </w:rPr>
        <w:t>100%</w:t>
      </w:r>
      <w:r>
        <w:rPr>
          <w:rFonts w:hint="eastAsia" w:ascii="仿宋_GB2312" w:eastAsia="仿宋_GB2312"/>
          <w:sz w:val="32"/>
          <w:szCs w:val="32"/>
        </w:rPr>
        <w:t>。</w:t>
      </w:r>
    </w:p>
    <w:bookmarkEnd w:id="82"/>
    <w:p>
      <w:pPr>
        <w:spacing w:line="576" w:lineRule="exact"/>
        <w:ind w:firstLine="640" w:firstLineChars="200"/>
        <w:rPr>
          <w:rFonts w:ascii="仿宋_GB2312" w:eastAsia="仿宋_GB2312"/>
          <w:sz w:val="32"/>
          <w:szCs w:val="32"/>
        </w:rPr>
      </w:pPr>
      <w:r>
        <w:rPr>
          <w:rFonts w:ascii="仿宋_GB2312" w:eastAsia="仿宋_GB2312"/>
          <w:sz w:val="32"/>
          <w:szCs w:val="32"/>
        </w:rPr>
        <w:t>24.</w:t>
      </w:r>
      <w:r>
        <w:rPr>
          <w:rFonts w:hint="eastAsia" w:ascii="仿宋_GB2312" w:eastAsia="仿宋_GB2312"/>
          <w:sz w:val="32"/>
          <w:szCs w:val="32"/>
        </w:rPr>
        <w:t xml:space="preserve"> 社会保障和就业支出（</w:t>
      </w:r>
      <w:r>
        <w:rPr>
          <w:rFonts w:ascii="仿宋_GB2312" w:eastAsia="仿宋_GB2312"/>
          <w:sz w:val="32"/>
          <w:szCs w:val="32"/>
        </w:rPr>
        <w:t>208</w:t>
      </w:r>
      <w:r>
        <w:rPr>
          <w:rFonts w:hint="eastAsia" w:ascii="仿宋_GB2312" w:eastAsia="仿宋_GB2312"/>
          <w:sz w:val="32"/>
          <w:szCs w:val="32"/>
        </w:rPr>
        <w:t>）临时救助（</w:t>
      </w:r>
      <w:r>
        <w:rPr>
          <w:rFonts w:ascii="仿宋_GB2312" w:eastAsia="仿宋_GB2312"/>
          <w:sz w:val="32"/>
          <w:szCs w:val="32"/>
        </w:rPr>
        <w:t>20</w:t>
      </w:r>
      <w:r>
        <w:rPr>
          <w:rFonts w:hint="eastAsia" w:ascii="仿宋_GB2312" w:eastAsia="仿宋_GB2312"/>
          <w:sz w:val="32"/>
          <w:szCs w:val="32"/>
        </w:rPr>
        <w:t>）临时救助支出（</w:t>
      </w:r>
      <w:r>
        <w:rPr>
          <w:rFonts w:ascii="仿宋_GB2312" w:eastAsia="仿宋_GB2312"/>
          <w:sz w:val="32"/>
          <w:szCs w:val="32"/>
        </w:rPr>
        <w:t>01</w:t>
      </w:r>
      <w:r>
        <w:rPr>
          <w:rFonts w:hint="eastAsia" w:ascii="仿宋_GB2312" w:eastAsia="仿宋_GB2312"/>
          <w:sz w:val="32"/>
          <w:szCs w:val="32"/>
        </w:rPr>
        <w:t>）支出决算数为</w:t>
      </w:r>
      <w:r>
        <w:rPr>
          <w:rFonts w:ascii="仿宋_GB2312" w:eastAsia="仿宋_GB2312"/>
          <w:sz w:val="32"/>
          <w:szCs w:val="32"/>
        </w:rPr>
        <w:t>16.96</w:t>
      </w:r>
      <w:r>
        <w:rPr>
          <w:rFonts w:hint="eastAsia" w:ascii="仿宋_GB2312" w:eastAsia="仿宋_GB2312"/>
          <w:sz w:val="32"/>
          <w:szCs w:val="32"/>
        </w:rPr>
        <w:t>万元，完成预算</w:t>
      </w:r>
      <w:r>
        <w:rPr>
          <w:rFonts w:ascii="仿宋_GB2312" w:eastAsia="仿宋_GB2312"/>
          <w:sz w:val="32"/>
          <w:szCs w:val="32"/>
        </w:rPr>
        <w:t>100%</w:t>
      </w:r>
      <w:r>
        <w:rPr>
          <w:rFonts w:hint="eastAsia" w:ascii="仿宋_GB2312" w:eastAsia="仿宋_GB2312"/>
          <w:sz w:val="32"/>
          <w:szCs w:val="32"/>
        </w:rPr>
        <w:t>。</w:t>
      </w:r>
    </w:p>
    <w:p>
      <w:pPr>
        <w:tabs>
          <w:tab w:val="right" w:pos="8306"/>
        </w:tabs>
        <w:spacing w:line="600" w:lineRule="exact"/>
        <w:ind w:firstLine="640"/>
        <w:outlineLvl w:val="1"/>
        <w:rPr>
          <w:rStyle w:val="26"/>
        </w:rPr>
      </w:pPr>
      <w:bookmarkStart w:id="83" w:name="_Toc79163618"/>
      <w:bookmarkStart w:id="84" w:name="_Toc15396608"/>
      <w:bookmarkStart w:id="85" w:name="_Toc82764213"/>
      <w:bookmarkStart w:id="86" w:name="_Toc15377214"/>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6"/>
          <w:rFonts w:hint="eastAsia" w:ascii="黑体" w:hAnsi="黑体" w:eastAsia="黑体"/>
          <w:b w:val="0"/>
        </w:rPr>
        <w:t>般公共预算财政拨款基本支出决算情况说明</w:t>
      </w:r>
      <w:bookmarkEnd w:id="83"/>
      <w:bookmarkEnd w:id="84"/>
      <w:bookmarkEnd w:id="85"/>
      <w:bookmarkEnd w:id="86"/>
      <w:r>
        <w:rPr>
          <w:rStyle w:val="26"/>
          <w:rFonts w:ascii="黑体" w:hAnsi="黑体" w:eastAsia="黑体"/>
          <w:b w:val="0"/>
        </w:rPr>
        <w:tab/>
      </w:r>
    </w:p>
    <w:p>
      <w:pPr>
        <w:spacing w:line="600" w:lineRule="exact"/>
        <w:ind w:firstLine="645"/>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2020年一般公共预算财政拨款基本支出142.87万元，其中：</w:t>
      </w:r>
    </w:p>
    <w:p>
      <w:pPr>
        <w:spacing w:line="600" w:lineRule="exact"/>
        <w:ind w:firstLine="645"/>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人员经费132.95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p>
    <w:p>
      <w:pPr>
        <w:spacing w:line="600" w:lineRule="exact"/>
        <w:ind w:firstLine="645"/>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日常公用经费9.92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spacing w:line="600" w:lineRule="exact"/>
        <w:ind w:firstLine="640"/>
        <w:outlineLvl w:val="1"/>
        <w:rPr>
          <w:rStyle w:val="26"/>
          <w:rFonts w:ascii="黑体" w:hAnsi="黑体" w:eastAsia="黑体"/>
          <w:b w:val="0"/>
        </w:rPr>
      </w:pPr>
      <w:bookmarkStart w:id="87" w:name="_Toc82764214"/>
      <w:bookmarkStart w:id="88" w:name="_Toc15396609"/>
      <w:bookmarkStart w:id="89" w:name="_Toc79163619"/>
      <w:bookmarkStart w:id="90" w:name="_Toc15377215"/>
      <w:r>
        <w:rPr>
          <w:rFonts w:hint="eastAsia" w:ascii="黑体" w:eastAsia="黑体"/>
          <w:color w:val="000000"/>
          <w:sz w:val="32"/>
          <w:szCs w:val="32"/>
        </w:rPr>
        <w:t>七、</w:t>
      </w:r>
      <w:r>
        <w:rPr>
          <w:rStyle w:val="26"/>
          <w:rFonts w:hint="eastAsia" w:ascii="黑体" w:hAnsi="黑体" w:eastAsia="黑体"/>
        </w:rPr>
        <w:t>“</w:t>
      </w:r>
      <w:r>
        <w:rPr>
          <w:rStyle w:val="26"/>
          <w:rFonts w:hint="eastAsia" w:ascii="黑体" w:hAnsi="黑体" w:eastAsia="黑体"/>
          <w:b w:val="0"/>
        </w:rPr>
        <w:t>三公”经费财政拨款支出决算情况说明</w:t>
      </w:r>
      <w:bookmarkEnd w:id="87"/>
      <w:bookmarkEnd w:id="88"/>
      <w:bookmarkEnd w:id="89"/>
      <w:bookmarkEnd w:id="90"/>
    </w:p>
    <w:p>
      <w:pPr>
        <w:spacing w:line="600" w:lineRule="exact"/>
        <w:ind w:firstLine="640"/>
        <w:outlineLvl w:val="2"/>
        <w:rPr>
          <w:rFonts w:ascii="仿宋" w:hAnsi="仿宋" w:eastAsia="仿宋"/>
          <w:b/>
          <w:color w:val="000000"/>
          <w:sz w:val="32"/>
          <w:szCs w:val="32"/>
        </w:rPr>
      </w:pPr>
      <w:bookmarkStart w:id="91" w:name="_Toc15377216"/>
      <w:bookmarkStart w:id="92" w:name="_Toc82764215"/>
      <w:bookmarkStart w:id="93" w:name="_Toc79163620"/>
      <w:r>
        <w:rPr>
          <w:rFonts w:hint="eastAsia" w:ascii="仿宋" w:hAnsi="仿宋" w:eastAsia="仿宋"/>
          <w:b/>
          <w:color w:val="000000"/>
          <w:sz w:val="32"/>
          <w:szCs w:val="32"/>
        </w:rPr>
        <w:t>（一）“三公”经费财政拨款支出决算总体情况说明</w:t>
      </w:r>
      <w:bookmarkEnd w:id="91"/>
      <w:bookmarkEnd w:id="92"/>
      <w:bookmarkEnd w:id="93"/>
    </w:p>
    <w:p>
      <w:pPr>
        <w:spacing w:line="600" w:lineRule="exact"/>
        <w:ind w:firstLine="645"/>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2020年“三公”经费财政拨款支出决算为0万元。</w:t>
      </w:r>
    </w:p>
    <w:p>
      <w:pPr>
        <w:spacing w:line="600" w:lineRule="exact"/>
        <w:ind w:firstLine="640"/>
        <w:outlineLvl w:val="2"/>
        <w:rPr>
          <w:rFonts w:ascii="仿宋" w:hAnsi="仿宋" w:eastAsia="仿宋"/>
          <w:b/>
          <w:color w:val="000000"/>
          <w:sz w:val="32"/>
          <w:szCs w:val="32"/>
        </w:rPr>
      </w:pPr>
      <w:bookmarkStart w:id="94" w:name="_Toc82764216"/>
      <w:bookmarkStart w:id="95" w:name="_Toc79163621"/>
      <w:bookmarkStart w:id="96" w:name="_Toc15377217"/>
      <w:r>
        <w:rPr>
          <w:rFonts w:hint="eastAsia" w:ascii="仿宋" w:hAnsi="仿宋" w:eastAsia="仿宋"/>
          <w:b/>
          <w:color w:val="000000"/>
          <w:sz w:val="32"/>
          <w:szCs w:val="32"/>
        </w:rPr>
        <w:t>（二）“三公”经费财政拨款支出决算具体情况说明</w:t>
      </w:r>
      <w:bookmarkEnd w:id="94"/>
      <w:bookmarkEnd w:id="95"/>
      <w:bookmarkEnd w:id="96"/>
    </w:p>
    <w:p>
      <w:pPr>
        <w:spacing w:line="600" w:lineRule="exact"/>
        <w:ind w:firstLine="645"/>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2020年“三公”经费财政拨款支出决算中，因公出国（境）费支出决算0万元；公务用车购置及运行维护费支出决算0万元；公务接待费支出决算0万元。</w:t>
      </w:r>
    </w:p>
    <w:p>
      <w:pPr>
        <w:spacing w:line="600" w:lineRule="exact"/>
        <w:ind w:firstLine="640"/>
        <w:rPr>
          <w:rFonts w:hint="eastAsia" w:ascii="仿宋_GB2312" w:hAnsi="仿宋_GB2312" w:eastAsia="仿宋_GB2312" w:cs="仿宋_GB2312"/>
          <w:color w:val="000000"/>
          <w:sz w:val="32"/>
          <w:szCs w:val="32"/>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ascii="仿宋_GB2312" w:eastAsia="仿宋_GB2312"/>
          <w:color w:val="000000"/>
          <w:sz w:val="32"/>
          <w:szCs w:val="32"/>
        </w:rPr>
        <w:t>0</w:t>
      </w:r>
      <w:r>
        <w:rPr>
          <w:rFonts w:hint="eastAsia" w:ascii="仿宋_GB2312" w:eastAsia="仿宋_GB2312"/>
          <w:color w:val="000000"/>
          <w:sz w:val="32"/>
          <w:szCs w:val="32"/>
        </w:rPr>
        <w:t>万元</w:t>
      </w:r>
      <w:r>
        <w:rPr>
          <w:rStyle w:val="23"/>
          <w:rFonts w:hint="eastAsia" w:ascii="仿宋" w:hAnsi="仿宋" w:eastAsia="仿宋"/>
          <w:b w:val="0"/>
          <w:bCs/>
          <w:color w:val="000000"/>
          <w:sz w:val="32"/>
          <w:szCs w:val="32"/>
        </w:rPr>
        <w:t>。</w:t>
      </w:r>
      <w:r>
        <w:rPr>
          <w:rFonts w:hint="eastAsia" w:ascii="仿宋_GB2312" w:hAnsi="仿宋_GB2312" w:eastAsia="仿宋_GB2312" w:cs="仿宋_GB2312"/>
          <w:color w:val="000000"/>
          <w:sz w:val="32"/>
          <w:szCs w:val="32"/>
        </w:rPr>
        <w:t>全年安排因公出国（境）团组0次，出国（境）0人。</w:t>
      </w:r>
    </w:p>
    <w:p>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ascii="仿宋_GB2312" w:eastAsia="仿宋_GB2312"/>
          <w:color w:val="000000"/>
          <w:sz w:val="32"/>
          <w:szCs w:val="32"/>
        </w:rPr>
        <w:t>0</w:t>
      </w:r>
      <w:r>
        <w:rPr>
          <w:rFonts w:hint="eastAsia" w:ascii="仿宋_GB2312" w:eastAsia="仿宋_GB2312"/>
          <w:color w:val="000000"/>
          <w:sz w:val="32"/>
          <w:szCs w:val="32"/>
        </w:rPr>
        <w:t>万元</w:t>
      </w:r>
      <w:r>
        <w:rPr>
          <w:rStyle w:val="23"/>
          <w:rFonts w:hint="eastAsia" w:ascii="仿宋" w:hAnsi="仿宋" w:eastAsia="仿宋"/>
          <w:b w:val="0"/>
          <w:bCs/>
          <w:color w:val="000000"/>
          <w:sz w:val="32"/>
          <w:szCs w:val="32"/>
        </w:rPr>
        <w:t>。</w:t>
      </w:r>
    </w:p>
    <w:p>
      <w:pPr>
        <w:spacing w:line="600" w:lineRule="exact"/>
        <w:ind w:firstLine="640" w:firstLineChars="200"/>
        <w:rPr>
          <w:rFonts w:ascii="仿宋_GB2312" w:eastAsia="仿宋_GB2312"/>
          <w:b/>
          <w:color w:val="000000"/>
          <w:sz w:val="32"/>
          <w:szCs w:val="32"/>
        </w:rPr>
      </w:pPr>
      <w:r>
        <w:rPr>
          <w:rFonts w:hint="eastAsia" w:ascii="仿宋_GB2312" w:hAnsi="仿宋_GB2312" w:eastAsia="仿宋_GB2312" w:cs="仿宋_GB2312"/>
          <w:color w:val="000000"/>
          <w:sz w:val="32"/>
          <w:szCs w:val="32"/>
        </w:rPr>
        <w:t>其中：公务用车购置支出0万元。全年按规定更新购置公务用车0辆。截至2020年12月底，单位共有公务用车0辆。</w:t>
      </w:r>
    </w:p>
    <w:p>
      <w:pPr>
        <w:spacing w:line="600" w:lineRule="exact"/>
        <w:ind w:firstLine="645"/>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公务用车运行维护费支出0万元。</w:t>
      </w:r>
    </w:p>
    <w:p>
      <w:pPr>
        <w:spacing w:line="600" w:lineRule="exact"/>
        <w:ind w:firstLine="645"/>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3.公务接待费支出0万元。</w:t>
      </w:r>
    </w:p>
    <w:p>
      <w:pPr>
        <w:spacing w:line="600" w:lineRule="exact"/>
        <w:ind w:firstLine="645"/>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国内公务接待支出0万元。</w:t>
      </w:r>
    </w:p>
    <w:p>
      <w:pPr>
        <w:spacing w:line="600" w:lineRule="exact"/>
        <w:ind w:firstLine="645"/>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外事接待支出0万元。</w:t>
      </w:r>
    </w:p>
    <w:p>
      <w:pPr>
        <w:spacing w:line="600" w:lineRule="exact"/>
        <w:ind w:firstLine="640"/>
        <w:outlineLvl w:val="1"/>
        <w:rPr>
          <w:rStyle w:val="26"/>
          <w:rFonts w:ascii="黑体" w:hAnsi="黑体" w:eastAsia="黑体"/>
        </w:rPr>
      </w:pPr>
      <w:bookmarkStart w:id="97" w:name="_Toc15377218"/>
      <w:bookmarkStart w:id="98" w:name="_Toc79163622"/>
      <w:bookmarkStart w:id="99" w:name="_Toc82764217"/>
      <w:bookmarkStart w:id="100" w:name="_Toc15396610"/>
      <w:r>
        <w:rPr>
          <w:rFonts w:hint="eastAsia" w:ascii="黑体" w:eastAsia="黑体"/>
          <w:color w:val="000000"/>
          <w:sz w:val="32"/>
          <w:szCs w:val="32"/>
        </w:rPr>
        <w:t>八、</w:t>
      </w:r>
      <w:r>
        <w:rPr>
          <w:rStyle w:val="26"/>
          <w:rFonts w:hint="eastAsia" w:ascii="黑体" w:hAnsi="黑体" w:eastAsia="黑体"/>
          <w:b w:val="0"/>
        </w:rPr>
        <w:t>政府性基金预算支出决算情况说明</w:t>
      </w:r>
      <w:bookmarkEnd w:id="97"/>
      <w:bookmarkEnd w:id="98"/>
      <w:bookmarkEnd w:id="99"/>
      <w:bookmarkEnd w:id="100"/>
    </w:p>
    <w:p>
      <w:pPr>
        <w:spacing w:line="600" w:lineRule="exact"/>
        <w:ind w:firstLine="640"/>
        <w:rPr>
          <w:rFonts w:ascii="仿宋_GB2312" w:eastAsia="仿宋_GB2312"/>
          <w:color w:val="000000"/>
          <w:sz w:val="32"/>
          <w:szCs w:val="32"/>
        </w:rPr>
      </w:pPr>
      <w:r>
        <w:rPr>
          <w:rFonts w:hint="eastAsia" w:ascii="仿宋_GB2312" w:hAnsi="仿宋_GB2312" w:eastAsia="仿宋_GB2312" w:cs="仿宋_GB2312"/>
          <w:color w:val="000000"/>
          <w:sz w:val="32"/>
          <w:szCs w:val="32"/>
        </w:rPr>
        <w:t>2020年政府性基金预算拨款支出0万元。</w:t>
      </w:r>
    </w:p>
    <w:p>
      <w:pPr>
        <w:numPr>
          <w:ilvl w:val="0"/>
          <w:numId w:val="2"/>
        </w:numPr>
        <w:spacing w:line="600" w:lineRule="exact"/>
        <w:ind w:firstLine="640"/>
        <w:outlineLvl w:val="1"/>
        <w:rPr>
          <w:rStyle w:val="26"/>
          <w:rFonts w:ascii="黑体" w:hAnsi="黑体" w:eastAsia="黑体"/>
          <w:b w:val="0"/>
        </w:rPr>
      </w:pPr>
      <w:bookmarkStart w:id="101" w:name="_Toc82764218"/>
      <w:bookmarkStart w:id="102" w:name="_Toc15396611"/>
      <w:bookmarkStart w:id="103" w:name="_Toc79163623"/>
      <w:bookmarkStart w:id="104" w:name="_Toc15377219"/>
      <w:r>
        <w:rPr>
          <w:rStyle w:val="26"/>
          <w:rFonts w:hint="eastAsia" w:ascii="黑体" w:hAnsi="黑体" w:eastAsia="黑体"/>
          <w:b w:val="0"/>
        </w:rPr>
        <w:t>国有资本经营预算支出决算情况说明</w:t>
      </w:r>
      <w:bookmarkEnd w:id="101"/>
      <w:bookmarkEnd w:id="102"/>
      <w:bookmarkEnd w:id="103"/>
      <w:bookmarkEnd w:id="104"/>
    </w:p>
    <w:p>
      <w:pPr>
        <w:spacing w:line="600" w:lineRule="exact"/>
        <w:ind w:firstLine="645"/>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2020年国有资本经营预算拨款支出0万元。</w:t>
      </w:r>
    </w:p>
    <w:p>
      <w:pPr>
        <w:spacing w:line="600" w:lineRule="exact"/>
        <w:ind w:firstLine="800" w:firstLineChars="250"/>
        <w:outlineLvl w:val="1"/>
        <w:rPr>
          <w:rStyle w:val="26"/>
          <w:rFonts w:ascii="黑体" w:hAnsi="黑体" w:eastAsia="黑体"/>
        </w:rPr>
      </w:pPr>
      <w:bookmarkStart w:id="105" w:name="_Toc15396612"/>
      <w:bookmarkStart w:id="106" w:name="_Toc79163624"/>
      <w:bookmarkStart w:id="107" w:name="_Toc82764219"/>
      <w:bookmarkStart w:id="108" w:name="_Toc15377221"/>
      <w:r>
        <w:rPr>
          <w:rFonts w:hint="eastAsia" w:ascii="黑体" w:hAnsi="黑体" w:eastAsia="黑体"/>
          <w:color w:val="000000"/>
          <w:sz w:val="32"/>
          <w:szCs w:val="32"/>
        </w:rPr>
        <w:t>十</w:t>
      </w:r>
      <w:r>
        <w:rPr>
          <w:rStyle w:val="26"/>
          <w:rFonts w:hint="eastAsia" w:ascii="黑体" w:hAnsi="黑体" w:eastAsia="黑体"/>
        </w:rPr>
        <w:t>、</w:t>
      </w:r>
      <w:r>
        <w:rPr>
          <w:rStyle w:val="26"/>
          <w:rFonts w:hint="eastAsia" w:ascii="黑体" w:hAnsi="黑体" w:eastAsia="黑体"/>
          <w:b w:val="0"/>
        </w:rPr>
        <w:t>其他重要事项的情况说明</w:t>
      </w:r>
      <w:bookmarkEnd w:id="105"/>
      <w:bookmarkEnd w:id="106"/>
      <w:bookmarkEnd w:id="107"/>
      <w:bookmarkEnd w:id="108"/>
    </w:p>
    <w:p>
      <w:pPr>
        <w:spacing w:line="600" w:lineRule="exact"/>
        <w:ind w:firstLine="642" w:firstLineChars="200"/>
        <w:outlineLvl w:val="2"/>
        <w:rPr>
          <w:rFonts w:ascii="仿宋" w:hAnsi="仿宋" w:eastAsia="仿宋"/>
          <w:color w:val="000000"/>
          <w:sz w:val="32"/>
          <w:szCs w:val="32"/>
        </w:rPr>
      </w:pPr>
      <w:bookmarkStart w:id="109" w:name="_Toc79163625"/>
      <w:bookmarkStart w:id="110" w:name="_Toc15377222"/>
      <w:bookmarkStart w:id="111" w:name="_Toc82764220"/>
      <w:r>
        <w:rPr>
          <w:rFonts w:hint="eastAsia" w:ascii="仿宋" w:hAnsi="仿宋" w:eastAsia="仿宋"/>
          <w:b/>
          <w:color w:val="000000"/>
          <w:sz w:val="32"/>
          <w:szCs w:val="32"/>
        </w:rPr>
        <w:t>（一）机关运行经费支出情况</w:t>
      </w:r>
      <w:bookmarkEnd w:id="109"/>
      <w:bookmarkEnd w:id="110"/>
      <w:bookmarkEnd w:id="111"/>
    </w:p>
    <w:p>
      <w:pPr>
        <w:spacing w:line="600" w:lineRule="exact"/>
        <w:ind w:firstLine="640" w:firstLineChars="200"/>
        <w:rPr>
          <w:rFonts w:ascii="仿宋_GB2312" w:eastAsia="仿宋_GB2312"/>
          <w:color w:val="000000"/>
          <w:sz w:val="32"/>
          <w:szCs w:val="32"/>
        </w:rPr>
      </w:pPr>
      <w:r>
        <w:rPr>
          <w:rFonts w:hint="eastAsia" w:ascii="仿宋_GB2312" w:hAnsi="仿宋_GB2312" w:eastAsia="仿宋_GB2312" w:cs="仿宋_GB2312"/>
          <w:color w:val="000000"/>
          <w:sz w:val="32"/>
          <w:szCs w:val="32"/>
        </w:rPr>
        <w:t>2020年，茂县退役军人事务局机关运行经费支出7.37万元，比2019年减少11.57万元，下降61%。主要原因是厉行节约，节约开支。</w:t>
      </w:r>
    </w:p>
    <w:p>
      <w:pPr>
        <w:autoSpaceDE w:val="0"/>
        <w:autoSpaceDN w:val="0"/>
        <w:adjustRightInd w:val="0"/>
        <w:spacing w:line="600" w:lineRule="exact"/>
        <w:ind w:firstLine="642" w:firstLineChars="200"/>
        <w:jc w:val="left"/>
        <w:outlineLvl w:val="2"/>
        <w:rPr>
          <w:rFonts w:ascii="仿宋" w:hAnsi="仿宋" w:eastAsia="仿宋"/>
          <w:b/>
          <w:color w:val="000000"/>
          <w:sz w:val="32"/>
          <w:szCs w:val="32"/>
        </w:rPr>
      </w:pPr>
      <w:bookmarkStart w:id="112" w:name="_Toc82764221"/>
      <w:bookmarkStart w:id="113" w:name="_Toc79163626"/>
      <w:bookmarkStart w:id="114" w:name="_Toc15377223"/>
      <w:r>
        <w:rPr>
          <w:rFonts w:hint="eastAsia" w:ascii="仿宋" w:hAnsi="仿宋" w:eastAsia="仿宋"/>
          <w:b/>
          <w:color w:val="000000"/>
          <w:sz w:val="32"/>
          <w:szCs w:val="32"/>
        </w:rPr>
        <w:t>（二）政府采购支出情况</w:t>
      </w:r>
      <w:bookmarkEnd w:id="112"/>
      <w:bookmarkEnd w:id="113"/>
      <w:bookmarkEnd w:id="114"/>
    </w:p>
    <w:p>
      <w:pPr>
        <w:spacing w:line="600" w:lineRule="exact"/>
        <w:ind w:firstLine="645"/>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2020年，茂县退役军人事务局政府采购支出总额0万元，其中：政府采购货物支出0万元、政府采购工程支出0万元、政府采购服务支出0万元。</w:t>
      </w:r>
    </w:p>
    <w:p>
      <w:pPr>
        <w:autoSpaceDE w:val="0"/>
        <w:autoSpaceDN w:val="0"/>
        <w:adjustRightInd w:val="0"/>
        <w:spacing w:line="600" w:lineRule="exact"/>
        <w:ind w:firstLine="642" w:firstLineChars="200"/>
        <w:jc w:val="left"/>
        <w:outlineLvl w:val="2"/>
        <w:rPr>
          <w:rFonts w:ascii="仿宋" w:hAnsi="仿宋" w:eastAsia="仿宋"/>
          <w:b/>
          <w:color w:val="000000"/>
          <w:sz w:val="32"/>
          <w:szCs w:val="32"/>
        </w:rPr>
      </w:pPr>
      <w:bookmarkStart w:id="115" w:name="_Toc79163627"/>
      <w:bookmarkStart w:id="116" w:name="_Toc82764222"/>
      <w:bookmarkStart w:id="117" w:name="_Toc15377224"/>
      <w:r>
        <w:rPr>
          <w:rFonts w:hint="eastAsia" w:ascii="仿宋" w:hAnsi="仿宋" w:eastAsia="仿宋"/>
          <w:b/>
          <w:color w:val="000000"/>
          <w:sz w:val="32"/>
          <w:szCs w:val="32"/>
        </w:rPr>
        <w:t>（三）国有资产占有使用情况</w:t>
      </w:r>
      <w:bookmarkEnd w:id="115"/>
      <w:bookmarkEnd w:id="116"/>
      <w:bookmarkEnd w:id="117"/>
    </w:p>
    <w:p>
      <w:pPr>
        <w:autoSpaceDE w:val="0"/>
        <w:autoSpaceDN w:val="0"/>
        <w:adjustRightInd w:val="0"/>
        <w:spacing w:line="600" w:lineRule="exact"/>
        <w:ind w:firstLine="640" w:firstLineChars="200"/>
        <w:jc w:val="left"/>
        <w:rPr>
          <w:rFonts w:ascii="仿宋" w:hAnsi="仿宋" w:eastAsia="仿宋"/>
          <w:b/>
          <w:color w:val="FF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2020</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日，茂县退役军人事务局无车辆。</w:t>
      </w:r>
    </w:p>
    <w:p>
      <w:pPr>
        <w:autoSpaceDE w:val="0"/>
        <w:autoSpaceDN w:val="0"/>
        <w:adjustRightInd w:val="0"/>
        <w:spacing w:line="600" w:lineRule="exact"/>
        <w:ind w:firstLine="642" w:firstLineChars="200"/>
        <w:jc w:val="left"/>
        <w:outlineLvl w:val="2"/>
        <w:rPr>
          <w:rFonts w:ascii="仿宋" w:hAnsi="仿宋" w:eastAsia="仿宋"/>
          <w:b/>
          <w:color w:val="000000"/>
          <w:sz w:val="32"/>
          <w:szCs w:val="32"/>
        </w:rPr>
      </w:pPr>
      <w:bookmarkStart w:id="118" w:name="_Toc82764223"/>
      <w:bookmarkStart w:id="119" w:name="_Toc79163628"/>
      <w:r>
        <w:rPr>
          <w:rFonts w:hint="eastAsia" w:ascii="仿宋" w:hAnsi="仿宋" w:eastAsia="仿宋"/>
          <w:b/>
          <w:color w:val="000000"/>
          <w:sz w:val="32"/>
          <w:szCs w:val="32"/>
        </w:rPr>
        <w:t>（四）预算绩效管理情况</w:t>
      </w:r>
      <w:bookmarkEnd w:id="118"/>
      <w:bookmarkEnd w:id="119"/>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根据预算绩效管理要求，本部门（单位）在年初预算编制阶段，组织对</w:t>
      </w:r>
      <w:r>
        <w:rPr>
          <w:rFonts w:ascii="仿宋_GB2312" w:hAnsi="仿宋_GB2312" w:eastAsia="仿宋_GB2312" w:cs="仿宋_GB2312"/>
          <w:sz w:val="32"/>
          <w:szCs w:val="32"/>
        </w:rPr>
        <w:t>7</w:t>
      </w:r>
      <w:r>
        <w:rPr>
          <w:rFonts w:hint="eastAsia" w:ascii="仿宋_GB2312" w:hAnsi="仿宋_GB2312" w:eastAsia="仿宋_GB2312" w:cs="仿宋_GB2312"/>
          <w:sz w:val="32"/>
          <w:szCs w:val="32"/>
        </w:rPr>
        <w:t>项目开展了预算事前绩效评估，</w:t>
      </w:r>
      <w:r>
        <w:rPr>
          <w:rFonts w:ascii="仿宋_GB2312" w:hAnsi="仿宋_GB2312" w:eastAsia="仿宋_GB2312" w:cs="仿宋_GB2312"/>
          <w:sz w:val="32"/>
          <w:szCs w:val="32"/>
        </w:rPr>
        <w:t>7</w:t>
      </w:r>
      <w:r>
        <w:rPr>
          <w:rFonts w:hint="eastAsia" w:ascii="仿宋_GB2312" w:hAnsi="仿宋_GB2312" w:eastAsia="仿宋_GB2312" w:cs="仿宋_GB2312"/>
          <w:sz w:val="32"/>
          <w:szCs w:val="32"/>
        </w:rPr>
        <w:t>个项目编制了绩效目标，预算执行过程中，选取5个项目开展绩效监控，年终执行完毕后，对5个项目开展了绩效目标完成情况自评。</w:t>
      </w:r>
    </w:p>
    <w:p>
      <w:pPr>
        <w:widowControl/>
        <w:spacing w:line="576"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w:t>
      </w:r>
      <w:r>
        <w:rPr>
          <w:rFonts w:ascii="仿宋_GB2312" w:hAnsi="仿宋_GB2312" w:eastAsia="仿宋_GB2312" w:cs="仿宋_GB2312"/>
          <w:sz w:val="32"/>
          <w:szCs w:val="32"/>
        </w:rPr>
        <w:t>2020</w:t>
      </w:r>
      <w:r>
        <w:rPr>
          <w:rFonts w:hint="eastAsia" w:ascii="仿宋_GB2312" w:hAnsi="仿宋_GB2312" w:eastAsia="仿宋_GB2312" w:cs="仿宋_GB2312"/>
          <w:sz w:val="32"/>
          <w:szCs w:val="32"/>
        </w:rPr>
        <w:t>年部门整体支出开展绩效自评，</w:t>
      </w:r>
      <w:r>
        <w:rPr>
          <w:rFonts w:hint="eastAsia" w:ascii="仿宋_GB2312" w:hAnsi="仿宋" w:eastAsia="仿宋_GB2312" w:cs="仿宋"/>
          <w:color w:val="000000"/>
          <w:kern w:val="0"/>
          <w:sz w:val="32"/>
          <w:szCs w:val="32"/>
        </w:rPr>
        <w:t>自</w:t>
      </w:r>
      <w:r>
        <w:rPr>
          <w:rFonts w:hint="eastAsia" w:ascii="仿宋_GB2312" w:hAnsi="仿宋_GB2312" w:eastAsia="仿宋_GB2312" w:cs="仿宋_GB2312"/>
          <w:sz w:val="32"/>
          <w:szCs w:val="32"/>
        </w:rPr>
        <w:t xml:space="preserve">查自评结果良好，全年基本支出保证了部门的正常运行和日常工作的正常开展，项目支出保障了重点工作的开展，绩效目标得到较好实现，绩效管理水平不断提高，绩效指标体系逐渐 丰富和完善。 </w:t>
      </w:r>
    </w:p>
    <w:p>
      <w:pPr>
        <w:spacing w:line="580" w:lineRule="exact"/>
        <w:ind w:firstLine="640" w:firstLineChars="200"/>
        <w:rPr>
          <w:rFonts w:hint="eastAsia" w:ascii="楷体_GB2312" w:hAnsi="楷体_GB2312" w:eastAsia="楷体_GB2312" w:cs="楷体_GB2312"/>
          <w:sz w:val="32"/>
          <w:szCs w:val="32"/>
          <w:lang w:eastAsia="zh-CN"/>
        </w:rPr>
      </w:pPr>
      <w:r>
        <w:rPr>
          <w:rFonts w:ascii="楷体_GB2312" w:hAnsi="楷体_GB2312" w:eastAsia="楷体_GB2312" w:cs="楷体_GB2312"/>
          <w:sz w:val="32"/>
          <w:szCs w:val="32"/>
        </w:rPr>
        <w:t>1.</w:t>
      </w:r>
      <w:r>
        <w:rPr>
          <w:rFonts w:hint="eastAsia" w:ascii="楷体_GB2312" w:hAnsi="楷体_GB2312" w:eastAsia="楷体_GB2312" w:cs="楷体_GB2312"/>
          <w:sz w:val="32"/>
          <w:szCs w:val="32"/>
        </w:rPr>
        <w:t>项目绩效目标完成情况</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本部门在</w:t>
      </w:r>
      <w:r>
        <w:rPr>
          <w:rFonts w:ascii="仿宋_GB2312" w:hAnsi="仿宋_GB2312" w:eastAsia="仿宋_GB2312" w:cs="仿宋_GB2312"/>
          <w:sz w:val="32"/>
          <w:szCs w:val="32"/>
        </w:rPr>
        <w:t>2020</w:t>
      </w:r>
      <w:r>
        <w:rPr>
          <w:rFonts w:hint="eastAsia" w:ascii="仿宋_GB2312" w:hAnsi="仿宋_GB2312" w:eastAsia="仿宋_GB2312" w:cs="仿宋_GB2312"/>
          <w:sz w:val="32"/>
          <w:szCs w:val="32"/>
        </w:rPr>
        <w:t>年度部门决算中反映“死亡抚恤”“ 军队移交政府的离退休人员安置补助资金”“优抚对象医疗”等</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个项目绩效目标实际完成情况。</w:t>
      </w:r>
    </w:p>
    <w:p>
      <w:pPr>
        <w:adjustRightInd w:val="0"/>
        <w:snapToGrid w:val="0"/>
        <w:spacing w:line="560" w:lineRule="exact"/>
        <w:ind w:firstLine="720"/>
        <w:rPr>
          <w:rFonts w:ascii="仿宋_GB2312" w:hAnsi="宋体" w:eastAsia="仿宋_GB2312"/>
          <w:sz w:val="32"/>
          <w:szCs w:val="32"/>
          <w:lang w:val="zh-CN"/>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）死亡抚恤</w:t>
      </w:r>
      <w:bookmarkStart w:id="120" w:name="_Hlk51573558"/>
      <w:r>
        <w:rPr>
          <w:rFonts w:hint="eastAsia" w:ascii="仿宋_GB2312" w:hAnsi="仿宋_GB2312" w:eastAsia="仿宋_GB2312" w:cs="仿宋_GB2312"/>
          <w:sz w:val="32"/>
          <w:szCs w:val="32"/>
        </w:rPr>
        <w:t>金补助项目</w:t>
      </w:r>
      <w:bookmarkEnd w:id="120"/>
      <w:r>
        <w:rPr>
          <w:rFonts w:hint="eastAsia" w:ascii="仿宋_GB2312" w:hAnsi="仿宋_GB2312" w:eastAsia="仿宋_GB2312" w:cs="仿宋_GB2312"/>
          <w:sz w:val="32"/>
          <w:szCs w:val="32"/>
        </w:rPr>
        <w:t>绩效目标完成情况综述。项目全年预算数</w:t>
      </w:r>
      <w:r>
        <w:rPr>
          <w:rFonts w:ascii="仿宋_GB2312" w:hAnsi="仿宋_GB2312" w:eastAsia="仿宋_GB2312" w:cs="仿宋_GB2312"/>
          <w:sz w:val="32"/>
          <w:szCs w:val="32"/>
        </w:rPr>
        <w:t>140.38</w:t>
      </w:r>
      <w:r>
        <w:rPr>
          <w:rFonts w:hint="eastAsia" w:ascii="仿宋_GB2312" w:hAnsi="仿宋_GB2312" w:eastAsia="仿宋_GB2312" w:cs="仿宋_GB2312"/>
          <w:sz w:val="32"/>
          <w:szCs w:val="32"/>
        </w:rPr>
        <w:t>万元，执行数为</w:t>
      </w:r>
      <w:r>
        <w:rPr>
          <w:rFonts w:ascii="仿宋_GB2312" w:hAnsi="仿宋_GB2312" w:eastAsia="仿宋_GB2312" w:cs="仿宋_GB2312"/>
          <w:sz w:val="32"/>
          <w:szCs w:val="32"/>
        </w:rPr>
        <w:t>140.38</w:t>
      </w:r>
      <w:r>
        <w:rPr>
          <w:rFonts w:hint="eastAsia" w:ascii="仿宋_GB2312" w:hAnsi="仿宋_GB2312" w:eastAsia="仿宋_GB2312" w:cs="仿宋_GB2312"/>
          <w:sz w:val="32"/>
          <w:szCs w:val="32"/>
        </w:rPr>
        <w:t>万元，完成预算的</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。通过发放优抚对象抚恤补助资金，使优抚对象的基本生活得到了有效保障，发现的主要问题：</w:t>
      </w:r>
      <w:r>
        <w:rPr>
          <w:rFonts w:hint="eastAsia" w:ascii="仿宋_GB2312" w:hAnsi="宋体" w:eastAsia="仿宋_GB2312"/>
          <w:sz w:val="32"/>
          <w:szCs w:val="32"/>
        </w:rPr>
        <w:t>面临着业务不熟练的情况，生活补助发放虽在规定时间范围内，与优抚人员希望早点拿到生活补助还有距离。</w:t>
      </w:r>
      <w:r>
        <w:rPr>
          <w:rFonts w:hint="eastAsia" w:ascii="仿宋_GB2312" w:hAnsi="仿宋_GB2312" w:eastAsia="仿宋_GB2312" w:cs="仿宋_GB2312"/>
          <w:sz w:val="32"/>
          <w:szCs w:val="32"/>
        </w:rPr>
        <w:t>下一步改进措施：</w:t>
      </w:r>
      <w:r>
        <w:rPr>
          <w:rFonts w:hint="eastAsia" w:ascii="仿宋_GB2312" w:hAnsi="宋体" w:eastAsia="仿宋_GB2312"/>
          <w:sz w:val="32"/>
          <w:szCs w:val="32"/>
          <w:lang w:val="zh-CN"/>
        </w:rPr>
        <w:t>加大对各县业务培训，加快发放速度，减少社会矛盾。</w:t>
      </w:r>
    </w:p>
    <w:p>
      <w:pPr>
        <w:widowControl/>
        <w:wordWrap w:val="0"/>
        <w:snapToGrid w:val="0"/>
        <w:spacing w:line="560" w:lineRule="exact"/>
        <w:ind w:firstLine="640" w:firstLineChars="200"/>
        <w:jc w:val="left"/>
        <w:rPr>
          <w:rFonts w:ascii="仿宋_GB2312" w:hAnsi="宋体" w:eastAsia="仿宋_GB2312"/>
          <w:sz w:val="32"/>
          <w:szCs w:val="32"/>
          <w:lang w:val="zh-CN"/>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）优抚对象医疗补助项目绩效目标完成情况综述。项目全年预算数</w:t>
      </w:r>
      <w:r>
        <w:rPr>
          <w:rFonts w:ascii="仿宋_GB2312" w:hAnsi="仿宋_GB2312" w:eastAsia="仿宋_GB2312" w:cs="仿宋_GB2312"/>
          <w:sz w:val="32"/>
          <w:szCs w:val="32"/>
        </w:rPr>
        <w:t>6.48</w:t>
      </w:r>
      <w:r>
        <w:rPr>
          <w:rFonts w:hint="eastAsia" w:ascii="仿宋_GB2312" w:hAnsi="仿宋_GB2312" w:eastAsia="仿宋_GB2312" w:cs="仿宋_GB2312"/>
          <w:sz w:val="32"/>
          <w:szCs w:val="32"/>
        </w:rPr>
        <w:t>万元，执行数为</w:t>
      </w:r>
      <w:r>
        <w:rPr>
          <w:rFonts w:ascii="仿宋_GB2312" w:hAnsi="仿宋_GB2312" w:eastAsia="仿宋_GB2312" w:cs="仿宋_GB2312"/>
          <w:sz w:val="32"/>
          <w:szCs w:val="32"/>
        </w:rPr>
        <w:t>6.48</w:t>
      </w:r>
      <w:r>
        <w:rPr>
          <w:rFonts w:hint="eastAsia" w:ascii="仿宋_GB2312" w:hAnsi="仿宋_GB2312" w:eastAsia="仿宋_GB2312" w:cs="仿宋_GB2312"/>
          <w:sz w:val="32"/>
          <w:szCs w:val="32"/>
        </w:rPr>
        <w:t>万元，完成预算的</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。通过项目实施，</w:t>
      </w:r>
      <w:r>
        <w:rPr>
          <w:rFonts w:hint="eastAsia" w:ascii="仿宋_GB2312" w:hAnsi="宋体" w:eastAsia="仿宋_GB2312" w:cs="宋体"/>
          <w:color w:val="000000"/>
          <w:spacing w:val="15"/>
          <w:kern w:val="0"/>
          <w:sz w:val="32"/>
          <w:szCs w:val="32"/>
        </w:rPr>
        <w:t>通过医疗救助的实施，在一定程度上遏制了“因病致贫、因病返贫”现象，切实缓解了我县优抚对象看病难的问题，提高了困难优抚对象的生活质量</w:t>
      </w:r>
      <w:r>
        <w:rPr>
          <w:rFonts w:hint="eastAsia" w:ascii="仿宋_GB2312" w:hAnsi="inherit" w:eastAsia="仿宋_GB2312" w:cs="宋体"/>
          <w:kern w:val="0"/>
          <w:sz w:val="32"/>
          <w:szCs w:val="32"/>
        </w:rPr>
        <w:t>。通过救助使广大困难退役军人更清楚地感受到了党和政府对弱势群体的关心关怀，进一步增强了困难群众的“感恩报国”意识。同时，充分发挥了退役军人工作工作在保障和改善民生、解决社会问题、化解社会矛盾、促进社会和谐方面的重要作用。</w:t>
      </w:r>
      <w:r>
        <w:rPr>
          <w:rFonts w:hint="eastAsia" w:ascii="仿宋_GB2312" w:hAnsi="仿宋_GB2312" w:eastAsia="仿宋_GB2312" w:cs="仿宋_GB2312"/>
          <w:sz w:val="32"/>
          <w:szCs w:val="32"/>
        </w:rPr>
        <w:t>发现的主要问题：社会救助队伍需进一步加强。由于乡镇退役军人工作人员工作杂、任务重、人手少、人员变化大等原因，导致一部分医疗救助工作不能及时上报或开展。下一步改进措施：</w:t>
      </w:r>
      <w:r>
        <w:rPr>
          <w:rFonts w:hint="eastAsia" w:ascii="仿宋_GB2312" w:hAnsi="宋体" w:eastAsia="仿宋_GB2312"/>
          <w:sz w:val="32"/>
          <w:szCs w:val="32"/>
          <w:lang w:val="zh-CN"/>
        </w:rPr>
        <w:t>加大对患重特大疾病患者实施医疗救助力度，提高救助比例，提高救助封顶线。确实减轻重病患者家庭负担，减少社会矛盾。</w:t>
      </w:r>
    </w:p>
    <w:p>
      <w:pPr>
        <w:widowControl/>
        <w:ind w:firstLine="640" w:firstLineChars="200"/>
        <w:jc w:val="left"/>
        <w:rPr>
          <w:rFonts w:ascii="仿宋_GB2312" w:hAnsi="仿宋_GB2312" w:eastAsia="仿宋_GB2312" w:cs="仿宋_GB2312"/>
          <w:sz w:val="32"/>
          <w:szCs w:val="32"/>
        </w:rPr>
      </w:pPr>
      <w:bookmarkStart w:id="121" w:name="_Hlk51573500"/>
      <w:r>
        <w:rPr>
          <w:rFonts w:hint="eastAsia" w:ascii="仿宋_GB2312" w:hAnsi="仿宋_GB2312" w:eastAsia="仿宋_GB2312" w:cs="仿宋_GB2312"/>
          <w:sz w:val="32"/>
          <w:szCs w:val="32"/>
        </w:rPr>
        <w:t>（</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）在乡复员、退伍军人生活补助项目绩效目标完成情况综述。项目全年预算数</w:t>
      </w:r>
      <w:r>
        <w:rPr>
          <w:rFonts w:ascii="仿宋_GB2312" w:hAnsi="仿宋_GB2312" w:eastAsia="仿宋_GB2312" w:cs="仿宋_GB2312"/>
          <w:sz w:val="32"/>
          <w:szCs w:val="32"/>
        </w:rPr>
        <w:t>157.96</w:t>
      </w:r>
      <w:r>
        <w:rPr>
          <w:rFonts w:hint="eastAsia" w:ascii="仿宋_GB2312" w:hAnsi="仿宋_GB2312" w:eastAsia="仿宋_GB2312" w:cs="仿宋_GB2312"/>
          <w:sz w:val="32"/>
          <w:szCs w:val="32"/>
        </w:rPr>
        <w:t>万元，执行数为</w:t>
      </w:r>
      <w:r>
        <w:rPr>
          <w:rFonts w:ascii="仿宋_GB2312" w:hAnsi="仿宋_GB2312" w:eastAsia="仿宋_GB2312" w:cs="仿宋_GB2312"/>
          <w:sz w:val="32"/>
          <w:szCs w:val="32"/>
        </w:rPr>
        <w:t>157.96</w:t>
      </w:r>
      <w:r>
        <w:rPr>
          <w:rFonts w:hint="eastAsia" w:ascii="仿宋_GB2312" w:hAnsi="仿宋_GB2312" w:eastAsia="仿宋_GB2312" w:cs="仿宋_GB2312"/>
          <w:sz w:val="32"/>
          <w:szCs w:val="32"/>
        </w:rPr>
        <w:t>万元，完成预算的</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。通过项目实施，切实保障在乡复员、退伍军人生活。</w:t>
      </w:r>
    </w:p>
    <w:bookmarkEnd w:id="121"/>
    <w:p>
      <w:pPr>
        <w:widowControl/>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）伤残抚恤金补助项目目绩效目标完成情况综述。项目全年预算数</w:t>
      </w:r>
      <w:r>
        <w:rPr>
          <w:rFonts w:ascii="仿宋_GB2312" w:hAnsi="仿宋_GB2312" w:eastAsia="仿宋_GB2312" w:cs="仿宋_GB2312"/>
          <w:sz w:val="32"/>
          <w:szCs w:val="32"/>
        </w:rPr>
        <w:t>48.79</w:t>
      </w:r>
      <w:r>
        <w:rPr>
          <w:rFonts w:hint="eastAsia" w:ascii="仿宋_GB2312" w:hAnsi="仿宋_GB2312" w:eastAsia="仿宋_GB2312" w:cs="仿宋_GB2312"/>
          <w:sz w:val="32"/>
          <w:szCs w:val="32"/>
        </w:rPr>
        <w:t>万元，执行数为</w:t>
      </w:r>
      <w:r>
        <w:rPr>
          <w:rFonts w:ascii="仿宋_GB2312" w:hAnsi="仿宋_GB2312" w:eastAsia="仿宋_GB2312" w:cs="仿宋_GB2312"/>
          <w:sz w:val="32"/>
          <w:szCs w:val="32"/>
        </w:rPr>
        <w:t>48.79</w:t>
      </w:r>
      <w:r>
        <w:rPr>
          <w:rFonts w:hint="eastAsia" w:ascii="仿宋_GB2312" w:hAnsi="仿宋_GB2312" w:eastAsia="仿宋_GB2312" w:cs="仿宋_GB2312"/>
          <w:sz w:val="32"/>
          <w:szCs w:val="32"/>
        </w:rPr>
        <w:t>万元，完成预算的</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。通过项目实施，切实保障伤残人员的各种伤残补助。</w:t>
      </w:r>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）军队移交政府的离退休人员安置补助资金项目绩效目标完成情况综述。项目全年预算数</w:t>
      </w:r>
      <w:r>
        <w:rPr>
          <w:rFonts w:ascii="仿宋_GB2312" w:hAnsi="仿宋_GB2312" w:eastAsia="仿宋_GB2312" w:cs="仿宋_GB2312"/>
          <w:sz w:val="32"/>
          <w:szCs w:val="32"/>
        </w:rPr>
        <w:t>81.12</w:t>
      </w:r>
      <w:r>
        <w:rPr>
          <w:rFonts w:hint="eastAsia" w:ascii="仿宋_GB2312" w:hAnsi="仿宋_GB2312" w:eastAsia="仿宋_GB2312" w:cs="仿宋_GB2312"/>
          <w:sz w:val="32"/>
          <w:szCs w:val="32"/>
        </w:rPr>
        <w:t>万元，执行数为</w:t>
      </w:r>
      <w:r>
        <w:rPr>
          <w:rFonts w:ascii="仿宋_GB2312" w:hAnsi="仿宋_GB2312" w:eastAsia="仿宋_GB2312" w:cs="仿宋_GB2312"/>
          <w:sz w:val="32"/>
          <w:szCs w:val="32"/>
        </w:rPr>
        <w:t>81.12</w:t>
      </w:r>
      <w:r>
        <w:rPr>
          <w:rFonts w:hint="eastAsia" w:ascii="仿宋_GB2312" w:hAnsi="仿宋_GB2312" w:eastAsia="仿宋_GB2312" w:cs="仿宋_GB2312"/>
          <w:sz w:val="32"/>
          <w:szCs w:val="32"/>
        </w:rPr>
        <w:t>万元，完成预算的</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。通过项目实施，</w:t>
      </w:r>
      <w:r>
        <w:rPr>
          <w:rFonts w:hint="eastAsia" w:ascii="仿宋_GB2312" w:hAnsi="宋体" w:eastAsia="仿宋_GB2312" w:cs="宋体"/>
          <w:color w:val="000000"/>
          <w:spacing w:val="15"/>
          <w:kern w:val="0"/>
          <w:sz w:val="32"/>
          <w:szCs w:val="32"/>
        </w:rPr>
        <w:t>进一步促进了军队的稳定</w:t>
      </w:r>
      <w:r>
        <w:rPr>
          <w:rFonts w:hint="eastAsia" w:ascii="仿宋_GB2312" w:hAnsi="inherit" w:eastAsia="仿宋_GB2312" w:cs="宋体"/>
          <w:kern w:val="0"/>
          <w:sz w:val="32"/>
          <w:szCs w:val="32"/>
        </w:rPr>
        <w:t>。通过发放生活补助使</w:t>
      </w:r>
      <w:r>
        <w:rPr>
          <w:rFonts w:hint="eastAsia" w:ascii="仿宋_GB2312" w:hAnsi="宋体" w:eastAsia="仿宋_GB2312"/>
          <w:sz w:val="32"/>
          <w:szCs w:val="32"/>
          <w:lang w:val="zh-CN"/>
        </w:rPr>
        <w:t>军队离退休干部、军队无军籍退休退职职工</w:t>
      </w:r>
      <w:r>
        <w:rPr>
          <w:rFonts w:hint="eastAsia" w:ascii="仿宋_GB2312" w:hAnsi="inherit" w:eastAsia="仿宋_GB2312" w:cs="宋体"/>
          <w:kern w:val="0"/>
          <w:sz w:val="32"/>
          <w:szCs w:val="32"/>
        </w:rPr>
        <w:t>更清楚地感受到了党和政府关心关怀，同时，充分发挥了退役军人工作工作在保障和改善民生、解决社会问题、化解社会矛盾、促进社会和谐方面的重要作用。</w:t>
      </w:r>
      <w:r>
        <w:rPr>
          <w:rFonts w:hint="eastAsia" w:ascii="仿宋_GB2312" w:hAnsi="仿宋_GB2312" w:eastAsia="仿宋_GB2312" w:cs="仿宋_GB2312"/>
          <w:sz w:val="32"/>
          <w:szCs w:val="32"/>
        </w:rPr>
        <w:t>发现的主要问题：预算安排数较实际优抚医疗救助执行有偏差。下一步改进措施：进一步加强费用测算，提高预算编制准确度。</w:t>
      </w:r>
    </w:p>
    <w:tbl>
      <w:tblPr>
        <w:tblStyle w:val="21"/>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hint="eastAsia" w:ascii="宋体" w:hAnsi="宋体" w:eastAsia="宋体" w:cs="宋体"/>
                <w:b/>
                <w:bCs/>
                <w:color w:val="000000"/>
                <w:kern w:val="0"/>
                <w:sz w:val="36"/>
                <w:szCs w:val="36"/>
                <w:lang w:eastAsia="zh-CN"/>
              </w:rPr>
            </w:pPr>
            <w:bookmarkStart w:id="122" w:name="_Hlk51574763"/>
            <w:r>
              <w:rPr>
                <w:rFonts w:hint="eastAsia" w:ascii="宋体" w:hAnsi="宋体" w:cs="宋体"/>
                <w:b/>
                <w:bCs/>
                <w:color w:val="000000"/>
                <w:kern w:val="0"/>
                <w:sz w:val="36"/>
                <w:szCs w:val="36"/>
              </w:rPr>
              <w:t>项目绩效目标完成情况表</w:t>
            </w:r>
          </w:p>
          <w:p>
            <w:pPr>
              <w:widowControl/>
              <w:jc w:val="center"/>
              <w:textAlignment w:val="center"/>
              <w:rPr>
                <w:rFonts w:ascii="宋体" w:cs="宋体"/>
                <w:color w:val="000000"/>
                <w:sz w:val="36"/>
                <w:szCs w:val="36"/>
              </w:rPr>
            </w:pPr>
            <w:r>
              <w:rPr>
                <w:rFonts w:ascii="宋体" w:hAnsi="宋体" w:cs="宋体"/>
                <w:color w:val="000000"/>
                <w:kern w:val="0"/>
                <w:sz w:val="36"/>
                <w:szCs w:val="36"/>
              </w:rPr>
              <w:t xml:space="preserve">(2020 </w:t>
            </w:r>
            <w:r>
              <w:rPr>
                <w:rFonts w:hint="eastAsia" w:ascii="宋体" w:hAnsi="宋体" w:cs="宋体"/>
                <w:color w:val="000000"/>
                <w:kern w:val="0"/>
                <w:sz w:val="36"/>
                <w:szCs w:val="36"/>
              </w:rPr>
              <w:t>年度</w:t>
            </w:r>
            <w:r>
              <w:rPr>
                <w:rFonts w:ascii="宋体" w:hAnsi="宋体" w:cs="宋体"/>
                <w:color w:val="000000"/>
                <w:kern w:val="0"/>
                <w:sz w:val="36"/>
                <w:szCs w:val="36"/>
              </w:rPr>
              <w:t>)</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死亡抚恤金补助</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茂县退役军人事务局</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预算执行情况</w:t>
            </w:r>
            <w:r>
              <w:rPr>
                <w:rFonts w:ascii="宋体" w:hAnsi="宋体" w:cs="宋体"/>
                <w:color w:val="000000"/>
                <w:kern w:val="0"/>
                <w:sz w:val="24"/>
              </w:rPr>
              <w:t>(</w:t>
            </w:r>
            <w:r>
              <w:rPr>
                <w:rFonts w:hint="eastAsia" w:ascii="宋体" w:hAnsi="宋体" w:cs="宋体"/>
                <w:color w:val="000000"/>
                <w:kern w:val="0"/>
                <w:sz w:val="24"/>
              </w:rPr>
              <w:t>万元</w:t>
            </w:r>
            <w:r>
              <w:rPr>
                <w:rFonts w:ascii="宋体" w:hAnsi="宋体" w:cs="宋体"/>
                <w:color w:val="000000"/>
                <w:kern w:val="0"/>
                <w:sz w:val="24"/>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预算数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hAnsi="宋体" w:cs="宋体"/>
                <w:color w:val="000000"/>
                <w:sz w:val="24"/>
              </w:rPr>
              <w:t>140.38</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执行数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hAnsi="宋体" w:cs="宋体"/>
                <w:color w:val="000000"/>
                <w:sz w:val="24"/>
              </w:rPr>
              <w:t>140.38</w:t>
            </w:r>
          </w:p>
        </w:tc>
      </w:tr>
      <w:tr>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其中</w:t>
            </w:r>
            <w:r>
              <w:rPr>
                <w:rFonts w:ascii="宋体" w:cs="宋体"/>
                <w:color w:val="000000"/>
                <w:kern w:val="0"/>
                <w:sz w:val="24"/>
              </w:rPr>
              <w:t>-</w:t>
            </w:r>
            <w:r>
              <w:rPr>
                <w:rFonts w:hint="eastAsia" w:ascii="宋体" w:hAnsi="宋体" w:cs="宋体"/>
                <w:color w:val="000000"/>
                <w:kern w:val="0"/>
                <w:sz w:val="24"/>
              </w:rPr>
              <w:t>财政拨款</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其中</w:t>
            </w:r>
            <w:r>
              <w:rPr>
                <w:rFonts w:ascii="宋体" w:cs="宋体"/>
                <w:color w:val="000000"/>
                <w:kern w:val="0"/>
                <w:sz w:val="24"/>
              </w:rPr>
              <w:t>-</w:t>
            </w:r>
            <w:r>
              <w:rPr>
                <w:rFonts w:hint="eastAsia" w:ascii="宋体" w:hAnsi="宋体" w:cs="宋体"/>
                <w:color w:val="000000"/>
                <w:kern w:val="0"/>
                <w:sz w:val="24"/>
              </w:rPr>
              <w:t>财政拨款</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r>
      <w:tr>
        <w:tblPrEx>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其它资金</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其它资金</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通过发放优抚对象抚恤补助资金，使优抚对象等人员的基本生活得到了有效保障。</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保障了优抚对象的基本生活</w:t>
            </w:r>
          </w:p>
        </w:tc>
      </w:tr>
      <w:tr>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预期指标值</w:t>
            </w:r>
            <w:r>
              <w:rPr>
                <w:rFonts w:ascii="宋体" w:hAnsi="宋体" w:cs="宋体"/>
                <w:color w:val="000000"/>
                <w:kern w:val="0"/>
                <w:sz w:val="24"/>
              </w:rPr>
              <w:t>(</w:t>
            </w:r>
            <w:r>
              <w:rPr>
                <w:rFonts w:hint="eastAsia" w:ascii="宋体" w:hAnsi="宋体" w:cs="宋体"/>
                <w:color w:val="000000"/>
                <w:kern w:val="0"/>
                <w:sz w:val="24"/>
              </w:rPr>
              <w:t>包含数字及文字描述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实际完成指标值</w:t>
            </w:r>
            <w:r>
              <w:rPr>
                <w:rFonts w:ascii="宋体" w:hAnsi="宋体" w:cs="宋体"/>
                <w:color w:val="000000"/>
                <w:kern w:val="0"/>
                <w:sz w:val="24"/>
              </w:rPr>
              <w:t>(</w:t>
            </w:r>
            <w:r>
              <w:rPr>
                <w:rFonts w:hint="eastAsia" w:ascii="宋体" w:hAnsi="宋体" w:cs="宋体"/>
                <w:color w:val="000000"/>
                <w:kern w:val="0"/>
                <w:sz w:val="24"/>
              </w:rPr>
              <w:t>包含数字及文字描述</w:t>
            </w:r>
            <w:r>
              <w:rPr>
                <w:rFonts w:ascii="宋体" w:hAnsi="宋体" w:cs="宋体"/>
                <w:color w:val="000000"/>
                <w:kern w:val="0"/>
                <w:sz w:val="24"/>
              </w:rPr>
              <w:t>)</w:t>
            </w:r>
          </w:p>
        </w:tc>
      </w:tr>
      <w:tr>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享受优抚生活补助人数</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根据上一年度人数推算</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hAnsi="宋体" w:cs="宋体"/>
                <w:color w:val="000000"/>
                <w:sz w:val="24"/>
              </w:rPr>
              <w:t>2020</w:t>
            </w:r>
            <w:r>
              <w:rPr>
                <w:rFonts w:hint="eastAsia" w:ascii="宋体" w:hAnsi="宋体" w:cs="宋体"/>
                <w:color w:val="000000"/>
                <w:sz w:val="24"/>
              </w:rPr>
              <w:t>年共计发放补助</w:t>
            </w:r>
            <w:r>
              <w:rPr>
                <w:rFonts w:ascii="宋体" w:hAnsi="宋体" w:cs="宋体"/>
                <w:color w:val="000000"/>
                <w:sz w:val="24"/>
              </w:rPr>
              <w:t>648</w:t>
            </w:r>
            <w:r>
              <w:rPr>
                <w:rFonts w:hint="eastAsia" w:ascii="宋体" w:hAnsi="宋体" w:cs="宋体"/>
                <w:color w:val="000000"/>
                <w:sz w:val="24"/>
              </w:rPr>
              <w:t>人次</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发放救助资金与政策相关比率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hAnsi="宋体" w:cs="宋体"/>
                <w:color w:val="000000"/>
                <w:sz w:val="24"/>
              </w:rPr>
              <w:t>1</w:t>
            </w:r>
            <w:r>
              <w:rPr>
                <w:rFonts w:ascii="宋体" w:cs="宋体"/>
                <w:color w:val="000000"/>
                <w:sz w:val="24"/>
              </w:rPr>
              <w:t>00</w:t>
            </w:r>
            <w:r>
              <w:rPr>
                <w:rFonts w:ascii="宋体" w:hAnsi="宋体" w:cs="宋体"/>
                <w:color w:val="00000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hAnsi="宋体" w:cs="宋体"/>
                <w:color w:val="000000"/>
                <w:sz w:val="24"/>
              </w:rPr>
              <w:t>1</w:t>
            </w:r>
            <w:r>
              <w:rPr>
                <w:rFonts w:ascii="宋体" w:cs="宋体"/>
                <w:color w:val="000000"/>
                <w:sz w:val="24"/>
              </w:rPr>
              <w:t>00</w:t>
            </w:r>
            <w:r>
              <w:rPr>
                <w:rFonts w:hint="eastAsia" w:ascii="宋体" w:hAnsi="宋体" w:cs="宋体"/>
                <w:color w:val="000000"/>
                <w:sz w:val="24"/>
              </w:rPr>
              <w:t>%</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资金拨付级时率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按实际拨付</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支付率</w:t>
            </w:r>
            <w:r>
              <w:rPr>
                <w:rFonts w:ascii="宋体" w:hAnsi="宋体" w:cs="宋体"/>
                <w:color w:val="000000"/>
                <w:sz w:val="24"/>
              </w:rPr>
              <w:t>1</w:t>
            </w:r>
            <w:r>
              <w:rPr>
                <w:rFonts w:ascii="宋体" w:cs="宋体"/>
                <w:color w:val="000000"/>
                <w:sz w:val="24"/>
              </w:rPr>
              <w:t>00</w:t>
            </w:r>
            <w:r>
              <w:rPr>
                <w:rFonts w:ascii="宋体" w:hAnsi="宋体" w:cs="宋体"/>
                <w:color w:val="000000"/>
                <w:sz w:val="24"/>
              </w:rPr>
              <w:t>%</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社会效益指标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促进社会和谐</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效果显著</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效果显著</w:t>
            </w:r>
          </w:p>
        </w:tc>
      </w:tr>
      <w:tr>
        <w:tblPrEx>
          <w:tblCellMar>
            <w:top w:w="0" w:type="dxa"/>
            <w:left w:w="0" w:type="dxa"/>
            <w:bottom w:w="0" w:type="dxa"/>
            <w:right w:w="0" w:type="dxa"/>
          </w:tblCellMar>
        </w:tblPrEx>
        <w:trPr>
          <w:trHeight w:val="1050" w:hRule="atLeast"/>
          <w:jc w:val="center"/>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优抚对象满意度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ind w:firstLine="760" w:firstLineChars="400"/>
              <w:jc w:val="left"/>
            </w:pPr>
            <w:r>
              <w:rPr>
                <w:rFonts w:ascii="TimesNewRomanPSMT" w:hAnsi="TimesNewRomanPSMT" w:cs="TimesNewRomanPSMT"/>
                <w:color w:val="000000"/>
                <w:kern w:val="0"/>
                <w:sz w:val="19"/>
                <w:szCs w:val="19"/>
              </w:rPr>
              <w:t>&gt;100%</w:t>
            </w:r>
          </w:p>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ind w:firstLine="760" w:firstLineChars="400"/>
              <w:jc w:val="left"/>
            </w:pPr>
            <w:r>
              <w:rPr>
                <w:rFonts w:ascii="TimesNewRomanPSMT" w:hAnsi="TimesNewRomanPSMT" w:cs="TimesNewRomanPSMT"/>
                <w:color w:val="000000"/>
                <w:kern w:val="0"/>
                <w:sz w:val="19"/>
                <w:szCs w:val="19"/>
              </w:rPr>
              <w:t>&gt;100%</w:t>
            </w:r>
          </w:p>
          <w:p>
            <w:pPr>
              <w:widowControl/>
              <w:jc w:val="center"/>
              <w:textAlignment w:val="center"/>
              <w:rPr>
                <w:rFonts w:ascii="宋体" w:cs="宋体"/>
                <w:color w:val="000000"/>
                <w:sz w:val="24"/>
              </w:rPr>
            </w:pPr>
          </w:p>
        </w:tc>
      </w:tr>
      <w:bookmarkEnd w:id="122"/>
      <w:tr>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hint="eastAsia" w:ascii="宋体" w:hAnsi="宋体" w:eastAsia="宋体" w:cs="宋体"/>
                <w:b/>
                <w:bCs/>
                <w:color w:val="000000"/>
                <w:kern w:val="0"/>
                <w:sz w:val="36"/>
                <w:szCs w:val="36"/>
                <w:lang w:eastAsia="zh-CN"/>
              </w:rPr>
            </w:pPr>
            <w:r>
              <w:rPr>
                <w:rFonts w:hint="eastAsia" w:ascii="宋体" w:hAnsi="宋体" w:cs="宋体"/>
                <w:b/>
                <w:bCs/>
                <w:color w:val="000000"/>
                <w:kern w:val="0"/>
                <w:sz w:val="36"/>
                <w:szCs w:val="36"/>
              </w:rPr>
              <w:t>项目绩效目标完成情况表</w:t>
            </w:r>
          </w:p>
          <w:p>
            <w:pPr>
              <w:widowControl/>
              <w:jc w:val="center"/>
              <w:textAlignment w:val="center"/>
              <w:rPr>
                <w:rFonts w:ascii="宋体" w:cs="宋体"/>
                <w:color w:val="000000"/>
                <w:sz w:val="36"/>
                <w:szCs w:val="36"/>
              </w:rPr>
            </w:pPr>
            <w:r>
              <w:rPr>
                <w:rFonts w:ascii="宋体" w:hAnsi="宋体" w:cs="宋体"/>
                <w:color w:val="000000"/>
                <w:kern w:val="0"/>
                <w:sz w:val="36"/>
                <w:szCs w:val="36"/>
              </w:rPr>
              <w:t xml:space="preserve">(2020 </w:t>
            </w:r>
            <w:r>
              <w:rPr>
                <w:rFonts w:hint="eastAsia" w:ascii="宋体" w:hAnsi="宋体" w:cs="宋体"/>
                <w:color w:val="000000"/>
                <w:kern w:val="0"/>
                <w:sz w:val="36"/>
                <w:szCs w:val="36"/>
              </w:rPr>
              <w:t>年度</w:t>
            </w:r>
            <w:r>
              <w:rPr>
                <w:rFonts w:ascii="宋体" w:hAnsi="宋体" w:cs="宋体"/>
                <w:color w:val="000000"/>
                <w:kern w:val="0"/>
                <w:sz w:val="36"/>
                <w:szCs w:val="36"/>
              </w:rPr>
              <w:t>)</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优抚对象医疗补助</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茂县退役军人事务局</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预算执行情况</w:t>
            </w:r>
            <w:r>
              <w:rPr>
                <w:rFonts w:ascii="宋体" w:hAnsi="宋体" w:cs="宋体"/>
                <w:color w:val="000000"/>
                <w:kern w:val="0"/>
                <w:sz w:val="24"/>
              </w:rPr>
              <w:t>(</w:t>
            </w:r>
            <w:r>
              <w:rPr>
                <w:rFonts w:hint="eastAsia" w:ascii="宋体" w:hAnsi="宋体" w:cs="宋体"/>
                <w:color w:val="000000"/>
                <w:kern w:val="0"/>
                <w:sz w:val="24"/>
              </w:rPr>
              <w:t>万元</w:t>
            </w:r>
            <w:r>
              <w:rPr>
                <w:rFonts w:ascii="宋体" w:hAnsi="宋体" w:cs="宋体"/>
                <w:color w:val="000000"/>
                <w:kern w:val="0"/>
                <w:sz w:val="24"/>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预算数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hAnsi="宋体" w:cs="宋体"/>
                <w:color w:val="000000"/>
                <w:sz w:val="24"/>
              </w:rPr>
              <w:t>6.48</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执行数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hAnsi="宋体" w:cs="宋体"/>
                <w:color w:val="000000"/>
                <w:sz w:val="24"/>
              </w:rPr>
              <w:t>6.48</w:t>
            </w:r>
          </w:p>
        </w:tc>
      </w:tr>
      <w:tr>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其中</w:t>
            </w:r>
            <w:r>
              <w:rPr>
                <w:rFonts w:ascii="宋体" w:cs="宋体"/>
                <w:color w:val="000000"/>
                <w:kern w:val="0"/>
                <w:sz w:val="24"/>
              </w:rPr>
              <w:t>-</w:t>
            </w:r>
            <w:r>
              <w:rPr>
                <w:rFonts w:hint="eastAsia" w:ascii="宋体" w:hAnsi="宋体" w:cs="宋体"/>
                <w:color w:val="000000"/>
                <w:kern w:val="0"/>
                <w:sz w:val="24"/>
              </w:rPr>
              <w:t>财政拨款</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其中</w:t>
            </w:r>
            <w:r>
              <w:rPr>
                <w:rFonts w:ascii="宋体" w:cs="宋体"/>
                <w:color w:val="000000"/>
                <w:kern w:val="0"/>
                <w:sz w:val="24"/>
              </w:rPr>
              <w:t>-</w:t>
            </w:r>
            <w:r>
              <w:rPr>
                <w:rFonts w:hint="eastAsia" w:ascii="宋体" w:hAnsi="宋体" w:cs="宋体"/>
                <w:color w:val="000000"/>
                <w:kern w:val="0"/>
                <w:sz w:val="24"/>
              </w:rPr>
              <w:t>财政拨款</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r>
      <w:tr>
        <w:tblPrEx>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其它资金</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其它资金</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通过发放优抚对象医疗补助资金，对优抚参保缴费住院和门诊费用进行补助，有效帮助解决优抚医疗难问题</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仿宋_GB2312" w:hAnsi="宋体" w:eastAsia="仿宋_GB2312" w:cs="宋体"/>
                <w:kern w:val="0"/>
                <w:sz w:val="24"/>
              </w:rPr>
              <w:t>保障了优抚对象医疗补助资金，对优抚</w:t>
            </w:r>
            <w:r>
              <w:rPr>
                <w:rFonts w:hint="eastAsia" w:ascii="仿宋_GB2312" w:hAnsi="仿宋_GB2312" w:eastAsia="仿宋_GB2312" w:cs="仿宋_GB2312"/>
                <w:sz w:val="24"/>
              </w:rPr>
              <w:t>参保</w:t>
            </w:r>
            <w:r>
              <w:rPr>
                <w:rFonts w:hint="eastAsia" w:ascii="仿宋_GB2312" w:hAnsi="宋体" w:eastAsia="仿宋_GB2312" w:cs="宋体"/>
                <w:kern w:val="0"/>
                <w:sz w:val="24"/>
              </w:rPr>
              <w:t>缴费住院和门诊费用进行补助，有效帮助解决优抚医疗难问题</w:t>
            </w:r>
          </w:p>
        </w:tc>
      </w:tr>
      <w:tr>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预期指标值</w:t>
            </w:r>
            <w:r>
              <w:rPr>
                <w:rFonts w:ascii="宋体" w:hAnsi="宋体" w:cs="宋体"/>
                <w:color w:val="000000"/>
                <w:kern w:val="0"/>
                <w:sz w:val="24"/>
              </w:rPr>
              <w:t>(</w:t>
            </w:r>
            <w:r>
              <w:rPr>
                <w:rFonts w:hint="eastAsia" w:ascii="宋体" w:hAnsi="宋体" w:cs="宋体"/>
                <w:color w:val="000000"/>
                <w:kern w:val="0"/>
                <w:sz w:val="24"/>
              </w:rPr>
              <w:t>包含数字及文字描述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实际完成指标值</w:t>
            </w:r>
            <w:r>
              <w:rPr>
                <w:rFonts w:ascii="宋体" w:hAnsi="宋体" w:cs="宋体"/>
                <w:color w:val="000000"/>
                <w:kern w:val="0"/>
                <w:sz w:val="24"/>
              </w:rPr>
              <w:t>(</w:t>
            </w:r>
            <w:r>
              <w:rPr>
                <w:rFonts w:hint="eastAsia" w:ascii="宋体" w:hAnsi="宋体" w:cs="宋体"/>
                <w:color w:val="000000"/>
                <w:kern w:val="0"/>
                <w:sz w:val="24"/>
              </w:rPr>
              <w:t>包含数字及文字描述</w:t>
            </w:r>
            <w:r>
              <w:rPr>
                <w:rFonts w:ascii="宋体" w:hAnsi="宋体" w:cs="宋体"/>
                <w:color w:val="000000"/>
                <w:kern w:val="0"/>
                <w:sz w:val="24"/>
              </w:rPr>
              <w:t>)</w:t>
            </w:r>
          </w:p>
        </w:tc>
      </w:tr>
      <w:tr>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享受优抚医疗补助人数</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根据上一年度人数推算</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hAnsi="宋体" w:cs="宋体"/>
                <w:color w:val="000000"/>
                <w:sz w:val="24"/>
              </w:rPr>
              <w:t>2020</w:t>
            </w:r>
            <w:r>
              <w:rPr>
                <w:rFonts w:hint="eastAsia" w:ascii="宋体" w:hAnsi="宋体" w:cs="宋体"/>
                <w:color w:val="000000"/>
                <w:sz w:val="24"/>
              </w:rPr>
              <w:t>年共计发放补助</w:t>
            </w:r>
            <w:r>
              <w:rPr>
                <w:rFonts w:ascii="宋体" w:hAnsi="宋体" w:cs="宋体"/>
                <w:color w:val="000000"/>
                <w:sz w:val="24"/>
              </w:rPr>
              <w:t>16</w:t>
            </w:r>
            <w:r>
              <w:rPr>
                <w:rFonts w:hint="eastAsia" w:ascii="宋体" w:hAnsi="宋体" w:cs="宋体"/>
                <w:color w:val="000000"/>
                <w:sz w:val="24"/>
              </w:rPr>
              <w:t>人次</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发放救助资金与政策相关比率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hAnsi="宋体" w:cs="宋体"/>
                <w:color w:val="000000"/>
                <w:sz w:val="24"/>
              </w:rPr>
              <w:t>1</w:t>
            </w:r>
            <w:r>
              <w:rPr>
                <w:rFonts w:ascii="宋体" w:cs="宋体"/>
                <w:color w:val="000000"/>
                <w:sz w:val="24"/>
              </w:rPr>
              <w:t>00</w:t>
            </w:r>
            <w:r>
              <w:rPr>
                <w:rFonts w:ascii="宋体" w:hAnsi="宋体" w:cs="宋体"/>
                <w:color w:val="00000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hAnsi="宋体" w:cs="宋体"/>
                <w:color w:val="000000"/>
                <w:sz w:val="24"/>
              </w:rPr>
              <w:t>1</w:t>
            </w:r>
            <w:r>
              <w:rPr>
                <w:rFonts w:ascii="宋体" w:cs="宋体"/>
                <w:color w:val="000000"/>
                <w:sz w:val="24"/>
              </w:rPr>
              <w:t>00</w:t>
            </w:r>
            <w:r>
              <w:rPr>
                <w:rFonts w:hint="eastAsia" w:ascii="宋体" w:hAnsi="宋体" w:cs="宋体"/>
                <w:color w:val="000000"/>
                <w:sz w:val="24"/>
              </w:rPr>
              <w:t>%</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资金拨付级时率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按实际拨付</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支付率</w:t>
            </w:r>
            <w:r>
              <w:rPr>
                <w:rFonts w:ascii="宋体" w:hAnsi="宋体" w:cs="宋体"/>
                <w:color w:val="000000"/>
                <w:sz w:val="24"/>
              </w:rPr>
              <w:t>1</w:t>
            </w:r>
            <w:r>
              <w:rPr>
                <w:rFonts w:ascii="宋体" w:cs="宋体"/>
                <w:color w:val="000000"/>
                <w:sz w:val="24"/>
              </w:rPr>
              <w:t>00</w:t>
            </w:r>
            <w:r>
              <w:rPr>
                <w:rFonts w:ascii="宋体" w:hAnsi="宋体" w:cs="宋体"/>
                <w:color w:val="000000"/>
                <w:sz w:val="24"/>
              </w:rPr>
              <w:t>%</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社会效益指标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促进社会和谐</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效果显著</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效果显著</w:t>
            </w:r>
          </w:p>
        </w:tc>
      </w:tr>
      <w:tr>
        <w:tblPrEx>
          <w:tblCellMar>
            <w:top w:w="0" w:type="dxa"/>
            <w:left w:w="0" w:type="dxa"/>
            <w:bottom w:w="0" w:type="dxa"/>
            <w:right w:w="0" w:type="dxa"/>
          </w:tblCellMar>
        </w:tblPrEx>
        <w:trPr>
          <w:trHeight w:val="1050" w:hRule="atLeast"/>
          <w:jc w:val="center"/>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优抚对象满意度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ind w:firstLine="760" w:firstLineChars="400"/>
              <w:jc w:val="left"/>
            </w:pPr>
            <w:r>
              <w:rPr>
                <w:rFonts w:ascii="TimesNewRomanPSMT" w:hAnsi="TimesNewRomanPSMT" w:cs="TimesNewRomanPSMT"/>
                <w:color w:val="000000"/>
                <w:kern w:val="0"/>
                <w:sz w:val="19"/>
                <w:szCs w:val="19"/>
              </w:rPr>
              <w:t>&gt;100%</w:t>
            </w:r>
          </w:p>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ind w:firstLine="760" w:firstLineChars="400"/>
              <w:jc w:val="left"/>
            </w:pPr>
            <w:r>
              <w:rPr>
                <w:rFonts w:ascii="TimesNewRomanPSMT" w:hAnsi="TimesNewRomanPSMT" w:cs="TimesNewRomanPSMT"/>
                <w:color w:val="000000"/>
                <w:kern w:val="0"/>
                <w:sz w:val="19"/>
                <w:szCs w:val="19"/>
              </w:rPr>
              <w:t>&gt;100%</w:t>
            </w:r>
          </w:p>
          <w:p>
            <w:pPr>
              <w:widowControl/>
              <w:jc w:val="center"/>
              <w:textAlignment w:val="center"/>
              <w:rPr>
                <w:rFonts w:ascii="宋体" w:cs="宋体"/>
                <w:color w:val="000000"/>
                <w:sz w:val="24"/>
              </w:rPr>
            </w:pPr>
          </w:p>
        </w:tc>
      </w:tr>
      <w:tr>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hint="eastAsia" w:ascii="宋体" w:hAnsi="宋体" w:eastAsia="宋体" w:cs="宋体"/>
                <w:b/>
                <w:bCs/>
                <w:color w:val="000000"/>
                <w:kern w:val="0"/>
                <w:sz w:val="36"/>
                <w:szCs w:val="36"/>
                <w:lang w:eastAsia="zh-CN"/>
              </w:rPr>
            </w:pPr>
            <w:r>
              <w:rPr>
                <w:rFonts w:hint="eastAsia" w:ascii="宋体" w:hAnsi="宋体" w:cs="宋体"/>
                <w:b/>
                <w:bCs/>
                <w:color w:val="000000"/>
                <w:kern w:val="0"/>
                <w:sz w:val="36"/>
                <w:szCs w:val="36"/>
              </w:rPr>
              <w:t>项目绩效目标完成情况表</w:t>
            </w:r>
          </w:p>
          <w:p>
            <w:pPr>
              <w:widowControl/>
              <w:jc w:val="center"/>
              <w:textAlignment w:val="center"/>
              <w:rPr>
                <w:rFonts w:ascii="宋体" w:cs="宋体"/>
                <w:color w:val="000000"/>
                <w:sz w:val="36"/>
                <w:szCs w:val="36"/>
              </w:rPr>
            </w:pPr>
            <w:r>
              <w:rPr>
                <w:rFonts w:ascii="宋体" w:hAnsi="宋体" w:cs="宋体"/>
                <w:color w:val="000000"/>
                <w:kern w:val="0"/>
                <w:sz w:val="36"/>
                <w:szCs w:val="36"/>
              </w:rPr>
              <w:t>(2020</w:t>
            </w:r>
            <w:r>
              <w:rPr>
                <w:rFonts w:hint="eastAsia" w:ascii="宋体" w:hAnsi="宋体" w:cs="宋体"/>
                <w:color w:val="000000"/>
                <w:kern w:val="0"/>
                <w:sz w:val="36"/>
                <w:szCs w:val="36"/>
              </w:rPr>
              <w:t>年度</w:t>
            </w:r>
            <w:r>
              <w:rPr>
                <w:rFonts w:ascii="宋体" w:hAnsi="宋体" w:cs="宋体"/>
                <w:color w:val="000000"/>
                <w:kern w:val="0"/>
                <w:sz w:val="36"/>
                <w:szCs w:val="36"/>
              </w:rPr>
              <w:t>)</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在乡复员、退伍军人生活补助</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茂县退役军人事务局</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预算执行情况</w:t>
            </w:r>
            <w:r>
              <w:rPr>
                <w:rFonts w:ascii="宋体" w:hAnsi="宋体" w:cs="宋体"/>
                <w:color w:val="000000"/>
                <w:kern w:val="0"/>
                <w:sz w:val="24"/>
              </w:rPr>
              <w:t>(</w:t>
            </w:r>
            <w:r>
              <w:rPr>
                <w:rFonts w:hint="eastAsia" w:ascii="宋体" w:hAnsi="宋体" w:cs="宋体"/>
                <w:color w:val="000000"/>
                <w:kern w:val="0"/>
                <w:sz w:val="24"/>
              </w:rPr>
              <w:t>万元</w:t>
            </w:r>
            <w:r>
              <w:rPr>
                <w:rFonts w:ascii="宋体" w:hAnsi="宋体" w:cs="宋体"/>
                <w:color w:val="000000"/>
                <w:kern w:val="0"/>
                <w:sz w:val="24"/>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预算数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hAnsi="宋体" w:cs="宋体"/>
                <w:color w:val="000000"/>
                <w:sz w:val="24"/>
              </w:rPr>
              <w:t>157.96</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执行数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hAnsi="宋体" w:cs="宋体"/>
                <w:color w:val="000000"/>
                <w:sz w:val="24"/>
              </w:rPr>
              <w:t>157.96</w:t>
            </w:r>
          </w:p>
        </w:tc>
      </w:tr>
      <w:tr>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其中</w:t>
            </w:r>
            <w:r>
              <w:rPr>
                <w:rFonts w:ascii="宋体" w:cs="宋体"/>
                <w:color w:val="000000"/>
                <w:kern w:val="0"/>
                <w:sz w:val="24"/>
              </w:rPr>
              <w:t>-</w:t>
            </w:r>
            <w:r>
              <w:rPr>
                <w:rFonts w:hint="eastAsia" w:ascii="宋体" w:hAnsi="宋体" w:cs="宋体"/>
                <w:color w:val="000000"/>
                <w:kern w:val="0"/>
                <w:sz w:val="24"/>
              </w:rPr>
              <w:t>财政拨款</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其中</w:t>
            </w:r>
            <w:r>
              <w:rPr>
                <w:rFonts w:ascii="宋体" w:cs="宋体"/>
                <w:color w:val="000000"/>
                <w:kern w:val="0"/>
                <w:sz w:val="24"/>
              </w:rPr>
              <w:t>-</w:t>
            </w:r>
            <w:r>
              <w:rPr>
                <w:rFonts w:hint="eastAsia" w:ascii="宋体" w:hAnsi="宋体" w:cs="宋体"/>
                <w:color w:val="000000"/>
                <w:kern w:val="0"/>
                <w:sz w:val="24"/>
              </w:rPr>
              <w:t>财政拨款</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r>
      <w:tr>
        <w:tblPrEx>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其它资金</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其它资金</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通过发放在乡复员军人和退伍军人补助资金，使在乡复员军人和退伍军人的基本生活得到了有效保障。</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保障了在乡复员军人和退伍军人的基本生活</w:t>
            </w:r>
          </w:p>
        </w:tc>
      </w:tr>
      <w:tr>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预期指标值</w:t>
            </w:r>
            <w:r>
              <w:rPr>
                <w:rFonts w:ascii="宋体" w:hAnsi="宋体" w:cs="宋体"/>
                <w:color w:val="000000"/>
                <w:sz w:val="24"/>
              </w:rPr>
              <w:t>(</w:t>
            </w:r>
            <w:r>
              <w:rPr>
                <w:rFonts w:hint="eastAsia" w:ascii="宋体" w:hAnsi="宋体" w:cs="宋体"/>
                <w:color w:val="000000"/>
                <w:sz w:val="24"/>
              </w:rPr>
              <w:t>包含数字及文字描述</w:t>
            </w:r>
            <w:r>
              <w:rPr>
                <w:rFonts w:ascii="宋体" w:hAnsi="宋体" w:cs="宋体"/>
                <w:color w:val="00000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实际完成指标值</w:t>
            </w:r>
            <w:r>
              <w:rPr>
                <w:rFonts w:ascii="宋体" w:hAnsi="宋体" w:cs="宋体"/>
                <w:color w:val="000000"/>
                <w:sz w:val="24"/>
              </w:rPr>
              <w:t>(</w:t>
            </w:r>
            <w:r>
              <w:rPr>
                <w:rFonts w:hint="eastAsia" w:ascii="宋体" w:hAnsi="宋体" w:cs="宋体"/>
                <w:color w:val="000000"/>
                <w:sz w:val="24"/>
              </w:rPr>
              <w:t>包含数字及文字描述</w:t>
            </w:r>
            <w:r>
              <w:rPr>
                <w:rFonts w:ascii="宋体" w:hAnsi="宋体" w:cs="宋体"/>
                <w:color w:val="000000"/>
                <w:sz w:val="24"/>
              </w:rPr>
              <w:t>)</w:t>
            </w:r>
          </w:p>
        </w:tc>
      </w:tr>
      <w:tr>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享受在乡复员军人和退伍军人生活补助人数</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根据上一年度人数推算</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hAnsi="宋体" w:cs="宋体"/>
                <w:color w:val="000000"/>
                <w:sz w:val="24"/>
              </w:rPr>
              <w:t>2020</w:t>
            </w:r>
            <w:r>
              <w:rPr>
                <w:rFonts w:hint="eastAsia" w:ascii="宋体" w:hAnsi="宋体" w:cs="宋体"/>
                <w:color w:val="000000"/>
                <w:sz w:val="24"/>
              </w:rPr>
              <w:t>年共计发放补助</w:t>
            </w:r>
            <w:r>
              <w:rPr>
                <w:rFonts w:ascii="宋体" w:hAnsi="宋体" w:cs="宋体"/>
                <w:color w:val="000000"/>
                <w:sz w:val="24"/>
              </w:rPr>
              <w:t>1380</w:t>
            </w:r>
            <w:r>
              <w:rPr>
                <w:rFonts w:hint="eastAsia" w:ascii="宋体" w:hAnsi="宋体" w:cs="宋体"/>
                <w:color w:val="000000"/>
                <w:sz w:val="24"/>
              </w:rPr>
              <w:t>人次</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发放救助资金与政策相关比率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hAnsi="宋体" w:cs="宋体"/>
                <w:color w:val="000000"/>
                <w:sz w:val="24"/>
              </w:rPr>
              <w:t>1</w:t>
            </w:r>
            <w:r>
              <w:rPr>
                <w:rFonts w:ascii="宋体" w:cs="宋体"/>
                <w:color w:val="000000"/>
                <w:sz w:val="24"/>
              </w:rPr>
              <w:t>00</w:t>
            </w:r>
            <w:r>
              <w:rPr>
                <w:rFonts w:ascii="宋体" w:hAnsi="宋体" w:cs="宋体"/>
                <w:color w:val="00000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hAnsi="宋体" w:cs="宋体"/>
                <w:color w:val="000000"/>
                <w:sz w:val="24"/>
              </w:rPr>
              <w:t>1</w:t>
            </w:r>
            <w:r>
              <w:rPr>
                <w:rFonts w:ascii="宋体" w:cs="宋体"/>
                <w:color w:val="000000"/>
                <w:sz w:val="24"/>
              </w:rPr>
              <w:t>00</w:t>
            </w:r>
            <w:r>
              <w:rPr>
                <w:rFonts w:ascii="宋体" w:hAnsi="宋体" w:cs="宋体"/>
                <w:color w:val="000000"/>
                <w:sz w:val="24"/>
              </w:rPr>
              <w:t>&amp;</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资金拨付级时率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按实际拨付</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支付率</w:t>
            </w:r>
            <w:r>
              <w:rPr>
                <w:rFonts w:ascii="宋体" w:hAnsi="宋体" w:cs="宋体"/>
                <w:color w:val="000000"/>
                <w:sz w:val="24"/>
              </w:rPr>
              <w:t>1</w:t>
            </w:r>
            <w:r>
              <w:rPr>
                <w:rFonts w:ascii="宋体" w:cs="宋体"/>
                <w:color w:val="000000"/>
                <w:sz w:val="24"/>
              </w:rPr>
              <w:t>00</w:t>
            </w:r>
            <w:r>
              <w:rPr>
                <w:rFonts w:ascii="宋体" w:hAnsi="宋体" w:cs="宋体"/>
                <w:color w:val="000000"/>
                <w:sz w:val="24"/>
              </w:rPr>
              <w:t>%</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社会效益指标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促进社会和谐</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效果显著</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效果显著</w:t>
            </w:r>
          </w:p>
        </w:tc>
      </w:tr>
      <w:tr>
        <w:tblPrEx>
          <w:tblCellMar>
            <w:top w:w="0" w:type="dxa"/>
            <w:left w:w="0" w:type="dxa"/>
            <w:bottom w:w="0" w:type="dxa"/>
            <w:right w:w="0" w:type="dxa"/>
          </w:tblCellMar>
        </w:tblPrEx>
        <w:trPr>
          <w:trHeight w:val="1050" w:hRule="atLeast"/>
          <w:jc w:val="center"/>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在乡复员军人和退伍军人满意度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ind w:firstLine="960" w:firstLineChars="400"/>
              <w:jc w:val="left"/>
              <w:rPr>
                <w:rFonts w:ascii="宋体" w:cs="宋体"/>
                <w:color w:val="000000"/>
                <w:sz w:val="24"/>
              </w:rPr>
            </w:pPr>
            <w:r>
              <w:rPr>
                <w:rFonts w:ascii="宋体" w:hAnsi="宋体" w:cs="宋体"/>
                <w:color w:val="000000"/>
                <w:sz w:val="24"/>
              </w:rPr>
              <w:t>&gt;100%</w:t>
            </w:r>
          </w:p>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ind w:firstLine="960" w:firstLineChars="400"/>
              <w:jc w:val="left"/>
              <w:rPr>
                <w:rFonts w:ascii="宋体" w:cs="宋体"/>
                <w:color w:val="000000"/>
                <w:sz w:val="24"/>
              </w:rPr>
            </w:pPr>
            <w:r>
              <w:rPr>
                <w:rFonts w:ascii="宋体" w:hAnsi="宋体" w:cs="宋体"/>
                <w:color w:val="000000"/>
                <w:sz w:val="24"/>
              </w:rPr>
              <w:t>&gt;100%</w:t>
            </w:r>
          </w:p>
          <w:p>
            <w:pPr>
              <w:widowControl/>
              <w:jc w:val="center"/>
              <w:textAlignment w:val="center"/>
              <w:rPr>
                <w:rFonts w:ascii="宋体" w:cs="宋体"/>
                <w:color w:val="000000"/>
                <w:sz w:val="24"/>
              </w:rPr>
            </w:pPr>
          </w:p>
        </w:tc>
      </w:tr>
      <w:tr>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hint="eastAsia" w:ascii="宋体" w:hAnsi="宋体" w:eastAsia="宋体" w:cs="宋体"/>
                <w:b/>
                <w:bCs/>
                <w:color w:val="000000"/>
                <w:kern w:val="0"/>
                <w:sz w:val="36"/>
                <w:szCs w:val="36"/>
                <w:lang w:eastAsia="zh-CN"/>
              </w:rPr>
            </w:pPr>
            <w:r>
              <w:rPr>
                <w:rFonts w:hint="eastAsia" w:ascii="宋体" w:hAnsi="宋体" w:cs="宋体"/>
                <w:b/>
                <w:bCs/>
                <w:color w:val="000000"/>
                <w:kern w:val="0"/>
                <w:sz w:val="36"/>
                <w:szCs w:val="36"/>
              </w:rPr>
              <w:t>项目绩效目标完成情况表</w:t>
            </w:r>
          </w:p>
          <w:p>
            <w:pPr>
              <w:widowControl/>
              <w:jc w:val="center"/>
              <w:textAlignment w:val="center"/>
              <w:rPr>
                <w:rFonts w:ascii="宋体" w:cs="宋体"/>
                <w:color w:val="000000"/>
                <w:sz w:val="36"/>
                <w:szCs w:val="36"/>
              </w:rPr>
            </w:pPr>
            <w:r>
              <w:rPr>
                <w:rFonts w:ascii="宋体" w:hAnsi="宋体" w:cs="宋体"/>
                <w:color w:val="000000"/>
                <w:kern w:val="0"/>
                <w:sz w:val="36"/>
                <w:szCs w:val="36"/>
              </w:rPr>
              <w:t xml:space="preserve">(2020 </w:t>
            </w:r>
            <w:r>
              <w:rPr>
                <w:rFonts w:hint="eastAsia" w:ascii="宋体" w:hAnsi="宋体" w:cs="宋体"/>
                <w:color w:val="000000"/>
                <w:kern w:val="0"/>
                <w:sz w:val="36"/>
                <w:szCs w:val="36"/>
              </w:rPr>
              <w:t>年度</w:t>
            </w:r>
            <w:r>
              <w:rPr>
                <w:rFonts w:ascii="宋体" w:hAnsi="宋体" w:cs="宋体"/>
                <w:color w:val="000000"/>
                <w:kern w:val="0"/>
                <w:sz w:val="36"/>
                <w:szCs w:val="36"/>
              </w:rPr>
              <w:t>)</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伤残抚恤金补助</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茂县退役军人事务局</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预算执行情况</w:t>
            </w:r>
            <w:r>
              <w:rPr>
                <w:rFonts w:ascii="宋体" w:hAnsi="宋体" w:cs="宋体"/>
                <w:color w:val="000000"/>
                <w:kern w:val="0"/>
                <w:sz w:val="24"/>
              </w:rPr>
              <w:t>(</w:t>
            </w:r>
            <w:r>
              <w:rPr>
                <w:rFonts w:hint="eastAsia" w:ascii="宋体" w:hAnsi="宋体" w:cs="宋体"/>
                <w:color w:val="000000"/>
                <w:kern w:val="0"/>
                <w:sz w:val="24"/>
              </w:rPr>
              <w:t>万元</w:t>
            </w:r>
            <w:r>
              <w:rPr>
                <w:rFonts w:ascii="宋体" w:hAnsi="宋体" w:cs="宋体"/>
                <w:color w:val="000000"/>
                <w:kern w:val="0"/>
                <w:sz w:val="24"/>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预算数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hAnsi="宋体" w:cs="宋体"/>
                <w:color w:val="000000"/>
                <w:sz w:val="24"/>
              </w:rPr>
              <w:t>48.79</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执行数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hAnsi="宋体" w:cs="宋体"/>
                <w:color w:val="000000"/>
                <w:sz w:val="24"/>
              </w:rPr>
              <w:t>48.79</w:t>
            </w:r>
          </w:p>
        </w:tc>
      </w:tr>
      <w:tr>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其中</w:t>
            </w:r>
            <w:r>
              <w:rPr>
                <w:rFonts w:ascii="宋体" w:cs="宋体"/>
                <w:color w:val="000000"/>
                <w:kern w:val="0"/>
                <w:sz w:val="24"/>
              </w:rPr>
              <w:t>-</w:t>
            </w:r>
            <w:r>
              <w:rPr>
                <w:rFonts w:hint="eastAsia" w:ascii="宋体" w:hAnsi="宋体" w:cs="宋体"/>
                <w:color w:val="000000"/>
                <w:kern w:val="0"/>
                <w:sz w:val="24"/>
              </w:rPr>
              <w:t>财政拨款</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其中</w:t>
            </w:r>
            <w:r>
              <w:rPr>
                <w:rFonts w:ascii="宋体" w:cs="宋体"/>
                <w:color w:val="000000"/>
                <w:kern w:val="0"/>
                <w:sz w:val="24"/>
              </w:rPr>
              <w:t>-</w:t>
            </w:r>
            <w:r>
              <w:rPr>
                <w:rFonts w:hint="eastAsia" w:ascii="宋体" w:hAnsi="宋体" w:cs="宋体"/>
                <w:color w:val="000000"/>
                <w:kern w:val="0"/>
                <w:sz w:val="24"/>
              </w:rPr>
              <w:t>财政拨款</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r>
      <w:tr>
        <w:tblPrEx>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其它资金</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其它资金</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通过发放优抚对象伤残补助资金，使优抚对象等人员的基本生活得到了有效保障。</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保障了优抚对象的基本生活</w:t>
            </w:r>
          </w:p>
        </w:tc>
      </w:tr>
      <w:tr>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预期指标值</w:t>
            </w:r>
            <w:r>
              <w:rPr>
                <w:rFonts w:ascii="宋体" w:hAnsi="宋体" w:cs="宋体"/>
                <w:color w:val="000000"/>
                <w:kern w:val="0"/>
                <w:sz w:val="24"/>
              </w:rPr>
              <w:t>(</w:t>
            </w:r>
            <w:r>
              <w:rPr>
                <w:rFonts w:hint="eastAsia" w:ascii="宋体" w:hAnsi="宋体" w:cs="宋体"/>
                <w:color w:val="000000"/>
                <w:kern w:val="0"/>
                <w:sz w:val="24"/>
              </w:rPr>
              <w:t>包含数字及文字描述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实际完成指标值</w:t>
            </w:r>
            <w:r>
              <w:rPr>
                <w:rFonts w:ascii="宋体" w:hAnsi="宋体" w:cs="宋体"/>
                <w:color w:val="000000"/>
                <w:kern w:val="0"/>
                <w:sz w:val="24"/>
              </w:rPr>
              <w:t>(</w:t>
            </w:r>
            <w:r>
              <w:rPr>
                <w:rFonts w:hint="eastAsia" w:ascii="宋体" w:hAnsi="宋体" w:cs="宋体"/>
                <w:color w:val="000000"/>
                <w:kern w:val="0"/>
                <w:sz w:val="24"/>
              </w:rPr>
              <w:t>包含数字及文字描述</w:t>
            </w:r>
            <w:r>
              <w:rPr>
                <w:rFonts w:ascii="宋体" w:hAnsi="宋体" w:cs="宋体"/>
                <w:color w:val="000000"/>
                <w:kern w:val="0"/>
                <w:sz w:val="24"/>
              </w:rPr>
              <w:t>)</w:t>
            </w:r>
          </w:p>
        </w:tc>
      </w:tr>
      <w:tr>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享受优抚生活补助人数</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根据上一年度人数推算</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hAnsi="宋体" w:cs="宋体"/>
                <w:color w:val="000000"/>
                <w:sz w:val="24"/>
              </w:rPr>
              <w:t>2020</w:t>
            </w:r>
            <w:r>
              <w:rPr>
                <w:rFonts w:hint="eastAsia" w:ascii="宋体" w:hAnsi="宋体" w:cs="宋体"/>
                <w:color w:val="000000"/>
                <w:sz w:val="24"/>
              </w:rPr>
              <w:t>年共计发放补助</w:t>
            </w:r>
            <w:r>
              <w:rPr>
                <w:rFonts w:ascii="宋体" w:hAnsi="宋体" w:cs="宋体"/>
                <w:color w:val="000000"/>
                <w:sz w:val="24"/>
              </w:rPr>
              <w:t>276</w:t>
            </w:r>
            <w:r>
              <w:rPr>
                <w:rFonts w:hint="eastAsia" w:ascii="宋体" w:hAnsi="宋体" w:cs="宋体"/>
                <w:color w:val="000000"/>
                <w:sz w:val="24"/>
              </w:rPr>
              <w:t>人次</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发放救助资金与政策相关比率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hAnsi="宋体" w:cs="宋体"/>
                <w:color w:val="000000"/>
                <w:sz w:val="24"/>
              </w:rPr>
              <w:t>1</w:t>
            </w:r>
            <w:r>
              <w:rPr>
                <w:rFonts w:ascii="宋体" w:cs="宋体"/>
                <w:color w:val="000000"/>
                <w:sz w:val="24"/>
              </w:rPr>
              <w:t>00</w:t>
            </w:r>
            <w:r>
              <w:rPr>
                <w:rFonts w:ascii="宋体" w:hAnsi="宋体" w:cs="宋体"/>
                <w:color w:val="00000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hAnsi="宋体" w:cs="宋体"/>
                <w:color w:val="000000"/>
                <w:sz w:val="24"/>
              </w:rPr>
              <w:t>1</w:t>
            </w:r>
            <w:r>
              <w:rPr>
                <w:rFonts w:ascii="宋体" w:cs="宋体"/>
                <w:color w:val="000000"/>
                <w:sz w:val="24"/>
              </w:rPr>
              <w:t>00</w:t>
            </w:r>
            <w:r>
              <w:rPr>
                <w:rFonts w:ascii="宋体" w:hAnsi="宋体" w:cs="宋体"/>
                <w:color w:val="000000"/>
                <w:sz w:val="24"/>
              </w:rPr>
              <w:t>&amp;</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资金拨付级时率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按实际拨付</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支付率</w:t>
            </w:r>
            <w:r>
              <w:rPr>
                <w:rFonts w:ascii="宋体" w:hAnsi="宋体" w:cs="宋体"/>
                <w:color w:val="000000"/>
                <w:sz w:val="24"/>
              </w:rPr>
              <w:t>1</w:t>
            </w:r>
            <w:r>
              <w:rPr>
                <w:rFonts w:ascii="宋体" w:cs="宋体"/>
                <w:color w:val="000000"/>
                <w:sz w:val="24"/>
              </w:rPr>
              <w:t>00</w:t>
            </w:r>
            <w:r>
              <w:rPr>
                <w:rFonts w:ascii="宋体" w:hAnsi="宋体" w:cs="宋体"/>
                <w:color w:val="000000"/>
                <w:sz w:val="24"/>
              </w:rPr>
              <w:t>%</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社会效益指标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促进社会和谐</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效果显著</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效果显著</w:t>
            </w:r>
          </w:p>
        </w:tc>
      </w:tr>
      <w:tr>
        <w:tblPrEx>
          <w:tblCellMar>
            <w:top w:w="0" w:type="dxa"/>
            <w:left w:w="0" w:type="dxa"/>
            <w:bottom w:w="0" w:type="dxa"/>
            <w:right w:w="0" w:type="dxa"/>
          </w:tblCellMar>
        </w:tblPrEx>
        <w:trPr>
          <w:trHeight w:val="1050" w:hRule="atLeast"/>
          <w:jc w:val="center"/>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优抚对象满意度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ind w:firstLine="760" w:firstLineChars="400"/>
              <w:jc w:val="left"/>
            </w:pPr>
            <w:r>
              <w:rPr>
                <w:rFonts w:ascii="TimesNewRomanPSMT" w:hAnsi="TimesNewRomanPSMT" w:cs="TimesNewRomanPSMT"/>
                <w:color w:val="000000"/>
                <w:kern w:val="0"/>
                <w:sz w:val="19"/>
                <w:szCs w:val="19"/>
              </w:rPr>
              <w:t>&gt;100%</w:t>
            </w:r>
          </w:p>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ind w:firstLine="760" w:firstLineChars="400"/>
              <w:jc w:val="left"/>
            </w:pPr>
            <w:r>
              <w:rPr>
                <w:rFonts w:ascii="TimesNewRomanPSMT" w:hAnsi="TimesNewRomanPSMT" w:cs="TimesNewRomanPSMT"/>
                <w:color w:val="000000"/>
                <w:kern w:val="0"/>
                <w:sz w:val="19"/>
                <w:szCs w:val="19"/>
              </w:rPr>
              <w:t>&gt;100%</w:t>
            </w:r>
          </w:p>
          <w:p>
            <w:pPr>
              <w:widowControl/>
              <w:jc w:val="center"/>
              <w:textAlignment w:val="center"/>
              <w:rPr>
                <w:rFonts w:ascii="宋体" w:cs="宋体"/>
                <w:color w:val="000000"/>
                <w:sz w:val="24"/>
              </w:rPr>
            </w:pPr>
          </w:p>
        </w:tc>
      </w:tr>
      <w:tr>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hint="eastAsia" w:ascii="宋体" w:hAnsi="宋体" w:eastAsia="宋体" w:cs="宋体"/>
                <w:b/>
                <w:bCs/>
                <w:color w:val="000000"/>
                <w:kern w:val="0"/>
                <w:sz w:val="36"/>
                <w:szCs w:val="36"/>
                <w:lang w:eastAsia="zh-CN"/>
              </w:rPr>
            </w:pPr>
            <w:r>
              <w:rPr>
                <w:rFonts w:hint="eastAsia" w:ascii="宋体" w:hAnsi="宋体" w:cs="宋体"/>
                <w:b/>
                <w:bCs/>
                <w:color w:val="000000"/>
                <w:kern w:val="0"/>
                <w:sz w:val="36"/>
                <w:szCs w:val="36"/>
              </w:rPr>
              <w:t>项目绩效目标完成情况表</w:t>
            </w:r>
          </w:p>
          <w:p>
            <w:pPr>
              <w:widowControl/>
              <w:jc w:val="center"/>
              <w:textAlignment w:val="center"/>
              <w:rPr>
                <w:rFonts w:ascii="宋体" w:cs="宋体"/>
                <w:color w:val="000000"/>
                <w:sz w:val="36"/>
                <w:szCs w:val="36"/>
              </w:rPr>
            </w:pPr>
            <w:r>
              <w:rPr>
                <w:rFonts w:ascii="宋体" w:hAnsi="宋体" w:cs="宋体"/>
                <w:color w:val="000000"/>
                <w:kern w:val="0"/>
                <w:sz w:val="36"/>
                <w:szCs w:val="36"/>
              </w:rPr>
              <w:t>(2020</w:t>
            </w:r>
            <w:r>
              <w:rPr>
                <w:rFonts w:hint="eastAsia" w:ascii="宋体" w:hAnsi="宋体" w:cs="宋体"/>
                <w:color w:val="000000"/>
                <w:kern w:val="0"/>
                <w:sz w:val="36"/>
                <w:szCs w:val="36"/>
              </w:rPr>
              <w:t>年度</w:t>
            </w:r>
            <w:r>
              <w:rPr>
                <w:rFonts w:ascii="宋体" w:hAnsi="宋体" w:cs="宋体"/>
                <w:color w:val="000000"/>
                <w:kern w:val="0"/>
                <w:sz w:val="36"/>
                <w:szCs w:val="36"/>
              </w:rPr>
              <w:t>)</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军队移交政府的离退休人员安置</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茂县退役军人事务局</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预算执行情况</w:t>
            </w:r>
            <w:r>
              <w:rPr>
                <w:rFonts w:ascii="宋体" w:hAnsi="宋体" w:cs="宋体"/>
                <w:color w:val="000000"/>
                <w:kern w:val="0"/>
                <w:sz w:val="24"/>
              </w:rPr>
              <w:t>(</w:t>
            </w:r>
            <w:r>
              <w:rPr>
                <w:rFonts w:hint="eastAsia" w:ascii="宋体" w:hAnsi="宋体" w:cs="宋体"/>
                <w:color w:val="000000"/>
                <w:kern w:val="0"/>
                <w:sz w:val="24"/>
              </w:rPr>
              <w:t>万元</w:t>
            </w:r>
            <w:r>
              <w:rPr>
                <w:rFonts w:ascii="宋体" w:hAnsi="宋体" w:cs="宋体"/>
                <w:color w:val="000000"/>
                <w:kern w:val="0"/>
                <w:sz w:val="24"/>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预算数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hAnsi="宋体" w:cs="宋体"/>
                <w:color w:val="000000"/>
                <w:sz w:val="24"/>
              </w:rPr>
              <w:t>81.12</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执行数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hAnsi="宋体" w:cs="宋体"/>
                <w:color w:val="000000"/>
                <w:sz w:val="24"/>
              </w:rPr>
              <w:t>81.12</w:t>
            </w:r>
          </w:p>
        </w:tc>
      </w:tr>
      <w:tr>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其中</w:t>
            </w:r>
            <w:r>
              <w:rPr>
                <w:rFonts w:ascii="宋体" w:cs="宋体"/>
                <w:color w:val="000000"/>
                <w:kern w:val="0"/>
                <w:sz w:val="24"/>
              </w:rPr>
              <w:t>-</w:t>
            </w:r>
            <w:r>
              <w:rPr>
                <w:rFonts w:hint="eastAsia" w:ascii="宋体" w:hAnsi="宋体" w:cs="宋体"/>
                <w:color w:val="000000"/>
                <w:kern w:val="0"/>
                <w:sz w:val="24"/>
              </w:rPr>
              <w:t>财政拨款</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其中</w:t>
            </w:r>
            <w:r>
              <w:rPr>
                <w:rFonts w:ascii="宋体" w:cs="宋体"/>
                <w:color w:val="000000"/>
                <w:kern w:val="0"/>
                <w:sz w:val="24"/>
              </w:rPr>
              <w:t>-</w:t>
            </w:r>
            <w:r>
              <w:rPr>
                <w:rFonts w:hint="eastAsia" w:ascii="宋体" w:hAnsi="宋体" w:cs="宋体"/>
                <w:color w:val="000000"/>
                <w:kern w:val="0"/>
                <w:sz w:val="24"/>
              </w:rPr>
              <w:t>财政拨款</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r>
      <w:tr>
        <w:tblPrEx>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其它资金</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其它资金</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4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发放军队退休人员、无军籍退休职工逐月生活补助</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已按月足额给军队退休人员、无军籍退休职工发放生活补助</w:t>
            </w:r>
          </w:p>
        </w:tc>
      </w:tr>
      <w:tr>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预期指标值</w:t>
            </w:r>
            <w:r>
              <w:rPr>
                <w:rFonts w:ascii="宋体" w:hAnsi="宋体" w:cs="宋体"/>
                <w:color w:val="000000"/>
                <w:kern w:val="0"/>
                <w:sz w:val="24"/>
              </w:rPr>
              <w:t>(</w:t>
            </w:r>
            <w:r>
              <w:rPr>
                <w:rFonts w:hint="eastAsia" w:ascii="宋体" w:hAnsi="宋体" w:cs="宋体"/>
                <w:color w:val="000000"/>
                <w:kern w:val="0"/>
                <w:sz w:val="24"/>
              </w:rPr>
              <w:t>包含数字及文字描述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实际完成指标值</w:t>
            </w:r>
            <w:r>
              <w:rPr>
                <w:rFonts w:ascii="宋体" w:hAnsi="宋体" w:cs="宋体"/>
                <w:color w:val="000000"/>
                <w:kern w:val="0"/>
                <w:sz w:val="24"/>
              </w:rPr>
              <w:t>(</w:t>
            </w:r>
            <w:r>
              <w:rPr>
                <w:rFonts w:hint="eastAsia" w:ascii="宋体" w:hAnsi="宋体" w:cs="宋体"/>
                <w:color w:val="000000"/>
                <w:kern w:val="0"/>
                <w:sz w:val="24"/>
              </w:rPr>
              <w:t>包含数字及文字描述</w:t>
            </w:r>
            <w:r>
              <w:rPr>
                <w:rFonts w:ascii="宋体" w:hAnsi="宋体" w:cs="宋体"/>
                <w:color w:val="000000"/>
                <w:kern w:val="0"/>
                <w:sz w:val="24"/>
              </w:rPr>
              <w:t>)</w:t>
            </w:r>
          </w:p>
        </w:tc>
      </w:tr>
      <w:tr>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享受退休人员、无军籍退休职工人数</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根据上一年度人数推算</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hAnsi="宋体" w:cs="宋体"/>
                <w:color w:val="000000"/>
                <w:sz w:val="24"/>
              </w:rPr>
              <w:t>2020</w:t>
            </w:r>
            <w:r>
              <w:rPr>
                <w:rFonts w:hint="eastAsia" w:ascii="宋体" w:hAnsi="宋体" w:cs="宋体"/>
                <w:color w:val="000000"/>
                <w:sz w:val="24"/>
              </w:rPr>
              <w:t>年共计发放补助</w:t>
            </w:r>
            <w:r>
              <w:rPr>
                <w:rFonts w:ascii="宋体" w:hAnsi="宋体" w:cs="宋体"/>
                <w:color w:val="000000"/>
                <w:sz w:val="24"/>
              </w:rPr>
              <w:t>6</w:t>
            </w:r>
            <w:r>
              <w:rPr>
                <w:rFonts w:ascii="宋体" w:cs="宋体"/>
                <w:color w:val="000000"/>
                <w:sz w:val="24"/>
              </w:rPr>
              <w:t>0</w:t>
            </w:r>
            <w:r>
              <w:rPr>
                <w:rFonts w:hint="eastAsia" w:ascii="宋体" w:hAnsi="宋体" w:cs="宋体"/>
                <w:color w:val="000000"/>
                <w:sz w:val="24"/>
              </w:rPr>
              <w:t>人次</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发放生活资金与政策相关比率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hAnsi="宋体" w:cs="宋体"/>
                <w:color w:val="000000"/>
                <w:sz w:val="24"/>
              </w:rPr>
              <w:t>1</w:t>
            </w:r>
            <w:r>
              <w:rPr>
                <w:rFonts w:ascii="宋体" w:cs="宋体"/>
                <w:color w:val="000000"/>
                <w:sz w:val="24"/>
              </w:rPr>
              <w:t>00</w:t>
            </w:r>
            <w:r>
              <w:rPr>
                <w:rFonts w:ascii="宋体" w:hAnsi="宋体" w:cs="宋体"/>
                <w:color w:val="00000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hAnsi="宋体" w:cs="宋体"/>
                <w:color w:val="000000"/>
                <w:sz w:val="24"/>
              </w:rPr>
              <w:t>1</w:t>
            </w:r>
            <w:r>
              <w:rPr>
                <w:rFonts w:ascii="宋体" w:cs="宋体"/>
                <w:color w:val="000000"/>
                <w:sz w:val="24"/>
              </w:rPr>
              <w:t>00</w:t>
            </w:r>
            <w:r>
              <w:rPr>
                <w:rFonts w:ascii="宋体" w:hAnsi="宋体" w:cs="宋体"/>
                <w:color w:val="000000"/>
                <w:sz w:val="24"/>
              </w:rPr>
              <w:t>&amp;</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资金拨付级时率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按实际拨付</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支付率</w:t>
            </w:r>
            <w:r>
              <w:rPr>
                <w:rFonts w:ascii="宋体" w:hAnsi="宋体" w:cs="宋体"/>
                <w:color w:val="000000"/>
                <w:sz w:val="24"/>
              </w:rPr>
              <w:t>1</w:t>
            </w:r>
            <w:r>
              <w:rPr>
                <w:rFonts w:ascii="宋体" w:cs="宋体"/>
                <w:color w:val="000000"/>
                <w:sz w:val="24"/>
              </w:rPr>
              <w:t>00</w:t>
            </w:r>
            <w:r>
              <w:rPr>
                <w:rFonts w:ascii="宋体" w:hAnsi="宋体" w:cs="宋体"/>
                <w:color w:val="000000"/>
                <w:sz w:val="24"/>
              </w:rPr>
              <w:t>%</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社会效益指标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促进社会和谐</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效果显著</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效果显著</w:t>
            </w:r>
          </w:p>
        </w:tc>
      </w:tr>
      <w:tr>
        <w:tblPrEx>
          <w:tblCellMar>
            <w:top w:w="0" w:type="dxa"/>
            <w:left w:w="0" w:type="dxa"/>
            <w:bottom w:w="0" w:type="dxa"/>
            <w:right w:w="0" w:type="dxa"/>
          </w:tblCellMar>
        </w:tblPrEx>
        <w:trPr>
          <w:trHeight w:val="1050" w:hRule="atLeast"/>
          <w:jc w:val="center"/>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退休人员、无军籍退休职工满意度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ind w:firstLine="760" w:firstLineChars="400"/>
              <w:jc w:val="left"/>
            </w:pPr>
            <w:r>
              <w:rPr>
                <w:rFonts w:ascii="TimesNewRomanPSMT" w:hAnsi="TimesNewRomanPSMT" w:cs="TimesNewRomanPSMT"/>
                <w:color w:val="000000"/>
                <w:kern w:val="0"/>
                <w:sz w:val="19"/>
                <w:szCs w:val="19"/>
              </w:rPr>
              <w:t>&gt;100%</w:t>
            </w:r>
          </w:p>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ind w:firstLine="760" w:firstLineChars="400"/>
              <w:jc w:val="left"/>
            </w:pPr>
            <w:r>
              <w:rPr>
                <w:rFonts w:ascii="TimesNewRomanPSMT" w:hAnsi="TimesNewRomanPSMT" w:cs="TimesNewRomanPSMT"/>
                <w:color w:val="000000"/>
                <w:kern w:val="0"/>
                <w:sz w:val="19"/>
                <w:szCs w:val="19"/>
              </w:rPr>
              <w:t>&gt;100%</w:t>
            </w:r>
          </w:p>
          <w:p>
            <w:pPr>
              <w:widowControl/>
              <w:jc w:val="center"/>
              <w:textAlignment w:val="center"/>
              <w:rPr>
                <w:rFonts w:ascii="宋体" w:cs="宋体"/>
                <w:color w:val="000000"/>
                <w:sz w:val="24"/>
              </w:rPr>
            </w:pPr>
          </w:p>
        </w:tc>
      </w:tr>
    </w:tbl>
    <w:p>
      <w:pPr>
        <w:spacing w:line="580" w:lineRule="exact"/>
        <w:ind w:left="630"/>
        <w:rPr>
          <w:rFonts w:ascii="仿宋_GB2312" w:hAnsi="仿宋_GB2312" w:eastAsia="仿宋_GB2312" w:cs="仿宋_GB2312"/>
          <w:sz w:val="32"/>
          <w:szCs w:val="32"/>
        </w:rPr>
      </w:pPr>
      <w:r>
        <w:rPr>
          <w:rFonts w:ascii="楷体_GB2312" w:hAnsi="楷体_GB2312" w:eastAsia="楷体_GB2312" w:cs="楷体_GB2312"/>
          <w:sz w:val="32"/>
          <w:szCs w:val="32"/>
        </w:rPr>
        <w:t>2.</w:t>
      </w:r>
      <w:r>
        <w:rPr>
          <w:rFonts w:hint="eastAsia" w:ascii="楷体_GB2312" w:hAnsi="楷体_GB2312" w:eastAsia="楷体_GB2312" w:cs="楷体_GB2312"/>
          <w:sz w:val="32"/>
          <w:szCs w:val="32"/>
        </w:rPr>
        <w:t>部门绩效评价结果</w:t>
      </w:r>
    </w:p>
    <w:p>
      <w:pPr>
        <w:pStyle w:val="43"/>
        <w:numPr>
          <w:ilvl w:val="0"/>
          <w:numId w:val="3"/>
        </w:numPr>
        <w:spacing w:line="580" w:lineRule="exact"/>
        <w:ind w:firstLineChars="0"/>
        <w:rPr>
          <w:rFonts w:ascii="仿宋_GB2312" w:hAnsi="仿宋_GB2312" w:eastAsia="仿宋_GB2312" w:cs="仿宋_GB2312"/>
          <w:sz w:val="32"/>
          <w:szCs w:val="32"/>
        </w:rPr>
      </w:pPr>
      <w:bookmarkStart w:id="123" w:name="_Toc79163629"/>
      <w:bookmarkStart w:id="124" w:name="_Toc15396613"/>
      <w:bookmarkStart w:id="125" w:name="_Toc15377225"/>
      <w:r>
        <w:rPr>
          <w:rFonts w:hint="eastAsia" w:ascii="仿宋_GB2312" w:hAnsi="仿宋_GB2312" w:eastAsia="仿宋_GB2312" w:cs="仿宋_GB2312"/>
          <w:sz w:val="32"/>
          <w:szCs w:val="32"/>
        </w:rPr>
        <w:t>本部门按要求对</w:t>
      </w:r>
      <w:r>
        <w:rPr>
          <w:rFonts w:ascii="仿宋_GB2312" w:hAnsi="仿宋_GB2312" w:eastAsia="仿宋_GB2312" w:cs="仿宋_GB2312"/>
          <w:sz w:val="32"/>
          <w:szCs w:val="32"/>
        </w:rPr>
        <w:t>2020</w:t>
      </w:r>
      <w:r>
        <w:rPr>
          <w:rFonts w:hint="eastAsia" w:ascii="仿宋_GB2312" w:hAnsi="仿宋_GB2312" w:eastAsia="仿宋_GB2312" w:cs="仿宋_GB2312"/>
          <w:sz w:val="32"/>
          <w:szCs w:val="32"/>
        </w:rPr>
        <w:t>年部门整体支出绩效评价情况开展自评，《茂县退役军人事务局部门</w:t>
      </w:r>
      <w:r>
        <w:rPr>
          <w:rFonts w:ascii="仿宋_GB2312" w:hAnsi="仿宋_GB2312" w:eastAsia="仿宋_GB2312" w:cs="仿宋_GB2312"/>
          <w:sz w:val="32"/>
          <w:szCs w:val="32"/>
        </w:rPr>
        <w:t>2020</w:t>
      </w:r>
      <w:r>
        <w:rPr>
          <w:rFonts w:hint="eastAsia" w:ascii="仿宋_GB2312" w:hAnsi="仿宋_GB2312" w:eastAsia="仿宋_GB2312" w:cs="仿宋_GB2312"/>
          <w:sz w:val="32"/>
          <w:szCs w:val="32"/>
        </w:rPr>
        <w:t>年部门整体支出绩效评价报告》见附件（附件</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w:t>
      </w:r>
    </w:p>
    <w:p>
      <w:pPr>
        <w:pStyle w:val="43"/>
        <w:widowControl/>
        <w:numPr>
          <w:ilvl w:val="0"/>
          <w:numId w:val="3"/>
        </w:numPr>
        <w:ind w:firstLineChars="0"/>
        <w:jc w:val="left"/>
        <w:rPr>
          <w:rFonts w:ascii="仿宋_GB2312" w:eastAsia="仿宋_GB2312"/>
          <w:b/>
          <w:color w:val="000000"/>
          <w:sz w:val="32"/>
          <w:szCs w:val="32"/>
        </w:rPr>
      </w:pPr>
      <w:r>
        <w:rPr>
          <w:rFonts w:ascii="仿宋_GB2312" w:eastAsia="仿宋_GB2312"/>
          <w:b/>
          <w:color w:val="000000"/>
          <w:sz w:val="32"/>
          <w:szCs w:val="32"/>
        </w:rPr>
        <w:br w:type="page"/>
      </w:r>
    </w:p>
    <w:p>
      <w:pPr>
        <w:spacing w:line="600" w:lineRule="exact"/>
        <w:jc w:val="center"/>
        <w:outlineLvl w:val="0"/>
        <w:rPr>
          <w:rStyle w:val="25"/>
          <w:rFonts w:ascii="黑体" w:hAnsi="黑体" w:eastAsia="黑体"/>
          <w:b w:val="0"/>
        </w:rPr>
      </w:pPr>
      <w:bookmarkStart w:id="126" w:name="_Toc82764224"/>
      <w:r>
        <w:rPr>
          <w:rStyle w:val="25"/>
          <w:rFonts w:hint="eastAsia" w:ascii="黑体" w:hAnsi="黑体" w:eastAsia="黑体"/>
          <w:b w:val="0"/>
          <w:highlight w:val="lightGray"/>
        </w:rPr>
        <w:t>第三部分</w:t>
      </w:r>
      <w:r>
        <w:rPr>
          <w:rFonts w:hint="eastAsia" w:ascii="黑体" w:hAnsi="黑体" w:eastAsia="黑体"/>
          <w:color w:val="000000"/>
          <w:sz w:val="44"/>
          <w:szCs w:val="44"/>
        </w:rPr>
        <w:t>名</w:t>
      </w:r>
      <w:r>
        <w:rPr>
          <w:rStyle w:val="25"/>
          <w:rFonts w:hint="eastAsia" w:ascii="黑体" w:hAnsi="黑体" w:eastAsia="黑体"/>
          <w:b w:val="0"/>
        </w:rPr>
        <w:t>词解释</w:t>
      </w:r>
      <w:bookmarkEnd w:id="123"/>
      <w:bookmarkEnd w:id="124"/>
      <w:bookmarkEnd w:id="125"/>
      <w:bookmarkEnd w:id="126"/>
    </w:p>
    <w:p>
      <w:pPr>
        <w:pStyle w:val="35"/>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35"/>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35"/>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35"/>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w:t>
      </w:r>
    </w:p>
    <w:p>
      <w:pPr>
        <w:pStyle w:val="35"/>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sz w:val="32"/>
          <w:szCs w:val="32"/>
        </w:rPr>
        <w:t xml:space="preserve"> </w:t>
      </w:r>
    </w:p>
    <w:p>
      <w:pPr>
        <w:pStyle w:val="35"/>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35"/>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结余分配：指事业单位按照事业单位会计制度的规定从非财政补助结余中分配的事业基金和职工福利基金等。</w:t>
      </w:r>
    </w:p>
    <w:p>
      <w:pPr>
        <w:pStyle w:val="35"/>
        <w:spacing w:line="560" w:lineRule="exact"/>
        <w:ind w:firstLine="640" w:firstLineChars="200"/>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pPr>
        <w:ind w:firstLine="640" w:firstLineChars="200"/>
        <w:rPr>
          <w:rFonts w:ascii="仿宋_GB2312" w:eastAsia="仿宋_GB2312"/>
          <w:color w:val="000000"/>
          <w:sz w:val="32"/>
          <w:szCs w:val="32"/>
        </w:rPr>
      </w:pPr>
      <w:r>
        <w:rPr>
          <w:rFonts w:ascii="仿宋_GB2312" w:eastAsia="仿宋_GB2312"/>
          <w:color w:val="000000"/>
          <w:sz w:val="32"/>
          <w:szCs w:val="32"/>
        </w:rPr>
        <w:t xml:space="preserve">9. </w:t>
      </w:r>
      <w:r>
        <w:rPr>
          <w:rFonts w:hint="eastAsia" w:ascii="仿宋_GB2312" w:eastAsia="仿宋_GB2312"/>
          <w:color w:val="000000"/>
          <w:sz w:val="32"/>
          <w:szCs w:val="32"/>
        </w:rPr>
        <w:t>一般公共服务（类）其他一般公共服务支出（款）其他一般公共服务支出（项）：指反映除上述项目以外的其他一般公共服务支出。</w:t>
      </w:r>
    </w:p>
    <w:p>
      <w:pPr>
        <w:ind w:firstLine="640" w:firstLineChars="200"/>
        <w:rPr>
          <w:rFonts w:ascii="仿宋_GB2312" w:eastAsia="仿宋_GB2312"/>
          <w:color w:val="000000"/>
          <w:sz w:val="32"/>
          <w:szCs w:val="32"/>
        </w:rPr>
      </w:pPr>
      <w:r>
        <w:rPr>
          <w:rFonts w:ascii="仿宋_GB2312" w:eastAsia="仿宋_GB2312"/>
          <w:color w:val="000000"/>
          <w:sz w:val="32"/>
          <w:szCs w:val="32"/>
        </w:rPr>
        <w:t xml:space="preserve">10. </w:t>
      </w:r>
      <w:r>
        <w:rPr>
          <w:rFonts w:hint="eastAsia" w:ascii="仿宋_GB2312" w:eastAsia="仿宋_GB2312"/>
          <w:color w:val="000000"/>
          <w:sz w:val="32"/>
          <w:szCs w:val="32"/>
        </w:rPr>
        <w:t>社会保障和就业（类）抚恤（款）死亡抚恤（项）：指按规定用于烈士和牺牲、病故人员家属的一次性和定期抚恤金以及丧葬补助费。</w:t>
      </w:r>
    </w:p>
    <w:p>
      <w:pPr>
        <w:ind w:firstLine="640" w:firstLineChars="200"/>
        <w:rPr>
          <w:rFonts w:ascii="仿宋_GB2312" w:eastAsia="仿宋_GB2312"/>
          <w:color w:val="000000"/>
          <w:sz w:val="32"/>
          <w:szCs w:val="32"/>
        </w:rPr>
      </w:pPr>
      <w:r>
        <w:rPr>
          <w:rFonts w:ascii="仿宋_GB2312" w:eastAsia="仿宋_GB2312"/>
          <w:color w:val="000000"/>
          <w:sz w:val="32"/>
          <w:szCs w:val="32"/>
        </w:rPr>
        <w:t>11.</w:t>
      </w:r>
      <w:r>
        <w:rPr>
          <w:rFonts w:hint="eastAsia" w:ascii="仿宋_GB2312" w:eastAsia="仿宋_GB2312"/>
          <w:color w:val="000000"/>
          <w:sz w:val="32"/>
          <w:szCs w:val="32"/>
        </w:rPr>
        <w:t>社会保障和就业（类）抚恤（款）伤残抚恤（项）：指按规定用于伤残人员的抚恤金和按规定开支的各种伤残补助费。</w:t>
      </w:r>
    </w:p>
    <w:p>
      <w:pPr>
        <w:ind w:firstLine="640" w:firstLineChars="200"/>
        <w:rPr>
          <w:rFonts w:ascii="仿宋_GB2312" w:eastAsia="仿宋_GB2312"/>
          <w:color w:val="000000"/>
          <w:sz w:val="32"/>
          <w:szCs w:val="32"/>
        </w:rPr>
      </w:pPr>
      <w:r>
        <w:rPr>
          <w:rFonts w:ascii="仿宋_GB2312" w:eastAsia="仿宋_GB2312"/>
          <w:color w:val="000000"/>
          <w:sz w:val="32"/>
          <w:szCs w:val="32"/>
        </w:rPr>
        <w:t>12.</w:t>
      </w:r>
      <w:r>
        <w:rPr>
          <w:rFonts w:hint="eastAsia" w:ascii="仿宋_GB2312" w:eastAsia="仿宋_GB2312"/>
          <w:color w:val="000000"/>
          <w:sz w:val="32"/>
          <w:szCs w:val="32"/>
        </w:rPr>
        <w:t>社会保障和就业（类）抚恤（款）优抚事业单位支出（项）：指民政部门管理的优抚事业单位支出，对集体优抚事业单位的补助，对烈士纪念设施的维修改造和管理保护支出，以及全国重点军供站设施维修改造和设备更新支出。</w:t>
      </w:r>
    </w:p>
    <w:p>
      <w:pPr>
        <w:ind w:firstLine="640" w:firstLineChars="200"/>
        <w:rPr>
          <w:rFonts w:ascii="仿宋_GB2312" w:eastAsia="仿宋_GB2312"/>
          <w:color w:val="000000"/>
          <w:sz w:val="32"/>
          <w:szCs w:val="32"/>
        </w:rPr>
      </w:pPr>
      <w:r>
        <w:rPr>
          <w:rFonts w:ascii="仿宋_GB2312" w:eastAsia="仿宋_GB2312"/>
          <w:color w:val="000000"/>
          <w:sz w:val="32"/>
          <w:szCs w:val="32"/>
        </w:rPr>
        <w:t>13.</w:t>
      </w:r>
      <w:r>
        <w:rPr>
          <w:rFonts w:hint="eastAsia" w:ascii="仿宋_GB2312" w:eastAsia="仿宋_GB2312"/>
          <w:color w:val="000000"/>
          <w:sz w:val="32"/>
          <w:szCs w:val="32"/>
        </w:rPr>
        <w:t>社会保障和就业（类）抚恤（款）义务兵优待（项）：指用于义务兵优待方面的支出。</w:t>
      </w:r>
    </w:p>
    <w:p>
      <w:pPr>
        <w:ind w:firstLine="640" w:firstLineChars="200"/>
        <w:rPr>
          <w:rFonts w:ascii="仿宋_GB2312" w:eastAsia="仿宋_GB2312"/>
          <w:color w:val="000000"/>
          <w:sz w:val="32"/>
          <w:szCs w:val="32"/>
        </w:rPr>
      </w:pPr>
      <w:r>
        <w:rPr>
          <w:rFonts w:ascii="仿宋_GB2312" w:eastAsia="仿宋_GB2312"/>
          <w:color w:val="000000"/>
          <w:sz w:val="32"/>
          <w:szCs w:val="32"/>
        </w:rPr>
        <w:t>14.</w:t>
      </w:r>
      <w:r>
        <w:rPr>
          <w:rFonts w:hint="eastAsia" w:ascii="仿宋_GB2312" w:eastAsia="仿宋_GB2312"/>
          <w:color w:val="000000"/>
          <w:sz w:val="32"/>
          <w:szCs w:val="32"/>
        </w:rPr>
        <w:t>社会保障和就业（类）抚恤（款）农村籍退役士兵老年生活补助（项）：指反映</w:t>
      </w:r>
      <w:r>
        <w:rPr>
          <w:rFonts w:ascii="仿宋_GB2312" w:eastAsia="仿宋_GB2312"/>
          <w:color w:val="000000"/>
          <w:sz w:val="32"/>
          <w:szCs w:val="32"/>
        </w:rPr>
        <w:t>1954</w:t>
      </w:r>
      <w:r>
        <w:rPr>
          <w:rFonts w:hint="eastAsia" w:ascii="仿宋_GB2312" w:eastAsia="仿宋_GB2312"/>
          <w:color w:val="000000"/>
          <w:sz w:val="32"/>
          <w:szCs w:val="32"/>
        </w:rPr>
        <w:t>年</w:t>
      </w:r>
      <w:r>
        <w:rPr>
          <w:rFonts w:ascii="仿宋_GB2312" w:eastAsia="仿宋_GB2312"/>
          <w:color w:val="000000"/>
          <w:sz w:val="32"/>
          <w:szCs w:val="32"/>
        </w:rPr>
        <w:t>11</w:t>
      </w:r>
      <w:r>
        <w:rPr>
          <w:rFonts w:hint="eastAsia" w:ascii="仿宋_GB2312" w:eastAsia="仿宋_GB2312"/>
          <w:color w:val="000000"/>
          <w:sz w:val="32"/>
          <w:szCs w:val="32"/>
        </w:rPr>
        <w:t>月</w:t>
      </w:r>
      <w:r>
        <w:rPr>
          <w:rFonts w:ascii="仿宋_GB2312" w:eastAsia="仿宋_GB2312"/>
          <w:color w:val="000000"/>
          <w:sz w:val="32"/>
          <w:szCs w:val="32"/>
        </w:rPr>
        <w:t>1</w:t>
      </w:r>
      <w:r>
        <w:rPr>
          <w:rFonts w:hint="eastAsia" w:ascii="仿宋_GB2312" w:eastAsia="仿宋_GB2312"/>
          <w:color w:val="000000"/>
          <w:sz w:val="32"/>
          <w:szCs w:val="32"/>
        </w:rPr>
        <w:t>日试行义务兵役制后至《退役士兵安置条例》实施前入伍、年龄在</w:t>
      </w:r>
      <w:r>
        <w:rPr>
          <w:rFonts w:ascii="仿宋_GB2312" w:eastAsia="仿宋_GB2312"/>
          <w:color w:val="000000"/>
          <w:sz w:val="32"/>
          <w:szCs w:val="32"/>
        </w:rPr>
        <w:t>60</w:t>
      </w:r>
      <w:r>
        <w:rPr>
          <w:rFonts w:hint="eastAsia" w:ascii="仿宋_GB2312" w:eastAsia="仿宋_GB2312"/>
          <w:color w:val="000000"/>
          <w:sz w:val="32"/>
          <w:szCs w:val="32"/>
        </w:rPr>
        <w:t>周岁以上（含</w:t>
      </w:r>
      <w:r>
        <w:rPr>
          <w:rFonts w:ascii="仿宋_GB2312" w:eastAsia="仿宋_GB2312"/>
          <w:color w:val="000000"/>
          <w:sz w:val="32"/>
          <w:szCs w:val="32"/>
        </w:rPr>
        <w:t>60</w:t>
      </w:r>
      <w:r>
        <w:rPr>
          <w:rFonts w:hint="eastAsia" w:ascii="仿宋_GB2312" w:eastAsia="仿宋_GB2312"/>
          <w:color w:val="000000"/>
          <w:sz w:val="32"/>
          <w:szCs w:val="32"/>
        </w:rPr>
        <w:t>周岁）、未享受到国家定期抚恤补助的农村籍退役士兵的老年生活补助。</w:t>
      </w:r>
    </w:p>
    <w:p>
      <w:pPr>
        <w:ind w:firstLine="640" w:firstLineChars="200"/>
        <w:rPr>
          <w:rFonts w:ascii="仿宋_GB2312" w:eastAsia="仿宋_GB2312"/>
          <w:color w:val="000000"/>
          <w:sz w:val="32"/>
          <w:szCs w:val="32"/>
        </w:rPr>
      </w:pPr>
      <w:r>
        <w:rPr>
          <w:rFonts w:ascii="仿宋_GB2312" w:eastAsia="仿宋_GB2312"/>
          <w:color w:val="000000"/>
          <w:sz w:val="32"/>
          <w:szCs w:val="32"/>
        </w:rPr>
        <w:t>15.</w:t>
      </w:r>
      <w:r>
        <w:rPr>
          <w:rFonts w:hint="eastAsia" w:ascii="仿宋_GB2312" w:eastAsia="仿宋_GB2312"/>
          <w:color w:val="000000"/>
          <w:sz w:val="32"/>
          <w:szCs w:val="32"/>
        </w:rPr>
        <w:t>社会保障和就业（类）抚恤（款）其他优抚支出（项）：指除上述项目以外其他用于优抚方面的支出。</w:t>
      </w:r>
    </w:p>
    <w:p>
      <w:pPr>
        <w:ind w:firstLine="640" w:firstLineChars="200"/>
        <w:rPr>
          <w:rFonts w:ascii="仿宋_GB2312" w:eastAsia="仿宋_GB2312"/>
          <w:color w:val="000000"/>
          <w:sz w:val="32"/>
          <w:szCs w:val="32"/>
        </w:rPr>
      </w:pPr>
      <w:r>
        <w:rPr>
          <w:rFonts w:ascii="仿宋_GB2312" w:eastAsia="仿宋_GB2312"/>
          <w:color w:val="000000"/>
          <w:sz w:val="32"/>
          <w:szCs w:val="32"/>
        </w:rPr>
        <w:t>16.</w:t>
      </w:r>
      <w:r>
        <w:rPr>
          <w:rFonts w:hint="eastAsia" w:ascii="仿宋_GB2312" w:eastAsia="仿宋_GB2312"/>
          <w:color w:val="000000"/>
          <w:sz w:val="32"/>
          <w:szCs w:val="32"/>
        </w:rPr>
        <w:t>社会保障和就业（类）抚恤（款）优抚事业单位支出（项）：指民政部门管理的优抚事业单位支出，对集体优抚事业单位的补助，对烈士纪念设施的维修改造和管理保护支出，以及全国重点军供站设施维修改造和设备更新支出。</w:t>
      </w:r>
    </w:p>
    <w:p>
      <w:pPr>
        <w:ind w:firstLine="640" w:firstLineChars="200"/>
        <w:rPr>
          <w:rFonts w:ascii="仿宋_GB2312" w:eastAsia="仿宋_GB2312"/>
          <w:color w:val="000000"/>
          <w:sz w:val="32"/>
          <w:szCs w:val="32"/>
        </w:rPr>
      </w:pPr>
      <w:r>
        <w:rPr>
          <w:rFonts w:ascii="仿宋_GB2312" w:eastAsia="仿宋_GB2312"/>
          <w:color w:val="000000"/>
          <w:sz w:val="32"/>
          <w:szCs w:val="32"/>
        </w:rPr>
        <w:t>17.</w:t>
      </w:r>
      <w:r>
        <w:rPr>
          <w:rFonts w:hint="eastAsia" w:ascii="仿宋_GB2312" w:eastAsia="仿宋_GB2312"/>
          <w:color w:val="000000"/>
          <w:sz w:val="32"/>
          <w:szCs w:val="32"/>
        </w:rPr>
        <w:t>社会保障和就业（类）抚恤（款）在乡复员、退役军人生活补助（项）：反映在乡退伍红军老战士（含西路红军老战士、红军失散人员）、</w:t>
      </w:r>
      <w:r>
        <w:rPr>
          <w:rFonts w:ascii="仿宋_GB2312" w:eastAsia="仿宋_GB2312"/>
          <w:color w:val="000000"/>
          <w:sz w:val="32"/>
          <w:szCs w:val="32"/>
        </w:rPr>
        <w:t>1954</w:t>
      </w:r>
      <w:r>
        <w:rPr>
          <w:rFonts w:hint="eastAsia" w:ascii="仿宋_GB2312" w:eastAsia="仿宋_GB2312"/>
          <w:color w:val="000000"/>
          <w:sz w:val="32"/>
          <w:szCs w:val="32"/>
        </w:rPr>
        <w:t>年</w:t>
      </w:r>
      <w:r>
        <w:rPr>
          <w:rFonts w:ascii="仿宋_GB2312" w:eastAsia="仿宋_GB2312"/>
          <w:color w:val="000000"/>
          <w:sz w:val="32"/>
          <w:szCs w:val="32"/>
        </w:rPr>
        <w:t>10</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日前入伍的在乡复员军人、安规定办理带病回乡手续的退伍军人生活补助。</w:t>
      </w:r>
    </w:p>
    <w:p>
      <w:pPr>
        <w:ind w:firstLine="640" w:firstLineChars="200"/>
        <w:rPr>
          <w:rFonts w:ascii="仿宋_GB2312" w:eastAsia="仿宋_GB2312"/>
          <w:color w:val="000000"/>
          <w:sz w:val="32"/>
          <w:szCs w:val="32"/>
        </w:rPr>
      </w:pPr>
      <w:r>
        <w:rPr>
          <w:rFonts w:ascii="仿宋_GB2312" w:eastAsia="仿宋_GB2312"/>
          <w:color w:val="000000"/>
          <w:sz w:val="32"/>
          <w:szCs w:val="32"/>
        </w:rPr>
        <w:t>18.</w:t>
      </w:r>
      <w:r>
        <w:rPr>
          <w:rFonts w:hint="eastAsia" w:ascii="仿宋_GB2312" w:eastAsia="仿宋_GB2312"/>
          <w:color w:val="000000"/>
          <w:sz w:val="32"/>
          <w:szCs w:val="32"/>
        </w:rPr>
        <w:t>社会保障和就业（类）退役安置（款）退役士兵安置（项）：指按规定用于伤残义务兵的一次性建房补助，对符合条件的退役士兵、转业士官的安置支出。</w:t>
      </w:r>
    </w:p>
    <w:p>
      <w:pPr>
        <w:ind w:firstLine="640" w:firstLineChars="200"/>
        <w:rPr>
          <w:rFonts w:ascii="仿宋_GB2312" w:eastAsia="仿宋_GB2312"/>
          <w:color w:val="000000"/>
          <w:sz w:val="32"/>
          <w:szCs w:val="32"/>
        </w:rPr>
      </w:pPr>
      <w:r>
        <w:rPr>
          <w:rFonts w:ascii="仿宋_GB2312" w:eastAsia="仿宋_GB2312"/>
          <w:color w:val="000000"/>
          <w:sz w:val="32"/>
          <w:szCs w:val="32"/>
        </w:rPr>
        <w:t>19.</w:t>
      </w:r>
      <w:r>
        <w:rPr>
          <w:rFonts w:hint="eastAsia" w:ascii="仿宋_GB2312" w:eastAsia="仿宋_GB2312"/>
          <w:color w:val="000000"/>
          <w:sz w:val="32"/>
          <w:szCs w:val="32"/>
        </w:rPr>
        <w:t>社会保障和就业（类）退役安置（款）军队移交政府的离退休人员安置（项）：指移交政府的军队离退休人员安置支出。</w:t>
      </w:r>
    </w:p>
    <w:p>
      <w:pPr>
        <w:ind w:firstLine="640" w:firstLineChars="200"/>
        <w:rPr>
          <w:rFonts w:ascii="仿宋_GB2312" w:eastAsia="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rPr>
        <w:t>社会保障和就业（类）退役安置（款）军队移交政府的离退休干部管理机构（项）：指民政部门管理的军队移交政府安置的离退休干部管理机构列入事业编制的人员经费、公用经费以及管理机构用房建设经费等支出。</w:t>
      </w:r>
    </w:p>
    <w:p>
      <w:pPr>
        <w:ind w:firstLine="640" w:firstLineChars="200"/>
        <w:rPr>
          <w:rFonts w:ascii="仿宋_GB2312" w:eastAsia="仿宋_GB2312"/>
          <w:color w:val="000000"/>
          <w:sz w:val="32"/>
          <w:szCs w:val="32"/>
        </w:rPr>
      </w:pPr>
      <w:r>
        <w:rPr>
          <w:rFonts w:ascii="仿宋_GB2312" w:eastAsia="仿宋_GB2312"/>
          <w:color w:val="000000"/>
          <w:sz w:val="32"/>
          <w:szCs w:val="32"/>
        </w:rPr>
        <w:t>21.</w:t>
      </w:r>
      <w:r>
        <w:rPr>
          <w:rFonts w:hint="eastAsia" w:ascii="仿宋_GB2312" w:eastAsia="仿宋_GB2312"/>
          <w:color w:val="000000"/>
          <w:sz w:val="32"/>
          <w:szCs w:val="32"/>
        </w:rPr>
        <w:t>社会保障和就业（类）退役安置（款）军队转业安置支出（项）：反映军转干部安置、人员经费、自主择业退役金等方面的支出。</w:t>
      </w:r>
    </w:p>
    <w:p>
      <w:pPr>
        <w:ind w:firstLine="640" w:firstLineChars="200"/>
        <w:rPr>
          <w:rFonts w:ascii="仿宋_GB2312" w:eastAsia="仿宋_GB2312"/>
          <w:color w:val="000000"/>
          <w:sz w:val="32"/>
          <w:szCs w:val="32"/>
        </w:rPr>
      </w:pPr>
      <w:r>
        <w:rPr>
          <w:rFonts w:ascii="仿宋_GB2312" w:eastAsia="仿宋_GB2312"/>
          <w:color w:val="000000"/>
          <w:sz w:val="32"/>
          <w:szCs w:val="32"/>
        </w:rPr>
        <w:t>22.</w:t>
      </w:r>
      <w:r>
        <w:rPr>
          <w:rFonts w:hint="eastAsia" w:ascii="仿宋_GB2312" w:eastAsia="仿宋_GB2312"/>
          <w:color w:val="000000"/>
          <w:sz w:val="32"/>
          <w:szCs w:val="32"/>
        </w:rPr>
        <w:t>社会保障和就业（类）</w:t>
      </w:r>
      <w:bookmarkStart w:id="127" w:name="_Hlk51579848"/>
      <w:r>
        <w:rPr>
          <w:rFonts w:hint="eastAsia" w:ascii="仿宋_GB2312" w:eastAsia="仿宋_GB2312"/>
          <w:color w:val="000000"/>
          <w:sz w:val="32"/>
          <w:szCs w:val="32"/>
        </w:rPr>
        <w:t>退役军人管理事务</w:t>
      </w:r>
      <w:bookmarkEnd w:id="127"/>
      <w:r>
        <w:rPr>
          <w:rFonts w:hint="eastAsia" w:ascii="仿宋_GB2312" w:eastAsia="仿宋_GB2312"/>
          <w:color w:val="000000"/>
          <w:sz w:val="32"/>
          <w:szCs w:val="32"/>
        </w:rPr>
        <w:t>（款）行政运行（项）：指行政单位（包括实行公务员管理的事业单位）的基本支出。</w:t>
      </w:r>
    </w:p>
    <w:p>
      <w:pPr>
        <w:ind w:firstLine="640" w:firstLineChars="200"/>
        <w:rPr>
          <w:rFonts w:ascii="仿宋_GB2312" w:eastAsia="仿宋_GB2312"/>
          <w:color w:val="000000"/>
          <w:sz w:val="32"/>
          <w:szCs w:val="32"/>
        </w:rPr>
      </w:pPr>
      <w:bookmarkStart w:id="128" w:name="_Hlk51579931"/>
      <w:r>
        <w:rPr>
          <w:rFonts w:ascii="仿宋_GB2312" w:eastAsia="仿宋_GB2312"/>
          <w:color w:val="000000"/>
          <w:sz w:val="32"/>
          <w:szCs w:val="32"/>
        </w:rPr>
        <w:t>23.</w:t>
      </w:r>
      <w:r>
        <w:rPr>
          <w:rFonts w:hint="eastAsia" w:ascii="仿宋_GB2312" w:eastAsia="仿宋_GB2312"/>
          <w:color w:val="000000"/>
          <w:sz w:val="32"/>
          <w:szCs w:val="32"/>
        </w:rPr>
        <w:t>社会保障和就业（类）退役军人管理事务（款）拥军优属（项）：指开展拥军优属活动的支出。</w:t>
      </w:r>
    </w:p>
    <w:bookmarkEnd w:id="128"/>
    <w:p>
      <w:pPr>
        <w:ind w:firstLine="640" w:firstLineChars="200"/>
        <w:rPr>
          <w:rFonts w:ascii="仿宋_GB2312" w:eastAsia="仿宋_GB2312"/>
          <w:color w:val="000000"/>
          <w:sz w:val="32"/>
          <w:szCs w:val="32"/>
        </w:rPr>
      </w:pPr>
      <w:r>
        <w:rPr>
          <w:rFonts w:ascii="仿宋_GB2312" w:eastAsia="仿宋_GB2312"/>
          <w:color w:val="000000"/>
          <w:sz w:val="32"/>
          <w:szCs w:val="32"/>
        </w:rPr>
        <w:t>24.</w:t>
      </w:r>
      <w:r>
        <w:rPr>
          <w:rFonts w:hint="eastAsia" w:ascii="仿宋_GB2312" w:eastAsia="仿宋_GB2312"/>
          <w:color w:val="000000"/>
          <w:sz w:val="32"/>
          <w:szCs w:val="32"/>
        </w:rPr>
        <w:t>社会保障和就业（类）行政事业单位离退休（款）机关事业单位基本养老保险缴费支出（项）：指机关事业单位实施养老保险制度由单位缴纳的基本养老保险费支出。</w:t>
      </w:r>
    </w:p>
    <w:p>
      <w:pPr>
        <w:ind w:firstLine="640" w:firstLineChars="200"/>
        <w:rPr>
          <w:rFonts w:ascii="仿宋_GB2312" w:eastAsia="仿宋_GB2312"/>
          <w:color w:val="000000"/>
          <w:sz w:val="32"/>
          <w:szCs w:val="32"/>
        </w:rPr>
      </w:pPr>
      <w:r>
        <w:rPr>
          <w:rFonts w:ascii="仿宋_GB2312" w:eastAsia="仿宋_GB2312"/>
          <w:color w:val="000000"/>
          <w:sz w:val="32"/>
          <w:szCs w:val="32"/>
        </w:rPr>
        <w:t>25.</w:t>
      </w:r>
      <w:r>
        <w:rPr>
          <w:rFonts w:hint="eastAsia" w:ascii="仿宋_GB2312" w:eastAsia="仿宋_GB2312"/>
          <w:color w:val="000000"/>
          <w:sz w:val="32"/>
          <w:szCs w:val="32"/>
        </w:rPr>
        <w:t>社会保障和就业（类）行政事业单位离退休（款）机关事业单位职业年金缴费支出（项）：指机关事业单位实施养老保险制度由单位实际缴纳的职业年金支出。</w:t>
      </w:r>
    </w:p>
    <w:p>
      <w:pPr>
        <w:widowControl/>
        <w:ind w:firstLine="640" w:firstLineChars="200"/>
        <w:jc w:val="left"/>
        <w:rPr>
          <w:rFonts w:ascii="仿宋_GB2312" w:eastAsia="仿宋_GB2312"/>
          <w:color w:val="000000"/>
          <w:sz w:val="32"/>
          <w:szCs w:val="32"/>
        </w:rPr>
      </w:pPr>
      <w:r>
        <w:rPr>
          <w:rFonts w:ascii="仿宋_GB2312" w:eastAsia="仿宋_GB2312"/>
          <w:color w:val="000000"/>
          <w:sz w:val="32"/>
          <w:szCs w:val="32"/>
        </w:rPr>
        <w:t>26.</w:t>
      </w:r>
      <w:r>
        <w:rPr>
          <w:rFonts w:hint="eastAsia" w:ascii="仿宋_GB2312" w:eastAsia="仿宋_GB2312"/>
          <w:color w:val="000000"/>
          <w:sz w:val="32"/>
          <w:szCs w:val="32"/>
        </w:rPr>
        <w:t>医疗卫生与计划生育支出（类）行政事业单位医疗（款）行政单位医疗（项）：指机关及参公管理事业单位用于缴纳单位基本医疗保险支出。</w:t>
      </w:r>
    </w:p>
    <w:p>
      <w:pPr>
        <w:widowControl/>
        <w:ind w:firstLine="640" w:firstLineChars="200"/>
        <w:jc w:val="left"/>
        <w:rPr>
          <w:rFonts w:ascii="仿宋_GB2312" w:eastAsia="仿宋_GB2312"/>
          <w:color w:val="000000"/>
          <w:sz w:val="32"/>
          <w:szCs w:val="32"/>
        </w:rPr>
      </w:pPr>
      <w:r>
        <w:rPr>
          <w:rFonts w:ascii="仿宋_GB2312" w:eastAsia="仿宋_GB2312"/>
          <w:color w:val="000000"/>
          <w:sz w:val="32"/>
          <w:szCs w:val="32"/>
        </w:rPr>
        <w:t>27.</w:t>
      </w:r>
      <w:r>
        <w:rPr>
          <w:rFonts w:hint="eastAsia" w:ascii="仿宋_GB2312" w:eastAsia="仿宋_GB2312"/>
          <w:color w:val="000000"/>
          <w:sz w:val="32"/>
          <w:szCs w:val="32"/>
        </w:rPr>
        <w:t>医疗卫生与计划生育支出（类）行政事业单位医疗（款）行政单位医疗（项）：指事业单位用于缴纳单位基本医疗保险支出。</w:t>
      </w:r>
    </w:p>
    <w:p>
      <w:pPr>
        <w:ind w:firstLine="640" w:firstLineChars="200"/>
        <w:rPr>
          <w:rFonts w:ascii="仿宋_GB2312" w:eastAsia="仿宋_GB2312"/>
          <w:color w:val="000000"/>
          <w:sz w:val="32"/>
          <w:szCs w:val="32"/>
        </w:rPr>
      </w:pPr>
      <w:r>
        <w:rPr>
          <w:rFonts w:ascii="仿宋_GB2312" w:eastAsia="仿宋_GB2312"/>
          <w:color w:val="000000"/>
          <w:sz w:val="32"/>
          <w:szCs w:val="32"/>
        </w:rPr>
        <w:t>28.</w:t>
      </w:r>
      <w:r>
        <w:rPr>
          <w:rFonts w:hint="eastAsia" w:ascii="仿宋_GB2312" w:eastAsia="仿宋_GB2312"/>
          <w:color w:val="000000"/>
          <w:sz w:val="32"/>
          <w:szCs w:val="32"/>
        </w:rPr>
        <w:t>医疗卫生与计划生育支出（类）优抚对象医疗（款）优抚对象医疗补助（项）：指按规定补助优抚对象的医疗经费。</w:t>
      </w:r>
    </w:p>
    <w:p>
      <w:pPr>
        <w:ind w:firstLine="640" w:firstLineChars="200"/>
        <w:rPr>
          <w:rFonts w:ascii="仿宋_GB2312" w:eastAsia="仿宋_GB2312"/>
          <w:color w:val="000000"/>
          <w:sz w:val="32"/>
          <w:szCs w:val="32"/>
        </w:rPr>
      </w:pPr>
      <w:r>
        <w:rPr>
          <w:rFonts w:ascii="仿宋_GB2312" w:eastAsia="仿宋_GB2312"/>
          <w:color w:val="000000"/>
          <w:sz w:val="32"/>
          <w:szCs w:val="32"/>
        </w:rPr>
        <w:t>29.</w:t>
      </w:r>
      <w:r>
        <w:rPr>
          <w:rFonts w:hint="eastAsia" w:ascii="仿宋_GB2312" w:eastAsia="仿宋_GB2312"/>
          <w:color w:val="000000"/>
          <w:sz w:val="32"/>
          <w:szCs w:val="32"/>
        </w:rPr>
        <w:t>社会保障和就业（类）退役军人管理事务（款）其他退役军人事务管理支出（项）：反映除上述项目以外其他用于退役军人事务管理方面的支出。</w:t>
      </w:r>
    </w:p>
    <w:p>
      <w:pPr>
        <w:ind w:firstLine="640" w:firstLineChars="200"/>
        <w:rPr>
          <w:rFonts w:ascii="仿宋_GB2312" w:eastAsia="仿宋_GB2312"/>
          <w:color w:val="000000"/>
          <w:sz w:val="32"/>
          <w:szCs w:val="32"/>
        </w:rPr>
      </w:pPr>
      <w:r>
        <w:rPr>
          <w:rFonts w:ascii="仿宋_GB2312" w:eastAsia="仿宋_GB2312"/>
          <w:color w:val="000000"/>
          <w:sz w:val="32"/>
          <w:szCs w:val="32"/>
        </w:rPr>
        <w:t>30.</w:t>
      </w:r>
      <w:r>
        <w:rPr>
          <w:rFonts w:hint="eastAsia" w:ascii="仿宋_GB2312" w:eastAsia="仿宋_GB2312"/>
          <w:color w:val="000000"/>
          <w:sz w:val="32"/>
          <w:szCs w:val="32"/>
        </w:rPr>
        <w:t>住房保障支出（类）住房改革支出（款）住房公积金（项）：指行政事业单位按人力资源和社会保障部、财政部规定的基本工资和津贴补贴以及规定比例为职工缴纳的住房公积金。</w:t>
      </w:r>
    </w:p>
    <w:p>
      <w:pPr>
        <w:ind w:firstLine="640" w:firstLineChars="200"/>
        <w:rPr>
          <w:rFonts w:ascii="仿宋_GB2312" w:eastAsia="仿宋_GB2312"/>
          <w:color w:val="000000"/>
          <w:sz w:val="32"/>
          <w:szCs w:val="32"/>
        </w:rPr>
      </w:pPr>
      <w:r>
        <w:rPr>
          <w:rFonts w:ascii="仿宋_GB2312" w:eastAsia="仿宋_GB2312"/>
          <w:color w:val="000000"/>
          <w:sz w:val="32"/>
          <w:szCs w:val="32"/>
        </w:rPr>
        <w:t>31.</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ascii="仿宋_GB2312" w:eastAsia="仿宋_GB2312"/>
          <w:color w:val="000000"/>
          <w:sz w:val="32"/>
          <w:szCs w:val="32"/>
        </w:rPr>
        <w:t>32.</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ind w:firstLine="640" w:firstLineChars="200"/>
        <w:rPr>
          <w:rFonts w:ascii="仿宋_GB2312" w:eastAsia="仿宋_GB2312"/>
          <w:color w:val="000000"/>
          <w:sz w:val="32"/>
          <w:szCs w:val="32"/>
        </w:rPr>
      </w:pPr>
      <w:r>
        <w:rPr>
          <w:rFonts w:ascii="仿宋_GB2312" w:eastAsia="仿宋_GB2312"/>
          <w:color w:val="000000"/>
          <w:sz w:val="32"/>
          <w:szCs w:val="32"/>
        </w:rPr>
        <w:t>33.</w:t>
      </w:r>
      <w:r>
        <w:rPr>
          <w:rFonts w:hint="eastAsia" w:ascii="仿宋_GB2312" w:eastAsia="仿宋_GB2312"/>
          <w:color w:val="000000"/>
          <w:sz w:val="32"/>
          <w:szCs w:val="32"/>
        </w:rPr>
        <w:t>经营支出：指事业单位在专业业务活动及其辅助活动之外开展非独立核算经营活动发生的支出。</w:t>
      </w:r>
    </w:p>
    <w:p>
      <w:pPr>
        <w:pStyle w:val="35"/>
        <w:spacing w:line="560" w:lineRule="exact"/>
        <w:ind w:firstLine="640" w:firstLineChars="200"/>
        <w:rPr>
          <w:rFonts w:ascii="仿宋_GB2312" w:eastAsia="仿宋_GB2312"/>
          <w:sz w:val="32"/>
          <w:szCs w:val="32"/>
        </w:rPr>
      </w:pPr>
      <w:r>
        <w:rPr>
          <w:rFonts w:ascii="仿宋_GB2312" w:eastAsia="仿宋_GB2312"/>
          <w:sz w:val="32"/>
          <w:szCs w:val="32"/>
        </w:rPr>
        <w:t>34.</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35"/>
        <w:spacing w:line="560" w:lineRule="exact"/>
        <w:ind w:firstLine="640" w:firstLineChars="200"/>
        <w:rPr>
          <w:rFonts w:ascii="仿宋_GB2312" w:eastAsia="仿宋_GB2312"/>
          <w:sz w:val="32"/>
          <w:szCs w:val="32"/>
        </w:rPr>
      </w:pPr>
      <w:r>
        <w:rPr>
          <w:rFonts w:ascii="仿宋_GB2312" w:eastAsia="仿宋_GB2312"/>
          <w:sz w:val="32"/>
          <w:szCs w:val="32"/>
        </w:rPr>
        <w:t>35.</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Style w:val="25"/>
          <w:rFonts w:ascii="黑体" w:hAnsi="黑体" w:eastAsia="黑体"/>
          <w:b w:val="0"/>
        </w:rPr>
      </w:pPr>
      <w:bookmarkStart w:id="129" w:name="_Toc82764225"/>
      <w:bookmarkStart w:id="130" w:name="_Toc79163630"/>
      <w:bookmarkStart w:id="131" w:name="_Toc15396614"/>
      <w:bookmarkStart w:id="132" w:name="_Toc15377226"/>
      <w:r>
        <w:rPr>
          <w:rFonts w:hint="eastAsia" w:ascii="黑体" w:hAnsi="黑体" w:eastAsia="黑体"/>
          <w:color w:val="000000"/>
          <w:sz w:val="44"/>
          <w:szCs w:val="44"/>
        </w:rPr>
        <w:t>第</w:t>
      </w:r>
      <w:r>
        <w:rPr>
          <w:rStyle w:val="25"/>
          <w:rFonts w:hint="eastAsia" w:ascii="黑体" w:hAnsi="黑体" w:eastAsia="黑体"/>
          <w:b w:val="0"/>
        </w:rPr>
        <w:t>四部分</w:t>
      </w:r>
      <w:r>
        <w:rPr>
          <w:rStyle w:val="25"/>
          <w:rFonts w:ascii="黑体" w:hAnsi="黑体" w:eastAsia="黑体"/>
          <w:b w:val="0"/>
        </w:rPr>
        <w:t xml:space="preserve"> </w:t>
      </w:r>
      <w:r>
        <w:rPr>
          <w:rStyle w:val="25"/>
          <w:rFonts w:hint="eastAsia" w:ascii="黑体" w:hAnsi="黑体" w:eastAsia="黑体"/>
          <w:b w:val="0"/>
        </w:rPr>
        <w:t>附件</w:t>
      </w:r>
      <w:bookmarkEnd w:id="129"/>
      <w:bookmarkEnd w:id="130"/>
      <w:bookmarkEnd w:id="131"/>
    </w:p>
    <w:p>
      <w:pPr>
        <w:spacing w:line="600" w:lineRule="exact"/>
        <w:jc w:val="left"/>
        <w:outlineLvl w:val="0"/>
        <w:rPr>
          <w:rFonts w:ascii="方正小标宋简体" w:hAnsi="方正小标宋简体" w:eastAsia="方正小标宋简体" w:cs="方正小标宋简体"/>
          <w:sz w:val="32"/>
          <w:szCs w:val="32"/>
        </w:rPr>
      </w:pPr>
      <w:bookmarkStart w:id="133" w:name="_Toc82764226"/>
      <w:bookmarkStart w:id="134" w:name="_Toc79163631"/>
      <w:r>
        <w:rPr>
          <w:rFonts w:hint="eastAsia" w:ascii="黑体" w:hAnsi="黑体" w:eastAsia="黑体" w:cs="黑体"/>
          <w:sz w:val="32"/>
          <w:szCs w:val="32"/>
        </w:rPr>
        <w:t>附件</w:t>
      </w:r>
      <w:r>
        <w:rPr>
          <w:rFonts w:ascii="黑体" w:hAnsi="黑体" w:eastAsia="黑体" w:cs="黑体"/>
          <w:sz w:val="32"/>
          <w:szCs w:val="32"/>
        </w:rPr>
        <w:t>1</w:t>
      </w:r>
      <w:bookmarkEnd w:id="133"/>
      <w:bookmarkEnd w:id="134"/>
    </w:p>
    <w:p>
      <w:pPr>
        <w:spacing w:line="600" w:lineRule="exact"/>
        <w:jc w:val="center"/>
        <w:rPr>
          <w:rFonts w:ascii="方正小标宋简体" w:hAnsi="宋体" w:eastAsia="方正小标宋简体"/>
          <w:color w:val="000000"/>
          <w:kern w:val="0"/>
          <w:sz w:val="40"/>
          <w:szCs w:val="44"/>
          <w:lang w:val="zh-CN"/>
        </w:rPr>
      </w:pPr>
      <w:r>
        <w:rPr>
          <w:rFonts w:hint="eastAsia" w:ascii="方正小标宋简体" w:hAnsi="宋体" w:eastAsia="方正小标宋简体"/>
          <w:color w:val="000000"/>
          <w:kern w:val="0"/>
          <w:sz w:val="40"/>
          <w:szCs w:val="44"/>
        </w:rPr>
        <w:t>茂县退役军人事务局</w:t>
      </w:r>
      <w:r>
        <w:rPr>
          <w:rFonts w:hint="eastAsia" w:ascii="方正小标宋简体" w:hAnsi="宋体" w:eastAsia="方正小标宋简体"/>
          <w:color w:val="000000"/>
          <w:kern w:val="0"/>
          <w:sz w:val="40"/>
          <w:szCs w:val="44"/>
          <w:lang w:val="zh-CN"/>
        </w:rPr>
        <w:t>部门</w:t>
      </w:r>
      <w:r>
        <w:rPr>
          <w:rFonts w:ascii="方正小标宋简体" w:hAnsi="宋体" w:eastAsia="方正小标宋简体"/>
          <w:color w:val="000000"/>
          <w:kern w:val="0"/>
          <w:sz w:val="40"/>
          <w:szCs w:val="44"/>
        </w:rPr>
        <w:t>2020</w:t>
      </w:r>
      <w:r>
        <w:rPr>
          <w:rFonts w:hint="eastAsia" w:ascii="方正小标宋简体" w:hAnsi="宋体" w:eastAsia="方正小标宋简体"/>
          <w:color w:val="000000"/>
          <w:kern w:val="0"/>
          <w:sz w:val="40"/>
          <w:szCs w:val="44"/>
        </w:rPr>
        <w:t>年部门</w:t>
      </w:r>
      <w:r>
        <w:rPr>
          <w:rFonts w:hint="eastAsia" w:ascii="方正小标宋简体" w:hAnsi="宋体" w:eastAsia="方正小标宋简体"/>
          <w:color w:val="000000"/>
          <w:kern w:val="0"/>
          <w:sz w:val="40"/>
          <w:szCs w:val="44"/>
          <w:lang w:val="zh-CN"/>
        </w:rPr>
        <w:t>整体支出绩效评价报告</w:t>
      </w:r>
    </w:p>
    <w:p>
      <w:pPr>
        <w:widowControl/>
        <w:spacing w:line="580" w:lineRule="exact"/>
        <w:ind w:firstLine="640" w:firstLineChars="200"/>
        <w:contextualSpacing/>
        <w:jc w:val="center"/>
        <w:rPr>
          <w:rFonts w:ascii="仿宋_GB2312" w:hAnsi="宋体" w:eastAsia="仿宋_GB2312"/>
          <w:sz w:val="32"/>
          <w:szCs w:val="32"/>
          <w:shd w:val="clear" w:color="auto" w:fill="FFFFFF"/>
        </w:rPr>
      </w:pPr>
      <w:r>
        <w:rPr>
          <w:rFonts w:hint="eastAsia" w:ascii="仿宋_GB2312" w:hAnsi="宋体" w:eastAsia="仿宋_GB2312"/>
          <w:sz w:val="32"/>
          <w:szCs w:val="32"/>
          <w:shd w:val="clear" w:color="auto" w:fill="FFFFFF"/>
        </w:rPr>
        <w:t>（报告范围包括机关和下属单位）</w:t>
      </w:r>
    </w:p>
    <w:p>
      <w:pPr>
        <w:widowControl/>
        <w:adjustRightInd w:val="0"/>
        <w:snapToGrid w:val="0"/>
        <w:spacing w:line="580" w:lineRule="exact"/>
        <w:ind w:firstLine="480" w:firstLineChars="200"/>
        <w:contextualSpacing/>
        <w:jc w:val="left"/>
        <w:rPr>
          <w:rFonts w:ascii="黑体" w:hAnsi="宋体" w:eastAsia="黑体" w:cs="宋体"/>
          <w:color w:val="000000"/>
          <w:kern w:val="0"/>
          <w:sz w:val="24"/>
          <w:szCs w:val="32"/>
          <w:shd w:val="clear" w:color="auto" w:fill="FFFFFF"/>
        </w:rPr>
      </w:pP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lang w:val="zh-CN"/>
        </w:rPr>
      </w:pPr>
      <w:r>
        <w:rPr>
          <w:rFonts w:hint="eastAsia" w:ascii="黑体" w:hAnsi="宋体" w:eastAsia="黑体" w:cs="宋体"/>
          <w:color w:val="000000"/>
          <w:kern w:val="0"/>
          <w:sz w:val="32"/>
          <w:szCs w:val="32"/>
          <w:shd w:val="clear" w:color="auto" w:fill="FFFFFF"/>
        </w:rPr>
        <w:t>一、</w:t>
      </w:r>
      <w:r>
        <w:rPr>
          <w:rFonts w:hint="eastAsia" w:ascii="黑体" w:hAnsi="宋体" w:eastAsia="黑体" w:cs="宋体"/>
          <w:color w:val="000000"/>
          <w:kern w:val="0"/>
          <w:sz w:val="32"/>
          <w:szCs w:val="32"/>
          <w:shd w:val="clear" w:color="auto" w:fill="FFFFFF"/>
          <w:lang w:val="zh-CN"/>
        </w:rPr>
        <w:t>部门（单位）概况</w:t>
      </w:r>
    </w:p>
    <w:p>
      <w:pPr>
        <w:ind w:firstLine="640" w:firstLineChars="200"/>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（一）人员概况</w:t>
      </w:r>
    </w:p>
    <w:p>
      <w:pPr>
        <w:snapToGrid w:val="0"/>
        <w:spacing w:line="576" w:lineRule="exact"/>
        <w:ind w:firstLine="640" w:firstLineChars="200"/>
        <w:rPr>
          <w:rFonts w:ascii="仿宋" w:hAnsi="仿宋" w:eastAsia="仿宋"/>
          <w:sz w:val="32"/>
          <w:szCs w:val="32"/>
        </w:rPr>
      </w:pPr>
      <w:r>
        <w:rPr>
          <w:rFonts w:hint="eastAsia" w:ascii="仿宋" w:hAnsi="仿宋" w:eastAsia="仿宋"/>
          <w:sz w:val="32"/>
          <w:szCs w:val="32"/>
        </w:rPr>
        <w:t>茂县退役军人事务局</w:t>
      </w:r>
      <w:r>
        <w:rPr>
          <w:rFonts w:hint="eastAsia" w:ascii="仿宋_GB2312" w:eastAsia="仿宋_GB2312"/>
          <w:sz w:val="32"/>
          <w:szCs w:val="32"/>
        </w:rPr>
        <w:t>为行政单位，现有行政编制</w:t>
      </w:r>
      <w:r>
        <w:rPr>
          <w:rFonts w:ascii="仿宋_GB2312" w:eastAsia="仿宋_GB2312"/>
          <w:sz w:val="32"/>
          <w:szCs w:val="32"/>
        </w:rPr>
        <w:t>6</w:t>
      </w:r>
      <w:r>
        <w:rPr>
          <w:rFonts w:hint="eastAsia" w:ascii="仿宋_GB2312" w:eastAsia="仿宋_GB2312"/>
          <w:sz w:val="32"/>
          <w:szCs w:val="32"/>
        </w:rPr>
        <w:t>人，事业编制</w:t>
      </w:r>
      <w:r>
        <w:rPr>
          <w:rFonts w:ascii="仿宋_GB2312" w:eastAsia="仿宋_GB2312"/>
          <w:sz w:val="32"/>
          <w:szCs w:val="32"/>
        </w:rPr>
        <w:t>4</w:t>
      </w:r>
      <w:r>
        <w:rPr>
          <w:rFonts w:hint="eastAsia" w:ascii="仿宋_GB2312" w:eastAsia="仿宋_GB2312"/>
          <w:sz w:val="32"/>
          <w:szCs w:val="32"/>
        </w:rPr>
        <w:t>人（其中行政工勤编制</w:t>
      </w:r>
      <w:r>
        <w:rPr>
          <w:rFonts w:ascii="仿宋_GB2312" w:eastAsia="仿宋_GB2312"/>
          <w:sz w:val="32"/>
          <w:szCs w:val="32"/>
        </w:rPr>
        <w:t>1</w:t>
      </w:r>
      <w:r>
        <w:rPr>
          <w:rFonts w:hint="eastAsia" w:ascii="仿宋_GB2312" w:eastAsia="仿宋_GB2312"/>
          <w:sz w:val="32"/>
          <w:szCs w:val="32"/>
        </w:rPr>
        <w:t>人），在职职工</w:t>
      </w:r>
      <w:r>
        <w:rPr>
          <w:rFonts w:ascii="仿宋_GB2312" w:eastAsia="仿宋_GB2312"/>
          <w:sz w:val="32"/>
          <w:szCs w:val="32"/>
        </w:rPr>
        <w:t>10</w:t>
      </w:r>
      <w:r>
        <w:rPr>
          <w:rFonts w:hint="eastAsia" w:ascii="仿宋_GB2312" w:eastAsia="仿宋_GB2312"/>
          <w:sz w:val="32"/>
          <w:szCs w:val="32"/>
        </w:rPr>
        <w:t>人，其中：行政人员</w:t>
      </w:r>
      <w:r>
        <w:rPr>
          <w:rFonts w:ascii="仿宋_GB2312" w:eastAsia="仿宋_GB2312"/>
          <w:sz w:val="32"/>
          <w:szCs w:val="32"/>
        </w:rPr>
        <w:t>6</w:t>
      </w:r>
      <w:r>
        <w:rPr>
          <w:rFonts w:hint="eastAsia" w:ascii="仿宋_GB2312" w:eastAsia="仿宋_GB2312"/>
          <w:sz w:val="32"/>
          <w:szCs w:val="32"/>
        </w:rPr>
        <w:t>人，事业人员</w:t>
      </w:r>
      <w:r>
        <w:rPr>
          <w:rFonts w:ascii="仿宋_GB2312" w:eastAsia="仿宋_GB2312"/>
          <w:sz w:val="32"/>
          <w:szCs w:val="32"/>
        </w:rPr>
        <w:t>4</w:t>
      </w:r>
      <w:r>
        <w:rPr>
          <w:rFonts w:hint="eastAsia" w:ascii="仿宋_GB2312" w:eastAsia="仿宋_GB2312"/>
          <w:sz w:val="32"/>
          <w:szCs w:val="32"/>
        </w:rPr>
        <w:t>人。</w:t>
      </w: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二、部门财政资金收支情况</w:t>
      </w:r>
    </w:p>
    <w:p>
      <w:pPr>
        <w:spacing w:line="600" w:lineRule="exact"/>
        <w:ind w:firstLine="640" w:firstLineChars="200"/>
        <w:outlineLvl w:val="1"/>
        <w:rPr>
          <w:rFonts w:ascii="仿宋" w:hAnsi="仿宋" w:eastAsia="仿宋"/>
          <w:color w:val="000000"/>
          <w:sz w:val="32"/>
          <w:szCs w:val="32"/>
        </w:rPr>
      </w:pPr>
      <w:bookmarkStart w:id="135" w:name="_Toc82764227"/>
      <w:r>
        <w:rPr>
          <w:rFonts w:ascii="仿宋" w:hAnsi="仿宋" w:eastAsia="仿宋"/>
          <w:color w:val="000000"/>
          <w:sz w:val="32"/>
          <w:szCs w:val="32"/>
        </w:rPr>
        <w:t>2020</w:t>
      </w:r>
      <w:r>
        <w:rPr>
          <w:rFonts w:hint="eastAsia" w:ascii="仿宋" w:hAnsi="仿宋" w:eastAsia="仿宋"/>
          <w:color w:val="000000"/>
          <w:sz w:val="32"/>
          <w:szCs w:val="32"/>
        </w:rPr>
        <w:t>年本年收入合计</w:t>
      </w:r>
      <w:r>
        <w:rPr>
          <w:rFonts w:ascii="仿宋" w:hAnsi="仿宋" w:eastAsia="仿宋"/>
          <w:color w:val="000000"/>
          <w:sz w:val="32"/>
          <w:szCs w:val="32"/>
        </w:rPr>
        <w:t>811.97</w:t>
      </w:r>
      <w:r>
        <w:rPr>
          <w:rFonts w:hint="eastAsia" w:ascii="仿宋" w:hAnsi="仿宋" w:eastAsia="仿宋"/>
          <w:color w:val="000000"/>
          <w:sz w:val="32"/>
          <w:szCs w:val="32"/>
        </w:rPr>
        <w:t>万元，其中：一般公共预算财政拨款收入</w:t>
      </w:r>
      <w:r>
        <w:rPr>
          <w:rFonts w:ascii="仿宋" w:hAnsi="仿宋" w:eastAsia="仿宋"/>
          <w:color w:val="000000"/>
          <w:sz w:val="32"/>
          <w:szCs w:val="32"/>
        </w:rPr>
        <w:t>811.97</w:t>
      </w:r>
      <w:r>
        <w:rPr>
          <w:rFonts w:hint="eastAsia" w:ascii="仿宋" w:hAnsi="仿宋" w:eastAsia="仿宋"/>
          <w:color w:val="000000"/>
          <w:sz w:val="32"/>
          <w:szCs w:val="32"/>
        </w:rPr>
        <w:t>万元。无政府性基金预算财政拨款收、上级补助收入、事业收入、经营收入、附属单位上缴收入、其他收入。</w:t>
      </w:r>
      <w:bookmarkEnd w:id="135"/>
    </w:p>
    <w:p>
      <w:pPr>
        <w:pStyle w:val="19"/>
        <w:spacing w:line="576" w:lineRule="exact"/>
        <w:ind w:firstLine="480" w:firstLineChars="150"/>
        <w:rPr>
          <w:rFonts w:ascii="仿宋_GB2312" w:eastAsia="仿宋_GB2312"/>
          <w:color w:val="000000"/>
          <w:sz w:val="32"/>
          <w:szCs w:val="32"/>
          <w:shd w:val="clear" w:color="auto" w:fill="FFFFFF"/>
          <w:lang w:val="zh-CN"/>
        </w:rPr>
      </w:pPr>
      <w:r>
        <w:rPr>
          <w:rFonts w:hint="eastAsia" w:ascii="仿宋_GB2312" w:eastAsia="仿宋_GB2312"/>
          <w:color w:val="000000"/>
          <w:sz w:val="32"/>
          <w:szCs w:val="32"/>
          <w:shd w:val="clear" w:color="auto" w:fill="FFFFFF"/>
          <w:lang w:val="zh-CN"/>
        </w:rPr>
        <w:t>（二）部门财政资金支出情况</w:t>
      </w:r>
    </w:p>
    <w:p>
      <w:pPr>
        <w:pStyle w:val="19"/>
        <w:spacing w:line="576" w:lineRule="exact"/>
        <w:ind w:firstLine="480" w:firstLineChars="150"/>
        <w:rPr>
          <w:rFonts w:ascii="仿宋_GB2312" w:eastAsia="仿宋_GB2312"/>
          <w:color w:val="000000"/>
          <w:sz w:val="32"/>
          <w:szCs w:val="32"/>
          <w:shd w:val="clear" w:color="auto" w:fill="FFFFFF"/>
          <w:lang w:val="zh-CN"/>
        </w:rPr>
      </w:pPr>
      <w:r>
        <w:rPr>
          <w:rFonts w:ascii="仿宋" w:hAnsi="仿宋" w:eastAsia="仿宋"/>
          <w:color w:val="000000"/>
          <w:sz w:val="32"/>
          <w:szCs w:val="32"/>
        </w:rPr>
        <w:t>2020</w:t>
      </w:r>
      <w:r>
        <w:rPr>
          <w:rFonts w:hint="eastAsia" w:ascii="仿宋" w:hAnsi="仿宋" w:eastAsia="仿宋"/>
          <w:color w:val="000000"/>
          <w:sz w:val="32"/>
          <w:szCs w:val="32"/>
        </w:rPr>
        <w:t>年一般公共预算财政拨款支出</w:t>
      </w:r>
      <w:r>
        <w:rPr>
          <w:rFonts w:ascii="仿宋" w:hAnsi="仿宋" w:eastAsia="仿宋"/>
          <w:color w:val="000000"/>
          <w:sz w:val="32"/>
          <w:szCs w:val="32"/>
        </w:rPr>
        <w:t>848.72</w:t>
      </w:r>
      <w:r>
        <w:rPr>
          <w:rFonts w:hint="eastAsia" w:ascii="仿宋" w:hAnsi="仿宋" w:eastAsia="仿宋"/>
          <w:color w:val="000000"/>
          <w:sz w:val="32"/>
          <w:szCs w:val="32"/>
        </w:rPr>
        <w:t>万元，主要用于以下方面</w:t>
      </w:r>
      <w:r>
        <w:rPr>
          <w:rFonts w:ascii="仿宋" w:hAnsi="仿宋" w:eastAsia="仿宋"/>
          <w:color w:val="000000"/>
          <w:sz w:val="32"/>
          <w:szCs w:val="32"/>
        </w:rPr>
        <w:t>:</w:t>
      </w:r>
      <w:r>
        <w:rPr>
          <w:rFonts w:hint="eastAsia" w:ascii="仿宋" w:hAnsi="仿宋" w:eastAsia="仿宋"/>
          <w:b/>
          <w:color w:val="000000"/>
          <w:sz w:val="32"/>
          <w:szCs w:val="32"/>
        </w:rPr>
        <w:t>社会保障和就业（类）</w:t>
      </w:r>
      <w:r>
        <w:rPr>
          <w:rFonts w:hint="eastAsia" w:ascii="仿宋" w:hAnsi="仿宋" w:eastAsia="仿宋"/>
          <w:color w:val="000000"/>
          <w:sz w:val="32"/>
          <w:szCs w:val="32"/>
        </w:rPr>
        <w:t>支出</w:t>
      </w:r>
      <w:r>
        <w:rPr>
          <w:rFonts w:ascii="仿宋" w:hAnsi="仿宋" w:eastAsia="仿宋"/>
          <w:color w:val="000000"/>
          <w:sz w:val="32"/>
          <w:szCs w:val="32"/>
        </w:rPr>
        <w:t>822.57</w:t>
      </w:r>
      <w:r>
        <w:rPr>
          <w:rFonts w:hint="eastAsia" w:ascii="仿宋" w:hAnsi="仿宋" w:eastAsia="仿宋"/>
          <w:color w:val="000000"/>
          <w:sz w:val="32"/>
          <w:szCs w:val="32"/>
        </w:rPr>
        <w:t>万元，</w:t>
      </w:r>
      <w:r>
        <w:rPr>
          <w:rFonts w:hint="eastAsia" w:ascii="仿宋" w:hAnsi="仿宋" w:eastAsia="仿宋"/>
          <w:b/>
          <w:bCs/>
          <w:color w:val="000000"/>
          <w:sz w:val="32"/>
          <w:szCs w:val="32"/>
        </w:rPr>
        <w:t>卫生健康支出</w:t>
      </w:r>
      <w:r>
        <w:rPr>
          <w:rFonts w:ascii="仿宋" w:hAnsi="仿宋" w:eastAsia="仿宋"/>
          <w:color w:val="000000"/>
          <w:sz w:val="32"/>
          <w:szCs w:val="32"/>
        </w:rPr>
        <w:t>15.15</w:t>
      </w:r>
      <w:r>
        <w:rPr>
          <w:rFonts w:hint="eastAsia" w:ascii="仿宋" w:hAnsi="仿宋" w:eastAsia="仿宋"/>
          <w:color w:val="000000"/>
          <w:sz w:val="32"/>
          <w:szCs w:val="32"/>
        </w:rPr>
        <w:t>万元，住房保障支出</w:t>
      </w:r>
      <w:r>
        <w:rPr>
          <w:rFonts w:ascii="仿宋" w:hAnsi="仿宋" w:eastAsia="仿宋"/>
          <w:color w:val="000000"/>
          <w:sz w:val="32"/>
          <w:szCs w:val="32"/>
        </w:rPr>
        <w:t>11</w:t>
      </w:r>
      <w:r>
        <w:rPr>
          <w:rFonts w:hint="eastAsia" w:ascii="仿宋" w:hAnsi="仿宋" w:eastAsia="仿宋"/>
          <w:color w:val="000000"/>
          <w:sz w:val="32"/>
          <w:szCs w:val="32"/>
        </w:rPr>
        <w:t>万元。</w:t>
      </w: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三、部门整体预算绩效管理情况</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（一）部门预算管理</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Tahoma" w:cs="Tahoma"/>
          <w:sz w:val="32"/>
          <w:szCs w:val="32"/>
        </w:rPr>
        <w:t>单</w:t>
      </w:r>
      <w:r>
        <w:rPr>
          <w:rFonts w:hint="eastAsia" w:ascii="仿宋_GB2312" w:hAnsi="Calibri" w:eastAsia="仿宋_GB2312" w:cs="仿宋"/>
          <w:color w:val="000000"/>
          <w:kern w:val="0"/>
          <w:sz w:val="32"/>
          <w:szCs w:val="32"/>
        </w:rPr>
        <w:t>位严格按照县财政部门预算编制通知和有关文件要求，秉承强化规划约束、坚持限额控制、实时滚动管理、强化绩效管理的基本编制原则在县财政部门规定的时间内于部门预算管理系统中以上年度</w:t>
      </w:r>
      <w:r>
        <w:rPr>
          <w:rFonts w:ascii="仿宋_GB2312" w:hAnsi="Calibri" w:eastAsia="仿宋_GB2312" w:cs="仿宋"/>
          <w:color w:val="000000"/>
          <w:kern w:val="0"/>
          <w:sz w:val="32"/>
          <w:szCs w:val="32"/>
        </w:rPr>
        <w:t>9</w:t>
      </w:r>
      <w:r>
        <w:rPr>
          <w:rFonts w:hint="eastAsia" w:ascii="仿宋_GB2312" w:hAnsi="Calibri" w:eastAsia="仿宋_GB2312" w:cs="仿宋"/>
          <w:color w:val="000000"/>
          <w:kern w:val="0"/>
          <w:sz w:val="32"/>
          <w:szCs w:val="32"/>
        </w:rPr>
        <w:t>月份单位人员情况完成单位基本信息表及基础资料表。同时，根据“定员定额”标准并结合本单位实际项目安排批准情况填制收支总表及支出项目录入表。单位预算编制工作完成后按“二上二下”的编制程序提交县财政支出管理股室进行审核后下达批复。</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（二）结果应用情况</w:t>
      </w:r>
    </w:p>
    <w:p>
      <w:pPr>
        <w:widowControl/>
        <w:adjustRightInd w:val="0"/>
        <w:snapToGrid w:val="0"/>
        <w:spacing w:line="580" w:lineRule="exact"/>
        <w:ind w:firstLine="640" w:firstLineChars="200"/>
        <w:contextualSpacing/>
        <w:jc w:val="left"/>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我局对部门预算绩效管理工作开展情况认真进行了自查自评。绩效评价自查开展覆盖重点支出，将评价结果作为预算安排的重要依据，参照项目年度预算执行情况、“三年滚动规划”执行情况统筹项目支出需求，保障重点支出，调整支出结构，优化财政资金配置，不断强化绩效理念，推动我厅部门整体绩效管理水平不断提升。</w:t>
      </w: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四、评价结论及建议</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（一）评价结论</w:t>
      </w:r>
    </w:p>
    <w:p>
      <w:pPr>
        <w:widowControl/>
        <w:ind w:firstLine="640" w:firstLineChars="200"/>
        <w:jc w:val="left"/>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单位对照《县级部门整体支出绩效评价指标体系表》中各项具体指标认真开展自评工作，经自评，单位部门整体支出均按照相应的规章制度和要求执行办理，不存在扣分事项。</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（二）存在问题</w:t>
      </w:r>
    </w:p>
    <w:p>
      <w:pPr>
        <w:widowControl/>
        <w:ind w:firstLine="640" w:firstLineChars="200"/>
        <w:jc w:val="left"/>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单位对部门支出相关规章制度落实力度不够，执行能力不强，在票据报销规范性方面的管理不够严谨细致。</w:t>
      </w:r>
    </w:p>
    <w:p>
      <w:pPr>
        <w:widowControl/>
        <w:ind w:firstLine="640" w:firstLineChars="200"/>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（三）改进建议</w:t>
      </w:r>
    </w:p>
    <w:p>
      <w:pPr>
        <w:widowControl/>
        <w:ind w:firstLine="640" w:firstLineChars="200"/>
        <w:jc w:val="left"/>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单位财务人员在今后工作中要按照有关文件及规章制度的要求严格管理各项经费支出，细化财务审批程序，加大对报销票据的审核把关力度，落实岗位职责，坚守职业道德，重点对“三公”经费开支范围及标准进行准确核算，确保财务原始凭证的规范性、完整性、真实性。</w:t>
      </w:r>
    </w:p>
    <w:tbl>
      <w:tblPr>
        <w:tblStyle w:val="21"/>
        <w:tblW w:w="8504" w:type="dxa"/>
        <w:tblInd w:w="0" w:type="dxa"/>
        <w:tblLayout w:type="fixed"/>
        <w:tblCellMar>
          <w:top w:w="0" w:type="dxa"/>
          <w:left w:w="0" w:type="dxa"/>
          <w:bottom w:w="0" w:type="dxa"/>
          <w:right w:w="0" w:type="dxa"/>
        </w:tblCellMar>
      </w:tblPr>
      <w:tblGrid>
        <w:gridCol w:w="447"/>
        <w:gridCol w:w="678"/>
        <w:gridCol w:w="1105"/>
        <w:gridCol w:w="2509"/>
        <w:gridCol w:w="338"/>
        <w:gridCol w:w="374"/>
        <w:gridCol w:w="3053"/>
      </w:tblGrid>
      <w:tr>
        <w:tblPrEx>
          <w:tblCellMar>
            <w:top w:w="0" w:type="dxa"/>
            <w:left w:w="0" w:type="dxa"/>
            <w:bottom w:w="0" w:type="dxa"/>
            <w:right w:w="0" w:type="dxa"/>
          </w:tblCellMar>
        </w:tblPrEx>
        <w:trPr>
          <w:trHeight w:val="535" w:hRule="atLeast"/>
        </w:trPr>
        <w:tc>
          <w:tcPr>
            <w:tcW w:w="447" w:type="dxa"/>
            <w:tcBorders>
              <w:top w:val="nil"/>
              <w:left w:val="nil"/>
              <w:bottom w:val="nil"/>
              <w:right w:val="nil"/>
            </w:tcBorders>
            <w:noWrap/>
            <w:tcMar>
              <w:top w:w="15" w:type="dxa"/>
              <w:left w:w="15" w:type="dxa"/>
              <w:right w:w="15" w:type="dxa"/>
            </w:tcMar>
            <w:vAlign w:val="center"/>
          </w:tcPr>
          <w:p>
            <w:pPr>
              <w:widowControl/>
              <w:jc w:val="left"/>
              <w:textAlignment w:val="center"/>
              <w:rPr>
                <w:rFonts w:ascii="宋体" w:cs="宋体"/>
                <w:color w:val="000000"/>
                <w:sz w:val="16"/>
                <w:szCs w:val="16"/>
              </w:rPr>
            </w:pPr>
          </w:p>
        </w:tc>
        <w:tc>
          <w:tcPr>
            <w:tcW w:w="678" w:type="dxa"/>
            <w:tcBorders>
              <w:top w:val="nil"/>
              <w:left w:val="nil"/>
              <w:bottom w:val="nil"/>
              <w:right w:val="nil"/>
            </w:tcBorders>
            <w:noWrap/>
            <w:tcMar>
              <w:top w:w="15" w:type="dxa"/>
              <w:left w:w="15" w:type="dxa"/>
              <w:right w:w="15" w:type="dxa"/>
            </w:tcMar>
            <w:vAlign w:val="center"/>
          </w:tcPr>
          <w:p>
            <w:pPr>
              <w:jc w:val="center"/>
              <w:rPr>
                <w:rFonts w:ascii="宋体" w:cs="宋体"/>
                <w:color w:val="000000"/>
                <w:sz w:val="16"/>
                <w:szCs w:val="16"/>
              </w:rPr>
            </w:pPr>
          </w:p>
        </w:tc>
        <w:tc>
          <w:tcPr>
            <w:tcW w:w="1105" w:type="dxa"/>
            <w:tcBorders>
              <w:top w:val="nil"/>
              <w:left w:val="nil"/>
              <w:bottom w:val="nil"/>
              <w:right w:val="nil"/>
            </w:tcBorders>
            <w:noWrap/>
            <w:tcMar>
              <w:top w:w="15" w:type="dxa"/>
              <w:left w:w="15" w:type="dxa"/>
              <w:right w:w="15" w:type="dxa"/>
            </w:tcMar>
            <w:vAlign w:val="center"/>
          </w:tcPr>
          <w:p>
            <w:pPr>
              <w:rPr>
                <w:rFonts w:ascii="宋体" w:cs="宋体"/>
                <w:color w:val="000000"/>
                <w:sz w:val="16"/>
                <w:szCs w:val="16"/>
              </w:rPr>
            </w:pPr>
          </w:p>
        </w:tc>
        <w:tc>
          <w:tcPr>
            <w:tcW w:w="2509" w:type="dxa"/>
            <w:tcBorders>
              <w:top w:val="nil"/>
              <w:left w:val="nil"/>
              <w:bottom w:val="nil"/>
              <w:right w:val="nil"/>
            </w:tcBorders>
            <w:noWrap/>
            <w:tcMar>
              <w:top w:w="15" w:type="dxa"/>
              <w:left w:w="15" w:type="dxa"/>
              <w:right w:w="15" w:type="dxa"/>
            </w:tcMar>
            <w:vAlign w:val="center"/>
          </w:tcPr>
          <w:p>
            <w:pPr>
              <w:rPr>
                <w:rFonts w:ascii="宋体" w:cs="宋体"/>
                <w:color w:val="000000"/>
                <w:sz w:val="16"/>
                <w:szCs w:val="16"/>
              </w:rPr>
            </w:pPr>
          </w:p>
        </w:tc>
        <w:tc>
          <w:tcPr>
            <w:tcW w:w="338" w:type="dxa"/>
            <w:tcBorders>
              <w:top w:val="nil"/>
              <w:left w:val="nil"/>
              <w:bottom w:val="nil"/>
              <w:right w:val="nil"/>
            </w:tcBorders>
            <w:shd w:val="clear" w:color="auto" w:fill="FFFFFF"/>
            <w:noWrap/>
            <w:tcMar>
              <w:top w:w="15" w:type="dxa"/>
              <w:left w:w="15" w:type="dxa"/>
              <w:right w:w="15" w:type="dxa"/>
            </w:tcMar>
            <w:vAlign w:val="center"/>
          </w:tcPr>
          <w:p>
            <w:pPr>
              <w:rPr>
                <w:rFonts w:ascii="宋体" w:cs="宋体"/>
                <w:color w:val="000000"/>
                <w:sz w:val="16"/>
                <w:szCs w:val="16"/>
              </w:rPr>
            </w:pPr>
          </w:p>
        </w:tc>
        <w:tc>
          <w:tcPr>
            <w:tcW w:w="374" w:type="dxa"/>
            <w:tcBorders>
              <w:top w:val="nil"/>
              <w:left w:val="nil"/>
              <w:bottom w:val="nil"/>
              <w:right w:val="nil"/>
            </w:tcBorders>
            <w:shd w:val="clear" w:color="auto" w:fill="FFFFFF"/>
            <w:noWrap/>
            <w:tcMar>
              <w:top w:w="15" w:type="dxa"/>
              <w:left w:w="15" w:type="dxa"/>
              <w:right w:w="15" w:type="dxa"/>
            </w:tcMar>
            <w:vAlign w:val="center"/>
          </w:tcPr>
          <w:p>
            <w:pPr>
              <w:rPr>
                <w:rFonts w:ascii="宋体" w:cs="宋体"/>
                <w:color w:val="000000"/>
                <w:sz w:val="16"/>
                <w:szCs w:val="16"/>
              </w:rPr>
            </w:pPr>
          </w:p>
        </w:tc>
        <w:tc>
          <w:tcPr>
            <w:tcW w:w="3053" w:type="dxa"/>
            <w:tcBorders>
              <w:top w:val="nil"/>
              <w:left w:val="nil"/>
              <w:bottom w:val="nil"/>
              <w:right w:val="nil"/>
            </w:tcBorders>
            <w:noWrap/>
            <w:tcMar>
              <w:top w:w="15" w:type="dxa"/>
              <w:left w:w="15" w:type="dxa"/>
              <w:right w:w="15" w:type="dxa"/>
            </w:tcMar>
            <w:vAlign w:val="center"/>
          </w:tcPr>
          <w:p>
            <w:pPr>
              <w:rPr>
                <w:rFonts w:ascii="宋体" w:cs="宋体"/>
                <w:color w:val="000000"/>
                <w:sz w:val="16"/>
                <w:szCs w:val="16"/>
              </w:rPr>
            </w:pPr>
          </w:p>
        </w:tc>
      </w:tr>
      <w:tr>
        <w:tblPrEx>
          <w:tblCellMar>
            <w:top w:w="0" w:type="dxa"/>
            <w:left w:w="0" w:type="dxa"/>
            <w:bottom w:w="0" w:type="dxa"/>
            <w:right w:w="0" w:type="dxa"/>
          </w:tblCellMar>
        </w:tblPrEx>
        <w:trPr>
          <w:trHeight w:val="335" w:hRule="atLeast"/>
        </w:trPr>
        <w:tc>
          <w:tcPr>
            <w:tcW w:w="8504" w:type="dxa"/>
            <w:gridSpan w:val="7"/>
            <w:tcBorders>
              <w:top w:val="nil"/>
              <w:left w:val="nil"/>
              <w:bottom w:val="single" w:color="000000" w:sz="4" w:space="0"/>
              <w:right w:val="nil"/>
            </w:tcBorders>
            <w:noWrap/>
            <w:tcMar>
              <w:top w:w="15" w:type="dxa"/>
              <w:left w:w="15" w:type="dxa"/>
              <w:right w:w="15" w:type="dxa"/>
            </w:tcMar>
            <w:vAlign w:val="center"/>
          </w:tcPr>
          <w:p>
            <w:pPr>
              <w:widowControl/>
              <w:jc w:val="center"/>
              <w:textAlignment w:val="center"/>
              <w:rPr>
                <w:rFonts w:ascii="仿宋_GB2312" w:eastAsia="仿宋_GB2312" w:cs="宋体"/>
                <w:b/>
                <w:color w:val="000000"/>
                <w:sz w:val="32"/>
                <w:szCs w:val="32"/>
              </w:rPr>
            </w:pPr>
            <w:r>
              <w:rPr>
                <w:rFonts w:ascii="仿宋_GB2312" w:hAnsi="宋体" w:eastAsia="仿宋_GB2312" w:cs="宋体"/>
                <w:b/>
                <w:color w:val="000000"/>
                <w:kern w:val="0"/>
                <w:sz w:val="32"/>
                <w:szCs w:val="32"/>
              </w:rPr>
              <w:t>2020</w:t>
            </w:r>
            <w:r>
              <w:rPr>
                <w:rFonts w:hint="eastAsia" w:ascii="仿宋_GB2312" w:hAnsi="宋体" w:eastAsia="仿宋_GB2312" w:cs="宋体"/>
                <w:b/>
                <w:color w:val="000000"/>
                <w:kern w:val="0"/>
                <w:sz w:val="32"/>
                <w:szCs w:val="32"/>
              </w:rPr>
              <w:t>年县级部门整体支出绩效评价指标体系</w:t>
            </w:r>
          </w:p>
        </w:tc>
      </w:tr>
      <w:tr>
        <w:tblPrEx>
          <w:tblCellMar>
            <w:top w:w="0" w:type="dxa"/>
            <w:left w:w="0" w:type="dxa"/>
            <w:bottom w:w="0" w:type="dxa"/>
            <w:right w:w="0" w:type="dxa"/>
          </w:tblCellMar>
        </w:tblPrEx>
        <w:trPr>
          <w:trHeight w:val="665" w:hRule="atLeast"/>
        </w:trPr>
        <w:tc>
          <w:tcPr>
            <w:tcW w:w="44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b/>
                <w:color w:val="000000"/>
                <w:sz w:val="16"/>
                <w:szCs w:val="16"/>
              </w:rPr>
            </w:pPr>
            <w:r>
              <w:rPr>
                <w:rFonts w:hint="eastAsia" w:ascii="宋体" w:hAnsi="宋体" w:cs="宋体"/>
                <w:b/>
                <w:color w:val="000000"/>
                <w:kern w:val="0"/>
                <w:sz w:val="16"/>
                <w:szCs w:val="16"/>
              </w:rPr>
              <w:t>一级指标</w:t>
            </w:r>
          </w:p>
        </w:tc>
        <w:tc>
          <w:tcPr>
            <w:tcW w:w="67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b/>
                <w:color w:val="000000"/>
                <w:sz w:val="16"/>
                <w:szCs w:val="16"/>
              </w:rPr>
            </w:pPr>
            <w:r>
              <w:rPr>
                <w:rFonts w:hint="eastAsia" w:ascii="宋体" w:hAnsi="宋体" w:cs="宋体"/>
                <w:b/>
                <w:color w:val="000000"/>
                <w:kern w:val="0"/>
                <w:sz w:val="16"/>
                <w:szCs w:val="16"/>
              </w:rPr>
              <w:t>二级指标</w:t>
            </w:r>
          </w:p>
        </w:tc>
        <w:tc>
          <w:tcPr>
            <w:tcW w:w="11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b/>
                <w:color w:val="000000"/>
                <w:sz w:val="16"/>
                <w:szCs w:val="16"/>
              </w:rPr>
            </w:pPr>
            <w:r>
              <w:rPr>
                <w:rFonts w:hint="eastAsia" w:ascii="宋体" w:hAnsi="宋体" w:cs="宋体"/>
                <w:b/>
                <w:color w:val="000000"/>
                <w:kern w:val="0"/>
                <w:sz w:val="16"/>
                <w:szCs w:val="16"/>
              </w:rPr>
              <w:t>三级指标</w:t>
            </w:r>
          </w:p>
        </w:tc>
        <w:tc>
          <w:tcPr>
            <w:tcW w:w="25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b/>
                <w:color w:val="000000"/>
                <w:sz w:val="16"/>
                <w:szCs w:val="16"/>
              </w:rPr>
            </w:pPr>
            <w:r>
              <w:rPr>
                <w:rFonts w:hint="eastAsia" w:ascii="宋体" w:hAnsi="宋体" w:cs="宋体"/>
                <w:b/>
                <w:color w:val="000000"/>
                <w:kern w:val="0"/>
                <w:sz w:val="16"/>
                <w:szCs w:val="16"/>
              </w:rPr>
              <w:t>指标解释</w:t>
            </w:r>
          </w:p>
        </w:tc>
        <w:tc>
          <w:tcPr>
            <w:tcW w:w="33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宋体" w:cs="宋体"/>
                <w:b/>
                <w:color w:val="000000"/>
                <w:sz w:val="16"/>
                <w:szCs w:val="16"/>
              </w:rPr>
            </w:pPr>
            <w:r>
              <w:rPr>
                <w:rFonts w:hint="eastAsia" w:ascii="宋体" w:hAnsi="宋体" w:cs="宋体"/>
                <w:b/>
                <w:color w:val="000000"/>
                <w:kern w:val="0"/>
                <w:sz w:val="16"/>
                <w:szCs w:val="16"/>
              </w:rPr>
              <w:t>扣分</w:t>
            </w:r>
          </w:p>
        </w:tc>
        <w:tc>
          <w:tcPr>
            <w:tcW w:w="374"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宋体" w:cs="宋体"/>
                <w:b/>
                <w:color w:val="000000"/>
                <w:sz w:val="16"/>
                <w:szCs w:val="16"/>
              </w:rPr>
            </w:pPr>
            <w:r>
              <w:rPr>
                <w:rFonts w:hint="eastAsia" w:ascii="宋体" w:hAnsi="宋体" w:cs="宋体"/>
                <w:b/>
                <w:color w:val="000000"/>
                <w:kern w:val="0"/>
                <w:sz w:val="16"/>
                <w:szCs w:val="16"/>
              </w:rPr>
              <w:t>扣分理由</w:t>
            </w:r>
          </w:p>
        </w:tc>
        <w:tc>
          <w:tcPr>
            <w:tcW w:w="30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b/>
                <w:color w:val="000000"/>
                <w:sz w:val="16"/>
                <w:szCs w:val="16"/>
              </w:rPr>
            </w:pPr>
            <w:r>
              <w:rPr>
                <w:rFonts w:hint="eastAsia" w:ascii="宋体" w:hAnsi="宋体" w:cs="宋体"/>
                <w:b/>
                <w:color w:val="000000"/>
                <w:kern w:val="0"/>
                <w:sz w:val="16"/>
                <w:szCs w:val="16"/>
              </w:rPr>
              <w:t>计分标准（备注）</w:t>
            </w:r>
          </w:p>
        </w:tc>
      </w:tr>
      <w:tr>
        <w:tblPrEx>
          <w:tblCellMar>
            <w:top w:w="0" w:type="dxa"/>
            <w:left w:w="0" w:type="dxa"/>
            <w:bottom w:w="0" w:type="dxa"/>
            <w:right w:w="0" w:type="dxa"/>
          </w:tblCellMar>
        </w:tblPrEx>
        <w:trPr>
          <w:trHeight w:val="884" w:hRule="atLeast"/>
        </w:trPr>
        <w:tc>
          <w:tcPr>
            <w:tcW w:w="447" w:type="dxa"/>
            <w:vMerge w:val="restart"/>
            <w:tcBorders>
              <w:top w:val="single" w:color="000000" w:sz="4" w:space="0"/>
              <w:left w:val="single" w:color="000000" w:sz="4" w:space="0"/>
              <w:bottom w:val="nil"/>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宋体" w:cs="宋体"/>
                <w:color w:val="000000"/>
                <w:sz w:val="16"/>
                <w:szCs w:val="16"/>
              </w:rPr>
            </w:pPr>
            <w:r>
              <w:rPr>
                <w:rFonts w:hint="eastAsia" w:ascii="宋体" w:hAnsi="宋体" w:cs="宋体"/>
                <w:color w:val="000000"/>
                <w:kern w:val="0"/>
                <w:sz w:val="16"/>
                <w:szCs w:val="16"/>
              </w:rPr>
              <w:t>预算编制（</w:t>
            </w:r>
            <w:r>
              <w:rPr>
                <w:rFonts w:ascii="宋体" w:hAnsi="宋体" w:cs="宋体"/>
                <w:color w:val="000000"/>
                <w:kern w:val="0"/>
                <w:sz w:val="16"/>
                <w:szCs w:val="16"/>
              </w:rPr>
              <w:t>10</w:t>
            </w:r>
            <w:r>
              <w:rPr>
                <w:rFonts w:hint="eastAsia" w:ascii="宋体" w:hAnsi="宋体" w:cs="宋体"/>
                <w:color w:val="000000"/>
                <w:kern w:val="0"/>
                <w:sz w:val="16"/>
                <w:szCs w:val="16"/>
              </w:rPr>
              <w:t>分）</w:t>
            </w:r>
          </w:p>
        </w:tc>
        <w:tc>
          <w:tcPr>
            <w:tcW w:w="67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报送时效（</w:t>
            </w:r>
            <w:r>
              <w:rPr>
                <w:rFonts w:ascii="宋体" w:hAnsi="宋体" w:cs="宋体"/>
                <w:color w:val="000000"/>
                <w:kern w:val="0"/>
                <w:sz w:val="16"/>
                <w:szCs w:val="16"/>
              </w:rPr>
              <w:t>2</w:t>
            </w:r>
            <w:r>
              <w:rPr>
                <w:rFonts w:hint="eastAsia" w:ascii="宋体" w:hAnsi="宋体" w:cs="宋体"/>
                <w:color w:val="000000"/>
                <w:kern w:val="0"/>
                <w:sz w:val="16"/>
                <w:szCs w:val="16"/>
              </w:rPr>
              <w:t>分）</w:t>
            </w:r>
          </w:p>
        </w:tc>
        <w:tc>
          <w:tcPr>
            <w:tcW w:w="11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基础信息更新（</w:t>
            </w:r>
            <w:r>
              <w:rPr>
                <w:rFonts w:ascii="宋体" w:hAnsi="宋体" w:cs="宋体"/>
                <w:color w:val="000000"/>
                <w:kern w:val="0"/>
                <w:sz w:val="16"/>
                <w:szCs w:val="16"/>
              </w:rPr>
              <w:t>2</w:t>
            </w:r>
            <w:r>
              <w:rPr>
                <w:rFonts w:hint="eastAsia" w:ascii="宋体" w:hAnsi="宋体" w:cs="宋体"/>
                <w:color w:val="000000"/>
                <w:kern w:val="0"/>
                <w:sz w:val="16"/>
                <w:szCs w:val="16"/>
              </w:rPr>
              <w:t>分）</w:t>
            </w:r>
          </w:p>
        </w:tc>
        <w:tc>
          <w:tcPr>
            <w:tcW w:w="25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部门是否按照县级部门预算编制通知和有关要求，按时完成基础库、项目库报送工作</w:t>
            </w:r>
          </w:p>
        </w:tc>
        <w:tc>
          <w:tcPr>
            <w:tcW w:w="33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ascii="宋体" w:cs="宋体"/>
                <w:color w:val="000000"/>
                <w:sz w:val="16"/>
                <w:szCs w:val="16"/>
              </w:rPr>
            </w:pPr>
          </w:p>
        </w:tc>
        <w:tc>
          <w:tcPr>
            <w:tcW w:w="374"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rPr>
                <w:rFonts w:ascii="宋体" w:cs="宋体"/>
                <w:color w:val="000000"/>
                <w:sz w:val="16"/>
                <w:szCs w:val="16"/>
              </w:rPr>
            </w:pPr>
          </w:p>
        </w:tc>
        <w:tc>
          <w:tcPr>
            <w:tcW w:w="30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超过规定</w:t>
            </w:r>
            <w:r>
              <w:rPr>
                <w:rFonts w:ascii="宋体" w:hAnsi="宋体" w:cs="宋体"/>
                <w:color w:val="000000"/>
                <w:kern w:val="0"/>
                <w:sz w:val="16"/>
                <w:szCs w:val="16"/>
              </w:rPr>
              <w:t>5</w:t>
            </w:r>
            <w:r>
              <w:rPr>
                <w:rFonts w:hint="eastAsia" w:ascii="宋体" w:hAnsi="宋体" w:cs="宋体"/>
                <w:color w:val="000000"/>
                <w:kern w:val="0"/>
                <w:sz w:val="16"/>
                <w:szCs w:val="16"/>
              </w:rPr>
              <w:t>个工作日扣</w:t>
            </w:r>
            <w:r>
              <w:rPr>
                <w:rFonts w:ascii="宋体" w:hAnsi="宋体" w:cs="宋体"/>
                <w:color w:val="000000"/>
                <w:kern w:val="0"/>
                <w:sz w:val="16"/>
                <w:szCs w:val="16"/>
              </w:rPr>
              <w:t>0.5</w:t>
            </w:r>
            <w:r>
              <w:rPr>
                <w:rFonts w:hint="eastAsia" w:ascii="宋体" w:hAnsi="宋体" w:cs="宋体"/>
                <w:color w:val="000000"/>
                <w:kern w:val="0"/>
                <w:sz w:val="16"/>
                <w:szCs w:val="16"/>
              </w:rPr>
              <w:t>分，</w:t>
            </w:r>
            <w:r>
              <w:rPr>
                <w:rFonts w:ascii="宋体" w:hAnsi="宋体" w:cs="宋体"/>
                <w:color w:val="000000"/>
                <w:kern w:val="0"/>
                <w:sz w:val="16"/>
                <w:szCs w:val="16"/>
              </w:rPr>
              <w:t>10</w:t>
            </w:r>
            <w:r>
              <w:rPr>
                <w:rFonts w:hint="eastAsia" w:ascii="宋体" w:hAnsi="宋体" w:cs="宋体"/>
                <w:color w:val="000000"/>
                <w:kern w:val="0"/>
                <w:sz w:val="16"/>
                <w:szCs w:val="16"/>
              </w:rPr>
              <w:t>个工作日扣</w:t>
            </w:r>
            <w:r>
              <w:rPr>
                <w:rFonts w:ascii="宋体" w:hAnsi="宋体" w:cs="宋体"/>
                <w:color w:val="000000"/>
                <w:kern w:val="0"/>
                <w:sz w:val="16"/>
                <w:szCs w:val="16"/>
              </w:rPr>
              <w:t>1</w:t>
            </w:r>
            <w:r>
              <w:rPr>
                <w:rFonts w:hint="eastAsia" w:ascii="宋体" w:hAnsi="宋体" w:cs="宋体"/>
                <w:color w:val="000000"/>
                <w:kern w:val="0"/>
                <w:sz w:val="16"/>
                <w:szCs w:val="16"/>
              </w:rPr>
              <w:t>分，以此类推，直至扣完</w:t>
            </w:r>
          </w:p>
        </w:tc>
      </w:tr>
      <w:tr>
        <w:tblPrEx>
          <w:tblCellMar>
            <w:top w:w="0" w:type="dxa"/>
            <w:left w:w="0" w:type="dxa"/>
            <w:bottom w:w="0" w:type="dxa"/>
            <w:right w:w="0" w:type="dxa"/>
          </w:tblCellMar>
        </w:tblPrEx>
        <w:trPr>
          <w:trHeight w:val="985" w:hRule="atLeast"/>
        </w:trPr>
        <w:tc>
          <w:tcPr>
            <w:tcW w:w="447" w:type="dxa"/>
            <w:vMerge w:val="continue"/>
            <w:tcBorders>
              <w:top w:val="single" w:color="000000" w:sz="4" w:space="0"/>
              <w:left w:val="single" w:color="000000" w:sz="4" w:space="0"/>
              <w:bottom w:val="nil"/>
              <w:right w:val="single" w:color="000000" w:sz="4" w:space="0"/>
            </w:tcBorders>
            <w:shd w:val="clear" w:color="auto" w:fill="FFFFFF"/>
            <w:noWrap/>
            <w:tcMar>
              <w:top w:w="15" w:type="dxa"/>
              <w:left w:w="15" w:type="dxa"/>
              <w:right w:w="15" w:type="dxa"/>
            </w:tcMar>
            <w:vAlign w:val="center"/>
          </w:tcPr>
          <w:p>
            <w:pPr>
              <w:jc w:val="center"/>
              <w:rPr>
                <w:rFonts w:ascii="宋体" w:cs="宋体"/>
                <w:color w:val="000000"/>
                <w:sz w:val="16"/>
                <w:szCs w:val="16"/>
              </w:rPr>
            </w:pPr>
          </w:p>
        </w:tc>
        <w:tc>
          <w:tcPr>
            <w:tcW w:w="678"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编制质量（</w:t>
            </w:r>
            <w:r>
              <w:rPr>
                <w:rFonts w:ascii="宋体" w:hAnsi="宋体" w:cs="宋体"/>
                <w:color w:val="000000"/>
                <w:kern w:val="0"/>
                <w:sz w:val="16"/>
                <w:szCs w:val="16"/>
              </w:rPr>
              <w:t>3</w:t>
            </w:r>
            <w:r>
              <w:rPr>
                <w:rFonts w:hint="eastAsia" w:ascii="宋体" w:hAnsi="宋体" w:cs="宋体"/>
                <w:color w:val="000000"/>
                <w:kern w:val="0"/>
                <w:sz w:val="16"/>
                <w:szCs w:val="16"/>
              </w:rPr>
              <w:t>分）</w:t>
            </w:r>
          </w:p>
        </w:tc>
        <w:tc>
          <w:tcPr>
            <w:tcW w:w="11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预算编制准确（</w:t>
            </w:r>
            <w:r>
              <w:rPr>
                <w:rFonts w:ascii="宋体" w:hAnsi="宋体" w:cs="宋体"/>
                <w:color w:val="000000"/>
                <w:kern w:val="0"/>
                <w:sz w:val="16"/>
                <w:szCs w:val="16"/>
              </w:rPr>
              <w:t>2</w:t>
            </w:r>
            <w:r>
              <w:rPr>
                <w:rFonts w:hint="eastAsia" w:ascii="宋体" w:hAnsi="宋体" w:cs="宋体"/>
                <w:color w:val="000000"/>
                <w:kern w:val="0"/>
                <w:sz w:val="16"/>
                <w:szCs w:val="16"/>
              </w:rPr>
              <w:t>分）</w:t>
            </w:r>
          </w:p>
        </w:tc>
        <w:tc>
          <w:tcPr>
            <w:tcW w:w="25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（预算资金总来源</w:t>
            </w:r>
            <w:r>
              <w:rPr>
                <w:rFonts w:ascii="宋体" w:cs="宋体"/>
                <w:color w:val="000000"/>
                <w:kern w:val="0"/>
                <w:sz w:val="16"/>
                <w:szCs w:val="16"/>
              </w:rPr>
              <w:t>-</w:t>
            </w:r>
            <w:r>
              <w:rPr>
                <w:rFonts w:hint="eastAsia" w:ascii="宋体" w:hAnsi="宋体" w:cs="宋体"/>
                <w:color w:val="000000"/>
                <w:kern w:val="0"/>
                <w:sz w:val="16"/>
                <w:szCs w:val="16"/>
              </w:rPr>
              <w:t>中期评估调整取消资金</w:t>
            </w:r>
            <w:r>
              <w:rPr>
                <w:rFonts w:ascii="宋体" w:cs="宋体"/>
                <w:color w:val="000000"/>
                <w:kern w:val="0"/>
                <w:sz w:val="16"/>
                <w:szCs w:val="16"/>
              </w:rPr>
              <w:t>-</w:t>
            </w:r>
            <w:r>
              <w:rPr>
                <w:rFonts w:hint="eastAsia" w:ascii="宋体" w:hAnsi="宋体" w:cs="宋体"/>
                <w:color w:val="000000"/>
                <w:kern w:val="0"/>
                <w:sz w:val="16"/>
                <w:szCs w:val="16"/>
              </w:rPr>
              <w:t>预算结余注销资金）÷预算资金总来源</w:t>
            </w:r>
            <w:r>
              <w:rPr>
                <w:rFonts w:ascii="宋体" w:hAnsi="宋体" w:cs="宋体"/>
                <w:color w:val="000000"/>
                <w:kern w:val="0"/>
                <w:sz w:val="16"/>
                <w:szCs w:val="16"/>
              </w:rPr>
              <w:t>*</w:t>
            </w:r>
            <w:r>
              <w:rPr>
                <w:rFonts w:hint="eastAsia" w:ascii="宋体" w:hAnsi="宋体" w:cs="宋体"/>
                <w:color w:val="000000"/>
                <w:kern w:val="0"/>
                <w:sz w:val="16"/>
                <w:szCs w:val="16"/>
              </w:rPr>
              <w:t>指标分值</w:t>
            </w:r>
          </w:p>
        </w:tc>
        <w:tc>
          <w:tcPr>
            <w:tcW w:w="33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ascii="宋体" w:cs="宋体"/>
                <w:color w:val="000000"/>
                <w:sz w:val="16"/>
                <w:szCs w:val="16"/>
              </w:rPr>
            </w:pPr>
          </w:p>
        </w:tc>
        <w:tc>
          <w:tcPr>
            <w:tcW w:w="374"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left"/>
              <w:rPr>
                <w:rFonts w:ascii="宋体" w:cs="宋体"/>
                <w:color w:val="000000"/>
                <w:sz w:val="16"/>
                <w:szCs w:val="16"/>
              </w:rPr>
            </w:pPr>
          </w:p>
        </w:tc>
        <w:tc>
          <w:tcPr>
            <w:tcW w:w="30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其中：预算资金总来源是指县级年初预算与执行中追加预算（不含当年专款）总和</w:t>
            </w:r>
          </w:p>
        </w:tc>
      </w:tr>
      <w:tr>
        <w:tblPrEx>
          <w:tblCellMar>
            <w:top w:w="0" w:type="dxa"/>
            <w:left w:w="0" w:type="dxa"/>
            <w:bottom w:w="0" w:type="dxa"/>
            <w:right w:w="0" w:type="dxa"/>
          </w:tblCellMar>
        </w:tblPrEx>
        <w:trPr>
          <w:trHeight w:val="665" w:hRule="atLeast"/>
        </w:trPr>
        <w:tc>
          <w:tcPr>
            <w:tcW w:w="447" w:type="dxa"/>
            <w:vMerge w:val="continue"/>
            <w:tcBorders>
              <w:top w:val="single" w:color="000000" w:sz="4" w:space="0"/>
              <w:left w:val="single" w:color="000000" w:sz="4" w:space="0"/>
              <w:bottom w:val="nil"/>
              <w:right w:val="single" w:color="000000" w:sz="4" w:space="0"/>
            </w:tcBorders>
            <w:shd w:val="clear" w:color="auto" w:fill="FFFFFF"/>
            <w:noWrap/>
            <w:tcMar>
              <w:top w:w="15" w:type="dxa"/>
              <w:left w:w="15" w:type="dxa"/>
              <w:right w:w="15" w:type="dxa"/>
            </w:tcMar>
            <w:vAlign w:val="center"/>
          </w:tcPr>
          <w:p>
            <w:pPr>
              <w:jc w:val="center"/>
              <w:rPr>
                <w:rFonts w:ascii="宋体" w:cs="宋体"/>
                <w:color w:val="000000"/>
                <w:sz w:val="16"/>
                <w:szCs w:val="16"/>
              </w:rPr>
            </w:pPr>
          </w:p>
        </w:tc>
        <w:tc>
          <w:tcPr>
            <w:tcW w:w="678"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cs="宋体"/>
                <w:color w:val="000000"/>
                <w:sz w:val="16"/>
                <w:szCs w:val="16"/>
              </w:rPr>
            </w:pPr>
          </w:p>
        </w:tc>
        <w:tc>
          <w:tcPr>
            <w:tcW w:w="11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部门预算审查（</w:t>
            </w:r>
            <w:r>
              <w:rPr>
                <w:rFonts w:ascii="宋体" w:hAnsi="宋体" w:cs="宋体"/>
                <w:color w:val="000000"/>
                <w:kern w:val="0"/>
                <w:sz w:val="16"/>
                <w:szCs w:val="16"/>
              </w:rPr>
              <w:t>1</w:t>
            </w:r>
            <w:r>
              <w:rPr>
                <w:rFonts w:hint="eastAsia" w:ascii="宋体" w:hAnsi="宋体" w:cs="宋体"/>
                <w:color w:val="000000"/>
                <w:kern w:val="0"/>
                <w:sz w:val="16"/>
                <w:szCs w:val="16"/>
              </w:rPr>
              <w:t>分）</w:t>
            </w:r>
          </w:p>
        </w:tc>
        <w:tc>
          <w:tcPr>
            <w:tcW w:w="25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根据县人大财经委对预算草案审查结果进行考核</w:t>
            </w:r>
          </w:p>
        </w:tc>
        <w:tc>
          <w:tcPr>
            <w:tcW w:w="33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ascii="宋体" w:cs="宋体"/>
                <w:color w:val="000000"/>
                <w:sz w:val="16"/>
                <w:szCs w:val="16"/>
              </w:rPr>
            </w:pPr>
          </w:p>
        </w:tc>
        <w:tc>
          <w:tcPr>
            <w:tcW w:w="374"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left"/>
              <w:rPr>
                <w:rFonts w:ascii="宋体" w:cs="宋体"/>
                <w:color w:val="000000"/>
                <w:sz w:val="16"/>
                <w:szCs w:val="16"/>
              </w:rPr>
            </w:pPr>
          </w:p>
        </w:tc>
        <w:tc>
          <w:tcPr>
            <w:tcW w:w="30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对财经委审查后提出并确需修改的问题，每个问题扣</w:t>
            </w:r>
            <w:r>
              <w:rPr>
                <w:rFonts w:ascii="宋体" w:hAnsi="宋体" w:cs="宋体"/>
                <w:color w:val="000000"/>
                <w:kern w:val="0"/>
                <w:sz w:val="16"/>
                <w:szCs w:val="16"/>
              </w:rPr>
              <w:t>0.02</w:t>
            </w:r>
            <w:r>
              <w:rPr>
                <w:rFonts w:hint="eastAsia" w:ascii="宋体" w:hAnsi="宋体" w:cs="宋体"/>
                <w:color w:val="000000"/>
                <w:kern w:val="0"/>
                <w:sz w:val="16"/>
                <w:szCs w:val="16"/>
              </w:rPr>
              <w:t>分，直至扣完</w:t>
            </w:r>
          </w:p>
        </w:tc>
      </w:tr>
      <w:tr>
        <w:tblPrEx>
          <w:tblCellMar>
            <w:top w:w="0" w:type="dxa"/>
            <w:left w:w="0" w:type="dxa"/>
            <w:bottom w:w="0" w:type="dxa"/>
            <w:right w:w="0" w:type="dxa"/>
          </w:tblCellMar>
        </w:tblPrEx>
        <w:trPr>
          <w:trHeight w:val="775" w:hRule="atLeast"/>
        </w:trPr>
        <w:tc>
          <w:tcPr>
            <w:tcW w:w="447" w:type="dxa"/>
            <w:vMerge w:val="continue"/>
            <w:tcBorders>
              <w:top w:val="single" w:color="000000" w:sz="4" w:space="0"/>
              <w:left w:val="single" w:color="000000" w:sz="4" w:space="0"/>
              <w:bottom w:val="nil"/>
              <w:right w:val="single" w:color="000000" w:sz="4" w:space="0"/>
            </w:tcBorders>
            <w:shd w:val="clear" w:color="auto" w:fill="FFFFFF"/>
            <w:noWrap/>
            <w:tcMar>
              <w:top w:w="15" w:type="dxa"/>
              <w:left w:w="15" w:type="dxa"/>
              <w:right w:w="15" w:type="dxa"/>
            </w:tcMar>
            <w:vAlign w:val="center"/>
          </w:tcPr>
          <w:p>
            <w:pPr>
              <w:jc w:val="center"/>
              <w:rPr>
                <w:rFonts w:ascii="宋体" w:cs="宋体"/>
                <w:color w:val="000000"/>
                <w:sz w:val="16"/>
                <w:szCs w:val="16"/>
              </w:rPr>
            </w:pPr>
          </w:p>
        </w:tc>
        <w:tc>
          <w:tcPr>
            <w:tcW w:w="678"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绩效目标（</w:t>
            </w:r>
            <w:r>
              <w:rPr>
                <w:rFonts w:ascii="宋体" w:hAnsi="宋体" w:cs="宋体"/>
                <w:color w:val="000000"/>
                <w:kern w:val="0"/>
                <w:sz w:val="16"/>
                <w:szCs w:val="16"/>
              </w:rPr>
              <w:t>5</w:t>
            </w:r>
            <w:r>
              <w:rPr>
                <w:rFonts w:hint="eastAsia" w:ascii="宋体" w:hAnsi="宋体" w:cs="宋体"/>
                <w:color w:val="000000"/>
                <w:kern w:val="0"/>
                <w:sz w:val="16"/>
                <w:szCs w:val="16"/>
              </w:rPr>
              <w:t>分）</w:t>
            </w:r>
          </w:p>
        </w:tc>
        <w:tc>
          <w:tcPr>
            <w:tcW w:w="11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部门整体绩效目标（</w:t>
            </w:r>
            <w:r>
              <w:rPr>
                <w:rFonts w:ascii="宋体" w:hAnsi="宋体" w:cs="宋体"/>
                <w:color w:val="000000"/>
                <w:kern w:val="0"/>
                <w:sz w:val="16"/>
                <w:szCs w:val="16"/>
              </w:rPr>
              <w:t>2</w:t>
            </w:r>
            <w:r>
              <w:rPr>
                <w:rFonts w:hint="eastAsia" w:ascii="宋体" w:hAnsi="宋体" w:cs="宋体"/>
                <w:color w:val="000000"/>
                <w:kern w:val="0"/>
                <w:sz w:val="16"/>
                <w:szCs w:val="16"/>
              </w:rPr>
              <w:t>分）</w:t>
            </w:r>
          </w:p>
        </w:tc>
        <w:tc>
          <w:tcPr>
            <w:tcW w:w="25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部门整体绩效目标编制完整、合理</w:t>
            </w:r>
          </w:p>
        </w:tc>
        <w:tc>
          <w:tcPr>
            <w:tcW w:w="33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ascii="宋体" w:cs="宋体"/>
                <w:color w:val="000000"/>
                <w:sz w:val="16"/>
                <w:szCs w:val="16"/>
              </w:rPr>
            </w:pPr>
          </w:p>
        </w:tc>
        <w:tc>
          <w:tcPr>
            <w:tcW w:w="374"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left"/>
              <w:rPr>
                <w:rFonts w:ascii="宋体" w:cs="宋体"/>
                <w:color w:val="000000"/>
                <w:sz w:val="16"/>
                <w:szCs w:val="16"/>
              </w:rPr>
            </w:pPr>
          </w:p>
        </w:tc>
        <w:tc>
          <w:tcPr>
            <w:tcW w:w="30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部门整体绩效目标能完整、合理反映部门年度职责履行情况的得分，否则不得分</w:t>
            </w:r>
          </w:p>
        </w:tc>
      </w:tr>
      <w:tr>
        <w:tblPrEx>
          <w:tblCellMar>
            <w:top w:w="0" w:type="dxa"/>
            <w:left w:w="0" w:type="dxa"/>
            <w:bottom w:w="0" w:type="dxa"/>
            <w:right w:w="0" w:type="dxa"/>
          </w:tblCellMar>
        </w:tblPrEx>
        <w:trPr>
          <w:trHeight w:val="775" w:hRule="atLeast"/>
        </w:trPr>
        <w:tc>
          <w:tcPr>
            <w:tcW w:w="447" w:type="dxa"/>
            <w:vMerge w:val="continue"/>
            <w:tcBorders>
              <w:top w:val="single" w:color="000000" w:sz="4" w:space="0"/>
              <w:left w:val="single" w:color="000000" w:sz="4" w:space="0"/>
              <w:bottom w:val="nil"/>
              <w:right w:val="single" w:color="000000" w:sz="4" w:space="0"/>
            </w:tcBorders>
            <w:shd w:val="clear" w:color="auto" w:fill="FFFFFF"/>
            <w:noWrap/>
            <w:tcMar>
              <w:top w:w="15" w:type="dxa"/>
              <w:left w:w="15" w:type="dxa"/>
              <w:right w:w="15" w:type="dxa"/>
            </w:tcMar>
            <w:vAlign w:val="center"/>
          </w:tcPr>
          <w:p>
            <w:pPr>
              <w:jc w:val="center"/>
              <w:rPr>
                <w:rFonts w:ascii="宋体" w:cs="宋体"/>
                <w:color w:val="000000"/>
                <w:sz w:val="16"/>
                <w:szCs w:val="16"/>
              </w:rPr>
            </w:pPr>
          </w:p>
        </w:tc>
        <w:tc>
          <w:tcPr>
            <w:tcW w:w="678"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cs="宋体"/>
                <w:color w:val="000000"/>
                <w:sz w:val="16"/>
                <w:szCs w:val="16"/>
              </w:rPr>
            </w:pPr>
          </w:p>
        </w:tc>
        <w:tc>
          <w:tcPr>
            <w:tcW w:w="11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重点项目绩效目标（</w:t>
            </w:r>
            <w:r>
              <w:rPr>
                <w:rFonts w:ascii="宋体" w:hAnsi="宋体" w:cs="宋体"/>
                <w:color w:val="000000"/>
                <w:kern w:val="0"/>
                <w:sz w:val="16"/>
                <w:szCs w:val="16"/>
              </w:rPr>
              <w:t>3</w:t>
            </w:r>
            <w:r>
              <w:rPr>
                <w:rFonts w:hint="eastAsia" w:ascii="宋体" w:hAnsi="宋体" w:cs="宋体"/>
                <w:color w:val="000000"/>
                <w:kern w:val="0"/>
                <w:sz w:val="16"/>
                <w:szCs w:val="16"/>
              </w:rPr>
              <w:t>分）</w:t>
            </w:r>
          </w:p>
        </w:tc>
        <w:tc>
          <w:tcPr>
            <w:tcW w:w="25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项目绩效目标编制明确、量化</w:t>
            </w:r>
          </w:p>
        </w:tc>
        <w:tc>
          <w:tcPr>
            <w:tcW w:w="33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ascii="宋体" w:cs="宋体"/>
                <w:color w:val="000000"/>
                <w:sz w:val="16"/>
                <w:szCs w:val="16"/>
              </w:rPr>
            </w:pPr>
          </w:p>
        </w:tc>
        <w:tc>
          <w:tcPr>
            <w:tcW w:w="374"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left"/>
              <w:rPr>
                <w:rFonts w:ascii="宋体" w:cs="宋体"/>
                <w:color w:val="000000"/>
                <w:sz w:val="16"/>
                <w:szCs w:val="16"/>
              </w:rPr>
            </w:pPr>
          </w:p>
        </w:tc>
        <w:tc>
          <w:tcPr>
            <w:tcW w:w="30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项目支出绩效目标编制不明确和量化的发现一个扣</w:t>
            </w:r>
            <w:r>
              <w:rPr>
                <w:rFonts w:ascii="宋体" w:hAnsi="宋体" w:cs="宋体"/>
                <w:color w:val="000000"/>
                <w:kern w:val="0"/>
                <w:sz w:val="16"/>
                <w:szCs w:val="16"/>
              </w:rPr>
              <w:t>0.5</w:t>
            </w:r>
            <w:r>
              <w:rPr>
                <w:rFonts w:hint="eastAsia" w:ascii="宋体" w:hAnsi="宋体" w:cs="宋体"/>
                <w:color w:val="000000"/>
                <w:kern w:val="0"/>
                <w:sz w:val="16"/>
                <w:szCs w:val="16"/>
              </w:rPr>
              <w:t>分，直至扣完</w:t>
            </w:r>
          </w:p>
        </w:tc>
      </w:tr>
      <w:tr>
        <w:tblPrEx>
          <w:tblCellMar>
            <w:top w:w="0" w:type="dxa"/>
            <w:left w:w="0" w:type="dxa"/>
            <w:bottom w:w="0" w:type="dxa"/>
            <w:right w:w="0" w:type="dxa"/>
          </w:tblCellMar>
        </w:tblPrEx>
        <w:trPr>
          <w:trHeight w:val="775" w:hRule="atLeast"/>
        </w:trPr>
        <w:tc>
          <w:tcPr>
            <w:tcW w:w="447"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6"/>
                <w:szCs w:val="16"/>
              </w:rPr>
            </w:pPr>
            <w:r>
              <w:rPr>
                <w:rFonts w:hint="eastAsia" w:ascii="宋体" w:hAnsi="宋体" w:cs="宋体"/>
                <w:color w:val="000000"/>
                <w:kern w:val="0"/>
                <w:sz w:val="16"/>
                <w:szCs w:val="16"/>
              </w:rPr>
              <w:t>预算执行（</w:t>
            </w:r>
            <w:r>
              <w:rPr>
                <w:rFonts w:ascii="宋体" w:hAnsi="宋体" w:cs="宋体"/>
                <w:color w:val="000000"/>
                <w:kern w:val="0"/>
                <w:sz w:val="16"/>
                <w:szCs w:val="16"/>
              </w:rPr>
              <w:t>20</w:t>
            </w:r>
            <w:r>
              <w:rPr>
                <w:rFonts w:hint="eastAsia" w:ascii="宋体" w:hAnsi="宋体" w:cs="宋体"/>
                <w:color w:val="000000"/>
                <w:kern w:val="0"/>
                <w:sz w:val="16"/>
                <w:szCs w:val="16"/>
              </w:rPr>
              <w:t>分）</w:t>
            </w:r>
          </w:p>
        </w:tc>
        <w:tc>
          <w:tcPr>
            <w:tcW w:w="678"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执行进度（</w:t>
            </w:r>
            <w:r>
              <w:rPr>
                <w:rFonts w:ascii="宋体" w:hAnsi="宋体" w:cs="宋体"/>
                <w:color w:val="000000"/>
                <w:kern w:val="0"/>
                <w:sz w:val="16"/>
                <w:szCs w:val="16"/>
              </w:rPr>
              <w:t>10</w:t>
            </w:r>
            <w:r>
              <w:rPr>
                <w:rFonts w:hint="eastAsia" w:ascii="宋体" w:hAnsi="宋体" w:cs="宋体"/>
                <w:color w:val="000000"/>
                <w:kern w:val="0"/>
                <w:sz w:val="16"/>
                <w:szCs w:val="16"/>
              </w:rPr>
              <w:t>分）</w:t>
            </w:r>
          </w:p>
        </w:tc>
        <w:tc>
          <w:tcPr>
            <w:tcW w:w="11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财力专项预算分配时限（</w:t>
            </w:r>
            <w:r>
              <w:rPr>
                <w:rFonts w:ascii="宋体" w:hAnsi="宋体" w:cs="宋体"/>
                <w:color w:val="000000"/>
                <w:kern w:val="0"/>
                <w:sz w:val="16"/>
                <w:szCs w:val="16"/>
              </w:rPr>
              <w:t>4</w:t>
            </w:r>
            <w:r>
              <w:rPr>
                <w:rFonts w:hint="eastAsia" w:ascii="宋体" w:hAnsi="宋体" w:cs="宋体"/>
                <w:color w:val="000000"/>
                <w:kern w:val="0"/>
                <w:sz w:val="16"/>
                <w:szCs w:val="16"/>
              </w:rPr>
              <w:t>分）</w:t>
            </w:r>
          </w:p>
        </w:tc>
        <w:tc>
          <w:tcPr>
            <w:tcW w:w="25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按规定及时分配财力专项预算</w:t>
            </w:r>
          </w:p>
        </w:tc>
        <w:tc>
          <w:tcPr>
            <w:tcW w:w="33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ascii="宋体" w:cs="宋体"/>
                <w:color w:val="000000"/>
                <w:sz w:val="16"/>
                <w:szCs w:val="16"/>
              </w:rPr>
            </w:pPr>
          </w:p>
        </w:tc>
        <w:tc>
          <w:tcPr>
            <w:tcW w:w="374"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rPr>
                <w:rFonts w:ascii="宋体" w:cs="宋体"/>
                <w:color w:val="000000"/>
                <w:sz w:val="16"/>
                <w:szCs w:val="16"/>
              </w:rPr>
            </w:pPr>
          </w:p>
        </w:tc>
        <w:tc>
          <w:tcPr>
            <w:tcW w:w="30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按《预算法》规定时限完成分配的考核得分，否则不得分</w:t>
            </w:r>
          </w:p>
        </w:tc>
      </w:tr>
      <w:tr>
        <w:tblPrEx>
          <w:tblCellMar>
            <w:top w:w="0" w:type="dxa"/>
            <w:left w:w="0" w:type="dxa"/>
            <w:bottom w:w="0" w:type="dxa"/>
            <w:right w:w="0" w:type="dxa"/>
          </w:tblCellMar>
        </w:tblPrEx>
        <w:trPr>
          <w:trHeight w:val="775" w:hRule="atLeast"/>
        </w:trPr>
        <w:tc>
          <w:tcPr>
            <w:tcW w:w="447"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cs="宋体"/>
                <w:color w:val="000000"/>
                <w:sz w:val="16"/>
                <w:szCs w:val="16"/>
              </w:rPr>
            </w:pPr>
          </w:p>
        </w:tc>
        <w:tc>
          <w:tcPr>
            <w:tcW w:w="678"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cs="宋体"/>
                <w:color w:val="000000"/>
                <w:sz w:val="16"/>
                <w:szCs w:val="16"/>
              </w:rPr>
            </w:pPr>
          </w:p>
        </w:tc>
        <w:tc>
          <w:tcPr>
            <w:tcW w:w="11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部门预算执行进度（</w:t>
            </w:r>
            <w:r>
              <w:rPr>
                <w:rFonts w:ascii="宋体" w:hAnsi="宋体" w:cs="宋体"/>
                <w:color w:val="000000"/>
                <w:kern w:val="0"/>
                <w:sz w:val="16"/>
                <w:szCs w:val="16"/>
              </w:rPr>
              <w:t>6</w:t>
            </w:r>
            <w:r>
              <w:rPr>
                <w:rFonts w:hint="eastAsia" w:ascii="宋体" w:hAnsi="宋体" w:cs="宋体"/>
                <w:color w:val="000000"/>
                <w:kern w:val="0"/>
                <w:sz w:val="16"/>
                <w:szCs w:val="16"/>
              </w:rPr>
              <w:t>分）</w:t>
            </w:r>
          </w:p>
        </w:tc>
        <w:tc>
          <w:tcPr>
            <w:tcW w:w="25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部门按要求严格预算执行管理</w:t>
            </w:r>
          </w:p>
        </w:tc>
        <w:tc>
          <w:tcPr>
            <w:tcW w:w="33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ascii="宋体" w:cs="宋体"/>
                <w:color w:val="000000"/>
                <w:sz w:val="16"/>
                <w:szCs w:val="16"/>
              </w:rPr>
            </w:pPr>
          </w:p>
        </w:tc>
        <w:tc>
          <w:tcPr>
            <w:tcW w:w="374"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rPr>
                <w:rFonts w:ascii="宋体" w:cs="宋体"/>
                <w:color w:val="000000"/>
                <w:sz w:val="16"/>
                <w:szCs w:val="16"/>
              </w:rPr>
            </w:pPr>
          </w:p>
        </w:tc>
        <w:tc>
          <w:tcPr>
            <w:tcW w:w="30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部门预算实际列支数÷部门预算总额</w:t>
            </w:r>
            <w:r>
              <w:rPr>
                <w:rFonts w:ascii="宋体" w:hAnsi="宋体" w:cs="宋体"/>
                <w:color w:val="000000"/>
                <w:kern w:val="0"/>
                <w:sz w:val="16"/>
                <w:szCs w:val="16"/>
              </w:rPr>
              <w:t>*</w:t>
            </w:r>
            <w:r>
              <w:rPr>
                <w:rFonts w:hint="eastAsia" w:ascii="宋体" w:hAnsi="宋体" w:cs="宋体"/>
                <w:color w:val="000000"/>
                <w:kern w:val="0"/>
                <w:sz w:val="16"/>
                <w:szCs w:val="16"/>
              </w:rPr>
              <w:t>指标分值</w:t>
            </w:r>
          </w:p>
        </w:tc>
      </w:tr>
      <w:tr>
        <w:tblPrEx>
          <w:tblCellMar>
            <w:top w:w="0" w:type="dxa"/>
            <w:left w:w="0" w:type="dxa"/>
            <w:bottom w:w="0" w:type="dxa"/>
            <w:right w:w="0" w:type="dxa"/>
          </w:tblCellMar>
        </w:tblPrEx>
        <w:trPr>
          <w:trHeight w:val="884" w:hRule="atLeast"/>
        </w:trPr>
        <w:tc>
          <w:tcPr>
            <w:tcW w:w="447"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cs="宋体"/>
                <w:color w:val="000000"/>
                <w:sz w:val="16"/>
                <w:szCs w:val="16"/>
              </w:rPr>
            </w:pPr>
          </w:p>
        </w:tc>
        <w:tc>
          <w:tcPr>
            <w:tcW w:w="67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预算调整（</w:t>
            </w:r>
            <w:r>
              <w:rPr>
                <w:rFonts w:ascii="宋体" w:hAnsi="宋体" w:cs="宋体"/>
                <w:color w:val="000000"/>
                <w:kern w:val="0"/>
                <w:sz w:val="16"/>
                <w:szCs w:val="16"/>
              </w:rPr>
              <w:t>4</w:t>
            </w:r>
            <w:r>
              <w:rPr>
                <w:rFonts w:hint="eastAsia" w:ascii="宋体" w:hAnsi="宋体" w:cs="宋体"/>
                <w:color w:val="000000"/>
                <w:kern w:val="0"/>
                <w:sz w:val="16"/>
                <w:szCs w:val="16"/>
              </w:rPr>
              <w:t>分）</w:t>
            </w:r>
          </w:p>
        </w:tc>
        <w:tc>
          <w:tcPr>
            <w:tcW w:w="11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执行中期评估（</w:t>
            </w:r>
            <w:r>
              <w:rPr>
                <w:rFonts w:ascii="宋体" w:hAnsi="宋体" w:cs="宋体"/>
                <w:color w:val="000000"/>
                <w:kern w:val="0"/>
                <w:sz w:val="16"/>
                <w:szCs w:val="16"/>
              </w:rPr>
              <w:t>4</w:t>
            </w:r>
            <w:r>
              <w:rPr>
                <w:rFonts w:hint="eastAsia" w:ascii="宋体" w:hAnsi="宋体" w:cs="宋体"/>
                <w:color w:val="000000"/>
                <w:kern w:val="0"/>
                <w:sz w:val="16"/>
                <w:szCs w:val="16"/>
              </w:rPr>
              <w:t>分）</w:t>
            </w:r>
          </w:p>
        </w:tc>
        <w:tc>
          <w:tcPr>
            <w:tcW w:w="25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部门中期评估调整取消资金÷</w:t>
            </w:r>
            <w:r>
              <w:rPr>
                <w:rFonts w:ascii="宋体" w:hAnsi="宋体" w:cs="宋体"/>
                <w:color w:val="000000"/>
                <w:kern w:val="0"/>
                <w:sz w:val="16"/>
                <w:szCs w:val="16"/>
              </w:rPr>
              <w:t>(</w:t>
            </w:r>
            <w:r>
              <w:rPr>
                <w:rFonts w:hint="eastAsia" w:ascii="宋体" w:hAnsi="宋体" w:cs="宋体"/>
                <w:color w:val="000000"/>
                <w:kern w:val="0"/>
                <w:sz w:val="16"/>
                <w:szCs w:val="16"/>
              </w:rPr>
              <w:t>中期评估调整取消资金</w:t>
            </w:r>
            <w:r>
              <w:rPr>
                <w:rFonts w:ascii="宋体" w:hAnsi="宋体" w:cs="宋体"/>
                <w:color w:val="000000"/>
                <w:kern w:val="0"/>
                <w:sz w:val="16"/>
                <w:szCs w:val="16"/>
              </w:rPr>
              <w:t>+</w:t>
            </w:r>
            <w:r>
              <w:rPr>
                <w:rFonts w:hint="eastAsia" w:ascii="宋体" w:hAnsi="宋体" w:cs="宋体"/>
                <w:color w:val="000000"/>
                <w:kern w:val="0"/>
                <w:sz w:val="16"/>
                <w:szCs w:val="16"/>
              </w:rPr>
              <w:t>预算结余注销资金）</w:t>
            </w:r>
            <w:r>
              <w:rPr>
                <w:rFonts w:ascii="宋体" w:hAnsi="宋体" w:cs="宋体"/>
                <w:color w:val="000000"/>
                <w:kern w:val="0"/>
                <w:sz w:val="16"/>
                <w:szCs w:val="16"/>
              </w:rPr>
              <w:t>*</w:t>
            </w:r>
            <w:r>
              <w:rPr>
                <w:rFonts w:hint="eastAsia" w:ascii="宋体" w:hAnsi="宋体" w:cs="宋体"/>
                <w:color w:val="000000"/>
                <w:kern w:val="0"/>
                <w:sz w:val="16"/>
                <w:szCs w:val="16"/>
              </w:rPr>
              <w:t>指标分值</w:t>
            </w:r>
          </w:p>
        </w:tc>
        <w:tc>
          <w:tcPr>
            <w:tcW w:w="33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ascii="宋体" w:cs="宋体"/>
                <w:color w:val="000000"/>
                <w:sz w:val="16"/>
                <w:szCs w:val="16"/>
              </w:rPr>
            </w:pPr>
          </w:p>
        </w:tc>
        <w:tc>
          <w:tcPr>
            <w:tcW w:w="374"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left"/>
              <w:rPr>
                <w:rFonts w:ascii="宋体" w:cs="宋体"/>
                <w:color w:val="000000"/>
                <w:sz w:val="16"/>
                <w:szCs w:val="16"/>
              </w:rPr>
            </w:pPr>
          </w:p>
        </w:tc>
        <w:tc>
          <w:tcPr>
            <w:tcW w:w="30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当中期评估调整取消资金与结余注销资金之和为零时，得满分</w:t>
            </w:r>
          </w:p>
        </w:tc>
      </w:tr>
      <w:tr>
        <w:tblPrEx>
          <w:tblCellMar>
            <w:top w:w="0" w:type="dxa"/>
            <w:left w:w="0" w:type="dxa"/>
            <w:bottom w:w="0" w:type="dxa"/>
            <w:right w:w="0" w:type="dxa"/>
          </w:tblCellMar>
        </w:tblPrEx>
        <w:trPr>
          <w:trHeight w:val="665" w:hRule="atLeast"/>
        </w:trPr>
        <w:tc>
          <w:tcPr>
            <w:tcW w:w="447"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cs="宋体"/>
                <w:color w:val="000000"/>
                <w:sz w:val="16"/>
                <w:szCs w:val="16"/>
              </w:rPr>
            </w:pPr>
          </w:p>
        </w:tc>
        <w:tc>
          <w:tcPr>
            <w:tcW w:w="678"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行政成本（</w:t>
            </w:r>
            <w:r>
              <w:rPr>
                <w:rFonts w:ascii="宋体" w:hAnsi="宋体" w:cs="宋体"/>
                <w:color w:val="000000"/>
                <w:kern w:val="0"/>
                <w:sz w:val="16"/>
                <w:szCs w:val="16"/>
              </w:rPr>
              <w:t>6</w:t>
            </w:r>
            <w:r>
              <w:rPr>
                <w:rFonts w:hint="eastAsia" w:ascii="宋体" w:hAnsi="宋体" w:cs="宋体"/>
                <w:color w:val="000000"/>
                <w:kern w:val="0"/>
                <w:sz w:val="16"/>
                <w:szCs w:val="16"/>
              </w:rPr>
              <w:t>分）</w:t>
            </w:r>
          </w:p>
        </w:tc>
        <w:tc>
          <w:tcPr>
            <w:tcW w:w="11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三公经费（</w:t>
            </w:r>
            <w:r>
              <w:rPr>
                <w:rFonts w:ascii="宋体" w:hAnsi="宋体" w:cs="宋体"/>
                <w:color w:val="000000"/>
                <w:kern w:val="0"/>
                <w:sz w:val="16"/>
                <w:szCs w:val="16"/>
              </w:rPr>
              <w:t>6</w:t>
            </w:r>
            <w:r>
              <w:rPr>
                <w:rFonts w:hint="eastAsia" w:ascii="宋体" w:hAnsi="宋体" w:cs="宋体"/>
                <w:color w:val="000000"/>
                <w:kern w:val="0"/>
                <w:sz w:val="16"/>
                <w:szCs w:val="16"/>
              </w:rPr>
              <w:t>分）</w:t>
            </w:r>
          </w:p>
        </w:tc>
        <w:tc>
          <w:tcPr>
            <w:tcW w:w="25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严格执行“三公经费”预算</w:t>
            </w:r>
          </w:p>
        </w:tc>
        <w:tc>
          <w:tcPr>
            <w:tcW w:w="33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ascii="宋体" w:cs="宋体"/>
                <w:color w:val="000000"/>
                <w:sz w:val="16"/>
                <w:szCs w:val="16"/>
              </w:rPr>
            </w:pPr>
          </w:p>
        </w:tc>
        <w:tc>
          <w:tcPr>
            <w:tcW w:w="374"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left"/>
              <w:rPr>
                <w:rFonts w:ascii="宋体" w:cs="宋体"/>
                <w:color w:val="000000"/>
                <w:sz w:val="16"/>
                <w:szCs w:val="16"/>
              </w:rPr>
            </w:pPr>
          </w:p>
        </w:tc>
        <w:tc>
          <w:tcPr>
            <w:tcW w:w="30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部门“三公”经费决算数一项超预算扣</w:t>
            </w:r>
            <w:r>
              <w:rPr>
                <w:rFonts w:ascii="宋体" w:hAnsi="宋体" w:cs="宋体"/>
                <w:color w:val="000000"/>
                <w:kern w:val="0"/>
                <w:sz w:val="16"/>
                <w:szCs w:val="16"/>
              </w:rPr>
              <w:t>1</w:t>
            </w:r>
            <w:r>
              <w:rPr>
                <w:rFonts w:hint="eastAsia" w:ascii="宋体" w:hAnsi="宋体" w:cs="宋体"/>
                <w:color w:val="000000"/>
                <w:kern w:val="0"/>
                <w:sz w:val="16"/>
                <w:szCs w:val="16"/>
              </w:rPr>
              <w:t>分，两项超预算扣</w:t>
            </w:r>
            <w:r>
              <w:rPr>
                <w:rFonts w:ascii="宋体" w:hAnsi="宋体" w:cs="宋体"/>
                <w:color w:val="000000"/>
                <w:kern w:val="0"/>
                <w:sz w:val="16"/>
                <w:szCs w:val="16"/>
              </w:rPr>
              <w:t>2</w:t>
            </w:r>
            <w:r>
              <w:rPr>
                <w:rFonts w:hint="eastAsia" w:ascii="宋体" w:hAnsi="宋体" w:cs="宋体"/>
                <w:color w:val="000000"/>
                <w:kern w:val="0"/>
                <w:sz w:val="16"/>
                <w:szCs w:val="16"/>
              </w:rPr>
              <w:t>分，以此类推，直至扣完</w:t>
            </w:r>
          </w:p>
        </w:tc>
      </w:tr>
      <w:tr>
        <w:tblPrEx>
          <w:tblCellMar>
            <w:top w:w="0" w:type="dxa"/>
            <w:left w:w="0" w:type="dxa"/>
            <w:bottom w:w="0" w:type="dxa"/>
            <w:right w:w="0" w:type="dxa"/>
          </w:tblCellMar>
        </w:tblPrEx>
        <w:trPr>
          <w:trHeight w:val="775" w:hRule="atLeast"/>
        </w:trPr>
        <w:tc>
          <w:tcPr>
            <w:tcW w:w="447" w:type="dxa"/>
            <w:vMerge w:val="restart"/>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6"/>
                <w:szCs w:val="16"/>
              </w:rPr>
            </w:pPr>
            <w:r>
              <w:rPr>
                <w:rFonts w:hint="eastAsia" w:ascii="宋体" w:hAnsi="宋体" w:cs="宋体"/>
                <w:color w:val="000000"/>
                <w:kern w:val="0"/>
                <w:sz w:val="16"/>
                <w:szCs w:val="16"/>
              </w:rPr>
              <w:t>综合管理（</w:t>
            </w:r>
            <w:r>
              <w:rPr>
                <w:rFonts w:ascii="宋体" w:hAnsi="宋体" w:cs="宋体"/>
                <w:color w:val="000000"/>
                <w:kern w:val="0"/>
                <w:sz w:val="16"/>
                <w:szCs w:val="16"/>
              </w:rPr>
              <w:t>40</w:t>
            </w:r>
            <w:r>
              <w:rPr>
                <w:rFonts w:hint="eastAsia" w:ascii="宋体" w:hAnsi="宋体" w:cs="宋体"/>
                <w:color w:val="000000"/>
                <w:kern w:val="0"/>
                <w:sz w:val="16"/>
                <w:szCs w:val="16"/>
              </w:rPr>
              <w:t>分）</w:t>
            </w:r>
          </w:p>
        </w:tc>
        <w:tc>
          <w:tcPr>
            <w:tcW w:w="678"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政府采购实施计划（</w:t>
            </w:r>
            <w:r>
              <w:rPr>
                <w:rFonts w:ascii="宋体" w:hAnsi="宋体" w:cs="宋体"/>
                <w:color w:val="000000"/>
                <w:kern w:val="0"/>
                <w:sz w:val="16"/>
                <w:szCs w:val="16"/>
              </w:rPr>
              <w:t>4</w:t>
            </w:r>
            <w:r>
              <w:rPr>
                <w:rFonts w:hint="eastAsia" w:ascii="宋体" w:hAnsi="宋体" w:cs="宋体"/>
                <w:color w:val="000000"/>
                <w:kern w:val="0"/>
                <w:sz w:val="16"/>
                <w:szCs w:val="16"/>
              </w:rPr>
              <w:t>分）</w:t>
            </w:r>
          </w:p>
        </w:tc>
        <w:tc>
          <w:tcPr>
            <w:tcW w:w="11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政府采购实施计划编制（</w:t>
            </w:r>
            <w:r>
              <w:rPr>
                <w:rFonts w:ascii="宋体" w:hAnsi="宋体" w:cs="宋体"/>
                <w:color w:val="000000"/>
                <w:kern w:val="0"/>
                <w:sz w:val="16"/>
                <w:szCs w:val="16"/>
              </w:rPr>
              <w:t>2</w:t>
            </w:r>
            <w:r>
              <w:rPr>
                <w:rFonts w:hint="eastAsia" w:ascii="宋体" w:hAnsi="宋体" w:cs="宋体"/>
                <w:color w:val="000000"/>
                <w:kern w:val="0"/>
                <w:sz w:val="16"/>
                <w:szCs w:val="16"/>
              </w:rPr>
              <w:t>）</w:t>
            </w:r>
          </w:p>
        </w:tc>
        <w:tc>
          <w:tcPr>
            <w:tcW w:w="25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实施计划与政府采购预算的一致性</w:t>
            </w:r>
          </w:p>
        </w:tc>
        <w:tc>
          <w:tcPr>
            <w:tcW w:w="33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ascii="宋体" w:cs="宋体"/>
                <w:color w:val="000000"/>
                <w:sz w:val="16"/>
                <w:szCs w:val="16"/>
              </w:rPr>
            </w:pPr>
          </w:p>
        </w:tc>
        <w:tc>
          <w:tcPr>
            <w:tcW w:w="374"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left"/>
              <w:rPr>
                <w:rFonts w:ascii="宋体" w:cs="宋体"/>
                <w:color w:val="000000"/>
                <w:sz w:val="16"/>
                <w:szCs w:val="16"/>
              </w:rPr>
            </w:pPr>
          </w:p>
        </w:tc>
        <w:tc>
          <w:tcPr>
            <w:tcW w:w="30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w:t>
            </w:r>
            <w:r>
              <w:rPr>
                <w:rFonts w:ascii="宋体" w:hAnsi="宋体" w:cs="宋体"/>
                <w:color w:val="000000"/>
                <w:kern w:val="0"/>
                <w:sz w:val="16"/>
                <w:szCs w:val="16"/>
              </w:rPr>
              <w:t>1-</w:t>
            </w:r>
            <w:r>
              <w:rPr>
                <w:rFonts w:hint="eastAsia" w:ascii="宋体" w:hAnsi="宋体" w:cs="宋体"/>
                <w:color w:val="000000"/>
                <w:kern w:val="0"/>
                <w:sz w:val="16"/>
                <w:szCs w:val="16"/>
              </w:rPr>
              <w:t>调整或细化资金</w:t>
            </w:r>
            <w:r>
              <w:rPr>
                <w:rFonts w:ascii="宋体" w:hAnsi="宋体" w:cs="宋体"/>
                <w:color w:val="000000"/>
                <w:kern w:val="0"/>
                <w:sz w:val="16"/>
                <w:szCs w:val="16"/>
              </w:rPr>
              <w:t>/</w:t>
            </w:r>
            <w:r>
              <w:rPr>
                <w:rFonts w:hint="eastAsia" w:ascii="宋体" w:hAnsi="宋体" w:cs="宋体"/>
                <w:color w:val="000000"/>
                <w:kern w:val="0"/>
                <w:sz w:val="16"/>
                <w:szCs w:val="16"/>
              </w:rPr>
              <w:t>政府采购预算资金）</w:t>
            </w:r>
            <w:r>
              <w:rPr>
                <w:rFonts w:ascii="宋体" w:hAnsi="宋体" w:cs="宋体"/>
                <w:color w:val="000000"/>
                <w:kern w:val="0"/>
                <w:sz w:val="16"/>
                <w:szCs w:val="16"/>
              </w:rPr>
              <w:t>*</w:t>
            </w:r>
            <w:r>
              <w:rPr>
                <w:rFonts w:hint="eastAsia" w:ascii="宋体" w:hAnsi="宋体" w:cs="宋体"/>
                <w:color w:val="000000"/>
                <w:kern w:val="0"/>
                <w:sz w:val="16"/>
                <w:szCs w:val="16"/>
              </w:rPr>
              <w:t>分值</w:t>
            </w:r>
          </w:p>
        </w:tc>
      </w:tr>
      <w:tr>
        <w:tblPrEx>
          <w:tblCellMar>
            <w:top w:w="0" w:type="dxa"/>
            <w:left w:w="0" w:type="dxa"/>
            <w:bottom w:w="0" w:type="dxa"/>
            <w:right w:w="0" w:type="dxa"/>
          </w:tblCellMar>
        </w:tblPrEx>
        <w:trPr>
          <w:trHeight w:val="775" w:hRule="atLeast"/>
        </w:trPr>
        <w:tc>
          <w:tcPr>
            <w:tcW w:w="447" w:type="dxa"/>
            <w:vMerge w:val="continue"/>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cs="宋体"/>
                <w:color w:val="000000"/>
                <w:sz w:val="16"/>
                <w:szCs w:val="16"/>
              </w:rPr>
            </w:pPr>
          </w:p>
        </w:tc>
        <w:tc>
          <w:tcPr>
            <w:tcW w:w="678"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cs="宋体"/>
                <w:color w:val="000000"/>
                <w:sz w:val="16"/>
                <w:szCs w:val="16"/>
              </w:rPr>
            </w:pPr>
          </w:p>
        </w:tc>
        <w:tc>
          <w:tcPr>
            <w:tcW w:w="11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政府采购实施计划的执行（</w:t>
            </w:r>
            <w:r>
              <w:rPr>
                <w:rFonts w:ascii="宋体" w:hAnsi="宋体" w:cs="宋体"/>
                <w:color w:val="000000"/>
                <w:kern w:val="0"/>
                <w:sz w:val="16"/>
                <w:szCs w:val="16"/>
              </w:rPr>
              <w:t>2</w:t>
            </w:r>
            <w:r>
              <w:rPr>
                <w:rFonts w:hint="eastAsia" w:ascii="宋体" w:hAnsi="宋体" w:cs="宋体"/>
                <w:color w:val="000000"/>
                <w:kern w:val="0"/>
                <w:sz w:val="16"/>
                <w:szCs w:val="16"/>
              </w:rPr>
              <w:t>）</w:t>
            </w:r>
          </w:p>
        </w:tc>
        <w:tc>
          <w:tcPr>
            <w:tcW w:w="25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执行的实施计划与备案的实施计划的一致性</w:t>
            </w:r>
          </w:p>
        </w:tc>
        <w:tc>
          <w:tcPr>
            <w:tcW w:w="33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ascii="宋体" w:cs="宋体"/>
                <w:color w:val="000000"/>
                <w:sz w:val="16"/>
                <w:szCs w:val="16"/>
              </w:rPr>
            </w:pPr>
          </w:p>
        </w:tc>
        <w:tc>
          <w:tcPr>
            <w:tcW w:w="374"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left"/>
              <w:rPr>
                <w:rFonts w:ascii="宋体" w:cs="宋体"/>
                <w:color w:val="000000"/>
                <w:sz w:val="16"/>
                <w:szCs w:val="16"/>
              </w:rPr>
            </w:pPr>
          </w:p>
        </w:tc>
        <w:tc>
          <w:tcPr>
            <w:tcW w:w="30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w:t>
            </w:r>
            <w:r>
              <w:rPr>
                <w:rFonts w:ascii="宋体" w:hAnsi="宋体" w:cs="宋体"/>
                <w:color w:val="000000"/>
                <w:kern w:val="0"/>
                <w:sz w:val="16"/>
                <w:szCs w:val="16"/>
              </w:rPr>
              <w:t>1-</w:t>
            </w:r>
            <w:r>
              <w:rPr>
                <w:rFonts w:hint="eastAsia" w:ascii="宋体" w:hAnsi="宋体" w:cs="宋体"/>
                <w:color w:val="000000"/>
                <w:kern w:val="0"/>
                <w:sz w:val="16"/>
                <w:szCs w:val="16"/>
              </w:rPr>
              <w:t>实施计划备案后的调整或细化资金</w:t>
            </w:r>
            <w:r>
              <w:rPr>
                <w:rFonts w:ascii="宋体" w:hAnsi="宋体" w:cs="宋体"/>
                <w:color w:val="000000"/>
                <w:kern w:val="0"/>
                <w:sz w:val="16"/>
                <w:szCs w:val="16"/>
              </w:rPr>
              <w:t>/</w:t>
            </w:r>
            <w:r>
              <w:rPr>
                <w:rFonts w:hint="eastAsia" w:ascii="宋体" w:hAnsi="宋体" w:cs="宋体"/>
                <w:color w:val="000000"/>
                <w:kern w:val="0"/>
                <w:sz w:val="16"/>
                <w:szCs w:val="16"/>
              </w:rPr>
              <w:t>实施计划备案后的资金）</w:t>
            </w:r>
            <w:r>
              <w:rPr>
                <w:rFonts w:ascii="宋体" w:hAnsi="宋体" w:cs="宋体"/>
                <w:color w:val="000000"/>
                <w:kern w:val="0"/>
                <w:sz w:val="16"/>
                <w:szCs w:val="16"/>
              </w:rPr>
              <w:t>*</w:t>
            </w:r>
            <w:r>
              <w:rPr>
                <w:rFonts w:hint="eastAsia" w:ascii="宋体" w:hAnsi="宋体" w:cs="宋体"/>
                <w:color w:val="000000"/>
                <w:kern w:val="0"/>
                <w:sz w:val="16"/>
                <w:szCs w:val="16"/>
              </w:rPr>
              <w:t>分值</w:t>
            </w:r>
          </w:p>
        </w:tc>
      </w:tr>
      <w:tr>
        <w:tblPrEx>
          <w:tblCellMar>
            <w:top w:w="0" w:type="dxa"/>
            <w:left w:w="0" w:type="dxa"/>
            <w:bottom w:w="0" w:type="dxa"/>
            <w:right w:w="0" w:type="dxa"/>
          </w:tblCellMar>
        </w:tblPrEx>
        <w:trPr>
          <w:trHeight w:val="1057" w:hRule="atLeast"/>
        </w:trPr>
        <w:tc>
          <w:tcPr>
            <w:tcW w:w="447" w:type="dxa"/>
            <w:vMerge w:val="continue"/>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cs="宋体"/>
                <w:color w:val="000000"/>
                <w:sz w:val="16"/>
                <w:szCs w:val="16"/>
              </w:rPr>
            </w:pPr>
          </w:p>
        </w:tc>
        <w:tc>
          <w:tcPr>
            <w:tcW w:w="678"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资产管理（</w:t>
            </w:r>
            <w:r>
              <w:rPr>
                <w:rFonts w:ascii="宋体" w:hAnsi="宋体" w:cs="宋体"/>
                <w:color w:val="000000"/>
                <w:kern w:val="0"/>
                <w:sz w:val="16"/>
                <w:szCs w:val="16"/>
              </w:rPr>
              <w:t>6</w:t>
            </w:r>
            <w:r>
              <w:rPr>
                <w:rFonts w:hint="eastAsia" w:ascii="宋体" w:hAnsi="宋体" w:cs="宋体"/>
                <w:color w:val="000000"/>
                <w:kern w:val="0"/>
                <w:sz w:val="16"/>
                <w:szCs w:val="16"/>
              </w:rPr>
              <w:t>分）</w:t>
            </w:r>
          </w:p>
        </w:tc>
        <w:tc>
          <w:tcPr>
            <w:tcW w:w="11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资产管理信息系统建设情况（</w:t>
            </w:r>
            <w:r>
              <w:rPr>
                <w:rFonts w:ascii="宋体" w:hAnsi="宋体" w:cs="宋体"/>
                <w:color w:val="000000"/>
                <w:kern w:val="0"/>
                <w:sz w:val="16"/>
                <w:szCs w:val="16"/>
              </w:rPr>
              <w:t>2</w:t>
            </w:r>
            <w:r>
              <w:rPr>
                <w:rFonts w:hint="eastAsia" w:ascii="宋体" w:hAnsi="宋体" w:cs="宋体"/>
                <w:color w:val="000000"/>
                <w:kern w:val="0"/>
                <w:sz w:val="16"/>
                <w:szCs w:val="16"/>
              </w:rPr>
              <w:t>分）</w:t>
            </w:r>
          </w:p>
        </w:tc>
        <w:tc>
          <w:tcPr>
            <w:tcW w:w="25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考核部门和单位将国有资产纳入资产信息系统管理情况</w:t>
            </w:r>
          </w:p>
        </w:tc>
        <w:tc>
          <w:tcPr>
            <w:tcW w:w="33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ascii="宋体" w:cs="宋体"/>
                <w:color w:val="000000"/>
                <w:sz w:val="16"/>
                <w:szCs w:val="16"/>
              </w:rPr>
            </w:pPr>
          </w:p>
        </w:tc>
        <w:tc>
          <w:tcPr>
            <w:tcW w:w="374"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rPr>
                <w:rFonts w:ascii="宋体" w:cs="宋体"/>
                <w:color w:val="000000"/>
                <w:sz w:val="16"/>
                <w:szCs w:val="16"/>
              </w:rPr>
            </w:pPr>
          </w:p>
        </w:tc>
        <w:tc>
          <w:tcPr>
            <w:tcW w:w="30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①未将所属单位国有资产纳入系统管理，每少一个单位扣</w:t>
            </w:r>
            <w:r>
              <w:rPr>
                <w:rFonts w:ascii="宋体" w:hAnsi="宋体" w:cs="宋体"/>
                <w:color w:val="000000"/>
                <w:kern w:val="0"/>
                <w:sz w:val="16"/>
                <w:szCs w:val="16"/>
              </w:rPr>
              <w:t>1</w:t>
            </w:r>
            <w:r>
              <w:rPr>
                <w:rFonts w:hint="eastAsia" w:ascii="宋体" w:hAnsi="宋体" w:cs="宋体"/>
                <w:color w:val="000000"/>
                <w:kern w:val="0"/>
                <w:sz w:val="16"/>
                <w:szCs w:val="16"/>
              </w:rPr>
              <w:t>分。②未将资产变动情况及时录入系统，每次扣</w:t>
            </w:r>
            <w:r>
              <w:rPr>
                <w:rFonts w:ascii="宋体" w:hAnsi="宋体" w:cs="宋体"/>
                <w:color w:val="000000"/>
                <w:kern w:val="0"/>
                <w:sz w:val="16"/>
                <w:szCs w:val="16"/>
              </w:rPr>
              <w:t>0.5</w:t>
            </w:r>
            <w:r>
              <w:rPr>
                <w:rFonts w:hint="eastAsia" w:ascii="宋体" w:hAnsi="宋体" w:cs="宋体"/>
                <w:color w:val="000000"/>
                <w:kern w:val="0"/>
                <w:sz w:val="16"/>
                <w:szCs w:val="16"/>
              </w:rPr>
              <w:t>分。③未落实人员负责管理系统，扣</w:t>
            </w:r>
            <w:r>
              <w:rPr>
                <w:rFonts w:ascii="宋体" w:hAnsi="宋体" w:cs="宋体"/>
                <w:color w:val="000000"/>
                <w:kern w:val="0"/>
                <w:sz w:val="16"/>
                <w:szCs w:val="16"/>
              </w:rPr>
              <w:t>1</w:t>
            </w:r>
            <w:r>
              <w:rPr>
                <w:rFonts w:hint="eastAsia" w:ascii="宋体" w:hAnsi="宋体" w:cs="宋体"/>
                <w:color w:val="000000"/>
                <w:kern w:val="0"/>
                <w:sz w:val="16"/>
                <w:szCs w:val="16"/>
              </w:rPr>
              <w:t>分。</w:t>
            </w:r>
          </w:p>
        </w:tc>
      </w:tr>
      <w:tr>
        <w:tblPrEx>
          <w:tblCellMar>
            <w:top w:w="0" w:type="dxa"/>
            <w:left w:w="0" w:type="dxa"/>
            <w:bottom w:w="0" w:type="dxa"/>
            <w:right w:w="0" w:type="dxa"/>
          </w:tblCellMar>
        </w:tblPrEx>
        <w:trPr>
          <w:trHeight w:val="1625" w:hRule="atLeast"/>
        </w:trPr>
        <w:tc>
          <w:tcPr>
            <w:tcW w:w="447" w:type="dxa"/>
            <w:vMerge w:val="continue"/>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cs="宋体"/>
                <w:color w:val="000000"/>
                <w:sz w:val="16"/>
                <w:szCs w:val="16"/>
              </w:rPr>
            </w:pPr>
          </w:p>
        </w:tc>
        <w:tc>
          <w:tcPr>
            <w:tcW w:w="678"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left"/>
              <w:rPr>
                <w:rFonts w:ascii="宋体" w:cs="宋体"/>
                <w:color w:val="000000"/>
                <w:sz w:val="16"/>
                <w:szCs w:val="16"/>
              </w:rPr>
            </w:pPr>
          </w:p>
        </w:tc>
        <w:tc>
          <w:tcPr>
            <w:tcW w:w="11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行政事业单位资产清查开展情况（</w:t>
            </w:r>
            <w:r>
              <w:rPr>
                <w:rFonts w:ascii="宋体" w:hAnsi="宋体" w:cs="宋体"/>
                <w:color w:val="000000"/>
                <w:kern w:val="0"/>
                <w:sz w:val="16"/>
                <w:szCs w:val="16"/>
              </w:rPr>
              <w:t>2</w:t>
            </w:r>
            <w:r>
              <w:rPr>
                <w:rFonts w:hint="eastAsia" w:ascii="宋体" w:hAnsi="宋体" w:cs="宋体"/>
                <w:color w:val="000000"/>
                <w:kern w:val="0"/>
                <w:sz w:val="16"/>
                <w:szCs w:val="16"/>
              </w:rPr>
              <w:t>分）</w:t>
            </w:r>
          </w:p>
        </w:tc>
        <w:tc>
          <w:tcPr>
            <w:tcW w:w="25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考核行政事业单位按要求及时、准确、全面开展资产清查工作情况</w:t>
            </w:r>
          </w:p>
        </w:tc>
        <w:tc>
          <w:tcPr>
            <w:tcW w:w="33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ascii="宋体" w:cs="宋体"/>
                <w:color w:val="000000"/>
                <w:sz w:val="16"/>
                <w:szCs w:val="16"/>
              </w:rPr>
            </w:pPr>
          </w:p>
        </w:tc>
        <w:tc>
          <w:tcPr>
            <w:tcW w:w="374"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rPr>
                <w:rFonts w:ascii="宋体" w:cs="宋体"/>
                <w:color w:val="000000"/>
                <w:sz w:val="16"/>
                <w:szCs w:val="16"/>
              </w:rPr>
            </w:pPr>
          </w:p>
        </w:tc>
        <w:tc>
          <w:tcPr>
            <w:tcW w:w="30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①未在规定时间内完成资产清查任务扣</w:t>
            </w:r>
            <w:r>
              <w:rPr>
                <w:rFonts w:ascii="宋体" w:hAnsi="宋体" w:cs="宋体"/>
                <w:color w:val="000000"/>
                <w:kern w:val="0"/>
                <w:sz w:val="16"/>
                <w:szCs w:val="16"/>
              </w:rPr>
              <w:t>1</w:t>
            </w:r>
            <w:r>
              <w:rPr>
                <w:rFonts w:hint="eastAsia" w:ascii="宋体" w:hAnsi="宋体" w:cs="宋体"/>
                <w:color w:val="000000"/>
                <w:kern w:val="0"/>
                <w:sz w:val="16"/>
                <w:szCs w:val="16"/>
              </w:rPr>
              <w:t>分。②资产清查结果与财政组织复核的结果误差超过</w:t>
            </w:r>
            <w:r>
              <w:rPr>
                <w:rFonts w:ascii="宋体" w:hAnsi="宋体" w:cs="宋体"/>
                <w:color w:val="000000"/>
                <w:kern w:val="0"/>
                <w:sz w:val="16"/>
                <w:szCs w:val="16"/>
              </w:rPr>
              <w:t>10%</w:t>
            </w:r>
            <w:r>
              <w:rPr>
                <w:rFonts w:hint="eastAsia" w:ascii="宋体" w:hAnsi="宋体" w:cs="宋体"/>
                <w:color w:val="000000"/>
                <w:kern w:val="0"/>
                <w:sz w:val="16"/>
                <w:szCs w:val="16"/>
              </w:rPr>
              <w:t>的扣</w:t>
            </w:r>
            <w:r>
              <w:rPr>
                <w:rFonts w:ascii="宋体" w:hAnsi="宋体" w:cs="宋体"/>
                <w:color w:val="000000"/>
                <w:kern w:val="0"/>
                <w:sz w:val="16"/>
                <w:szCs w:val="16"/>
              </w:rPr>
              <w:t>1</w:t>
            </w:r>
            <w:r>
              <w:rPr>
                <w:rFonts w:hint="eastAsia" w:ascii="宋体" w:hAnsi="宋体" w:cs="宋体"/>
                <w:color w:val="000000"/>
                <w:kern w:val="0"/>
                <w:sz w:val="16"/>
                <w:szCs w:val="16"/>
              </w:rPr>
              <w:t>分。③未及时按批复的清查结果进行账务调整扣</w:t>
            </w:r>
            <w:r>
              <w:rPr>
                <w:rFonts w:ascii="宋体" w:hAnsi="宋体" w:cs="宋体"/>
                <w:color w:val="000000"/>
                <w:kern w:val="0"/>
                <w:sz w:val="16"/>
                <w:szCs w:val="16"/>
              </w:rPr>
              <w:t>1</w:t>
            </w:r>
            <w:r>
              <w:rPr>
                <w:rFonts w:hint="eastAsia" w:ascii="宋体" w:hAnsi="宋体" w:cs="宋体"/>
                <w:color w:val="000000"/>
                <w:kern w:val="0"/>
                <w:sz w:val="16"/>
                <w:szCs w:val="16"/>
              </w:rPr>
              <w:t>分。④未及时更新资产管理信息系统，导致系统资产数据与上报财政的资产清查结果不一致扣</w:t>
            </w:r>
            <w:r>
              <w:rPr>
                <w:rFonts w:ascii="宋体" w:hAnsi="宋体" w:cs="宋体"/>
                <w:color w:val="000000"/>
                <w:kern w:val="0"/>
                <w:sz w:val="16"/>
                <w:szCs w:val="16"/>
              </w:rPr>
              <w:t>1</w:t>
            </w:r>
            <w:r>
              <w:rPr>
                <w:rFonts w:hint="eastAsia" w:ascii="宋体" w:hAnsi="宋体" w:cs="宋体"/>
                <w:color w:val="000000"/>
                <w:kern w:val="0"/>
                <w:sz w:val="16"/>
                <w:szCs w:val="16"/>
              </w:rPr>
              <w:t>分。</w:t>
            </w:r>
          </w:p>
        </w:tc>
      </w:tr>
      <w:tr>
        <w:tblPrEx>
          <w:tblCellMar>
            <w:top w:w="0" w:type="dxa"/>
            <w:left w:w="0" w:type="dxa"/>
            <w:bottom w:w="0" w:type="dxa"/>
            <w:right w:w="0" w:type="dxa"/>
          </w:tblCellMar>
        </w:tblPrEx>
        <w:trPr>
          <w:trHeight w:val="1305" w:hRule="atLeast"/>
        </w:trPr>
        <w:tc>
          <w:tcPr>
            <w:tcW w:w="447" w:type="dxa"/>
            <w:vMerge w:val="continue"/>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cs="宋体"/>
                <w:color w:val="000000"/>
                <w:sz w:val="16"/>
                <w:szCs w:val="16"/>
              </w:rPr>
            </w:pPr>
          </w:p>
        </w:tc>
        <w:tc>
          <w:tcPr>
            <w:tcW w:w="678"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left"/>
              <w:rPr>
                <w:rFonts w:ascii="宋体" w:cs="宋体"/>
                <w:color w:val="000000"/>
                <w:sz w:val="16"/>
                <w:szCs w:val="16"/>
              </w:rPr>
            </w:pPr>
          </w:p>
        </w:tc>
        <w:tc>
          <w:tcPr>
            <w:tcW w:w="11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行政事业单位资产报表上报情况（</w:t>
            </w:r>
            <w:r>
              <w:rPr>
                <w:rFonts w:ascii="宋体" w:hAnsi="宋体" w:cs="宋体"/>
                <w:color w:val="000000"/>
                <w:kern w:val="0"/>
                <w:sz w:val="16"/>
                <w:szCs w:val="16"/>
              </w:rPr>
              <w:t>2</w:t>
            </w:r>
            <w:r>
              <w:rPr>
                <w:rFonts w:hint="eastAsia" w:ascii="宋体" w:hAnsi="宋体" w:cs="宋体"/>
                <w:color w:val="000000"/>
                <w:kern w:val="0"/>
                <w:sz w:val="16"/>
                <w:szCs w:val="16"/>
              </w:rPr>
              <w:t>分）</w:t>
            </w:r>
          </w:p>
        </w:tc>
        <w:tc>
          <w:tcPr>
            <w:tcW w:w="25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考核行政事业单位上报国有资产报表数据的真实性、准确性、全面性</w:t>
            </w:r>
          </w:p>
        </w:tc>
        <w:tc>
          <w:tcPr>
            <w:tcW w:w="33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ascii="宋体" w:cs="宋体"/>
                <w:color w:val="000000"/>
                <w:sz w:val="16"/>
                <w:szCs w:val="16"/>
              </w:rPr>
            </w:pPr>
          </w:p>
        </w:tc>
        <w:tc>
          <w:tcPr>
            <w:tcW w:w="374"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rPr>
                <w:rFonts w:ascii="宋体" w:cs="宋体"/>
                <w:color w:val="000000"/>
                <w:sz w:val="16"/>
                <w:szCs w:val="16"/>
              </w:rPr>
            </w:pPr>
          </w:p>
        </w:tc>
        <w:tc>
          <w:tcPr>
            <w:tcW w:w="30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①未落实专人负责资产报表，未及时上报资产报表扣</w:t>
            </w:r>
            <w:r>
              <w:rPr>
                <w:rFonts w:ascii="宋体" w:hAnsi="宋体" w:cs="宋体"/>
                <w:color w:val="000000"/>
                <w:kern w:val="0"/>
                <w:sz w:val="16"/>
                <w:szCs w:val="16"/>
              </w:rPr>
              <w:t>1</w:t>
            </w:r>
            <w:r>
              <w:rPr>
                <w:rFonts w:hint="eastAsia" w:ascii="宋体" w:hAnsi="宋体" w:cs="宋体"/>
                <w:color w:val="000000"/>
                <w:kern w:val="0"/>
                <w:sz w:val="16"/>
                <w:szCs w:val="16"/>
              </w:rPr>
              <w:t>分。②报表填报不规范，内容不完整，数据不真实，扣</w:t>
            </w:r>
            <w:r>
              <w:rPr>
                <w:rFonts w:ascii="宋体" w:hAnsi="宋体" w:cs="宋体"/>
                <w:color w:val="000000"/>
                <w:kern w:val="0"/>
                <w:sz w:val="16"/>
                <w:szCs w:val="16"/>
              </w:rPr>
              <w:t>1</w:t>
            </w:r>
            <w:r>
              <w:rPr>
                <w:rFonts w:hint="eastAsia" w:ascii="宋体" w:hAnsi="宋体" w:cs="宋体"/>
                <w:color w:val="000000"/>
                <w:kern w:val="0"/>
                <w:sz w:val="16"/>
                <w:szCs w:val="16"/>
              </w:rPr>
              <w:t>分。③未提交分析报告，对资产变动情况未作分析说明，扣</w:t>
            </w:r>
            <w:r>
              <w:rPr>
                <w:rFonts w:ascii="宋体" w:hAnsi="宋体" w:cs="宋体"/>
                <w:color w:val="000000"/>
                <w:kern w:val="0"/>
                <w:sz w:val="16"/>
                <w:szCs w:val="16"/>
              </w:rPr>
              <w:t>1</w:t>
            </w:r>
            <w:r>
              <w:rPr>
                <w:rFonts w:hint="eastAsia" w:ascii="宋体" w:hAnsi="宋体" w:cs="宋体"/>
                <w:color w:val="000000"/>
                <w:kern w:val="0"/>
                <w:sz w:val="16"/>
                <w:szCs w:val="16"/>
              </w:rPr>
              <w:t>分。</w:t>
            </w:r>
          </w:p>
        </w:tc>
      </w:tr>
      <w:tr>
        <w:tblPrEx>
          <w:tblCellMar>
            <w:top w:w="0" w:type="dxa"/>
            <w:left w:w="0" w:type="dxa"/>
            <w:bottom w:w="0" w:type="dxa"/>
            <w:right w:w="0" w:type="dxa"/>
          </w:tblCellMar>
        </w:tblPrEx>
        <w:trPr>
          <w:trHeight w:val="1057" w:hRule="atLeast"/>
        </w:trPr>
        <w:tc>
          <w:tcPr>
            <w:tcW w:w="447" w:type="dxa"/>
            <w:vMerge w:val="continue"/>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cs="宋体"/>
                <w:color w:val="000000"/>
                <w:sz w:val="16"/>
                <w:szCs w:val="16"/>
              </w:rPr>
            </w:pPr>
          </w:p>
        </w:tc>
        <w:tc>
          <w:tcPr>
            <w:tcW w:w="678" w:type="dxa"/>
            <w:tcBorders>
              <w:top w:val="single" w:color="000000" w:sz="4" w:space="0"/>
              <w:left w:val="single" w:color="000000" w:sz="4" w:space="0"/>
              <w:bottom w:val="nil"/>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内控制度管理（</w:t>
            </w:r>
            <w:r>
              <w:rPr>
                <w:rFonts w:ascii="宋体" w:hAnsi="宋体" w:cs="宋体"/>
                <w:color w:val="000000"/>
                <w:kern w:val="0"/>
                <w:sz w:val="16"/>
                <w:szCs w:val="16"/>
              </w:rPr>
              <w:t>4</w:t>
            </w:r>
            <w:r>
              <w:rPr>
                <w:rFonts w:hint="eastAsia" w:ascii="宋体" w:hAnsi="宋体" w:cs="宋体"/>
                <w:color w:val="000000"/>
                <w:kern w:val="0"/>
                <w:sz w:val="16"/>
                <w:szCs w:val="16"/>
              </w:rPr>
              <w:t>分）</w:t>
            </w:r>
          </w:p>
        </w:tc>
        <w:tc>
          <w:tcPr>
            <w:tcW w:w="11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内部控制度健全完整（</w:t>
            </w:r>
            <w:r>
              <w:rPr>
                <w:rFonts w:ascii="宋体" w:hAnsi="宋体" w:cs="宋体"/>
                <w:color w:val="000000"/>
                <w:kern w:val="0"/>
                <w:sz w:val="16"/>
                <w:szCs w:val="16"/>
              </w:rPr>
              <w:t>4</w:t>
            </w:r>
            <w:r>
              <w:rPr>
                <w:rFonts w:hint="eastAsia" w:ascii="宋体" w:hAnsi="宋体" w:cs="宋体"/>
                <w:color w:val="000000"/>
                <w:kern w:val="0"/>
                <w:sz w:val="16"/>
                <w:szCs w:val="16"/>
              </w:rPr>
              <w:t>分）</w:t>
            </w:r>
          </w:p>
        </w:tc>
        <w:tc>
          <w:tcPr>
            <w:tcW w:w="25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考核部门内部控制制度的设置和执行情况</w:t>
            </w:r>
          </w:p>
        </w:tc>
        <w:tc>
          <w:tcPr>
            <w:tcW w:w="33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ascii="宋体" w:cs="宋体"/>
                <w:color w:val="000000"/>
                <w:sz w:val="16"/>
                <w:szCs w:val="16"/>
              </w:rPr>
            </w:pPr>
            <w:r>
              <w:rPr>
                <w:rFonts w:ascii="宋体" w:hAnsi="宋体" w:cs="宋体"/>
                <w:color w:val="000000"/>
                <w:sz w:val="16"/>
                <w:szCs w:val="16"/>
              </w:rPr>
              <w:t>1</w:t>
            </w:r>
          </w:p>
        </w:tc>
        <w:tc>
          <w:tcPr>
            <w:tcW w:w="374"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rPr>
                <w:rFonts w:ascii="宋体" w:cs="宋体"/>
                <w:color w:val="000000"/>
                <w:sz w:val="16"/>
                <w:szCs w:val="16"/>
              </w:rPr>
            </w:pPr>
            <w:r>
              <w:rPr>
                <w:rFonts w:hint="eastAsia" w:ascii="宋体" w:hAnsi="宋体" w:cs="宋体"/>
                <w:color w:val="000000"/>
                <w:sz w:val="16"/>
                <w:szCs w:val="16"/>
              </w:rPr>
              <w:t>制度有待进一步完善</w:t>
            </w:r>
          </w:p>
        </w:tc>
        <w:tc>
          <w:tcPr>
            <w:tcW w:w="30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内部控制制度健全完整并执行良好的得分，否则不得分。在本年度内因内控制度不健全或执行不到位，造成单位出现廉政风险或发生重大责任事故的不得分。</w:t>
            </w:r>
          </w:p>
        </w:tc>
      </w:tr>
      <w:tr>
        <w:tblPrEx>
          <w:tblCellMar>
            <w:top w:w="0" w:type="dxa"/>
            <w:left w:w="0" w:type="dxa"/>
            <w:bottom w:w="0" w:type="dxa"/>
            <w:right w:w="0" w:type="dxa"/>
          </w:tblCellMar>
        </w:tblPrEx>
        <w:trPr>
          <w:trHeight w:val="1305" w:hRule="atLeast"/>
        </w:trPr>
        <w:tc>
          <w:tcPr>
            <w:tcW w:w="447" w:type="dxa"/>
            <w:vMerge w:val="continue"/>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cs="宋体"/>
                <w:color w:val="000000"/>
                <w:sz w:val="16"/>
                <w:szCs w:val="16"/>
              </w:rPr>
            </w:pPr>
          </w:p>
        </w:tc>
        <w:tc>
          <w:tcPr>
            <w:tcW w:w="678"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信息公开（</w:t>
            </w:r>
            <w:r>
              <w:rPr>
                <w:rFonts w:ascii="宋体" w:hAnsi="宋体" w:cs="宋体"/>
                <w:color w:val="000000"/>
                <w:kern w:val="0"/>
                <w:sz w:val="16"/>
                <w:szCs w:val="16"/>
              </w:rPr>
              <w:t>10</w:t>
            </w:r>
            <w:r>
              <w:rPr>
                <w:rFonts w:hint="eastAsia" w:ascii="宋体" w:hAnsi="宋体" w:cs="宋体"/>
                <w:color w:val="000000"/>
                <w:kern w:val="0"/>
                <w:sz w:val="16"/>
                <w:szCs w:val="16"/>
              </w:rPr>
              <w:t>分）</w:t>
            </w:r>
          </w:p>
        </w:tc>
        <w:tc>
          <w:tcPr>
            <w:tcW w:w="11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预算公开（</w:t>
            </w:r>
            <w:r>
              <w:rPr>
                <w:rFonts w:ascii="宋体" w:hAnsi="宋体" w:cs="宋体"/>
                <w:color w:val="000000"/>
                <w:kern w:val="0"/>
                <w:sz w:val="16"/>
                <w:szCs w:val="16"/>
              </w:rPr>
              <w:t>4</w:t>
            </w:r>
            <w:r>
              <w:rPr>
                <w:rFonts w:hint="eastAsia" w:ascii="宋体" w:hAnsi="宋体" w:cs="宋体"/>
                <w:color w:val="000000"/>
                <w:kern w:val="0"/>
                <w:sz w:val="16"/>
                <w:szCs w:val="16"/>
              </w:rPr>
              <w:t>分）</w:t>
            </w:r>
          </w:p>
        </w:tc>
        <w:tc>
          <w:tcPr>
            <w:tcW w:w="25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除涉密信息外，各部门要在财政部门批复后二十日内向社会公开本部门预算（含所有财政资金安排的“三公”经费、机关运行经费的安排、使用情况等）</w:t>
            </w:r>
          </w:p>
        </w:tc>
        <w:tc>
          <w:tcPr>
            <w:tcW w:w="33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ascii="宋体" w:cs="宋体"/>
                <w:color w:val="000000"/>
                <w:sz w:val="16"/>
                <w:szCs w:val="16"/>
              </w:rPr>
            </w:pPr>
          </w:p>
        </w:tc>
        <w:tc>
          <w:tcPr>
            <w:tcW w:w="374"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left"/>
              <w:rPr>
                <w:rFonts w:ascii="宋体" w:cs="宋体"/>
                <w:color w:val="000000"/>
                <w:sz w:val="16"/>
                <w:szCs w:val="16"/>
              </w:rPr>
            </w:pPr>
          </w:p>
        </w:tc>
        <w:tc>
          <w:tcPr>
            <w:tcW w:w="30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按县财政通知要求公开预算，未按要求公开的，发现一处扣</w:t>
            </w:r>
            <w:r>
              <w:rPr>
                <w:rFonts w:ascii="宋体" w:hAnsi="宋体" w:cs="宋体"/>
                <w:color w:val="000000"/>
                <w:kern w:val="0"/>
                <w:sz w:val="16"/>
                <w:szCs w:val="16"/>
              </w:rPr>
              <w:t>0.5</w:t>
            </w:r>
            <w:r>
              <w:rPr>
                <w:rFonts w:hint="eastAsia" w:ascii="宋体" w:hAnsi="宋体" w:cs="宋体"/>
                <w:color w:val="000000"/>
                <w:kern w:val="0"/>
                <w:sz w:val="16"/>
                <w:szCs w:val="16"/>
              </w:rPr>
              <w:t>分，直至扣完</w:t>
            </w:r>
          </w:p>
        </w:tc>
      </w:tr>
      <w:tr>
        <w:tblPrEx>
          <w:tblCellMar>
            <w:top w:w="0" w:type="dxa"/>
            <w:left w:w="0" w:type="dxa"/>
            <w:bottom w:w="0" w:type="dxa"/>
            <w:right w:w="0" w:type="dxa"/>
          </w:tblCellMar>
        </w:tblPrEx>
        <w:trPr>
          <w:trHeight w:val="1305" w:hRule="atLeast"/>
        </w:trPr>
        <w:tc>
          <w:tcPr>
            <w:tcW w:w="447" w:type="dxa"/>
            <w:vMerge w:val="continue"/>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cs="宋体"/>
                <w:color w:val="000000"/>
                <w:sz w:val="16"/>
                <w:szCs w:val="16"/>
              </w:rPr>
            </w:pPr>
          </w:p>
        </w:tc>
        <w:tc>
          <w:tcPr>
            <w:tcW w:w="678"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cs="宋体"/>
                <w:color w:val="000000"/>
                <w:sz w:val="16"/>
                <w:szCs w:val="16"/>
              </w:rPr>
            </w:pPr>
          </w:p>
        </w:tc>
        <w:tc>
          <w:tcPr>
            <w:tcW w:w="11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决算公开（</w:t>
            </w:r>
            <w:r>
              <w:rPr>
                <w:rFonts w:ascii="宋体" w:hAnsi="宋体" w:cs="宋体"/>
                <w:color w:val="000000"/>
                <w:kern w:val="0"/>
                <w:sz w:val="16"/>
                <w:szCs w:val="16"/>
              </w:rPr>
              <w:t>4</w:t>
            </w:r>
            <w:r>
              <w:rPr>
                <w:rFonts w:hint="eastAsia" w:ascii="宋体" w:hAnsi="宋体" w:cs="宋体"/>
                <w:color w:val="000000"/>
                <w:kern w:val="0"/>
                <w:sz w:val="16"/>
                <w:szCs w:val="16"/>
              </w:rPr>
              <w:t>分）</w:t>
            </w:r>
          </w:p>
        </w:tc>
        <w:tc>
          <w:tcPr>
            <w:tcW w:w="25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除涉密信息外，各部门要在财政部门批复二十日内向社会公开本部门决算（含所有财政资金安排的“三公”经费、机关运行经费的安排、使用情况等）</w:t>
            </w:r>
          </w:p>
        </w:tc>
        <w:tc>
          <w:tcPr>
            <w:tcW w:w="33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ascii="宋体" w:cs="宋体"/>
                <w:color w:val="000000"/>
                <w:sz w:val="16"/>
                <w:szCs w:val="16"/>
              </w:rPr>
            </w:pPr>
          </w:p>
        </w:tc>
        <w:tc>
          <w:tcPr>
            <w:tcW w:w="374"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rPr>
                <w:rFonts w:ascii="宋体" w:cs="宋体"/>
                <w:color w:val="000000"/>
                <w:sz w:val="16"/>
                <w:szCs w:val="16"/>
              </w:rPr>
            </w:pPr>
          </w:p>
        </w:tc>
        <w:tc>
          <w:tcPr>
            <w:tcW w:w="30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未按要求公开的，发现一处问题</w:t>
            </w:r>
            <w:r>
              <w:rPr>
                <w:rFonts w:ascii="宋体" w:hAnsi="宋体" w:cs="宋体"/>
                <w:color w:val="000000"/>
                <w:kern w:val="0"/>
                <w:sz w:val="16"/>
                <w:szCs w:val="16"/>
              </w:rPr>
              <w:t>0.5</w:t>
            </w:r>
            <w:r>
              <w:rPr>
                <w:rFonts w:hint="eastAsia" w:ascii="宋体" w:hAnsi="宋体" w:cs="宋体"/>
                <w:color w:val="000000"/>
                <w:kern w:val="0"/>
                <w:sz w:val="16"/>
                <w:szCs w:val="16"/>
              </w:rPr>
              <w:t>分，直至扣完</w:t>
            </w:r>
          </w:p>
        </w:tc>
      </w:tr>
      <w:tr>
        <w:tblPrEx>
          <w:tblCellMar>
            <w:top w:w="0" w:type="dxa"/>
            <w:left w:w="0" w:type="dxa"/>
            <w:bottom w:w="0" w:type="dxa"/>
            <w:right w:w="0" w:type="dxa"/>
          </w:tblCellMar>
        </w:tblPrEx>
        <w:trPr>
          <w:trHeight w:val="665" w:hRule="atLeast"/>
        </w:trPr>
        <w:tc>
          <w:tcPr>
            <w:tcW w:w="447" w:type="dxa"/>
            <w:vMerge w:val="continue"/>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cs="宋体"/>
                <w:color w:val="000000"/>
                <w:sz w:val="16"/>
                <w:szCs w:val="16"/>
              </w:rPr>
            </w:pPr>
          </w:p>
        </w:tc>
        <w:tc>
          <w:tcPr>
            <w:tcW w:w="678"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cs="宋体"/>
                <w:color w:val="000000"/>
                <w:sz w:val="16"/>
                <w:szCs w:val="16"/>
              </w:rPr>
            </w:pPr>
          </w:p>
        </w:tc>
        <w:tc>
          <w:tcPr>
            <w:tcW w:w="11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绩效信息公开（</w:t>
            </w:r>
            <w:r>
              <w:rPr>
                <w:rFonts w:ascii="宋体" w:hAnsi="宋体" w:cs="宋体"/>
                <w:color w:val="000000"/>
                <w:kern w:val="0"/>
                <w:sz w:val="16"/>
                <w:szCs w:val="16"/>
              </w:rPr>
              <w:t>2</w:t>
            </w:r>
            <w:r>
              <w:rPr>
                <w:rFonts w:hint="eastAsia" w:ascii="宋体" w:hAnsi="宋体" w:cs="宋体"/>
                <w:color w:val="000000"/>
                <w:kern w:val="0"/>
                <w:sz w:val="16"/>
                <w:szCs w:val="16"/>
              </w:rPr>
              <w:t>分）</w:t>
            </w:r>
          </w:p>
        </w:tc>
        <w:tc>
          <w:tcPr>
            <w:tcW w:w="25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按要求公开部门整体支出绩效自评报告及其他按要求应公开的绩效信息</w:t>
            </w:r>
          </w:p>
        </w:tc>
        <w:tc>
          <w:tcPr>
            <w:tcW w:w="33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ascii="宋体" w:cs="宋体"/>
                <w:color w:val="000000"/>
                <w:sz w:val="16"/>
                <w:szCs w:val="16"/>
              </w:rPr>
            </w:pPr>
          </w:p>
        </w:tc>
        <w:tc>
          <w:tcPr>
            <w:tcW w:w="374"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left"/>
              <w:rPr>
                <w:rFonts w:ascii="宋体" w:cs="宋体"/>
                <w:color w:val="000000"/>
                <w:sz w:val="16"/>
                <w:szCs w:val="16"/>
              </w:rPr>
            </w:pPr>
          </w:p>
        </w:tc>
        <w:tc>
          <w:tcPr>
            <w:tcW w:w="30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未按要求公开的，发现一处问题</w:t>
            </w:r>
            <w:r>
              <w:rPr>
                <w:rFonts w:ascii="宋体" w:hAnsi="宋体" w:cs="宋体"/>
                <w:color w:val="000000"/>
                <w:kern w:val="0"/>
                <w:sz w:val="16"/>
                <w:szCs w:val="16"/>
              </w:rPr>
              <w:t>0.5</w:t>
            </w:r>
            <w:r>
              <w:rPr>
                <w:rFonts w:hint="eastAsia" w:ascii="宋体" w:hAnsi="宋体" w:cs="宋体"/>
                <w:color w:val="000000"/>
                <w:kern w:val="0"/>
                <w:sz w:val="16"/>
                <w:szCs w:val="16"/>
              </w:rPr>
              <w:t>分，直至扣完</w:t>
            </w:r>
          </w:p>
        </w:tc>
      </w:tr>
      <w:tr>
        <w:tblPrEx>
          <w:tblCellMar>
            <w:top w:w="0" w:type="dxa"/>
            <w:left w:w="0" w:type="dxa"/>
            <w:bottom w:w="0" w:type="dxa"/>
            <w:right w:w="0" w:type="dxa"/>
          </w:tblCellMar>
        </w:tblPrEx>
        <w:trPr>
          <w:trHeight w:val="1305" w:hRule="atLeast"/>
        </w:trPr>
        <w:tc>
          <w:tcPr>
            <w:tcW w:w="447" w:type="dxa"/>
            <w:vMerge w:val="continue"/>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cs="宋体"/>
                <w:color w:val="000000"/>
                <w:sz w:val="16"/>
                <w:szCs w:val="16"/>
              </w:rPr>
            </w:pPr>
          </w:p>
        </w:tc>
        <w:tc>
          <w:tcPr>
            <w:tcW w:w="678"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绩效评价（</w:t>
            </w:r>
            <w:r>
              <w:rPr>
                <w:rFonts w:ascii="宋体" w:hAnsi="宋体" w:cs="宋体"/>
                <w:color w:val="000000"/>
                <w:kern w:val="0"/>
                <w:sz w:val="16"/>
                <w:szCs w:val="16"/>
              </w:rPr>
              <w:t>10</w:t>
            </w:r>
            <w:r>
              <w:rPr>
                <w:rFonts w:hint="eastAsia" w:ascii="宋体" w:hAnsi="宋体" w:cs="宋体"/>
                <w:color w:val="000000"/>
                <w:kern w:val="0"/>
                <w:sz w:val="16"/>
                <w:szCs w:val="16"/>
              </w:rPr>
              <w:t>分）</w:t>
            </w:r>
          </w:p>
        </w:tc>
        <w:tc>
          <w:tcPr>
            <w:tcW w:w="11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评价项目覆盖率（</w:t>
            </w:r>
            <w:r>
              <w:rPr>
                <w:rFonts w:ascii="宋体" w:hAnsi="宋体" w:cs="宋体"/>
                <w:color w:val="000000"/>
                <w:kern w:val="0"/>
                <w:sz w:val="16"/>
                <w:szCs w:val="16"/>
              </w:rPr>
              <w:t>2</w:t>
            </w:r>
            <w:r>
              <w:rPr>
                <w:rFonts w:hint="eastAsia" w:ascii="宋体" w:hAnsi="宋体" w:cs="宋体"/>
                <w:color w:val="000000"/>
                <w:kern w:val="0"/>
                <w:sz w:val="16"/>
                <w:szCs w:val="16"/>
              </w:rPr>
              <w:t>分）</w:t>
            </w:r>
          </w:p>
        </w:tc>
        <w:tc>
          <w:tcPr>
            <w:tcW w:w="25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部门实施绩效评价项目数量占部门管理专项预算项目数量的比重，部门申报绩效目标项目数量的比重，用以反映和考核部门实施绩效评价项目资金覆盖情况</w:t>
            </w:r>
          </w:p>
        </w:tc>
        <w:tc>
          <w:tcPr>
            <w:tcW w:w="33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ascii="宋体" w:cs="宋体"/>
                <w:color w:val="000000"/>
                <w:sz w:val="16"/>
                <w:szCs w:val="16"/>
              </w:rPr>
            </w:pPr>
          </w:p>
        </w:tc>
        <w:tc>
          <w:tcPr>
            <w:tcW w:w="374"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left"/>
              <w:rPr>
                <w:rFonts w:ascii="宋体" w:cs="宋体"/>
                <w:color w:val="000000"/>
                <w:sz w:val="16"/>
                <w:szCs w:val="16"/>
              </w:rPr>
            </w:pPr>
          </w:p>
        </w:tc>
        <w:tc>
          <w:tcPr>
            <w:tcW w:w="30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评价覆盖率</w:t>
            </w:r>
            <w:r>
              <w:rPr>
                <w:rFonts w:ascii="宋体" w:hAnsi="宋体" w:cs="宋体"/>
                <w:color w:val="000000"/>
                <w:kern w:val="0"/>
                <w:sz w:val="16"/>
                <w:szCs w:val="16"/>
              </w:rPr>
              <w:t>=</w:t>
            </w:r>
            <w:r>
              <w:rPr>
                <w:rFonts w:hint="eastAsia" w:ascii="宋体" w:hAnsi="宋体" w:cs="宋体"/>
                <w:color w:val="000000"/>
                <w:kern w:val="0"/>
                <w:sz w:val="16"/>
                <w:szCs w:val="16"/>
              </w:rPr>
              <w:t>实施绩效评价项目数量</w:t>
            </w:r>
            <w:r>
              <w:rPr>
                <w:rFonts w:ascii="宋体" w:hAnsi="宋体" w:cs="宋体"/>
                <w:color w:val="000000"/>
                <w:kern w:val="0"/>
                <w:sz w:val="16"/>
                <w:szCs w:val="16"/>
              </w:rPr>
              <w:t>/</w:t>
            </w:r>
            <w:r>
              <w:rPr>
                <w:rFonts w:hint="eastAsia" w:ascii="宋体" w:hAnsi="宋体" w:cs="宋体"/>
                <w:color w:val="000000"/>
                <w:kern w:val="0"/>
                <w:sz w:val="16"/>
                <w:szCs w:val="16"/>
              </w:rPr>
              <w:t>部门管理专项预算项目数量×</w:t>
            </w:r>
            <w:r>
              <w:rPr>
                <w:rFonts w:ascii="宋体" w:hAnsi="宋体" w:cs="宋体"/>
                <w:color w:val="000000"/>
                <w:kern w:val="0"/>
                <w:sz w:val="16"/>
                <w:szCs w:val="16"/>
              </w:rPr>
              <w:t>100%</w:t>
            </w:r>
          </w:p>
        </w:tc>
      </w:tr>
      <w:tr>
        <w:tblPrEx>
          <w:tblCellMar>
            <w:top w:w="0" w:type="dxa"/>
            <w:left w:w="0" w:type="dxa"/>
            <w:bottom w:w="0" w:type="dxa"/>
            <w:right w:w="0" w:type="dxa"/>
          </w:tblCellMar>
        </w:tblPrEx>
        <w:trPr>
          <w:trHeight w:val="665" w:hRule="atLeast"/>
        </w:trPr>
        <w:tc>
          <w:tcPr>
            <w:tcW w:w="447" w:type="dxa"/>
            <w:vMerge w:val="continue"/>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cs="宋体"/>
                <w:color w:val="000000"/>
                <w:sz w:val="16"/>
                <w:szCs w:val="16"/>
              </w:rPr>
            </w:pPr>
          </w:p>
        </w:tc>
        <w:tc>
          <w:tcPr>
            <w:tcW w:w="678"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cs="宋体"/>
                <w:color w:val="000000"/>
                <w:sz w:val="16"/>
                <w:szCs w:val="16"/>
              </w:rPr>
            </w:pPr>
          </w:p>
        </w:tc>
        <w:tc>
          <w:tcPr>
            <w:tcW w:w="11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评价层次（</w:t>
            </w:r>
            <w:r>
              <w:rPr>
                <w:rFonts w:ascii="宋体" w:hAnsi="宋体" w:cs="宋体"/>
                <w:color w:val="000000"/>
                <w:kern w:val="0"/>
                <w:sz w:val="16"/>
                <w:szCs w:val="16"/>
              </w:rPr>
              <w:t>2</w:t>
            </w:r>
            <w:r>
              <w:rPr>
                <w:rFonts w:hint="eastAsia" w:ascii="宋体" w:hAnsi="宋体" w:cs="宋体"/>
                <w:color w:val="000000"/>
                <w:kern w:val="0"/>
                <w:sz w:val="16"/>
                <w:szCs w:val="16"/>
              </w:rPr>
              <w:t>分）</w:t>
            </w:r>
          </w:p>
        </w:tc>
        <w:tc>
          <w:tcPr>
            <w:tcW w:w="25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部门（单位）是否对单位内部股室开展整体绩效评价</w:t>
            </w:r>
          </w:p>
        </w:tc>
        <w:tc>
          <w:tcPr>
            <w:tcW w:w="33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ascii="宋体" w:cs="宋体"/>
                <w:color w:val="000000"/>
                <w:sz w:val="16"/>
                <w:szCs w:val="16"/>
              </w:rPr>
            </w:pPr>
          </w:p>
        </w:tc>
        <w:tc>
          <w:tcPr>
            <w:tcW w:w="374"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left"/>
              <w:rPr>
                <w:rFonts w:ascii="宋体" w:cs="宋体"/>
                <w:color w:val="000000"/>
                <w:sz w:val="16"/>
                <w:szCs w:val="16"/>
              </w:rPr>
            </w:pPr>
          </w:p>
        </w:tc>
        <w:tc>
          <w:tcPr>
            <w:tcW w:w="30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对单位内部实施评价的得分，否则不得分</w:t>
            </w:r>
          </w:p>
        </w:tc>
      </w:tr>
      <w:tr>
        <w:tblPrEx>
          <w:tblCellMar>
            <w:top w:w="0" w:type="dxa"/>
            <w:left w:w="0" w:type="dxa"/>
            <w:bottom w:w="0" w:type="dxa"/>
            <w:right w:w="0" w:type="dxa"/>
          </w:tblCellMar>
        </w:tblPrEx>
        <w:trPr>
          <w:trHeight w:val="665" w:hRule="atLeast"/>
        </w:trPr>
        <w:tc>
          <w:tcPr>
            <w:tcW w:w="447" w:type="dxa"/>
            <w:vMerge w:val="continue"/>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cs="宋体"/>
                <w:color w:val="000000"/>
                <w:sz w:val="16"/>
                <w:szCs w:val="16"/>
              </w:rPr>
            </w:pPr>
          </w:p>
        </w:tc>
        <w:tc>
          <w:tcPr>
            <w:tcW w:w="678"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cs="宋体"/>
                <w:color w:val="000000"/>
                <w:sz w:val="16"/>
                <w:szCs w:val="16"/>
              </w:rPr>
            </w:pPr>
          </w:p>
        </w:tc>
        <w:tc>
          <w:tcPr>
            <w:tcW w:w="11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评价结果报告（</w:t>
            </w:r>
            <w:r>
              <w:rPr>
                <w:rFonts w:ascii="宋体" w:hAnsi="宋体" w:cs="宋体"/>
                <w:color w:val="000000"/>
                <w:kern w:val="0"/>
                <w:sz w:val="16"/>
                <w:szCs w:val="16"/>
              </w:rPr>
              <w:t>2</w:t>
            </w:r>
            <w:r>
              <w:rPr>
                <w:rFonts w:hint="eastAsia" w:ascii="宋体" w:hAnsi="宋体" w:cs="宋体"/>
                <w:color w:val="000000"/>
                <w:kern w:val="0"/>
                <w:sz w:val="16"/>
                <w:szCs w:val="16"/>
              </w:rPr>
              <w:t>分）</w:t>
            </w:r>
          </w:p>
        </w:tc>
        <w:tc>
          <w:tcPr>
            <w:tcW w:w="25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部门是否按要求向财政部门报告自评报告等相关绩效信息</w:t>
            </w:r>
          </w:p>
        </w:tc>
        <w:tc>
          <w:tcPr>
            <w:tcW w:w="33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ascii="宋体" w:cs="宋体"/>
                <w:color w:val="000000"/>
                <w:sz w:val="16"/>
                <w:szCs w:val="16"/>
              </w:rPr>
            </w:pPr>
          </w:p>
        </w:tc>
        <w:tc>
          <w:tcPr>
            <w:tcW w:w="374"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left"/>
              <w:rPr>
                <w:rFonts w:ascii="宋体" w:cs="宋体"/>
                <w:color w:val="000000"/>
                <w:sz w:val="16"/>
                <w:szCs w:val="16"/>
              </w:rPr>
            </w:pPr>
          </w:p>
        </w:tc>
        <w:tc>
          <w:tcPr>
            <w:tcW w:w="30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未按要求报送的，发现一处扣</w:t>
            </w:r>
            <w:r>
              <w:rPr>
                <w:rFonts w:ascii="宋体" w:hAnsi="宋体" w:cs="宋体"/>
                <w:color w:val="000000"/>
                <w:kern w:val="0"/>
                <w:sz w:val="16"/>
                <w:szCs w:val="16"/>
              </w:rPr>
              <w:t>0.5</w:t>
            </w:r>
            <w:r>
              <w:rPr>
                <w:rFonts w:hint="eastAsia" w:ascii="宋体" w:hAnsi="宋体" w:cs="宋体"/>
                <w:color w:val="000000"/>
                <w:kern w:val="0"/>
                <w:sz w:val="16"/>
                <w:szCs w:val="16"/>
              </w:rPr>
              <w:t>分，直至扣完。</w:t>
            </w:r>
          </w:p>
        </w:tc>
      </w:tr>
      <w:tr>
        <w:tblPrEx>
          <w:tblCellMar>
            <w:top w:w="0" w:type="dxa"/>
            <w:left w:w="0" w:type="dxa"/>
            <w:bottom w:w="0" w:type="dxa"/>
            <w:right w:w="0" w:type="dxa"/>
          </w:tblCellMar>
        </w:tblPrEx>
        <w:trPr>
          <w:trHeight w:val="665" w:hRule="atLeast"/>
        </w:trPr>
        <w:tc>
          <w:tcPr>
            <w:tcW w:w="447" w:type="dxa"/>
            <w:vMerge w:val="continue"/>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cs="宋体"/>
                <w:color w:val="000000"/>
                <w:sz w:val="16"/>
                <w:szCs w:val="16"/>
              </w:rPr>
            </w:pPr>
          </w:p>
        </w:tc>
        <w:tc>
          <w:tcPr>
            <w:tcW w:w="678"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cs="宋体"/>
                <w:color w:val="000000"/>
                <w:sz w:val="16"/>
                <w:szCs w:val="16"/>
              </w:rPr>
            </w:pPr>
          </w:p>
        </w:tc>
        <w:tc>
          <w:tcPr>
            <w:tcW w:w="11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整改完成率（</w:t>
            </w:r>
            <w:r>
              <w:rPr>
                <w:rFonts w:ascii="宋体" w:hAnsi="宋体" w:cs="宋体"/>
                <w:color w:val="000000"/>
                <w:kern w:val="0"/>
                <w:sz w:val="16"/>
                <w:szCs w:val="16"/>
              </w:rPr>
              <w:t>4</w:t>
            </w:r>
            <w:r>
              <w:rPr>
                <w:rFonts w:hint="eastAsia" w:ascii="宋体" w:hAnsi="宋体" w:cs="宋体"/>
                <w:color w:val="000000"/>
                <w:kern w:val="0"/>
                <w:sz w:val="16"/>
                <w:szCs w:val="16"/>
              </w:rPr>
              <w:t>分）</w:t>
            </w:r>
          </w:p>
        </w:tc>
        <w:tc>
          <w:tcPr>
            <w:tcW w:w="25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部门是否按要求针对绩效评价发现问题制定整改措施，并整改落实到位</w:t>
            </w:r>
          </w:p>
        </w:tc>
        <w:tc>
          <w:tcPr>
            <w:tcW w:w="33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ascii="宋体" w:cs="宋体"/>
                <w:color w:val="000000"/>
                <w:sz w:val="16"/>
                <w:szCs w:val="16"/>
              </w:rPr>
            </w:pPr>
          </w:p>
        </w:tc>
        <w:tc>
          <w:tcPr>
            <w:tcW w:w="374"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left"/>
              <w:rPr>
                <w:rFonts w:ascii="宋体" w:cs="宋体"/>
                <w:color w:val="000000"/>
                <w:sz w:val="16"/>
                <w:szCs w:val="16"/>
              </w:rPr>
            </w:pPr>
          </w:p>
        </w:tc>
        <w:tc>
          <w:tcPr>
            <w:tcW w:w="30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完成率</w:t>
            </w:r>
            <w:r>
              <w:rPr>
                <w:rFonts w:ascii="宋体" w:hAnsi="宋体" w:cs="宋体"/>
                <w:color w:val="000000"/>
                <w:kern w:val="0"/>
                <w:sz w:val="16"/>
                <w:szCs w:val="16"/>
              </w:rPr>
              <w:t>=</w:t>
            </w:r>
            <w:r>
              <w:rPr>
                <w:rFonts w:hint="eastAsia" w:ascii="宋体" w:hAnsi="宋体" w:cs="宋体"/>
                <w:color w:val="000000"/>
                <w:kern w:val="0"/>
                <w:sz w:val="16"/>
                <w:szCs w:val="16"/>
              </w:rPr>
              <w:t>应制定整改措施的项目数量</w:t>
            </w:r>
            <w:r>
              <w:rPr>
                <w:rFonts w:ascii="宋体" w:hAnsi="宋体" w:cs="宋体"/>
                <w:color w:val="000000"/>
                <w:kern w:val="0"/>
                <w:sz w:val="16"/>
                <w:szCs w:val="16"/>
              </w:rPr>
              <w:t>/</w:t>
            </w:r>
            <w:r>
              <w:rPr>
                <w:rFonts w:hint="eastAsia" w:ascii="宋体" w:hAnsi="宋体" w:cs="宋体"/>
                <w:color w:val="000000"/>
                <w:kern w:val="0"/>
                <w:sz w:val="16"/>
                <w:szCs w:val="16"/>
              </w:rPr>
              <w:t>部门实际制定整改措施项目数量×</w:t>
            </w:r>
            <w:r>
              <w:rPr>
                <w:rFonts w:ascii="宋体" w:hAnsi="宋体" w:cs="宋体"/>
                <w:color w:val="000000"/>
                <w:kern w:val="0"/>
                <w:sz w:val="16"/>
                <w:szCs w:val="16"/>
              </w:rPr>
              <w:t>100%</w:t>
            </w:r>
            <w:r>
              <w:rPr>
                <w:rFonts w:hint="eastAsia" w:ascii="宋体" w:hAnsi="宋体" w:cs="宋体"/>
                <w:color w:val="000000"/>
                <w:kern w:val="0"/>
                <w:sz w:val="16"/>
                <w:szCs w:val="16"/>
              </w:rPr>
              <w:t>。</w:t>
            </w:r>
          </w:p>
        </w:tc>
      </w:tr>
      <w:tr>
        <w:tblPrEx>
          <w:tblCellMar>
            <w:top w:w="0" w:type="dxa"/>
            <w:left w:w="0" w:type="dxa"/>
            <w:bottom w:w="0" w:type="dxa"/>
            <w:right w:w="0" w:type="dxa"/>
          </w:tblCellMar>
        </w:tblPrEx>
        <w:trPr>
          <w:trHeight w:val="1305" w:hRule="atLeast"/>
        </w:trPr>
        <w:tc>
          <w:tcPr>
            <w:tcW w:w="447" w:type="dxa"/>
            <w:vMerge w:val="continue"/>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cs="宋体"/>
                <w:color w:val="000000"/>
                <w:sz w:val="16"/>
                <w:szCs w:val="16"/>
              </w:rPr>
            </w:pPr>
          </w:p>
        </w:tc>
        <w:tc>
          <w:tcPr>
            <w:tcW w:w="678"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依法接受财政监督（</w:t>
            </w:r>
            <w:r>
              <w:rPr>
                <w:rFonts w:ascii="宋体" w:hAnsi="宋体" w:cs="宋体"/>
                <w:color w:val="000000"/>
                <w:kern w:val="0"/>
                <w:sz w:val="16"/>
                <w:szCs w:val="16"/>
              </w:rPr>
              <w:t>6</w:t>
            </w:r>
            <w:r>
              <w:rPr>
                <w:rFonts w:hint="eastAsia" w:ascii="宋体" w:hAnsi="宋体" w:cs="宋体"/>
                <w:color w:val="000000"/>
                <w:kern w:val="0"/>
                <w:sz w:val="16"/>
                <w:szCs w:val="16"/>
              </w:rPr>
              <w:t>分）</w:t>
            </w:r>
          </w:p>
        </w:tc>
        <w:tc>
          <w:tcPr>
            <w:tcW w:w="11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是否按要求开展自查自纠（</w:t>
            </w:r>
            <w:r>
              <w:rPr>
                <w:rFonts w:ascii="宋体" w:hAnsi="宋体" w:cs="宋体"/>
                <w:color w:val="000000"/>
                <w:kern w:val="0"/>
                <w:sz w:val="16"/>
                <w:szCs w:val="16"/>
              </w:rPr>
              <w:t>2</w:t>
            </w:r>
            <w:r>
              <w:rPr>
                <w:rFonts w:hint="eastAsia" w:ascii="宋体" w:hAnsi="宋体" w:cs="宋体"/>
                <w:color w:val="000000"/>
                <w:kern w:val="0"/>
                <w:sz w:val="16"/>
                <w:szCs w:val="16"/>
              </w:rPr>
              <w:t>分）</w:t>
            </w:r>
          </w:p>
        </w:tc>
        <w:tc>
          <w:tcPr>
            <w:tcW w:w="25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根据相关自查自纠报告、报表报送时效和质量进行考核</w:t>
            </w:r>
          </w:p>
        </w:tc>
        <w:tc>
          <w:tcPr>
            <w:tcW w:w="33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ascii="宋体" w:cs="宋体"/>
                <w:color w:val="000000"/>
                <w:sz w:val="16"/>
                <w:szCs w:val="16"/>
              </w:rPr>
            </w:pPr>
          </w:p>
        </w:tc>
        <w:tc>
          <w:tcPr>
            <w:tcW w:w="374"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left"/>
              <w:rPr>
                <w:rFonts w:ascii="宋体" w:cs="宋体"/>
                <w:color w:val="000000"/>
                <w:sz w:val="16"/>
                <w:szCs w:val="16"/>
              </w:rPr>
            </w:pPr>
          </w:p>
        </w:tc>
        <w:tc>
          <w:tcPr>
            <w:tcW w:w="30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未在规定时间内报送自查自纠相关材料（包括：纸质和电子版）的，扣</w:t>
            </w:r>
            <w:r>
              <w:rPr>
                <w:rFonts w:ascii="宋体" w:hAnsi="宋体" w:cs="宋体"/>
                <w:color w:val="000000"/>
                <w:kern w:val="0"/>
                <w:sz w:val="16"/>
                <w:szCs w:val="16"/>
              </w:rPr>
              <w:t>0.5</w:t>
            </w:r>
            <w:r>
              <w:rPr>
                <w:rFonts w:hint="eastAsia" w:ascii="宋体" w:hAnsi="宋体" w:cs="宋体"/>
                <w:color w:val="000000"/>
                <w:kern w:val="0"/>
                <w:sz w:val="16"/>
                <w:szCs w:val="16"/>
              </w:rPr>
              <w:t>分；报告内容不完整，扣</w:t>
            </w:r>
            <w:r>
              <w:rPr>
                <w:rFonts w:ascii="宋体" w:hAnsi="宋体" w:cs="宋体"/>
                <w:color w:val="000000"/>
                <w:kern w:val="0"/>
                <w:sz w:val="16"/>
                <w:szCs w:val="16"/>
              </w:rPr>
              <w:t>1</w:t>
            </w:r>
            <w:r>
              <w:rPr>
                <w:rFonts w:hint="eastAsia" w:ascii="宋体" w:hAnsi="宋体" w:cs="宋体"/>
                <w:color w:val="000000"/>
                <w:kern w:val="0"/>
                <w:sz w:val="16"/>
                <w:szCs w:val="16"/>
              </w:rPr>
              <w:t>分；报表质量差（如：数据、逻辑、勾稽关系错误）等扣</w:t>
            </w:r>
            <w:r>
              <w:rPr>
                <w:rFonts w:ascii="宋体" w:hAnsi="宋体" w:cs="宋体"/>
                <w:color w:val="000000"/>
                <w:kern w:val="0"/>
                <w:sz w:val="16"/>
                <w:szCs w:val="16"/>
              </w:rPr>
              <w:t>0.5</w:t>
            </w:r>
            <w:r>
              <w:rPr>
                <w:rFonts w:hint="eastAsia" w:ascii="宋体" w:hAnsi="宋体" w:cs="宋体"/>
                <w:color w:val="000000"/>
                <w:kern w:val="0"/>
                <w:sz w:val="16"/>
                <w:szCs w:val="16"/>
              </w:rPr>
              <w:t>分；直至扣完</w:t>
            </w:r>
          </w:p>
        </w:tc>
      </w:tr>
      <w:tr>
        <w:tblPrEx>
          <w:tblCellMar>
            <w:top w:w="0" w:type="dxa"/>
            <w:left w:w="0" w:type="dxa"/>
            <w:bottom w:w="0" w:type="dxa"/>
            <w:right w:w="0" w:type="dxa"/>
          </w:tblCellMar>
        </w:tblPrEx>
        <w:trPr>
          <w:trHeight w:val="775" w:hRule="atLeast"/>
        </w:trPr>
        <w:tc>
          <w:tcPr>
            <w:tcW w:w="447" w:type="dxa"/>
            <w:vMerge w:val="continue"/>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cs="宋体"/>
                <w:color w:val="000000"/>
                <w:sz w:val="16"/>
                <w:szCs w:val="16"/>
              </w:rPr>
            </w:pPr>
          </w:p>
        </w:tc>
        <w:tc>
          <w:tcPr>
            <w:tcW w:w="678"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cs="宋体"/>
                <w:color w:val="000000"/>
                <w:sz w:val="16"/>
                <w:szCs w:val="16"/>
              </w:rPr>
            </w:pPr>
          </w:p>
        </w:tc>
        <w:tc>
          <w:tcPr>
            <w:tcW w:w="11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重点检查发现违规违纪问题（</w:t>
            </w:r>
            <w:r>
              <w:rPr>
                <w:rFonts w:ascii="宋体" w:hAnsi="宋体" w:cs="宋体"/>
                <w:color w:val="000000"/>
                <w:kern w:val="0"/>
                <w:sz w:val="16"/>
                <w:szCs w:val="16"/>
              </w:rPr>
              <w:t>2</w:t>
            </w:r>
            <w:r>
              <w:rPr>
                <w:rFonts w:hint="eastAsia" w:ascii="宋体" w:hAnsi="宋体" w:cs="宋体"/>
                <w:color w:val="000000"/>
                <w:kern w:val="0"/>
                <w:sz w:val="16"/>
                <w:szCs w:val="16"/>
              </w:rPr>
              <w:t>分）</w:t>
            </w:r>
          </w:p>
        </w:tc>
        <w:tc>
          <w:tcPr>
            <w:tcW w:w="25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根据检查组提供的工作底稿、检查报告等资料进行考核</w:t>
            </w:r>
          </w:p>
        </w:tc>
        <w:tc>
          <w:tcPr>
            <w:tcW w:w="33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ascii="宋体" w:cs="宋体"/>
                <w:color w:val="000000"/>
                <w:sz w:val="16"/>
                <w:szCs w:val="16"/>
              </w:rPr>
            </w:pPr>
          </w:p>
        </w:tc>
        <w:tc>
          <w:tcPr>
            <w:tcW w:w="374"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left"/>
              <w:rPr>
                <w:rFonts w:ascii="宋体" w:cs="宋体"/>
                <w:color w:val="000000"/>
                <w:sz w:val="16"/>
                <w:szCs w:val="16"/>
              </w:rPr>
            </w:pPr>
          </w:p>
        </w:tc>
        <w:tc>
          <w:tcPr>
            <w:tcW w:w="30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专项检查发现的违纪违规问题，每个问题扣</w:t>
            </w:r>
            <w:r>
              <w:rPr>
                <w:rFonts w:ascii="宋体" w:hAnsi="宋体" w:cs="宋体"/>
                <w:color w:val="000000"/>
                <w:kern w:val="0"/>
                <w:sz w:val="16"/>
                <w:szCs w:val="16"/>
              </w:rPr>
              <w:t>0.5</w:t>
            </w:r>
            <w:r>
              <w:rPr>
                <w:rFonts w:hint="eastAsia" w:ascii="宋体" w:hAnsi="宋体" w:cs="宋体"/>
                <w:color w:val="000000"/>
                <w:kern w:val="0"/>
                <w:sz w:val="16"/>
                <w:szCs w:val="16"/>
              </w:rPr>
              <w:t>分，直至扣完</w:t>
            </w:r>
          </w:p>
        </w:tc>
      </w:tr>
      <w:tr>
        <w:tblPrEx>
          <w:tblCellMar>
            <w:top w:w="0" w:type="dxa"/>
            <w:left w:w="0" w:type="dxa"/>
            <w:bottom w:w="0" w:type="dxa"/>
            <w:right w:w="0" w:type="dxa"/>
          </w:tblCellMar>
        </w:tblPrEx>
        <w:trPr>
          <w:trHeight w:val="775" w:hRule="atLeast"/>
        </w:trPr>
        <w:tc>
          <w:tcPr>
            <w:tcW w:w="447" w:type="dxa"/>
            <w:vMerge w:val="continue"/>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cs="宋体"/>
                <w:color w:val="000000"/>
                <w:sz w:val="16"/>
                <w:szCs w:val="16"/>
              </w:rPr>
            </w:pPr>
          </w:p>
        </w:tc>
        <w:tc>
          <w:tcPr>
            <w:tcW w:w="678"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cs="宋体"/>
                <w:color w:val="000000"/>
                <w:sz w:val="16"/>
                <w:szCs w:val="16"/>
              </w:rPr>
            </w:pPr>
          </w:p>
        </w:tc>
        <w:tc>
          <w:tcPr>
            <w:tcW w:w="11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存在问题整改是否到位（</w:t>
            </w:r>
            <w:r>
              <w:rPr>
                <w:rFonts w:ascii="宋体" w:hAnsi="宋体" w:cs="宋体"/>
                <w:color w:val="000000"/>
                <w:kern w:val="0"/>
                <w:sz w:val="16"/>
                <w:szCs w:val="16"/>
              </w:rPr>
              <w:t>2</w:t>
            </w:r>
            <w:r>
              <w:rPr>
                <w:rFonts w:hint="eastAsia" w:ascii="宋体" w:hAnsi="宋体" w:cs="宋体"/>
                <w:color w:val="000000"/>
                <w:kern w:val="0"/>
                <w:sz w:val="16"/>
                <w:szCs w:val="16"/>
              </w:rPr>
              <w:t>分）</w:t>
            </w:r>
          </w:p>
        </w:tc>
        <w:tc>
          <w:tcPr>
            <w:tcW w:w="25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根据相关整改报告、凭证依据等相关证明材料进行考核</w:t>
            </w:r>
          </w:p>
        </w:tc>
        <w:tc>
          <w:tcPr>
            <w:tcW w:w="33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ascii="宋体" w:cs="宋体"/>
                <w:color w:val="000000"/>
                <w:sz w:val="16"/>
                <w:szCs w:val="16"/>
              </w:rPr>
            </w:pPr>
          </w:p>
        </w:tc>
        <w:tc>
          <w:tcPr>
            <w:tcW w:w="374"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left"/>
              <w:rPr>
                <w:rFonts w:ascii="宋体" w:cs="宋体"/>
                <w:color w:val="000000"/>
                <w:sz w:val="16"/>
                <w:szCs w:val="16"/>
              </w:rPr>
            </w:pPr>
          </w:p>
        </w:tc>
        <w:tc>
          <w:tcPr>
            <w:tcW w:w="30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未在规定时间内完成整改，并提供相关证明材料的，每个问题</w:t>
            </w:r>
            <w:r>
              <w:rPr>
                <w:rFonts w:ascii="宋体" w:hAnsi="宋体" w:cs="宋体"/>
                <w:color w:val="000000"/>
                <w:kern w:val="0"/>
                <w:sz w:val="16"/>
                <w:szCs w:val="16"/>
              </w:rPr>
              <w:t>0.5</w:t>
            </w:r>
            <w:r>
              <w:rPr>
                <w:rFonts w:hint="eastAsia" w:ascii="宋体" w:hAnsi="宋体" w:cs="宋体"/>
                <w:color w:val="000000"/>
                <w:kern w:val="0"/>
                <w:sz w:val="16"/>
                <w:szCs w:val="16"/>
              </w:rPr>
              <w:t>分，直至扣完</w:t>
            </w:r>
          </w:p>
        </w:tc>
      </w:tr>
      <w:tr>
        <w:tblPrEx>
          <w:tblCellMar>
            <w:top w:w="0" w:type="dxa"/>
            <w:left w:w="0" w:type="dxa"/>
            <w:bottom w:w="0" w:type="dxa"/>
            <w:right w:w="0" w:type="dxa"/>
          </w:tblCellMar>
        </w:tblPrEx>
        <w:trPr>
          <w:trHeight w:val="775" w:hRule="atLeast"/>
        </w:trPr>
        <w:tc>
          <w:tcPr>
            <w:tcW w:w="447"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6"/>
                <w:szCs w:val="16"/>
              </w:rPr>
            </w:pPr>
            <w:r>
              <w:rPr>
                <w:rFonts w:hint="eastAsia" w:ascii="宋体" w:hAnsi="宋体" w:cs="宋体"/>
                <w:color w:val="000000"/>
                <w:kern w:val="0"/>
                <w:sz w:val="16"/>
                <w:szCs w:val="16"/>
              </w:rPr>
              <w:t>整体效益（</w:t>
            </w:r>
            <w:r>
              <w:rPr>
                <w:rFonts w:ascii="宋体" w:hAnsi="宋体" w:cs="宋体"/>
                <w:color w:val="000000"/>
                <w:kern w:val="0"/>
                <w:sz w:val="16"/>
                <w:szCs w:val="16"/>
              </w:rPr>
              <w:t>30</w:t>
            </w:r>
            <w:r>
              <w:rPr>
                <w:rFonts w:hint="eastAsia" w:ascii="宋体" w:hAnsi="宋体" w:cs="宋体"/>
                <w:color w:val="000000"/>
                <w:kern w:val="0"/>
                <w:sz w:val="16"/>
                <w:szCs w:val="16"/>
              </w:rPr>
              <w:t>分）</w:t>
            </w:r>
          </w:p>
        </w:tc>
        <w:tc>
          <w:tcPr>
            <w:tcW w:w="678"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部门整体绩效（</w:t>
            </w:r>
            <w:r>
              <w:rPr>
                <w:rFonts w:ascii="宋体" w:hAnsi="宋体" w:cs="宋体"/>
                <w:color w:val="000000"/>
                <w:kern w:val="0"/>
                <w:sz w:val="16"/>
                <w:szCs w:val="16"/>
              </w:rPr>
              <w:t>30</w:t>
            </w:r>
            <w:r>
              <w:rPr>
                <w:rFonts w:hint="eastAsia" w:ascii="宋体" w:hAnsi="宋体" w:cs="宋体"/>
                <w:color w:val="000000"/>
                <w:kern w:val="0"/>
                <w:sz w:val="16"/>
                <w:szCs w:val="16"/>
              </w:rPr>
              <w:t>分）</w:t>
            </w:r>
          </w:p>
        </w:tc>
        <w:tc>
          <w:tcPr>
            <w:tcW w:w="11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重点项目绩效评价结果（</w:t>
            </w:r>
            <w:r>
              <w:rPr>
                <w:rFonts w:ascii="宋体" w:hAnsi="宋体" w:cs="宋体"/>
                <w:color w:val="000000"/>
                <w:kern w:val="0"/>
                <w:sz w:val="16"/>
                <w:szCs w:val="16"/>
              </w:rPr>
              <w:t>10</w:t>
            </w:r>
            <w:r>
              <w:rPr>
                <w:rFonts w:hint="eastAsia" w:ascii="宋体" w:hAnsi="宋体" w:cs="宋体"/>
                <w:color w:val="000000"/>
                <w:kern w:val="0"/>
                <w:sz w:val="16"/>
                <w:szCs w:val="16"/>
              </w:rPr>
              <w:t>分）</w:t>
            </w:r>
          </w:p>
        </w:tc>
        <w:tc>
          <w:tcPr>
            <w:tcW w:w="25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部门实施重大项目的经济、社会效益</w:t>
            </w:r>
          </w:p>
        </w:tc>
        <w:tc>
          <w:tcPr>
            <w:tcW w:w="33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ascii="宋体" w:cs="宋体"/>
                <w:color w:val="000000"/>
                <w:sz w:val="16"/>
                <w:szCs w:val="16"/>
              </w:rPr>
            </w:pPr>
          </w:p>
        </w:tc>
        <w:tc>
          <w:tcPr>
            <w:tcW w:w="374"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rPr>
                <w:rFonts w:ascii="宋体" w:cs="宋体"/>
                <w:color w:val="000000"/>
                <w:sz w:val="16"/>
                <w:szCs w:val="16"/>
              </w:rPr>
            </w:pPr>
          </w:p>
        </w:tc>
        <w:tc>
          <w:tcPr>
            <w:tcW w:w="30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根据县财政组织实施项目绩效评价结果换算</w:t>
            </w:r>
          </w:p>
        </w:tc>
      </w:tr>
      <w:tr>
        <w:tblPrEx>
          <w:tblCellMar>
            <w:top w:w="0" w:type="dxa"/>
            <w:left w:w="0" w:type="dxa"/>
            <w:bottom w:w="0" w:type="dxa"/>
            <w:right w:w="0" w:type="dxa"/>
          </w:tblCellMar>
        </w:tblPrEx>
        <w:trPr>
          <w:trHeight w:val="345" w:hRule="atLeast"/>
        </w:trPr>
        <w:tc>
          <w:tcPr>
            <w:tcW w:w="447"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cs="宋体"/>
                <w:color w:val="000000"/>
                <w:sz w:val="16"/>
                <w:szCs w:val="16"/>
              </w:rPr>
            </w:pPr>
          </w:p>
        </w:tc>
        <w:tc>
          <w:tcPr>
            <w:tcW w:w="678"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cs="宋体"/>
                <w:color w:val="000000"/>
                <w:sz w:val="16"/>
                <w:szCs w:val="16"/>
              </w:rPr>
            </w:pPr>
          </w:p>
        </w:tc>
        <w:tc>
          <w:tcPr>
            <w:tcW w:w="1105"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部门职能完成情况特性指标（</w:t>
            </w:r>
            <w:r>
              <w:rPr>
                <w:rFonts w:ascii="宋体" w:hAnsi="宋体" w:cs="宋体"/>
                <w:color w:val="000000"/>
                <w:kern w:val="0"/>
                <w:sz w:val="16"/>
                <w:szCs w:val="16"/>
              </w:rPr>
              <w:t>20</w:t>
            </w:r>
            <w:r>
              <w:rPr>
                <w:rFonts w:hint="eastAsia" w:ascii="宋体" w:hAnsi="宋体" w:cs="宋体"/>
                <w:color w:val="000000"/>
                <w:kern w:val="0"/>
                <w:sz w:val="16"/>
                <w:szCs w:val="16"/>
              </w:rPr>
              <w:t>分）</w:t>
            </w:r>
          </w:p>
        </w:tc>
        <w:tc>
          <w:tcPr>
            <w:tcW w:w="2509"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根据部门职能职责、州级主管部门和县委县政府安排的各项专项工作任务及其他年度重点工作任务等，汇总梳理形成能够量化衡量且全面反映部门职能工作完成情况的若干指标。</w:t>
            </w:r>
          </w:p>
        </w:tc>
        <w:tc>
          <w:tcPr>
            <w:tcW w:w="338" w:type="dxa"/>
            <w:vMerge w:val="restar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ascii="宋体" w:cs="宋体"/>
                <w:color w:val="000000"/>
                <w:sz w:val="16"/>
                <w:szCs w:val="16"/>
              </w:rPr>
            </w:pPr>
          </w:p>
        </w:tc>
        <w:tc>
          <w:tcPr>
            <w:tcW w:w="374" w:type="dxa"/>
            <w:vMerge w:val="restar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ascii="宋体" w:cs="宋体"/>
                <w:color w:val="000000"/>
                <w:sz w:val="16"/>
                <w:szCs w:val="16"/>
              </w:rPr>
            </w:pPr>
          </w:p>
        </w:tc>
        <w:tc>
          <w:tcPr>
            <w:tcW w:w="3053"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hint="eastAsia" w:ascii="宋体" w:hAnsi="宋体" w:cs="宋体"/>
                <w:color w:val="000000"/>
                <w:kern w:val="0"/>
                <w:sz w:val="16"/>
                <w:szCs w:val="16"/>
              </w:rPr>
              <w:t>部门和评价组根据部门实际设置</w:t>
            </w:r>
          </w:p>
        </w:tc>
      </w:tr>
      <w:tr>
        <w:tblPrEx>
          <w:tblCellMar>
            <w:top w:w="0" w:type="dxa"/>
            <w:left w:w="0" w:type="dxa"/>
            <w:bottom w:w="0" w:type="dxa"/>
            <w:right w:w="0" w:type="dxa"/>
          </w:tblCellMar>
        </w:tblPrEx>
        <w:trPr>
          <w:trHeight w:val="1280" w:hRule="atLeast"/>
        </w:trPr>
        <w:tc>
          <w:tcPr>
            <w:tcW w:w="447"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cs="宋体"/>
                <w:color w:val="000000"/>
                <w:sz w:val="16"/>
                <w:szCs w:val="16"/>
              </w:rPr>
            </w:pPr>
          </w:p>
        </w:tc>
        <w:tc>
          <w:tcPr>
            <w:tcW w:w="678"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cs="宋体"/>
                <w:color w:val="000000"/>
                <w:sz w:val="16"/>
                <w:szCs w:val="16"/>
              </w:rPr>
            </w:pPr>
          </w:p>
        </w:tc>
        <w:tc>
          <w:tcPr>
            <w:tcW w:w="1105"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left"/>
              <w:rPr>
                <w:rFonts w:ascii="宋体" w:cs="宋体"/>
                <w:color w:val="000000"/>
                <w:sz w:val="16"/>
                <w:szCs w:val="16"/>
              </w:rPr>
            </w:pPr>
          </w:p>
        </w:tc>
        <w:tc>
          <w:tcPr>
            <w:tcW w:w="2509"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left"/>
              <w:rPr>
                <w:rFonts w:ascii="宋体" w:cs="宋体"/>
                <w:color w:val="000000"/>
                <w:sz w:val="16"/>
                <w:szCs w:val="16"/>
              </w:rPr>
            </w:pPr>
          </w:p>
        </w:tc>
        <w:tc>
          <w:tcPr>
            <w:tcW w:w="338" w:type="dxa"/>
            <w:vMerge w:val="continue"/>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ascii="宋体" w:cs="宋体"/>
                <w:color w:val="000000"/>
                <w:sz w:val="16"/>
                <w:szCs w:val="16"/>
              </w:rPr>
            </w:pPr>
          </w:p>
        </w:tc>
        <w:tc>
          <w:tcPr>
            <w:tcW w:w="374" w:type="dxa"/>
            <w:vMerge w:val="continue"/>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ascii="宋体" w:cs="宋体"/>
                <w:color w:val="000000"/>
                <w:sz w:val="16"/>
                <w:szCs w:val="16"/>
              </w:rPr>
            </w:pPr>
          </w:p>
        </w:tc>
        <w:tc>
          <w:tcPr>
            <w:tcW w:w="3053"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left"/>
              <w:rPr>
                <w:rFonts w:ascii="宋体" w:cs="宋体"/>
                <w:color w:val="000000"/>
                <w:sz w:val="16"/>
                <w:szCs w:val="16"/>
              </w:rPr>
            </w:pPr>
          </w:p>
        </w:tc>
      </w:tr>
      <w:tr>
        <w:tblPrEx>
          <w:tblCellMar>
            <w:top w:w="0" w:type="dxa"/>
            <w:left w:w="0" w:type="dxa"/>
            <w:bottom w:w="0" w:type="dxa"/>
            <w:right w:w="0" w:type="dxa"/>
          </w:tblCellMar>
        </w:tblPrEx>
        <w:trPr>
          <w:trHeight w:val="665" w:hRule="atLeast"/>
        </w:trPr>
        <w:tc>
          <w:tcPr>
            <w:tcW w:w="8504" w:type="dxa"/>
            <w:gridSpan w:val="7"/>
            <w:tcBorders>
              <w:top w:val="single" w:color="000000" w:sz="4" w:space="0"/>
              <w:left w:val="nil"/>
              <w:bottom w:val="nil"/>
              <w:right w:val="nil"/>
            </w:tcBorders>
            <w:noWrap/>
            <w:tcMar>
              <w:top w:w="15" w:type="dxa"/>
              <w:left w:w="15" w:type="dxa"/>
              <w:right w:w="15" w:type="dxa"/>
            </w:tcMar>
            <w:vAlign w:val="center"/>
          </w:tcPr>
          <w:p>
            <w:pPr>
              <w:widowControl/>
              <w:jc w:val="left"/>
              <w:textAlignment w:val="center"/>
              <w:rPr>
                <w:rFonts w:ascii="宋体" w:cs="宋体"/>
                <w:b/>
                <w:color w:val="000000"/>
                <w:sz w:val="16"/>
                <w:szCs w:val="16"/>
              </w:rPr>
            </w:pPr>
            <w:r>
              <w:rPr>
                <w:rFonts w:hint="eastAsia" w:ascii="宋体" w:hAnsi="宋体" w:cs="宋体"/>
                <w:b/>
                <w:color w:val="000000"/>
                <w:kern w:val="0"/>
                <w:sz w:val="16"/>
                <w:szCs w:val="16"/>
              </w:rPr>
              <w:t>注：若某部门不存在某项评价内容或评价指标，则该评价内容或评价指标不计入该部门考核评价范围，即该部门评价总分＝不含该评价内容或指标的评价总分</w:t>
            </w:r>
            <w:r>
              <w:rPr>
                <w:rFonts w:ascii="宋体" w:hAnsi="宋体" w:cs="宋体"/>
                <w:b/>
                <w:color w:val="000000"/>
                <w:kern w:val="0"/>
                <w:sz w:val="16"/>
                <w:szCs w:val="16"/>
              </w:rPr>
              <w:t>/</w:t>
            </w:r>
            <w:r>
              <w:rPr>
                <w:rFonts w:hint="eastAsia" w:ascii="宋体" w:hAnsi="宋体" w:cs="宋体"/>
                <w:b/>
                <w:color w:val="000000"/>
                <w:kern w:val="0"/>
                <w:sz w:val="16"/>
                <w:szCs w:val="16"/>
              </w:rPr>
              <w:t>（</w:t>
            </w:r>
            <w:r>
              <w:rPr>
                <w:rFonts w:ascii="宋体" w:hAnsi="宋体" w:cs="宋体"/>
                <w:b/>
                <w:color w:val="000000"/>
                <w:kern w:val="0"/>
                <w:sz w:val="16"/>
                <w:szCs w:val="16"/>
              </w:rPr>
              <w:t>100-</w:t>
            </w:r>
            <w:r>
              <w:rPr>
                <w:rFonts w:hint="eastAsia" w:ascii="宋体" w:hAnsi="宋体" w:cs="宋体"/>
                <w:b/>
                <w:color w:val="000000"/>
                <w:kern w:val="0"/>
                <w:sz w:val="16"/>
                <w:szCs w:val="16"/>
              </w:rPr>
              <w:t>该评价内容或指标所占分值）</w:t>
            </w:r>
            <w:r>
              <w:rPr>
                <w:rFonts w:ascii="宋体" w:hAnsi="宋体" w:cs="宋体"/>
                <w:b/>
                <w:color w:val="000000"/>
                <w:kern w:val="0"/>
                <w:sz w:val="16"/>
                <w:szCs w:val="16"/>
              </w:rPr>
              <w:t>*100</w:t>
            </w:r>
            <w:r>
              <w:rPr>
                <w:rFonts w:hint="eastAsia" w:ascii="宋体" w:hAnsi="宋体" w:cs="宋体"/>
                <w:b/>
                <w:color w:val="000000"/>
                <w:kern w:val="0"/>
                <w:sz w:val="16"/>
                <w:szCs w:val="16"/>
              </w:rPr>
              <w:t>。</w:t>
            </w:r>
          </w:p>
        </w:tc>
      </w:tr>
    </w:tbl>
    <w:p/>
    <w:p>
      <w:pPr>
        <w:widowControl/>
        <w:spacing w:line="576" w:lineRule="atLeast"/>
        <w:jc w:val="left"/>
        <w:rPr>
          <w:rFonts w:ascii="仿宋_GB2312" w:hAnsi="仿宋_GB2312" w:eastAsia="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600" w:lineRule="exact"/>
        <w:jc w:val="left"/>
        <w:outlineLvl w:val="0"/>
        <w:rPr>
          <w:rFonts w:ascii="黑体" w:hAnsi="黑体" w:eastAsia="黑体" w:cs="黑体"/>
          <w:sz w:val="32"/>
          <w:szCs w:val="32"/>
        </w:rPr>
      </w:pPr>
      <w:bookmarkStart w:id="136" w:name="_Toc82764228"/>
      <w:bookmarkStart w:id="137" w:name="_Toc79163633"/>
      <w:r>
        <w:rPr>
          <w:rFonts w:hint="eastAsia" w:ascii="黑体" w:hAnsi="黑体" w:eastAsia="黑体" w:cs="黑体"/>
          <w:sz w:val="32"/>
          <w:szCs w:val="32"/>
        </w:rPr>
        <w:t>附件</w:t>
      </w:r>
      <w:r>
        <w:rPr>
          <w:rFonts w:ascii="黑体" w:hAnsi="黑体" w:eastAsia="黑体" w:cs="黑体"/>
          <w:sz w:val="32"/>
          <w:szCs w:val="32"/>
        </w:rPr>
        <w:t>2</w:t>
      </w:r>
      <w:bookmarkEnd w:id="136"/>
      <w:bookmarkEnd w:id="137"/>
    </w:p>
    <w:p>
      <w:pPr>
        <w:spacing w:line="560" w:lineRule="exact"/>
        <w:jc w:val="center"/>
        <w:rPr>
          <w:rFonts w:ascii="方正小标宋简体" w:hAnsi="Arial" w:eastAsia="方正小标宋简体" w:cs="Arial"/>
          <w:b/>
          <w:sz w:val="44"/>
          <w:szCs w:val="44"/>
        </w:rPr>
      </w:pPr>
      <w:r>
        <w:rPr>
          <w:rFonts w:hint="eastAsia" w:ascii="方正小标宋简体" w:hAnsi="Arial" w:eastAsia="方正小标宋简体" w:cs="Arial"/>
          <w:b/>
          <w:sz w:val="44"/>
          <w:szCs w:val="44"/>
        </w:rPr>
        <w:t>茂县退役军人事务局</w:t>
      </w:r>
    </w:p>
    <w:p>
      <w:pPr>
        <w:spacing w:line="560" w:lineRule="exact"/>
        <w:jc w:val="center"/>
        <w:rPr>
          <w:rFonts w:ascii="方正小标宋简体" w:hAnsi="宋体" w:eastAsia="方正小标宋简体" w:cs="宋体"/>
          <w:b/>
          <w:sz w:val="44"/>
          <w:szCs w:val="44"/>
        </w:rPr>
      </w:pPr>
      <w:r>
        <w:rPr>
          <w:rFonts w:hint="eastAsia" w:ascii="方正小标宋简体" w:hAnsi="Arial" w:eastAsia="方正小标宋简体" w:cs="Arial"/>
          <w:b/>
          <w:sz w:val="44"/>
          <w:szCs w:val="44"/>
        </w:rPr>
        <w:t>优抚对象医疗补助项目</w:t>
      </w:r>
      <w:r>
        <w:rPr>
          <w:rFonts w:ascii="方正小标宋简体" w:hAnsi="Arial" w:eastAsia="方正小标宋简体" w:cs="Arial"/>
          <w:b/>
          <w:sz w:val="44"/>
          <w:szCs w:val="44"/>
        </w:rPr>
        <w:t>2020</w:t>
      </w:r>
      <w:r>
        <w:rPr>
          <w:rFonts w:hint="eastAsia" w:ascii="方正小标宋简体" w:hAnsi="宋体" w:eastAsia="方正小标宋简体" w:cs="宋体"/>
          <w:b/>
          <w:sz w:val="44"/>
          <w:szCs w:val="44"/>
        </w:rPr>
        <w:t>年度绩效报告</w:t>
      </w:r>
    </w:p>
    <w:p>
      <w:pPr>
        <w:widowControl/>
        <w:shd w:val="clear" w:color="auto" w:fill="FFFFFF"/>
        <w:spacing w:line="600" w:lineRule="atLeast"/>
        <w:ind w:firstLine="480"/>
        <w:jc w:val="left"/>
        <w:rPr>
          <w:rFonts w:ascii="宋体" w:hAnsi="宋体" w:cs="宋体"/>
          <w:b/>
          <w:bCs/>
          <w:color w:val="000000"/>
          <w:kern w:val="0"/>
          <w:sz w:val="32"/>
          <w:szCs w:val="32"/>
        </w:rPr>
      </w:pPr>
      <w:r>
        <w:rPr>
          <w:rFonts w:hint="eastAsia" w:ascii="宋体" w:hAnsi="宋体" w:cs="宋体"/>
          <w:b/>
          <w:bCs/>
          <w:color w:val="000000"/>
          <w:kern w:val="0"/>
          <w:sz w:val="32"/>
          <w:szCs w:val="32"/>
        </w:rPr>
        <w:t>一、项目概况</w:t>
      </w:r>
    </w:p>
    <w:p>
      <w:pPr>
        <w:widowControl/>
        <w:shd w:val="clear" w:color="auto" w:fill="FFFFFF"/>
        <w:spacing w:line="600" w:lineRule="atLeast"/>
        <w:ind w:firstLine="482"/>
        <w:jc w:val="left"/>
        <w:rPr>
          <w:rFonts w:hint="eastAsia" w:ascii="仿宋_GB2312" w:hAnsi="Micsoft-Yahei" w:eastAsia="仿宋_GB2312" w:cs="宋体"/>
          <w:color w:val="000000"/>
          <w:kern w:val="0"/>
          <w:sz w:val="32"/>
          <w:szCs w:val="32"/>
        </w:rPr>
      </w:pPr>
      <w:r>
        <w:rPr>
          <w:rFonts w:hint="eastAsia" w:ascii="仿宋_GB2312" w:hAnsi="宋体" w:eastAsia="仿宋_GB2312" w:cs="宋体"/>
          <w:b/>
          <w:bCs/>
          <w:color w:val="000000"/>
          <w:kern w:val="0"/>
          <w:sz w:val="32"/>
          <w:szCs w:val="32"/>
        </w:rPr>
        <w:t>（一）项目情况</w:t>
      </w:r>
    </w:p>
    <w:p>
      <w:pPr>
        <w:widowControl/>
        <w:shd w:val="clear" w:color="auto" w:fill="FFFFFF"/>
        <w:spacing w:line="600" w:lineRule="atLeast"/>
        <w:ind w:firstLine="480"/>
        <w:jc w:val="left"/>
        <w:rPr>
          <w:rFonts w:ascii="仿宋_GB2312" w:hAnsi="宋体" w:eastAsia="仿宋_GB2312" w:cs="宋体"/>
          <w:color w:val="000000"/>
          <w:kern w:val="0"/>
          <w:sz w:val="32"/>
          <w:szCs w:val="32"/>
        </w:rPr>
      </w:pPr>
      <w:r>
        <w:rPr>
          <w:rFonts w:ascii="仿宋_GB2312" w:hAnsi="宋体" w:eastAsia="仿宋_GB2312" w:cs="宋体"/>
          <w:color w:val="000000"/>
          <w:kern w:val="0"/>
          <w:sz w:val="32"/>
          <w:szCs w:val="32"/>
        </w:rPr>
        <w:t>1.</w:t>
      </w:r>
      <w:r>
        <w:rPr>
          <w:rFonts w:hint="eastAsia" w:ascii="仿宋_GB2312" w:hAnsi="宋体" w:eastAsia="仿宋_GB2312" w:cs="宋体"/>
          <w:color w:val="000000"/>
          <w:kern w:val="0"/>
          <w:sz w:val="32"/>
          <w:szCs w:val="32"/>
        </w:rPr>
        <w:t>项目管理中的职能</w:t>
      </w:r>
    </w:p>
    <w:p>
      <w:pPr>
        <w:widowControl/>
        <w:shd w:val="clear" w:color="auto" w:fill="FFFFFF"/>
        <w:spacing w:line="600" w:lineRule="atLeast"/>
        <w:ind w:firstLine="480"/>
        <w:jc w:val="left"/>
        <w:rPr>
          <w:rFonts w:hint="eastAsia" w:ascii="仿宋_GB2312" w:hAnsi="Micsoft-Yahei" w:eastAsia="仿宋_GB2312" w:cs="宋体"/>
          <w:color w:val="000000"/>
          <w:kern w:val="0"/>
          <w:sz w:val="32"/>
          <w:szCs w:val="32"/>
        </w:rPr>
      </w:pPr>
      <w:bookmarkStart w:id="138" w:name="_Hlk82611349"/>
      <w:r>
        <w:rPr>
          <w:rFonts w:hint="eastAsia" w:ascii="仿宋_GB2312" w:hAnsi="宋体" w:eastAsia="仿宋_GB2312" w:cs="宋体"/>
          <w:color w:val="000000"/>
          <w:kern w:val="0"/>
          <w:sz w:val="32"/>
          <w:szCs w:val="32"/>
        </w:rPr>
        <w:t>主要负责优抚对象五至十级残疾农村籍军人参加城镇职工基本医疗保险和建立补充医疗保障；五至十级残疾村村及军人旧伤复发医疗经费，以及落实其他有关优抚对象医疗优惠待遇。</w:t>
      </w:r>
    </w:p>
    <w:bookmarkEnd w:id="138"/>
    <w:p>
      <w:pPr>
        <w:adjustRightInd w:val="0"/>
        <w:snapToGrid w:val="0"/>
        <w:spacing w:line="360" w:lineRule="auto"/>
        <w:ind w:firstLine="640" w:firstLineChars="200"/>
        <w:rPr>
          <w:rFonts w:ascii="仿宋_GB2312" w:hAnsi="宋体" w:eastAsia="仿宋_GB2312"/>
          <w:sz w:val="32"/>
          <w:szCs w:val="32"/>
          <w:lang w:val="zh-CN"/>
        </w:rPr>
      </w:pPr>
      <w:r>
        <w:rPr>
          <w:rFonts w:hint="eastAsia" w:ascii="仿宋_GB2312" w:hAnsi="宋体" w:eastAsia="仿宋_GB2312"/>
          <w:sz w:val="32"/>
          <w:szCs w:val="32"/>
          <w:lang w:val="zh-CN"/>
        </w:rPr>
        <w:t>2.项目立项、资金申报的依据</w:t>
      </w:r>
    </w:p>
    <w:p>
      <w:pPr>
        <w:widowControl/>
        <w:shd w:val="clear" w:color="auto" w:fill="FFFFFF"/>
        <w:spacing w:line="600" w:lineRule="atLeast"/>
        <w:ind w:firstLine="480"/>
        <w:jc w:val="left"/>
        <w:rPr>
          <w:rFonts w:ascii="仿宋" w:hAnsi="仿宋" w:eastAsia="仿宋"/>
          <w:color w:val="000000"/>
          <w:sz w:val="32"/>
          <w:szCs w:val="32"/>
          <w:shd w:val="clear" w:color="auto" w:fill="FFFFFF"/>
        </w:rPr>
      </w:pPr>
      <w:r>
        <w:rPr>
          <w:rFonts w:hint="eastAsia" w:ascii="仿宋" w:hAnsi="仿宋" w:eastAsia="仿宋"/>
          <w:color w:val="000000"/>
          <w:sz w:val="32"/>
          <w:szCs w:val="32"/>
          <w:shd w:val="clear" w:color="auto" w:fill="FFFFFF"/>
        </w:rPr>
        <w:t>根据国务院、中央军委《军人抚恤条例》、《茂县优抚对象医疗保障实施意见（试行）的通知》（茂民发〔2009〕58号）文件。</w:t>
      </w:r>
    </w:p>
    <w:p>
      <w:pPr>
        <w:widowControl/>
        <w:shd w:val="clear" w:color="auto" w:fill="FFFFFF"/>
        <w:spacing w:line="600" w:lineRule="atLeast"/>
        <w:ind w:firstLine="48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3</w:t>
      </w:r>
      <w:r>
        <w:rPr>
          <w:rFonts w:ascii="仿宋_GB2312" w:hAnsi="宋体" w:eastAsia="仿宋_GB2312" w:cs="宋体"/>
          <w:color w:val="000000"/>
          <w:kern w:val="0"/>
          <w:sz w:val="32"/>
          <w:szCs w:val="32"/>
        </w:rPr>
        <w:t>.</w:t>
      </w:r>
      <w:r>
        <w:rPr>
          <w:rFonts w:hint="eastAsia" w:ascii="仿宋_GB2312" w:hAnsi="宋体" w:eastAsia="仿宋_GB2312" w:cs="宋体"/>
          <w:color w:val="000000"/>
          <w:kern w:val="0"/>
          <w:sz w:val="32"/>
          <w:szCs w:val="32"/>
        </w:rPr>
        <w:t>资金管理办法制定情况，资金支持具体项目的条件、范围与支持方式</w:t>
      </w:r>
    </w:p>
    <w:p>
      <w:pPr>
        <w:widowControl/>
        <w:shd w:val="clear" w:color="auto" w:fill="FFFFFF"/>
        <w:spacing w:line="600" w:lineRule="atLeast"/>
        <w:ind w:firstLine="480"/>
        <w:jc w:val="left"/>
        <w:rPr>
          <w:rFonts w:ascii="仿宋_GB2312" w:hAnsi="宋体" w:eastAsia="仿宋_GB2312" w:cs="宋体"/>
          <w:color w:val="000000"/>
          <w:kern w:val="0"/>
          <w:sz w:val="32"/>
          <w:szCs w:val="32"/>
        </w:rPr>
      </w:pPr>
      <w:bookmarkStart w:id="139" w:name="_Hlk82596154"/>
      <w:r>
        <w:rPr>
          <w:rFonts w:hint="eastAsia" w:ascii="仿宋_GB2312" w:hAnsi="宋体" w:eastAsia="仿宋_GB2312" w:cs="宋体"/>
          <w:color w:val="000000"/>
          <w:kern w:val="0"/>
          <w:sz w:val="32"/>
          <w:szCs w:val="32"/>
        </w:rPr>
        <w:t>按照《优抚对象医疗补助资金管理办法》，我局优抚对象医疗保障经费按照因素法进行分配，主要考虑对象人数、县财政困难程度等因素。</w:t>
      </w:r>
      <w:bookmarkEnd w:id="139"/>
      <w:r>
        <w:rPr>
          <w:rFonts w:hint="eastAsia" w:ascii="仿宋_GB2312" w:hAnsi="宋体" w:eastAsia="仿宋_GB2312" w:cs="宋体"/>
          <w:color w:val="000000"/>
          <w:kern w:val="0"/>
          <w:sz w:val="32"/>
          <w:szCs w:val="32"/>
        </w:rPr>
        <w:t>按照资金要求做好绩效监控，确保绩效目标实现。我局优抚对象医疗保障经费总体绩效目标是：</w:t>
      </w:r>
      <w:bookmarkStart w:id="140" w:name="_Hlk82611639"/>
      <w:r>
        <w:rPr>
          <w:rFonts w:hint="eastAsia" w:ascii="仿宋_GB2312" w:hAnsi="宋体" w:eastAsia="仿宋_GB2312" w:cs="宋体"/>
          <w:color w:val="000000"/>
          <w:kern w:val="0"/>
          <w:sz w:val="32"/>
          <w:szCs w:val="32"/>
        </w:rPr>
        <w:t>通过发放优抚对象医疗补助资金，对优抚对象参保缴费住院和门诊费用进行补助，有效帮助解决优抚对象医疗难问题。</w:t>
      </w:r>
    </w:p>
    <w:bookmarkEnd w:id="140"/>
    <w:p>
      <w:pPr>
        <w:widowControl/>
        <w:shd w:val="clear" w:color="auto" w:fill="FFFFFF"/>
        <w:spacing w:line="600" w:lineRule="atLeast"/>
        <w:ind w:firstLine="48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4</w:t>
      </w:r>
      <w:r>
        <w:rPr>
          <w:rFonts w:ascii="仿宋_GB2312" w:hAnsi="宋体" w:eastAsia="仿宋_GB2312" w:cs="宋体"/>
          <w:color w:val="000000"/>
          <w:kern w:val="0"/>
          <w:sz w:val="32"/>
          <w:szCs w:val="32"/>
        </w:rPr>
        <w:t>.</w:t>
      </w:r>
      <w:r>
        <w:rPr>
          <w:rFonts w:hint="eastAsia" w:ascii="仿宋_GB2312" w:hAnsi="宋体" w:eastAsia="仿宋_GB2312" w:cs="宋体"/>
          <w:color w:val="000000"/>
          <w:kern w:val="0"/>
          <w:sz w:val="32"/>
          <w:szCs w:val="32"/>
        </w:rPr>
        <w:t>资金分配的原则及考虑的因素</w:t>
      </w:r>
    </w:p>
    <w:p>
      <w:pPr>
        <w:widowControl/>
        <w:shd w:val="clear" w:color="auto" w:fill="FFFFFF"/>
        <w:spacing w:line="600" w:lineRule="atLeast"/>
        <w:ind w:firstLine="480"/>
        <w:jc w:val="left"/>
        <w:rPr>
          <w:rFonts w:hint="eastAsia" w:ascii="仿宋_GB2312" w:hAnsi="Micsoft-Yahei" w:eastAsia="仿宋_GB2312" w:cs="宋体"/>
          <w:color w:val="000000"/>
          <w:kern w:val="0"/>
          <w:sz w:val="32"/>
          <w:szCs w:val="32"/>
        </w:rPr>
      </w:pPr>
      <w:r>
        <w:rPr>
          <w:rFonts w:hint="eastAsia" w:ascii="仿宋_GB2312" w:hAnsi="宋体" w:eastAsia="仿宋_GB2312" w:cs="宋体"/>
          <w:color w:val="000000"/>
          <w:kern w:val="0"/>
          <w:sz w:val="32"/>
          <w:szCs w:val="32"/>
        </w:rPr>
        <w:t>按照《优抚对象医疗补助资金管理办法》，我局优抚对象医疗保障经费按照因素法进行分配，主要考虑对象人数、县财政困难程度等因素。</w:t>
      </w:r>
    </w:p>
    <w:p>
      <w:pPr>
        <w:widowControl/>
        <w:shd w:val="clear" w:color="auto" w:fill="FFFFFF"/>
        <w:spacing w:line="600" w:lineRule="atLeast"/>
        <w:ind w:firstLine="480"/>
        <w:jc w:val="left"/>
        <w:rPr>
          <w:rFonts w:hint="eastAsia" w:ascii="Micsoft-Yahei" w:hAnsi="Micsoft-Yahei" w:cs="宋体"/>
          <w:b/>
          <w:bCs/>
          <w:color w:val="000000"/>
          <w:kern w:val="0"/>
          <w:sz w:val="32"/>
          <w:szCs w:val="32"/>
        </w:rPr>
      </w:pPr>
      <w:r>
        <w:rPr>
          <w:rFonts w:hint="eastAsia" w:ascii="宋体" w:hAnsi="宋体" w:cs="宋体"/>
          <w:b/>
          <w:bCs/>
          <w:color w:val="000000"/>
          <w:kern w:val="0"/>
          <w:sz w:val="32"/>
          <w:szCs w:val="32"/>
        </w:rPr>
        <w:t>（二）项目绩效目标</w:t>
      </w:r>
    </w:p>
    <w:p>
      <w:pPr>
        <w:widowControl/>
        <w:shd w:val="clear" w:color="auto" w:fill="FFFFFF"/>
        <w:spacing w:line="600" w:lineRule="atLeast"/>
        <w:ind w:firstLine="480"/>
        <w:jc w:val="left"/>
        <w:rPr>
          <w:rFonts w:hint="eastAsia" w:ascii="仿宋_GB2312" w:hAnsi="Micsoft-Yahei" w:eastAsia="仿宋_GB2312" w:cs="宋体"/>
          <w:color w:val="000000"/>
          <w:kern w:val="0"/>
          <w:sz w:val="32"/>
          <w:szCs w:val="32"/>
        </w:rPr>
      </w:pPr>
      <w:r>
        <w:rPr>
          <w:rFonts w:hint="eastAsia" w:ascii="仿宋_GB2312" w:hAnsi="宋体" w:eastAsia="仿宋_GB2312" w:cs="宋体"/>
          <w:color w:val="000000"/>
          <w:kern w:val="0"/>
          <w:sz w:val="36"/>
          <w:szCs w:val="36"/>
        </w:rPr>
        <w:t>1</w:t>
      </w:r>
      <w:r>
        <w:rPr>
          <w:rFonts w:hint="eastAsia" w:ascii="仿宋_GB2312" w:hAnsi="宋体" w:eastAsia="仿宋_GB2312" w:cs="宋体"/>
          <w:color w:val="000000"/>
          <w:kern w:val="0"/>
          <w:sz w:val="36"/>
          <w:szCs w:val="36"/>
          <w:lang w:val="en-US" w:eastAsia="zh-CN"/>
        </w:rPr>
        <w:t>.</w:t>
      </w:r>
      <w:r>
        <w:rPr>
          <w:rFonts w:hint="eastAsia" w:ascii="仿宋_GB2312" w:hAnsi="宋体" w:eastAsia="仿宋_GB2312" w:cs="宋体"/>
          <w:color w:val="000000"/>
          <w:kern w:val="0"/>
          <w:sz w:val="36"/>
          <w:szCs w:val="36"/>
        </w:rPr>
        <w:t>项目主要内容。</w:t>
      </w:r>
      <w:r>
        <w:rPr>
          <w:rFonts w:hint="eastAsia" w:ascii="仿宋_GB2312" w:hAnsi="宋体" w:eastAsia="仿宋_GB2312" w:cs="宋体"/>
          <w:color w:val="000000"/>
          <w:kern w:val="0"/>
          <w:sz w:val="32"/>
          <w:szCs w:val="32"/>
        </w:rPr>
        <w:t>优抚对象医疗补助资金主要用于五至十级残疾农村籍军人参加城镇职工基本医疗保险和建立补充医疗保障；五至十级残疾村村及军人旧伤复发医疗经费，以及落实其他有关优抚对象医疗优惠待遇。</w:t>
      </w:r>
    </w:p>
    <w:p>
      <w:pPr>
        <w:widowControl/>
        <w:shd w:val="clear" w:color="auto" w:fill="FFFFFF"/>
        <w:spacing w:line="600" w:lineRule="atLeast"/>
        <w:ind w:firstLine="48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6"/>
          <w:szCs w:val="36"/>
        </w:rPr>
        <w:t>2</w:t>
      </w:r>
      <w:r>
        <w:rPr>
          <w:rFonts w:hint="eastAsia" w:ascii="仿宋_GB2312" w:hAnsi="宋体" w:eastAsia="仿宋_GB2312" w:cs="宋体"/>
          <w:color w:val="000000"/>
          <w:kern w:val="0"/>
          <w:sz w:val="36"/>
          <w:szCs w:val="36"/>
          <w:lang w:val="en-US" w:eastAsia="zh-CN"/>
        </w:rPr>
        <w:t>.</w:t>
      </w:r>
      <w:r>
        <w:rPr>
          <w:rFonts w:hint="eastAsia" w:ascii="仿宋_GB2312" w:hAnsi="宋体" w:eastAsia="仿宋_GB2312" w:cs="宋体"/>
          <w:color w:val="000000"/>
          <w:kern w:val="0"/>
          <w:sz w:val="36"/>
          <w:szCs w:val="36"/>
        </w:rPr>
        <w:t>项目绩效目标。</w:t>
      </w:r>
      <w:r>
        <w:rPr>
          <w:rFonts w:hint="eastAsia" w:ascii="仿宋_GB2312" w:hAnsi="宋体" w:eastAsia="仿宋_GB2312" w:cs="宋体"/>
          <w:color w:val="000000"/>
          <w:kern w:val="0"/>
          <w:sz w:val="32"/>
          <w:szCs w:val="32"/>
        </w:rPr>
        <w:t>通过发放优抚对象医疗补助资金，对优抚对象参保缴费住院和门诊费用进行补助，有效帮助解决优抚对象医疗难问题。</w:t>
      </w:r>
    </w:p>
    <w:p>
      <w:pPr>
        <w:widowControl/>
        <w:shd w:val="clear" w:color="auto" w:fill="FFFFFF"/>
        <w:spacing w:line="600" w:lineRule="atLeast"/>
        <w:ind w:firstLine="480"/>
        <w:jc w:val="left"/>
        <w:rPr>
          <w:rFonts w:hint="eastAsia" w:ascii="仿宋_GB2312" w:hAnsi="Micsoft-Yahei" w:eastAsia="仿宋_GB2312" w:cs="宋体"/>
          <w:color w:val="000000"/>
          <w:kern w:val="0"/>
          <w:sz w:val="36"/>
          <w:szCs w:val="36"/>
        </w:rPr>
      </w:pPr>
      <w:r>
        <w:rPr>
          <w:rFonts w:hint="eastAsia" w:ascii="仿宋_GB2312" w:hAnsi="宋体" w:eastAsia="仿宋_GB2312" w:cs="宋体"/>
          <w:color w:val="000000"/>
          <w:kern w:val="0"/>
          <w:sz w:val="36"/>
          <w:szCs w:val="36"/>
        </w:rPr>
        <w:t>3</w:t>
      </w:r>
      <w:r>
        <w:rPr>
          <w:rFonts w:hint="eastAsia" w:ascii="仿宋_GB2312" w:hAnsi="宋体" w:eastAsia="仿宋_GB2312" w:cs="宋体"/>
          <w:color w:val="000000"/>
          <w:kern w:val="0"/>
          <w:sz w:val="36"/>
          <w:szCs w:val="36"/>
          <w:lang w:val="en-US" w:eastAsia="zh-CN"/>
        </w:rPr>
        <w:t>.</w:t>
      </w:r>
      <w:r>
        <w:rPr>
          <w:rFonts w:hint="eastAsia" w:ascii="仿宋_GB2312" w:hAnsi="宋体" w:eastAsia="仿宋_GB2312" w:cs="宋体"/>
          <w:color w:val="000000"/>
          <w:kern w:val="0"/>
          <w:sz w:val="36"/>
          <w:szCs w:val="36"/>
        </w:rPr>
        <w:t>项目资金管理情况分析。严格执行《优抚对象医疗补助资金管理办法》，加强资金分配和使用管理，定期报送进展情况，强化绩效跟踪，自觉接受纪检、审计部门的监督，切实提升资金使用效益。</w:t>
      </w:r>
    </w:p>
    <w:p>
      <w:pPr>
        <w:widowControl/>
        <w:shd w:val="clear" w:color="auto" w:fill="FFFFFF"/>
        <w:spacing w:line="600" w:lineRule="atLeast"/>
        <w:ind w:firstLine="482"/>
        <w:jc w:val="left"/>
        <w:rPr>
          <w:rFonts w:ascii="宋体" w:hAnsi="宋体" w:cs="宋体"/>
          <w:b/>
          <w:bCs/>
          <w:color w:val="000000"/>
          <w:kern w:val="0"/>
          <w:sz w:val="32"/>
          <w:szCs w:val="32"/>
        </w:rPr>
      </w:pPr>
      <w:r>
        <w:rPr>
          <w:rFonts w:hint="eastAsia" w:ascii="宋体" w:hAnsi="宋体" w:cs="宋体"/>
          <w:b/>
          <w:bCs/>
          <w:color w:val="000000"/>
          <w:kern w:val="0"/>
          <w:sz w:val="32"/>
          <w:szCs w:val="32"/>
        </w:rPr>
        <w:t>（三）项目自评步骤及方法</w:t>
      </w:r>
    </w:p>
    <w:p>
      <w:pPr>
        <w:widowControl/>
        <w:shd w:val="clear" w:color="auto" w:fill="FFFFFF"/>
        <w:spacing w:line="640" w:lineRule="atLeast"/>
        <w:ind w:firstLine="480"/>
        <w:jc w:val="left"/>
        <w:rPr>
          <w:rFonts w:ascii="微软雅黑" w:hAnsi="微软雅黑" w:eastAsia="微软雅黑" w:cs="宋体"/>
          <w:color w:val="000000"/>
          <w:kern w:val="0"/>
          <w:sz w:val="24"/>
        </w:rPr>
      </w:pPr>
      <w:r>
        <w:rPr>
          <w:rFonts w:hint="eastAsia" w:ascii="仿宋" w:hAnsi="仿宋" w:eastAsia="仿宋" w:cs="宋体"/>
          <w:b/>
          <w:bCs/>
          <w:color w:val="000000"/>
          <w:kern w:val="0"/>
          <w:sz w:val="32"/>
          <w:szCs w:val="32"/>
        </w:rPr>
        <w:t>（一）绩效评价的组织工作</w:t>
      </w:r>
    </w:p>
    <w:p>
      <w:pPr>
        <w:widowControl/>
        <w:shd w:val="clear" w:color="auto" w:fill="FFFFFF"/>
        <w:spacing w:line="640" w:lineRule="atLeast"/>
        <w:ind w:firstLine="640"/>
        <w:jc w:val="left"/>
        <w:rPr>
          <w:rFonts w:ascii="微软雅黑" w:hAnsi="微软雅黑" w:eastAsia="微软雅黑" w:cs="宋体"/>
          <w:color w:val="000000"/>
          <w:kern w:val="0"/>
          <w:sz w:val="24"/>
        </w:rPr>
      </w:pPr>
      <w:r>
        <w:rPr>
          <w:rFonts w:hint="eastAsia" w:ascii="仿宋" w:hAnsi="仿宋" w:eastAsia="仿宋" w:cs="宋体"/>
          <w:color w:val="000000"/>
          <w:kern w:val="0"/>
          <w:sz w:val="32"/>
          <w:szCs w:val="32"/>
        </w:rPr>
        <w:t>根据财政局《关于开展20</w:t>
      </w:r>
      <w:r>
        <w:rPr>
          <w:rFonts w:ascii="仿宋" w:hAnsi="仿宋" w:eastAsia="仿宋" w:cs="宋体"/>
          <w:color w:val="000000"/>
          <w:kern w:val="0"/>
          <w:sz w:val="32"/>
          <w:szCs w:val="32"/>
        </w:rPr>
        <w:t>21</w:t>
      </w:r>
      <w:r>
        <w:rPr>
          <w:rFonts w:hint="eastAsia" w:ascii="仿宋" w:hAnsi="仿宋" w:eastAsia="仿宋" w:cs="宋体"/>
          <w:color w:val="000000"/>
          <w:kern w:val="0"/>
          <w:sz w:val="32"/>
          <w:szCs w:val="32"/>
        </w:rPr>
        <w:t>年部门、政策和项目支出绩效评价工作的通知》（茂财[202</w:t>
      </w:r>
      <w:r>
        <w:rPr>
          <w:rFonts w:ascii="仿宋" w:hAnsi="仿宋" w:eastAsia="仿宋" w:cs="宋体"/>
          <w:color w:val="000000"/>
          <w:kern w:val="0"/>
          <w:sz w:val="32"/>
          <w:szCs w:val="32"/>
        </w:rPr>
        <w:t>1</w:t>
      </w:r>
      <w:r>
        <w:rPr>
          <w:rFonts w:hint="eastAsia" w:ascii="仿宋" w:hAnsi="仿宋" w:eastAsia="仿宋" w:cs="宋体"/>
          <w:color w:val="000000"/>
          <w:kern w:val="0"/>
          <w:sz w:val="32"/>
          <w:szCs w:val="32"/>
        </w:rPr>
        <w:t>]</w:t>
      </w:r>
      <w:r>
        <w:rPr>
          <w:rFonts w:ascii="仿宋" w:hAnsi="仿宋" w:eastAsia="仿宋" w:cs="宋体"/>
          <w:color w:val="000000"/>
          <w:kern w:val="0"/>
          <w:sz w:val="32"/>
          <w:szCs w:val="32"/>
        </w:rPr>
        <w:t>49</w:t>
      </w:r>
      <w:r>
        <w:rPr>
          <w:rFonts w:hint="eastAsia" w:ascii="仿宋" w:hAnsi="仿宋" w:eastAsia="仿宋" w:cs="宋体"/>
          <w:color w:val="000000"/>
          <w:kern w:val="0"/>
          <w:sz w:val="32"/>
          <w:szCs w:val="32"/>
        </w:rPr>
        <w:t>号）文件通知，我局对“优抚对象医疗补助”项目进行绩效评价</w:t>
      </w:r>
      <w:r>
        <w:rPr>
          <w:rFonts w:hint="eastAsia" w:ascii="宋体" w:hAnsi="宋体" w:cs="宋体"/>
          <w:color w:val="000000"/>
          <w:kern w:val="0"/>
          <w:sz w:val="32"/>
          <w:szCs w:val="32"/>
        </w:rPr>
        <w:t>，</w:t>
      </w:r>
      <w:r>
        <w:rPr>
          <w:rFonts w:hint="eastAsia" w:ascii="仿宋" w:hAnsi="仿宋" w:eastAsia="仿宋" w:cs="宋体"/>
          <w:color w:val="000000"/>
          <w:kern w:val="0"/>
          <w:sz w:val="32"/>
          <w:szCs w:val="32"/>
        </w:rPr>
        <w:t>成立绩效评价工作小组，</w:t>
      </w:r>
      <w:r>
        <w:rPr>
          <w:rFonts w:hint="eastAsia" w:ascii="仿宋_GB2312" w:hAnsi="微软雅黑" w:eastAsia="仿宋_GB2312" w:cs="宋体"/>
          <w:color w:val="000000"/>
          <w:kern w:val="0"/>
          <w:sz w:val="32"/>
          <w:szCs w:val="32"/>
        </w:rPr>
        <w:t>召开专题工作会议进行部署，</w:t>
      </w:r>
      <w:r>
        <w:rPr>
          <w:rFonts w:hint="eastAsia" w:ascii="仿宋" w:hAnsi="仿宋" w:eastAsia="仿宋" w:cs="宋体"/>
          <w:color w:val="000000"/>
          <w:kern w:val="0"/>
          <w:sz w:val="32"/>
          <w:szCs w:val="32"/>
        </w:rPr>
        <w:t>对优抚对象医疗补助经费进行核查，</w:t>
      </w:r>
      <w:r>
        <w:rPr>
          <w:rFonts w:hint="eastAsia" w:ascii="仿宋_GB2312" w:hAnsi="微软雅黑" w:eastAsia="仿宋_GB2312" w:cs="宋体"/>
          <w:color w:val="000000"/>
          <w:kern w:val="0"/>
          <w:sz w:val="32"/>
          <w:szCs w:val="32"/>
        </w:rPr>
        <w:t>力求数据准确，标准合理，指标科学，考评严格。</w:t>
      </w:r>
    </w:p>
    <w:p>
      <w:pPr>
        <w:widowControl/>
        <w:shd w:val="clear" w:color="auto" w:fill="FFFFFF"/>
        <w:spacing w:line="640" w:lineRule="atLeast"/>
        <w:ind w:firstLine="560"/>
        <w:jc w:val="left"/>
        <w:rPr>
          <w:rFonts w:ascii="微软雅黑" w:hAnsi="微软雅黑" w:eastAsia="微软雅黑" w:cs="宋体"/>
          <w:color w:val="000000"/>
          <w:kern w:val="0"/>
          <w:sz w:val="24"/>
        </w:rPr>
      </w:pPr>
      <w:r>
        <w:rPr>
          <w:rFonts w:hint="eastAsia" w:ascii="仿宋" w:hAnsi="仿宋" w:eastAsia="仿宋" w:cs="宋体"/>
          <w:color w:val="000000"/>
          <w:kern w:val="0"/>
          <w:sz w:val="32"/>
          <w:szCs w:val="32"/>
        </w:rPr>
        <w:t>工作小组针对项目进行前期调研，对相关文件、申报资料等资料进行收集整理，查询相关数据和记账凭证进行核实、汇总，结合具体项目内容，设计绩效评价的指标体系，真实、完整、全面的评价项目的实施建设及完成情况。</w:t>
      </w:r>
    </w:p>
    <w:p>
      <w:pPr>
        <w:widowControl/>
        <w:shd w:val="clear" w:color="auto" w:fill="FFFFFF"/>
        <w:spacing w:line="640" w:lineRule="atLeast"/>
        <w:ind w:firstLine="560"/>
        <w:jc w:val="left"/>
        <w:rPr>
          <w:rFonts w:ascii="微软雅黑" w:hAnsi="微软雅黑" w:eastAsia="微软雅黑" w:cs="宋体"/>
          <w:color w:val="000000"/>
          <w:kern w:val="0"/>
          <w:sz w:val="24"/>
        </w:rPr>
      </w:pPr>
      <w:r>
        <w:rPr>
          <w:rFonts w:hint="eastAsia" w:ascii="仿宋" w:hAnsi="仿宋" w:eastAsia="仿宋" w:cs="宋体"/>
          <w:b/>
          <w:bCs/>
          <w:color w:val="000000"/>
          <w:kern w:val="0"/>
          <w:sz w:val="32"/>
          <w:szCs w:val="32"/>
        </w:rPr>
        <w:t>（二）绩效评价的方法和过程</w:t>
      </w:r>
    </w:p>
    <w:p>
      <w:pPr>
        <w:widowControl/>
        <w:shd w:val="clear" w:color="auto" w:fill="FFFFFF"/>
        <w:spacing w:line="640" w:lineRule="atLeast"/>
        <w:ind w:firstLine="640"/>
        <w:jc w:val="left"/>
        <w:rPr>
          <w:rFonts w:ascii="微软雅黑" w:hAnsi="微软雅黑" w:eastAsia="微软雅黑" w:cs="宋体"/>
          <w:color w:val="000000"/>
          <w:kern w:val="0"/>
          <w:sz w:val="24"/>
        </w:rPr>
      </w:pPr>
      <w:r>
        <w:rPr>
          <w:rFonts w:hint="eastAsia" w:ascii="仿宋" w:hAnsi="仿宋" w:eastAsia="仿宋" w:cs="宋体"/>
          <w:color w:val="000000"/>
          <w:kern w:val="0"/>
          <w:sz w:val="32"/>
          <w:szCs w:val="32"/>
        </w:rPr>
        <w:t>本次绩效评价采用以下方法：一是资料整理法。通过对相关表格和记账凭证等财务资料查阅、核实、汇总分析，评价项目资金使用的规范性、支出范围的相关性和合理性等。二是访谈调查法。了解优抚对象对医疗补助方面的满意程度，以优抚对象的满意度为评价标准衡量医疗补助项目开展的效果。</w:t>
      </w:r>
    </w:p>
    <w:p>
      <w:pPr>
        <w:widowControl/>
        <w:shd w:val="clear" w:color="auto" w:fill="FFFFFF"/>
        <w:spacing w:line="640" w:lineRule="atLeast"/>
        <w:ind w:firstLine="560"/>
        <w:jc w:val="left"/>
        <w:rPr>
          <w:rFonts w:ascii="微软雅黑" w:hAnsi="微软雅黑" w:eastAsia="微软雅黑" w:cs="宋体"/>
          <w:color w:val="000000"/>
          <w:kern w:val="0"/>
          <w:sz w:val="24"/>
        </w:rPr>
      </w:pPr>
      <w:r>
        <w:rPr>
          <w:rFonts w:hint="eastAsia" w:ascii="仿宋" w:hAnsi="仿宋" w:eastAsia="仿宋" w:cs="宋体"/>
          <w:color w:val="000000"/>
          <w:kern w:val="0"/>
          <w:sz w:val="32"/>
          <w:szCs w:val="32"/>
        </w:rPr>
        <w:t>通过以上方法收集有关资料，进行研究分析，确定各项指标完成程度及得分，找出项目实施中存在的问题，分析原因，提出建议，形成绩效评价报告。</w:t>
      </w:r>
    </w:p>
    <w:p>
      <w:pPr>
        <w:widowControl/>
        <w:shd w:val="clear" w:color="auto" w:fill="FFFFFF"/>
        <w:spacing w:line="600" w:lineRule="atLeast"/>
        <w:ind w:firstLine="482"/>
        <w:jc w:val="left"/>
        <w:rPr>
          <w:rFonts w:ascii="宋体" w:hAnsi="宋体" w:cs="宋体"/>
          <w:b/>
          <w:bCs/>
          <w:color w:val="000000"/>
          <w:kern w:val="0"/>
          <w:sz w:val="32"/>
          <w:szCs w:val="32"/>
        </w:rPr>
      </w:pPr>
      <w:r>
        <w:rPr>
          <w:rFonts w:hint="eastAsia" w:ascii="宋体" w:hAnsi="宋体" w:cs="宋体"/>
          <w:b/>
          <w:bCs/>
          <w:color w:val="000000"/>
          <w:kern w:val="0"/>
          <w:sz w:val="32"/>
          <w:szCs w:val="32"/>
        </w:rPr>
        <w:t>二、项目资金申报及使用情况</w:t>
      </w:r>
    </w:p>
    <w:p>
      <w:pPr>
        <w:widowControl/>
        <w:shd w:val="clear" w:color="auto" w:fill="FFFFFF"/>
        <w:spacing w:line="600" w:lineRule="atLeast"/>
        <w:ind w:firstLine="482"/>
        <w:jc w:val="left"/>
        <w:rPr>
          <w:rFonts w:ascii="宋体" w:hAnsi="宋体" w:cs="宋体"/>
          <w:b/>
          <w:bCs/>
          <w:color w:val="000000"/>
          <w:kern w:val="0"/>
          <w:sz w:val="32"/>
          <w:szCs w:val="32"/>
        </w:rPr>
      </w:pPr>
      <w:r>
        <w:rPr>
          <w:rFonts w:hint="eastAsia" w:ascii="宋体" w:hAnsi="宋体" w:cs="宋体"/>
          <w:b/>
          <w:bCs/>
          <w:color w:val="000000"/>
          <w:kern w:val="0"/>
          <w:sz w:val="32"/>
          <w:szCs w:val="32"/>
        </w:rPr>
        <w:t>（一）项目资金申报及批复情况</w:t>
      </w:r>
    </w:p>
    <w:p>
      <w:pPr>
        <w:widowControl/>
        <w:spacing w:line="560" w:lineRule="exact"/>
        <w:ind w:firstLine="640" w:firstLineChars="200"/>
        <w:rPr>
          <w:rFonts w:ascii="仿宋_GB2312" w:hAnsi="宋体" w:eastAsia="仿宋_GB2312" w:cs="宋体"/>
          <w:kern w:val="0"/>
          <w:sz w:val="32"/>
          <w:szCs w:val="32"/>
          <w:lang w:val="zh-CN"/>
        </w:rPr>
      </w:pPr>
      <w:r>
        <w:rPr>
          <w:rFonts w:hint="eastAsia" w:ascii="仿宋_GB2312" w:hAnsi="宋体" w:eastAsia="仿宋_GB2312" w:cs="宋体"/>
          <w:bCs/>
          <w:kern w:val="0"/>
          <w:sz w:val="32"/>
          <w:szCs w:val="32"/>
          <w:lang w:val="zh-CN"/>
        </w:rPr>
        <w:t>根据</w:t>
      </w:r>
      <w:bookmarkStart w:id="141" w:name="_Hlk36799704"/>
      <w:r>
        <w:rPr>
          <w:rFonts w:hint="eastAsia" w:ascii="仿宋_GB2312" w:hAnsi="宋体" w:eastAsia="仿宋_GB2312" w:cs="宋体"/>
          <w:bCs/>
          <w:kern w:val="0"/>
          <w:sz w:val="32"/>
          <w:szCs w:val="32"/>
          <w:lang w:val="zh-CN"/>
        </w:rPr>
        <w:t>《</w:t>
      </w:r>
      <w:bookmarkEnd w:id="141"/>
      <w:bookmarkStart w:id="142" w:name="_Hlk36799694"/>
      <w:r>
        <w:rPr>
          <w:rFonts w:hint="eastAsia" w:ascii="仿宋_GB2312" w:hAnsi="宋体" w:eastAsia="仿宋_GB2312" w:cs="宋体"/>
          <w:bCs/>
          <w:kern w:val="0"/>
          <w:sz w:val="32"/>
          <w:szCs w:val="32"/>
          <w:lang w:val="zh-CN"/>
        </w:rPr>
        <w:t>财政局关于下达20</w:t>
      </w:r>
      <w:r>
        <w:rPr>
          <w:rFonts w:ascii="仿宋_GB2312" w:hAnsi="宋体" w:eastAsia="仿宋_GB2312" w:cs="宋体"/>
          <w:bCs/>
          <w:kern w:val="0"/>
          <w:sz w:val="32"/>
          <w:szCs w:val="32"/>
          <w:lang w:val="zh-CN"/>
        </w:rPr>
        <w:t>20</w:t>
      </w:r>
      <w:r>
        <w:rPr>
          <w:rFonts w:hint="eastAsia" w:ascii="仿宋_GB2312" w:hAnsi="宋体" w:eastAsia="仿宋_GB2312" w:cs="宋体"/>
          <w:bCs/>
          <w:kern w:val="0"/>
          <w:sz w:val="32"/>
          <w:szCs w:val="32"/>
          <w:lang w:val="zh-CN"/>
        </w:rPr>
        <w:t>年中央和省级财政优抚对象医疗保障经费的通知》（</w:t>
      </w:r>
      <w:bookmarkStart w:id="143" w:name="_Hlk82615199"/>
      <w:r>
        <w:rPr>
          <w:rFonts w:hint="eastAsia" w:ascii="仿宋_GB2312" w:hAnsi="宋体" w:eastAsia="仿宋_GB2312" w:cs="宋体"/>
          <w:bCs/>
          <w:kern w:val="0"/>
          <w:sz w:val="32"/>
          <w:szCs w:val="32"/>
          <w:lang w:val="zh-CN"/>
        </w:rPr>
        <w:t>茂财社〔20</w:t>
      </w:r>
      <w:r>
        <w:rPr>
          <w:rFonts w:ascii="仿宋_GB2312" w:hAnsi="宋体" w:eastAsia="仿宋_GB2312" w:cs="宋体"/>
          <w:bCs/>
          <w:kern w:val="0"/>
          <w:sz w:val="32"/>
          <w:szCs w:val="32"/>
          <w:lang w:val="zh-CN"/>
        </w:rPr>
        <w:t>10</w:t>
      </w:r>
      <w:r>
        <w:rPr>
          <w:rFonts w:hint="eastAsia" w:ascii="仿宋_GB2312" w:hAnsi="宋体" w:eastAsia="仿宋_GB2312" w:cs="宋体"/>
          <w:bCs/>
          <w:kern w:val="0"/>
          <w:sz w:val="32"/>
          <w:szCs w:val="32"/>
          <w:lang w:val="zh-CN"/>
        </w:rPr>
        <w:t>〕</w:t>
      </w:r>
      <w:r>
        <w:rPr>
          <w:rFonts w:ascii="仿宋_GB2312" w:hAnsi="宋体" w:eastAsia="仿宋_GB2312" w:cs="宋体"/>
          <w:bCs/>
          <w:kern w:val="0"/>
          <w:sz w:val="32"/>
          <w:szCs w:val="32"/>
          <w:lang w:val="zh-CN"/>
        </w:rPr>
        <w:t>31</w:t>
      </w:r>
      <w:r>
        <w:rPr>
          <w:rFonts w:hint="eastAsia" w:ascii="仿宋_GB2312" w:hAnsi="宋体" w:eastAsia="仿宋_GB2312" w:cs="宋体"/>
          <w:bCs/>
          <w:kern w:val="0"/>
          <w:sz w:val="32"/>
          <w:szCs w:val="32"/>
          <w:lang w:val="zh-CN"/>
        </w:rPr>
        <w:t>号</w:t>
      </w:r>
      <w:bookmarkEnd w:id="143"/>
      <w:r>
        <w:rPr>
          <w:rFonts w:hint="eastAsia" w:ascii="仿宋_GB2312" w:hAnsi="宋体" w:eastAsia="仿宋_GB2312" w:cs="宋体"/>
          <w:bCs/>
          <w:kern w:val="0"/>
          <w:sz w:val="32"/>
          <w:szCs w:val="32"/>
          <w:lang w:val="zh-CN"/>
        </w:rPr>
        <w:t>、茂财社〔20</w:t>
      </w:r>
      <w:r>
        <w:rPr>
          <w:rFonts w:ascii="仿宋_GB2312" w:hAnsi="宋体" w:eastAsia="仿宋_GB2312" w:cs="宋体"/>
          <w:bCs/>
          <w:kern w:val="0"/>
          <w:sz w:val="32"/>
          <w:szCs w:val="32"/>
          <w:lang w:val="zh-CN"/>
        </w:rPr>
        <w:t>10</w:t>
      </w:r>
      <w:r>
        <w:rPr>
          <w:rFonts w:hint="eastAsia" w:ascii="仿宋_GB2312" w:hAnsi="宋体" w:eastAsia="仿宋_GB2312" w:cs="宋体"/>
          <w:bCs/>
          <w:kern w:val="0"/>
          <w:sz w:val="32"/>
          <w:szCs w:val="32"/>
          <w:lang w:val="zh-CN"/>
        </w:rPr>
        <w:t>〕</w:t>
      </w:r>
      <w:r>
        <w:rPr>
          <w:rFonts w:ascii="仿宋_GB2312" w:hAnsi="宋体" w:eastAsia="仿宋_GB2312" w:cs="宋体"/>
          <w:bCs/>
          <w:kern w:val="0"/>
          <w:sz w:val="32"/>
          <w:szCs w:val="32"/>
          <w:lang w:val="zh-CN"/>
        </w:rPr>
        <w:t>109</w:t>
      </w:r>
      <w:r>
        <w:rPr>
          <w:rFonts w:hint="eastAsia" w:ascii="仿宋_GB2312" w:hAnsi="宋体" w:eastAsia="仿宋_GB2312" w:cs="宋体"/>
          <w:bCs/>
          <w:kern w:val="0"/>
          <w:sz w:val="32"/>
          <w:szCs w:val="32"/>
          <w:lang w:val="zh-CN"/>
        </w:rPr>
        <w:t>号）下拨资金共计1</w:t>
      </w:r>
      <w:r>
        <w:rPr>
          <w:rFonts w:ascii="仿宋_GB2312" w:hAnsi="宋体" w:eastAsia="仿宋_GB2312" w:cs="宋体"/>
          <w:bCs/>
          <w:kern w:val="0"/>
          <w:sz w:val="32"/>
          <w:szCs w:val="32"/>
          <w:lang w:val="zh-CN"/>
        </w:rPr>
        <w:t>1.02</w:t>
      </w:r>
      <w:r>
        <w:rPr>
          <w:rFonts w:hint="eastAsia" w:ascii="仿宋_GB2312" w:hAnsi="宋体" w:eastAsia="仿宋_GB2312" w:cs="宋体"/>
          <w:bCs/>
          <w:kern w:val="0"/>
          <w:sz w:val="32"/>
          <w:szCs w:val="32"/>
          <w:lang w:val="zh-CN"/>
        </w:rPr>
        <w:t>万元</w:t>
      </w:r>
      <w:bookmarkEnd w:id="142"/>
      <w:r>
        <w:rPr>
          <w:rFonts w:hint="eastAsia" w:ascii="仿宋_GB2312" w:hAnsi="宋体" w:eastAsia="仿宋_GB2312" w:cs="宋体"/>
          <w:bCs/>
          <w:kern w:val="0"/>
          <w:sz w:val="32"/>
          <w:szCs w:val="32"/>
          <w:lang w:val="zh-CN"/>
        </w:rPr>
        <w:t>，</w:t>
      </w:r>
      <w:r>
        <w:rPr>
          <w:rFonts w:hint="eastAsia" w:ascii="仿宋_GB2312" w:hAnsi="华文仿宋" w:eastAsia="仿宋_GB2312" w:cs="华文仿宋"/>
          <w:bCs/>
          <w:kern w:val="0"/>
          <w:sz w:val="32"/>
          <w:szCs w:val="32"/>
          <w:lang w:val="zh-CN"/>
        </w:rPr>
        <w:t>优抚医疗对象保障经费全额来源于上级拨付。</w:t>
      </w:r>
    </w:p>
    <w:p>
      <w:pPr>
        <w:widowControl/>
        <w:shd w:val="clear" w:color="auto" w:fill="FFFFFF"/>
        <w:spacing w:line="600" w:lineRule="atLeast"/>
        <w:ind w:firstLine="482"/>
        <w:jc w:val="left"/>
        <w:rPr>
          <w:rFonts w:ascii="仿宋" w:hAnsi="仿宋" w:eastAsia="仿宋" w:cs="宋体"/>
          <w:color w:val="000000"/>
          <w:kern w:val="0"/>
          <w:sz w:val="32"/>
          <w:szCs w:val="32"/>
        </w:rPr>
      </w:pPr>
    </w:p>
    <w:p>
      <w:pPr>
        <w:adjustRightInd w:val="0"/>
        <w:snapToGrid w:val="0"/>
        <w:spacing w:line="360" w:lineRule="auto"/>
        <w:ind w:firstLine="359" w:firstLineChars="112"/>
        <w:rPr>
          <w:rFonts w:ascii="仿宋_GB2312" w:hAnsi="宋体" w:eastAsia="仿宋_GB2312"/>
          <w:b/>
          <w:bCs/>
          <w:sz w:val="32"/>
          <w:szCs w:val="32"/>
          <w:lang w:val="zh-CN"/>
        </w:rPr>
      </w:pPr>
      <w:r>
        <w:rPr>
          <w:rFonts w:hint="eastAsia" w:ascii="仿宋_GB2312" w:hAnsi="宋体" w:eastAsia="仿宋_GB2312"/>
          <w:b/>
          <w:bCs/>
          <w:sz w:val="32"/>
          <w:szCs w:val="32"/>
          <w:lang w:val="zh-CN"/>
        </w:rPr>
        <w:t>（二）资金计划、到位及使用情况</w:t>
      </w:r>
    </w:p>
    <w:p>
      <w:pPr>
        <w:adjustRightInd w:val="0"/>
        <w:snapToGrid w:val="0"/>
        <w:spacing w:line="360" w:lineRule="auto"/>
        <w:ind w:firstLine="640" w:firstLineChars="200"/>
        <w:rPr>
          <w:rFonts w:ascii="仿宋_GB2312" w:hAnsi="宋体" w:eastAsia="仿宋_GB2312"/>
          <w:b/>
          <w:bCs/>
          <w:sz w:val="32"/>
          <w:szCs w:val="32"/>
          <w:lang w:val="zh-CN"/>
        </w:rPr>
      </w:pPr>
      <w:r>
        <w:rPr>
          <w:rFonts w:hint="eastAsia" w:ascii="仿宋_GB2312" w:hAnsi="宋体" w:eastAsia="仿宋_GB2312"/>
          <w:sz w:val="32"/>
          <w:szCs w:val="32"/>
          <w:lang w:val="zh-CN"/>
        </w:rPr>
        <w:t>1、资金计划及到位</w:t>
      </w:r>
    </w:p>
    <w:p>
      <w:pPr>
        <w:adjustRightInd w:val="0"/>
        <w:snapToGrid w:val="0"/>
        <w:spacing w:line="360" w:lineRule="auto"/>
        <w:ind w:firstLine="640" w:firstLineChars="200"/>
        <w:rPr>
          <w:rFonts w:ascii="仿宋_GB2312" w:hAnsi="宋体" w:eastAsia="仿宋_GB2312"/>
          <w:sz w:val="32"/>
          <w:szCs w:val="32"/>
          <w:lang w:val="zh-CN"/>
        </w:rPr>
      </w:pPr>
      <w:r>
        <w:rPr>
          <w:rFonts w:hint="eastAsia" w:ascii="仿宋_GB2312" w:hAnsi="宋体" w:eastAsia="仿宋_GB2312"/>
          <w:sz w:val="32"/>
          <w:szCs w:val="32"/>
          <w:lang w:val="zh-CN"/>
        </w:rPr>
        <w:t>2020年财政共拨付</w:t>
      </w:r>
      <w:bookmarkStart w:id="144" w:name="_Hlk82613197"/>
      <w:r>
        <w:rPr>
          <w:rFonts w:hint="eastAsia" w:ascii="仿宋_GB2312" w:hAnsi="宋体" w:eastAsia="仿宋_GB2312"/>
          <w:sz w:val="32"/>
          <w:szCs w:val="32"/>
          <w:lang w:val="zh-CN"/>
        </w:rPr>
        <w:t>优抚对象医疗补助资金</w:t>
      </w:r>
      <w:bookmarkEnd w:id="144"/>
      <w:r>
        <w:rPr>
          <w:rFonts w:ascii="仿宋_GB2312" w:hAnsi="宋体" w:eastAsia="仿宋_GB2312"/>
          <w:sz w:val="32"/>
          <w:szCs w:val="32"/>
        </w:rPr>
        <w:t>11.02</w:t>
      </w:r>
      <w:r>
        <w:rPr>
          <w:rFonts w:hint="eastAsia" w:ascii="仿宋_GB2312" w:hAnsi="宋体" w:eastAsia="仿宋_GB2312"/>
          <w:sz w:val="32"/>
          <w:szCs w:val="32"/>
        </w:rPr>
        <w:t>万元</w:t>
      </w:r>
      <w:r>
        <w:rPr>
          <w:rFonts w:hint="eastAsia" w:ascii="仿宋_GB2312" w:hAnsi="宋体" w:eastAsia="仿宋_GB2312"/>
          <w:sz w:val="32"/>
          <w:szCs w:val="32"/>
          <w:lang w:val="zh-CN"/>
        </w:rPr>
        <w:t>，</w:t>
      </w:r>
      <w:r>
        <w:rPr>
          <w:rFonts w:hint="eastAsia" w:ascii="仿宋_GB2312" w:hAnsi="宋体" w:eastAsia="仿宋_GB2312"/>
          <w:sz w:val="32"/>
          <w:szCs w:val="32"/>
        </w:rPr>
        <w:t>资金</w:t>
      </w:r>
      <w:r>
        <w:rPr>
          <w:rFonts w:hint="eastAsia" w:ascii="仿宋_GB2312" w:hAnsi="宋体" w:eastAsia="仿宋_GB2312"/>
          <w:sz w:val="32"/>
          <w:szCs w:val="32"/>
          <w:lang w:val="zh-CN"/>
        </w:rPr>
        <w:t>到位率100%。</w:t>
      </w:r>
    </w:p>
    <w:p>
      <w:pPr>
        <w:adjustRightInd w:val="0"/>
        <w:snapToGrid w:val="0"/>
        <w:spacing w:line="360" w:lineRule="auto"/>
        <w:ind w:firstLine="640" w:firstLineChars="200"/>
        <w:rPr>
          <w:rFonts w:ascii="仿宋_GB2312" w:hAnsi="宋体" w:eastAsia="仿宋_GB2312"/>
          <w:sz w:val="32"/>
          <w:szCs w:val="32"/>
          <w:lang w:val="zh-CN"/>
        </w:rPr>
      </w:pPr>
      <w:r>
        <w:rPr>
          <w:rFonts w:hint="eastAsia" w:ascii="仿宋_GB2312" w:hAnsi="宋体" w:eastAsia="仿宋_GB2312"/>
          <w:sz w:val="32"/>
          <w:szCs w:val="32"/>
          <w:lang w:val="zh-CN"/>
        </w:rPr>
        <w:t>2、资金使用</w:t>
      </w:r>
    </w:p>
    <w:p>
      <w:pPr>
        <w:adjustRightInd w:val="0"/>
        <w:snapToGrid w:val="0"/>
        <w:spacing w:line="360" w:lineRule="auto"/>
        <w:ind w:firstLine="640" w:firstLineChars="200"/>
        <w:rPr>
          <w:rFonts w:ascii="仿宋_GB2312" w:hAnsi="宋体" w:eastAsia="仿宋_GB2312"/>
          <w:sz w:val="32"/>
          <w:szCs w:val="32"/>
          <w:lang w:val="zh-CN"/>
        </w:rPr>
      </w:pPr>
      <w:r>
        <w:rPr>
          <w:rFonts w:hint="eastAsia" w:ascii="仿宋_GB2312" w:hAnsi="宋体" w:eastAsia="仿宋_GB2312"/>
          <w:sz w:val="32"/>
          <w:szCs w:val="32"/>
          <w:lang w:val="zh-CN"/>
        </w:rPr>
        <w:t>按资金性质及时申报，在金财大平台上申请资金。2020年共支付优抚对象医疗补助资金</w:t>
      </w:r>
      <w:r>
        <w:rPr>
          <w:rFonts w:ascii="仿宋_GB2312" w:hAnsi="宋体" w:eastAsia="仿宋_GB2312"/>
          <w:sz w:val="32"/>
          <w:szCs w:val="32"/>
        </w:rPr>
        <w:t>6.48</w:t>
      </w:r>
      <w:r>
        <w:rPr>
          <w:rFonts w:hint="eastAsia" w:ascii="仿宋_GB2312" w:hAnsi="宋体" w:eastAsia="仿宋_GB2312"/>
          <w:sz w:val="32"/>
          <w:szCs w:val="32"/>
        </w:rPr>
        <w:t>万</w:t>
      </w:r>
      <w:r>
        <w:rPr>
          <w:rFonts w:hint="eastAsia" w:ascii="仿宋_GB2312" w:hAnsi="宋体" w:eastAsia="仿宋_GB2312"/>
          <w:sz w:val="32"/>
          <w:szCs w:val="32"/>
          <w:lang w:val="zh-CN"/>
        </w:rPr>
        <w:t>元。</w:t>
      </w:r>
    </w:p>
    <w:p>
      <w:pPr>
        <w:adjustRightInd w:val="0"/>
        <w:snapToGrid w:val="0"/>
        <w:spacing w:line="360" w:lineRule="auto"/>
        <w:ind w:firstLine="640" w:firstLineChars="200"/>
        <w:rPr>
          <w:rFonts w:ascii="仿宋_GB2312" w:hAnsi="宋体" w:eastAsia="仿宋_GB2312"/>
          <w:sz w:val="32"/>
          <w:szCs w:val="32"/>
          <w:lang w:val="zh-CN"/>
        </w:rPr>
      </w:pPr>
      <w:r>
        <w:rPr>
          <w:rFonts w:hint="eastAsia" w:ascii="仿宋_GB2312" w:hAnsi="宋体" w:eastAsia="仿宋_GB2312"/>
          <w:sz w:val="32"/>
          <w:szCs w:val="32"/>
          <w:lang w:val="zh-CN"/>
        </w:rPr>
        <w:t>（三）项目财务管理情况</w:t>
      </w:r>
    </w:p>
    <w:p>
      <w:pPr>
        <w:adjustRightInd w:val="0"/>
        <w:snapToGrid w:val="0"/>
        <w:spacing w:line="360" w:lineRule="auto"/>
        <w:ind w:firstLine="640" w:firstLineChars="200"/>
        <w:rPr>
          <w:rFonts w:ascii="仿宋_GB2312" w:hAnsi="宋体" w:eastAsia="仿宋_GB2312"/>
          <w:sz w:val="32"/>
          <w:szCs w:val="32"/>
          <w:lang w:val="zh-CN"/>
        </w:rPr>
      </w:pPr>
      <w:r>
        <w:rPr>
          <w:rFonts w:hint="eastAsia" w:ascii="仿宋_GB2312" w:hAnsi="宋体" w:eastAsia="仿宋_GB2312"/>
          <w:sz w:val="32"/>
          <w:szCs w:val="32"/>
          <w:lang w:val="zh-CN"/>
        </w:rPr>
        <w:t>项目实行专账专管，对资金的会计核算及账务处理做到及时性、规范性和准确性。在资金的管理工作中做到不截留、不挤占、不挪用。</w:t>
      </w: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三、项目实施及管理情况</w:t>
      </w:r>
    </w:p>
    <w:p>
      <w:pPr>
        <w:adjustRightInd w:val="0"/>
        <w:snapToGrid w:val="0"/>
        <w:spacing w:line="576"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（一）项目组织情况</w:t>
      </w:r>
    </w:p>
    <w:p>
      <w:pPr>
        <w:adjustRightInd w:val="0"/>
        <w:snapToGrid w:val="0"/>
        <w:spacing w:line="576" w:lineRule="exact"/>
        <w:ind w:firstLine="640" w:firstLineChars="200"/>
        <w:rPr>
          <w:rFonts w:ascii="仿宋_GB2312" w:hAnsi="宋体" w:eastAsia="仿宋_GB2312"/>
          <w:sz w:val="32"/>
          <w:szCs w:val="32"/>
          <w:lang w:val="zh-CN"/>
        </w:rPr>
      </w:pPr>
      <w:r>
        <w:rPr>
          <w:rFonts w:hint="eastAsia" w:ascii="仿宋_GB2312" w:hAnsi="宋体" w:eastAsia="仿宋_GB2312"/>
          <w:sz w:val="32"/>
          <w:szCs w:val="32"/>
          <w:lang w:val="zh-CN"/>
        </w:rPr>
        <w:t>优抚对象医疗补助工作组织机构健全、职责分工明确。由茂县退役军人服务中心具体推进项目的落实。</w:t>
      </w:r>
    </w:p>
    <w:p>
      <w:pPr>
        <w:spacing w:line="578" w:lineRule="exact"/>
        <w:ind w:firstLine="640" w:firstLineChars="200"/>
        <w:outlineLvl w:val="0"/>
        <w:rPr>
          <w:rFonts w:ascii="仿宋_GB2312" w:hAnsi="楷体" w:eastAsia="仿宋_GB2312" w:cs="楷体"/>
          <w:bCs/>
          <w:color w:val="000000"/>
          <w:sz w:val="32"/>
          <w:szCs w:val="32"/>
        </w:rPr>
      </w:pPr>
      <w:bookmarkStart w:id="145" w:name="_Toc82764229"/>
      <w:r>
        <w:rPr>
          <w:rFonts w:hint="eastAsia" w:ascii="仿宋_GB2312" w:hAnsi="楷体" w:eastAsia="仿宋_GB2312" w:cs="楷体"/>
          <w:bCs/>
          <w:color w:val="000000"/>
          <w:sz w:val="32"/>
          <w:szCs w:val="32"/>
        </w:rPr>
        <w:t>（二）项目管理情况</w:t>
      </w:r>
      <w:bookmarkEnd w:id="145"/>
    </w:p>
    <w:p>
      <w:pPr>
        <w:spacing w:line="578" w:lineRule="exact"/>
        <w:ind w:firstLine="640" w:firstLineChars="200"/>
        <w:outlineLvl w:val="0"/>
        <w:rPr>
          <w:rFonts w:ascii="仿宋_GB2312" w:hAnsi="仿宋_GB2312" w:eastAsia="仿宋_GB2312" w:cs="仿宋_GB2312"/>
          <w:sz w:val="32"/>
          <w:szCs w:val="32"/>
        </w:rPr>
      </w:pPr>
      <w:bookmarkStart w:id="146" w:name="_Toc82764230"/>
      <w:r>
        <w:rPr>
          <w:rFonts w:hint="eastAsia" w:ascii="仿宋_GB2312" w:hAnsi="仿宋_GB2312" w:eastAsia="仿宋_GB2312" w:cs="仿宋_GB2312"/>
          <w:sz w:val="32"/>
          <w:szCs w:val="32"/>
        </w:rPr>
        <w:t>优抚对象医疗补助资金管理严格按《优抚对象医疗补助资金使用管理办法》和《优抚对象医疗保障实施办法》执行,确保医疗补助项目的规范有序实施,同时发放审批档案资料齐全、完整、规范。</w:t>
      </w:r>
      <w:bookmarkEnd w:id="146"/>
    </w:p>
    <w:p>
      <w:pPr>
        <w:spacing w:line="578" w:lineRule="exact"/>
        <w:ind w:firstLine="640" w:firstLineChars="200"/>
        <w:outlineLvl w:val="0"/>
        <w:rPr>
          <w:rFonts w:ascii="仿宋_GB2312" w:hAnsi="仿宋_GB2312" w:eastAsia="仿宋_GB2312" w:cs="仿宋_GB2312"/>
          <w:sz w:val="32"/>
          <w:szCs w:val="32"/>
        </w:rPr>
      </w:pPr>
      <w:bookmarkStart w:id="147" w:name="_Toc82764231"/>
      <w:r>
        <w:rPr>
          <w:rFonts w:hint="eastAsia" w:ascii="仿宋_GB2312" w:hAnsi="仿宋_GB2312" w:eastAsia="仿宋_GB2312" w:cs="仿宋_GB2312"/>
          <w:sz w:val="32"/>
          <w:szCs w:val="32"/>
        </w:rPr>
        <w:t>（三）项目监管情况</w:t>
      </w:r>
      <w:bookmarkEnd w:id="147"/>
    </w:p>
    <w:p>
      <w:pPr>
        <w:spacing w:line="578" w:lineRule="exact"/>
        <w:ind w:firstLine="640" w:firstLineChars="200"/>
        <w:outlineLvl w:val="0"/>
        <w:rPr>
          <w:rFonts w:ascii="仿宋_GB2312" w:hAnsi="仿宋_GB2312" w:eastAsia="仿宋_GB2312" w:cs="仿宋_GB2312"/>
          <w:sz w:val="32"/>
          <w:szCs w:val="32"/>
        </w:rPr>
      </w:pPr>
      <w:bookmarkStart w:id="148" w:name="_Toc82764232"/>
      <w:r>
        <w:rPr>
          <w:rFonts w:hint="eastAsia" w:ascii="仿宋_GB2312" w:hAnsi="仿宋_GB2312" w:eastAsia="仿宋_GB2312" w:cs="仿宋_GB2312"/>
          <w:sz w:val="32"/>
          <w:szCs w:val="32"/>
        </w:rPr>
        <w:t>我局内审机构定期对发放情况进行检查，不重报</w:t>
      </w:r>
      <w:bookmarkEnd w:id="148"/>
    </w:p>
    <w:p>
      <w:pPr>
        <w:spacing w:line="578" w:lineRule="exact"/>
        <w:outlineLvl w:val="0"/>
        <w:rPr>
          <w:rFonts w:ascii="仿宋_GB2312" w:hAnsi="仿宋_GB2312" w:eastAsia="仿宋_GB2312" w:cs="仿宋_GB2312"/>
          <w:bCs/>
          <w:color w:val="000000"/>
          <w:sz w:val="32"/>
          <w:szCs w:val="32"/>
        </w:rPr>
      </w:pPr>
      <w:bookmarkStart w:id="149" w:name="_Toc82764233"/>
      <w:r>
        <w:rPr>
          <w:rFonts w:hint="eastAsia" w:ascii="仿宋_GB2312" w:hAnsi="仿宋_GB2312" w:eastAsia="仿宋_GB2312" w:cs="仿宋_GB2312"/>
          <w:sz w:val="32"/>
          <w:szCs w:val="32"/>
        </w:rPr>
        <w:t>不漏报、不乱报，做到发放有依有据。</w:t>
      </w:r>
      <w:bookmarkEnd w:id="149"/>
    </w:p>
    <w:p>
      <w:pPr>
        <w:adjustRightInd w:val="0"/>
        <w:snapToGrid w:val="0"/>
        <w:spacing w:line="600" w:lineRule="exact"/>
        <w:ind w:firstLine="720"/>
        <w:rPr>
          <w:rFonts w:ascii="仿宋_GB2312" w:hAnsi="宋体" w:eastAsia="仿宋_GB2312"/>
          <w:sz w:val="32"/>
          <w:szCs w:val="32"/>
          <w:lang w:val="zh-CN"/>
        </w:rPr>
      </w:pPr>
      <w:r>
        <w:rPr>
          <w:rFonts w:hint="eastAsia" w:ascii="黑体" w:hAnsi="宋体" w:eastAsia="黑体"/>
          <w:sz w:val="32"/>
          <w:szCs w:val="32"/>
        </w:rPr>
        <w:t>四、项目绩效情况</w:t>
      </w:r>
      <w:r>
        <w:rPr>
          <w:rFonts w:ascii="仿宋_GB2312" w:hAnsi="宋体" w:eastAsia="仿宋_GB2312"/>
          <w:sz w:val="32"/>
          <w:szCs w:val="32"/>
          <w:lang w:val="zh-CN"/>
        </w:rPr>
        <w:tab/>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（一）项目完成情况</w:t>
      </w:r>
    </w:p>
    <w:p>
      <w:pPr>
        <w:widowControl/>
        <w:shd w:val="clear" w:color="auto" w:fill="FFFFFF"/>
        <w:spacing w:line="600" w:lineRule="atLeast"/>
        <w:ind w:firstLine="480"/>
        <w:jc w:val="left"/>
        <w:rPr>
          <w:rFonts w:hint="eastAsia" w:ascii="仿宋_GB2312" w:hAnsi="Micsoft-Yahei" w:eastAsia="仿宋_GB2312" w:cs="宋体"/>
          <w:color w:val="000000"/>
          <w:kern w:val="0"/>
          <w:sz w:val="32"/>
          <w:szCs w:val="32"/>
        </w:rPr>
      </w:pPr>
      <w:r>
        <w:rPr>
          <w:rFonts w:hint="eastAsia" w:ascii="仿宋_GB2312" w:hAnsi="宋体" w:eastAsia="仿宋_GB2312" w:cs="宋体"/>
          <w:color w:val="000000"/>
          <w:kern w:val="0"/>
          <w:sz w:val="32"/>
          <w:szCs w:val="32"/>
        </w:rPr>
        <w:t>1</w:t>
      </w:r>
      <w:r>
        <w:rPr>
          <w:rFonts w:ascii="仿宋_GB2312" w:hAnsi="宋体" w:eastAsia="仿宋_GB2312" w:cs="宋体"/>
          <w:color w:val="000000"/>
          <w:kern w:val="0"/>
          <w:sz w:val="32"/>
          <w:szCs w:val="32"/>
        </w:rPr>
        <w:t>.</w:t>
      </w:r>
      <w:r>
        <w:rPr>
          <w:rFonts w:hint="eastAsia" w:ascii="仿宋_GB2312" w:hAnsi="宋体" w:eastAsia="仿宋_GB2312" w:cs="宋体"/>
          <w:color w:val="000000"/>
          <w:kern w:val="0"/>
          <w:sz w:val="32"/>
          <w:szCs w:val="32"/>
        </w:rPr>
        <w:t>数量指标。20</w:t>
      </w:r>
      <w:r>
        <w:rPr>
          <w:rFonts w:ascii="仿宋_GB2312" w:hAnsi="宋体" w:eastAsia="仿宋_GB2312" w:cs="宋体"/>
          <w:color w:val="000000"/>
          <w:kern w:val="0"/>
          <w:sz w:val="32"/>
          <w:szCs w:val="32"/>
        </w:rPr>
        <w:t>20</w:t>
      </w:r>
      <w:r>
        <w:rPr>
          <w:rFonts w:hint="eastAsia" w:ascii="仿宋_GB2312" w:hAnsi="宋体" w:eastAsia="仿宋_GB2312" w:cs="宋体"/>
          <w:color w:val="000000"/>
          <w:kern w:val="0"/>
          <w:sz w:val="32"/>
          <w:szCs w:val="32"/>
        </w:rPr>
        <w:t>年，优抚对象医疗保障经费惠及残疾军人、三属、在乡老复员军人、带病回乡退伍军人、参战参试退役人员等各类优抚对象</w:t>
      </w:r>
      <w:r>
        <w:rPr>
          <w:rFonts w:ascii="仿宋_GB2312" w:hAnsi="宋体" w:eastAsia="仿宋_GB2312" w:cs="宋体"/>
          <w:color w:val="000000"/>
          <w:kern w:val="0"/>
          <w:sz w:val="32"/>
          <w:szCs w:val="32"/>
        </w:rPr>
        <w:t>16</w:t>
      </w:r>
      <w:r>
        <w:rPr>
          <w:rFonts w:hint="eastAsia" w:ascii="仿宋_GB2312" w:hAnsi="宋体" w:eastAsia="仿宋_GB2312" w:cs="宋体"/>
          <w:color w:val="000000"/>
          <w:kern w:val="0"/>
          <w:sz w:val="32"/>
          <w:szCs w:val="32"/>
        </w:rPr>
        <w:t>人次，达到了预期目标，完成率100%。</w:t>
      </w:r>
    </w:p>
    <w:p>
      <w:pPr>
        <w:widowControl/>
        <w:shd w:val="clear" w:color="auto" w:fill="FFFFFF"/>
        <w:spacing w:line="600" w:lineRule="atLeast"/>
        <w:ind w:firstLine="480"/>
        <w:jc w:val="left"/>
        <w:rPr>
          <w:rFonts w:hint="eastAsia" w:ascii="仿宋_GB2312" w:hAnsi="Micsoft-Yahei" w:eastAsia="仿宋_GB2312" w:cs="宋体"/>
          <w:color w:val="000000"/>
          <w:kern w:val="0"/>
          <w:sz w:val="32"/>
          <w:szCs w:val="32"/>
        </w:rPr>
      </w:pPr>
      <w:r>
        <w:rPr>
          <w:rFonts w:hint="eastAsia" w:ascii="仿宋_GB2312" w:hAnsi="宋体" w:eastAsia="仿宋_GB2312" w:cs="宋体"/>
          <w:color w:val="000000"/>
          <w:kern w:val="0"/>
          <w:sz w:val="32"/>
          <w:szCs w:val="32"/>
        </w:rPr>
        <w:t>2</w:t>
      </w:r>
      <w:r>
        <w:rPr>
          <w:rFonts w:ascii="仿宋_GB2312" w:hAnsi="宋体" w:eastAsia="仿宋_GB2312" w:cs="宋体"/>
          <w:color w:val="000000"/>
          <w:kern w:val="0"/>
          <w:sz w:val="32"/>
          <w:szCs w:val="32"/>
        </w:rPr>
        <w:t>.</w:t>
      </w:r>
      <w:r>
        <w:rPr>
          <w:rFonts w:hint="eastAsia" w:ascii="仿宋_GB2312" w:hAnsi="宋体" w:eastAsia="仿宋_GB2312" w:cs="宋体"/>
          <w:color w:val="000000"/>
          <w:kern w:val="0"/>
          <w:sz w:val="32"/>
          <w:szCs w:val="32"/>
        </w:rPr>
        <w:t>质量指标。2020年，确保按规定标准兑现优抚对象医疗补助待遇。经费符合相关政策规定比率达到100%。</w:t>
      </w:r>
    </w:p>
    <w:p>
      <w:pPr>
        <w:widowControl/>
        <w:shd w:val="clear" w:color="auto" w:fill="FFFFFF"/>
        <w:spacing w:line="600" w:lineRule="atLeast"/>
        <w:ind w:firstLine="48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3</w:t>
      </w:r>
      <w:r>
        <w:rPr>
          <w:rFonts w:ascii="仿宋_GB2312" w:hAnsi="宋体" w:eastAsia="仿宋_GB2312" w:cs="宋体"/>
          <w:color w:val="000000"/>
          <w:kern w:val="0"/>
          <w:sz w:val="32"/>
          <w:szCs w:val="32"/>
        </w:rPr>
        <w:t>.</w:t>
      </w:r>
      <w:r>
        <w:rPr>
          <w:rFonts w:hint="eastAsia" w:ascii="仿宋_GB2312" w:hAnsi="宋体" w:eastAsia="仿宋_GB2312" w:cs="宋体"/>
          <w:color w:val="000000"/>
          <w:kern w:val="0"/>
          <w:sz w:val="32"/>
          <w:szCs w:val="32"/>
        </w:rPr>
        <w:t>时效指标。建立优抚对象医疗补助“一站式”即时结算服务，方便优抚对象即时结算报销，大大缩减了时间和人力成本，优抚对象医疗补助资金均及时发放。</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（二）项目效益情况</w:t>
      </w:r>
    </w:p>
    <w:p>
      <w:pPr>
        <w:widowControl/>
        <w:shd w:val="clear" w:color="auto" w:fill="FFFFFF"/>
        <w:spacing w:line="600" w:lineRule="atLeast"/>
        <w:ind w:firstLine="480"/>
        <w:jc w:val="left"/>
        <w:rPr>
          <w:rFonts w:hint="eastAsia" w:ascii="仿宋_GB2312" w:hAnsi="Micsoft-Yahei" w:eastAsia="仿宋_GB2312" w:cs="宋体"/>
          <w:color w:val="000000"/>
          <w:kern w:val="0"/>
          <w:sz w:val="32"/>
          <w:szCs w:val="32"/>
        </w:rPr>
      </w:pPr>
      <w:r>
        <w:rPr>
          <w:rFonts w:ascii="仿宋_GB2312" w:hAnsi="宋体" w:eastAsia="仿宋_GB2312" w:cs="宋体"/>
          <w:color w:val="000000"/>
          <w:kern w:val="0"/>
          <w:sz w:val="32"/>
          <w:szCs w:val="32"/>
        </w:rPr>
        <w:t>1.</w:t>
      </w:r>
      <w:r>
        <w:rPr>
          <w:rFonts w:hint="eastAsia" w:ascii="仿宋_GB2312" w:hAnsi="宋体" w:eastAsia="仿宋_GB2312" w:cs="宋体"/>
          <w:color w:val="000000"/>
          <w:kern w:val="0"/>
          <w:sz w:val="32"/>
          <w:szCs w:val="32"/>
        </w:rPr>
        <w:t>效益指标完成情况分析</w:t>
      </w:r>
    </w:p>
    <w:p>
      <w:pPr>
        <w:widowControl/>
        <w:shd w:val="clear" w:color="auto" w:fill="FFFFFF"/>
        <w:spacing w:line="600" w:lineRule="atLeast"/>
        <w:ind w:firstLine="480"/>
        <w:jc w:val="left"/>
        <w:rPr>
          <w:rFonts w:hint="eastAsia" w:ascii="仿宋_GB2312" w:hAnsi="Micsoft-Yahei" w:eastAsia="仿宋_GB2312" w:cs="宋体"/>
          <w:color w:val="000000"/>
          <w:kern w:val="0"/>
          <w:sz w:val="32"/>
          <w:szCs w:val="32"/>
        </w:rPr>
      </w:pPr>
      <w:r>
        <w:rPr>
          <w:rFonts w:hint="eastAsia" w:ascii="仿宋_GB2312" w:hAnsi="宋体" w:eastAsia="仿宋_GB2312" w:cs="宋体"/>
          <w:color w:val="000000"/>
          <w:kern w:val="0"/>
          <w:sz w:val="32"/>
          <w:szCs w:val="32"/>
        </w:rPr>
        <w:t>建立优抚对象医疗保障制度，体现了党和政府对优抚对象的关心，能有效地缓解这一群体“因病致贫”的问题，对于维护社会稳定，促进社会和谐，具有十分重要的意义。优抚对象医疗保障项目实施以来，在一定程度上缓解了我省优抚对象医疗困难，提高了优抚对象的生活质量，促进了经济发展和社会和谐。</w:t>
      </w:r>
    </w:p>
    <w:p>
      <w:pPr>
        <w:widowControl/>
        <w:shd w:val="clear" w:color="auto" w:fill="FFFFFF"/>
        <w:spacing w:line="600" w:lineRule="atLeast"/>
        <w:ind w:firstLine="480"/>
        <w:jc w:val="left"/>
        <w:rPr>
          <w:rFonts w:hint="eastAsia" w:ascii="仿宋_GB2312" w:hAnsi="Micsoft-Yahei" w:eastAsia="仿宋_GB2312" w:cs="宋体"/>
          <w:color w:val="000000"/>
          <w:kern w:val="0"/>
          <w:sz w:val="32"/>
          <w:szCs w:val="32"/>
        </w:rPr>
      </w:pPr>
      <w:r>
        <w:rPr>
          <w:rFonts w:ascii="仿宋_GB2312" w:hAnsi="宋体" w:eastAsia="仿宋_GB2312" w:cs="宋体"/>
          <w:color w:val="000000"/>
          <w:kern w:val="0"/>
          <w:sz w:val="32"/>
          <w:szCs w:val="32"/>
        </w:rPr>
        <w:t>2.</w:t>
      </w:r>
      <w:r>
        <w:rPr>
          <w:rFonts w:hint="eastAsia" w:ascii="仿宋_GB2312" w:hAnsi="宋体" w:eastAsia="仿宋_GB2312" w:cs="宋体"/>
          <w:color w:val="000000"/>
          <w:kern w:val="0"/>
          <w:sz w:val="32"/>
          <w:szCs w:val="32"/>
        </w:rPr>
        <w:t>满意度指标完成情况分析</w:t>
      </w:r>
    </w:p>
    <w:p>
      <w:pPr>
        <w:widowControl/>
        <w:shd w:val="clear" w:color="auto" w:fill="FFFFFF"/>
        <w:spacing w:line="600" w:lineRule="atLeast"/>
        <w:ind w:firstLine="480"/>
        <w:jc w:val="left"/>
        <w:rPr>
          <w:rFonts w:hint="eastAsia" w:ascii="仿宋_GB2312" w:hAnsi="Micsoft-Yahei" w:eastAsia="仿宋_GB2312" w:cs="宋体"/>
          <w:color w:val="000000"/>
          <w:kern w:val="0"/>
          <w:sz w:val="32"/>
          <w:szCs w:val="32"/>
        </w:rPr>
      </w:pPr>
      <w:r>
        <w:rPr>
          <w:rFonts w:hint="eastAsia" w:ascii="仿宋_GB2312" w:hAnsi="宋体" w:eastAsia="仿宋_GB2312" w:cs="宋体"/>
          <w:color w:val="000000"/>
          <w:kern w:val="0"/>
          <w:sz w:val="32"/>
          <w:szCs w:val="32"/>
        </w:rPr>
        <w:t>优抚对象满意度较好，达到预期目标。</w:t>
      </w: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五、评价结论及建议</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（一）评价结论</w:t>
      </w:r>
    </w:p>
    <w:p>
      <w:pPr>
        <w:spacing w:line="578" w:lineRule="exact"/>
        <w:ind w:firstLine="640" w:firstLineChars="200"/>
        <w:outlineLvl w:val="0"/>
        <w:rPr>
          <w:rFonts w:ascii="仿宋" w:hAnsi="仿宋" w:eastAsia="仿宋"/>
          <w:color w:val="000000"/>
          <w:sz w:val="32"/>
          <w:szCs w:val="32"/>
          <w:shd w:val="clear" w:color="auto" w:fill="FFFFFF"/>
        </w:rPr>
      </w:pPr>
      <w:bookmarkStart w:id="150" w:name="_Toc82764234"/>
      <w:r>
        <w:rPr>
          <w:rFonts w:hint="eastAsia" w:ascii="仿宋" w:hAnsi="仿宋" w:eastAsia="仿宋"/>
          <w:color w:val="000000"/>
          <w:sz w:val="32"/>
          <w:szCs w:val="32"/>
          <w:shd w:val="clear" w:color="auto" w:fill="FFFFFF"/>
        </w:rPr>
        <w:t>根据项目执行情况和项目绩效情况，评价等次为优。</w:t>
      </w:r>
      <w:bookmarkEnd w:id="150"/>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（二）存在的问题</w:t>
      </w:r>
    </w:p>
    <w:p>
      <w:pPr>
        <w:widowControl/>
        <w:shd w:val="clear" w:color="auto" w:fill="FFFFFF"/>
        <w:spacing w:line="640" w:lineRule="atLeast"/>
        <w:ind w:firstLine="640"/>
        <w:jc w:val="left"/>
        <w:rPr>
          <w:rFonts w:ascii="微软雅黑" w:hAnsi="微软雅黑" w:eastAsia="微软雅黑" w:cs="宋体"/>
          <w:color w:val="000000"/>
          <w:kern w:val="0"/>
          <w:sz w:val="24"/>
        </w:rPr>
      </w:pPr>
      <w:r>
        <w:rPr>
          <w:rFonts w:hint="eastAsia" w:ascii="仿宋_GB2312" w:hAnsi="微软雅黑" w:eastAsia="仿宋_GB2312" w:cs="宋体"/>
          <w:color w:val="000000"/>
          <w:kern w:val="0"/>
          <w:sz w:val="32"/>
          <w:szCs w:val="32"/>
        </w:rPr>
        <w:t>优抚对象医疗补助项目，涉及人员广，人员类别多样，预算年度内人员变化大，预算编制难度大。</w:t>
      </w:r>
    </w:p>
    <w:p>
      <w:pPr>
        <w:spacing w:line="560" w:lineRule="exact"/>
        <w:jc w:val="center"/>
        <w:rPr>
          <w:rFonts w:ascii="方正小标宋简体" w:hAnsi="Arial" w:eastAsia="方正小标宋简体" w:cs="Arial"/>
          <w:b/>
          <w:sz w:val="44"/>
          <w:szCs w:val="44"/>
        </w:rPr>
      </w:pPr>
      <w:bookmarkStart w:id="151" w:name="_Toc15396618"/>
      <w:bookmarkStart w:id="152" w:name="_Toc79163635"/>
    </w:p>
    <w:p>
      <w:pPr>
        <w:spacing w:line="560" w:lineRule="exact"/>
        <w:jc w:val="center"/>
        <w:rPr>
          <w:rFonts w:ascii="方正小标宋简体" w:hAnsi="Arial" w:eastAsia="方正小标宋简体" w:cs="Arial"/>
          <w:b/>
          <w:sz w:val="44"/>
          <w:szCs w:val="44"/>
        </w:rPr>
      </w:pPr>
    </w:p>
    <w:p>
      <w:pPr>
        <w:spacing w:line="560" w:lineRule="exact"/>
        <w:jc w:val="center"/>
        <w:rPr>
          <w:rFonts w:ascii="方正小标宋简体" w:hAnsi="Arial" w:eastAsia="方正小标宋简体" w:cs="Arial"/>
          <w:b/>
          <w:sz w:val="44"/>
          <w:szCs w:val="44"/>
        </w:rPr>
      </w:pPr>
    </w:p>
    <w:p>
      <w:pPr>
        <w:spacing w:line="560" w:lineRule="exact"/>
        <w:jc w:val="center"/>
        <w:rPr>
          <w:rFonts w:ascii="方正小标宋简体" w:hAnsi="Arial" w:eastAsia="方正小标宋简体" w:cs="Arial"/>
          <w:b/>
          <w:sz w:val="44"/>
          <w:szCs w:val="44"/>
        </w:rPr>
      </w:pPr>
    </w:p>
    <w:p>
      <w:pPr>
        <w:spacing w:line="560" w:lineRule="exact"/>
        <w:jc w:val="center"/>
        <w:rPr>
          <w:rFonts w:ascii="方正小标宋简体" w:hAnsi="Arial" w:eastAsia="方正小标宋简体" w:cs="Arial"/>
          <w:b/>
          <w:sz w:val="44"/>
          <w:szCs w:val="44"/>
        </w:rPr>
      </w:pPr>
    </w:p>
    <w:p>
      <w:pPr>
        <w:spacing w:line="560" w:lineRule="exact"/>
        <w:jc w:val="center"/>
        <w:rPr>
          <w:rFonts w:ascii="方正小标宋简体" w:hAnsi="Arial" w:eastAsia="方正小标宋简体" w:cs="Arial"/>
          <w:b/>
          <w:sz w:val="44"/>
          <w:szCs w:val="44"/>
        </w:rPr>
      </w:pPr>
    </w:p>
    <w:p>
      <w:pPr>
        <w:spacing w:line="560" w:lineRule="exact"/>
        <w:jc w:val="center"/>
        <w:rPr>
          <w:rFonts w:ascii="方正小标宋简体" w:hAnsi="Arial" w:eastAsia="方正小标宋简体" w:cs="Arial"/>
          <w:b/>
          <w:sz w:val="44"/>
          <w:szCs w:val="44"/>
        </w:rPr>
      </w:pPr>
    </w:p>
    <w:p>
      <w:pPr>
        <w:spacing w:line="560" w:lineRule="exact"/>
        <w:jc w:val="center"/>
        <w:rPr>
          <w:rFonts w:ascii="方正小标宋简体" w:hAnsi="Arial" w:eastAsia="方正小标宋简体" w:cs="Arial"/>
          <w:b/>
          <w:sz w:val="44"/>
          <w:szCs w:val="44"/>
        </w:rPr>
      </w:pPr>
    </w:p>
    <w:p>
      <w:pPr>
        <w:spacing w:line="560" w:lineRule="exact"/>
        <w:jc w:val="center"/>
        <w:rPr>
          <w:rFonts w:ascii="方正小标宋简体" w:hAnsi="Arial" w:eastAsia="方正小标宋简体" w:cs="Arial"/>
          <w:b/>
          <w:sz w:val="44"/>
          <w:szCs w:val="44"/>
        </w:rPr>
      </w:pPr>
    </w:p>
    <w:p>
      <w:pPr>
        <w:spacing w:line="560" w:lineRule="exact"/>
        <w:jc w:val="center"/>
        <w:rPr>
          <w:rFonts w:ascii="方正小标宋简体" w:hAnsi="Arial" w:eastAsia="方正小标宋简体" w:cs="Arial"/>
          <w:b/>
          <w:sz w:val="44"/>
          <w:szCs w:val="44"/>
        </w:rPr>
      </w:pPr>
    </w:p>
    <w:p>
      <w:pPr>
        <w:spacing w:line="560" w:lineRule="exact"/>
        <w:jc w:val="center"/>
        <w:rPr>
          <w:rFonts w:ascii="方正小标宋简体" w:hAnsi="Arial" w:eastAsia="方正小标宋简体" w:cs="Arial"/>
          <w:b/>
          <w:sz w:val="44"/>
          <w:szCs w:val="44"/>
        </w:rPr>
      </w:pPr>
    </w:p>
    <w:p>
      <w:pPr>
        <w:spacing w:line="560" w:lineRule="exact"/>
        <w:jc w:val="center"/>
        <w:rPr>
          <w:rFonts w:ascii="方正小标宋简体" w:hAnsi="Arial" w:eastAsia="方正小标宋简体" w:cs="Arial"/>
          <w:b/>
          <w:sz w:val="44"/>
          <w:szCs w:val="44"/>
        </w:rPr>
      </w:pPr>
    </w:p>
    <w:p>
      <w:pPr>
        <w:spacing w:line="560" w:lineRule="exact"/>
        <w:jc w:val="center"/>
        <w:rPr>
          <w:rFonts w:ascii="方正小标宋简体" w:hAnsi="Arial" w:eastAsia="方正小标宋简体" w:cs="Arial"/>
          <w:b/>
          <w:sz w:val="44"/>
          <w:szCs w:val="44"/>
        </w:rPr>
      </w:pPr>
    </w:p>
    <w:p>
      <w:pPr>
        <w:spacing w:line="560" w:lineRule="exact"/>
        <w:jc w:val="center"/>
        <w:rPr>
          <w:rFonts w:ascii="方正小标宋简体" w:hAnsi="Arial" w:eastAsia="方正小标宋简体" w:cs="Arial"/>
          <w:b/>
          <w:sz w:val="44"/>
          <w:szCs w:val="44"/>
        </w:rPr>
      </w:pPr>
    </w:p>
    <w:p>
      <w:pPr>
        <w:spacing w:line="560" w:lineRule="exact"/>
        <w:jc w:val="center"/>
        <w:rPr>
          <w:rFonts w:ascii="方正小标宋简体" w:hAnsi="Arial" w:eastAsia="方正小标宋简体" w:cs="Arial"/>
          <w:b/>
          <w:sz w:val="44"/>
          <w:szCs w:val="44"/>
        </w:rPr>
      </w:pPr>
    </w:p>
    <w:p>
      <w:pPr>
        <w:spacing w:line="560" w:lineRule="exact"/>
        <w:jc w:val="center"/>
        <w:rPr>
          <w:rFonts w:ascii="方正小标宋简体" w:hAnsi="Arial" w:eastAsia="方正小标宋简体" w:cs="Arial"/>
          <w:b/>
          <w:sz w:val="44"/>
          <w:szCs w:val="44"/>
        </w:rPr>
      </w:pPr>
    </w:p>
    <w:p>
      <w:pPr>
        <w:spacing w:line="560" w:lineRule="exact"/>
        <w:jc w:val="center"/>
        <w:rPr>
          <w:rFonts w:ascii="方正小标宋简体" w:hAnsi="Arial" w:eastAsia="方正小标宋简体" w:cs="Arial"/>
          <w:b/>
          <w:sz w:val="44"/>
          <w:szCs w:val="44"/>
        </w:rPr>
      </w:pPr>
    </w:p>
    <w:p>
      <w:pPr>
        <w:spacing w:line="560" w:lineRule="exact"/>
        <w:jc w:val="center"/>
        <w:rPr>
          <w:rFonts w:ascii="方正小标宋简体" w:hAnsi="Arial" w:eastAsia="方正小标宋简体" w:cs="Arial"/>
          <w:b/>
          <w:sz w:val="44"/>
          <w:szCs w:val="44"/>
        </w:rPr>
      </w:pPr>
    </w:p>
    <w:p>
      <w:pPr>
        <w:spacing w:line="560" w:lineRule="exact"/>
        <w:jc w:val="center"/>
        <w:rPr>
          <w:rFonts w:ascii="方正小标宋简体" w:hAnsi="Arial" w:eastAsia="方正小标宋简体" w:cs="Arial"/>
          <w:b/>
          <w:sz w:val="44"/>
          <w:szCs w:val="44"/>
        </w:rPr>
      </w:pPr>
      <w:r>
        <w:rPr>
          <w:rFonts w:hint="eastAsia" w:ascii="方正小标宋简体" w:hAnsi="Arial" w:eastAsia="方正小标宋简体" w:cs="Arial"/>
          <w:b/>
          <w:sz w:val="44"/>
          <w:szCs w:val="44"/>
        </w:rPr>
        <w:t>茂县退役军人事务局关于</w:t>
      </w:r>
    </w:p>
    <w:p>
      <w:pPr>
        <w:spacing w:line="560" w:lineRule="exact"/>
        <w:jc w:val="center"/>
        <w:rPr>
          <w:rFonts w:ascii="方正小标宋简体" w:hAnsi="宋体" w:eastAsia="方正小标宋简体" w:cs="宋体"/>
          <w:b/>
          <w:sz w:val="44"/>
          <w:szCs w:val="44"/>
        </w:rPr>
      </w:pPr>
      <w:bookmarkStart w:id="153" w:name="_Hlk82616542"/>
      <w:r>
        <w:rPr>
          <w:rFonts w:ascii="方正小标宋简体" w:hAnsi="Arial" w:eastAsia="方正小标宋简体" w:cs="Arial"/>
          <w:b/>
          <w:sz w:val="44"/>
          <w:szCs w:val="44"/>
        </w:rPr>
        <w:t>2020</w:t>
      </w:r>
      <w:r>
        <w:rPr>
          <w:rFonts w:hint="eastAsia" w:ascii="方正小标宋简体" w:hAnsi="宋体" w:eastAsia="方正小标宋简体" w:cs="宋体"/>
          <w:b/>
          <w:sz w:val="44"/>
          <w:szCs w:val="44"/>
        </w:rPr>
        <w:t>年度</w:t>
      </w:r>
      <w:r>
        <w:rPr>
          <w:rFonts w:hint="eastAsia" w:ascii="方正小标宋简体" w:hAnsi="Arial" w:eastAsia="方正小标宋简体" w:cs="Arial"/>
          <w:b/>
          <w:sz w:val="44"/>
          <w:szCs w:val="44"/>
        </w:rPr>
        <w:t>军队移交政府的离退休人员安置</w:t>
      </w:r>
      <w:bookmarkEnd w:id="153"/>
      <w:r>
        <w:rPr>
          <w:rFonts w:hint="eastAsia" w:ascii="方正小标宋简体" w:hAnsi="Arial" w:eastAsia="方正小标宋简体" w:cs="Arial"/>
          <w:b/>
          <w:sz w:val="44"/>
          <w:szCs w:val="44"/>
        </w:rPr>
        <w:t>项目</w:t>
      </w:r>
      <w:r>
        <w:rPr>
          <w:rFonts w:hint="eastAsia" w:ascii="方正小标宋简体" w:hAnsi="宋体" w:eastAsia="方正小标宋简体" w:cs="宋体"/>
          <w:b/>
          <w:sz w:val="44"/>
          <w:szCs w:val="44"/>
        </w:rPr>
        <w:t>绩效报告</w:t>
      </w:r>
    </w:p>
    <w:p>
      <w:pPr>
        <w:widowControl/>
        <w:shd w:val="clear" w:color="auto" w:fill="FFFFFF"/>
        <w:spacing w:line="600" w:lineRule="atLeast"/>
        <w:ind w:firstLine="480"/>
        <w:jc w:val="left"/>
        <w:rPr>
          <w:rFonts w:ascii="宋体" w:hAnsi="宋体" w:cs="宋体"/>
          <w:b/>
          <w:bCs/>
          <w:color w:val="000000"/>
          <w:kern w:val="0"/>
          <w:sz w:val="32"/>
          <w:szCs w:val="32"/>
        </w:rPr>
      </w:pPr>
      <w:r>
        <w:rPr>
          <w:rFonts w:hint="eastAsia" w:ascii="宋体" w:hAnsi="宋体" w:cs="宋体"/>
          <w:b/>
          <w:bCs/>
          <w:color w:val="000000"/>
          <w:kern w:val="0"/>
          <w:sz w:val="32"/>
          <w:szCs w:val="32"/>
        </w:rPr>
        <w:t>一、项目概况</w:t>
      </w:r>
    </w:p>
    <w:p>
      <w:pPr>
        <w:widowControl/>
        <w:shd w:val="clear" w:color="auto" w:fill="FFFFFF"/>
        <w:spacing w:line="600" w:lineRule="atLeast"/>
        <w:ind w:firstLine="482"/>
        <w:jc w:val="left"/>
        <w:rPr>
          <w:rFonts w:hint="eastAsia" w:ascii="仿宋_GB2312" w:hAnsi="Micsoft-Yahei" w:eastAsia="仿宋_GB2312" w:cs="宋体"/>
          <w:color w:val="000000"/>
          <w:kern w:val="0"/>
          <w:sz w:val="32"/>
          <w:szCs w:val="32"/>
        </w:rPr>
      </w:pPr>
      <w:r>
        <w:rPr>
          <w:rFonts w:hint="eastAsia" w:ascii="仿宋_GB2312" w:hAnsi="宋体" w:eastAsia="仿宋_GB2312" w:cs="宋体"/>
          <w:b/>
          <w:bCs/>
          <w:color w:val="000000"/>
          <w:kern w:val="0"/>
          <w:sz w:val="32"/>
          <w:szCs w:val="32"/>
        </w:rPr>
        <w:t>（一）项目情况</w:t>
      </w:r>
    </w:p>
    <w:p>
      <w:pPr>
        <w:widowControl/>
        <w:shd w:val="clear" w:color="auto" w:fill="FFFFFF"/>
        <w:spacing w:line="600" w:lineRule="atLeast"/>
        <w:ind w:firstLine="640" w:firstLineChars="200"/>
        <w:jc w:val="left"/>
        <w:rPr>
          <w:rFonts w:ascii="仿宋_GB2312" w:hAnsi="宋体" w:eastAsia="仿宋_GB2312" w:cs="宋体"/>
          <w:color w:val="000000"/>
          <w:kern w:val="0"/>
          <w:sz w:val="32"/>
          <w:szCs w:val="32"/>
        </w:rPr>
      </w:pPr>
      <w:r>
        <w:rPr>
          <w:rFonts w:ascii="仿宋_GB2312" w:hAnsi="宋体" w:eastAsia="仿宋_GB2312" w:cs="宋体"/>
          <w:color w:val="000000"/>
          <w:kern w:val="0"/>
          <w:sz w:val="32"/>
          <w:szCs w:val="32"/>
        </w:rPr>
        <w:t>1.</w:t>
      </w:r>
      <w:r>
        <w:rPr>
          <w:rFonts w:hint="eastAsia" w:ascii="仿宋_GB2312" w:hAnsi="宋体" w:eastAsia="仿宋_GB2312" w:cs="宋体"/>
          <w:color w:val="000000"/>
          <w:kern w:val="0"/>
          <w:sz w:val="32"/>
          <w:szCs w:val="32"/>
        </w:rPr>
        <w:t>项目管理中的职能</w:t>
      </w:r>
    </w:p>
    <w:p>
      <w:pPr>
        <w:adjustRightInd w:val="0"/>
        <w:snapToGrid w:val="0"/>
        <w:spacing w:line="360" w:lineRule="auto"/>
        <w:ind w:firstLine="640" w:firstLineChars="200"/>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为贯彻落实</w:t>
      </w:r>
      <w:bookmarkStart w:id="154" w:name="_Hlk36733741"/>
      <w:r>
        <w:rPr>
          <w:rFonts w:hint="eastAsia" w:ascii="仿宋_GB2312" w:hAnsi="宋体" w:eastAsia="仿宋_GB2312" w:cs="宋体"/>
          <w:color w:val="000000"/>
          <w:kern w:val="0"/>
          <w:sz w:val="32"/>
          <w:szCs w:val="32"/>
        </w:rPr>
        <w:t>军队离退休干部、军队无军籍退休退职职工</w:t>
      </w:r>
      <w:bookmarkEnd w:id="154"/>
      <w:r>
        <w:rPr>
          <w:rFonts w:hint="eastAsia" w:ascii="仿宋_GB2312" w:hAnsi="宋体" w:eastAsia="仿宋_GB2312" w:cs="宋体"/>
          <w:color w:val="000000"/>
          <w:kern w:val="0"/>
          <w:sz w:val="32"/>
          <w:szCs w:val="32"/>
        </w:rPr>
        <w:t>服务工作，充分体现党和国家的关怀</w:t>
      </w:r>
      <w:bookmarkStart w:id="155" w:name="_Hlk82615939"/>
      <w:r>
        <w:rPr>
          <w:rFonts w:hint="eastAsia" w:ascii="仿宋_GB2312" w:hAnsi="宋体" w:eastAsia="仿宋_GB2312" w:cs="宋体"/>
          <w:color w:val="000000"/>
          <w:kern w:val="0"/>
          <w:sz w:val="32"/>
          <w:szCs w:val="32"/>
        </w:rPr>
        <w:t>，</w:t>
      </w:r>
      <w:bookmarkEnd w:id="155"/>
      <w:r>
        <w:rPr>
          <w:rFonts w:hint="eastAsia" w:ascii="仿宋_GB2312" w:hAnsi="宋体" w:eastAsia="仿宋_GB2312" w:cs="宋体"/>
          <w:color w:val="000000"/>
          <w:kern w:val="0"/>
          <w:sz w:val="32"/>
          <w:szCs w:val="32"/>
        </w:rPr>
        <w:t>我县</w:t>
      </w:r>
      <w:bookmarkStart w:id="156" w:name="_Hlk82616419"/>
      <w:r>
        <w:rPr>
          <w:rFonts w:hint="eastAsia" w:ascii="仿宋_GB2312" w:hAnsi="宋体" w:eastAsia="仿宋_GB2312" w:cs="宋体"/>
          <w:color w:val="000000"/>
          <w:kern w:val="0"/>
          <w:sz w:val="32"/>
          <w:szCs w:val="32"/>
        </w:rPr>
        <w:t>对军队离退休干部、军队无军籍退休退职职工逐月发放生活补助。</w:t>
      </w:r>
    </w:p>
    <w:bookmarkEnd w:id="156"/>
    <w:p>
      <w:pPr>
        <w:adjustRightInd w:val="0"/>
        <w:snapToGrid w:val="0"/>
        <w:spacing w:line="360" w:lineRule="auto"/>
        <w:ind w:firstLine="640" w:firstLineChars="200"/>
        <w:rPr>
          <w:rFonts w:ascii="仿宋_GB2312" w:hAnsi="宋体" w:eastAsia="仿宋_GB2312"/>
          <w:sz w:val="32"/>
          <w:szCs w:val="32"/>
          <w:lang w:val="zh-CN"/>
        </w:rPr>
      </w:pPr>
      <w:r>
        <w:rPr>
          <w:rFonts w:hint="eastAsia" w:ascii="仿宋_GB2312" w:hAnsi="宋体" w:eastAsia="仿宋_GB2312" w:cs="宋体"/>
          <w:color w:val="000000"/>
          <w:kern w:val="0"/>
          <w:sz w:val="32"/>
          <w:szCs w:val="32"/>
        </w:rPr>
        <w:t>2.项</w:t>
      </w:r>
      <w:r>
        <w:rPr>
          <w:rFonts w:hint="eastAsia" w:ascii="仿宋_GB2312" w:hAnsi="宋体" w:eastAsia="仿宋_GB2312"/>
          <w:sz w:val="32"/>
          <w:szCs w:val="32"/>
          <w:lang w:val="zh-CN"/>
        </w:rPr>
        <w:t>目立项、资金申报的依据</w:t>
      </w:r>
    </w:p>
    <w:p>
      <w:pPr>
        <w:widowControl/>
        <w:shd w:val="clear" w:color="auto" w:fill="FFFFFF"/>
        <w:spacing w:line="600" w:lineRule="atLeast"/>
        <w:ind w:firstLine="48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根据《四川省军队离退休干部服务管理办法》（川民发〔2018〕2号）、《关于贯彻落实民发〔2005〕135号文件精神推进军队无军籍退休退职职工移交安置工作的意见》（联司〔2011〕298号）文件。</w:t>
      </w:r>
    </w:p>
    <w:p>
      <w:pPr>
        <w:widowControl/>
        <w:shd w:val="clear" w:color="auto" w:fill="FFFFFF"/>
        <w:spacing w:line="600" w:lineRule="atLeast"/>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3</w:t>
      </w:r>
      <w:r>
        <w:rPr>
          <w:rFonts w:ascii="仿宋_GB2312" w:hAnsi="宋体" w:eastAsia="仿宋_GB2312" w:cs="宋体"/>
          <w:color w:val="000000"/>
          <w:kern w:val="0"/>
          <w:sz w:val="32"/>
          <w:szCs w:val="32"/>
        </w:rPr>
        <w:t>.</w:t>
      </w:r>
      <w:r>
        <w:rPr>
          <w:rFonts w:hint="eastAsia" w:ascii="仿宋_GB2312" w:hAnsi="宋体" w:eastAsia="仿宋_GB2312" w:cs="宋体"/>
          <w:color w:val="000000"/>
          <w:kern w:val="0"/>
          <w:sz w:val="32"/>
          <w:szCs w:val="32"/>
        </w:rPr>
        <w:t>资金管理办法制定情况，资金支持具体项目的条件、范围与支持方式</w:t>
      </w:r>
    </w:p>
    <w:p>
      <w:pPr>
        <w:widowControl/>
        <w:shd w:val="clear" w:color="auto" w:fill="FFFFFF"/>
        <w:spacing w:line="600" w:lineRule="atLeast"/>
        <w:ind w:firstLine="48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根据《四川省军队离退休干部服务管理办法》，我局每月按规定标准发放军队离退休人员的工资。按照管理办法要求做好绩效监控，确保绩效目标实现。</w:t>
      </w:r>
    </w:p>
    <w:p>
      <w:pPr>
        <w:widowControl/>
        <w:shd w:val="clear" w:color="auto" w:fill="FFFFFF"/>
        <w:spacing w:line="600" w:lineRule="atLeast"/>
        <w:ind w:firstLine="48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4</w:t>
      </w:r>
      <w:r>
        <w:rPr>
          <w:rFonts w:ascii="仿宋_GB2312" w:hAnsi="宋体" w:eastAsia="仿宋_GB2312" w:cs="宋体"/>
          <w:color w:val="000000"/>
          <w:kern w:val="0"/>
          <w:sz w:val="32"/>
          <w:szCs w:val="32"/>
        </w:rPr>
        <w:t>.</w:t>
      </w:r>
      <w:r>
        <w:rPr>
          <w:rFonts w:hint="eastAsia" w:ascii="仿宋_GB2312" w:hAnsi="宋体" w:eastAsia="仿宋_GB2312" w:cs="宋体"/>
          <w:color w:val="000000"/>
          <w:kern w:val="0"/>
          <w:sz w:val="32"/>
          <w:szCs w:val="32"/>
        </w:rPr>
        <w:t>资金分配的原则及考虑的因素</w:t>
      </w:r>
    </w:p>
    <w:p>
      <w:pPr>
        <w:widowControl/>
        <w:shd w:val="clear" w:color="auto" w:fill="FFFFFF"/>
        <w:spacing w:line="600" w:lineRule="atLeast"/>
        <w:ind w:firstLine="480"/>
        <w:jc w:val="left"/>
        <w:rPr>
          <w:rFonts w:hint="eastAsia" w:ascii="仿宋_GB2312" w:hAnsi="Micsoft-Yahei" w:eastAsia="仿宋_GB2312" w:cs="宋体"/>
          <w:color w:val="000000"/>
          <w:kern w:val="0"/>
          <w:sz w:val="32"/>
          <w:szCs w:val="32"/>
        </w:rPr>
      </w:pPr>
      <w:r>
        <w:rPr>
          <w:rFonts w:hint="eastAsia" w:ascii="仿宋_GB2312" w:hAnsi="宋体" w:eastAsia="仿宋_GB2312" w:cs="宋体"/>
          <w:color w:val="000000"/>
          <w:kern w:val="0"/>
          <w:sz w:val="32"/>
          <w:szCs w:val="32"/>
        </w:rPr>
        <w:t>根据《</w:t>
      </w:r>
      <w:bookmarkStart w:id="157" w:name="_Hlk82616493"/>
      <w:r>
        <w:rPr>
          <w:rFonts w:hint="eastAsia" w:ascii="仿宋_GB2312" w:hAnsi="宋体" w:eastAsia="仿宋_GB2312" w:cs="宋体"/>
          <w:color w:val="000000"/>
          <w:kern w:val="0"/>
          <w:sz w:val="32"/>
          <w:szCs w:val="32"/>
        </w:rPr>
        <w:t>四川省军队离退休干部服务管理办法</w:t>
      </w:r>
      <w:bookmarkEnd w:id="157"/>
      <w:r>
        <w:rPr>
          <w:rFonts w:hint="eastAsia" w:ascii="仿宋_GB2312" w:hAnsi="宋体" w:eastAsia="仿宋_GB2312" w:cs="宋体"/>
          <w:color w:val="000000"/>
          <w:kern w:val="0"/>
          <w:sz w:val="32"/>
          <w:szCs w:val="32"/>
        </w:rPr>
        <w:t>》，我局每月按规定标准发放军队离退休人员的工资。主要考虑人数临时增加，上级资金到位及时。</w:t>
      </w:r>
    </w:p>
    <w:p>
      <w:pPr>
        <w:widowControl/>
        <w:shd w:val="clear" w:color="auto" w:fill="FFFFFF"/>
        <w:spacing w:line="600" w:lineRule="atLeast"/>
        <w:ind w:firstLine="480"/>
        <w:jc w:val="left"/>
        <w:rPr>
          <w:rFonts w:hint="eastAsia" w:ascii="Micsoft-Yahei" w:hAnsi="Micsoft-Yahei" w:cs="宋体"/>
          <w:b/>
          <w:bCs/>
          <w:color w:val="000000"/>
          <w:kern w:val="0"/>
          <w:sz w:val="32"/>
          <w:szCs w:val="32"/>
        </w:rPr>
      </w:pPr>
      <w:r>
        <w:rPr>
          <w:rFonts w:hint="eastAsia" w:ascii="宋体" w:hAnsi="宋体" w:cs="宋体"/>
          <w:b/>
          <w:bCs/>
          <w:color w:val="000000"/>
          <w:kern w:val="0"/>
          <w:sz w:val="32"/>
          <w:szCs w:val="32"/>
        </w:rPr>
        <w:t>（二）项目绩效目标</w:t>
      </w:r>
    </w:p>
    <w:p>
      <w:pPr>
        <w:adjustRightInd w:val="0"/>
        <w:snapToGrid w:val="0"/>
        <w:spacing w:line="360" w:lineRule="auto"/>
        <w:ind w:firstLine="720" w:firstLineChars="200"/>
        <w:rPr>
          <w:rFonts w:ascii="仿宋_GB2312" w:hAnsi="宋体" w:eastAsia="仿宋_GB2312" w:cs="宋体"/>
          <w:color w:val="000000"/>
          <w:kern w:val="0"/>
          <w:sz w:val="32"/>
          <w:szCs w:val="32"/>
        </w:rPr>
      </w:pPr>
      <w:r>
        <w:rPr>
          <w:rFonts w:hint="eastAsia" w:ascii="仿宋_GB2312" w:hAnsi="宋体" w:eastAsia="仿宋_GB2312" w:cs="宋体"/>
          <w:color w:val="000000"/>
          <w:kern w:val="0"/>
          <w:sz w:val="36"/>
          <w:szCs w:val="36"/>
        </w:rPr>
        <w:t>1</w:t>
      </w:r>
      <w:r>
        <w:rPr>
          <w:rFonts w:hint="eastAsia" w:ascii="仿宋_GB2312" w:hAnsi="宋体" w:eastAsia="仿宋_GB2312" w:cs="宋体"/>
          <w:color w:val="000000"/>
          <w:kern w:val="0"/>
          <w:sz w:val="36"/>
          <w:szCs w:val="36"/>
          <w:lang w:val="en-US" w:eastAsia="zh-CN"/>
        </w:rPr>
        <w:t>.</w:t>
      </w:r>
      <w:r>
        <w:rPr>
          <w:rFonts w:hint="eastAsia" w:ascii="仿宋_GB2312" w:hAnsi="宋体" w:eastAsia="仿宋_GB2312" w:cs="宋体"/>
          <w:color w:val="000000"/>
          <w:kern w:val="0"/>
          <w:sz w:val="36"/>
          <w:szCs w:val="36"/>
        </w:rPr>
        <w:t>项目主要内容。</w:t>
      </w:r>
      <w:r>
        <w:rPr>
          <w:rFonts w:hint="eastAsia" w:ascii="仿宋_GB2312" w:hAnsi="宋体" w:eastAsia="仿宋_GB2312" w:cs="宋体"/>
          <w:color w:val="000000"/>
          <w:kern w:val="0"/>
          <w:sz w:val="32"/>
          <w:szCs w:val="32"/>
        </w:rPr>
        <w:t>对军队离退休干部、军队无军籍退休退职职工逐月发放生活补助。</w:t>
      </w:r>
    </w:p>
    <w:p>
      <w:pPr>
        <w:widowControl/>
        <w:spacing w:line="560" w:lineRule="exact"/>
        <w:ind w:firstLine="660"/>
        <w:rPr>
          <w:rFonts w:ascii="仿宋_GB2312" w:hAnsi="宋体" w:eastAsia="仿宋_GB2312" w:cs="宋体"/>
          <w:color w:val="000000"/>
          <w:kern w:val="0"/>
          <w:sz w:val="36"/>
          <w:szCs w:val="36"/>
        </w:rPr>
      </w:pPr>
      <w:r>
        <w:rPr>
          <w:rFonts w:hint="eastAsia" w:ascii="仿宋_GB2312" w:hAnsi="宋体" w:eastAsia="仿宋_GB2312" w:cs="宋体"/>
          <w:color w:val="000000"/>
          <w:kern w:val="0"/>
          <w:sz w:val="36"/>
          <w:szCs w:val="36"/>
        </w:rPr>
        <w:t>2</w:t>
      </w:r>
      <w:r>
        <w:rPr>
          <w:rFonts w:hint="eastAsia" w:ascii="仿宋_GB2312" w:hAnsi="宋体" w:eastAsia="仿宋_GB2312" w:cs="宋体"/>
          <w:color w:val="000000"/>
          <w:kern w:val="0"/>
          <w:sz w:val="36"/>
          <w:szCs w:val="36"/>
          <w:lang w:val="en-US" w:eastAsia="zh-CN"/>
        </w:rPr>
        <w:t>.</w:t>
      </w:r>
      <w:r>
        <w:rPr>
          <w:rFonts w:hint="eastAsia" w:ascii="仿宋_GB2312" w:hAnsi="宋体" w:eastAsia="仿宋_GB2312" w:cs="宋体"/>
          <w:color w:val="000000"/>
          <w:kern w:val="0"/>
          <w:sz w:val="36"/>
          <w:szCs w:val="36"/>
        </w:rPr>
        <w:t>项目绩效目标。通过逐月发放</w:t>
      </w:r>
      <w:bookmarkStart w:id="158" w:name="_Hlk36734522"/>
      <w:r>
        <w:rPr>
          <w:rFonts w:hint="eastAsia" w:ascii="仿宋_GB2312" w:hAnsi="宋体" w:eastAsia="仿宋_GB2312" w:cs="宋体"/>
          <w:color w:val="000000"/>
          <w:kern w:val="0"/>
          <w:sz w:val="36"/>
          <w:szCs w:val="36"/>
        </w:rPr>
        <w:t>军队离退休干部、军队无军籍退休退职职工</w:t>
      </w:r>
      <w:bookmarkEnd w:id="158"/>
      <w:r>
        <w:rPr>
          <w:rFonts w:hint="eastAsia" w:ascii="仿宋_GB2312" w:hAnsi="宋体" w:eastAsia="仿宋_GB2312" w:cs="宋体"/>
          <w:color w:val="000000"/>
          <w:kern w:val="0"/>
          <w:sz w:val="36"/>
          <w:szCs w:val="36"/>
        </w:rPr>
        <w:t>生活补助,进一步促进军队稳定。</w:t>
      </w:r>
    </w:p>
    <w:p>
      <w:pPr>
        <w:widowControl/>
        <w:shd w:val="clear" w:color="auto" w:fill="FFFFFF"/>
        <w:spacing w:line="600" w:lineRule="atLeast"/>
        <w:ind w:firstLine="720" w:firstLineChars="200"/>
        <w:jc w:val="left"/>
        <w:rPr>
          <w:rFonts w:hint="eastAsia" w:ascii="仿宋_GB2312" w:hAnsi="Micsoft-Yahei" w:eastAsia="仿宋_GB2312" w:cs="宋体"/>
          <w:color w:val="000000"/>
          <w:kern w:val="0"/>
          <w:sz w:val="36"/>
          <w:szCs w:val="36"/>
        </w:rPr>
      </w:pPr>
      <w:r>
        <w:rPr>
          <w:rFonts w:hint="eastAsia" w:ascii="仿宋_GB2312" w:hAnsi="宋体" w:eastAsia="仿宋_GB2312" w:cs="宋体"/>
          <w:color w:val="000000"/>
          <w:kern w:val="0"/>
          <w:sz w:val="36"/>
          <w:szCs w:val="36"/>
        </w:rPr>
        <w:t>3</w:t>
      </w:r>
      <w:r>
        <w:rPr>
          <w:rFonts w:hint="eastAsia" w:ascii="仿宋_GB2312" w:hAnsi="宋体" w:eastAsia="仿宋_GB2312" w:cs="宋体"/>
          <w:color w:val="000000"/>
          <w:kern w:val="0"/>
          <w:sz w:val="36"/>
          <w:szCs w:val="36"/>
          <w:lang w:val="en-US" w:eastAsia="zh-CN"/>
        </w:rPr>
        <w:t>.</w:t>
      </w:r>
      <w:r>
        <w:rPr>
          <w:rFonts w:hint="eastAsia" w:ascii="仿宋_GB2312" w:hAnsi="宋体" w:eastAsia="仿宋_GB2312" w:cs="宋体"/>
          <w:color w:val="000000"/>
          <w:kern w:val="0"/>
          <w:sz w:val="36"/>
          <w:szCs w:val="36"/>
        </w:rPr>
        <w:t>项目资金管理情况分析。严格执行《四川省军队离退休干部服务管理办法》，加强资金分配和使用管理，定期报送进展情况，强化绩效跟踪，自觉接受纪检、审计部门的监督，切实提升资金使用效益。</w:t>
      </w:r>
    </w:p>
    <w:p>
      <w:pPr>
        <w:widowControl/>
        <w:shd w:val="clear" w:color="auto" w:fill="FFFFFF"/>
        <w:spacing w:line="600" w:lineRule="atLeast"/>
        <w:ind w:firstLine="482"/>
        <w:jc w:val="left"/>
        <w:rPr>
          <w:rFonts w:ascii="宋体" w:hAnsi="宋体" w:cs="宋体"/>
          <w:b/>
          <w:bCs/>
          <w:color w:val="000000"/>
          <w:kern w:val="0"/>
          <w:sz w:val="32"/>
          <w:szCs w:val="32"/>
        </w:rPr>
      </w:pPr>
      <w:r>
        <w:rPr>
          <w:rFonts w:hint="eastAsia" w:ascii="宋体" w:hAnsi="宋体" w:cs="宋体"/>
          <w:b/>
          <w:bCs/>
          <w:color w:val="000000"/>
          <w:kern w:val="0"/>
          <w:sz w:val="32"/>
          <w:szCs w:val="32"/>
        </w:rPr>
        <w:t>（三）项目自评步骤及方法</w:t>
      </w:r>
    </w:p>
    <w:p>
      <w:pPr>
        <w:widowControl/>
        <w:shd w:val="clear" w:color="auto" w:fill="FFFFFF"/>
        <w:spacing w:line="640" w:lineRule="atLeast"/>
        <w:ind w:firstLine="480"/>
        <w:jc w:val="left"/>
        <w:rPr>
          <w:rFonts w:ascii="微软雅黑" w:hAnsi="微软雅黑" w:eastAsia="微软雅黑" w:cs="宋体"/>
          <w:color w:val="000000"/>
          <w:kern w:val="0"/>
          <w:sz w:val="24"/>
        </w:rPr>
      </w:pPr>
      <w:r>
        <w:rPr>
          <w:rFonts w:hint="eastAsia" w:ascii="仿宋" w:hAnsi="仿宋" w:eastAsia="仿宋" w:cs="宋体"/>
          <w:b/>
          <w:bCs/>
          <w:color w:val="000000"/>
          <w:kern w:val="0"/>
          <w:sz w:val="32"/>
          <w:szCs w:val="32"/>
        </w:rPr>
        <w:t>（一）绩效评价的组织工作</w:t>
      </w:r>
    </w:p>
    <w:p>
      <w:pPr>
        <w:widowControl/>
        <w:shd w:val="clear" w:color="auto" w:fill="FFFFFF"/>
        <w:spacing w:line="640" w:lineRule="atLeast"/>
        <w:ind w:firstLine="640"/>
        <w:jc w:val="left"/>
        <w:rPr>
          <w:rFonts w:ascii="微软雅黑" w:hAnsi="微软雅黑" w:eastAsia="微软雅黑" w:cs="宋体"/>
          <w:color w:val="000000"/>
          <w:kern w:val="0"/>
          <w:sz w:val="24"/>
        </w:rPr>
      </w:pPr>
      <w:r>
        <w:rPr>
          <w:rFonts w:hint="eastAsia" w:ascii="仿宋" w:hAnsi="仿宋" w:eastAsia="仿宋" w:cs="宋体"/>
          <w:color w:val="000000"/>
          <w:kern w:val="0"/>
          <w:sz w:val="32"/>
          <w:szCs w:val="32"/>
        </w:rPr>
        <w:t>根据财政局《关于开展20</w:t>
      </w:r>
      <w:r>
        <w:rPr>
          <w:rFonts w:ascii="仿宋" w:hAnsi="仿宋" w:eastAsia="仿宋" w:cs="宋体"/>
          <w:color w:val="000000"/>
          <w:kern w:val="0"/>
          <w:sz w:val="32"/>
          <w:szCs w:val="32"/>
        </w:rPr>
        <w:t>21</w:t>
      </w:r>
      <w:r>
        <w:rPr>
          <w:rFonts w:hint="eastAsia" w:ascii="仿宋" w:hAnsi="仿宋" w:eastAsia="仿宋" w:cs="宋体"/>
          <w:color w:val="000000"/>
          <w:kern w:val="0"/>
          <w:sz w:val="32"/>
          <w:szCs w:val="32"/>
        </w:rPr>
        <w:t>年部门、政策和项目支出绩效评价工作的通知》（茂财[202</w:t>
      </w:r>
      <w:r>
        <w:rPr>
          <w:rFonts w:ascii="仿宋" w:hAnsi="仿宋" w:eastAsia="仿宋" w:cs="宋体"/>
          <w:color w:val="000000"/>
          <w:kern w:val="0"/>
          <w:sz w:val="32"/>
          <w:szCs w:val="32"/>
        </w:rPr>
        <w:t>1</w:t>
      </w:r>
      <w:r>
        <w:rPr>
          <w:rFonts w:hint="eastAsia" w:ascii="仿宋" w:hAnsi="仿宋" w:eastAsia="仿宋" w:cs="宋体"/>
          <w:color w:val="000000"/>
          <w:kern w:val="0"/>
          <w:sz w:val="32"/>
          <w:szCs w:val="32"/>
        </w:rPr>
        <w:t>]</w:t>
      </w:r>
      <w:r>
        <w:rPr>
          <w:rFonts w:ascii="仿宋" w:hAnsi="仿宋" w:eastAsia="仿宋" w:cs="宋体"/>
          <w:color w:val="000000"/>
          <w:kern w:val="0"/>
          <w:sz w:val="32"/>
          <w:szCs w:val="32"/>
        </w:rPr>
        <w:t>49</w:t>
      </w:r>
      <w:r>
        <w:rPr>
          <w:rFonts w:hint="eastAsia" w:ascii="仿宋" w:hAnsi="仿宋" w:eastAsia="仿宋" w:cs="宋体"/>
          <w:color w:val="000000"/>
          <w:kern w:val="0"/>
          <w:sz w:val="32"/>
          <w:szCs w:val="32"/>
        </w:rPr>
        <w:t>号）文件通知，我局对“军队移交政府的离退休人员安置”项目进行绩效评价</w:t>
      </w:r>
      <w:r>
        <w:rPr>
          <w:rFonts w:hint="eastAsia" w:ascii="宋体" w:hAnsi="宋体" w:cs="宋体"/>
          <w:color w:val="000000"/>
          <w:kern w:val="0"/>
          <w:sz w:val="32"/>
          <w:szCs w:val="32"/>
        </w:rPr>
        <w:t>，</w:t>
      </w:r>
      <w:r>
        <w:rPr>
          <w:rFonts w:hint="eastAsia" w:ascii="仿宋" w:hAnsi="仿宋" w:eastAsia="仿宋" w:cs="宋体"/>
          <w:color w:val="000000"/>
          <w:kern w:val="0"/>
          <w:sz w:val="32"/>
          <w:szCs w:val="32"/>
        </w:rPr>
        <w:t>成立绩效评价工作小组，</w:t>
      </w:r>
      <w:r>
        <w:rPr>
          <w:rFonts w:hint="eastAsia" w:ascii="仿宋_GB2312" w:hAnsi="微软雅黑" w:eastAsia="仿宋_GB2312" w:cs="宋体"/>
          <w:color w:val="000000"/>
          <w:kern w:val="0"/>
          <w:sz w:val="32"/>
          <w:szCs w:val="32"/>
        </w:rPr>
        <w:t>召开专题工作会议进行部署，</w:t>
      </w:r>
      <w:r>
        <w:rPr>
          <w:rFonts w:hint="eastAsia" w:ascii="仿宋" w:hAnsi="仿宋" w:eastAsia="仿宋" w:cs="宋体"/>
          <w:color w:val="000000"/>
          <w:kern w:val="0"/>
          <w:sz w:val="32"/>
          <w:szCs w:val="32"/>
        </w:rPr>
        <w:t>对优抚对象医疗补助经费进行核查，</w:t>
      </w:r>
      <w:r>
        <w:rPr>
          <w:rFonts w:hint="eastAsia" w:ascii="仿宋_GB2312" w:hAnsi="微软雅黑" w:eastAsia="仿宋_GB2312" w:cs="宋体"/>
          <w:color w:val="000000"/>
          <w:kern w:val="0"/>
          <w:sz w:val="32"/>
          <w:szCs w:val="32"/>
        </w:rPr>
        <w:t>力求数据准确，标准合理，指标科学，考评严格。</w:t>
      </w:r>
    </w:p>
    <w:p>
      <w:pPr>
        <w:widowControl/>
        <w:shd w:val="clear" w:color="auto" w:fill="FFFFFF"/>
        <w:spacing w:line="640" w:lineRule="atLeast"/>
        <w:ind w:firstLine="560"/>
        <w:jc w:val="left"/>
        <w:rPr>
          <w:rFonts w:ascii="微软雅黑" w:hAnsi="微软雅黑" w:eastAsia="微软雅黑" w:cs="宋体"/>
          <w:color w:val="000000"/>
          <w:kern w:val="0"/>
          <w:sz w:val="24"/>
        </w:rPr>
      </w:pPr>
      <w:r>
        <w:rPr>
          <w:rFonts w:hint="eastAsia" w:ascii="仿宋" w:hAnsi="仿宋" w:eastAsia="仿宋" w:cs="宋体"/>
          <w:color w:val="000000"/>
          <w:kern w:val="0"/>
          <w:sz w:val="32"/>
          <w:szCs w:val="32"/>
        </w:rPr>
        <w:t>工作小组针对项目进行前期调研，对相关文件、申报资料等资料进行收集整理，查询相关数据和记账凭证进行核实、汇总，结合具体项目内容，设计绩效评价的指标体系，真实、完整、全面的评价项目的实施建设及完成情况。</w:t>
      </w:r>
    </w:p>
    <w:p>
      <w:pPr>
        <w:widowControl/>
        <w:shd w:val="clear" w:color="auto" w:fill="FFFFFF"/>
        <w:spacing w:line="640" w:lineRule="atLeast"/>
        <w:ind w:firstLine="560"/>
        <w:jc w:val="left"/>
        <w:rPr>
          <w:rFonts w:ascii="微软雅黑" w:hAnsi="微软雅黑" w:eastAsia="微软雅黑" w:cs="宋体"/>
          <w:color w:val="000000"/>
          <w:kern w:val="0"/>
          <w:sz w:val="24"/>
        </w:rPr>
      </w:pPr>
      <w:r>
        <w:rPr>
          <w:rFonts w:hint="eastAsia" w:ascii="仿宋" w:hAnsi="仿宋" w:eastAsia="仿宋" w:cs="宋体"/>
          <w:b/>
          <w:bCs/>
          <w:color w:val="000000"/>
          <w:kern w:val="0"/>
          <w:sz w:val="32"/>
          <w:szCs w:val="32"/>
        </w:rPr>
        <w:t>（二）绩效评价的方法和过程</w:t>
      </w:r>
    </w:p>
    <w:p>
      <w:pPr>
        <w:widowControl/>
        <w:shd w:val="clear" w:color="auto" w:fill="FFFFFF"/>
        <w:spacing w:line="640" w:lineRule="atLeast"/>
        <w:ind w:firstLine="640"/>
        <w:jc w:val="left"/>
        <w:rPr>
          <w:rFonts w:ascii="微软雅黑" w:hAnsi="微软雅黑" w:eastAsia="微软雅黑" w:cs="宋体"/>
          <w:color w:val="000000"/>
          <w:kern w:val="0"/>
          <w:sz w:val="24"/>
        </w:rPr>
      </w:pPr>
      <w:r>
        <w:rPr>
          <w:rFonts w:hint="eastAsia" w:ascii="仿宋" w:hAnsi="仿宋" w:eastAsia="仿宋" w:cs="宋体"/>
          <w:color w:val="000000"/>
          <w:kern w:val="0"/>
          <w:sz w:val="32"/>
          <w:szCs w:val="32"/>
        </w:rPr>
        <w:t>本次绩效评价采用以下方法：一是资料整理法。通过对相关表格和记账凭证等财务资料查阅、核实、汇总分析，评价项目资金使用的规范性、支出范围的相关性和合理性等。二是访谈调查法。了解离退休人员补助方面的满意程度，以离退休人员的满意度为评价标准衡量医疗补助项目开展的效果。</w:t>
      </w:r>
    </w:p>
    <w:p>
      <w:pPr>
        <w:widowControl/>
        <w:shd w:val="clear" w:color="auto" w:fill="FFFFFF"/>
        <w:spacing w:line="640" w:lineRule="atLeast"/>
        <w:ind w:firstLine="560"/>
        <w:jc w:val="left"/>
        <w:rPr>
          <w:rFonts w:ascii="微软雅黑" w:hAnsi="微软雅黑" w:eastAsia="微软雅黑" w:cs="宋体"/>
          <w:color w:val="000000"/>
          <w:kern w:val="0"/>
          <w:sz w:val="24"/>
        </w:rPr>
      </w:pPr>
      <w:r>
        <w:rPr>
          <w:rFonts w:hint="eastAsia" w:ascii="仿宋" w:hAnsi="仿宋" w:eastAsia="仿宋" w:cs="宋体"/>
          <w:color w:val="000000"/>
          <w:kern w:val="0"/>
          <w:sz w:val="32"/>
          <w:szCs w:val="32"/>
        </w:rPr>
        <w:t>通过以上方法收集有关资料，进行研究分析，确定各项指标完成程度及得分，找出项目实施中存在的问题，分析原因，提出建议，形成绩效评价报告。</w:t>
      </w:r>
    </w:p>
    <w:p>
      <w:pPr>
        <w:widowControl/>
        <w:shd w:val="clear" w:color="auto" w:fill="FFFFFF"/>
        <w:spacing w:line="600" w:lineRule="atLeast"/>
        <w:ind w:firstLine="482"/>
        <w:jc w:val="left"/>
        <w:rPr>
          <w:rFonts w:ascii="宋体" w:hAnsi="宋体" w:cs="宋体"/>
          <w:b/>
          <w:bCs/>
          <w:color w:val="000000"/>
          <w:kern w:val="0"/>
          <w:sz w:val="32"/>
          <w:szCs w:val="32"/>
        </w:rPr>
      </w:pPr>
      <w:r>
        <w:rPr>
          <w:rFonts w:hint="eastAsia" w:ascii="宋体" w:hAnsi="宋体" w:cs="宋体"/>
          <w:b/>
          <w:bCs/>
          <w:color w:val="000000"/>
          <w:kern w:val="0"/>
          <w:sz w:val="32"/>
          <w:szCs w:val="32"/>
        </w:rPr>
        <w:t>二、项目资金申报及使用情况</w:t>
      </w:r>
    </w:p>
    <w:p>
      <w:pPr>
        <w:widowControl/>
        <w:shd w:val="clear" w:color="auto" w:fill="FFFFFF"/>
        <w:spacing w:line="600" w:lineRule="atLeast"/>
        <w:ind w:firstLine="482"/>
        <w:jc w:val="left"/>
        <w:rPr>
          <w:rFonts w:ascii="宋体" w:hAnsi="宋体" w:cs="宋体"/>
          <w:b/>
          <w:bCs/>
          <w:color w:val="000000"/>
          <w:kern w:val="0"/>
          <w:sz w:val="32"/>
          <w:szCs w:val="32"/>
        </w:rPr>
      </w:pPr>
      <w:r>
        <w:rPr>
          <w:rFonts w:hint="eastAsia" w:ascii="宋体" w:hAnsi="宋体" w:cs="宋体"/>
          <w:b/>
          <w:bCs/>
          <w:color w:val="000000"/>
          <w:kern w:val="0"/>
          <w:sz w:val="32"/>
          <w:szCs w:val="32"/>
        </w:rPr>
        <w:t>（一）项目资金申报及批复情况</w:t>
      </w:r>
    </w:p>
    <w:p>
      <w:pPr>
        <w:widowControl/>
        <w:spacing w:line="560" w:lineRule="exact"/>
        <w:ind w:firstLine="640" w:firstLineChars="200"/>
        <w:rPr>
          <w:rFonts w:ascii="仿宋_GB2312" w:hAnsi="宋体" w:eastAsia="仿宋_GB2312" w:cs="宋体"/>
          <w:kern w:val="0"/>
          <w:sz w:val="32"/>
          <w:szCs w:val="32"/>
          <w:lang w:val="zh-CN"/>
        </w:rPr>
      </w:pPr>
      <w:r>
        <w:rPr>
          <w:rFonts w:hint="eastAsia" w:ascii="仿宋_GB2312" w:hAnsi="宋体" w:eastAsia="仿宋_GB2312" w:cs="宋体"/>
          <w:bCs/>
          <w:kern w:val="0"/>
          <w:sz w:val="32"/>
          <w:szCs w:val="32"/>
          <w:lang w:val="zh-CN"/>
        </w:rPr>
        <w:t>根据《</w:t>
      </w:r>
      <w:bookmarkStart w:id="159" w:name="_Hlk82616824"/>
      <w:r>
        <w:rPr>
          <w:rFonts w:hint="eastAsia" w:ascii="仿宋_GB2312" w:hAnsi="宋体" w:eastAsia="仿宋_GB2312" w:cs="宋体"/>
          <w:bCs/>
          <w:kern w:val="0"/>
          <w:sz w:val="32"/>
          <w:szCs w:val="32"/>
          <w:lang w:val="zh-CN"/>
        </w:rPr>
        <w:t>财政局关于下达20</w:t>
      </w:r>
      <w:r>
        <w:rPr>
          <w:rFonts w:ascii="仿宋_GB2312" w:hAnsi="宋体" w:eastAsia="仿宋_GB2312" w:cs="宋体"/>
          <w:bCs/>
          <w:kern w:val="0"/>
          <w:sz w:val="32"/>
          <w:szCs w:val="32"/>
          <w:lang w:val="zh-CN"/>
        </w:rPr>
        <w:t>20</w:t>
      </w:r>
      <w:r>
        <w:rPr>
          <w:rFonts w:hint="eastAsia" w:ascii="仿宋_GB2312" w:hAnsi="宋体" w:eastAsia="仿宋_GB2312" w:cs="宋体"/>
          <w:bCs/>
          <w:kern w:val="0"/>
          <w:sz w:val="32"/>
          <w:szCs w:val="32"/>
          <w:lang w:val="zh-CN"/>
        </w:rPr>
        <w:t>年中央、省、州级财政退役安置补助资金的通知</w:t>
      </w:r>
      <w:bookmarkEnd w:id="159"/>
      <w:r>
        <w:rPr>
          <w:rFonts w:hint="eastAsia" w:ascii="仿宋_GB2312" w:hAnsi="宋体" w:eastAsia="仿宋_GB2312" w:cs="宋体"/>
          <w:bCs/>
          <w:kern w:val="0"/>
          <w:sz w:val="32"/>
          <w:szCs w:val="32"/>
          <w:lang w:val="zh-CN"/>
        </w:rPr>
        <w:t>》茂财社〔20</w:t>
      </w:r>
      <w:r>
        <w:rPr>
          <w:rFonts w:ascii="仿宋_GB2312" w:hAnsi="宋体" w:eastAsia="仿宋_GB2312" w:cs="宋体"/>
          <w:bCs/>
          <w:kern w:val="0"/>
          <w:sz w:val="32"/>
          <w:szCs w:val="32"/>
          <w:lang w:val="zh-CN"/>
        </w:rPr>
        <w:t>10</w:t>
      </w:r>
      <w:r>
        <w:rPr>
          <w:rFonts w:hint="eastAsia" w:ascii="仿宋_GB2312" w:hAnsi="宋体" w:eastAsia="仿宋_GB2312" w:cs="宋体"/>
          <w:bCs/>
          <w:kern w:val="0"/>
          <w:sz w:val="32"/>
          <w:szCs w:val="32"/>
          <w:lang w:val="zh-CN"/>
        </w:rPr>
        <w:t>〕</w:t>
      </w:r>
      <w:r>
        <w:rPr>
          <w:rFonts w:ascii="仿宋_GB2312" w:hAnsi="宋体" w:eastAsia="仿宋_GB2312" w:cs="宋体"/>
          <w:bCs/>
          <w:kern w:val="0"/>
          <w:sz w:val="32"/>
          <w:szCs w:val="32"/>
          <w:lang w:val="zh-CN"/>
        </w:rPr>
        <w:t>28</w:t>
      </w:r>
      <w:r>
        <w:rPr>
          <w:rFonts w:hint="eastAsia" w:ascii="仿宋_GB2312" w:hAnsi="宋体" w:eastAsia="仿宋_GB2312" w:cs="宋体"/>
          <w:bCs/>
          <w:kern w:val="0"/>
          <w:sz w:val="32"/>
          <w:szCs w:val="32"/>
          <w:lang w:val="zh-CN"/>
        </w:rPr>
        <w:t>号、《财政局关于下达20</w:t>
      </w:r>
      <w:r>
        <w:rPr>
          <w:rFonts w:ascii="仿宋_GB2312" w:hAnsi="宋体" w:eastAsia="仿宋_GB2312" w:cs="宋体"/>
          <w:bCs/>
          <w:kern w:val="0"/>
          <w:sz w:val="32"/>
          <w:szCs w:val="32"/>
          <w:lang w:val="zh-CN"/>
        </w:rPr>
        <w:t>20</w:t>
      </w:r>
      <w:r>
        <w:rPr>
          <w:rFonts w:hint="eastAsia" w:ascii="仿宋_GB2312" w:hAnsi="宋体" w:eastAsia="仿宋_GB2312" w:cs="宋体"/>
          <w:bCs/>
          <w:kern w:val="0"/>
          <w:sz w:val="32"/>
          <w:szCs w:val="32"/>
          <w:lang w:val="zh-CN"/>
        </w:rPr>
        <w:t xml:space="preserve">年中央退役安置补助资金的通知》 </w:t>
      </w:r>
      <w:bookmarkStart w:id="160" w:name="_Hlk82616964"/>
      <w:r>
        <w:rPr>
          <w:rFonts w:hint="eastAsia" w:ascii="仿宋_GB2312" w:hAnsi="宋体" w:eastAsia="仿宋_GB2312" w:cs="宋体"/>
          <w:bCs/>
          <w:kern w:val="0"/>
          <w:sz w:val="32"/>
          <w:szCs w:val="32"/>
          <w:lang w:val="zh-CN"/>
        </w:rPr>
        <w:t>茂财社〔20</w:t>
      </w:r>
      <w:r>
        <w:rPr>
          <w:rFonts w:ascii="仿宋_GB2312" w:hAnsi="宋体" w:eastAsia="仿宋_GB2312" w:cs="宋体"/>
          <w:bCs/>
          <w:kern w:val="0"/>
          <w:sz w:val="32"/>
          <w:szCs w:val="32"/>
          <w:lang w:val="zh-CN"/>
        </w:rPr>
        <w:t>10</w:t>
      </w:r>
      <w:r>
        <w:rPr>
          <w:rFonts w:hint="eastAsia" w:ascii="仿宋_GB2312" w:hAnsi="宋体" w:eastAsia="仿宋_GB2312" w:cs="宋体"/>
          <w:bCs/>
          <w:kern w:val="0"/>
          <w:sz w:val="32"/>
          <w:szCs w:val="32"/>
          <w:lang w:val="zh-CN"/>
        </w:rPr>
        <w:t>〕</w:t>
      </w:r>
      <w:r>
        <w:rPr>
          <w:rFonts w:ascii="仿宋_GB2312" w:hAnsi="宋体" w:eastAsia="仿宋_GB2312" w:cs="宋体"/>
          <w:bCs/>
          <w:kern w:val="0"/>
          <w:sz w:val="32"/>
          <w:szCs w:val="32"/>
          <w:lang w:val="zh-CN"/>
        </w:rPr>
        <w:t>42</w:t>
      </w:r>
      <w:r>
        <w:rPr>
          <w:rFonts w:hint="eastAsia" w:ascii="仿宋_GB2312" w:hAnsi="宋体" w:eastAsia="仿宋_GB2312" w:cs="宋体"/>
          <w:bCs/>
          <w:kern w:val="0"/>
          <w:sz w:val="32"/>
          <w:szCs w:val="32"/>
          <w:lang w:val="zh-CN"/>
        </w:rPr>
        <w:t>号</w:t>
      </w:r>
      <w:bookmarkEnd w:id="160"/>
      <w:r>
        <w:rPr>
          <w:rFonts w:hint="eastAsia" w:ascii="仿宋_GB2312" w:hAnsi="宋体" w:eastAsia="仿宋_GB2312" w:cs="宋体"/>
          <w:bCs/>
          <w:kern w:val="0"/>
          <w:sz w:val="32"/>
          <w:szCs w:val="32"/>
          <w:lang w:val="zh-CN"/>
        </w:rPr>
        <w:t>、《财政局关于下达20</w:t>
      </w:r>
      <w:r>
        <w:rPr>
          <w:rFonts w:ascii="仿宋_GB2312" w:hAnsi="宋体" w:eastAsia="仿宋_GB2312" w:cs="宋体"/>
          <w:bCs/>
          <w:kern w:val="0"/>
          <w:sz w:val="32"/>
          <w:szCs w:val="32"/>
          <w:lang w:val="zh-CN"/>
        </w:rPr>
        <w:t>19</w:t>
      </w:r>
      <w:r>
        <w:rPr>
          <w:rFonts w:hint="eastAsia" w:ascii="仿宋_GB2312" w:hAnsi="宋体" w:eastAsia="仿宋_GB2312" w:cs="宋体"/>
          <w:bCs/>
          <w:kern w:val="0"/>
          <w:sz w:val="32"/>
          <w:szCs w:val="32"/>
          <w:lang w:val="zh-CN"/>
        </w:rPr>
        <w:t>年中央</w:t>
      </w:r>
      <w:bookmarkStart w:id="161" w:name="_Hlk82617048"/>
      <w:r>
        <w:rPr>
          <w:rFonts w:hint="eastAsia" w:ascii="仿宋_GB2312" w:hAnsi="宋体" w:eastAsia="仿宋_GB2312" w:cs="宋体"/>
          <w:bCs/>
          <w:kern w:val="0"/>
          <w:sz w:val="32"/>
          <w:szCs w:val="32"/>
          <w:lang w:val="zh-CN"/>
        </w:rPr>
        <w:t>退役安置补助资金</w:t>
      </w:r>
      <w:bookmarkEnd w:id="161"/>
      <w:r>
        <w:rPr>
          <w:rFonts w:hint="eastAsia" w:ascii="仿宋_GB2312" w:hAnsi="宋体" w:eastAsia="仿宋_GB2312" w:cs="宋体"/>
          <w:bCs/>
          <w:kern w:val="0"/>
          <w:sz w:val="32"/>
          <w:szCs w:val="32"/>
          <w:lang w:val="zh-CN"/>
        </w:rPr>
        <w:t>的通知》茂财社〔20</w:t>
      </w:r>
      <w:r>
        <w:rPr>
          <w:rFonts w:ascii="仿宋_GB2312" w:hAnsi="宋体" w:eastAsia="仿宋_GB2312" w:cs="宋体"/>
          <w:bCs/>
          <w:kern w:val="0"/>
          <w:sz w:val="32"/>
          <w:szCs w:val="32"/>
          <w:lang w:val="zh-CN"/>
        </w:rPr>
        <w:t>10</w:t>
      </w:r>
      <w:r>
        <w:rPr>
          <w:rFonts w:hint="eastAsia" w:ascii="仿宋_GB2312" w:hAnsi="宋体" w:eastAsia="仿宋_GB2312" w:cs="宋体"/>
          <w:bCs/>
          <w:kern w:val="0"/>
          <w:sz w:val="32"/>
          <w:szCs w:val="32"/>
          <w:lang w:val="zh-CN"/>
        </w:rPr>
        <w:t>〕</w:t>
      </w:r>
      <w:r>
        <w:rPr>
          <w:rFonts w:ascii="仿宋_GB2312" w:hAnsi="宋体" w:eastAsia="仿宋_GB2312" w:cs="宋体"/>
          <w:bCs/>
          <w:kern w:val="0"/>
          <w:sz w:val="32"/>
          <w:szCs w:val="32"/>
          <w:lang w:val="zh-CN"/>
        </w:rPr>
        <w:t>10</w:t>
      </w:r>
      <w:r>
        <w:rPr>
          <w:rFonts w:hint="eastAsia" w:ascii="仿宋_GB2312" w:hAnsi="宋体" w:eastAsia="仿宋_GB2312" w:cs="宋体"/>
          <w:bCs/>
          <w:kern w:val="0"/>
          <w:sz w:val="32"/>
          <w:szCs w:val="32"/>
          <w:lang w:val="zh-CN"/>
        </w:rPr>
        <w:t>号文件，下拨资金共计</w:t>
      </w:r>
      <w:r>
        <w:rPr>
          <w:rFonts w:ascii="仿宋_GB2312" w:hAnsi="宋体" w:eastAsia="仿宋_GB2312" w:cs="宋体"/>
          <w:bCs/>
          <w:kern w:val="0"/>
          <w:sz w:val="32"/>
          <w:szCs w:val="32"/>
          <w:lang w:val="zh-CN"/>
        </w:rPr>
        <w:t>89</w:t>
      </w:r>
      <w:r>
        <w:rPr>
          <w:rFonts w:hint="eastAsia" w:ascii="仿宋_GB2312" w:hAnsi="宋体" w:eastAsia="仿宋_GB2312" w:cs="宋体"/>
          <w:bCs/>
          <w:kern w:val="0"/>
          <w:sz w:val="32"/>
          <w:szCs w:val="32"/>
          <w:lang w:val="zh-CN"/>
        </w:rPr>
        <w:t>万元，</w:t>
      </w:r>
      <w:r>
        <w:rPr>
          <w:rFonts w:hint="eastAsia" w:ascii="仿宋_GB2312" w:hAnsi="华文仿宋" w:eastAsia="仿宋_GB2312" w:cs="华文仿宋"/>
          <w:bCs/>
          <w:kern w:val="0"/>
          <w:sz w:val="32"/>
          <w:szCs w:val="32"/>
          <w:lang w:val="zh-CN"/>
        </w:rPr>
        <w:t>经费全额来源于上级拨付。</w:t>
      </w:r>
    </w:p>
    <w:p>
      <w:pPr>
        <w:adjustRightInd w:val="0"/>
        <w:snapToGrid w:val="0"/>
        <w:spacing w:line="360" w:lineRule="auto"/>
        <w:ind w:firstLine="359" w:firstLineChars="112"/>
        <w:rPr>
          <w:rFonts w:ascii="仿宋_GB2312" w:hAnsi="宋体" w:eastAsia="仿宋_GB2312"/>
          <w:b/>
          <w:bCs/>
          <w:sz w:val="32"/>
          <w:szCs w:val="32"/>
          <w:lang w:val="zh-CN"/>
        </w:rPr>
      </w:pPr>
      <w:r>
        <w:rPr>
          <w:rFonts w:hint="eastAsia" w:ascii="仿宋_GB2312" w:hAnsi="宋体" w:eastAsia="仿宋_GB2312"/>
          <w:b/>
          <w:bCs/>
          <w:sz w:val="32"/>
          <w:szCs w:val="32"/>
          <w:lang w:val="zh-CN"/>
        </w:rPr>
        <w:t>（二）资金计划、到位及使用情况</w:t>
      </w:r>
    </w:p>
    <w:p>
      <w:pPr>
        <w:adjustRightInd w:val="0"/>
        <w:snapToGrid w:val="0"/>
        <w:spacing w:line="360" w:lineRule="auto"/>
        <w:ind w:firstLine="640" w:firstLineChars="200"/>
        <w:rPr>
          <w:rFonts w:ascii="仿宋_GB2312" w:hAnsi="宋体" w:eastAsia="仿宋_GB2312"/>
          <w:b/>
          <w:bCs/>
          <w:sz w:val="32"/>
          <w:szCs w:val="32"/>
          <w:lang w:val="zh-CN"/>
        </w:rPr>
      </w:pPr>
      <w:r>
        <w:rPr>
          <w:rFonts w:hint="eastAsia" w:ascii="仿宋_GB2312" w:hAnsi="宋体" w:eastAsia="仿宋_GB2312"/>
          <w:sz w:val="32"/>
          <w:szCs w:val="32"/>
          <w:lang w:val="zh-CN"/>
        </w:rPr>
        <w:t>1、资金计划及到位</w:t>
      </w:r>
    </w:p>
    <w:p>
      <w:pPr>
        <w:adjustRightInd w:val="0"/>
        <w:snapToGrid w:val="0"/>
        <w:spacing w:line="360" w:lineRule="auto"/>
        <w:ind w:firstLine="640" w:firstLineChars="200"/>
        <w:rPr>
          <w:rFonts w:ascii="仿宋_GB2312" w:hAnsi="宋体" w:eastAsia="仿宋_GB2312"/>
          <w:sz w:val="32"/>
          <w:szCs w:val="32"/>
          <w:lang w:val="zh-CN"/>
        </w:rPr>
      </w:pPr>
      <w:r>
        <w:rPr>
          <w:rFonts w:hint="eastAsia" w:ascii="仿宋_GB2312" w:hAnsi="宋体" w:eastAsia="仿宋_GB2312"/>
          <w:sz w:val="32"/>
          <w:szCs w:val="32"/>
          <w:lang w:val="zh-CN"/>
        </w:rPr>
        <w:t>2020年财政共拨付</w:t>
      </w:r>
      <w:r>
        <w:rPr>
          <w:rFonts w:hint="eastAsia" w:ascii="仿宋_GB2312" w:hAnsi="宋体" w:eastAsia="仿宋_GB2312" w:cs="宋体"/>
          <w:bCs/>
          <w:kern w:val="0"/>
          <w:sz w:val="32"/>
          <w:szCs w:val="32"/>
          <w:lang w:val="zh-CN"/>
        </w:rPr>
        <w:t>退役安置</w:t>
      </w:r>
      <w:r>
        <w:rPr>
          <w:rFonts w:hint="eastAsia" w:ascii="仿宋_GB2312" w:hAnsi="宋体" w:eastAsia="仿宋_GB2312"/>
          <w:sz w:val="32"/>
          <w:szCs w:val="32"/>
          <w:lang w:val="zh-CN"/>
        </w:rPr>
        <w:t>补助资金</w:t>
      </w:r>
      <w:r>
        <w:rPr>
          <w:rFonts w:ascii="仿宋_GB2312" w:hAnsi="宋体" w:eastAsia="仿宋_GB2312"/>
          <w:sz w:val="32"/>
          <w:szCs w:val="32"/>
        </w:rPr>
        <w:t>89</w:t>
      </w:r>
      <w:r>
        <w:rPr>
          <w:rFonts w:hint="eastAsia" w:ascii="仿宋_GB2312" w:hAnsi="宋体" w:eastAsia="仿宋_GB2312"/>
          <w:sz w:val="32"/>
          <w:szCs w:val="32"/>
        </w:rPr>
        <w:t>万元</w:t>
      </w:r>
      <w:r>
        <w:rPr>
          <w:rFonts w:hint="eastAsia" w:ascii="仿宋_GB2312" w:hAnsi="宋体" w:eastAsia="仿宋_GB2312"/>
          <w:sz w:val="32"/>
          <w:szCs w:val="32"/>
          <w:lang w:val="zh-CN"/>
        </w:rPr>
        <w:t>，</w:t>
      </w:r>
      <w:r>
        <w:rPr>
          <w:rFonts w:hint="eastAsia" w:ascii="仿宋_GB2312" w:hAnsi="宋体" w:eastAsia="仿宋_GB2312"/>
          <w:sz w:val="32"/>
          <w:szCs w:val="32"/>
        </w:rPr>
        <w:t>资金</w:t>
      </w:r>
      <w:r>
        <w:rPr>
          <w:rFonts w:hint="eastAsia" w:ascii="仿宋_GB2312" w:hAnsi="宋体" w:eastAsia="仿宋_GB2312"/>
          <w:sz w:val="32"/>
          <w:szCs w:val="32"/>
          <w:lang w:val="zh-CN"/>
        </w:rPr>
        <w:t>到位率100%。</w:t>
      </w:r>
    </w:p>
    <w:p>
      <w:pPr>
        <w:adjustRightInd w:val="0"/>
        <w:snapToGrid w:val="0"/>
        <w:spacing w:line="360" w:lineRule="auto"/>
        <w:ind w:firstLine="640" w:firstLineChars="200"/>
        <w:rPr>
          <w:rFonts w:ascii="仿宋_GB2312" w:hAnsi="宋体" w:eastAsia="仿宋_GB2312"/>
          <w:sz w:val="32"/>
          <w:szCs w:val="32"/>
          <w:lang w:val="zh-CN"/>
        </w:rPr>
      </w:pPr>
      <w:r>
        <w:rPr>
          <w:rFonts w:hint="eastAsia" w:ascii="仿宋_GB2312" w:hAnsi="宋体" w:eastAsia="仿宋_GB2312"/>
          <w:sz w:val="32"/>
          <w:szCs w:val="32"/>
          <w:lang w:val="zh-CN"/>
        </w:rPr>
        <w:t>2、资金使用</w:t>
      </w:r>
    </w:p>
    <w:p>
      <w:pPr>
        <w:adjustRightInd w:val="0"/>
        <w:snapToGrid w:val="0"/>
        <w:spacing w:line="360" w:lineRule="auto"/>
        <w:ind w:firstLine="640" w:firstLineChars="200"/>
        <w:rPr>
          <w:rFonts w:ascii="仿宋_GB2312" w:hAnsi="宋体" w:eastAsia="仿宋_GB2312"/>
          <w:sz w:val="32"/>
          <w:szCs w:val="32"/>
          <w:lang w:val="zh-CN"/>
        </w:rPr>
      </w:pPr>
      <w:r>
        <w:rPr>
          <w:rFonts w:hint="eastAsia" w:ascii="仿宋_GB2312" w:hAnsi="宋体" w:eastAsia="仿宋_GB2312"/>
          <w:sz w:val="32"/>
          <w:szCs w:val="32"/>
          <w:lang w:val="zh-CN"/>
        </w:rPr>
        <w:t>按资金性质及时申报，在金财大平台上申请资金。2020年共支付优抚对象医疗补助资金</w:t>
      </w:r>
      <w:r>
        <w:rPr>
          <w:rFonts w:ascii="仿宋_GB2312" w:hAnsi="宋体" w:eastAsia="仿宋_GB2312"/>
          <w:sz w:val="32"/>
          <w:szCs w:val="32"/>
        </w:rPr>
        <w:t>81.12</w:t>
      </w:r>
      <w:r>
        <w:rPr>
          <w:rFonts w:hint="eastAsia" w:ascii="仿宋_GB2312" w:hAnsi="宋体" w:eastAsia="仿宋_GB2312"/>
          <w:sz w:val="32"/>
          <w:szCs w:val="32"/>
        </w:rPr>
        <w:t>万</w:t>
      </w:r>
      <w:r>
        <w:rPr>
          <w:rFonts w:hint="eastAsia" w:ascii="仿宋_GB2312" w:hAnsi="宋体" w:eastAsia="仿宋_GB2312"/>
          <w:sz w:val="32"/>
          <w:szCs w:val="32"/>
          <w:lang w:val="zh-CN"/>
        </w:rPr>
        <w:t>元。</w:t>
      </w:r>
    </w:p>
    <w:p>
      <w:pPr>
        <w:adjustRightInd w:val="0"/>
        <w:snapToGrid w:val="0"/>
        <w:spacing w:line="360" w:lineRule="auto"/>
        <w:ind w:firstLine="640" w:firstLineChars="200"/>
        <w:rPr>
          <w:rFonts w:ascii="仿宋_GB2312" w:hAnsi="宋体" w:eastAsia="仿宋_GB2312"/>
          <w:sz w:val="32"/>
          <w:szCs w:val="32"/>
          <w:lang w:val="zh-CN"/>
        </w:rPr>
      </w:pPr>
      <w:r>
        <w:rPr>
          <w:rFonts w:hint="eastAsia" w:ascii="仿宋_GB2312" w:hAnsi="宋体" w:eastAsia="仿宋_GB2312"/>
          <w:sz w:val="32"/>
          <w:szCs w:val="32"/>
          <w:lang w:val="zh-CN"/>
        </w:rPr>
        <w:t>（三）项目财务管理情况</w:t>
      </w:r>
    </w:p>
    <w:p>
      <w:pPr>
        <w:adjustRightInd w:val="0"/>
        <w:snapToGrid w:val="0"/>
        <w:spacing w:line="360" w:lineRule="auto"/>
        <w:ind w:firstLine="640" w:firstLineChars="200"/>
        <w:rPr>
          <w:rFonts w:ascii="仿宋_GB2312" w:hAnsi="宋体" w:eastAsia="仿宋_GB2312"/>
          <w:sz w:val="32"/>
          <w:szCs w:val="32"/>
          <w:lang w:val="zh-CN"/>
        </w:rPr>
      </w:pPr>
      <w:r>
        <w:rPr>
          <w:rFonts w:hint="eastAsia" w:ascii="仿宋_GB2312" w:hAnsi="宋体" w:eastAsia="仿宋_GB2312"/>
          <w:sz w:val="32"/>
          <w:szCs w:val="32"/>
          <w:lang w:val="zh-CN"/>
        </w:rPr>
        <w:t>项目实行专账专管，对资金的会计核算及账务处理做到及时性、规范性和准确性。在资金的管理工作中做到不截留、不挤占、不挪用。</w:t>
      </w: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三、项目实施及管理情况</w:t>
      </w:r>
    </w:p>
    <w:p>
      <w:pPr>
        <w:adjustRightInd w:val="0"/>
        <w:snapToGrid w:val="0"/>
        <w:spacing w:line="576"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（一）项目组织情况</w:t>
      </w:r>
    </w:p>
    <w:p>
      <w:pPr>
        <w:adjustRightInd w:val="0"/>
        <w:snapToGrid w:val="0"/>
        <w:spacing w:line="576" w:lineRule="exact"/>
        <w:ind w:firstLine="640" w:firstLineChars="200"/>
        <w:rPr>
          <w:rFonts w:ascii="仿宋_GB2312" w:hAnsi="宋体" w:eastAsia="仿宋_GB2312"/>
          <w:sz w:val="32"/>
          <w:szCs w:val="32"/>
          <w:lang w:val="zh-CN"/>
        </w:rPr>
      </w:pPr>
      <w:r>
        <w:rPr>
          <w:rFonts w:hint="eastAsia" w:ascii="仿宋_GB2312" w:hAnsi="宋体" w:eastAsia="仿宋_GB2312"/>
          <w:sz w:val="32"/>
          <w:szCs w:val="32"/>
          <w:lang w:val="zh-CN"/>
        </w:rPr>
        <w:t>退役安置补助工作组织机构健全、职责分工明确。由茂县退役军人服务中心具体推进项目的落实。</w:t>
      </w:r>
    </w:p>
    <w:p>
      <w:pPr>
        <w:spacing w:line="578" w:lineRule="exact"/>
        <w:ind w:firstLine="640" w:firstLineChars="200"/>
        <w:outlineLvl w:val="0"/>
        <w:rPr>
          <w:rFonts w:ascii="仿宋_GB2312" w:hAnsi="楷体" w:eastAsia="仿宋_GB2312" w:cs="楷体"/>
          <w:bCs/>
          <w:color w:val="000000"/>
          <w:sz w:val="32"/>
          <w:szCs w:val="32"/>
        </w:rPr>
      </w:pPr>
      <w:r>
        <w:rPr>
          <w:rFonts w:hint="eastAsia" w:ascii="仿宋_GB2312" w:hAnsi="楷体" w:eastAsia="仿宋_GB2312" w:cs="楷体"/>
          <w:bCs/>
          <w:color w:val="000000"/>
          <w:sz w:val="32"/>
          <w:szCs w:val="32"/>
        </w:rPr>
        <w:t>（二）项目管理情况</w:t>
      </w:r>
    </w:p>
    <w:p>
      <w:pPr>
        <w:spacing w:line="578" w:lineRule="exact"/>
        <w:ind w:firstLine="640" w:firstLineChars="200"/>
        <w:outlineLvl w:val="0"/>
        <w:rPr>
          <w:rFonts w:ascii="仿宋_GB2312" w:hAnsi="仿宋_GB2312" w:eastAsia="仿宋_GB2312" w:cs="仿宋_GB2312"/>
          <w:sz w:val="32"/>
          <w:szCs w:val="32"/>
        </w:rPr>
      </w:pPr>
      <w:r>
        <w:rPr>
          <w:rFonts w:hint="eastAsia" w:ascii="仿宋_GB2312" w:hAnsi="仿宋_GB2312" w:eastAsia="仿宋_GB2312" w:cs="仿宋_GB2312"/>
          <w:sz w:val="32"/>
          <w:szCs w:val="32"/>
        </w:rPr>
        <w:t>退役安置补助资金管理严格按《</w:t>
      </w:r>
      <w:r>
        <w:rPr>
          <w:rFonts w:hint="eastAsia" w:ascii="仿宋_GB2312" w:hAnsi="宋体" w:eastAsia="仿宋_GB2312" w:cs="宋体"/>
          <w:color w:val="000000"/>
          <w:kern w:val="0"/>
          <w:sz w:val="32"/>
          <w:szCs w:val="32"/>
        </w:rPr>
        <w:t>四川省军队离退休干部服务管理办法</w:t>
      </w:r>
      <w:r>
        <w:rPr>
          <w:rFonts w:hint="eastAsia" w:ascii="仿宋_GB2312" w:hAnsi="仿宋_GB2312" w:eastAsia="仿宋_GB2312" w:cs="仿宋_GB2312"/>
          <w:sz w:val="32"/>
          <w:szCs w:val="32"/>
        </w:rPr>
        <w:t>》执行,确保补助项目的规范有序实施,同时发放审批档案资料齐全、完整、规范。</w:t>
      </w:r>
    </w:p>
    <w:p>
      <w:pPr>
        <w:spacing w:line="578" w:lineRule="exact"/>
        <w:ind w:firstLine="640" w:firstLineChars="200"/>
        <w:outlineLvl w:val="0"/>
        <w:rPr>
          <w:rFonts w:ascii="仿宋_GB2312" w:hAnsi="仿宋_GB2312" w:eastAsia="仿宋_GB2312" w:cs="仿宋_GB2312"/>
          <w:sz w:val="32"/>
          <w:szCs w:val="32"/>
        </w:rPr>
      </w:pPr>
      <w:r>
        <w:rPr>
          <w:rFonts w:hint="eastAsia" w:ascii="仿宋_GB2312" w:hAnsi="仿宋_GB2312" w:eastAsia="仿宋_GB2312" w:cs="仿宋_GB2312"/>
          <w:sz w:val="32"/>
          <w:szCs w:val="32"/>
        </w:rPr>
        <w:t>（三）项目监管情况</w:t>
      </w:r>
    </w:p>
    <w:p>
      <w:pPr>
        <w:spacing w:line="578" w:lineRule="exact"/>
        <w:ind w:firstLine="640" w:firstLineChars="200"/>
        <w:outlineLvl w:val="0"/>
        <w:rPr>
          <w:rFonts w:ascii="仿宋_GB2312" w:hAnsi="仿宋_GB2312" w:eastAsia="仿宋_GB2312" w:cs="仿宋_GB2312"/>
          <w:sz w:val="32"/>
          <w:szCs w:val="32"/>
        </w:rPr>
      </w:pPr>
      <w:r>
        <w:rPr>
          <w:rFonts w:hint="eastAsia" w:ascii="仿宋_GB2312" w:hAnsi="仿宋_GB2312" w:eastAsia="仿宋_GB2312" w:cs="仿宋_GB2312"/>
          <w:sz w:val="32"/>
          <w:szCs w:val="32"/>
        </w:rPr>
        <w:t>我局内审机构定期对发放情况进行检查，不重报</w:t>
      </w:r>
    </w:p>
    <w:p>
      <w:pPr>
        <w:spacing w:line="578" w:lineRule="exact"/>
        <w:outlineLvl w:val="0"/>
        <w:rPr>
          <w:rFonts w:ascii="仿宋_GB2312" w:hAnsi="仿宋_GB2312" w:eastAsia="仿宋_GB2312" w:cs="仿宋_GB2312"/>
          <w:bCs/>
          <w:color w:val="000000"/>
          <w:sz w:val="32"/>
          <w:szCs w:val="32"/>
        </w:rPr>
      </w:pPr>
      <w:r>
        <w:rPr>
          <w:rFonts w:hint="eastAsia" w:ascii="仿宋_GB2312" w:hAnsi="仿宋_GB2312" w:eastAsia="仿宋_GB2312" w:cs="仿宋_GB2312"/>
          <w:sz w:val="32"/>
          <w:szCs w:val="32"/>
        </w:rPr>
        <w:t>不漏报、不乱报，做到发放有依有据。</w:t>
      </w:r>
    </w:p>
    <w:p>
      <w:pPr>
        <w:adjustRightInd w:val="0"/>
        <w:snapToGrid w:val="0"/>
        <w:spacing w:line="600" w:lineRule="exact"/>
        <w:ind w:firstLine="720"/>
        <w:rPr>
          <w:rFonts w:ascii="仿宋_GB2312" w:hAnsi="宋体" w:eastAsia="仿宋_GB2312"/>
          <w:sz w:val="32"/>
          <w:szCs w:val="32"/>
          <w:lang w:val="zh-CN"/>
        </w:rPr>
      </w:pPr>
      <w:r>
        <w:rPr>
          <w:rFonts w:hint="eastAsia" w:ascii="黑体" w:hAnsi="宋体" w:eastAsia="黑体"/>
          <w:sz w:val="32"/>
          <w:szCs w:val="32"/>
        </w:rPr>
        <w:t>四、项目绩效情况</w:t>
      </w:r>
      <w:r>
        <w:rPr>
          <w:rFonts w:ascii="仿宋_GB2312" w:hAnsi="宋体" w:eastAsia="仿宋_GB2312"/>
          <w:sz w:val="32"/>
          <w:szCs w:val="32"/>
          <w:lang w:val="zh-CN"/>
        </w:rPr>
        <w:tab/>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（一）项目完成情况</w:t>
      </w:r>
    </w:p>
    <w:p>
      <w:pPr>
        <w:widowControl/>
        <w:shd w:val="clear" w:color="auto" w:fill="FFFFFF"/>
        <w:spacing w:line="600" w:lineRule="atLeast"/>
        <w:ind w:firstLine="480"/>
        <w:jc w:val="left"/>
        <w:rPr>
          <w:rFonts w:hint="eastAsia" w:ascii="仿宋_GB2312" w:hAnsi="Micsoft-Yahei" w:eastAsia="仿宋_GB2312" w:cs="宋体"/>
          <w:color w:val="000000"/>
          <w:kern w:val="0"/>
          <w:sz w:val="32"/>
          <w:szCs w:val="32"/>
        </w:rPr>
      </w:pPr>
      <w:r>
        <w:rPr>
          <w:rFonts w:hint="eastAsia" w:ascii="仿宋_GB2312" w:hAnsi="宋体" w:eastAsia="仿宋_GB2312" w:cs="宋体"/>
          <w:color w:val="000000"/>
          <w:kern w:val="0"/>
          <w:sz w:val="32"/>
          <w:szCs w:val="32"/>
        </w:rPr>
        <w:t>1</w:t>
      </w:r>
      <w:r>
        <w:rPr>
          <w:rFonts w:ascii="仿宋_GB2312" w:hAnsi="宋体" w:eastAsia="仿宋_GB2312" w:cs="宋体"/>
          <w:color w:val="000000"/>
          <w:kern w:val="0"/>
          <w:sz w:val="32"/>
          <w:szCs w:val="32"/>
        </w:rPr>
        <w:t>.</w:t>
      </w:r>
      <w:r>
        <w:rPr>
          <w:rFonts w:hint="eastAsia" w:ascii="仿宋_GB2312" w:hAnsi="宋体" w:eastAsia="仿宋_GB2312" w:cs="宋体"/>
          <w:color w:val="000000"/>
          <w:kern w:val="0"/>
          <w:sz w:val="32"/>
          <w:szCs w:val="32"/>
        </w:rPr>
        <w:t>数量指标。20</w:t>
      </w:r>
      <w:r>
        <w:rPr>
          <w:rFonts w:ascii="仿宋_GB2312" w:hAnsi="宋体" w:eastAsia="仿宋_GB2312" w:cs="宋体"/>
          <w:color w:val="000000"/>
          <w:kern w:val="0"/>
          <w:sz w:val="32"/>
          <w:szCs w:val="32"/>
        </w:rPr>
        <w:t>20</w:t>
      </w:r>
      <w:r>
        <w:rPr>
          <w:rFonts w:hint="eastAsia" w:ascii="仿宋_GB2312" w:hAnsi="宋体" w:eastAsia="仿宋_GB2312" w:cs="宋体"/>
          <w:color w:val="000000"/>
          <w:kern w:val="0"/>
          <w:sz w:val="32"/>
          <w:szCs w:val="32"/>
        </w:rPr>
        <w:t>年发放离退休人员补助6</w:t>
      </w:r>
      <w:r>
        <w:rPr>
          <w:rFonts w:ascii="仿宋_GB2312" w:hAnsi="宋体" w:eastAsia="仿宋_GB2312" w:cs="宋体"/>
          <w:color w:val="000000"/>
          <w:kern w:val="0"/>
          <w:sz w:val="32"/>
          <w:szCs w:val="32"/>
        </w:rPr>
        <w:t>0</w:t>
      </w:r>
      <w:r>
        <w:rPr>
          <w:rFonts w:hint="eastAsia" w:ascii="仿宋_GB2312" w:hAnsi="宋体" w:eastAsia="仿宋_GB2312" w:cs="宋体"/>
          <w:color w:val="000000"/>
          <w:kern w:val="0"/>
          <w:sz w:val="32"/>
          <w:szCs w:val="32"/>
        </w:rPr>
        <w:t>人次，达到了预期目标，完成率100%。</w:t>
      </w:r>
    </w:p>
    <w:p>
      <w:pPr>
        <w:widowControl/>
        <w:shd w:val="clear" w:color="auto" w:fill="FFFFFF"/>
        <w:spacing w:line="600" w:lineRule="atLeast"/>
        <w:ind w:firstLine="480"/>
        <w:jc w:val="left"/>
        <w:rPr>
          <w:rFonts w:hint="eastAsia" w:ascii="仿宋_GB2312" w:hAnsi="Micsoft-Yahei" w:eastAsia="仿宋_GB2312" w:cs="宋体"/>
          <w:color w:val="000000"/>
          <w:kern w:val="0"/>
          <w:sz w:val="32"/>
          <w:szCs w:val="32"/>
        </w:rPr>
      </w:pPr>
      <w:r>
        <w:rPr>
          <w:rFonts w:hint="eastAsia" w:ascii="仿宋_GB2312" w:hAnsi="宋体" w:eastAsia="仿宋_GB2312" w:cs="宋体"/>
          <w:color w:val="000000"/>
          <w:kern w:val="0"/>
          <w:sz w:val="32"/>
          <w:szCs w:val="32"/>
        </w:rPr>
        <w:t>2</w:t>
      </w:r>
      <w:r>
        <w:rPr>
          <w:rFonts w:ascii="仿宋_GB2312" w:hAnsi="宋体" w:eastAsia="仿宋_GB2312" w:cs="宋体"/>
          <w:color w:val="000000"/>
          <w:kern w:val="0"/>
          <w:sz w:val="32"/>
          <w:szCs w:val="32"/>
        </w:rPr>
        <w:t>.</w:t>
      </w:r>
      <w:r>
        <w:rPr>
          <w:rFonts w:hint="eastAsia" w:ascii="仿宋_GB2312" w:hAnsi="宋体" w:eastAsia="仿宋_GB2312" w:cs="宋体"/>
          <w:color w:val="000000"/>
          <w:kern w:val="0"/>
          <w:sz w:val="32"/>
          <w:szCs w:val="32"/>
        </w:rPr>
        <w:t>质量指标。2020年，确保按规定标准兑现离退休人员补助待遇。经费符合相关政策规定比率达到100%。</w:t>
      </w:r>
    </w:p>
    <w:p>
      <w:pPr>
        <w:widowControl/>
        <w:shd w:val="clear" w:color="auto" w:fill="FFFFFF"/>
        <w:spacing w:line="600" w:lineRule="atLeast"/>
        <w:ind w:firstLine="48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3</w:t>
      </w:r>
      <w:r>
        <w:rPr>
          <w:rFonts w:ascii="仿宋_GB2312" w:hAnsi="宋体" w:eastAsia="仿宋_GB2312" w:cs="宋体"/>
          <w:color w:val="000000"/>
          <w:kern w:val="0"/>
          <w:sz w:val="32"/>
          <w:szCs w:val="32"/>
        </w:rPr>
        <w:t>.</w:t>
      </w:r>
      <w:r>
        <w:rPr>
          <w:rFonts w:hint="eastAsia" w:ascii="仿宋_GB2312" w:hAnsi="宋体" w:eastAsia="仿宋_GB2312" w:cs="宋体"/>
          <w:color w:val="000000"/>
          <w:kern w:val="0"/>
          <w:sz w:val="32"/>
          <w:szCs w:val="32"/>
        </w:rPr>
        <w:t>时效指标。按月及时发放。</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（二）项目效益情况</w:t>
      </w:r>
    </w:p>
    <w:p>
      <w:pPr>
        <w:widowControl/>
        <w:shd w:val="clear" w:color="auto" w:fill="FFFFFF"/>
        <w:spacing w:line="600" w:lineRule="atLeast"/>
        <w:ind w:firstLine="480"/>
        <w:jc w:val="left"/>
        <w:rPr>
          <w:rFonts w:hint="eastAsia" w:ascii="仿宋_GB2312" w:hAnsi="Micsoft-Yahei" w:eastAsia="仿宋_GB2312" w:cs="宋体"/>
          <w:color w:val="000000"/>
          <w:kern w:val="0"/>
          <w:sz w:val="32"/>
          <w:szCs w:val="32"/>
        </w:rPr>
      </w:pPr>
      <w:r>
        <w:rPr>
          <w:rFonts w:ascii="仿宋_GB2312" w:hAnsi="宋体" w:eastAsia="仿宋_GB2312" w:cs="宋体"/>
          <w:color w:val="000000"/>
          <w:kern w:val="0"/>
          <w:sz w:val="32"/>
          <w:szCs w:val="32"/>
        </w:rPr>
        <w:t>1.</w:t>
      </w:r>
      <w:r>
        <w:rPr>
          <w:rFonts w:hint="eastAsia" w:ascii="仿宋_GB2312" w:hAnsi="宋体" w:eastAsia="仿宋_GB2312" w:cs="宋体"/>
          <w:color w:val="000000"/>
          <w:kern w:val="0"/>
          <w:sz w:val="32"/>
          <w:szCs w:val="32"/>
        </w:rPr>
        <w:t>效益指标完成情况分析</w:t>
      </w:r>
    </w:p>
    <w:p>
      <w:pPr>
        <w:widowControl/>
        <w:wordWrap w:val="0"/>
        <w:snapToGrid w:val="0"/>
        <w:spacing w:line="560" w:lineRule="exact"/>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通过退役安置补助资金的发放，进一步促进了军队的稳定。通过发放生活补助使军队离退休干部、军队无军籍退休退职职工更清楚地感受到了党和政府关心关怀，同时，充分发挥了退役军人工作工作在保障和改善民生、解决社会问题、化解社会矛盾、促进社会和谐方面的重要作用。</w:t>
      </w:r>
    </w:p>
    <w:p>
      <w:pPr>
        <w:widowControl/>
        <w:shd w:val="clear" w:color="auto" w:fill="FFFFFF"/>
        <w:spacing w:line="600" w:lineRule="atLeast"/>
        <w:ind w:firstLine="480"/>
        <w:jc w:val="left"/>
        <w:rPr>
          <w:rFonts w:hint="eastAsia" w:ascii="仿宋_GB2312" w:hAnsi="Micsoft-Yahei" w:eastAsia="仿宋_GB2312" w:cs="宋体"/>
          <w:color w:val="000000"/>
          <w:kern w:val="0"/>
          <w:sz w:val="32"/>
          <w:szCs w:val="32"/>
        </w:rPr>
      </w:pPr>
      <w:r>
        <w:rPr>
          <w:rFonts w:ascii="仿宋_GB2312" w:hAnsi="宋体" w:eastAsia="仿宋_GB2312" w:cs="宋体"/>
          <w:color w:val="000000"/>
          <w:kern w:val="0"/>
          <w:sz w:val="32"/>
          <w:szCs w:val="32"/>
        </w:rPr>
        <w:t>2.</w:t>
      </w:r>
      <w:r>
        <w:rPr>
          <w:rFonts w:hint="eastAsia" w:ascii="仿宋_GB2312" w:hAnsi="宋体" w:eastAsia="仿宋_GB2312" w:cs="宋体"/>
          <w:color w:val="000000"/>
          <w:kern w:val="0"/>
          <w:sz w:val="32"/>
          <w:szCs w:val="32"/>
        </w:rPr>
        <w:t>满意度指标完成情况分析</w:t>
      </w:r>
    </w:p>
    <w:p>
      <w:pPr>
        <w:widowControl/>
        <w:shd w:val="clear" w:color="auto" w:fill="FFFFFF"/>
        <w:spacing w:line="600" w:lineRule="atLeast"/>
        <w:ind w:firstLine="480"/>
        <w:jc w:val="left"/>
        <w:rPr>
          <w:rFonts w:hint="eastAsia" w:ascii="仿宋_GB2312" w:hAnsi="Micsoft-Yahei" w:eastAsia="仿宋_GB2312" w:cs="宋体"/>
          <w:color w:val="000000"/>
          <w:kern w:val="0"/>
          <w:sz w:val="32"/>
          <w:szCs w:val="32"/>
        </w:rPr>
      </w:pPr>
      <w:r>
        <w:rPr>
          <w:rFonts w:hint="eastAsia" w:ascii="仿宋_GB2312" w:hAnsi="宋体" w:eastAsia="仿宋_GB2312" w:cs="宋体"/>
          <w:color w:val="000000"/>
          <w:kern w:val="0"/>
          <w:sz w:val="32"/>
          <w:szCs w:val="32"/>
        </w:rPr>
        <w:t>离退休人员满意度较好，达到预期目标。</w:t>
      </w: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五、评价结论及建议</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（一）评价结论</w:t>
      </w:r>
    </w:p>
    <w:p>
      <w:pPr>
        <w:spacing w:line="578" w:lineRule="exact"/>
        <w:ind w:firstLine="640" w:firstLineChars="200"/>
        <w:outlineLvl w:val="0"/>
        <w:rPr>
          <w:rFonts w:ascii="仿宋" w:hAnsi="仿宋" w:eastAsia="仿宋"/>
          <w:color w:val="000000"/>
          <w:sz w:val="32"/>
          <w:szCs w:val="32"/>
          <w:shd w:val="clear" w:color="auto" w:fill="FFFFFF"/>
        </w:rPr>
      </w:pPr>
      <w:r>
        <w:rPr>
          <w:rFonts w:hint="eastAsia" w:ascii="仿宋" w:hAnsi="仿宋" w:eastAsia="仿宋"/>
          <w:color w:val="000000"/>
          <w:sz w:val="32"/>
          <w:szCs w:val="32"/>
          <w:shd w:val="clear" w:color="auto" w:fill="FFFFFF"/>
        </w:rPr>
        <w:t>根据项目执行情况和项目绩效情况，评价等次为优。</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（二）存在的问题</w:t>
      </w:r>
    </w:p>
    <w:p>
      <w:pPr>
        <w:widowControl/>
        <w:shd w:val="clear" w:color="auto" w:fill="FFFFFF"/>
        <w:spacing w:line="640" w:lineRule="atLeast"/>
        <w:ind w:firstLine="640"/>
        <w:jc w:val="left"/>
        <w:rPr>
          <w:rFonts w:ascii="微软雅黑" w:hAnsi="微软雅黑" w:eastAsia="微软雅黑" w:cs="宋体"/>
          <w:color w:val="000000"/>
          <w:kern w:val="0"/>
          <w:sz w:val="24"/>
        </w:rPr>
      </w:pPr>
      <w:r>
        <w:rPr>
          <w:rFonts w:hint="eastAsia" w:ascii="仿宋_GB2312" w:hAnsi="微软雅黑" w:eastAsia="仿宋_GB2312" w:cs="宋体"/>
          <w:color w:val="000000"/>
          <w:kern w:val="0"/>
          <w:sz w:val="32"/>
          <w:szCs w:val="32"/>
        </w:rPr>
        <w:t>由于离退休人员不了解我们发放的要求，临时更改自己的银行卡号，导致发放失败。</w:t>
      </w:r>
    </w:p>
    <w:p/>
    <w:p>
      <w:pPr>
        <w:spacing w:line="600" w:lineRule="exact"/>
        <w:outlineLvl w:val="0"/>
        <w:rPr>
          <w:rFonts w:ascii="黑体" w:hAnsi="黑体" w:eastAsia="黑体"/>
          <w:color w:val="000000"/>
          <w:sz w:val="44"/>
          <w:szCs w:val="44"/>
        </w:rPr>
      </w:pPr>
    </w:p>
    <w:p>
      <w:pPr>
        <w:spacing w:line="560" w:lineRule="exact"/>
        <w:jc w:val="center"/>
        <w:rPr>
          <w:rFonts w:ascii="方正小标宋简体" w:hAnsi="Arial" w:eastAsia="方正小标宋简体" w:cs="Arial"/>
          <w:b/>
          <w:sz w:val="44"/>
          <w:szCs w:val="44"/>
        </w:rPr>
      </w:pPr>
      <w:r>
        <w:rPr>
          <w:rFonts w:hint="eastAsia" w:ascii="方正小标宋简体" w:hAnsi="Arial" w:eastAsia="方正小标宋简体" w:cs="Arial"/>
          <w:b/>
          <w:sz w:val="44"/>
          <w:szCs w:val="44"/>
        </w:rPr>
        <w:t>茂县退役军人事务局</w:t>
      </w:r>
    </w:p>
    <w:p>
      <w:pPr>
        <w:spacing w:line="560" w:lineRule="exact"/>
        <w:jc w:val="center"/>
        <w:rPr>
          <w:rFonts w:ascii="方正小标宋简体" w:hAnsi="宋体" w:eastAsia="方正小标宋简体" w:cs="宋体"/>
          <w:b/>
          <w:sz w:val="44"/>
          <w:szCs w:val="44"/>
        </w:rPr>
      </w:pPr>
      <w:r>
        <w:rPr>
          <w:rFonts w:ascii="方正小标宋简体" w:hAnsi="Arial" w:eastAsia="方正小标宋简体" w:cs="Arial"/>
          <w:b/>
          <w:sz w:val="44"/>
          <w:szCs w:val="44"/>
        </w:rPr>
        <w:t>2020</w:t>
      </w:r>
      <w:r>
        <w:rPr>
          <w:rFonts w:hint="eastAsia" w:ascii="方正小标宋简体" w:hAnsi="宋体" w:eastAsia="方正小标宋简体" w:cs="宋体"/>
          <w:b/>
          <w:sz w:val="44"/>
          <w:szCs w:val="44"/>
        </w:rPr>
        <w:t>年度</w:t>
      </w:r>
      <w:r>
        <w:rPr>
          <w:rFonts w:hint="eastAsia" w:ascii="方正小标宋简体" w:hAnsi="Arial" w:eastAsia="方正小标宋简体" w:cs="Arial"/>
          <w:b/>
          <w:sz w:val="44"/>
          <w:szCs w:val="44"/>
        </w:rPr>
        <w:t>优抚对象死亡抚恤项目</w:t>
      </w:r>
      <w:r>
        <w:rPr>
          <w:rFonts w:hint="eastAsia" w:ascii="方正小标宋简体" w:hAnsi="宋体" w:eastAsia="方正小标宋简体" w:cs="宋体"/>
          <w:b/>
          <w:sz w:val="44"/>
          <w:szCs w:val="44"/>
        </w:rPr>
        <w:t>绩效报告</w:t>
      </w:r>
    </w:p>
    <w:p>
      <w:pPr>
        <w:widowControl/>
        <w:shd w:val="clear" w:color="auto" w:fill="FFFFFF"/>
        <w:spacing w:line="600" w:lineRule="atLeast"/>
        <w:ind w:firstLine="480"/>
        <w:jc w:val="left"/>
        <w:rPr>
          <w:rFonts w:ascii="宋体" w:hAnsi="宋体" w:cs="宋体"/>
          <w:b/>
          <w:bCs/>
          <w:color w:val="000000"/>
          <w:kern w:val="0"/>
          <w:sz w:val="32"/>
          <w:szCs w:val="32"/>
        </w:rPr>
      </w:pPr>
      <w:r>
        <w:rPr>
          <w:rFonts w:hint="eastAsia" w:ascii="宋体" w:hAnsi="宋体" w:cs="宋体"/>
          <w:b/>
          <w:bCs/>
          <w:color w:val="000000"/>
          <w:kern w:val="0"/>
          <w:sz w:val="32"/>
          <w:szCs w:val="32"/>
        </w:rPr>
        <w:t>一、项目概况</w:t>
      </w:r>
    </w:p>
    <w:p>
      <w:pPr>
        <w:keepNext w:val="0"/>
        <w:keepLines w:val="0"/>
        <w:pageBreakBefore w:val="0"/>
        <w:widowControl/>
        <w:shd w:val="clear" w:color="auto" w:fill="FFFFFF"/>
        <w:kinsoku/>
        <w:overflowPunct/>
        <w:topLinePunct w:val="0"/>
        <w:autoSpaceDE/>
        <w:autoSpaceDN/>
        <w:bidi w:val="0"/>
        <w:snapToGrid/>
        <w:spacing w:line="576" w:lineRule="exact"/>
        <w:ind w:firstLine="560"/>
        <w:jc w:val="left"/>
        <w:textAlignment w:val="auto"/>
        <w:rPr>
          <w:rFonts w:hint="eastAsia" w:ascii="仿宋_GB2312" w:hAnsi="Micsoft-Yahei" w:eastAsia="仿宋_GB2312" w:cs="宋体"/>
          <w:color w:val="000000"/>
          <w:kern w:val="0"/>
          <w:sz w:val="32"/>
          <w:szCs w:val="32"/>
        </w:rPr>
      </w:pPr>
      <w:r>
        <w:rPr>
          <w:rFonts w:hint="eastAsia" w:ascii="仿宋_GB2312" w:hAnsi="宋体" w:eastAsia="仿宋_GB2312" w:cs="宋体"/>
          <w:b/>
          <w:bCs/>
          <w:color w:val="000000"/>
          <w:kern w:val="0"/>
          <w:sz w:val="32"/>
          <w:szCs w:val="32"/>
        </w:rPr>
        <w:t>（一）项目情况</w:t>
      </w:r>
    </w:p>
    <w:p>
      <w:pPr>
        <w:keepNext w:val="0"/>
        <w:keepLines w:val="0"/>
        <w:pageBreakBefore w:val="0"/>
        <w:widowControl/>
        <w:shd w:val="clear" w:color="auto" w:fill="FFFFFF"/>
        <w:kinsoku/>
        <w:overflowPunct/>
        <w:topLinePunct w:val="0"/>
        <w:autoSpaceDE/>
        <w:autoSpaceDN/>
        <w:bidi w:val="0"/>
        <w:snapToGrid/>
        <w:spacing w:line="576" w:lineRule="exact"/>
        <w:ind w:firstLine="560"/>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1.项目管理中的职能</w:t>
      </w:r>
    </w:p>
    <w:p>
      <w:pPr>
        <w:keepNext w:val="0"/>
        <w:keepLines w:val="0"/>
        <w:pageBreakBefore w:val="0"/>
        <w:widowControl/>
        <w:shd w:val="clear" w:color="auto" w:fill="FFFFFF"/>
        <w:kinsoku/>
        <w:overflowPunct/>
        <w:topLinePunct w:val="0"/>
        <w:autoSpaceDE/>
        <w:autoSpaceDN/>
        <w:bidi w:val="0"/>
        <w:snapToGrid/>
        <w:spacing w:line="576" w:lineRule="exact"/>
        <w:ind w:firstLine="560"/>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其职能是代表优抚对象的共同利益，维护优抚对象的合法权利；承担政府委托的任务，动员社会力量，保障优抚对象的生活水平。主要任务遵守《军人抚恤优待条例》，在党和政府的正确领导下，保障优抚对象的抚恤优待与国民经济的发展相适应，</w:t>
      </w:r>
      <w:bookmarkStart w:id="162" w:name="_Hlk82764647"/>
      <w:r>
        <w:rPr>
          <w:rFonts w:hint="eastAsia" w:ascii="仿宋_GB2312" w:hAnsi="仿宋_GB2312" w:eastAsia="仿宋_GB2312" w:cs="仿宋_GB2312"/>
          <w:color w:val="000000"/>
          <w:kern w:val="0"/>
          <w:sz w:val="32"/>
          <w:szCs w:val="32"/>
        </w:rPr>
        <w:t>保障优抚对象生活水平不低于当地的平均生活水平。</w:t>
      </w:r>
    </w:p>
    <w:bookmarkEnd w:id="162"/>
    <w:p>
      <w:pPr>
        <w:keepNext w:val="0"/>
        <w:keepLines w:val="0"/>
        <w:pageBreakBefore w:val="0"/>
        <w:widowControl/>
        <w:shd w:val="clear" w:color="auto" w:fill="FFFFFF"/>
        <w:kinsoku/>
        <w:overflowPunct/>
        <w:topLinePunct w:val="0"/>
        <w:autoSpaceDE/>
        <w:autoSpaceDN/>
        <w:bidi w:val="0"/>
        <w:snapToGrid/>
        <w:spacing w:line="576" w:lineRule="exact"/>
        <w:ind w:firstLine="560"/>
        <w:jc w:val="left"/>
        <w:textAlignment w:val="auto"/>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2.项目立项、资金申报的依据</w:t>
      </w:r>
    </w:p>
    <w:p>
      <w:pPr>
        <w:keepNext w:val="0"/>
        <w:keepLines w:val="0"/>
        <w:pageBreakBefore w:val="0"/>
        <w:widowControl/>
        <w:shd w:val="clear" w:color="auto" w:fill="FFFFFF"/>
        <w:kinsoku/>
        <w:overflowPunct/>
        <w:topLinePunct w:val="0"/>
        <w:autoSpaceDE/>
        <w:autoSpaceDN/>
        <w:bidi w:val="0"/>
        <w:snapToGrid/>
        <w:spacing w:line="576" w:lineRule="exact"/>
        <w:ind w:firstLine="560"/>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落实优抚保障政策的主要依据主要有：《中华人民共和国兵役法》、《</w:t>
      </w:r>
      <w:bookmarkStart w:id="163" w:name="_Hlk82764476"/>
      <w:r>
        <w:rPr>
          <w:rFonts w:hint="eastAsia" w:ascii="仿宋_GB2312" w:hAnsi="仿宋_GB2312" w:eastAsia="仿宋_GB2312" w:cs="仿宋_GB2312"/>
          <w:color w:val="000000"/>
          <w:kern w:val="0"/>
          <w:sz w:val="32"/>
          <w:szCs w:val="32"/>
        </w:rPr>
        <w:t>军人抚恤优待条例</w:t>
      </w:r>
      <w:bookmarkEnd w:id="163"/>
      <w:r>
        <w:rPr>
          <w:rFonts w:hint="eastAsia" w:ascii="仿宋_GB2312" w:hAnsi="仿宋_GB2312" w:eastAsia="仿宋_GB2312" w:cs="仿宋_GB2312"/>
          <w:color w:val="000000"/>
          <w:kern w:val="0"/>
          <w:sz w:val="32"/>
          <w:szCs w:val="32"/>
        </w:rPr>
        <w:t>》、《烈士褒扬条例》、《民政部、财政部关于调整部分优抚对象抚恤补助标准的通知》等，这些为抚恤补助资金支出立项提供了充分法律和政策依据。</w:t>
      </w:r>
    </w:p>
    <w:p>
      <w:pPr>
        <w:keepNext w:val="0"/>
        <w:keepLines w:val="0"/>
        <w:pageBreakBefore w:val="0"/>
        <w:widowControl/>
        <w:shd w:val="clear" w:color="auto" w:fill="FFFFFF"/>
        <w:kinsoku/>
        <w:overflowPunct/>
        <w:topLinePunct w:val="0"/>
        <w:autoSpaceDE/>
        <w:autoSpaceDN/>
        <w:bidi w:val="0"/>
        <w:snapToGrid/>
        <w:spacing w:line="576" w:lineRule="exact"/>
        <w:ind w:firstLine="560"/>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3.资金管理办法制定情况，资金支持具体项目的条件、范围与支持方式</w:t>
      </w:r>
    </w:p>
    <w:p>
      <w:pPr>
        <w:widowControl/>
        <w:shd w:val="clear" w:color="auto" w:fill="FFFFFF"/>
        <w:spacing w:line="600" w:lineRule="atLeast"/>
        <w:ind w:firstLine="480"/>
        <w:jc w:val="left"/>
        <w:rPr>
          <w:rFonts w:hint="eastAsia" w:ascii="仿宋_GB2312" w:hAnsi="Micsoft-Yahei" w:eastAsia="仿宋_GB2312" w:cs="宋体"/>
          <w:color w:val="000000"/>
          <w:kern w:val="0"/>
          <w:sz w:val="32"/>
          <w:szCs w:val="32"/>
        </w:rPr>
      </w:pPr>
      <w:r>
        <w:rPr>
          <w:rFonts w:hint="eastAsia" w:ascii="仿宋_GB2312" w:hAnsi="仿宋_GB2312" w:eastAsia="仿宋_GB2312" w:cs="仿宋_GB2312"/>
          <w:color w:val="000000"/>
          <w:kern w:val="0"/>
          <w:sz w:val="32"/>
          <w:szCs w:val="32"/>
        </w:rPr>
        <w:t>按照《</w:t>
      </w:r>
      <w:bookmarkStart w:id="164" w:name="_Hlk82764663"/>
      <w:r>
        <w:rPr>
          <w:rFonts w:hint="eastAsia" w:ascii="仿宋_GB2312" w:hAnsi="仿宋_GB2312" w:eastAsia="仿宋_GB2312" w:cs="仿宋_GB2312"/>
          <w:color w:val="000000"/>
          <w:kern w:val="0"/>
          <w:sz w:val="32"/>
          <w:szCs w:val="32"/>
        </w:rPr>
        <w:t>军人抚恤优待条例</w:t>
      </w:r>
      <w:bookmarkEnd w:id="164"/>
      <w:r>
        <w:rPr>
          <w:rFonts w:hint="eastAsia" w:ascii="仿宋_GB2312" w:hAnsi="仿宋_GB2312" w:eastAsia="仿宋_GB2312" w:cs="仿宋_GB2312"/>
          <w:color w:val="000000"/>
          <w:kern w:val="0"/>
          <w:sz w:val="32"/>
          <w:szCs w:val="32"/>
        </w:rPr>
        <w:t>》，我局优抚对象抚恤保障经费按照因素法进行分配，主要考虑对象人数、县财政困难程度等因素。按照资金要求做好绩效监控，确保绩效目标实现。我局优抚对象抚恤保障经费总体绩效目标是：</w:t>
      </w:r>
      <w:bookmarkStart w:id="165" w:name="_Hlk82764755"/>
      <w:r>
        <w:rPr>
          <w:rFonts w:hint="eastAsia" w:ascii="仿宋_GB2312" w:hAnsi="仿宋_GB2312" w:eastAsia="仿宋_GB2312" w:cs="仿宋_GB2312"/>
          <w:color w:val="000000"/>
          <w:kern w:val="0"/>
          <w:sz w:val="32"/>
          <w:szCs w:val="32"/>
        </w:rPr>
        <w:t>通过发放优抚对象抚恤补助资金，保障优抚对象生活水平不低于当地的平均生活水平。</w:t>
      </w:r>
    </w:p>
    <w:bookmarkEnd w:id="165"/>
    <w:p>
      <w:pPr>
        <w:keepNext w:val="0"/>
        <w:keepLines w:val="0"/>
        <w:pageBreakBefore w:val="0"/>
        <w:widowControl/>
        <w:shd w:val="clear" w:color="auto" w:fill="FFFFFF"/>
        <w:kinsoku/>
        <w:overflowPunct/>
        <w:topLinePunct w:val="0"/>
        <w:autoSpaceDE/>
        <w:autoSpaceDN/>
        <w:bidi w:val="0"/>
        <w:snapToGrid/>
        <w:spacing w:line="576" w:lineRule="exact"/>
        <w:ind w:firstLine="560"/>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4.资金分配的原则及考虑的因素</w:t>
      </w:r>
    </w:p>
    <w:p>
      <w:pPr>
        <w:keepNext w:val="0"/>
        <w:keepLines w:val="0"/>
        <w:pageBreakBefore w:val="0"/>
        <w:widowControl/>
        <w:shd w:val="clear" w:color="auto" w:fill="FFFFFF"/>
        <w:kinsoku/>
        <w:overflowPunct/>
        <w:topLinePunct w:val="0"/>
        <w:autoSpaceDE/>
        <w:autoSpaceDN/>
        <w:bidi w:val="0"/>
        <w:snapToGrid/>
        <w:spacing w:line="576" w:lineRule="exact"/>
        <w:ind w:firstLine="560"/>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按照《</w:t>
      </w:r>
      <w:bookmarkStart w:id="166" w:name="_Hlk82764782"/>
      <w:r>
        <w:rPr>
          <w:rFonts w:hint="eastAsia" w:ascii="仿宋_GB2312" w:hAnsi="仿宋_GB2312" w:eastAsia="仿宋_GB2312" w:cs="仿宋_GB2312"/>
          <w:color w:val="000000"/>
          <w:kern w:val="0"/>
          <w:sz w:val="32"/>
          <w:szCs w:val="32"/>
        </w:rPr>
        <w:t>军人抚恤优待条例</w:t>
      </w:r>
      <w:bookmarkEnd w:id="166"/>
      <w:r>
        <w:rPr>
          <w:rFonts w:hint="eastAsia" w:ascii="仿宋_GB2312" w:hAnsi="仿宋_GB2312" w:eastAsia="仿宋_GB2312" w:cs="仿宋_GB2312"/>
          <w:color w:val="000000"/>
          <w:kern w:val="0"/>
          <w:sz w:val="32"/>
          <w:szCs w:val="32"/>
        </w:rPr>
        <w:t>》，我局优抚对象抚恤保障经费按照因素法进行分配，主要考虑对象人数、县财政困难程度等因素。</w:t>
      </w:r>
    </w:p>
    <w:p>
      <w:pPr>
        <w:widowControl/>
        <w:shd w:val="clear" w:color="auto" w:fill="FFFFFF"/>
        <w:spacing w:line="600" w:lineRule="atLeast"/>
        <w:ind w:firstLine="480"/>
        <w:jc w:val="left"/>
        <w:rPr>
          <w:rFonts w:hint="eastAsia" w:ascii="Micsoft-Yahei" w:hAnsi="Micsoft-Yahei" w:cs="宋体"/>
          <w:b/>
          <w:bCs/>
          <w:color w:val="000000"/>
          <w:kern w:val="0"/>
          <w:sz w:val="32"/>
          <w:szCs w:val="32"/>
        </w:rPr>
      </w:pPr>
      <w:r>
        <w:rPr>
          <w:rFonts w:hint="eastAsia" w:ascii="宋体" w:hAnsi="宋体" w:cs="宋体"/>
          <w:b/>
          <w:bCs/>
          <w:color w:val="000000"/>
          <w:kern w:val="0"/>
          <w:sz w:val="32"/>
          <w:szCs w:val="32"/>
        </w:rPr>
        <w:t>（二）项目绩效目标</w:t>
      </w:r>
    </w:p>
    <w:p>
      <w:pPr>
        <w:widowControl/>
        <w:shd w:val="clear" w:color="auto" w:fill="FFFFFF"/>
        <w:spacing w:line="600" w:lineRule="atLeast"/>
        <w:ind w:firstLine="480"/>
        <w:jc w:val="left"/>
        <w:rPr>
          <w:rFonts w:hint="eastAsia" w:ascii="仿宋_GB2312" w:hAnsi="Micsoft-Yahei" w:eastAsia="仿宋_GB2312" w:cs="宋体"/>
          <w:color w:val="000000"/>
          <w:kern w:val="0"/>
          <w:sz w:val="32"/>
          <w:szCs w:val="32"/>
        </w:rPr>
      </w:pPr>
      <w:r>
        <w:rPr>
          <w:rFonts w:hint="eastAsia" w:ascii="仿宋_GB2312" w:hAnsi="宋体" w:eastAsia="仿宋_GB2312" w:cs="宋体"/>
          <w:color w:val="000000"/>
          <w:kern w:val="0"/>
          <w:sz w:val="36"/>
          <w:szCs w:val="36"/>
        </w:rPr>
        <w:t>1、项目主要内容。</w:t>
      </w:r>
      <w:r>
        <w:rPr>
          <w:rFonts w:hint="eastAsia" w:ascii="仿宋_GB2312" w:hAnsi="仿宋_GB2312" w:eastAsia="仿宋_GB2312" w:cs="仿宋_GB2312"/>
          <w:color w:val="000000"/>
          <w:kern w:val="0"/>
          <w:sz w:val="32"/>
          <w:szCs w:val="32"/>
        </w:rPr>
        <w:t>保障优抚对象的抚恤优待与国民经济的发展相适应，保障优抚对象生活水平不低于当地的平均生活水平。</w:t>
      </w:r>
    </w:p>
    <w:p>
      <w:pPr>
        <w:widowControl/>
        <w:shd w:val="clear" w:color="auto" w:fill="FFFFFF"/>
        <w:spacing w:line="600" w:lineRule="atLeast"/>
        <w:ind w:firstLine="480"/>
        <w:jc w:val="left"/>
        <w:rPr>
          <w:rFonts w:hint="eastAsia" w:ascii="仿宋_GB2312" w:hAnsi="Micsoft-Yahei" w:eastAsia="仿宋_GB2312" w:cs="宋体"/>
          <w:color w:val="000000"/>
          <w:kern w:val="0"/>
          <w:sz w:val="32"/>
          <w:szCs w:val="32"/>
        </w:rPr>
      </w:pPr>
      <w:r>
        <w:rPr>
          <w:rFonts w:hint="eastAsia" w:ascii="仿宋_GB2312" w:hAnsi="宋体" w:eastAsia="仿宋_GB2312" w:cs="宋体"/>
          <w:color w:val="000000"/>
          <w:kern w:val="0"/>
          <w:sz w:val="36"/>
          <w:szCs w:val="36"/>
        </w:rPr>
        <w:t>2、项目绩效目标。</w:t>
      </w:r>
      <w:r>
        <w:rPr>
          <w:rFonts w:hint="eastAsia" w:ascii="仿宋_GB2312" w:hAnsi="仿宋_GB2312" w:eastAsia="仿宋_GB2312" w:cs="仿宋_GB2312"/>
          <w:color w:val="000000"/>
          <w:kern w:val="0"/>
          <w:sz w:val="32"/>
          <w:szCs w:val="32"/>
        </w:rPr>
        <w:t>通过发放优抚对象抚恤补助资金，保障优抚对象生活水平不低于当地的平均生活水平。</w:t>
      </w:r>
    </w:p>
    <w:p>
      <w:pPr>
        <w:widowControl/>
        <w:shd w:val="clear" w:color="auto" w:fill="FFFFFF"/>
        <w:spacing w:line="600" w:lineRule="atLeast"/>
        <w:ind w:firstLine="48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6"/>
          <w:szCs w:val="36"/>
        </w:rPr>
        <w:t>3、项目资金管理情况分析。</w:t>
      </w:r>
      <w:r>
        <w:rPr>
          <w:rFonts w:hint="eastAsia" w:ascii="仿宋_GB2312" w:hAnsi="仿宋_GB2312" w:eastAsia="仿宋_GB2312" w:cs="仿宋_GB2312"/>
          <w:color w:val="000000"/>
          <w:kern w:val="0"/>
          <w:sz w:val="32"/>
          <w:szCs w:val="32"/>
        </w:rPr>
        <w:t>严格执行《</w:t>
      </w:r>
      <w:bookmarkStart w:id="167" w:name="_Hlk82765295"/>
      <w:r>
        <w:rPr>
          <w:rFonts w:hint="eastAsia" w:ascii="仿宋_GB2312" w:hAnsi="仿宋_GB2312" w:eastAsia="仿宋_GB2312" w:cs="仿宋_GB2312"/>
          <w:color w:val="000000"/>
          <w:kern w:val="0"/>
          <w:sz w:val="32"/>
          <w:szCs w:val="32"/>
        </w:rPr>
        <w:t>军人抚恤优待条例</w:t>
      </w:r>
      <w:bookmarkEnd w:id="167"/>
      <w:r>
        <w:rPr>
          <w:rFonts w:hint="eastAsia" w:ascii="仿宋_GB2312" w:hAnsi="仿宋_GB2312" w:eastAsia="仿宋_GB2312" w:cs="仿宋_GB2312"/>
          <w:color w:val="000000"/>
          <w:kern w:val="0"/>
          <w:sz w:val="32"/>
          <w:szCs w:val="32"/>
        </w:rPr>
        <w:t>》，加强资金分配和使用管理，定期报送进展情况，强化绩效跟踪，自觉接受纪检、审计部门的监督，切实提升资金使用效益。</w:t>
      </w:r>
    </w:p>
    <w:p>
      <w:pPr>
        <w:widowControl/>
        <w:shd w:val="clear" w:color="auto" w:fill="FFFFFF"/>
        <w:spacing w:line="600" w:lineRule="atLeast"/>
        <w:ind w:firstLine="482"/>
        <w:jc w:val="left"/>
        <w:rPr>
          <w:rFonts w:ascii="宋体" w:hAnsi="宋体" w:cs="宋体"/>
          <w:b/>
          <w:bCs/>
          <w:color w:val="000000"/>
          <w:kern w:val="0"/>
          <w:sz w:val="32"/>
          <w:szCs w:val="32"/>
        </w:rPr>
      </w:pPr>
      <w:r>
        <w:rPr>
          <w:rFonts w:hint="eastAsia" w:ascii="宋体" w:hAnsi="宋体" w:cs="宋体"/>
          <w:b/>
          <w:bCs/>
          <w:color w:val="000000"/>
          <w:kern w:val="0"/>
          <w:sz w:val="32"/>
          <w:szCs w:val="32"/>
        </w:rPr>
        <w:t>（三）项目自评步骤及方法</w:t>
      </w:r>
    </w:p>
    <w:p>
      <w:pPr>
        <w:widowControl/>
        <w:shd w:val="clear" w:color="auto" w:fill="FFFFFF"/>
        <w:spacing w:line="640" w:lineRule="atLeast"/>
        <w:ind w:firstLine="480"/>
        <w:jc w:val="left"/>
        <w:rPr>
          <w:rFonts w:ascii="微软雅黑" w:hAnsi="微软雅黑" w:eastAsia="微软雅黑" w:cs="宋体"/>
          <w:color w:val="000000"/>
          <w:kern w:val="0"/>
          <w:sz w:val="24"/>
        </w:rPr>
      </w:pPr>
      <w:r>
        <w:rPr>
          <w:rFonts w:hint="eastAsia" w:ascii="仿宋" w:hAnsi="仿宋" w:eastAsia="仿宋" w:cs="宋体"/>
          <w:b/>
          <w:bCs/>
          <w:color w:val="000000"/>
          <w:kern w:val="0"/>
          <w:sz w:val="32"/>
          <w:szCs w:val="32"/>
        </w:rPr>
        <w:t>（一）绩效评价的组织工作</w:t>
      </w:r>
    </w:p>
    <w:p>
      <w:pPr>
        <w:widowControl/>
        <w:shd w:val="clear" w:color="auto" w:fill="FFFFFF"/>
        <w:spacing w:line="640" w:lineRule="atLeast"/>
        <w:ind w:firstLine="640"/>
        <w:jc w:val="left"/>
        <w:rPr>
          <w:rFonts w:ascii="微软雅黑" w:hAnsi="微软雅黑" w:eastAsia="微软雅黑" w:cs="宋体"/>
          <w:color w:val="000000"/>
          <w:kern w:val="0"/>
          <w:sz w:val="24"/>
        </w:rPr>
      </w:pPr>
      <w:r>
        <w:rPr>
          <w:rFonts w:hint="eastAsia" w:ascii="仿宋_GB2312" w:hAnsi="仿宋_GB2312" w:eastAsia="仿宋_GB2312" w:cs="仿宋_GB2312"/>
          <w:color w:val="000000"/>
          <w:kern w:val="0"/>
          <w:sz w:val="32"/>
          <w:szCs w:val="32"/>
        </w:rPr>
        <w:t>根据财政局《关于开展2021年部门、政策和项目支出绩效评价工作的通知》（茂财[2021]49号）文件通知，我局对“优抚对象死亡抚恤补助”项目进行绩效评价，成立绩效评价工作小组，召开专题工作会议进行部署，对优抚对象抚恤补助经费进行核查，力求数据准确，标准合理，指标科学，考评严格。</w:t>
      </w:r>
    </w:p>
    <w:p>
      <w:pPr>
        <w:keepNext w:val="0"/>
        <w:keepLines w:val="0"/>
        <w:pageBreakBefore w:val="0"/>
        <w:widowControl/>
        <w:shd w:val="clear" w:color="auto" w:fill="FFFFFF"/>
        <w:kinsoku/>
        <w:overflowPunct/>
        <w:topLinePunct w:val="0"/>
        <w:autoSpaceDE/>
        <w:autoSpaceDN/>
        <w:bidi w:val="0"/>
        <w:snapToGrid/>
        <w:spacing w:line="576" w:lineRule="exact"/>
        <w:ind w:firstLine="560"/>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工作小组针对项目进行前期调研，对相关文件、申报资料等资料进行收集整理，查询相关数据和记账凭证进行核实、汇总，结合具体项目内容，设计绩效评价的指标体系，真实、完整、全面的评价项目的实施建设及完成情况。</w:t>
      </w:r>
    </w:p>
    <w:p>
      <w:pPr>
        <w:widowControl/>
        <w:shd w:val="clear" w:color="auto" w:fill="FFFFFF"/>
        <w:spacing w:line="640" w:lineRule="atLeast"/>
        <w:ind w:firstLine="560"/>
        <w:jc w:val="left"/>
        <w:rPr>
          <w:rFonts w:ascii="微软雅黑" w:hAnsi="微软雅黑" w:eastAsia="微软雅黑" w:cs="宋体"/>
          <w:color w:val="000000"/>
          <w:kern w:val="0"/>
          <w:sz w:val="24"/>
        </w:rPr>
      </w:pPr>
      <w:r>
        <w:rPr>
          <w:rFonts w:hint="eastAsia" w:ascii="仿宋" w:hAnsi="仿宋" w:eastAsia="仿宋" w:cs="宋体"/>
          <w:b/>
          <w:bCs/>
          <w:color w:val="000000"/>
          <w:kern w:val="0"/>
          <w:sz w:val="32"/>
          <w:szCs w:val="32"/>
        </w:rPr>
        <w:t>（二）绩效评价的方法和过程</w:t>
      </w:r>
    </w:p>
    <w:p>
      <w:pPr>
        <w:keepNext w:val="0"/>
        <w:keepLines w:val="0"/>
        <w:pageBreakBefore w:val="0"/>
        <w:widowControl/>
        <w:shd w:val="clear" w:color="auto" w:fill="FFFFFF"/>
        <w:kinsoku/>
        <w:overflowPunct/>
        <w:topLinePunct w:val="0"/>
        <w:autoSpaceDE/>
        <w:autoSpaceDN/>
        <w:bidi w:val="0"/>
        <w:snapToGrid/>
        <w:spacing w:line="576" w:lineRule="exact"/>
        <w:ind w:firstLine="560"/>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本次绩效评价采用以下方法：一是资料整理法。通过对相关表格和记账凭证等财务资料查阅、核实、汇总分析，评价项目资金使用的规范性、支出范围的相关性和合理性等。二是访谈调查法。了解优抚对象对抚恤补助方面的满意程度，以优抚对象的满意度为评价标准衡量抚恤补助项目开展的效果。</w:t>
      </w:r>
    </w:p>
    <w:p>
      <w:pPr>
        <w:keepNext w:val="0"/>
        <w:keepLines w:val="0"/>
        <w:pageBreakBefore w:val="0"/>
        <w:widowControl/>
        <w:shd w:val="clear" w:color="auto" w:fill="FFFFFF"/>
        <w:kinsoku/>
        <w:overflowPunct/>
        <w:topLinePunct w:val="0"/>
        <w:autoSpaceDE/>
        <w:autoSpaceDN/>
        <w:bidi w:val="0"/>
        <w:snapToGrid/>
        <w:spacing w:line="576" w:lineRule="exact"/>
        <w:ind w:firstLine="560"/>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通过以上方法收集有关资料，进行研究分析，确定各项指标完成程度及得分，找出项目实施中存在的问题，分析原因，提出建议，形成绩效评价报告。</w:t>
      </w:r>
    </w:p>
    <w:p>
      <w:pPr>
        <w:widowControl/>
        <w:shd w:val="clear" w:color="auto" w:fill="FFFFFF"/>
        <w:spacing w:line="600" w:lineRule="atLeast"/>
        <w:ind w:firstLine="482"/>
        <w:jc w:val="left"/>
        <w:rPr>
          <w:rFonts w:ascii="宋体" w:hAnsi="宋体" w:cs="宋体"/>
          <w:b/>
          <w:bCs/>
          <w:color w:val="000000"/>
          <w:kern w:val="0"/>
          <w:sz w:val="32"/>
          <w:szCs w:val="32"/>
        </w:rPr>
      </w:pPr>
      <w:r>
        <w:rPr>
          <w:rFonts w:hint="eastAsia" w:ascii="宋体" w:hAnsi="宋体" w:cs="宋体"/>
          <w:b/>
          <w:bCs/>
          <w:color w:val="000000"/>
          <w:kern w:val="0"/>
          <w:sz w:val="32"/>
          <w:szCs w:val="32"/>
        </w:rPr>
        <w:t>二、项目资金申报及使用情况</w:t>
      </w:r>
    </w:p>
    <w:p>
      <w:pPr>
        <w:widowControl/>
        <w:shd w:val="clear" w:color="auto" w:fill="FFFFFF"/>
        <w:spacing w:line="600" w:lineRule="atLeast"/>
        <w:ind w:firstLine="482"/>
        <w:jc w:val="left"/>
        <w:rPr>
          <w:rFonts w:ascii="宋体" w:hAnsi="宋体" w:cs="宋体"/>
          <w:b/>
          <w:bCs/>
          <w:color w:val="000000"/>
          <w:kern w:val="0"/>
          <w:sz w:val="32"/>
          <w:szCs w:val="32"/>
        </w:rPr>
      </w:pPr>
      <w:r>
        <w:rPr>
          <w:rFonts w:hint="eastAsia" w:ascii="宋体" w:hAnsi="宋体" w:cs="宋体"/>
          <w:b/>
          <w:bCs/>
          <w:color w:val="000000"/>
          <w:kern w:val="0"/>
          <w:sz w:val="32"/>
          <w:szCs w:val="32"/>
        </w:rPr>
        <w:t>（一）项目资金申报及批复情况</w:t>
      </w:r>
    </w:p>
    <w:p>
      <w:pPr>
        <w:keepNext w:val="0"/>
        <w:keepLines w:val="0"/>
        <w:pageBreakBefore w:val="0"/>
        <w:widowControl/>
        <w:shd w:val="clear" w:color="auto" w:fill="FFFFFF"/>
        <w:kinsoku/>
        <w:overflowPunct/>
        <w:topLinePunct w:val="0"/>
        <w:autoSpaceDE/>
        <w:autoSpaceDN/>
        <w:bidi w:val="0"/>
        <w:snapToGrid/>
        <w:spacing w:line="576" w:lineRule="exact"/>
        <w:ind w:firstLine="560"/>
        <w:jc w:val="left"/>
        <w:textAlignment w:val="auto"/>
        <w:rPr>
          <w:rFonts w:ascii="仿宋_GB2312" w:hAnsi="宋体" w:eastAsia="仿宋_GB2312" w:cs="宋体"/>
          <w:kern w:val="0"/>
          <w:sz w:val="32"/>
          <w:szCs w:val="32"/>
          <w:lang w:val="zh-CN"/>
        </w:rPr>
      </w:pPr>
      <w:r>
        <w:rPr>
          <w:rFonts w:hint="eastAsia" w:ascii="仿宋_GB2312" w:hAnsi="仿宋_GB2312" w:eastAsia="仿宋_GB2312" w:cs="仿宋_GB2312"/>
          <w:color w:val="000000"/>
          <w:kern w:val="0"/>
          <w:sz w:val="32"/>
          <w:szCs w:val="32"/>
          <w:lang w:val="zh-CN"/>
        </w:rPr>
        <w:t>根据《财政局关于下达2020年中央、省、州级财政优抚对象抚恤和生活补助经费的通知》茂财社〔2020〕32号）等文件下拨资金共计140.45万元，优抚对象抚恤经费全额来源于上级拨付。</w:t>
      </w:r>
    </w:p>
    <w:p>
      <w:pPr>
        <w:adjustRightInd w:val="0"/>
        <w:snapToGrid w:val="0"/>
        <w:spacing w:line="360" w:lineRule="auto"/>
        <w:ind w:firstLine="359" w:firstLineChars="112"/>
        <w:rPr>
          <w:rFonts w:ascii="仿宋_GB2312" w:hAnsi="宋体" w:eastAsia="仿宋_GB2312"/>
          <w:b/>
          <w:bCs/>
          <w:sz w:val="32"/>
          <w:szCs w:val="32"/>
          <w:lang w:val="zh-CN"/>
        </w:rPr>
      </w:pPr>
      <w:r>
        <w:rPr>
          <w:rFonts w:hint="eastAsia" w:ascii="仿宋_GB2312" w:hAnsi="宋体" w:eastAsia="仿宋_GB2312"/>
          <w:b/>
          <w:bCs/>
          <w:sz w:val="32"/>
          <w:szCs w:val="32"/>
          <w:lang w:val="zh-CN"/>
        </w:rPr>
        <w:t>（二）资金计划、到位及使用情况</w:t>
      </w:r>
    </w:p>
    <w:p>
      <w:pPr>
        <w:keepNext w:val="0"/>
        <w:keepLines w:val="0"/>
        <w:pageBreakBefore w:val="0"/>
        <w:widowControl/>
        <w:shd w:val="clear" w:color="auto" w:fill="FFFFFF"/>
        <w:kinsoku/>
        <w:overflowPunct/>
        <w:topLinePunct w:val="0"/>
        <w:autoSpaceDE/>
        <w:autoSpaceDN/>
        <w:bidi w:val="0"/>
        <w:snapToGrid/>
        <w:spacing w:line="576" w:lineRule="exact"/>
        <w:ind w:firstLine="560"/>
        <w:jc w:val="left"/>
        <w:textAlignment w:val="auto"/>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1、资金计划及到位</w:t>
      </w:r>
    </w:p>
    <w:p>
      <w:pPr>
        <w:keepNext w:val="0"/>
        <w:keepLines w:val="0"/>
        <w:pageBreakBefore w:val="0"/>
        <w:widowControl/>
        <w:shd w:val="clear" w:color="auto" w:fill="FFFFFF"/>
        <w:kinsoku/>
        <w:overflowPunct/>
        <w:topLinePunct w:val="0"/>
        <w:autoSpaceDE/>
        <w:autoSpaceDN/>
        <w:bidi w:val="0"/>
        <w:snapToGrid/>
        <w:spacing w:line="576" w:lineRule="exact"/>
        <w:ind w:firstLine="560"/>
        <w:jc w:val="left"/>
        <w:textAlignment w:val="auto"/>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2020年财政共拨付优抚对象抚恤补助资金</w:t>
      </w:r>
      <w:r>
        <w:rPr>
          <w:rFonts w:hint="eastAsia" w:ascii="仿宋_GB2312" w:hAnsi="仿宋_GB2312" w:eastAsia="仿宋_GB2312" w:cs="仿宋_GB2312"/>
          <w:color w:val="000000"/>
          <w:kern w:val="0"/>
          <w:sz w:val="32"/>
          <w:szCs w:val="32"/>
        </w:rPr>
        <w:t>140.45万元</w:t>
      </w:r>
      <w:r>
        <w:rPr>
          <w:rFonts w:hint="eastAsia" w:ascii="仿宋_GB2312" w:hAnsi="仿宋_GB2312" w:eastAsia="仿宋_GB2312" w:cs="仿宋_GB2312"/>
          <w:color w:val="000000"/>
          <w:kern w:val="0"/>
          <w:sz w:val="32"/>
          <w:szCs w:val="32"/>
          <w:lang w:val="zh-CN"/>
        </w:rPr>
        <w:t>，</w:t>
      </w:r>
      <w:r>
        <w:rPr>
          <w:rFonts w:hint="eastAsia" w:ascii="仿宋_GB2312" w:hAnsi="仿宋_GB2312" w:eastAsia="仿宋_GB2312" w:cs="仿宋_GB2312"/>
          <w:color w:val="000000"/>
          <w:kern w:val="0"/>
          <w:sz w:val="32"/>
          <w:szCs w:val="32"/>
        </w:rPr>
        <w:t>资金</w:t>
      </w:r>
      <w:r>
        <w:rPr>
          <w:rFonts w:hint="eastAsia" w:ascii="仿宋_GB2312" w:hAnsi="仿宋_GB2312" w:eastAsia="仿宋_GB2312" w:cs="仿宋_GB2312"/>
          <w:color w:val="000000"/>
          <w:kern w:val="0"/>
          <w:sz w:val="32"/>
          <w:szCs w:val="32"/>
          <w:lang w:val="zh-CN"/>
        </w:rPr>
        <w:t>到位率100%。</w:t>
      </w:r>
    </w:p>
    <w:p>
      <w:pPr>
        <w:keepNext w:val="0"/>
        <w:keepLines w:val="0"/>
        <w:pageBreakBefore w:val="0"/>
        <w:widowControl/>
        <w:shd w:val="clear" w:color="auto" w:fill="FFFFFF"/>
        <w:kinsoku/>
        <w:overflowPunct/>
        <w:topLinePunct w:val="0"/>
        <w:autoSpaceDE/>
        <w:autoSpaceDN/>
        <w:bidi w:val="0"/>
        <w:snapToGrid/>
        <w:spacing w:line="576" w:lineRule="exact"/>
        <w:ind w:firstLine="560"/>
        <w:jc w:val="left"/>
        <w:textAlignment w:val="auto"/>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2、资金使用</w:t>
      </w:r>
    </w:p>
    <w:p>
      <w:pPr>
        <w:keepNext w:val="0"/>
        <w:keepLines w:val="0"/>
        <w:pageBreakBefore w:val="0"/>
        <w:widowControl/>
        <w:shd w:val="clear" w:color="auto" w:fill="FFFFFF"/>
        <w:kinsoku/>
        <w:overflowPunct/>
        <w:topLinePunct w:val="0"/>
        <w:autoSpaceDE/>
        <w:autoSpaceDN/>
        <w:bidi w:val="0"/>
        <w:snapToGrid/>
        <w:spacing w:line="576" w:lineRule="exact"/>
        <w:ind w:firstLine="560"/>
        <w:jc w:val="left"/>
        <w:textAlignment w:val="auto"/>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按资金性质及时申报，在金财大平台上申请资金。2020年共支付优抚对象死亡抚恤补助资金</w:t>
      </w:r>
      <w:r>
        <w:rPr>
          <w:rFonts w:hint="eastAsia" w:ascii="仿宋_GB2312" w:hAnsi="仿宋_GB2312" w:eastAsia="仿宋_GB2312" w:cs="仿宋_GB2312"/>
          <w:color w:val="000000"/>
          <w:kern w:val="0"/>
          <w:sz w:val="32"/>
          <w:szCs w:val="32"/>
        </w:rPr>
        <w:t>140.38万</w:t>
      </w:r>
      <w:r>
        <w:rPr>
          <w:rFonts w:hint="eastAsia" w:ascii="仿宋_GB2312" w:hAnsi="仿宋_GB2312" w:eastAsia="仿宋_GB2312" w:cs="仿宋_GB2312"/>
          <w:color w:val="000000"/>
          <w:kern w:val="0"/>
          <w:sz w:val="32"/>
          <w:szCs w:val="32"/>
          <w:lang w:val="zh-CN"/>
        </w:rPr>
        <w:t>元。</w:t>
      </w:r>
    </w:p>
    <w:p>
      <w:pPr>
        <w:keepNext w:val="0"/>
        <w:keepLines w:val="0"/>
        <w:pageBreakBefore w:val="0"/>
        <w:widowControl/>
        <w:shd w:val="clear" w:color="auto" w:fill="FFFFFF"/>
        <w:kinsoku/>
        <w:overflowPunct/>
        <w:topLinePunct w:val="0"/>
        <w:autoSpaceDE/>
        <w:autoSpaceDN/>
        <w:bidi w:val="0"/>
        <w:snapToGrid/>
        <w:spacing w:line="576" w:lineRule="exact"/>
        <w:ind w:firstLine="560"/>
        <w:jc w:val="left"/>
        <w:textAlignment w:val="auto"/>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（三）项目财务管理情况</w:t>
      </w:r>
    </w:p>
    <w:p>
      <w:pPr>
        <w:keepNext w:val="0"/>
        <w:keepLines w:val="0"/>
        <w:pageBreakBefore w:val="0"/>
        <w:widowControl/>
        <w:shd w:val="clear" w:color="auto" w:fill="FFFFFF"/>
        <w:kinsoku/>
        <w:overflowPunct/>
        <w:topLinePunct w:val="0"/>
        <w:autoSpaceDE/>
        <w:autoSpaceDN/>
        <w:bidi w:val="0"/>
        <w:snapToGrid/>
        <w:spacing w:line="576" w:lineRule="exact"/>
        <w:ind w:firstLine="560"/>
        <w:jc w:val="left"/>
        <w:textAlignment w:val="auto"/>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项目实行专账专管，对资金的会计核算及账务处理做到及时性、规范性和准确性。在资金的管理工作中做到不截留、不挤占、不挪用。</w:t>
      </w: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三、项目实施及管理情况</w:t>
      </w:r>
    </w:p>
    <w:p>
      <w:pPr>
        <w:keepNext w:val="0"/>
        <w:keepLines w:val="0"/>
        <w:pageBreakBefore w:val="0"/>
        <w:widowControl/>
        <w:shd w:val="clear" w:color="auto" w:fill="FFFFFF"/>
        <w:kinsoku/>
        <w:overflowPunct/>
        <w:topLinePunct w:val="0"/>
        <w:autoSpaceDE/>
        <w:autoSpaceDN/>
        <w:bidi w:val="0"/>
        <w:snapToGrid/>
        <w:spacing w:line="576" w:lineRule="exact"/>
        <w:ind w:firstLine="560"/>
        <w:jc w:val="left"/>
        <w:textAlignment w:val="auto"/>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（一）项目组织情况</w:t>
      </w:r>
    </w:p>
    <w:p>
      <w:pPr>
        <w:keepNext w:val="0"/>
        <w:keepLines w:val="0"/>
        <w:pageBreakBefore w:val="0"/>
        <w:widowControl/>
        <w:shd w:val="clear" w:color="auto" w:fill="FFFFFF"/>
        <w:kinsoku/>
        <w:overflowPunct/>
        <w:topLinePunct w:val="0"/>
        <w:autoSpaceDE/>
        <w:autoSpaceDN/>
        <w:bidi w:val="0"/>
        <w:snapToGrid/>
        <w:spacing w:line="576" w:lineRule="exact"/>
        <w:ind w:firstLine="560"/>
        <w:jc w:val="left"/>
        <w:textAlignment w:val="auto"/>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优抚对象抚恤补助工作组织机构健全、职责分工明确。由茂县退役军人服务中心具体推进项目的落实。</w:t>
      </w:r>
    </w:p>
    <w:p>
      <w:pPr>
        <w:keepNext w:val="0"/>
        <w:keepLines w:val="0"/>
        <w:pageBreakBefore w:val="0"/>
        <w:widowControl/>
        <w:shd w:val="clear" w:color="auto" w:fill="FFFFFF"/>
        <w:kinsoku/>
        <w:overflowPunct/>
        <w:topLinePunct w:val="0"/>
        <w:autoSpaceDE/>
        <w:autoSpaceDN/>
        <w:bidi w:val="0"/>
        <w:snapToGrid/>
        <w:spacing w:line="576" w:lineRule="exact"/>
        <w:ind w:firstLine="560"/>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（二）项目管理情况</w:t>
      </w:r>
    </w:p>
    <w:p>
      <w:pPr>
        <w:keepNext w:val="0"/>
        <w:keepLines w:val="0"/>
        <w:pageBreakBefore w:val="0"/>
        <w:widowControl/>
        <w:shd w:val="clear" w:color="auto" w:fill="FFFFFF"/>
        <w:kinsoku/>
        <w:overflowPunct/>
        <w:topLinePunct w:val="0"/>
        <w:autoSpaceDE/>
        <w:autoSpaceDN/>
        <w:bidi w:val="0"/>
        <w:snapToGrid/>
        <w:spacing w:line="576" w:lineRule="exact"/>
        <w:ind w:firstLine="560"/>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优抚对象抚恤补助资金管理严格按《军人抚恤优待条例》执行,确保抚恤补助项目的规范有序实施,同时发放审批档案资料齐全、完整、规范。</w:t>
      </w:r>
    </w:p>
    <w:p>
      <w:pPr>
        <w:keepNext w:val="0"/>
        <w:keepLines w:val="0"/>
        <w:pageBreakBefore w:val="0"/>
        <w:widowControl/>
        <w:shd w:val="clear" w:color="auto" w:fill="FFFFFF"/>
        <w:kinsoku/>
        <w:overflowPunct/>
        <w:topLinePunct w:val="0"/>
        <w:autoSpaceDE/>
        <w:autoSpaceDN/>
        <w:bidi w:val="0"/>
        <w:snapToGrid/>
        <w:spacing w:line="576" w:lineRule="exact"/>
        <w:ind w:firstLine="560"/>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（三）项目监管情况</w:t>
      </w:r>
    </w:p>
    <w:p>
      <w:pPr>
        <w:keepNext w:val="0"/>
        <w:keepLines w:val="0"/>
        <w:pageBreakBefore w:val="0"/>
        <w:widowControl/>
        <w:shd w:val="clear" w:color="auto" w:fill="FFFFFF"/>
        <w:kinsoku/>
        <w:overflowPunct/>
        <w:topLinePunct w:val="0"/>
        <w:autoSpaceDE/>
        <w:autoSpaceDN/>
        <w:bidi w:val="0"/>
        <w:snapToGrid/>
        <w:spacing w:line="576" w:lineRule="exact"/>
        <w:ind w:firstLine="560"/>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我局内审机构定期对发放情况进行检查，不重报</w:t>
      </w:r>
    </w:p>
    <w:p>
      <w:pPr>
        <w:keepNext w:val="0"/>
        <w:keepLines w:val="0"/>
        <w:pageBreakBefore w:val="0"/>
        <w:widowControl/>
        <w:shd w:val="clear" w:color="auto" w:fill="FFFFFF"/>
        <w:kinsoku/>
        <w:overflowPunct/>
        <w:topLinePunct w:val="0"/>
        <w:autoSpaceDE/>
        <w:autoSpaceDN/>
        <w:bidi w:val="0"/>
        <w:snapToGrid/>
        <w:spacing w:line="576" w:lineRule="exact"/>
        <w:ind w:firstLine="560"/>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不漏报、不乱报，做到发放有依有据。</w:t>
      </w:r>
    </w:p>
    <w:p>
      <w:pPr>
        <w:adjustRightInd w:val="0"/>
        <w:snapToGrid w:val="0"/>
        <w:spacing w:line="600" w:lineRule="exact"/>
        <w:ind w:firstLine="720"/>
        <w:rPr>
          <w:rFonts w:ascii="仿宋_GB2312" w:hAnsi="宋体" w:eastAsia="仿宋_GB2312"/>
          <w:sz w:val="32"/>
          <w:szCs w:val="32"/>
          <w:lang w:val="zh-CN"/>
        </w:rPr>
      </w:pPr>
      <w:r>
        <w:rPr>
          <w:rFonts w:hint="eastAsia" w:ascii="黑体" w:hAnsi="宋体" w:eastAsia="黑体"/>
          <w:sz w:val="32"/>
          <w:szCs w:val="32"/>
        </w:rPr>
        <w:t>四、项目绩效情况</w:t>
      </w:r>
      <w:r>
        <w:rPr>
          <w:rFonts w:ascii="仿宋_GB2312" w:hAnsi="宋体" w:eastAsia="仿宋_GB2312"/>
          <w:sz w:val="32"/>
          <w:szCs w:val="32"/>
          <w:lang w:val="zh-CN"/>
        </w:rPr>
        <w:tab/>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（一）项目完成情况</w:t>
      </w:r>
    </w:p>
    <w:p>
      <w:pPr>
        <w:keepNext w:val="0"/>
        <w:keepLines w:val="0"/>
        <w:pageBreakBefore w:val="0"/>
        <w:widowControl/>
        <w:shd w:val="clear" w:color="auto" w:fill="FFFFFF"/>
        <w:kinsoku/>
        <w:overflowPunct/>
        <w:topLinePunct w:val="0"/>
        <w:autoSpaceDE/>
        <w:autoSpaceDN/>
        <w:bidi w:val="0"/>
        <w:snapToGrid/>
        <w:spacing w:line="576" w:lineRule="exact"/>
        <w:ind w:firstLine="560"/>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1.数量指标。2020年，发放优抚对象抚恤补助648人次，达到了预期目标，完成率100%。</w:t>
      </w:r>
    </w:p>
    <w:p>
      <w:pPr>
        <w:keepNext w:val="0"/>
        <w:keepLines w:val="0"/>
        <w:pageBreakBefore w:val="0"/>
        <w:widowControl/>
        <w:shd w:val="clear" w:color="auto" w:fill="FFFFFF"/>
        <w:kinsoku/>
        <w:overflowPunct/>
        <w:topLinePunct w:val="0"/>
        <w:autoSpaceDE/>
        <w:autoSpaceDN/>
        <w:bidi w:val="0"/>
        <w:snapToGrid/>
        <w:spacing w:line="576" w:lineRule="exact"/>
        <w:ind w:firstLine="560"/>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2.质量指标。2020年，确保按规定标准兑现优抚对象抚恤补助待遇。经费符合相关政策规定比率达到100%。</w:t>
      </w:r>
    </w:p>
    <w:p>
      <w:pPr>
        <w:keepNext w:val="0"/>
        <w:keepLines w:val="0"/>
        <w:pageBreakBefore w:val="0"/>
        <w:widowControl/>
        <w:shd w:val="clear" w:color="auto" w:fill="FFFFFF"/>
        <w:kinsoku/>
        <w:overflowPunct/>
        <w:topLinePunct w:val="0"/>
        <w:autoSpaceDE/>
        <w:autoSpaceDN/>
        <w:bidi w:val="0"/>
        <w:snapToGrid/>
        <w:spacing w:line="576" w:lineRule="exact"/>
        <w:ind w:firstLine="560"/>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3.时效指标。每月按时发放。</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（二）项目效益情况</w:t>
      </w:r>
    </w:p>
    <w:p>
      <w:pPr>
        <w:keepNext w:val="0"/>
        <w:keepLines w:val="0"/>
        <w:pageBreakBefore w:val="0"/>
        <w:widowControl/>
        <w:shd w:val="clear" w:color="auto" w:fill="FFFFFF"/>
        <w:kinsoku/>
        <w:overflowPunct/>
        <w:topLinePunct w:val="0"/>
        <w:autoSpaceDE/>
        <w:autoSpaceDN/>
        <w:bidi w:val="0"/>
        <w:snapToGrid/>
        <w:spacing w:line="576" w:lineRule="exact"/>
        <w:ind w:firstLine="560"/>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1.效益指标完成情况分析</w:t>
      </w:r>
    </w:p>
    <w:p>
      <w:pPr>
        <w:keepNext w:val="0"/>
        <w:keepLines w:val="0"/>
        <w:pageBreakBefore w:val="0"/>
        <w:widowControl/>
        <w:shd w:val="clear" w:color="auto" w:fill="FFFFFF"/>
        <w:kinsoku/>
        <w:overflowPunct/>
        <w:topLinePunct w:val="0"/>
        <w:autoSpaceDE/>
        <w:autoSpaceDN/>
        <w:bidi w:val="0"/>
        <w:snapToGrid/>
        <w:spacing w:line="576" w:lineRule="exact"/>
        <w:ind w:firstLine="560"/>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通过对优抚人员生活补助的发放，切实缓解了我县困难优抚对象生活困难的问题，提高了困难优抚对象的生活质量。通过生活补助的发放使广大困难退役军人更清楚地感受到了党和政府对弱势群体的关心关怀，进一步增强了优抚人员的“感恩报国”意识。同时，充分发挥了退役军人工作工作在保障和改善民生、解决社会问题、化解社会矛盾、促进社会和谐方面的重要作用。</w:t>
      </w:r>
    </w:p>
    <w:p>
      <w:pPr>
        <w:keepNext w:val="0"/>
        <w:keepLines w:val="0"/>
        <w:pageBreakBefore w:val="0"/>
        <w:widowControl/>
        <w:shd w:val="clear" w:color="auto" w:fill="FFFFFF"/>
        <w:kinsoku/>
        <w:overflowPunct/>
        <w:topLinePunct w:val="0"/>
        <w:autoSpaceDE/>
        <w:autoSpaceDN/>
        <w:bidi w:val="0"/>
        <w:snapToGrid/>
        <w:spacing w:line="576" w:lineRule="exact"/>
        <w:ind w:firstLine="560"/>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2.满意度指标完成情况分析</w:t>
      </w:r>
    </w:p>
    <w:p>
      <w:pPr>
        <w:keepNext w:val="0"/>
        <w:keepLines w:val="0"/>
        <w:pageBreakBefore w:val="0"/>
        <w:widowControl/>
        <w:shd w:val="clear" w:color="auto" w:fill="FFFFFF"/>
        <w:kinsoku/>
        <w:overflowPunct/>
        <w:topLinePunct w:val="0"/>
        <w:autoSpaceDE/>
        <w:autoSpaceDN/>
        <w:bidi w:val="0"/>
        <w:snapToGrid/>
        <w:spacing w:line="576" w:lineRule="exact"/>
        <w:ind w:firstLine="560"/>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优抚对象满意度较好，达到预期目标。</w:t>
      </w: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五、评价结论及建议</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（一）评价结论</w:t>
      </w:r>
    </w:p>
    <w:p>
      <w:pPr>
        <w:keepNext w:val="0"/>
        <w:keepLines w:val="0"/>
        <w:pageBreakBefore w:val="0"/>
        <w:widowControl/>
        <w:shd w:val="clear" w:color="auto" w:fill="FFFFFF"/>
        <w:kinsoku/>
        <w:overflowPunct/>
        <w:topLinePunct w:val="0"/>
        <w:autoSpaceDE/>
        <w:autoSpaceDN/>
        <w:bidi w:val="0"/>
        <w:snapToGrid/>
        <w:spacing w:line="576" w:lineRule="exact"/>
        <w:ind w:firstLine="560"/>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根据项目执行情况和项目绩效情况，评价等次为优。</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（二）存在的问题</w:t>
      </w:r>
    </w:p>
    <w:p>
      <w:pPr>
        <w:widowControl/>
        <w:shd w:val="clear" w:color="auto" w:fill="FFFFFF"/>
        <w:spacing w:line="640" w:lineRule="atLeast"/>
        <w:ind w:firstLine="640"/>
        <w:jc w:val="left"/>
        <w:rPr>
          <w:rFonts w:ascii="微软雅黑" w:hAnsi="微软雅黑" w:eastAsia="微软雅黑" w:cs="宋体"/>
          <w:color w:val="000000"/>
          <w:kern w:val="0"/>
          <w:sz w:val="24"/>
        </w:rPr>
      </w:pPr>
      <w:r>
        <w:rPr>
          <w:rFonts w:hint="eastAsia" w:ascii="仿宋_GB2312" w:hAnsi="仿宋_GB2312" w:eastAsia="仿宋_GB2312" w:cs="仿宋_GB2312"/>
          <w:color w:val="000000"/>
          <w:kern w:val="0"/>
          <w:sz w:val="32"/>
          <w:szCs w:val="32"/>
        </w:rPr>
        <w:t>优抚对象经常更换银行卡，导致发放失败。</w:t>
      </w:r>
    </w:p>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keepNext w:val="0"/>
        <w:keepLines w:val="0"/>
        <w:pageBreakBefore w:val="0"/>
        <w:kinsoku/>
        <w:overflowPunct/>
        <w:topLinePunct w:val="0"/>
        <w:autoSpaceDE/>
        <w:autoSpaceDN/>
        <w:bidi w:val="0"/>
        <w:snapToGrid/>
        <w:spacing w:line="576" w:lineRule="exact"/>
        <w:jc w:val="center"/>
        <w:textAlignment w:val="auto"/>
        <w:rPr>
          <w:rFonts w:hint="eastAsia" w:ascii="方正小标宋简体" w:hAnsi="Arial" w:eastAsia="方正小标宋简体" w:cs="Arial"/>
          <w:b w:val="0"/>
          <w:bCs/>
          <w:sz w:val="44"/>
          <w:szCs w:val="44"/>
        </w:rPr>
      </w:pPr>
    </w:p>
    <w:p>
      <w:pPr>
        <w:keepNext w:val="0"/>
        <w:keepLines w:val="0"/>
        <w:pageBreakBefore w:val="0"/>
        <w:kinsoku/>
        <w:overflowPunct/>
        <w:topLinePunct w:val="0"/>
        <w:autoSpaceDE/>
        <w:autoSpaceDN/>
        <w:bidi w:val="0"/>
        <w:snapToGrid/>
        <w:spacing w:line="576" w:lineRule="exact"/>
        <w:jc w:val="center"/>
        <w:textAlignment w:val="auto"/>
        <w:rPr>
          <w:rFonts w:hint="eastAsia" w:ascii="方正小标宋简体" w:hAnsi="Arial" w:eastAsia="方正小标宋简体" w:cs="Arial"/>
          <w:b w:val="0"/>
          <w:bCs/>
          <w:sz w:val="44"/>
          <w:szCs w:val="44"/>
        </w:rPr>
      </w:pPr>
    </w:p>
    <w:p>
      <w:pPr>
        <w:keepNext w:val="0"/>
        <w:keepLines w:val="0"/>
        <w:pageBreakBefore w:val="0"/>
        <w:kinsoku/>
        <w:overflowPunct/>
        <w:topLinePunct w:val="0"/>
        <w:autoSpaceDE/>
        <w:autoSpaceDN/>
        <w:bidi w:val="0"/>
        <w:snapToGrid/>
        <w:spacing w:line="576" w:lineRule="exact"/>
        <w:jc w:val="center"/>
        <w:textAlignment w:val="auto"/>
        <w:rPr>
          <w:rFonts w:hint="eastAsia" w:ascii="方正小标宋简体" w:hAnsi="Arial" w:eastAsia="方正小标宋简体" w:cs="Arial"/>
          <w:b w:val="0"/>
          <w:bCs/>
          <w:sz w:val="44"/>
          <w:szCs w:val="44"/>
        </w:rPr>
      </w:pPr>
    </w:p>
    <w:p>
      <w:pPr>
        <w:keepNext w:val="0"/>
        <w:keepLines w:val="0"/>
        <w:pageBreakBefore w:val="0"/>
        <w:kinsoku/>
        <w:overflowPunct/>
        <w:topLinePunct w:val="0"/>
        <w:autoSpaceDE/>
        <w:autoSpaceDN/>
        <w:bidi w:val="0"/>
        <w:snapToGrid/>
        <w:spacing w:line="576" w:lineRule="exact"/>
        <w:jc w:val="center"/>
        <w:textAlignment w:val="auto"/>
        <w:rPr>
          <w:rFonts w:hint="eastAsia" w:ascii="方正小标宋简体" w:hAnsi="Arial" w:eastAsia="方正小标宋简体" w:cs="Arial"/>
          <w:b w:val="0"/>
          <w:bCs/>
          <w:sz w:val="44"/>
          <w:szCs w:val="44"/>
        </w:rPr>
      </w:pPr>
    </w:p>
    <w:p>
      <w:pPr>
        <w:keepNext w:val="0"/>
        <w:keepLines w:val="0"/>
        <w:pageBreakBefore w:val="0"/>
        <w:kinsoku/>
        <w:overflowPunct/>
        <w:topLinePunct w:val="0"/>
        <w:autoSpaceDE/>
        <w:autoSpaceDN/>
        <w:bidi w:val="0"/>
        <w:snapToGrid/>
        <w:spacing w:line="576" w:lineRule="exact"/>
        <w:jc w:val="center"/>
        <w:textAlignment w:val="auto"/>
        <w:rPr>
          <w:rFonts w:ascii="方正小标宋简体" w:hAnsi="Arial" w:eastAsia="方正小标宋简体" w:cs="Arial"/>
          <w:b w:val="0"/>
          <w:bCs/>
          <w:sz w:val="44"/>
          <w:szCs w:val="44"/>
        </w:rPr>
      </w:pPr>
      <w:r>
        <w:rPr>
          <w:rFonts w:hint="eastAsia" w:ascii="方正小标宋简体" w:hAnsi="Arial" w:eastAsia="方正小标宋简体" w:cs="Arial"/>
          <w:b w:val="0"/>
          <w:bCs/>
          <w:sz w:val="44"/>
          <w:szCs w:val="44"/>
        </w:rPr>
        <w:t>茂县退役军人事务局</w:t>
      </w:r>
    </w:p>
    <w:p>
      <w:pPr>
        <w:keepNext w:val="0"/>
        <w:keepLines w:val="0"/>
        <w:pageBreakBefore w:val="0"/>
        <w:kinsoku/>
        <w:overflowPunct/>
        <w:topLinePunct w:val="0"/>
        <w:autoSpaceDE/>
        <w:autoSpaceDN/>
        <w:bidi w:val="0"/>
        <w:snapToGrid/>
        <w:spacing w:line="576" w:lineRule="exact"/>
        <w:jc w:val="center"/>
        <w:textAlignment w:val="auto"/>
        <w:rPr>
          <w:rFonts w:ascii="方正小标宋简体" w:hAnsi="宋体" w:eastAsia="方正小标宋简体" w:cs="宋体"/>
          <w:b/>
          <w:sz w:val="44"/>
          <w:szCs w:val="44"/>
        </w:rPr>
      </w:pPr>
      <w:r>
        <w:rPr>
          <w:rFonts w:ascii="方正小标宋简体" w:hAnsi="Arial" w:eastAsia="方正小标宋简体" w:cs="Arial"/>
          <w:b w:val="0"/>
          <w:bCs/>
          <w:sz w:val="44"/>
          <w:szCs w:val="44"/>
        </w:rPr>
        <w:t>2020</w:t>
      </w:r>
      <w:r>
        <w:rPr>
          <w:rFonts w:hint="eastAsia" w:ascii="方正小标宋简体" w:hAnsi="宋体" w:eastAsia="方正小标宋简体" w:cs="宋体"/>
          <w:b w:val="0"/>
          <w:bCs/>
          <w:sz w:val="44"/>
          <w:szCs w:val="44"/>
        </w:rPr>
        <w:t>年度</w:t>
      </w:r>
      <w:r>
        <w:rPr>
          <w:rFonts w:hint="eastAsia" w:ascii="方正小标宋简体" w:hAnsi="Arial" w:eastAsia="方正小标宋简体" w:cs="Arial"/>
          <w:b w:val="0"/>
          <w:bCs/>
          <w:sz w:val="44"/>
          <w:szCs w:val="44"/>
        </w:rPr>
        <w:t>优抚对象伤残抚恤项目</w:t>
      </w:r>
      <w:r>
        <w:rPr>
          <w:rFonts w:hint="eastAsia" w:ascii="方正小标宋简体" w:hAnsi="宋体" w:eastAsia="方正小标宋简体" w:cs="宋体"/>
          <w:b w:val="0"/>
          <w:bCs/>
          <w:sz w:val="44"/>
          <w:szCs w:val="44"/>
        </w:rPr>
        <w:t>绩效报告</w:t>
      </w:r>
    </w:p>
    <w:p>
      <w:pPr>
        <w:keepNext w:val="0"/>
        <w:keepLines w:val="0"/>
        <w:pageBreakBefore w:val="0"/>
        <w:widowControl/>
        <w:shd w:val="clear" w:color="auto" w:fill="FFFFFF"/>
        <w:kinsoku/>
        <w:overflowPunct/>
        <w:topLinePunct w:val="0"/>
        <w:autoSpaceDE/>
        <w:autoSpaceDN/>
        <w:bidi w:val="0"/>
        <w:snapToGrid/>
        <w:spacing w:line="576" w:lineRule="exact"/>
        <w:ind w:firstLine="480"/>
        <w:jc w:val="left"/>
        <w:textAlignment w:val="auto"/>
        <w:rPr>
          <w:rFonts w:hint="eastAsia" w:ascii="黑体" w:hAnsi="黑体" w:eastAsia="黑体" w:cs="黑体"/>
          <w:b w:val="0"/>
          <w:bCs w:val="0"/>
          <w:color w:val="000000"/>
          <w:kern w:val="0"/>
          <w:sz w:val="32"/>
          <w:szCs w:val="32"/>
        </w:rPr>
      </w:pPr>
    </w:p>
    <w:p>
      <w:pPr>
        <w:keepNext w:val="0"/>
        <w:keepLines w:val="0"/>
        <w:pageBreakBefore w:val="0"/>
        <w:widowControl/>
        <w:shd w:val="clear" w:color="auto" w:fill="FFFFFF"/>
        <w:kinsoku/>
        <w:overflowPunct/>
        <w:topLinePunct w:val="0"/>
        <w:autoSpaceDE/>
        <w:autoSpaceDN/>
        <w:bidi w:val="0"/>
        <w:snapToGrid/>
        <w:spacing w:line="576" w:lineRule="exact"/>
        <w:ind w:firstLine="480"/>
        <w:jc w:val="left"/>
        <w:textAlignment w:val="auto"/>
        <w:rPr>
          <w:rFonts w:ascii="宋体" w:hAnsi="宋体" w:cs="宋体"/>
          <w:b/>
          <w:bCs/>
          <w:color w:val="000000"/>
          <w:kern w:val="0"/>
          <w:sz w:val="32"/>
          <w:szCs w:val="32"/>
        </w:rPr>
      </w:pPr>
      <w:r>
        <w:rPr>
          <w:rFonts w:hint="eastAsia" w:ascii="黑体" w:hAnsi="黑体" w:eastAsia="黑体" w:cs="黑体"/>
          <w:b w:val="0"/>
          <w:bCs w:val="0"/>
          <w:color w:val="000000"/>
          <w:kern w:val="0"/>
          <w:sz w:val="32"/>
          <w:szCs w:val="32"/>
        </w:rPr>
        <w:t>一、项目概况</w:t>
      </w:r>
    </w:p>
    <w:p>
      <w:pPr>
        <w:keepNext w:val="0"/>
        <w:keepLines w:val="0"/>
        <w:pageBreakBefore w:val="0"/>
        <w:widowControl/>
        <w:shd w:val="clear" w:color="auto" w:fill="FFFFFF"/>
        <w:kinsoku/>
        <w:overflowPunct/>
        <w:topLinePunct w:val="0"/>
        <w:autoSpaceDE/>
        <w:autoSpaceDN/>
        <w:bidi w:val="0"/>
        <w:snapToGrid/>
        <w:spacing w:line="576" w:lineRule="exact"/>
        <w:ind w:firstLine="482"/>
        <w:jc w:val="left"/>
        <w:textAlignment w:val="auto"/>
        <w:rPr>
          <w:rFonts w:hint="eastAsia" w:ascii="仿宋_GB2312" w:hAnsi="Micsoft-Yahei" w:eastAsia="仿宋_GB2312" w:cs="宋体"/>
          <w:color w:val="000000"/>
          <w:kern w:val="0"/>
          <w:sz w:val="32"/>
          <w:szCs w:val="32"/>
        </w:rPr>
      </w:pPr>
      <w:r>
        <w:rPr>
          <w:rFonts w:hint="eastAsia" w:ascii="仿宋_GB2312" w:hAnsi="宋体" w:eastAsia="仿宋_GB2312" w:cs="宋体"/>
          <w:b/>
          <w:bCs/>
          <w:color w:val="000000"/>
          <w:kern w:val="0"/>
          <w:sz w:val="32"/>
          <w:szCs w:val="32"/>
        </w:rPr>
        <w:t>（一）项目情况</w:t>
      </w:r>
    </w:p>
    <w:p>
      <w:pPr>
        <w:keepNext w:val="0"/>
        <w:keepLines w:val="0"/>
        <w:pageBreakBefore w:val="0"/>
        <w:widowControl/>
        <w:shd w:val="clear" w:color="auto" w:fill="FFFFFF"/>
        <w:kinsoku/>
        <w:overflowPunct/>
        <w:topLinePunct w:val="0"/>
        <w:autoSpaceDE/>
        <w:autoSpaceDN/>
        <w:bidi w:val="0"/>
        <w:snapToGrid/>
        <w:spacing w:line="576" w:lineRule="exact"/>
        <w:ind w:firstLine="480"/>
        <w:jc w:val="left"/>
        <w:textAlignment w:val="auto"/>
        <w:rPr>
          <w:rFonts w:ascii="仿宋_GB2312" w:hAnsi="宋体" w:eastAsia="仿宋_GB2312" w:cs="宋体"/>
          <w:color w:val="000000"/>
          <w:kern w:val="0"/>
          <w:sz w:val="32"/>
          <w:szCs w:val="32"/>
        </w:rPr>
      </w:pPr>
      <w:r>
        <w:rPr>
          <w:rFonts w:ascii="仿宋_GB2312" w:hAnsi="宋体" w:eastAsia="仿宋_GB2312" w:cs="宋体"/>
          <w:color w:val="000000"/>
          <w:kern w:val="0"/>
          <w:sz w:val="32"/>
          <w:szCs w:val="32"/>
        </w:rPr>
        <w:t>1.</w:t>
      </w:r>
      <w:r>
        <w:rPr>
          <w:rFonts w:hint="eastAsia" w:ascii="仿宋_GB2312" w:hAnsi="宋体" w:eastAsia="仿宋_GB2312" w:cs="宋体"/>
          <w:color w:val="000000"/>
          <w:kern w:val="0"/>
          <w:sz w:val="32"/>
          <w:szCs w:val="32"/>
        </w:rPr>
        <w:t>项目管理中的职能</w:t>
      </w:r>
    </w:p>
    <w:p>
      <w:pPr>
        <w:keepNext w:val="0"/>
        <w:keepLines w:val="0"/>
        <w:pageBreakBefore w:val="0"/>
        <w:widowControl/>
        <w:shd w:val="clear" w:color="auto" w:fill="FFFFFF"/>
        <w:kinsoku/>
        <w:overflowPunct/>
        <w:topLinePunct w:val="0"/>
        <w:autoSpaceDE/>
        <w:autoSpaceDN/>
        <w:bidi w:val="0"/>
        <w:snapToGrid/>
        <w:spacing w:line="576" w:lineRule="exact"/>
        <w:ind w:firstLine="480"/>
        <w:jc w:val="left"/>
        <w:textAlignment w:val="auto"/>
        <w:rPr>
          <w:rFonts w:hint="eastAsia" w:ascii="仿宋_GB2312" w:hAnsi="Micsoft-Yahei" w:eastAsia="仿宋_GB2312" w:cs="宋体"/>
          <w:color w:val="000000"/>
          <w:kern w:val="0"/>
          <w:sz w:val="32"/>
          <w:szCs w:val="32"/>
        </w:rPr>
      </w:pPr>
      <w:r>
        <w:rPr>
          <w:rFonts w:hint="eastAsia" w:ascii="仿宋_GB2312" w:hAnsi="宋体" w:eastAsia="仿宋_GB2312" w:cs="宋体"/>
          <w:color w:val="000000"/>
          <w:kern w:val="0"/>
          <w:sz w:val="32"/>
          <w:szCs w:val="32"/>
        </w:rPr>
        <w:t>其职能是代表优抚对象的共同利益，维护优抚对象的合法权利；承担政府委托的任务，动员社会力量，保障优抚对象的生活水平。主要任务遵守《军人抚恤优待条例》，在党和政府的正确领导下，保障优抚对象的抚恤优待与国民经济的发展相适应，保障优抚对象生活水平不低于当地的平均生活水平。</w:t>
      </w:r>
    </w:p>
    <w:p>
      <w:pPr>
        <w:keepNext w:val="0"/>
        <w:keepLines w:val="0"/>
        <w:pageBreakBefore w:val="0"/>
        <w:kinsoku/>
        <w:overflowPunct/>
        <w:topLinePunct w:val="0"/>
        <w:autoSpaceDE/>
        <w:autoSpaceDN/>
        <w:bidi w:val="0"/>
        <w:adjustRightInd w:val="0"/>
        <w:snapToGrid/>
        <w:spacing w:line="576" w:lineRule="exact"/>
        <w:ind w:firstLine="640" w:firstLineChars="200"/>
        <w:textAlignment w:val="auto"/>
        <w:rPr>
          <w:rFonts w:ascii="仿宋_GB2312" w:hAnsi="宋体" w:eastAsia="仿宋_GB2312"/>
          <w:sz w:val="32"/>
          <w:szCs w:val="32"/>
          <w:lang w:val="zh-CN"/>
        </w:rPr>
      </w:pPr>
      <w:r>
        <w:rPr>
          <w:rFonts w:hint="eastAsia" w:ascii="仿宋_GB2312" w:hAnsi="宋体" w:eastAsia="仿宋_GB2312"/>
          <w:sz w:val="32"/>
          <w:szCs w:val="32"/>
          <w:lang w:val="zh-CN"/>
        </w:rPr>
        <w:t>2.项目立项、资金申报的依据</w:t>
      </w:r>
    </w:p>
    <w:p>
      <w:pPr>
        <w:keepNext w:val="0"/>
        <w:keepLines w:val="0"/>
        <w:pageBreakBefore w:val="0"/>
        <w:widowControl/>
        <w:shd w:val="clear" w:color="auto" w:fill="FFFFFF"/>
        <w:kinsoku/>
        <w:overflowPunct/>
        <w:topLinePunct w:val="0"/>
        <w:autoSpaceDE/>
        <w:autoSpaceDN/>
        <w:bidi w:val="0"/>
        <w:snapToGrid/>
        <w:spacing w:line="576" w:lineRule="exact"/>
        <w:ind w:firstLine="480"/>
        <w:jc w:val="left"/>
        <w:textAlignment w:val="auto"/>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落实优抚保障政策的主要依据主要有：《中华人民共和国兵役法》、《军人抚恤优待条例》、《烈士褒扬条例》、《民政部、财政部关于调整部分优抚对象抚恤补助标准的通知》等，这些为抚恤补助资金支出立项提供了充分法律和政策依据。</w:t>
      </w:r>
    </w:p>
    <w:p>
      <w:pPr>
        <w:keepNext w:val="0"/>
        <w:keepLines w:val="0"/>
        <w:pageBreakBefore w:val="0"/>
        <w:widowControl/>
        <w:shd w:val="clear" w:color="auto" w:fill="FFFFFF"/>
        <w:kinsoku/>
        <w:overflowPunct/>
        <w:topLinePunct w:val="0"/>
        <w:autoSpaceDE/>
        <w:autoSpaceDN/>
        <w:bidi w:val="0"/>
        <w:snapToGrid/>
        <w:spacing w:line="576" w:lineRule="exact"/>
        <w:ind w:firstLine="480"/>
        <w:jc w:val="left"/>
        <w:textAlignment w:val="auto"/>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3</w:t>
      </w:r>
      <w:r>
        <w:rPr>
          <w:rFonts w:ascii="仿宋_GB2312" w:hAnsi="宋体" w:eastAsia="仿宋_GB2312" w:cs="宋体"/>
          <w:color w:val="000000"/>
          <w:kern w:val="0"/>
          <w:sz w:val="32"/>
          <w:szCs w:val="32"/>
        </w:rPr>
        <w:t>.</w:t>
      </w:r>
      <w:r>
        <w:rPr>
          <w:rFonts w:hint="eastAsia" w:ascii="仿宋_GB2312" w:hAnsi="宋体" w:eastAsia="仿宋_GB2312" w:cs="宋体"/>
          <w:color w:val="000000"/>
          <w:kern w:val="0"/>
          <w:sz w:val="32"/>
          <w:szCs w:val="32"/>
        </w:rPr>
        <w:t>资金管理办法制定情况，资金支持具体项目的条件、范围与支持方式</w:t>
      </w:r>
    </w:p>
    <w:p>
      <w:pPr>
        <w:keepNext w:val="0"/>
        <w:keepLines w:val="0"/>
        <w:pageBreakBefore w:val="0"/>
        <w:widowControl/>
        <w:shd w:val="clear" w:color="auto" w:fill="FFFFFF"/>
        <w:kinsoku/>
        <w:overflowPunct/>
        <w:topLinePunct w:val="0"/>
        <w:autoSpaceDE/>
        <w:autoSpaceDN/>
        <w:bidi w:val="0"/>
        <w:snapToGrid/>
        <w:spacing w:line="576" w:lineRule="exact"/>
        <w:ind w:firstLine="480"/>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按照《军人抚恤优待条例》，我局优抚对象抚恤保障经费按照因素法进行分配，主要考虑对象人数、县财政困难程度等因素。按照资金要求做好绩效监控，确保绩效目标实现。我局优抚对象抚恤保障经费总体绩效目标是：通过发放优抚对象抚恤补助资金，保障优抚对象生活水平不低于当地的平均生活水平。</w:t>
      </w:r>
    </w:p>
    <w:p>
      <w:pPr>
        <w:keepNext w:val="0"/>
        <w:keepLines w:val="0"/>
        <w:pageBreakBefore w:val="0"/>
        <w:widowControl/>
        <w:shd w:val="clear" w:color="auto" w:fill="FFFFFF"/>
        <w:kinsoku/>
        <w:overflowPunct/>
        <w:topLinePunct w:val="0"/>
        <w:autoSpaceDE/>
        <w:autoSpaceDN/>
        <w:bidi w:val="0"/>
        <w:snapToGrid/>
        <w:spacing w:line="576" w:lineRule="exact"/>
        <w:ind w:firstLine="480"/>
        <w:jc w:val="left"/>
        <w:textAlignment w:val="auto"/>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4</w:t>
      </w:r>
      <w:r>
        <w:rPr>
          <w:rFonts w:ascii="仿宋_GB2312" w:hAnsi="宋体" w:eastAsia="仿宋_GB2312" w:cs="宋体"/>
          <w:color w:val="000000"/>
          <w:kern w:val="0"/>
          <w:sz w:val="32"/>
          <w:szCs w:val="32"/>
        </w:rPr>
        <w:t>.</w:t>
      </w:r>
      <w:r>
        <w:rPr>
          <w:rFonts w:hint="eastAsia" w:ascii="仿宋_GB2312" w:hAnsi="宋体" w:eastAsia="仿宋_GB2312" w:cs="宋体"/>
          <w:color w:val="000000"/>
          <w:kern w:val="0"/>
          <w:sz w:val="32"/>
          <w:szCs w:val="32"/>
        </w:rPr>
        <w:t>资金分配的原则及考虑的因素</w:t>
      </w:r>
    </w:p>
    <w:p>
      <w:pPr>
        <w:keepNext w:val="0"/>
        <w:keepLines w:val="0"/>
        <w:pageBreakBefore w:val="0"/>
        <w:widowControl/>
        <w:shd w:val="clear" w:color="auto" w:fill="FFFFFF"/>
        <w:kinsoku/>
        <w:overflowPunct/>
        <w:topLinePunct w:val="0"/>
        <w:autoSpaceDE/>
        <w:autoSpaceDN/>
        <w:bidi w:val="0"/>
        <w:snapToGrid/>
        <w:spacing w:line="576" w:lineRule="exact"/>
        <w:ind w:firstLine="480"/>
        <w:jc w:val="left"/>
        <w:textAlignment w:val="auto"/>
        <w:rPr>
          <w:rFonts w:hint="eastAsia" w:ascii="仿宋_GB2312" w:hAnsi="Micsoft-Yahei" w:eastAsia="仿宋_GB2312" w:cs="宋体"/>
          <w:color w:val="000000"/>
          <w:kern w:val="0"/>
          <w:sz w:val="32"/>
          <w:szCs w:val="32"/>
        </w:rPr>
      </w:pPr>
      <w:r>
        <w:rPr>
          <w:rFonts w:hint="eastAsia" w:ascii="仿宋_GB2312" w:hAnsi="仿宋_GB2312" w:eastAsia="仿宋_GB2312" w:cs="仿宋_GB2312"/>
          <w:color w:val="000000"/>
          <w:kern w:val="0"/>
          <w:sz w:val="32"/>
          <w:szCs w:val="32"/>
        </w:rPr>
        <w:t>按照《军人抚恤优待条例》，我局优抚对象抚恤保障经费按照因素法进行分配，主要考虑对象人数、县财政困难程度等因素</w:t>
      </w:r>
      <w:r>
        <w:rPr>
          <w:rFonts w:hint="eastAsia" w:ascii="仿宋_GB2312" w:hAnsi="宋体" w:eastAsia="仿宋_GB2312" w:cs="宋体"/>
          <w:color w:val="000000"/>
          <w:kern w:val="0"/>
          <w:sz w:val="32"/>
          <w:szCs w:val="32"/>
        </w:rPr>
        <w:t>。</w:t>
      </w:r>
    </w:p>
    <w:p>
      <w:pPr>
        <w:keepNext w:val="0"/>
        <w:keepLines w:val="0"/>
        <w:pageBreakBefore w:val="0"/>
        <w:widowControl/>
        <w:shd w:val="clear" w:color="auto" w:fill="FFFFFF"/>
        <w:kinsoku/>
        <w:overflowPunct/>
        <w:topLinePunct w:val="0"/>
        <w:autoSpaceDE/>
        <w:autoSpaceDN/>
        <w:bidi w:val="0"/>
        <w:snapToGrid/>
        <w:spacing w:line="576" w:lineRule="exact"/>
        <w:ind w:firstLine="480"/>
        <w:jc w:val="left"/>
        <w:textAlignment w:val="auto"/>
        <w:rPr>
          <w:rFonts w:hint="eastAsia" w:ascii="Micsoft-Yahei" w:hAnsi="Micsoft-Yahei" w:cs="宋体"/>
          <w:b/>
          <w:bCs/>
          <w:color w:val="000000"/>
          <w:kern w:val="0"/>
          <w:sz w:val="32"/>
          <w:szCs w:val="32"/>
        </w:rPr>
      </w:pPr>
      <w:r>
        <w:rPr>
          <w:rFonts w:hint="eastAsia" w:ascii="宋体" w:hAnsi="宋体" w:cs="宋体"/>
          <w:b/>
          <w:bCs/>
          <w:color w:val="000000"/>
          <w:kern w:val="0"/>
          <w:sz w:val="32"/>
          <w:szCs w:val="32"/>
        </w:rPr>
        <w:t>（二）项目绩效目标</w:t>
      </w:r>
    </w:p>
    <w:p>
      <w:pPr>
        <w:keepNext w:val="0"/>
        <w:keepLines w:val="0"/>
        <w:pageBreakBefore w:val="0"/>
        <w:widowControl/>
        <w:shd w:val="clear" w:color="auto" w:fill="FFFFFF"/>
        <w:kinsoku/>
        <w:overflowPunct/>
        <w:topLinePunct w:val="0"/>
        <w:autoSpaceDE/>
        <w:autoSpaceDN/>
        <w:bidi w:val="0"/>
        <w:snapToGrid/>
        <w:spacing w:line="576" w:lineRule="exact"/>
        <w:ind w:firstLine="480"/>
        <w:jc w:val="left"/>
        <w:textAlignment w:val="auto"/>
        <w:rPr>
          <w:rFonts w:hint="eastAsia" w:ascii="仿宋_GB2312" w:hAnsi="Micsoft-Yahei" w:eastAsia="仿宋_GB2312" w:cs="宋体"/>
          <w:color w:val="000000"/>
          <w:kern w:val="0"/>
          <w:sz w:val="32"/>
          <w:szCs w:val="32"/>
        </w:rPr>
      </w:pPr>
      <w:r>
        <w:rPr>
          <w:rFonts w:hint="eastAsia" w:ascii="仿宋_GB2312" w:hAnsi="仿宋_GB2312" w:eastAsia="仿宋_GB2312" w:cs="仿宋_GB2312"/>
          <w:color w:val="000000"/>
          <w:kern w:val="0"/>
          <w:sz w:val="32"/>
          <w:szCs w:val="32"/>
        </w:rPr>
        <w:t>1、项目主要内容。保障优抚对象的抚恤优待与国民经济的发展相适应，保障优抚对象生活水平不低于当地的平均生活水平。</w:t>
      </w:r>
    </w:p>
    <w:p>
      <w:pPr>
        <w:keepNext w:val="0"/>
        <w:keepLines w:val="0"/>
        <w:pageBreakBefore w:val="0"/>
        <w:widowControl/>
        <w:shd w:val="clear" w:color="auto" w:fill="FFFFFF"/>
        <w:kinsoku/>
        <w:overflowPunct/>
        <w:topLinePunct w:val="0"/>
        <w:autoSpaceDE/>
        <w:autoSpaceDN/>
        <w:bidi w:val="0"/>
        <w:snapToGrid/>
        <w:spacing w:line="576" w:lineRule="exact"/>
        <w:ind w:firstLine="560"/>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2、项目绩效目标。通过发放优抚对象抚恤补助资金，保障优抚对象生活水平不低于当地的平均生活水平。</w:t>
      </w:r>
    </w:p>
    <w:p>
      <w:pPr>
        <w:keepNext w:val="0"/>
        <w:keepLines w:val="0"/>
        <w:pageBreakBefore w:val="0"/>
        <w:widowControl/>
        <w:shd w:val="clear" w:color="auto" w:fill="FFFFFF"/>
        <w:kinsoku/>
        <w:overflowPunct/>
        <w:topLinePunct w:val="0"/>
        <w:autoSpaceDE/>
        <w:autoSpaceDN/>
        <w:bidi w:val="0"/>
        <w:snapToGrid/>
        <w:spacing w:line="576" w:lineRule="exact"/>
        <w:ind w:firstLine="560"/>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3、项目资金管理情况分析。严格执行《军人抚恤优待条例》，加强资金分配和使用管理，定期报送进展情况，强化绩效跟踪，自觉接受纪检、审计部门的监督，切实提升资金使用效益。</w:t>
      </w:r>
    </w:p>
    <w:p>
      <w:pPr>
        <w:keepNext w:val="0"/>
        <w:keepLines w:val="0"/>
        <w:pageBreakBefore w:val="0"/>
        <w:widowControl/>
        <w:shd w:val="clear" w:color="auto" w:fill="FFFFFF"/>
        <w:kinsoku/>
        <w:overflowPunct/>
        <w:topLinePunct w:val="0"/>
        <w:autoSpaceDE/>
        <w:autoSpaceDN/>
        <w:bidi w:val="0"/>
        <w:snapToGrid/>
        <w:spacing w:line="576" w:lineRule="exact"/>
        <w:ind w:firstLine="482"/>
        <w:jc w:val="left"/>
        <w:textAlignment w:val="auto"/>
        <w:rPr>
          <w:rFonts w:ascii="宋体" w:hAnsi="宋体" w:cs="宋体"/>
          <w:b/>
          <w:bCs/>
          <w:color w:val="000000"/>
          <w:kern w:val="0"/>
          <w:sz w:val="32"/>
          <w:szCs w:val="32"/>
        </w:rPr>
      </w:pPr>
      <w:r>
        <w:rPr>
          <w:rFonts w:hint="eastAsia" w:ascii="宋体" w:hAnsi="宋体" w:cs="宋体"/>
          <w:b/>
          <w:bCs/>
          <w:color w:val="000000"/>
          <w:kern w:val="0"/>
          <w:sz w:val="32"/>
          <w:szCs w:val="32"/>
        </w:rPr>
        <w:t>（三）项目自评步骤及方法</w:t>
      </w:r>
    </w:p>
    <w:p>
      <w:pPr>
        <w:keepNext w:val="0"/>
        <w:keepLines w:val="0"/>
        <w:pageBreakBefore w:val="0"/>
        <w:widowControl/>
        <w:shd w:val="clear" w:color="auto" w:fill="FFFFFF"/>
        <w:kinsoku/>
        <w:overflowPunct/>
        <w:topLinePunct w:val="0"/>
        <w:autoSpaceDE/>
        <w:autoSpaceDN/>
        <w:bidi w:val="0"/>
        <w:snapToGrid/>
        <w:spacing w:line="576" w:lineRule="exact"/>
        <w:ind w:firstLine="480"/>
        <w:jc w:val="left"/>
        <w:textAlignment w:val="auto"/>
        <w:rPr>
          <w:rFonts w:ascii="微软雅黑" w:hAnsi="微软雅黑" w:eastAsia="微软雅黑" w:cs="宋体"/>
          <w:color w:val="000000"/>
          <w:kern w:val="0"/>
          <w:sz w:val="24"/>
        </w:rPr>
      </w:pPr>
      <w:r>
        <w:rPr>
          <w:rFonts w:hint="eastAsia" w:ascii="仿宋" w:hAnsi="仿宋" w:eastAsia="仿宋" w:cs="宋体"/>
          <w:b/>
          <w:bCs/>
          <w:color w:val="000000"/>
          <w:kern w:val="0"/>
          <w:sz w:val="32"/>
          <w:szCs w:val="32"/>
        </w:rPr>
        <w:t>（一）绩效评价的组织工作</w:t>
      </w:r>
    </w:p>
    <w:p>
      <w:pPr>
        <w:keepNext w:val="0"/>
        <w:keepLines w:val="0"/>
        <w:pageBreakBefore w:val="0"/>
        <w:widowControl/>
        <w:shd w:val="clear" w:color="auto" w:fill="FFFFFF"/>
        <w:kinsoku/>
        <w:overflowPunct/>
        <w:topLinePunct w:val="0"/>
        <w:autoSpaceDE/>
        <w:autoSpaceDN/>
        <w:bidi w:val="0"/>
        <w:snapToGrid/>
        <w:spacing w:line="576" w:lineRule="exact"/>
        <w:ind w:firstLine="560"/>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根据财政局《关于开展2021年部门、政策和项目支出绩效评价工作的通知》（茂财[2021]49号）文件通知，我局对“优抚对象伤残抚恤补助”项目进行绩效评价，成立绩效评价工作小组，召开专题工作会议进行部署，对优抚对象抚恤补助经费进行核查，力求数据准确，标准合理，指标科学，考评严格。</w:t>
      </w:r>
    </w:p>
    <w:p>
      <w:pPr>
        <w:keepNext w:val="0"/>
        <w:keepLines w:val="0"/>
        <w:pageBreakBefore w:val="0"/>
        <w:widowControl/>
        <w:shd w:val="clear" w:color="auto" w:fill="FFFFFF"/>
        <w:kinsoku/>
        <w:overflowPunct/>
        <w:topLinePunct w:val="0"/>
        <w:autoSpaceDE/>
        <w:autoSpaceDN/>
        <w:bidi w:val="0"/>
        <w:snapToGrid/>
        <w:spacing w:line="576" w:lineRule="exact"/>
        <w:ind w:firstLine="560"/>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工作小组针对项目进行前期调研，对相关文件、申报资料等资料进行收集整理，查询相关数据和记账凭证进行核实、汇总，结合具体项目内容，设计绩效评价的指标体系，真实、完整、全面的评价项目的实施建设及完成情况。</w:t>
      </w:r>
    </w:p>
    <w:p>
      <w:pPr>
        <w:keepNext w:val="0"/>
        <w:keepLines w:val="0"/>
        <w:pageBreakBefore w:val="0"/>
        <w:widowControl/>
        <w:shd w:val="clear" w:color="auto" w:fill="FFFFFF"/>
        <w:kinsoku/>
        <w:overflowPunct/>
        <w:topLinePunct w:val="0"/>
        <w:autoSpaceDE/>
        <w:autoSpaceDN/>
        <w:bidi w:val="0"/>
        <w:snapToGrid/>
        <w:spacing w:line="576" w:lineRule="exact"/>
        <w:ind w:firstLine="560"/>
        <w:jc w:val="left"/>
        <w:textAlignment w:val="auto"/>
        <w:rPr>
          <w:rFonts w:ascii="微软雅黑" w:hAnsi="微软雅黑" w:eastAsia="微软雅黑" w:cs="宋体"/>
          <w:color w:val="000000"/>
          <w:kern w:val="0"/>
          <w:sz w:val="24"/>
        </w:rPr>
      </w:pPr>
      <w:r>
        <w:rPr>
          <w:rFonts w:hint="eastAsia" w:ascii="仿宋" w:hAnsi="仿宋" w:eastAsia="仿宋" w:cs="宋体"/>
          <w:b/>
          <w:bCs/>
          <w:color w:val="000000"/>
          <w:kern w:val="0"/>
          <w:sz w:val="32"/>
          <w:szCs w:val="32"/>
        </w:rPr>
        <w:t>（二）绩效评价的方法和过程</w:t>
      </w:r>
    </w:p>
    <w:p>
      <w:pPr>
        <w:keepNext w:val="0"/>
        <w:keepLines w:val="0"/>
        <w:pageBreakBefore w:val="0"/>
        <w:widowControl/>
        <w:shd w:val="clear" w:color="auto" w:fill="FFFFFF"/>
        <w:kinsoku/>
        <w:overflowPunct/>
        <w:topLinePunct w:val="0"/>
        <w:autoSpaceDE/>
        <w:autoSpaceDN/>
        <w:bidi w:val="0"/>
        <w:snapToGrid/>
        <w:spacing w:line="576" w:lineRule="exact"/>
        <w:ind w:firstLine="560"/>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本次绩效评价采用以下方法：一是资料整理法。通过对相关表格和记账凭证等财务资料查阅、核实、汇总分析，评价项目资金使用的规范性、支出范围的相关性和合理性等。二是访谈调查法。了解优抚对象对抚恤补助方面的满意程度，以优抚对象的满意度为评价标准衡量抚恤补助项目开展的效果。</w:t>
      </w:r>
    </w:p>
    <w:p>
      <w:pPr>
        <w:keepNext w:val="0"/>
        <w:keepLines w:val="0"/>
        <w:pageBreakBefore w:val="0"/>
        <w:widowControl/>
        <w:shd w:val="clear" w:color="auto" w:fill="FFFFFF"/>
        <w:kinsoku/>
        <w:overflowPunct/>
        <w:topLinePunct w:val="0"/>
        <w:autoSpaceDE/>
        <w:autoSpaceDN/>
        <w:bidi w:val="0"/>
        <w:snapToGrid/>
        <w:spacing w:line="576" w:lineRule="exact"/>
        <w:ind w:firstLine="560"/>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通过以上方法收集有关资料，进行研究分析，确定各项指标完成程度及得分，找出项目实施中存在的问题，分析原因，提出建议，形成绩效评价报告。</w:t>
      </w:r>
    </w:p>
    <w:p>
      <w:pPr>
        <w:keepNext w:val="0"/>
        <w:keepLines w:val="0"/>
        <w:pageBreakBefore w:val="0"/>
        <w:widowControl/>
        <w:shd w:val="clear" w:color="auto" w:fill="FFFFFF"/>
        <w:kinsoku/>
        <w:overflowPunct/>
        <w:topLinePunct w:val="0"/>
        <w:autoSpaceDE/>
        <w:autoSpaceDN/>
        <w:bidi w:val="0"/>
        <w:snapToGrid/>
        <w:spacing w:line="576" w:lineRule="exact"/>
        <w:ind w:firstLine="482"/>
        <w:jc w:val="left"/>
        <w:textAlignment w:val="auto"/>
        <w:rPr>
          <w:rFonts w:hint="eastAsia" w:ascii="黑体" w:hAnsi="黑体" w:eastAsia="黑体" w:cs="黑体"/>
          <w:b w:val="0"/>
          <w:bCs w:val="0"/>
          <w:color w:val="000000"/>
          <w:kern w:val="0"/>
          <w:sz w:val="32"/>
          <w:szCs w:val="32"/>
        </w:rPr>
      </w:pPr>
      <w:r>
        <w:rPr>
          <w:rFonts w:hint="eastAsia" w:ascii="黑体" w:hAnsi="黑体" w:eastAsia="黑体" w:cs="黑体"/>
          <w:b w:val="0"/>
          <w:bCs w:val="0"/>
          <w:color w:val="000000"/>
          <w:kern w:val="0"/>
          <w:sz w:val="32"/>
          <w:szCs w:val="32"/>
        </w:rPr>
        <w:t>二、项目资金申报及使用情况</w:t>
      </w:r>
    </w:p>
    <w:p>
      <w:pPr>
        <w:keepNext w:val="0"/>
        <w:keepLines w:val="0"/>
        <w:pageBreakBefore w:val="0"/>
        <w:widowControl/>
        <w:shd w:val="clear" w:color="auto" w:fill="FFFFFF"/>
        <w:kinsoku/>
        <w:overflowPunct/>
        <w:topLinePunct w:val="0"/>
        <w:autoSpaceDE/>
        <w:autoSpaceDN/>
        <w:bidi w:val="0"/>
        <w:snapToGrid/>
        <w:spacing w:line="576" w:lineRule="exact"/>
        <w:ind w:firstLine="482"/>
        <w:jc w:val="left"/>
        <w:textAlignment w:val="auto"/>
        <w:rPr>
          <w:rFonts w:ascii="宋体" w:hAnsi="宋体" w:cs="宋体"/>
          <w:b/>
          <w:bCs/>
          <w:color w:val="000000"/>
          <w:kern w:val="0"/>
          <w:sz w:val="32"/>
          <w:szCs w:val="32"/>
        </w:rPr>
      </w:pPr>
      <w:r>
        <w:rPr>
          <w:rFonts w:hint="eastAsia" w:ascii="宋体" w:hAnsi="宋体" w:cs="宋体"/>
          <w:b/>
          <w:bCs/>
          <w:color w:val="000000"/>
          <w:kern w:val="0"/>
          <w:sz w:val="32"/>
          <w:szCs w:val="32"/>
        </w:rPr>
        <w:t>（一）项目资金申报及批复情况</w:t>
      </w:r>
    </w:p>
    <w:p>
      <w:pPr>
        <w:keepNext w:val="0"/>
        <w:keepLines w:val="0"/>
        <w:pageBreakBefore w:val="0"/>
        <w:widowControl/>
        <w:shd w:val="clear" w:color="auto" w:fill="FFFFFF"/>
        <w:kinsoku/>
        <w:overflowPunct/>
        <w:topLinePunct w:val="0"/>
        <w:autoSpaceDE/>
        <w:autoSpaceDN/>
        <w:bidi w:val="0"/>
        <w:snapToGrid/>
        <w:spacing w:line="576" w:lineRule="exact"/>
        <w:ind w:firstLine="560"/>
        <w:jc w:val="left"/>
        <w:textAlignment w:val="auto"/>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根据《财政局关于下达2020年中央、省、州级财政优抚对象抚恤和生活补助经费的通知》茂财社〔2020〕32号）等文件下拨资金共计44.21万元，优抚对象抚恤经费全额来源于上级拨付。</w:t>
      </w:r>
    </w:p>
    <w:p>
      <w:pPr>
        <w:keepNext w:val="0"/>
        <w:keepLines w:val="0"/>
        <w:pageBreakBefore w:val="0"/>
        <w:kinsoku/>
        <w:overflowPunct/>
        <w:topLinePunct w:val="0"/>
        <w:autoSpaceDE/>
        <w:autoSpaceDN/>
        <w:bidi w:val="0"/>
        <w:adjustRightInd w:val="0"/>
        <w:snapToGrid/>
        <w:spacing w:line="576" w:lineRule="exact"/>
        <w:ind w:firstLine="359" w:firstLineChars="112"/>
        <w:textAlignment w:val="auto"/>
        <w:rPr>
          <w:rFonts w:ascii="仿宋_GB2312" w:hAnsi="宋体" w:eastAsia="仿宋_GB2312"/>
          <w:b/>
          <w:bCs/>
          <w:sz w:val="32"/>
          <w:szCs w:val="32"/>
          <w:lang w:val="zh-CN"/>
        </w:rPr>
      </w:pPr>
      <w:r>
        <w:rPr>
          <w:rFonts w:hint="eastAsia" w:ascii="仿宋_GB2312" w:hAnsi="宋体" w:eastAsia="仿宋_GB2312"/>
          <w:b/>
          <w:bCs/>
          <w:sz w:val="32"/>
          <w:szCs w:val="32"/>
          <w:lang w:val="zh-CN"/>
        </w:rPr>
        <w:t>（二）资金计划、到位及使用情况</w:t>
      </w:r>
    </w:p>
    <w:p>
      <w:pPr>
        <w:keepNext w:val="0"/>
        <w:keepLines w:val="0"/>
        <w:pageBreakBefore w:val="0"/>
        <w:widowControl/>
        <w:shd w:val="clear" w:color="auto" w:fill="FFFFFF"/>
        <w:kinsoku/>
        <w:overflowPunct/>
        <w:topLinePunct w:val="0"/>
        <w:autoSpaceDE/>
        <w:autoSpaceDN/>
        <w:bidi w:val="0"/>
        <w:snapToGrid/>
        <w:spacing w:line="576" w:lineRule="exact"/>
        <w:ind w:firstLine="560"/>
        <w:jc w:val="left"/>
        <w:textAlignment w:val="auto"/>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1、资金计划及到位</w:t>
      </w:r>
    </w:p>
    <w:p>
      <w:pPr>
        <w:keepNext w:val="0"/>
        <w:keepLines w:val="0"/>
        <w:pageBreakBefore w:val="0"/>
        <w:widowControl/>
        <w:shd w:val="clear" w:color="auto" w:fill="FFFFFF"/>
        <w:kinsoku/>
        <w:overflowPunct/>
        <w:topLinePunct w:val="0"/>
        <w:autoSpaceDE/>
        <w:autoSpaceDN/>
        <w:bidi w:val="0"/>
        <w:snapToGrid/>
        <w:spacing w:line="576" w:lineRule="exact"/>
        <w:ind w:firstLine="560"/>
        <w:jc w:val="left"/>
        <w:textAlignment w:val="auto"/>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2020年财政共拨付优抚对象抚恤补助资金</w:t>
      </w:r>
      <w:r>
        <w:rPr>
          <w:rFonts w:hint="eastAsia" w:ascii="仿宋_GB2312" w:hAnsi="仿宋_GB2312" w:eastAsia="仿宋_GB2312" w:cs="仿宋_GB2312"/>
          <w:color w:val="000000"/>
          <w:kern w:val="0"/>
          <w:sz w:val="32"/>
          <w:szCs w:val="32"/>
        </w:rPr>
        <w:t>44.21万元</w:t>
      </w:r>
      <w:r>
        <w:rPr>
          <w:rFonts w:hint="eastAsia" w:ascii="仿宋_GB2312" w:hAnsi="仿宋_GB2312" w:eastAsia="仿宋_GB2312" w:cs="仿宋_GB2312"/>
          <w:color w:val="000000"/>
          <w:kern w:val="0"/>
          <w:sz w:val="32"/>
          <w:szCs w:val="32"/>
          <w:lang w:val="zh-CN"/>
        </w:rPr>
        <w:t>，</w:t>
      </w:r>
      <w:r>
        <w:rPr>
          <w:rFonts w:hint="eastAsia" w:ascii="仿宋_GB2312" w:hAnsi="仿宋_GB2312" w:eastAsia="仿宋_GB2312" w:cs="仿宋_GB2312"/>
          <w:color w:val="000000"/>
          <w:kern w:val="0"/>
          <w:sz w:val="32"/>
          <w:szCs w:val="32"/>
        </w:rPr>
        <w:t>资金</w:t>
      </w:r>
      <w:r>
        <w:rPr>
          <w:rFonts w:hint="eastAsia" w:ascii="仿宋_GB2312" w:hAnsi="仿宋_GB2312" w:eastAsia="仿宋_GB2312" w:cs="仿宋_GB2312"/>
          <w:color w:val="000000"/>
          <w:kern w:val="0"/>
          <w:sz w:val="32"/>
          <w:szCs w:val="32"/>
          <w:lang w:val="zh-CN"/>
        </w:rPr>
        <w:t>到位率100%。</w:t>
      </w:r>
    </w:p>
    <w:p>
      <w:pPr>
        <w:keepNext w:val="0"/>
        <w:keepLines w:val="0"/>
        <w:pageBreakBefore w:val="0"/>
        <w:widowControl/>
        <w:shd w:val="clear" w:color="auto" w:fill="FFFFFF"/>
        <w:kinsoku/>
        <w:overflowPunct/>
        <w:topLinePunct w:val="0"/>
        <w:autoSpaceDE/>
        <w:autoSpaceDN/>
        <w:bidi w:val="0"/>
        <w:snapToGrid/>
        <w:spacing w:line="576" w:lineRule="exact"/>
        <w:ind w:firstLine="560"/>
        <w:jc w:val="left"/>
        <w:textAlignment w:val="auto"/>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2、资金使用</w:t>
      </w:r>
    </w:p>
    <w:p>
      <w:pPr>
        <w:keepNext w:val="0"/>
        <w:keepLines w:val="0"/>
        <w:pageBreakBefore w:val="0"/>
        <w:widowControl/>
        <w:shd w:val="clear" w:color="auto" w:fill="FFFFFF"/>
        <w:kinsoku/>
        <w:overflowPunct/>
        <w:topLinePunct w:val="0"/>
        <w:autoSpaceDE/>
        <w:autoSpaceDN/>
        <w:bidi w:val="0"/>
        <w:snapToGrid/>
        <w:spacing w:line="576" w:lineRule="exact"/>
        <w:ind w:firstLine="560"/>
        <w:jc w:val="left"/>
        <w:textAlignment w:val="auto"/>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按资金性质及时申报，在金财大平台上申请资金。2020年共支付优抚对象伤残抚恤补助资金</w:t>
      </w:r>
      <w:r>
        <w:rPr>
          <w:rFonts w:hint="eastAsia" w:ascii="仿宋_GB2312" w:hAnsi="仿宋_GB2312" w:eastAsia="仿宋_GB2312" w:cs="仿宋_GB2312"/>
          <w:color w:val="000000"/>
          <w:kern w:val="0"/>
          <w:sz w:val="32"/>
          <w:szCs w:val="32"/>
        </w:rPr>
        <w:t>48.79万</w:t>
      </w:r>
      <w:r>
        <w:rPr>
          <w:rFonts w:hint="eastAsia" w:ascii="仿宋_GB2312" w:hAnsi="仿宋_GB2312" w:eastAsia="仿宋_GB2312" w:cs="仿宋_GB2312"/>
          <w:color w:val="000000"/>
          <w:kern w:val="0"/>
          <w:sz w:val="32"/>
          <w:szCs w:val="32"/>
          <w:lang w:val="zh-CN"/>
        </w:rPr>
        <w:t>元。</w:t>
      </w:r>
    </w:p>
    <w:p>
      <w:pPr>
        <w:keepNext w:val="0"/>
        <w:keepLines w:val="0"/>
        <w:pageBreakBefore w:val="0"/>
        <w:widowControl/>
        <w:shd w:val="clear" w:color="auto" w:fill="FFFFFF"/>
        <w:kinsoku/>
        <w:overflowPunct/>
        <w:topLinePunct w:val="0"/>
        <w:autoSpaceDE/>
        <w:autoSpaceDN/>
        <w:bidi w:val="0"/>
        <w:snapToGrid/>
        <w:spacing w:line="576" w:lineRule="exact"/>
        <w:ind w:firstLine="560"/>
        <w:jc w:val="left"/>
        <w:textAlignment w:val="auto"/>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（三）项目财务管理情况。</w:t>
      </w:r>
    </w:p>
    <w:p>
      <w:pPr>
        <w:keepNext w:val="0"/>
        <w:keepLines w:val="0"/>
        <w:pageBreakBefore w:val="0"/>
        <w:widowControl/>
        <w:shd w:val="clear" w:color="auto" w:fill="FFFFFF"/>
        <w:kinsoku/>
        <w:overflowPunct/>
        <w:topLinePunct w:val="0"/>
        <w:autoSpaceDE/>
        <w:autoSpaceDN/>
        <w:bidi w:val="0"/>
        <w:snapToGrid/>
        <w:spacing w:line="576" w:lineRule="exact"/>
        <w:ind w:firstLine="560"/>
        <w:jc w:val="left"/>
        <w:textAlignment w:val="auto"/>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项目实行专账专管，对资金的会计核算及账务处理做到及时性、规范性和准确性。在资金的管理工作中做到不截留、不挤占、不挪用。</w:t>
      </w:r>
    </w:p>
    <w:p>
      <w:pPr>
        <w:keepNext w:val="0"/>
        <w:keepLines w:val="0"/>
        <w:pageBreakBefore w:val="0"/>
        <w:kinsoku/>
        <w:overflowPunct/>
        <w:topLinePunct w:val="0"/>
        <w:autoSpaceDE/>
        <w:autoSpaceDN/>
        <w:bidi w:val="0"/>
        <w:adjustRightInd w:val="0"/>
        <w:snapToGrid/>
        <w:spacing w:line="576" w:lineRule="exact"/>
        <w:ind w:firstLine="720"/>
        <w:textAlignment w:val="auto"/>
        <w:rPr>
          <w:rFonts w:ascii="黑体" w:hAnsi="宋体" w:eastAsia="黑体"/>
          <w:sz w:val="32"/>
          <w:szCs w:val="32"/>
        </w:rPr>
      </w:pPr>
      <w:r>
        <w:rPr>
          <w:rFonts w:hint="eastAsia" w:ascii="黑体" w:hAnsi="宋体" w:eastAsia="黑体"/>
          <w:sz w:val="32"/>
          <w:szCs w:val="32"/>
        </w:rPr>
        <w:t>三、项目实施及管理情况</w:t>
      </w:r>
    </w:p>
    <w:p>
      <w:pPr>
        <w:keepNext w:val="0"/>
        <w:keepLines w:val="0"/>
        <w:pageBreakBefore w:val="0"/>
        <w:widowControl/>
        <w:shd w:val="clear" w:color="auto" w:fill="FFFFFF"/>
        <w:kinsoku/>
        <w:overflowPunct/>
        <w:topLinePunct w:val="0"/>
        <w:autoSpaceDE/>
        <w:autoSpaceDN/>
        <w:bidi w:val="0"/>
        <w:snapToGrid/>
        <w:spacing w:line="576" w:lineRule="exact"/>
        <w:ind w:firstLine="560"/>
        <w:jc w:val="left"/>
        <w:textAlignment w:val="auto"/>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（一）项目组织情况</w:t>
      </w:r>
    </w:p>
    <w:p>
      <w:pPr>
        <w:keepNext w:val="0"/>
        <w:keepLines w:val="0"/>
        <w:pageBreakBefore w:val="0"/>
        <w:widowControl/>
        <w:shd w:val="clear" w:color="auto" w:fill="FFFFFF"/>
        <w:kinsoku/>
        <w:overflowPunct/>
        <w:topLinePunct w:val="0"/>
        <w:autoSpaceDE/>
        <w:autoSpaceDN/>
        <w:bidi w:val="0"/>
        <w:snapToGrid/>
        <w:spacing w:line="576" w:lineRule="exact"/>
        <w:ind w:firstLine="560"/>
        <w:jc w:val="left"/>
        <w:textAlignment w:val="auto"/>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优抚对象抚恤补助工作组织机构健全、职责分工明确。由茂县退役军人服务中心具体推进项目的落实。</w:t>
      </w:r>
    </w:p>
    <w:p>
      <w:pPr>
        <w:keepNext w:val="0"/>
        <w:keepLines w:val="0"/>
        <w:pageBreakBefore w:val="0"/>
        <w:widowControl/>
        <w:shd w:val="clear" w:color="auto" w:fill="FFFFFF"/>
        <w:kinsoku/>
        <w:overflowPunct/>
        <w:topLinePunct w:val="0"/>
        <w:autoSpaceDE/>
        <w:autoSpaceDN/>
        <w:bidi w:val="0"/>
        <w:snapToGrid/>
        <w:spacing w:line="576" w:lineRule="exact"/>
        <w:ind w:firstLine="560"/>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（二）项目管理情况</w:t>
      </w:r>
    </w:p>
    <w:p>
      <w:pPr>
        <w:keepNext w:val="0"/>
        <w:keepLines w:val="0"/>
        <w:pageBreakBefore w:val="0"/>
        <w:widowControl/>
        <w:shd w:val="clear" w:color="auto" w:fill="FFFFFF"/>
        <w:kinsoku/>
        <w:overflowPunct/>
        <w:topLinePunct w:val="0"/>
        <w:autoSpaceDE/>
        <w:autoSpaceDN/>
        <w:bidi w:val="0"/>
        <w:snapToGrid/>
        <w:spacing w:line="576" w:lineRule="exact"/>
        <w:ind w:firstLine="560"/>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优抚对象抚恤补助资金管理严格按《军人抚恤优待条例》执行,确保抚恤补助项目的规范有序实施,同时发放审批档案资料齐全、完整、规范。</w:t>
      </w:r>
    </w:p>
    <w:p>
      <w:pPr>
        <w:keepNext w:val="0"/>
        <w:keepLines w:val="0"/>
        <w:pageBreakBefore w:val="0"/>
        <w:widowControl/>
        <w:shd w:val="clear" w:color="auto" w:fill="FFFFFF"/>
        <w:kinsoku/>
        <w:overflowPunct/>
        <w:topLinePunct w:val="0"/>
        <w:autoSpaceDE/>
        <w:autoSpaceDN/>
        <w:bidi w:val="0"/>
        <w:snapToGrid/>
        <w:spacing w:line="576" w:lineRule="exact"/>
        <w:ind w:firstLine="560"/>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（三）项目监管情况</w:t>
      </w:r>
    </w:p>
    <w:p>
      <w:pPr>
        <w:keepNext w:val="0"/>
        <w:keepLines w:val="0"/>
        <w:pageBreakBefore w:val="0"/>
        <w:widowControl/>
        <w:shd w:val="clear" w:color="auto" w:fill="FFFFFF"/>
        <w:kinsoku/>
        <w:overflowPunct/>
        <w:topLinePunct w:val="0"/>
        <w:autoSpaceDE/>
        <w:autoSpaceDN/>
        <w:bidi w:val="0"/>
        <w:snapToGrid/>
        <w:spacing w:line="576" w:lineRule="exact"/>
        <w:ind w:firstLine="560"/>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我局内审机构定期对发放情况进行检查，不重报</w:t>
      </w:r>
    </w:p>
    <w:p>
      <w:pPr>
        <w:keepNext w:val="0"/>
        <w:keepLines w:val="0"/>
        <w:pageBreakBefore w:val="0"/>
        <w:widowControl/>
        <w:shd w:val="clear" w:color="auto" w:fill="FFFFFF"/>
        <w:kinsoku/>
        <w:overflowPunct/>
        <w:topLinePunct w:val="0"/>
        <w:autoSpaceDE/>
        <w:autoSpaceDN/>
        <w:bidi w:val="0"/>
        <w:snapToGrid/>
        <w:spacing w:line="576" w:lineRule="exact"/>
        <w:ind w:firstLine="560"/>
        <w:jc w:val="left"/>
        <w:textAlignment w:val="auto"/>
        <w:rPr>
          <w:rFonts w:ascii="仿宋_GB2312" w:hAnsi="仿宋_GB2312" w:eastAsia="仿宋_GB2312" w:cs="仿宋_GB2312"/>
          <w:bCs/>
          <w:color w:val="000000"/>
          <w:sz w:val="32"/>
          <w:szCs w:val="32"/>
        </w:rPr>
      </w:pPr>
      <w:r>
        <w:rPr>
          <w:rFonts w:hint="eastAsia" w:ascii="仿宋_GB2312" w:hAnsi="仿宋_GB2312" w:eastAsia="仿宋_GB2312" w:cs="仿宋_GB2312"/>
          <w:color w:val="000000"/>
          <w:kern w:val="0"/>
          <w:sz w:val="32"/>
          <w:szCs w:val="32"/>
        </w:rPr>
        <w:t>不漏报、不乱报，做到发放有依有据。</w:t>
      </w:r>
    </w:p>
    <w:p>
      <w:pPr>
        <w:keepNext w:val="0"/>
        <w:keepLines w:val="0"/>
        <w:pageBreakBefore w:val="0"/>
        <w:kinsoku/>
        <w:overflowPunct/>
        <w:topLinePunct w:val="0"/>
        <w:autoSpaceDE/>
        <w:autoSpaceDN/>
        <w:bidi w:val="0"/>
        <w:adjustRightInd w:val="0"/>
        <w:snapToGrid/>
        <w:spacing w:line="576" w:lineRule="exact"/>
        <w:ind w:firstLine="720"/>
        <w:textAlignment w:val="auto"/>
        <w:rPr>
          <w:rFonts w:ascii="仿宋_GB2312" w:hAnsi="宋体" w:eastAsia="仿宋_GB2312"/>
          <w:sz w:val="32"/>
          <w:szCs w:val="32"/>
          <w:lang w:val="zh-CN"/>
        </w:rPr>
      </w:pPr>
      <w:r>
        <w:rPr>
          <w:rFonts w:hint="eastAsia" w:ascii="黑体" w:hAnsi="宋体" w:eastAsia="黑体"/>
          <w:sz w:val="32"/>
          <w:szCs w:val="32"/>
        </w:rPr>
        <w:t>四、项目绩效情况</w:t>
      </w:r>
      <w:r>
        <w:rPr>
          <w:rFonts w:ascii="仿宋_GB2312" w:hAnsi="宋体" w:eastAsia="仿宋_GB2312"/>
          <w:sz w:val="32"/>
          <w:szCs w:val="32"/>
          <w:lang w:val="zh-CN"/>
        </w:rPr>
        <w:tab/>
      </w:r>
    </w:p>
    <w:p>
      <w:pPr>
        <w:keepNext w:val="0"/>
        <w:keepLines w:val="0"/>
        <w:pageBreakBefore w:val="0"/>
        <w:kinsoku/>
        <w:overflowPunct/>
        <w:topLinePunct w:val="0"/>
        <w:autoSpaceDE/>
        <w:autoSpaceDN/>
        <w:bidi w:val="0"/>
        <w:adjustRightInd w:val="0"/>
        <w:snapToGrid/>
        <w:spacing w:line="576" w:lineRule="exact"/>
        <w:ind w:firstLine="720"/>
        <w:textAlignment w:val="auto"/>
        <w:rPr>
          <w:rFonts w:ascii="楷体_GB2312" w:hAnsi="宋体" w:eastAsia="楷体_GB2312"/>
          <w:b/>
          <w:sz w:val="32"/>
          <w:szCs w:val="32"/>
          <w:lang w:val="zh-CN"/>
        </w:rPr>
      </w:pPr>
      <w:r>
        <w:rPr>
          <w:rFonts w:hint="eastAsia" w:ascii="楷体_GB2312" w:hAnsi="宋体" w:eastAsia="楷体_GB2312"/>
          <w:b/>
          <w:sz w:val="32"/>
          <w:szCs w:val="32"/>
          <w:lang w:val="zh-CN"/>
        </w:rPr>
        <w:t>（一）项目完成情况</w:t>
      </w:r>
    </w:p>
    <w:p>
      <w:pPr>
        <w:keepNext w:val="0"/>
        <w:keepLines w:val="0"/>
        <w:pageBreakBefore w:val="0"/>
        <w:widowControl/>
        <w:shd w:val="clear" w:color="auto" w:fill="FFFFFF"/>
        <w:kinsoku/>
        <w:overflowPunct/>
        <w:topLinePunct w:val="0"/>
        <w:autoSpaceDE/>
        <w:autoSpaceDN/>
        <w:bidi w:val="0"/>
        <w:snapToGrid/>
        <w:spacing w:line="576" w:lineRule="exact"/>
        <w:ind w:firstLine="560"/>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1.数量指标。2020年，发放优抚对象抚恤补助276人次，达到了预期目标，完成率100%。</w:t>
      </w:r>
    </w:p>
    <w:p>
      <w:pPr>
        <w:keepNext w:val="0"/>
        <w:keepLines w:val="0"/>
        <w:pageBreakBefore w:val="0"/>
        <w:widowControl/>
        <w:shd w:val="clear" w:color="auto" w:fill="FFFFFF"/>
        <w:kinsoku/>
        <w:overflowPunct/>
        <w:topLinePunct w:val="0"/>
        <w:autoSpaceDE/>
        <w:autoSpaceDN/>
        <w:bidi w:val="0"/>
        <w:snapToGrid/>
        <w:spacing w:line="576" w:lineRule="exact"/>
        <w:ind w:firstLine="560"/>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2.质量指标。2020年，确保按规定标准兑现优抚对象抚恤补助待遇。经费符合相关政策规定比率达到100%。</w:t>
      </w:r>
    </w:p>
    <w:p>
      <w:pPr>
        <w:keepNext w:val="0"/>
        <w:keepLines w:val="0"/>
        <w:pageBreakBefore w:val="0"/>
        <w:widowControl/>
        <w:shd w:val="clear" w:color="auto" w:fill="FFFFFF"/>
        <w:kinsoku/>
        <w:overflowPunct/>
        <w:topLinePunct w:val="0"/>
        <w:autoSpaceDE/>
        <w:autoSpaceDN/>
        <w:bidi w:val="0"/>
        <w:snapToGrid/>
        <w:spacing w:line="576" w:lineRule="exact"/>
        <w:ind w:firstLine="560"/>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3.时效指标。每月按时发放。</w:t>
      </w:r>
    </w:p>
    <w:p>
      <w:pPr>
        <w:keepNext w:val="0"/>
        <w:keepLines w:val="0"/>
        <w:pageBreakBefore w:val="0"/>
        <w:kinsoku/>
        <w:overflowPunct/>
        <w:topLinePunct w:val="0"/>
        <w:autoSpaceDE/>
        <w:autoSpaceDN/>
        <w:bidi w:val="0"/>
        <w:adjustRightInd w:val="0"/>
        <w:snapToGrid/>
        <w:spacing w:line="576" w:lineRule="exact"/>
        <w:ind w:firstLine="720"/>
        <w:textAlignment w:val="auto"/>
        <w:rPr>
          <w:rFonts w:ascii="楷体_GB2312" w:hAnsi="宋体" w:eastAsia="楷体_GB2312"/>
          <w:b/>
          <w:sz w:val="32"/>
          <w:szCs w:val="32"/>
          <w:lang w:val="zh-CN"/>
        </w:rPr>
      </w:pPr>
      <w:r>
        <w:rPr>
          <w:rFonts w:hint="eastAsia" w:ascii="楷体_GB2312" w:hAnsi="宋体" w:eastAsia="楷体_GB2312"/>
          <w:b/>
          <w:sz w:val="32"/>
          <w:szCs w:val="32"/>
          <w:lang w:val="zh-CN"/>
        </w:rPr>
        <w:t>（二）项目效益情况</w:t>
      </w:r>
    </w:p>
    <w:p>
      <w:pPr>
        <w:keepNext w:val="0"/>
        <w:keepLines w:val="0"/>
        <w:pageBreakBefore w:val="0"/>
        <w:widowControl/>
        <w:shd w:val="clear" w:color="auto" w:fill="FFFFFF"/>
        <w:kinsoku/>
        <w:overflowPunct/>
        <w:topLinePunct w:val="0"/>
        <w:autoSpaceDE/>
        <w:autoSpaceDN/>
        <w:bidi w:val="0"/>
        <w:snapToGrid/>
        <w:spacing w:line="576" w:lineRule="exact"/>
        <w:ind w:firstLine="560"/>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1.效益指标完成情况分析</w:t>
      </w:r>
    </w:p>
    <w:p>
      <w:pPr>
        <w:keepNext w:val="0"/>
        <w:keepLines w:val="0"/>
        <w:pageBreakBefore w:val="0"/>
        <w:widowControl/>
        <w:shd w:val="clear" w:color="auto" w:fill="FFFFFF"/>
        <w:kinsoku/>
        <w:overflowPunct/>
        <w:topLinePunct w:val="0"/>
        <w:autoSpaceDE/>
        <w:autoSpaceDN/>
        <w:bidi w:val="0"/>
        <w:snapToGrid/>
        <w:spacing w:line="576" w:lineRule="exact"/>
        <w:ind w:firstLine="560"/>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通过对优抚人员生活补助的发放，切实缓解了我县困难优抚对象生活困难的问题，提高了困难优抚对象的生活质量。通过生活补助的发放使广大困难退役军人更清楚地感受到了党和政府对弱势群体的关心关怀，进一步增强了优抚人员的“感恩报国”意识。同时，充分发挥了退役军人工作工作在保障和改善民生、解决社会问题、化解社会矛盾、促进社会和谐方面的重要作用。</w:t>
      </w:r>
    </w:p>
    <w:p>
      <w:pPr>
        <w:keepNext w:val="0"/>
        <w:keepLines w:val="0"/>
        <w:pageBreakBefore w:val="0"/>
        <w:widowControl/>
        <w:shd w:val="clear" w:color="auto" w:fill="FFFFFF"/>
        <w:kinsoku/>
        <w:overflowPunct/>
        <w:topLinePunct w:val="0"/>
        <w:autoSpaceDE/>
        <w:autoSpaceDN/>
        <w:bidi w:val="0"/>
        <w:snapToGrid/>
        <w:spacing w:line="576" w:lineRule="exact"/>
        <w:ind w:firstLine="560"/>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2.满意度指标完成情况分析</w:t>
      </w:r>
    </w:p>
    <w:p>
      <w:pPr>
        <w:keepNext w:val="0"/>
        <w:keepLines w:val="0"/>
        <w:pageBreakBefore w:val="0"/>
        <w:widowControl/>
        <w:shd w:val="clear" w:color="auto" w:fill="FFFFFF"/>
        <w:kinsoku/>
        <w:overflowPunct/>
        <w:topLinePunct w:val="0"/>
        <w:autoSpaceDE/>
        <w:autoSpaceDN/>
        <w:bidi w:val="0"/>
        <w:snapToGrid/>
        <w:spacing w:line="576" w:lineRule="exact"/>
        <w:ind w:firstLine="560"/>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优抚对象满意度较好，达到预期目标。</w:t>
      </w:r>
    </w:p>
    <w:p>
      <w:pPr>
        <w:keepNext w:val="0"/>
        <w:keepLines w:val="0"/>
        <w:pageBreakBefore w:val="0"/>
        <w:kinsoku/>
        <w:overflowPunct/>
        <w:topLinePunct w:val="0"/>
        <w:autoSpaceDE/>
        <w:autoSpaceDN/>
        <w:bidi w:val="0"/>
        <w:adjustRightInd w:val="0"/>
        <w:snapToGrid/>
        <w:spacing w:line="576" w:lineRule="exact"/>
        <w:ind w:firstLine="720"/>
        <w:textAlignment w:val="auto"/>
        <w:rPr>
          <w:rFonts w:ascii="黑体" w:hAnsi="宋体" w:eastAsia="黑体"/>
          <w:sz w:val="32"/>
          <w:szCs w:val="32"/>
        </w:rPr>
      </w:pPr>
      <w:r>
        <w:rPr>
          <w:rFonts w:hint="eastAsia" w:ascii="黑体" w:hAnsi="宋体" w:eastAsia="黑体"/>
          <w:sz w:val="32"/>
          <w:szCs w:val="32"/>
        </w:rPr>
        <w:t>五、评价结论及建议</w:t>
      </w:r>
    </w:p>
    <w:p>
      <w:pPr>
        <w:keepNext w:val="0"/>
        <w:keepLines w:val="0"/>
        <w:pageBreakBefore w:val="0"/>
        <w:kinsoku/>
        <w:overflowPunct/>
        <w:topLinePunct w:val="0"/>
        <w:autoSpaceDE/>
        <w:autoSpaceDN/>
        <w:bidi w:val="0"/>
        <w:adjustRightInd w:val="0"/>
        <w:snapToGrid/>
        <w:spacing w:line="576" w:lineRule="exact"/>
        <w:ind w:firstLine="720"/>
        <w:textAlignment w:val="auto"/>
        <w:rPr>
          <w:rFonts w:ascii="楷体_GB2312" w:hAnsi="宋体" w:eastAsia="楷体_GB2312"/>
          <w:b/>
          <w:sz w:val="32"/>
          <w:szCs w:val="32"/>
          <w:lang w:val="zh-CN"/>
        </w:rPr>
      </w:pPr>
      <w:r>
        <w:rPr>
          <w:rFonts w:hint="eastAsia" w:ascii="楷体_GB2312" w:hAnsi="宋体" w:eastAsia="楷体_GB2312"/>
          <w:b/>
          <w:sz w:val="32"/>
          <w:szCs w:val="32"/>
          <w:lang w:val="zh-CN"/>
        </w:rPr>
        <w:t>（一）评价结论</w:t>
      </w:r>
    </w:p>
    <w:p>
      <w:pPr>
        <w:keepNext w:val="0"/>
        <w:keepLines w:val="0"/>
        <w:pageBreakBefore w:val="0"/>
        <w:kinsoku/>
        <w:overflowPunct/>
        <w:topLinePunct w:val="0"/>
        <w:autoSpaceDE/>
        <w:autoSpaceDN/>
        <w:bidi w:val="0"/>
        <w:snapToGrid/>
        <w:spacing w:line="576" w:lineRule="exact"/>
        <w:ind w:firstLine="640" w:firstLineChars="200"/>
        <w:textAlignment w:val="auto"/>
        <w:outlineLvl w:val="0"/>
        <w:rPr>
          <w:rFonts w:ascii="仿宋" w:hAnsi="仿宋" w:eastAsia="仿宋"/>
          <w:color w:val="000000"/>
          <w:sz w:val="32"/>
          <w:szCs w:val="32"/>
          <w:shd w:val="clear" w:color="auto" w:fill="FFFFFF"/>
        </w:rPr>
      </w:pPr>
      <w:r>
        <w:rPr>
          <w:rFonts w:hint="eastAsia" w:ascii="仿宋_GB2312" w:hAnsi="仿宋_GB2312" w:eastAsia="仿宋_GB2312" w:cs="仿宋_GB2312"/>
          <w:color w:val="000000"/>
          <w:kern w:val="0"/>
          <w:sz w:val="32"/>
          <w:szCs w:val="32"/>
        </w:rPr>
        <w:t>根据项目执行情况和项目绩效情况，评价等次为优。</w:t>
      </w:r>
    </w:p>
    <w:p>
      <w:pPr>
        <w:keepNext w:val="0"/>
        <w:keepLines w:val="0"/>
        <w:pageBreakBefore w:val="0"/>
        <w:kinsoku/>
        <w:overflowPunct/>
        <w:topLinePunct w:val="0"/>
        <w:autoSpaceDE/>
        <w:autoSpaceDN/>
        <w:bidi w:val="0"/>
        <w:adjustRightInd w:val="0"/>
        <w:snapToGrid/>
        <w:spacing w:line="576" w:lineRule="exact"/>
        <w:ind w:firstLine="720"/>
        <w:textAlignment w:val="auto"/>
        <w:rPr>
          <w:rFonts w:ascii="楷体_GB2312" w:hAnsi="宋体" w:eastAsia="楷体_GB2312"/>
          <w:b/>
          <w:sz w:val="32"/>
          <w:szCs w:val="32"/>
          <w:lang w:val="zh-CN"/>
        </w:rPr>
      </w:pPr>
      <w:r>
        <w:rPr>
          <w:rFonts w:hint="eastAsia" w:ascii="楷体_GB2312" w:hAnsi="宋体" w:eastAsia="楷体_GB2312"/>
          <w:b/>
          <w:sz w:val="32"/>
          <w:szCs w:val="32"/>
          <w:lang w:val="zh-CN"/>
        </w:rPr>
        <w:t>（二）存在的问题</w:t>
      </w:r>
    </w:p>
    <w:p>
      <w:pPr>
        <w:keepNext w:val="0"/>
        <w:keepLines w:val="0"/>
        <w:pageBreakBefore w:val="0"/>
        <w:widowControl/>
        <w:shd w:val="clear" w:color="auto" w:fill="FFFFFF"/>
        <w:kinsoku/>
        <w:overflowPunct/>
        <w:topLinePunct w:val="0"/>
        <w:autoSpaceDE/>
        <w:autoSpaceDN/>
        <w:bidi w:val="0"/>
        <w:snapToGrid/>
        <w:spacing w:line="576" w:lineRule="exact"/>
        <w:ind w:firstLine="560"/>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优抚对象经常更换银行卡，导致发放失败。</w:t>
      </w:r>
    </w:p>
    <w:p>
      <w:pPr>
        <w:keepNext w:val="0"/>
        <w:keepLines w:val="0"/>
        <w:pageBreakBefore w:val="0"/>
        <w:kinsoku/>
        <w:overflowPunct/>
        <w:topLinePunct w:val="0"/>
        <w:autoSpaceDE/>
        <w:autoSpaceDN/>
        <w:bidi w:val="0"/>
        <w:snapToGrid/>
        <w:spacing w:line="576" w:lineRule="exact"/>
        <w:textAlignment w:val="auto"/>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pageBreakBefore w:val="0"/>
        <w:kinsoku/>
        <w:overflowPunct/>
        <w:topLinePunct w:val="0"/>
        <w:autoSpaceDE/>
        <w:autoSpaceDN/>
        <w:bidi w:val="0"/>
        <w:snapToGrid/>
        <w:spacing w:line="576" w:lineRule="exact"/>
        <w:jc w:val="center"/>
        <w:textAlignment w:val="auto"/>
        <w:rPr>
          <w:rFonts w:ascii="方正小标宋简体" w:hAnsi="Arial" w:eastAsia="方正小标宋简体" w:cs="Arial"/>
          <w:b w:val="0"/>
          <w:bCs/>
          <w:sz w:val="44"/>
          <w:szCs w:val="44"/>
        </w:rPr>
      </w:pPr>
      <w:r>
        <w:rPr>
          <w:rFonts w:hint="eastAsia" w:ascii="方正小标宋简体" w:hAnsi="Arial" w:eastAsia="方正小标宋简体" w:cs="Arial"/>
          <w:b w:val="0"/>
          <w:bCs/>
          <w:sz w:val="44"/>
          <w:szCs w:val="44"/>
        </w:rPr>
        <w:t>茂县退役军人事务局</w:t>
      </w:r>
    </w:p>
    <w:p>
      <w:pPr>
        <w:pageBreakBefore w:val="0"/>
        <w:kinsoku/>
        <w:overflowPunct/>
        <w:topLinePunct w:val="0"/>
        <w:autoSpaceDE/>
        <w:autoSpaceDN/>
        <w:bidi w:val="0"/>
        <w:snapToGrid/>
        <w:spacing w:line="576" w:lineRule="exact"/>
        <w:jc w:val="center"/>
        <w:textAlignment w:val="auto"/>
        <w:rPr>
          <w:rFonts w:ascii="方正小标宋简体" w:hAnsi="宋体" w:eastAsia="方正小标宋简体" w:cs="宋体"/>
          <w:b w:val="0"/>
          <w:bCs/>
          <w:sz w:val="44"/>
          <w:szCs w:val="44"/>
        </w:rPr>
      </w:pPr>
      <w:r>
        <w:rPr>
          <w:rFonts w:ascii="方正小标宋简体" w:hAnsi="Arial" w:eastAsia="方正小标宋简体" w:cs="Arial"/>
          <w:b w:val="0"/>
          <w:bCs/>
          <w:sz w:val="44"/>
          <w:szCs w:val="44"/>
        </w:rPr>
        <w:t>2020</w:t>
      </w:r>
      <w:r>
        <w:rPr>
          <w:rFonts w:hint="eastAsia" w:ascii="方正小标宋简体" w:hAnsi="宋体" w:eastAsia="方正小标宋简体" w:cs="宋体"/>
          <w:b w:val="0"/>
          <w:bCs/>
          <w:sz w:val="44"/>
          <w:szCs w:val="44"/>
        </w:rPr>
        <w:t>年度</w:t>
      </w:r>
      <w:r>
        <w:rPr>
          <w:rFonts w:hint="eastAsia" w:ascii="方正小标宋简体" w:hAnsi="Arial" w:eastAsia="方正小标宋简体" w:cs="Arial"/>
          <w:b w:val="0"/>
          <w:bCs/>
          <w:sz w:val="44"/>
          <w:szCs w:val="44"/>
        </w:rPr>
        <w:t>优抚对象在乡复员、退伍军人生活补助项目</w:t>
      </w:r>
      <w:r>
        <w:rPr>
          <w:rFonts w:hint="eastAsia" w:ascii="方正小标宋简体" w:hAnsi="宋体" w:eastAsia="方正小标宋简体" w:cs="宋体"/>
          <w:b w:val="0"/>
          <w:bCs/>
          <w:sz w:val="44"/>
          <w:szCs w:val="44"/>
        </w:rPr>
        <w:t>绩效报告</w:t>
      </w:r>
    </w:p>
    <w:p>
      <w:pPr>
        <w:pageBreakBefore w:val="0"/>
        <w:widowControl/>
        <w:shd w:val="clear" w:color="auto" w:fill="FFFFFF"/>
        <w:kinsoku/>
        <w:overflowPunct/>
        <w:topLinePunct w:val="0"/>
        <w:autoSpaceDE/>
        <w:autoSpaceDN/>
        <w:bidi w:val="0"/>
        <w:snapToGrid/>
        <w:spacing w:line="576" w:lineRule="exact"/>
        <w:ind w:firstLine="480"/>
        <w:jc w:val="left"/>
        <w:textAlignment w:val="auto"/>
        <w:rPr>
          <w:rFonts w:hint="eastAsia" w:ascii="黑体" w:hAnsi="黑体" w:eastAsia="黑体" w:cs="黑体"/>
          <w:b w:val="0"/>
          <w:bCs w:val="0"/>
          <w:color w:val="000000"/>
          <w:kern w:val="0"/>
          <w:sz w:val="32"/>
          <w:szCs w:val="32"/>
        </w:rPr>
      </w:pPr>
    </w:p>
    <w:p>
      <w:pPr>
        <w:pageBreakBefore w:val="0"/>
        <w:widowControl/>
        <w:shd w:val="clear" w:color="auto" w:fill="FFFFFF"/>
        <w:kinsoku/>
        <w:overflowPunct/>
        <w:topLinePunct w:val="0"/>
        <w:autoSpaceDE/>
        <w:autoSpaceDN/>
        <w:bidi w:val="0"/>
        <w:snapToGrid/>
        <w:spacing w:line="576" w:lineRule="exact"/>
        <w:ind w:firstLine="480"/>
        <w:jc w:val="left"/>
        <w:textAlignment w:val="auto"/>
        <w:rPr>
          <w:rFonts w:hint="eastAsia" w:ascii="黑体" w:hAnsi="黑体" w:eastAsia="黑体" w:cs="黑体"/>
          <w:b w:val="0"/>
          <w:bCs w:val="0"/>
          <w:color w:val="000000"/>
          <w:kern w:val="0"/>
          <w:sz w:val="32"/>
          <w:szCs w:val="32"/>
        </w:rPr>
      </w:pPr>
      <w:r>
        <w:rPr>
          <w:rFonts w:hint="eastAsia" w:ascii="黑体" w:hAnsi="黑体" w:eastAsia="黑体" w:cs="黑体"/>
          <w:b w:val="0"/>
          <w:bCs w:val="0"/>
          <w:color w:val="000000"/>
          <w:kern w:val="0"/>
          <w:sz w:val="32"/>
          <w:szCs w:val="32"/>
        </w:rPr>
        <w:t>一、项目概况</w:t>
      </w:r>
    </w:p>
    <w:p>
      <w:pPr>
        <w:pageBreakBefore w:val="0"/>
        <w:widowControl/>
        <w:shd w:val="clear" w:color="auto" w:fill="FFFFFF"/>
        <w:kinsoku/>
        <w:overflowPunct/>
        <w:topLinePunct w:val="0"/>
        <w:autoSpaceDE/>
        <w:autoSpaceDN/>
        <w:bidi w:val="0"/>
        <w:snapToGrid/>
        <w:spacing w:line="576" w:lineRule="exact"/>
        <w:ind w:firstLine="482"/>
        <w:jc w:val="left"/>
        <w:textAlignment w:val="auto"/>
        <w:rPr>
          <w:rFonts w:hint="eastAsia" w:ascii="仿宋_GB2312" w:hAnsi="Micsoft-Yahei" w:eastAsia="仿宋_GB2312" w:cs="宋体"/>
          <w:color w:val="000000"/>
          <w:kern w:val="0"/>
          <w:sz w:val="32"/>
          <w:szCs w:val="32"/>
        </w:rPr>
      </w:pPr>
      <w:r>
        <w:rPr>
          <w:rFonts w:hint="eastAsia" w:ascii="仿宋_GB2312" w:hAnsi="宋体" w:eastAsia="仿宋_GB2312" w:cs="宋体"/>
          <w:b/>
          <w:bCs/>
          <w:color w:val="000000"/>
          <w:kern w:val="0"/>
          <w:sz w:val="32"/>
          <w:szCs w:val="32"/>
        </w:rPr>
        <w:t>（一）项目情况</w:t>
      </w:r>
    </w:p>
    <w:p>
      <w:pPr>
        <w:pageBreakBefore w:val="0"/>
        <w:widowControl/>
        <w:shd w:val="clear" w:color="auto" w:fill="FFFFFF"/>
        <w:kinsoku/>
        <w:overflowPunct/>
        <w:topLinePunct w:val="0"/>
        <w:autoSpaceDE/>
        <w:autoSpaceDN/>
        <w:bidi w:val="0"/>
        <w:snapToGrid/>
        <w:spacing w:line="576" w:lineRule="exact"/>
        <w:ind w:firstLine="480"/>
        <w:jc w:val="left"/>
        <w:textAlignment w:val="auto"/>
        <w:rPr>
          <w:rFonts w:ascii="仿宋_GB2312" w:hAnsi="宋体" w:eastAsia="仿宋_GB2312" w:cs="宋体"/>
          <w:color w:val="000000"/>
          <w:kern w:val="0"/>
          <w:sz w:val="32"/>
          <w:szCs w:val="32"/>
        </w:rPr>
      </w:pPr>
      <w:r>
        <w:rPr>
          <w:rFonts w:ascii="仿宋_GB2312" w:hAnsi="宋体" w:eastAsia="仿宋_GB2312" w:cs="宋体"/>
          <w:color w:val="000000"/>
          <w:kern w:val="0"/>
          <w:sz w:val="32"/>
          <w:szCs w:val="32"/>
        </w:rPr>
        <w:t>1.</w:t>
      </w:r>
      <w:r>
        <w:rPr>
          <w:rFonts w:hint="eastAsia" w:ascii="仿宋_GB2312" w:hAnsi="宋体" w:eastAsia="仿宋_GB2312" w:cs="宋体"/>
          <w:color w:val="000000"/>
          <w:kern w:val="0"/>
          <w:sz w:val="32"/>
          <w:szCs w:val="32"/>
        </w:rPr>
        <w:t>项目管理中的职能</w:t>
      </w:r>
    </w:p>
    <w:p>
      <w:pPr>
        <w:pageBreakBefore w:val="0"/>
        <w:widowControl/>
        <w:shd w:val="clear" w:color="auto" w:fill="FFFFFF"/>
        <w:kinsoku/>
        <w:overflowPunct/>
        <w:topLinePunct w:val="0"/>
        <w:autoSpaceDE/>
        <w:autoSpaceDN/>
        <w:bidi w:val="0"/>
        <w:snapToGrid/>
        <w:spacing w:line="576" w:lineRule="exact"/>
        <w:ind w:firstLine="480"/>
        <w:jc w:val="left"/>
        <w:textAlignment w:val="auto"/>
        <w:rPr>
          <w:rFonts w:hint="eastAsia" w:ascii="仿宋_GB2312" w:hAnsi="Micsoft-Yahei" w:eastAsia="仿宋_GB2312" w:cs="宋体"/>
          <w:color w:val="000000"/>
          <w:kern w:val="0"/>
          <w:sz w:val="32"/>
          <w:szCs w:val="32"/>
        </w:rPr>
      </w:pPr>
      <w:r>
        <w:rPr>
          <w:rFonts w:hint="eastAsia" w:ascii="仿宋_GB2312" w:hAnsi="宋体" w:eastAsia="仿宋_GB2312" w:cs="宋体"/>
          <w:color w:val="000000"/>
          <w:kern w:val="0"/>
          <w:sz w:val="32"/>
          <w:szCs w:val="32"/>
        </w:rPr>
        <w:t>其职能是代表优抚对象的共同利益，维护优抚对象的合法权利；承担政府委托的任务，动员社会力量，保障优抚对象的生活水平。主要任务遵守《军人抚恤优待条例》，在党和政府的正确领导下，保障优抚对象的抚恤优待与国民经济的发展相适应，保障优抚对象生活水平不低于当地的平均生活水平。</w:t>
      </w:r>
    </w:p>
    <w:p>
      <w:pPr>
        <w:pageBreakBefore w:val="0"/>
        <w:kinsoku/>
        <w:overflowPunct/>
        <w:topLinePunct w:val="0"/>
        <w:autoSpaceDE/>
        <w:autoSpaceDN/>
        <w:bidi w:val="0"/>
        <w:adjustRightInd w:val="0"/>
        <w:snapToGrid/>
        <w:spacing w:line="576" w:lineRule="exact"/>
        <w:ind w:firstLine="640" w:firstLineChars="200"/>
        <w:textAlignment w:val="auto"/>
        <w:rPr>
          <w:rFonts w:ascii="仿宋_GB2312" w:hAnsi="宋体" w:eastAsia="仿宋_GB2312"/>
          <w:sz w:val="32"/>
          <w:szCs w:val="32"/>
          <w:lang w:val="zh-CN"/>
        </w:rPr>
      </w:pPr>
      <w:r>
        <w:rPr>
          <w:rFonts w:hint="eastAsia" w:ascii="仿宋_GB2312" w:hAnsi="宋体" w:eastAsia="仿宋_GB2312"/>
          <w:sz w:val="32"/>
          <w:szCs w:val="32"/>
          <w:lang w:val="zh-CN"/>
        </w:rPr>
        <w:t>2.项目立项、资金申报的依据</w:t>
      </w:r>
    </w:p>
    <w:p>
      <w:pPr>
        <w:pageBreakBefore w:val="0"/>
        <w:widowControl/>
        <w:shd w:val="clear" w:color="auto" w:fill="FFFFFF"/>
        <w:kinsoku/>
        <w:overflowPunct/>
        <w:topLinePunct w:val="0"/>
        <w:autoSpaceDE/>
        <w:autoSpaceDN/>
        <w:bidi w:val="0"/>
        <w:snapToGrid/>
        <w:spacing w:line="576" w:lineRule="exact"/>
        <w:ind w:firstLine="480"/>
        <w:jc w:val="left"/>
        <w:textAlignment w:val="auto"/>
        <w:rPr>
          <w:rFonts w:ascii="仿宋" w:hAnsi="仿宋" w:eastAsia="仿宋"/>
          <w:color w:val="000000"/>
          <w:sz w:val="32"/>
          <w:szCs w:val="32"/>
          <w:shd w:val="clear" w:color="auto" w:fill="FFFFFF"/>
        </w:rPr>
      </w:pPr>
      <w:r>
        <w:rPr>
          <w:rFonts w:hint="eastAsia" w:ascii="仿宋" w:hAnsi="仿宋" w:eastAsia="仿宋"/>
          <w:color w:val="333333"/>
          <w:sz w:val="32"/>
          <w:szCs w:val="32"/>
          <w:shd w:val="clear" w:color="auto" w:fill="FFFFFF"/>
        </w:rPr>
        <w:t>落实优抚保障政策的主要依据主要有：《中华人民共和国兵役法》、《军人抚恤优待条例》、《烈士褒扬条例》、《民政部、财政部关于调整部分优抚对象抚恤补助标准的通知》等，这些为抚恤补助资金支出立项提供了充分法律和政策依据。</w:t>
      </w:r>
    </w:p>
    <w:p>
      <w:pPr>
        <w:pageBreakBefore w:val="0"/>
        <w:widowControl/>
        <w:shd w:val="clear" w:color="auto" w:fill="FFFFFF"/>
        <w:kinsoku/>
        <w:overflowPunct/>
        <w:topLinePunct w:val="0"/>
        <w:autoSpaceDE/>
        <w:autoSpaceDN/>
        <w:bidi w:val="0"/>
        <w:snapToGrid/>
        <w:spacing w:line="576" w:lineRule="exact"/>
        <w:ind w:firstLine="480"/>
        <w:jc w:val="left"/>
        <w:textAlignment w:val="auto"/>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3</w:t>
      </w:r>
      <w:r>
        <w:rPr>
          <w:rFonts w:ascii="仿宋_GB2312" w:hAnsi="宋体" w:eastAsia="仿宋_GB2312" w:cs="宋体"/>
          <w:color w:val="000000"/>
          <w:kern w:val="0"/>
          <w:sz w:val="32"/>
          <w:szCs w:val="32"/>
        </w:rPr>
        <w:t>.</w:t>
      </w:r>
      <w:r>
        <w:rPr>
          <w:rFonts w:hint="eastAsia" w:ascii="仿宋_GB2312" w:hAnsi="宋体" w:eastAsia="仿宋_GB2312" w:cs="宋体"/>
          <w:color w:val="000000"/>
          <w:kern w:val="0"/>
          <w:sz w:val="32"/>
          <w:szCs w:val="32"/>
        </w:rPr>
        <w:t>资金管理办法制定情况，资金支持具体项目的条件、范围与支持方式</w:t>
      </w:r>
    </w:p>
    <w:p>
      <w:pPr>
        <w:pageBreakBefore w:val="0"/>
        <w:widowControl/>
        <w:shd w:val="clear" w:color="auto" w:fill="FFFFFF"/>
        <w:kinsoku/>
        <w:overflowPunct/>
        <w:topLinePunct w:val="0"/>
        <w:autoSpaceDE/>
        <w:autoSpaceDN/>
        <w:bidi w:val="0"/>
        <w:snapToGrid/>
        <w:spacing w:line="576" w:lineRule="exact"/>
        <w:ind w:firstLine="480"/>
        <w:jc w:val="left"/>
        <w:textAlignment w:val="auto"/>
        <w:rPr>
          <w:rFonts w:hint="eastAsia" w:ascii="仿宋_GB2312" w:hAnsi="Micsoft-Yahei" w:eastAsia="仿宋_GB2312" w:cs="宋体"/>
          <w:color w:val="000000"/>
          <w:kern w:val="0"/>
          <w:sz w:val="32"/>
          <w:szCs w:val="32"/>
        </w:rPr>
      </w:pPr>
      <w:r>
        <w:rPr>
          <w:rFonts w:hint="eastAsia" w:ascii="仿宋_GB2312" w:hAnsi="宋体" w:eastAsia="仿宋_GB2312" w:cs="宋体"/>
          <w:color w:val="000000"/>
          <w:kern w:val="0"/>
          <w:sz w:val="32"/>
          <w:szCs w:val="32"/>
        </w:rPr>
        <w:t>按照《</w:t>
      </w:r>
      <w:r>
        <w:rPr>
          <w:rFonts w:hint="eastAsia" w:ascii="仿宋" w:hAnsi="仿宋" w:eastAsia="仿宋"/>
          <w:color w:val="333333"/>
          <w:sz w:val="32"/>
          <w:szCs w:val="32"/>
          <w:shd w:val="clear" w:color="auto" w:fill="FFFFFF"/>
        </w:rPr>
        <w:t>军人抚恤优待条例</w:t>
      </w:r>
      <w:r>
        <w:rPr>
          <w:rFonts w:hint="eastAsia" w:ascii="仿宋_GB2312" w:hAnsi="宋体" w:eastAsia="仿宋_GB2312" w:cs="宋体"/>
          <w:color w:val="000000"/>
          <w:kern w:val="0"/>
          <w:sz w:val="32"/>
          <w:szCs w:val="32"/>
        </w:rPr>
        <w:t>》，我局优抚对象抚恤保障经费按照因素法进行分配，主要考虑对象人数、县财政困难程度等因素。按照资金要求做好绩效监控，确保绩效目标实现。我局优抚对象抚恤保障经费总体绩效目标是：通过发放优抚对象抚恤补助资金，保障优抚对象生活水平不低于当地的平均生活水平。</w:t>
      </w:r>
    </w:p>
    <w:p>
      <w:pPr>
        <w:pageBreakBefore w:val="0"/>
        <w:widowControl/>
        <w:shd w:val="clear" w:color="auto" w:fill="FFFFFF"/>
        <w:kinsoku/>
        <w:overflowPunct/>
        <w:topLinePunct w:val="0"/>
        <w:autoSpaceDE/>
        <w:autoSpaceDN/>
        <w:bidi w:val="0"/>
        <w:snapToGrid/>
        <w:spacing w:line="576" w:lineRule="exact"/>
        <w:ind w:firstLine="480"/>
        <w:jc w:val="left"/>
        <w:textAlignment w:val="auto"/>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4</w:t>
      </w:r>
      <w:r>
        <w:rPr>
          <w:rFonts w:ascii="仿宋_GB2312" w:hAnsi="宋体" w:eastAsia="仿宋_GB2312" w:cs="宋体"/>
          <w:color w:val="000000"/>
          <w:kern w:val="0"/>
          <w:sz w:val="32"/>
          <w:szCs w:val="32"/>
        </w:rPr>
        <w:t>.</w:t>
      </w:r>
      <w:r>
        <w:rPr>
          <w:rFonts w:hint="eastAsia" w:ascii="仿宋_GB2312" w:hAnsi="宋体" w:eastAsia="仿宋_GB2312" w:cs="宋体"/>
          <w:color w:val="000000"/>
          <w:kern w:val="0"/>
          <w:sz w:val="32"/>
          <w:szCs w:val="32"/>
        </w:rPr>
        <w:t>资金分配的原则及考虑的因素</w:t>
      </w:r>
    </w:p>
    <w:p>
      <w:pPr>
        <w:pageBreakBefore w:val="0"/>
        <w:widowControl/>
        <w:shd w:val="clear" w:color="auto" w:fill="FFFFFF"/>
        <w:kinsoku/>
        <w:overflowPunct/>
        <w:topLinePunct w:val="0"/>
        <w:autoSpaceDE/>
        <w:autoSpaceDN/>
        <w:bidi w:val="0"/>
        <w:snapToGrid/>
        <w:spacing w:line="576" w:lineRule="exact"/>
        <w:ind w:firstLine="480"/>
        <w:jc w:val="left"/>
        <w:textAlignment w:val="auto"/>
        <w:rPr>
          <w:rFonts w:hint="eastAsia" w:ascii="仿宋_GB2312" w:hAnsi="Micsoft-Yahei" w:eastAsia="仿宋_GB2312" w:cs="宋体"/>
          <w:color w:val="000000"/>
          <w:kern w:val="0"/>
          <w:sz w:val="32"/>
          <w:szCs w:val="32"/>
        </w:rPr>
      </w:pPr>
      <w:r>
        <w:rPr>
          <w:rFonts w:hint="eastAsia" w:ascii="仿宋_GB2312" w:hAnsi="宋体" w:eastAsia="仿宋_GB2312" w:cs="宋体"/>
          <w:color w:val="000000"/>
          <w:kern w:val="0"/>
          <w:sz w:val="32"/>
          <w:szCs w:val="32"/>
        </w:rPr>
        <w:t>按照《</w:t>
      </w:r>
      <w:r>
        <w:rPr>
          <w:rFonts w:hint="eastAsia" w:ascii="仿宋" w:hAnsi="仿宋" w:eastAsia="仿宋"/>
          <w:color w:val="333333"/>
          <w:sz w:val="32"/>
          <w:szCs w:val="32"/>
          <w:shd w:val="clear" w:color="auto" w:fill="FFFFFF"/>
        </w:rPr>
        <w:t>军人抚恤优待条例</w:t>
      </w:r>
      <w:r>
        <w:rPr>
          <w:rFonts w:hint="eastAsia" w:ascii="仿宋_GB2312" w:hAnsi="宋体" w:eastAsia="仿宋_GB2312" w:cs="宋体"/>
          <w:color w:val="000000"/>
          <w:kern w:val="0"/>
          <w:sz w:val="32"/>
          <w:szCs w:val="32"/>
        </w:rPr>
        <w:t>》，我局优抚对象抚恤保障经费按照因素法进行分配，主要考虑对象人数、县财政困难程度等因素。</w:t>
      </w:r>
    </w:p>
    <w:p>
      <w:pPr>
        <w:pageBreakBefore w:val="0"/>
        <w:widowControl/>
        <w:shd w:val="clear" w:color="auto" w:fill="FFFFFF"/>
        <w:kinsoku/>
        <w:overflowPunct/>
        <w:topLinePunct w:val="0"/>
        <w:autoSpaceDE/>
        <w:autoSpaceDN/>
        <w:bidi w:val="0"/>
        <w:snapToGrid/>
        <w:spacing w:line="576" w:lineRule="exact"/>
        <w:ind w:firstLine="480"/>
        <w:jc w:val="left"/>
        <w:textAlignment w:val="auto"/>
        <w:rPr>
          <w:rFonts w:hint="eastAsia" w:ascii="Micsoft-Yahei" w:hAnsi="Micsoft-Yahei" w:cs="宋体"/>
          <w:b/>
          <w:bCs/>
          <w:color w:val="000000"/>
          <w:kern w:val="0"/>
          <w:sz w:val="32"/>
          <w:szCs w:val="32"/>
        </w:rPr>
      </w:pPr>
      <w:r>
        <w:rPr>
          <w:rFonts w:hint="eastAsia" w:ascii="宋体" w:hAnsi="宋体" w:cs="宋体"/>
          <w:b/>
          <w:bCs/>
          <w:color w:val="000000"/>
          <w:kern w:val="0"/>
          <w:sz w:val="32"/>
          <w:szCs w:val="32"/>
        </w:rPr>
        <w:t>（二）项目绩效目标</w:t>
      </w:r>
    </w:p>
    <w:p>
      <w:pPr>
        <w:pageBreakBefore w:val="0"/>
        <w:widowControl/>
        <w:shd w:val="clear" w:color="auto" w:fill="FFFFFF"/>
        <w:kinsoku/>
        <w:overflowPunct/>
        <w:topLinePunct w:val="0"/>
        <w:autoSpaceDE/>
        <w:autoSpaceDN/>
        <w:bidi w:val="0"/>
        <w:snapToGrid/>
        <w:spacing w:line="576" w:lineRule="exact"/>
        <w:ind w:firstLine="480"/>
        <w:jc w:val="left"/>
        <w:textAlignment w:val="auto"/>
        <w:rPr>
          <w:rFonts w:hint="eastAsia" w:ascii="仿宋_GB2312" w:hAnsi="Micsoft-Yahei" w:eastAsia="仿宋_GB2312" w:cs="宋体"/>
          <w:color w:val="000000"/>
          <w:kern w:val="0"/>
          <w:sz w:val="32"/>
          <w:szCs w:val="32"/>
        </w:rPr>
      </w:pPr>
      <w:r>
        <w:rPr>
          <w:rFonts w:hint="eastAsia" w:ascii="仿宋_GB2312" w:hAnsi="宋体" w:eastAsia="仿宋_GB2312" w:cs="宋体"/>
          <w:color w:val="000000"/>
          <w:kern w:val="0"/>
          <w:sz w:val="36"/>
          <w:szCs w:val="36"/>
        </w:rPr>
        <w:t>1、项目主要内容。</w:t>
      </w:r>
      <w:r>
        <w:rPr>
          <w:rFonts w:hint="eastAsia" w:ascii="仿宋_GB2312" w:hAnsi="宋体" w:eastAsia="仿宋_GB2312" w:cs="宋体"/>
          <w:color w:val="000000"/>
          <w:kern w:val="0"/>
          <w:sz w:val="32"/>
          <w:szCs w:val="32"/>
        </w:rPr>
        <w:t>保障优抚对象的抚恤优待与国民经济的发展相适应，保障优抚对象生活水平不低于当地的平均生活水平。</w:t>
      </w:r>
    </w:p>
    <w:p>
      <w:pPr>
        <w:pageBreakBefore w:val="0"/>
        <w:widowControl/>
        <w:shd w:val="clear" w:color="auto" w:fill="FFFFFF"/>
        <w:kinsoku/>
        <w:overflowPunct/>
        <w:topLinePunct w:val="0"/>
        <w:autoSpaceDE/>
        <w:autoSpaceDN/>
        <w:bidi w:val="0"/>
        <w:snapToGrid/>
        <w:spacing w:line="576" w:lineRule="exact"/>
        <w:ind w:firstLine="480"/>
        <w:jc w:val="left"/>
        <w:textAlignment w:val="auto"/>
        <w:rPr>
          <w:rFonts w:hint="eastAsia" w:ascii="仿宋_GB2312" w:hAnsi="Micsoft-Yahei" w:eastAsia="仿宋_GB2312" w:cs="宋体"/>
          <w:color w:val="000000"/>
          <w:kern w:val="0"/>
          <w:sz w:val="32"/>
          <w:szCs w:val="32"/>
        </w:rPr>
      </w:pPr>
      <w:r>
        <w:rPr>
          <w:rFonts w:hint="eastAsia" w:ascii="仿宋_GB2312" w:hAnsi="宋体" w:eastAsia="仿宋_GB2312" w:cs="宋体"/>
          <w:color w:val="000000"/>
          <w:kern w:val="0"/>
          <w:sz w:val="36"/>
          <w:szCs w:val="36"/>
        </w:rPr>
        <w:t>2、项目绩效目标。</w:t>
      </w:r>
      <w:r>
        <w:rPr>
          <w:rFonts w:hint="eastAsia" w:ascii="仿宋_GB2312" w:hAnsi="宋体" w:eastAsia="仿宋_GB2312" w:cs="宋体"/>
          <w:color w:val="000000"/>
          <w:kern w:val="0"/>
          <w:sz w:val="32"/>
          <w:szCs w:val="32"/>
        </w:rPr>
        <w:t>通过发放优抚对象抚恤补助资金，保障优抚对象生活水平不低于当地的平均生活水平。</w:t>
      </w:r>
    </w:p>
    <w:p>
      <w:pPr>
        <w:pageBreakBefore w:val="0"/>
        <w:widowControl/>
        <w:shd w:val="clear" w:color="auto" w:fill="FFFFFF"/>
        <w:kinsoku/>
        <w:overflowPunct/>
        <w:topLinePunct w:val="0"/>
        <w:autoSpaceDE/>
        <w:autoSpaceDN/>
        <w:bidi w:val="0"/>
        <w:snapToGrid/>
        <w:spacing w:line="576" w:lineRule="exact"/>
        <w:ind w:firstLine="480"/>
        <w:jc w:val="left"/>
        <w:textAlignment w:val="auto"/>
        <w:rPr>
          <w:rFonts w:ascii="仿宋_GB2312" w:hAnsi="宋体" w:eastAsia="仿宋_GB2312" w:cs="宋体"/>
          <w:color w:val="000000"/>
          <w:kern w:val="0"/>
          <w:sz w:val="32"/>
          <w:szCs w:val="32"/>
        </w:rPr>
      </w:pPr>
      <w:r>
        <w:rPr>
          <w:rFonts w:hint="eastAsia" w:ascii="仿宋_GB2312" w:hAnsi="宋体" w:eastAsia="仿宋_GB2312" w:cs="宋体"/>
          <w:color w:val="000000"/>
          <w:kern w:val="0"/>
          <w:sz w:val="36"/>
          <w:szCs w:val="36"/>
        </w:rPr>
        <w:t>3、项目资金管理情况分析。</w:t>
      </w:r>
      <w:r>
        <w:rPr>
          <w:rFonts w:hint="eastAsia" w:ascii="仿宋_GB2312" w:hAnsi="宋体" w:eastAsia="仿宋_GB2312" w:cs="宋体"/>
          <w:color w:val="000000"/>
          <w:kern w:val="0"/>
          <w:sz w:val="32"/>
          <w:szCs w:val="32"/>
        </w:rPr>
        <w:t>严格执行《</w:t>
      </w:r>
      <w:r>
        <w:rPr>
          <w:rFonts w:hint="eastAsia" w:ascii="仿宋" w:hAnsi="仿宋" w:eastAsia="仿宋"/>
          <w:color w:val="333333"/>
          <w:sz w:val="32"/>
          <w:szCs w:val="32"/>
          <w:shd w:val="clear" w:color="auto" w:fill="FFFFFF"/>
        </w:rPr>
        <w:t>军人抚恤优待条例</w:t>
      </w:r>
      <w:r>
        <w:rPr>
          <w:rFonts w:hint="eastAsia" w:ascii="仿宋_GB2312" w:hAnsi="宋体" w:eastAsia="仿宋_GB2312" w:cs="宋体"/>
          <w:color w:val="000000"/>
          <w:kern w:val="0"/>
          <w:sz w:val="32"/>
          <w:szCs w:val="32"/>
        </w:rPr>
        <w:t>》，加强资金分配和使用管理，定期报送进展情况，强化绩效跟踪，自觉接受纪检、审计部门的监督，切实提升资金使用效益。</w:t>
      </w:r>
    </w:p>
    <w:p>
      <w:pPr>
        <w:pageBreakBefore w:val="0"/>
        <w:widowControl/>
        <w:shd w:val="clear" w:color="auto" w:fill="FFFFFF"/>
        <w:kinsoku/>
        <w:overflowPunct/>
        <w:topLinePunct w:val="0"/>
        <w:autoSpaceDE/>
        <w:autoSpaceDN/>
        <w:bidi w:val="0"/>
        <w:snapToGrid/>
        <w:spacing w:line="576" w:lineRule="exact"/>
        <w:ind w:firstLine="482"/>
        <w:jc w:val="left"/>
        <w:textAlignment w:val="auto"/>
        <w:rPr>
          <w:rFonts w:ascii="宋体" w:hAnsi="宋体" w:cs="宋体"/>
          <w:b/>
          <w:bCs/>
          <w:color w:val="000000"/>
          <w:kern w:val="0"/>
          <w:sz w:val="32"/>
          <w:szCs w:val="32"/>
        </w:rPr>
      </w:pPr>
      <w:r>
        <w:rPr>
          <w:rFonts w:hint="eastAsia" w:ascii="宋体" w:hAnsi="宋体" w:cs="宋体"/>
          <w:b/>
          <w:bCs/>
          <w:color w:val="000000"/>
          <w:kern w:val="0"/>
          <w:sz w:val="32"/>
          <w:szCs w:val="32"/>
        </w:rPr>
        <w:t>（三）项目自评步骤及方法</w:t>
      </w:r>
    </w:p>
    <w:p>
      <w:pPr>
        <w:pageBreakBefore w:val="0"/>
        <w:widowControl/>
        <w:shd w:val="clear" w:color="auto" w:fill="FFFFFF"/>
        <w:kinsoku/>
        <w:overflowPunct/>
        <w:topLinePunct w:val="0"/>
        <w:autoSpaceDE/>
        <w:autoSpaceDN/>
        <w:bidi w:val="0"/>
        <w:snapToGrid/>
        <w:spacing w:line="576" w:lineRule="exact"/>
        <w:ind w:firstLine="480"/>
        <w:jc w:val="left"/>
        <w:textAlignment w:val="auto"/>
        <w:rPr>
          <w:rFonts w:ascii="微软雅黑" w:hAnsi="微软雅黑" w:eastAsia="微软雅黑" w:cs="宋体"/>
          <w:color w:val="000000"/>
          <w:kern w:val="0"/>
          <w:sz w:val="24"/>
        </w:rPr>
      </w:pPr>
      <w:r>
        <w:rPr>
          <w:rFonts w:hint="eastAsia" w:ascii="仿宋" w:hAnsi="仿宋" w:eastAsia="仿宋" w:cs="宋体"/>
          <w:b/>
          <w:bCs/>
          <w:color w:val="000000"/>
          <w:kern w:val="0"/>
          <w:sz w:val="32"/>
          <w:szCs w:val="32"/>
        </w:rPr>
        <w:t>（一）绩效评价的组织工作</w:t>
      </w:r>
    </w:p>
    <w:p>
      <w:pPr>
        <w:pageBreakBefore w:val="0"/>
        <w:widowControl/>
        <w:shd w:val="clear" w:color="auto" w:fill="FFFFFF"/>
        <w:kinsoku/>
        <w:overflowPunct/>
        <w:topLinePunct w:val="0"/>
        <w:autoSpaceDE/>
        <w:autoSpaceDN/>
        <w:bidi w:val="0"/>
        <w:snapToGrid/>
        <w:spacing w:line="576" w:lineRule="exact"/>
        <w:ind w:firstLine="640"/>
        <w:jc w:val="left"/>
        <w:textAlignment w:val="auto"/>
        <w:rPr>
          <w:rFonts w:ascii="微软雅黑" w:hAnsi="微软雅黑" w:eastAsia="微软雅黑" w:cs="宋体"/>
          <w:color w:val="000000"/>
          <w:kern w:val="0"/>
          <w:sz w:val="24"/>
        </w:rPr>
      </w:pPr>
      <w:r>
        <w:rPr>
          <w:rFonts w:hint="eastAsia" w:ascii="仿宋" w:hAnsi="仿宋" w:eastAsia="仿宋" w:cs="宋体"/>
          <w:color w:val="000000"/>
          <w:kern w:val="0"/>
          <w:sz w:val="32"/>
          <w:szCs w:val="32"/>
        </w:rPr>
        <w:t>根据财政局《关于开展20</w:t>
      </w:r>
      <w:r>
        <w:rPr>
          <w:rFonts w:ascii="仿宋" w:hAnsi="仿宋" w:eastAsia="仿宋" w:cs="宋体"/>
          <w:color w:val="000000"/>
          <w:kern w:val="0"/>
          <w:sz w:val="32"/>
          <w:szCs w:val="32"/>
        </w:rPr>
        <w:t>21</w:t>
      </w:r>
      <w:r>
        <w:rPr>
          <w:rFonts w:hint="eastAsia" w:ascii="仿宋" w:hAnsi="仿宋" w:eastAsia="仿宋" w:cs="宋体"/>
          <w:color w:val="000000"/>
          <w:kern w:val="0"/>
          <w:sz w:val="32"/>
          <w:szCs w:val="32"/>
        </w:rPr>
        <w:t>年部门、政策和项目支出绩效评价工作的通知》（茂财[202</w:t>
      </w:r>
      <w:r>
        <w:rPr>
          <w:rFonts w:ascii="仿宋" w:hAnsi="仿宋" w:eastAsia="仿宋" w:cs="宋体"/>
          <w:color w:val="000000"/>
          <w:kern w:val="0"/>
          <w:sz w:val="32"/>
          <w:szCs w:val="32"/>
        </w:rPr>
        <w:t>1</w:t>
      </w:r>
      <w:r>
        <w:rPr>
          <w:rFonts w:hint="eastAsia" w:ascii="仿宋" w:hAnsi="仿宋" w:eastAsia="仿宋" w:cs="宋体"/>
          <w:color w:val="000000"/>
          <w:kern w:val="0"/>
          <w:sz w:val="32"/>
          <w:szCs w:val="32"/>
        </w:rPr>
        <w:t>]</w:t>
      </w:r>
      <w:r>
        <w:rPr>
          <w:rFonts w:ascii="仿宋" w:hAnsi="仿宋" w:eastAsia="仿宋" w:cs="宋体"/>
          <w:color w:val="000000"/>
          <w:kern w:val="0"/>
          <w:sz w:val="32"/>
          <w:szCs w:val="32"/>
        </w:rPr>
        <w:t>49</w:t>
      </w:r>
      <w:r>
        <w:rPr>
          <w:rFonts w:hint="eastAsia" w:ascii="仿宋" w:hAnsi="仿宋" w:eastAsia="仿宋" w:cs="宋体"/>
          <w:color w:val="000000"/>
          <w:kern w:val="0"/>
          <w:sz w:val="32"/>
          <w:szCs w:val="32"/>
        </w:rPr>
        <w:t>号）文件通知，我局对“优抚对象在乡复员、退伍军人生活补助”项目进行绩效评价</w:t>
      </w:r>
      <w:r>
        <w:rPr>
          <w:rFonts w:hint="eastAsia" w:ascii="宋体" w:hAnsi="宋体" w:cs="宋体"/>
          <w:color w:val="000000"/>
          <w:kern w:val="0"/>
          <w:sz w:val="32"/>
          <w:szCs w:val="32"/>
        </w:rPr>
        <w:t>，</w:t>
      </w:r>
      <w:r>
        <w:rPr>
          <w:rFonts w:hint="eastAsia" w:ascii="仿宋" w:hAnsi="仿宋" w:eastAsia="仿宋" w:cs="宋体"/>
          <w:color w:val="000000"/>
          <w:kern w:val="0"/>
          <w:sz w:val="32"/>
          <w:szCs w:val="32"/>
        </w:rPr>
        <w:t>成立绩效评价工作小组，</w:t>
      </w:r>
      <w:r>
        <w:rPr>
          <w:rFonts w:hint="eastAsia" w:ascii="仿宋_GB2312" w:hAnsi="微软雅黑" w:eastAsia="仿宋_GB2312" w:cs="宋体"/>
          <w:color w:val="000000"/>
          <w:kern w:val="0"/>
          <w:sz w:val="32"/>
          <w:szCs w:val="32"/>
        </w:rPr>
        <w:t>召开专题工作会议进行部署，</w:t>
      </w:r>
      <w:r>
        <w:rPr>
          <w:rFonts w:hint="eastAsia" w:ascii="仿宋" w:hAnsi="仿宋" w:eastAsia="仿宋" w:cs="宋体"/>
          <w:color w:val="000000"/>
          <w:kern w:val="0"/>
          <w:sz w:val="32"/>
          <w:szCs w:val="32"/>
        </w:rPr>
        <w:t>对优抚对象抚恤补助经费进行核查，</w:t>
      </w:r>
      <w:r>
        <w:rPr>
          <w:rFonts w:hint="eastAsia" w:ascii="仿宋_GB2312" w:hAnsi="微软雅黑" w:eastAsia="仿宋_GB2312" w:cs="宋体"/>
          <w:color w:val="000000"/>
          <w:kern w:val="0"/>
          <w:sz w:val="32"/>
          <w:szCs w:val="32"/>
        </w:rPr>
        <w:t>力求数据准确，标准合理，指标科学，考评严格。</w:t>
      </w:r>
    </w:p>
    <w:p>
      <w:pPr>
        <w:pageBreakBefore w:val="0"/>
        <w:widowControl/>
        <w:shd w:val="clear" w:color="auto" w:fill="FFFFFF"/>
        <w:kinsoku/>
        <w:overflowPunct/>
        <w:topLinePunct w:val="0"/>
        <w:autoSpaceDE/>
        <w:autoSpaceDN/>
        <w:bidi w:val="0"/>
        <w:snapToGrid/>
        <w:spacing w:line="576" w:lineRule="exact"/>
        <w:ind w:firstLine="560"/>
        <w:jc w:val="left"/>
        <w:textAlignment w:val="auto"/>
        <w:rPr>
          <w:rFonts w:ascii="微软雅黑" w:hAnsi="微软雅黑" w:eastAsia="微软雅黑" w:cs="宋体"/>
          <w:color w:val="000000"/>
          <w:kern w:val="0"/>
          <w:sz w:val="24"/>
        </w:rPr>
      </w:pPr>
      <w:r>
        <w:rPr>
          <w:rFonts w:hint="eastAsia" w:ascii="仿宋" w:hAnsi="仿宋" w:eastAsia="仿宋" w:cs="宋体"/>
          <w:color w:val="000000"/>
          <w:kern w:val="0"/>
          <w:sz w:val="32"/>
          <w:szCs w:val="32"/>
        </w:rPr>
        <w:t>工作小组针对项目进行前期调研，对相关文件、申报资料等资料进行收集整理，查询相关数据和记账凭证进行核实、汇总，结合具体项目内容，设计绩效评价的指标体系，真实、完整、全面的评价项目的实施建设及完成情况。</w:t>
      </w:r>
    </w:p>
    <w:p>
      <w:pPr>
        <w:pageBreakBefore w:val="0"/>
        <w:widowControl/>
        <w:shd w:val="clear" w:color="auto" w:fill="FFFFFF"/>
        <w:kinsoku/>
        <w:overflowPunct/>
        <w:topLinePunct w:val="0"/>
        <w:autoSpaceDE/>
        <w:autoSpaceDN/>
        <w:bidi w:val="0"/>
        <w:snapToGrid/>
        <w:spacing w:line="576" w:lineRule="exact"/>
        <w:ind w:firstLine="560"/>
        <w:jc w:val="left"/>
        <w:textAlignment w:val="auto"/>
        <w:rPr>
          <w:rFonts w:ascii="微软雅黑" w:hAnsi="微软雅黑" w:eastAsia="微软雅黑" w:cs="宋体"/>
          <w:color w:val="000000"/>
          <w:kern w:val="0"/>
          <w:sz w:val="24"/>
        </w:rPr>
      </w:pPr>
      <w:r>
        <w:rPr>
          <w:rFonts w:hint="eastAsia" w:ascii="仿宋" w:hAnsi="仿宋" w:eastAsia="仿宋" w:cs="宋体"/>
          <w:b/>
          <w:bCs/>
          <w:color w:val="000000"/>
          <w:kern w:val="0"/>
          <w:sz w:val="32"/>
          <w:szCs w:val="32"/>
        </w:rPr>
        <w:t>（二）绩效评价的方法和过程</w:t>
      </w:r>
    </w:p>
    <w:p>
      <w:pPr>
        <w:pageBreakBefore w:val="0"/>
        <w:widowControl/>
        <w:shd w:val="clear" w:color="auto" w:fill="FFFFFF"/>
        <w:kinsoku/>
        <w:overflowPunct/>
        <w:topLinePunct w:val="0"/>
        <w:autoSpaceDE/>
        <w:autoSpaceDN/>
        <w:bidi w:val="0"/>
        <w:snapToGrid/>
        <w:spacing w:line="576" w:lineRule="exact"/>
        <w:ind w:firstLine="640"/>
        <w:jc w:val="left"/>
        <w:textAlignment w:val="auto"/>
        <w:rPr>
          <w:rFonts w:ascii="微软雅黑" w:hAnsi="微软雅黑" w:eastAsia="微软雅黑" w:cs="宋体"/>
          <w:color w:val="000000"/>
          <w:kern w:val="0"/>
          <w:sz w:val="24"/>
        </w:rPr>
      </w:pPr>
      <w:r>
        <w:rPr>
          <w:rFonts w:hint="eastAsia" w:ascii="仿宋" w:hAnsi="仿宋" w:eastAsia="仿宋" w:cs="宋体"/>
          <w:color w:val="000000"/>
          <w:kern w:val="0"/>
          <w:sz w:val="32"/>
          <w:szCs w:val="32"/>
        </w:rPr>
        <w:t>本次绩效评价采用以下方法：一是资料整理法。通过对相关表格和记账凭证等财务资料查阅、核实、汇总分析，评价项目资金使用的规范性、支出范围的相关性和合理性等。二是访谈调查法。了解优抚对象对抚恤补助方面的满意程度，以优抚对象的满意度为评价标准衡量抚恤补助项目开展的效果。</w:t>
      </w:r>
    </w:p>
    <w:p>
      <w:pPr>
        <w:pageBreakBefore w:val="0"/>
        <w:widowControl/>
        <w:shd w:val="clear" w:color="auto" w:fill="FFFFFF"/>
        <w:kinsoku/>
        <w:overflowPunct/>
        <w:topLinePunct w:val="0"/>
        <w:autoSpaceDE/>
        <w:autoSpaceDN/>
        <w:bidi w:val="0"/>
        <w:snapToGrid/>
        <w:spacing w:line="576" w:lineRule="exact"/>
        <w:ind w:firstLine="560"/>
        <w:jc w:val="left"/>
        <w:textAlignment w:val="auto"/>
        <w:rPr>
          <w:rFonts w:ascii="微软雅黑" w:hAnsi="微软雅黑" w:eastAsia="微软雅黑" w:cs="宋体"/>
          <w:color w:val="000000"/>
          <w:kern w:val="0"/>
          <w:sz w:val="24"/>
        </w:rPr>
      </w:pPr>
      <w:r>
        <w:rPr>
          <w:rFonts w:hint="eastAsia" w:ascii="仿宋" w:hAnsi="仿宋" w:eastAsia="仿宋" w:cs="宋体"/>
          <w:color w:val="000000"/>
          <w:kern w:val="0"/>
          <w:sz w:val="32"/>
          <w:szCs w:val="32"/>
        </w:rPr>
        <w:t>通过以上方法收集有关资料，进行研究分析，确定各项指标完成程度及得分，找出项目实施中存在的问题，分析原因，提出建议，形成绩效评价报告。</w:t>
      </w:r>
    </w:p>
    <w:p>
      <w:pPr>
        <w:pageBreakBefore w:val="0"/>
        <w:widowControl/>
        <w:shd w:val="clear" w:color="auto" w:fill="FFFFFF"/>
        <w:kinsoku/>
        <w:overflowPunct/>
        <w:topLinePunct w:val="0"/>
        <w:autoSpaceDE/>
        <w:autoSpaceDN/>
        <w:bidi w:val="0"/>
        <w:snapToGrid/>
        <w:spacing w:line="576" w:lineRule="exact"/>
        <w:ind w:firstLine="482"/>
        <w:jc w:val="left"/>
        <w:textAlignment w:val="auto"/>
        <w:rPr>
          <w:rFonts w:hint="eastAsia" w:ascii="黑体" w:hAnsi="黑体" w:eastAsia="黑体" w:cs="黑体"/>
          <w:b w:val="0"/>
          <w:bCs w:val="0"/>
          <w:color w:val="000000"/>
          <w:kern w:val="0"/>
          <w:sz w:val="32"/>
          <w:szCs w:val="32"/>
        </w:rPr>
      </w:pPr>
      <w:r>
        <w:rPr>
          <w:rFonts w:hint="eastAsia" w:ascii="黑体" w:hAnsi="黑体" w:eastAsia="黑体" w:cs="黑体"/>
          <w:b w:val="0"/>
          <w:bCs w:val="0"/>
          <w:color w:val="000000"/>
          <w:kern w:val="0"/>
          <w:sz w:val="32"/>
          <w:szCs w:val="32"/>
        </w:rPr>
        <w:t>二、项目资金申报及使用情况</w:t>
      </w:r>
    </w:p>
    <w:p>
      <w:pPr>
        <w:pageBreakBefore w:val="0"/>
        <w:widowControl/>
        <w:shd w:val="clear" w:color="auto" w:fill="FFFFFF"/>
        <w:kinsoku/>
        <w:overflowPunct/>
        <w:topLinePunct w:val="0"/>
        <w:autoSpaceDE/>
        <w:autoSpaceDN/>
        <w:bidi w:val="0"/>
        <w:snapToGrid/>
        <w:spacing w:line="576" w:lineRule="exact"/>
        <w:ind w:firstLine="482"/>
        <w:jc w:val="left"/>
        <w:textAlignment w:val="auto"/>
        <w:rPr>
          <w:rFonts w:ascii="宋体" w:hAnsi="宋体" w:cs="宋体"/>
          <w:b/>
          <w:bCs/>
          <w:color w:val="000000"/>
          <w:kern w:val="0"/>
          <w:sz w:val="32"/>
          <w:szCs w:val="32"/>
        </w:rPr>
      </w:pPr>
      <w:r>
        <w:rPr>
          <w:rFonts w:hint="eastAsia" w:ascii="宋体" w:hAnsi="宋体" w:cs="宋体"/>
          <w:b/>
          <w:bCs/>
          <w:color w:val="000000"/>
          <w:kern w:val="0"/>
          <w:sz w:val="32"/>
          <w:szCs w:val="32"/>
        </w:rPr>
        <w:t>（一）项目资金申报及批复情况</w:t>
      </w:r>
    </w:p>
    <w:p>
      <w:pPr>
        <w:pageBreakBefore w:val="0"/>
        <w:widowControl/>
        <w:kinsoku/>
        <w:overflowPunct/>
        <w:topLinePunct w:val="0"/>
        <w:autoSpaceDE/>
        <w:autoSpaceDN/>
        <w:bidi w:val="0"/>
        <w:snapToGrid/>
        <w:spacing w:line="576" w:lineRule="exact"/>
        <w:ind w:firstLine="640" w:firstLineChars="200"/>
        <w:textAlignment w:val="auto"/>
        <w:rPr>
          <w:rFonts w:ascii="仿宋_GB2312" w:hAnsi="宋体" w:eastAsia="仿宋_GB2312" w:cs="宋体"/>
          <w:kern w:val="0"/>
          <w:sz w:val="32"/>
          <w:szCs w:val="32"/>
          <w:lang w:val="zh-CN"/>
        </w:rPr>
      </w:pPr>
      <w:r>
        <w:rPr>
          <w:rFonts w:hint="eastAsia" w:ascii="仿宋_GB2312" w:hAnsi="宋体" w:eastAsia="仿宋_GB2312" w:cs="宋体"/>
          <w:bCs/>
          <w:kern w:val="0"/>
          <w:sz w:val="32"/>
          <w:szCs w:val="32"/>
          <w:lang w:val="zh-CN"/>
        </w:rPr>
        <w:t>根据《财政局关于下达20</w:t>
      </w:r>
      <w:r>
        <w:rPr>
          <w:rFonts w:ascii="仿宋_GB2312" w:hAnsi="宋体" w:eastAsia="仿宋_GB2312" w:cs="宋体"/>
          <w:bCs/>
          <w:kern w:val="0"/>
          <w:sz w:val="32"/>
          <w:szCs w:val="32"/>
          <w:lang w:val="zh-CN"/>
        </w:rPr>
        <w:t>20</w:t>
      </w:r>
      <w:r>
        <w:rPr>
          <w:rFonts w:hint="eastAsia" w:ascii="仿宋_GB2312" w:hAnsi="宋体" w:eastAsia="仿宋_GB2312" w:cs="宋体"/>
          <w:bCs/>
          <w:kern w:val="0"/>
          <w:sz w:val="32"/>
          <w:szCs w:val="32"/>
          <w:lang w:val="zh-CN"/>
        </w:rPr>
        <w:t>年中央、省、州级财政优抚对象抚恤和生活补助经费的通知》茂财社〔20</w:t>
      </w:r>
      <w:r>
        <w:rPr>
          <w:rFonts w:ascii="仿宋_GB2312" w:hAnsi="宋体" w:eastAsia="仿宋_GB2312" w:cs="宋体"/>
          <w:bCs/>
          <w:kern w:val="0"/>
          <w:sz w:val="32"/>
          <w:szCs w:val="32"/>
          <w:lang w:val="zh-CN"/>
        </w:rPr>
        <w:t>20</w:t>
      </w:r>
      <w:r>
        <w:rPr>
          <w:rFonts w:hint="eastAsia" w:ascii="仿宋_GB2312" w:hAnsi="宋体" w:eastAsia="仿宋_GB2312" w:cs="宋体"/>
          <w:bCs/>
          <w:kern w:val="0"/>
          <w:sz w:val="32"/>
          <w:szCs w:val="32"/>
          <w:lang w:val="zh-CN"/>
        </w:rPr>
        <w:t>〕</w:t>
      </w:r>
      <w:r>
        <w:rPr>
          <w:rFonts w:ascii="仿宋_GB2312" w:hAnsi="宋体" w:eastAsia="仿宋_GB2312" w:cs="宋体"/>
          <w:bCs/>
          <w:kern w:val="0"/>
          <w:sz w:val="32"/>
          <w:szCs w:val="32"/>
          <w:lang w:val="zh-CN"/>
        </w:rPr>
        <w:t>32</w:t>
      </w:r>
      <w:r>
        <w:rPr>
          <w:rFonts w:hint="eastAsia" w:ascii="仿宋_GB2312" w:hAnsi="宋体" w:eastAsia="仿宋_GB2312" w:cs="宋体"/>
          <w:bCs/>
          <w:kern w:val="0"/>
          <w:sz w:val="32"/>
          <w:szCs w:val="32"/>
          <w:lang w:val="zh-CN"/>
        </w:rPr>
        <w:t>号）等文件下拨资金共计</w:t>
      </w:r>
      <w:r>
        <w:rPr>
          <w:rFonts w:ascii="仿宋_GB2312" w:hAnsi="宋体" w:eastAsia="仿宋_GB2312" w:cs="宋体"/>
          <w:bCs/>
          <w:kern w:val="0"/>
          <w:sz w:val="32"/>
          <w:szCs w:val="32"/>
          <w:lang w:val="zh-CN"/>
        </w:rPr>
        <w:t>147.73</w:t>
      </w:r>
      <w:r>
        <w:rPr>
          <w:rFonts w:hint="eastAsia" w:ascii="仿宋_GB2312" w:hAnsi="宋体" w:eastAsia="仿宋_GB2312" w:cs="宋体"/>
          <w:bCs/>
          <w:kern w:val="0"/>
          <w:sz w:val="32"/>
          <w:szCs w:val="32"/>
          <w:lang w:val="zh-CN"/>
        </w:rPr>
        <w:t>万元，</w:t>
      </w:r>
      <w:r>
        <w:rPr>
          <w:rFonts w:hint="eastAsia" w:ascii="仿宋_GB2312" w:hAnsi="华文仿宋" w:eastAsia="仿宋_GB2312" w:cs="华文仿宋"/>
          <w:bCs/>
          <w:kern w:val="0"/>
          <w:sz w:val="32"/>
          <w:szCs w:val="32"/>
          <w:lang w:val="zh-CN"/>
        </w:rPr>
        <w:t>优抚对象抚恤经费全额来源于上级拨付。</w:t>
      </w:r>
    </w:p>
    <w:p>
      <w:pPr>
        <w:pageBreakBefore w:val="0"/>
        <w:kinsoku/>
        <w:overflowPunct/>
        <w:topLinePunct w:val="0"/>
        <w:autoSpaceDE/>
        <w:autoSpaceDN/>
        <w:bidi w:val="0"/>
        <w:adjustRightInd w:val="0"/>
        <w:snapToGrid/>
        <w:spacing w:line="576" w:lineRule="exact"/>
        <w:ind w:firstLine="359" w:firstLineChars="112"/>
        <w:textAlignment w:val="auto"/>
        <w:rPr>
          <w:rFonts w:ascii="仿宋_GB2312" w:hAnsi="宋体" w:eastAsia="仿宋_GB2312"/>
          <w:b/>
          <w:bCs/>
          <w:sz w:val="32"/>
          <w:szCs w:val="32"/>
          <w:lang w:val="zh-CN"/>
        </w:rPr>
      </w:pPr>
      <w:r>
        <w:rPr>
          <w:rFonts w:hint="eastAsia" w:ascii="仿宋_GB2312" w:hAnsi="宋体" w:eastAsia="仿宋_GB2312"/>
          <w:b/>
          <w:bCs/>
          <w:sz w:val="32"/>
          <w:szCs w:val="32"/>
          <w:lang w:val="zh-CN"/>
        </w:rPr>
        <w:t>（二）资金计划、到位及使用情况</w:t>
      </w:r>
    </w:p>
    <w:p>
      <w:pPr>
        <w:pageBreakBefore w:val="0"/>
        <w:kinsoku/>
        <w:overflowPunct/>
        <w:topLinePunct w:val="0"/>
        <w:autoSpaceDE/>
        <w:autoSpaceDN/>
        <w:bidi w:val="0"/>
        <w:adjustRightInd w:val="0"/>
        <w:snapToGrid/>
        <w:spacing w:line="576" w:lineRule="exact"/>
        <w:ind w:firstLine="640" w:firstLineChars="200"/>
        <w:textAlignment w:val="auto"/>
        <w:rPr>
          <w:rFonts w:ascii="仿宋_GB2312" w:hAnsi="宋体" w:eastAsia="仿宋_GB2312"/>
          <w:b/>
          <w:bCs/>
          <w:sz w:val="32"/>
          <w:szCs w:val="32"/>
          <w:lang w:val="zh-CN"/>
        </w:rPr>
      </w:pPr>
      <w:r>
        <w:rPr>
          <w:rFonts w:hint="eastAsia" w:ascii="仿宋_GB2312" w:hAnsi="宋体" w:eastAsia="仿宋_GB2312"/>
          <w:sz w:val="32"/>
          <w:szCs w:val="32"/>
          <w:lang w:val="zh-CN"/>
        </w:rPr>
        <w:t>1、资金计划及到位</w:t>
      </w:r>
    </w:p>
    <w:p>
      <w:pPr>
        <w:pageBreakBefore w:val="0"/>
        <w:kinsoku/>
        <w:overflowPunct/>
        <w:topLinePunct w:val="0"/>
        <w:autoSpaceDE/>
        <w:autoSpaceDN/>
        <w:bidi w:val="0"/>
        <w:adjustRightInd w:val="0"/>
        <w:snapToGrid/>
        <w:spacing w:line="576" w:lineRule="exact"/>
        <w:ind w:firstLine="640" w:firstLineChars="200"/>
        <w:textAlignment w:val="auto"/>
        <w:rPr>
          <w:rFonts w:ascii="仿宋_GB2312" w:hAnsi="宋体" w:eastAsia="仿宋_GB2312"/>
          <w:sz w:val="32"/>
          <w:szCs w:val="32"/>
          <w:lang w:val="zh-CN"/>
        </w:rPr>
      </w:pPr>
      <w:r>
        <w:rPr>
          <w:rFonts w:hint="eastAsia" w:ascii="仿宋_GB2312" w:hAnsi="宋体" w:eastAsia="仿宋_GB2312"/>
          <w:sz w:val="32"/>
          <w:szCs w:val="32"/>
          <w:lang w:val="zh-CN"/>
        </w:rPr>
        <w:t>2020年财政共拨付优抚对象抚恤补助资金</w:t>
      </w:r>
      <w:r>
        <w:rPr>
          <w:rFonts w:ascii="仿宋_GB2312" w:hAnsi="宋体" w:eastAsia="仿宋_GB2312"/>
          <w:sz w:val="32"/>
          <w:szCs w:val="32"/>
        </w:rPr>
        <w:t>147.73</w:t>
      </w:r>
      <w:r>
        <w:rPr>
          <w:rFonts w:hint="eastAsia" w:ascii="仿宋_GB2312" w:hAnsi="宋体" w:eastAsia="仿宋_GB2312"/>
          <w:sz w:val="32"/>
          <w:szCs w:val="32"/>
        </w:rPr>
        <w:t>万元</w:t>
      </w:r>
      <w:r>
        <w:rPr>
          <w:rFonts w:hint="eastAsia" w:ascii="仿宋_GB2312" w:hAnsi="宋体" w:eastAsia="仿宋_GB2312"/>
          <w:sz w:val="32"/>
          <w:szCs w:val="32"/>
          <w:lang w:val="zh-CN"/>
        </w:rPr>
        <w:t>，</w:t>
      </w:r>
      <w:r>
        <w:rPr>
          <w:rFonts w:hint="eastAsia" w:ascii="仿宋_GB2312" w:hAnsi="宋体" w:eastAsia="仿宋_GB2312"/>
          <w:sz w:val="32"/>
          <w:szCs w:val="32"/>
        </w:rPr>
        <w:t>资金</w:t>
      </w:r>
      <w:r>
        <w:rPr>
          <w:rFonts w:hint="eastAsia" w:ascii="仿宋_GB2312" w:hAnsi="宋体" w:eastAsia="仿宋_GB2312"/>
          <w:sz w:val="32"/>
          <w:szCs w:val="32"/>
          <w:lang w:val="zh-CN"/>
        </w:rPr>
        <w:t>到位率100%。</w:t>
      </w:r>
    </w:p>
    <w:p>
      <w:pPr>
        <w:pageBreakBefore w:val="0"/>
        <w:kinsoku/>
        <w:overflowPunct/>
        <w:topLinePunct w:val="0"/>
        <w:autoSpaceDE/>
        <w:autoSpaceDN/>
        <w:bidi w:val="0"/>
        <w:adjustRightInd w:val="0"/>
        <w:snapToGrid/>
        <w:spacing w:line="576" w:lineRule="exact"/>
        <w:ind w:firstLine="640" w:firstLineChars="200"/>
        <w:textAlignment w:val="auto"/>
        <w:rPr>
          <w:rFonts w:ascii="仿宋_GB2312" w:hAnsi="宋体" w:eastAsia="仿宋_GB2312"/>
          <w:sz w:val="32"/>
          <w:szCs w:val="32"/>
          <w:lang w:val="zh-CN"/>
        </w:rPr>
      </w:pPr>
      <w:r>
        <w:rPr>
          <w:rFonts w:hint="eastAsia" w:ascii="仿宋_GB2312" w:hAnsi="宋体" w:eastAsia="仿宋_GB2312"/>
          <w:sz w:val="32"/>
          <w:szCs w:val="32"/>
          <w:lang w:val="zh-CN"/>
        </w:rPr>
        <w:t>2、资金使用</w:t>
      </w:r>
    </w:p>
    <w:p>
      <w:pPr>
        <w:pageBreakBefore w:val="0"/>
        <w:kinsoku/>
        <w:overflowPunct/>
        <w:topLinePunct w:val="0"/>
        <w:autoSpaceDE/>
        <w:autoSpaceDN/>
        <w:bidi w:val="0"/>
        <w:adjustRightInd w:val="0"/>
        <w:snapToGrid/>
        <w:spacing w:line="576" w:lineRule="exact"/>
        <w:ind w:firstLine="640" w:firstLineChars="200"/>
        <w:textAlignment w:val="auto"/>
        <w:rPr>
          <w:rFonts w:ascii="仿宋_GB2312" w:hAnsi="宋体" w:eastAsia="仿宋_GB2312"/>
          <w:sz w:val="32"/>
          <w:szCs w:val="32"/>
          <w:lang w:val="zh-CN"/>
        </w:rPr>
      </w:pPr>
      <w:r>
        <w:rPr>
          <w:rFonts w:hint="eastAsia" w:ascii="仿宋_GB2312" w:hAnsi="宋体" w:eastAsia="仿宋_GB2312"/>
          <w:sz w:val="32"/>
          <w:szCs w:val="32"/>
          <w:lang w:val="zh-CN"/>
        </w:rPr>
        <w:t>按资金性质及时申报，在金财大平台上申请资金。2020年共支付优抚对象在乡复员、退伍军人生活补助资金</w:t>
      </w:r>
      <w:r>
        <w:rPr>
          <w:rFonts w:ascii="仿宋_GB2312" w:hAnsi="宋体" w:eastAsia="仿宋_GB2312"/>
          <w:sz w:val="32"/>
          <w:szCs w:val="32"/>
        </w:rPr>
        <w:t>157.96</w:t>
      </w:r>
      <w:r>
        <w:rPr>
          <w:rFonts w:hint="eastAsia" w:ascii="仿宋_GB2312" w:hAnsi="宋体" w:eastAsia="仿宋_GB2312"/>
          <w:sz w:val="32"/>
          <w:szCs w:val="32"/>
        </w:rPr>
        <w:t>万</w:t>
      </w:r>
      <w:r>
        <w:rPr>
          <w:rFonts w:hint="eastAsia" w:ascii="仿宋_GB2312" w:hAnsi="宋体" w:eastAsia="仿宋_GB2312"/>
          <w:sz w:val="32"/>
          <w:szCs w:val="32"/>
          <w:lang w:val="zh-CN"/>
        </w:rPr>
        <w:t>元。</w:t>
      </w:r>
    </w:p>
    <w:p>
      <w:pPr>
        <w:pageBreakBefore w:val="0"/>
        <w:kinsoku/>
        <w:overflowPunct/>
        <w:topLinePunct w:val="0"/>
        <w:autoSpaceDE/>
        <w:autoSpaceDN/>
        <w:bidi w:val="0"/>
        <w:adjustRightInd w:val="0"/>
        <w:snapToGrid/>
        <w:spacing w:line="576" w:lineRule="exact"/>
        <w:ind w:firstLine="640" w:firstLineChars="200"/>
        <w:textAlignment w:val="auto"/>
        <w:rPr>
          <w:rFonts w:ascii="仿宋_GB2312" w:hAnsi="宋体" w:eastAsia="仿宋_GB2312"/>
          <w:sz w:val="32"/>
          <w:szCs w:val="32"/>
          <w:lang w:val="zh-CN"/>
        </w:rPr>
      </w:pPr>
      <w:r>
        <w:rPr>
          <w:rFonts w:hint="eastAsia" w:ascii="仿宋_GB2312" w:hAnsi="宋体" w:eastAsia="仿宋_GB2312"/>
          <w:sz w:val="32"/>
          <w:szCs w:val="32"/>
          <w:lang w:val="zh-CN"/>
        </w:rPr>
        <w:t>（三）项目财务管理情况</w:t>
      </w:r>
    </w:p>
    <w:p>
      <w:pPr>
        <w:pageBreakBefore w:val="0"/>
        <w:kinsoku/>
        <w:overflowPunct/>
        <w:topLinePunct w:val="0"/>
        <w:autoSpaceDE/>
        <w:autoSpaceDN/>
        <w:bidi w:val="0"/>
        <w:adjustRightInd w:val="0"/>
        <w:snapToGrid/>
        <w:spacing w:line="576" w:lineRule="exact"/>
        <w:ind w:firstLine="640" w:firstLineChars="200"/>
        <w:textAlignment w:val="auto"/>
        <w:rPr>
          <w:rFonts w:ascii="仿宋_GB2312" w:hAnsi="宋体" w:eastAsia="仿宋_GB2312"/>
          <w:sz w:val="32"/>
          <w:szCs w:val="32"/>
          <w:lang w:val="zh-CN"/>
        </w:rPr>
      </w:pPr>
      <w:r>
        <w:rPr>
          <w:rFonts w:hint="eastAsia" w:ascii="仿宋_GB2312" w:hAnsi="宋体" w:eastAsia="仿宋_GB2312"/>
          <w:sz w:val="32"/>
          <w:szCs w:val="32"/>
          <w:lang w:val="zh-CN"/>
        </w:rPr>
        <w:t>项目实行专账专管，对资金的会计核算及账务处理做到及时性、规范性和准确性。在资金的管理工作中做到不截留、不挤占、不挪用。</w:t>
      </w:r>
    </w:p>
    <w:p>
      <w:pPr>
        <w:pageBreakBefore w:val="0"/>
        <w:kinsoku/>
        <w:overflowPunct/>
        <w:topLinePunct w:val="0"/>
        <w:autoSpaceDE/>
        <w:autoSpaceDN/>
        <w:bidi w:val="0"/>
        <w:adjustRightInd w:val="0"/>
        <w:snapToGrid/>
        <w:spacing w:line="576" w:lineRule="exact"/>
        <w:ind w:firstLine="720"/>
        <w:textAlignment w:val="auto"/>
        <w:rPr>
          <w:rFonts w:ascii="黑体" w:hAnsi="宋体" w:eastAsia="黑体"/>
          <w:sz w:val="32"/>
          <w:szCs w:val="32"/>
        </w:rPr>
      </w:pPr>
      <w:r>
        <w:rPr>
          <w:rFonts w:hint="eastAsia" w:ascii="黑体" w:hAnsi="宋体" w:eastAsia="黑体"/>
          <w:sz w:val="32"/>
          <w:szCs w:val="32"/>
        </w:rPr>
        <w:t>三、项目实施及管理情况</w:t>
      </w:r>
    </w:p>
    <w:p>
      <w:pPr>
        <w:pageBreakBefore w:val="0"/>
        <w:kinsoku/>
        <w:overflowPunct/>
        <w:topLinePunct w:val="0"/>
        <w:autoSpaceDE/>
        <w:autoSpaceDN/>
        <w:bidi w:val="0"/>
        <w:adjustRightInd w:val="0"/>
        <w:snapToGrid/>
        <w:spacing w:line="576" w:lineRule="exact"/>
        <w:ind w:firstLine="720"/>
        <w:textAlignment w:val="auto"/>
        <w:rPr>
          <w:rFonts w:ascii="仿宋_GB2312" w:hAnsi="宋体" w:eastAsia="仿宋_GB2312"/>
          <w:sz w:val="32"/>
          <w:szCs w:val="32"/>
          <w:lang w:val="zh-CN"/>
        </w:rPr>
      </w:pPr>
      <w:r>
        <w:rPr>
          <w:rFonts w:hint="eastAsia" w:ascii="仿宋_GB2312" w:hAnsi="宋体" w:eastAsia="仿宋_GB2312"/>
          <w:sz w:val="32"/>
          <w:szCs w:val="32"/>
          <w:lang w:val="zh-CN"/>
        </w:rPr>
        <w:t>（一）项目组织情况</w:t>
      </w:r>
    </w:p>
    <w:p>
      <w:pPr>
        <w:pageBreakBefore w:val="0"/>
        <w:kinsoku/>
        <w:overflowPunct/>
        <w:topLinePunct w:val="0"/>
        <w:autoSpaceDE/>
        <w:autoSpaceDN/>
        <w:bidi w:val="0"/>
        <w:adjustRightInd w:val="0"/>
        <w:snapToGrid/>
        <w:spacing w:line="576" w:lineRule="exact"/>
        <w:ind w:firstLine="640" w:firstLineChars="200"/>
        <w:textAlignment w:val="auto"/>
        <w:rPr>
          <w:rFonts w:ascii="仿宋_GB2312" w:hAnsi="宋体" w:eastAsia="仿宋_GB2312"/>
          <w:sz w:val="32"/>
          <w:szCs w:val="32"/>
          <w:lang w:val="zh-CN"/>
        </w:rPr>
      </w:pPr>
      <w:r>
        <w:rPr>
          <w:rFonts w:hint="eastAsia" w:ascii="仿宋_GB2312" w:hAnsi="宋体" w:eastAsia="仿宋_GB2312"/>
          <w:sz w:val="32"/>
          <w:szCs w:val="32"/>
          <w:lang w:val="zh-CN"/>
        </w:rPr>
        <w:t>优抚对象抚恤补助工作组织机构健全、职责分工明确。由茂县退役军人服务中心具体推进项目的落实。</w:t>
      </w:r>
    </w:p>
    <w:p>
      <w:pPr>
        <w:pageBreakBefore w:val="0"/>
        <w:kinsoku/>
        <w:overflowPunct/>
        <w:topLinePunct w:val="0"/>
        <w:autoSpaceDE/>
        <w:autoSpaceDN/>
        <w:bidi w:val="0"/>
        <w:snapToGrid/>
        <w:spacing w:line="576" w:lineRule="exact"/>
        <w:ind w:firstLine="640" w:firstLineChars="200"/>
        <w:textAlignment w:val="auto"/>
        <w:outlineLvl w:val="0"/>
        <w:rPr>
          <w:rFonts w:ascii="仿宋_GB2312" w:hAnsi="楷体" w:eastAsia="仿宋_GB2312" w:cs="楷体"/>
          <w:bCs/>
          <w:color w:val="000000"/>
          <w:sz w:val="32"/>
          <w:szCs w:val="32"/>
        </w:rPr>
      </w:pPr>
      <w:r>
        <w:rPr>
          <w:rFonts w:hint="eastAsia" w:ascii="仿宋_GB2312" w:hAnsi="楷体" w:eastAsia="仿宋_GB2312" w:cs="楷体"/>
          <w:bCs/>
          <w:color w:val="000000"/>
          <w:sz w:val="32"/>
          <w:szCs w:val="32"/>
        </w:rPr>
        <w:t>（二）项目管理情况</w:t>
      </w:r>
    </w:p>
    <w:p>
      <w:pPr>
        <w:pageBreakBefore w:val="0"/>
        <w:kinsoku/>
        <w:overflowPunct/>
        <w:topLinePunct w:val="0"/>
        <w:autoSpaceDE/>
        <w:autoSpaceDN/>
        <w:bidi w:val="0"/>
        <w:snapToGrid/>
        <w:spacing w:line="576" w:lineRule="exact"/>
        <w:ind w:firstLine="640" w:firstLineChars="200"/>
        <w:textAlignment w:val="auto"/>
        <w:outlineLvl w:val="0"/>
        <w:rPr>
          <w:rFonts w:ascii="仿宋_GB2312" w:hAnsi="仿宋_GB2312" w:eastAsia="仿宋_GB2312" w:cs="仿宋_GB2312"/>
          <w:sz w:val="32"/>
          <w:szCs w:val="32"/>
        </w:rPr>
      </w:pPr>
      <w:r>
        <w:rPr>
          <w:rFonts w:hint="eastAsia" w:ascii="仿宋_GB2312" w:hAnsi="仿宋_GB2312" w:eastAsia="仿宋_GB2312" w:cs="仿宋_GB2312"/>
          <w:sz w:val="32"/>
          <w:szCs w:val="32"/>
        </w:rPr>
        <w:t>优抚对象抚恤补助资金管理严格按《</w:t>
      </w:r>
      <w:r>
        <w:rPr>
          <w:rFonts w:hint="eastAsia" w:ascii="仿宋" w:hAnsi="仿宋" w:eastAsia="仿宋"/>
          <w:color w:val="333333"/>
          <w:sz w:val="32"/>
          <w:szCs w:val="32"/>
          <w:shd w:val="clear" w:color="auto" w:fill="FFFFFF"/>
        </w:rPr>
        <w:t>军人抚恤优待条例</w:t>
      </w:r>
      <w:r>
        <w:rPr>
          <w:rFonts w:hint="eastAsia" w:ascii="仿宋_GB2312" w:hAnsi="仿宋_GB2312" w:eastAsia="仿宋_GB2312" w:cs="仿宋_GB2312"/>
          <w:sz w:val="32"/>
          <w:szCs w:val="32"/>
        </w:rPr>
        <w:t>》执行,确保抚恤补助项目的规范有序实施,同时发放审批档案资料齐全、完整、规范。</w:t>
      </w:r>
    </w:p>
    <w:p>
      <w:pPr>
        <w:pageBreakBefore w:val="0"/>
        <w:kinsoku/>
        <w:overflowPunct/>
        <w:topLinePunct w:val="0"/>
        <w:autoSpaceDE/>
        <w:autoSpaceDN/>
        <w:bidi w:val="0"/>
        <w:snapToGrid/>
        <w:spacing w:line="576" w:lineRule="exact"/>
        <w:ind w:firstLine="640" w:firstLineChars="200"/>
        <w:textAlignment w:val="auto"/>
        <w:outlineLvl w:val="0"/>
        <w:rPr>
          <w:rFonts w:ascii="仿宋_GB2312" w:hAnsi="仿宋_GB2312" w:eastAsia="仿宋_GB2312" w:cs="仿宋_GB2312"/>
          <w:sz w:val="32"/>
          <w:szCs w:val="32"/>
        </w:rPr>
      </w:pPr>
      <w:r>
        <w:rPr>
          <w:rFonts w:hint="eastAsia" w:ascii="仿宋_GB2312" w:hAnsi="仿宋_GB2312" w:eastAsia="仿宋_GB2312" w:cs="仿宋_GB2312"/>
          <w:sz w:val="32"/>
          <w:szCs w:val="32"/>
        </w:rPr>
        <w:t>（三）项目监管情况</w:t>
      </w:r>
    </w:p>
    <w:p>
      <w:pPr>
        <w:pageBreakBefore w:val="0"/>
        <w:kinsoku/>
        <w:overflowPunct/>
        <w:topLinePunct w:val="0"/>
        <w:autoSpaceDE/>
        <w:autoSpaceDN/>
        <w:bidi w:val="0"/>
        <w:snapToGrid/>
        <w:spacing w:line="576" w:lineRule="exact"/>
        <w:ind w:firstLine="640" w:firstLineChars="200"/>
        <w:textAlignment w:val="auto"/>
        <w:outlineLvl w:val="0"/>
        <w:rPr>
          <w:rFonts w:ascii="仿宋_GB2312" w:hAnsi="仿宋_GB2312" w:eastAsia="仿宋_GB2312" w:cs="仿宋_GB2312"/>
          <w:sz w:val="32"/>
          <w:szCs w:val="32"/>
        </w:rPr>
      </w:pPr>
      <w:r>
        <w:rPr>
          <w:rFonts w:hint="eastAsia" w:ascii="仿宋_GB2312" w:hAnsi="仿宋_GB2312" w:eastAsia="仿宋_GB2312" w:cs="仿宋_GB2312"/>
          <w:sz w:val="32"/>
          <w:szCs w:val="32"/>
        </w:rPr>
        <w:t>我局内审机构定期对发放情况进行检查，不重报</w:t>
      </w:r>
    </w:p>
    <w:p>
      <w:pPr>
        <w:pageBreakBefore w:val="0"/>
        <w:kinsoku/>
        <w:overflowPunct/>
        <w:topLinePunct w:val="0"/>
        <w:autoSpaceDE/>
        <w:autoSpaceDN/>
        <w:bidi w:val="0"/>
        <w:snapToGrid/>
        <w:spacing w:line="576" w:lineRule="exact"/>
        <w:textAlignment w:val="auto"/>
        <w:outlineLvl w:val="0"/>
        <w:rPr>
          <w:rFonts w:ascii="仿宋_GB2312" w:hAnsi="仿宋_GB2312" w:eastAsia="仿宋_GB2312" w:cs="仿宋_GB2312"/>
          <w:bCs/>
          <w:color w:val="000000"/>
          <w:sz w:val="32"/>
          <w:szCs w:val="32"/>
        </w:rPr>
      </w:pPr>
      <w:r>
        <w:rPr>
          <w:rFonts w:hint="eastAsia" w:ascii="仿宋_GB2312" w:hAnsi="仿宋_GB2312" w:eastAsia="仿宋_GB2312" w:cs="仿宋_GB2312"/>
          <w:sz w:val="32"/>
          <w:szCs w:val="32"/>
        </w:rPr>
        <w:t>不漏报、不乱报，做到发放有依有据。</w:t>
      </w:r>
    </w:p>
    <w:p>
      <w:pPr>
        <w:pageBreakBefore w:val="0"/>
        <w:kinsoku/>
        <w:overflowPunct/>
        <w:topLinePunct w:val="0"/>
        <w:autoSpaceDE/>
        <w:autoSpaceDN/>
        <w:bidi w:val="0"/>
        <w:adjustRightInd w:val="0"/>
        <w:snapToGrid/>
        <w:spacing w:line="576" w:lineRule="exact"/>
        <w:ind w:firstLine="720"/>
        <w:textAlignment w:val="auto"/>
        <w:rPr>
          <w:rFonts w:ascii="仿宋_GB2312" w:hAnsi="宋体" w:eastAsia="仿宋_GB2312"/>
          <w:sz w:val="32"/>
          <w:szCs w:val="32"/>
          <w:lang w:val="zh-CN"/>
        </w:rPr>
      </w:pPr>
      <w:r>
        <w:rPr>
          <w:rFonts w:hint="eastAsia" w:ascii="黑体" w:hAnsi="宋体" w:eastAsia="黑体"/>
          <w:sz w:val="32"/>
          <w:szCs w:val="32"/>
        </w:rPr>
        <w:t>四、项目绩效情况</w:t>
      </w:r>
      <w:r>
        <w:rPr>
          <w:rFonts w:ascii="仿宋_GB2312" w:hAnsi="宋体" w:eastAsia="仿宋_GB2312"/>
          <w:sz w:val="32"/>
          <w:szCs w:val="32"/>
          <w:lang w:val="zh-CN"/>
        </w:rPr>
        <w:tab/>
      </w:r>
    </w:p>
    <w:p>
      <w:pPr>
        <w:pageBreakBefore w:val="0"/>
        <w:kinsoku/>
        <w:overflowPunct/>
        <w:topLinePunct w:val="0"/>
        <w:autoSpaceDE/>
        <w:autoSpaceDN/>
        <w:bidi w:val="0"/>
        <w:adjustRightInd w:val="0"/>
        <w:snapToGrid/>
        <w:spacing w:line="576" w:lineRule="exact"/>
        <w:ind w:firstLine="720"/>
        <w:textAlignment w:val="auto"/>
        <w:rPr>
          <w:rFonts w:ascii="楷体_GB2312" w:hAnsi="宋体" w:eastAsia="楷体_GB2312"/>
          <w:b/>
          <w:sz w:val="32"/>
          <w:szCs w:val="32"/>
          <w:lang w:val="zh-CN"/>
        </w:rPr>
      </w:pPr>
      <w:r>
        <w:rPr>
          <w:rFonts w:hint="eastAsia" w:ascii="楷体_GB2312" w:hAnsi="宋体" w:eastAsia="楷体_GB2312"/>
          <w:b/>
          <w:sz w:val="32"/>
          <w:szCs w:val="32"/>
          <w:lang w:val="zh-CN"/>
        </w:rPr>
        <w:t>（一）项目完成情况</w:t>
      </w:r>
    </w:p>
    <w:p>
      <w:pPr>
        <w:pageBreakBefore w:val="0"/>
        <w:widowControl/>
        <w:shd w:val="clear" w:color="auto" w:fill="FFFFFF"/>
        <w:kinsoku/>
        <w:overflowPunct/>
        <w:topLinePunct w:val="0"/>
        <w:autoSpaceDE/>
        <w:autoSpaceDN/>
        <w:bidi w:val="0"/>
        <w:snapToGrid/>
        <w:spacing w:line="576" w:lineRule="exact"/>
        <w:ind w:firstLine="480"/>
        <w:jc w:val="left"/>
        <w:textAlignment w:val="auto"/>
        <w:rPr>
          <w:rFonts w:hint="eastAsia" w:ascii="仿宋_GB2312" w:hAnsi="Micsoft-Yahei" w:eastAsia="仿宋_GB2312" w:cs="宋体"/>
          <w:color w:val="000000"/>
          <w:kern w:val="0"/>
          <w:sz w:val="32"/>
          <w:szCs w:val="32"/>
        </w:rPr>
      </w:pPr>
      <w:r>
        <w:rPr>
          <w:rFonts w:hint="eastAsia" w:ascii="仿宋_GB2312" w:hAnsi="宋体" w:eastAsia="仿宋_GB2312" w:cs="宋体"/>
          <w:color w:val="000000"/>
          <w:kern w:val="0"/>
          <w:sz w:val="32"/>
          <w:szCs w:val="32"/>
        </w:rPr>
        <w:t>1</w:t>
      </w:r>
      <w:r>
        <w:rPr>
          <w:rFonts w:ascii="仿宋_GB2312" w:hAnsi="宋体" w:eastAsia="仿宋_GB2312" w:cs="宋体"/>
          <w:color w:val="000000"/>
          <w:kern w:val="0"/>
          <w:sz w:val="32"/>
          <w:szCs w:val="32"/>
        </w:rPr>
        <w:t>.</w:t>
      </w:r>
      <w:r>
        <w:rPr>
          <w:rFonts w:hint="eastAsia" w:ascii="仿宋_GB2312" w:hAnsi="宋体" w:eastAsia="仿宋_GB2312" w:cs="宋体"/>
          <w:color w:val="000000"/>
          <w:kern w:val="0"/>
          <w:sz w:val="32"/>
          <w:szCs w:val="32"/>
        </w:rPr>
        <w:t>数量指标。20</w:t>
      </w:r>
      <w:r>
        <w:rPr>
          <w:rFonts w:ascii="仿宋_GB2312" w:hAnsi="宋体" w:eastAsia="仿宋_GB2312" w:cs="宋体"/>
          <w:color w:val="000000"/>
          <w:kern w:val="0"/>
          <w:sz w:val="32"/>
          <w:szCs w:val="32"/>
        </w:rPr>
        <w:t>20</w:t>
      </w:r>
      <w:r>
        <w:rPr>
          <w:rFonts w:hint="eastAsia" w:ascii="仿宋_GB2312" w:hAnsi="宋体" w:eastAsia="仿宋_GB2312" w:cs="宋体"/>
          <w:color w:val="000000"/>
          <w:kern w:val="0"/>
          <w:sz w:val="32"/>
          <w:szCs w:val="32"/>
        </w:rPr>
        <w:t>年，发放优抚对象抚恤补助</w:t>
      </w:r>
      <w:r>
        <w:rPr>
          <w:rFonts w:ascii="仿宋_GB2312" w:hAnsi="宋体" w:eastAsia="仿宋_GB2312" w:cs="宋体"/>
          <w:color w:val="000000"/>
          <w:kern w:val="0"/>
          <w:sz w:val="32"/>
          <w:szCs w:val="32"/>
        </w:rPr>
        <w:t>1380</w:t>
      </w:r>
      <w:r>
        <w:rPr>
          <w:rFonts w:hint="eastAsia" w:ascii="仿宋_GB2312" w:hAnsi="宋体" w:eastAsia="仿宋_GB2312" w:cs="宋体"/>
          <w:color w:val="000000"/>
          <w:kern w:val="0"/>
          <w:sz w:val="32"/>
          <w:szCs w:val="32"/>
        </w:rPr>
        <w:t>人次，达到了预期目标，完成率100%。</w:t>
      </w:r>
    </w:p>
    <w:p>
      <w:pPr>
        <w:pageBreakBefore w:val="0"/>
        <w:widowControl/>
        <w:shd w:val="clear" w:color="auto" w:fill="FFFFFF"/>
        <w:kinsoku/>
        <w:overflowPunct/>
        <w:topLinePunct w:val="0"/>
        <w:autoSpaceDE/>
        <w:autoSpaceDN/>
        <w:bidi w:val="0"/>
        <w:snapToGrid/>
        <w:spacing w:line="576" w:lineRule="exact"/>
        <w:ind w:firstLine="480"/>
        <w:jc w:val="left"/>
        <w:textAlignment w:val="auto"/>
        <w:rPr>
          <w:rFonts w:hint="eastAsia" w:ascii="仿宋_GB2312" w:hAnsi="Micsoft-Yahei" w:eastAsia="仿宋_GB2312" w:cs="宋体"/>
          <w:color w:val="000000"/>
          <w:kern w:val="0"/>
          <w:sz w:val="32"/>
          <w:szCs w:val="32"/>
        </w:rPr>
      </w:pPr>
      <w:r>
        <w:rPr>
          <w:rFonts w:hint="eastAsia" w:ascii="仿宋_GB2312" w:hAnsi="宋体" w:eastAsia="仿宋_GB2312" w:cs="宋体"/>
          <w:color w:val="000000"/>
          <w:kern w:val="0"/>
          <w:sz w:val="32"/>
          <w:szCs w:val="32"/>
        </w:rPr>
        <w:t>2</w:t>
      </w:r>
      <w:r>
        <w:rPr>
          <w:rFonts w:ascii="仿宋_GB2312" w:hAnsi="宋体" w:eastAsia="仿宋_GB2312" w:cs="宋体"/>
          <w:color w:val="000000"/>
          <w:kern w:val="0"/>
          <w:sz w:val="32"/>
          <w:szCs w:val="32"/>
        </w:rPr>
        <w:t>.</w:t>
      </w:r>
      <w:r>
        <w:rPr>
          <w:rFonts w:hint="eastAsia" w:ascii="仿宋_GB2312" w:hAnsi="宋体" w:eastAsia="仿宋_GB2312" w:cs="宋体"/>
          <w:color w:val="000000"/>
          <w:kern w:val="0"/>
          <w:sz w:val="32"/>
          <w:szCs w:val="32"/>
        </w:rPr>
        <w:t>质量指标。2020年，确保按规定标准兑现优抚对象抚恤补助待遇。经费符合相关政策规定比率达到100%。</w:t>
      </w:r>
    </w:p>
    <w:p>
      <w:pPr>
        <w:pageBreakBefore w:val="0"/>
        <w:widowControl/>
        <w:shd w:val="clear" w:color="auto" w:fill="FFFFFF"/>
        <w:kinsoku/>
        <w:overflowPunct/>
        <w:topLinePunct w:val="0"/>
        <w:autoSpaceDE/>
        <w:autoSpaceDN/>
        <w:bidi w:val="0"/>
        <w:snapToGrid/>
        <w:spacing w:line="576" w:lineRule="exact"/>
        <w:ind w:firstLine="480"/>
        <w:jc w:val="left"/>
        <w:textAlignment w:val="auto"/>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3</w:t>
      </w:r>
      <w:r>
        <w:rPr>
          <w:rFonts w:ascii="仿宋_GB2312" w:hAnsi="宋体" w:eastAsia="仿宋_GB2312" w:cs="宋体"/>
          <w:color w:val="000000"/>
          <w:kern w:val="0"/>
          <w:sz w:val="32"/>
          <w:szCs w:val="32"/>
        </w:rPr>
        <w:t>.</w:t>
      </w:r>
      <w:r>
        <w:rPr>
          <w:rFonts w:hint="eastAsia" w:ascii="仿宋_GB2312" w:hAnsi="宋体" w:eastAsia="仿宋_GB2312" w:cs="宋体"/>
          <w:color w:val="000000"/>
          <w:kern w:val="0"/>
          <w:sz w:val="32"/>
          <w:szCs w:val="32"/>
        </w:rPr>
        <w:t>时效指标。每月按时发放。</w:t>
      </w:r>
    </w:p>
    <w:p>
      <w:pPr>
        <w:pageBreakBefore w:val="0"/>
        <w:kinsoku/>
        <w:overflowPunct/>
        <w:topLinePunct w:val="0"/>
        <w:autoSpaceDE/>
        <w:autoSpaceDN/>
        <w:bidi w:val="0"/>
        <w:adjustRightInd w:val="0"/>
        <w:snapToGrid/>
        <w:spacing w:line="576" w:lineRule="exact"/>
        <w:ind w:firstLine="720"/>
        <w:textAlignment w:val="auto"/>
        <w:rPr>
          <w:rFonts w:ascii="楷体_GB2312" w:hAnsi="宋体" w:eastAsia="楷体_GB2312"/>
          <w:b/>
          <w:sz w:val="32"/>
          <w:szCs w:val="32"/>
          <w:lang w:val="zh-CN"/>
        </w:rPr>
      </w:pPr>
      <w:r>
        <w:rPr>
          <w:rFonts w:hint="eastAsia" w:ascii="楷体_GB2312" w:hAnsi="宋体" w:eastAsia="楷体_GB2312"/>
          <w:b/>
          <w:sz w:val="32"/>
          <w:szCs w:val="32"/>
          <w:lang w:val="zh-CN"/>
        </w:rPr>
        <w:t>（二）项目效益情况</w:t>
      </w:r>
    </w:p>
    <w:p>
      <w:pPr>
        <w:pageBreakBefore w:val="0"/>
        <w:widowControl/>
        <w:shd w:val="clear" w:color="auto" w:fill="FFFFFF"/>
        <w:kinsoku/>
        <w:overflowPunct/>
        <w:topLinePunct w:val="0"/>
        <w:autoSpaceDE/>
        <w:autoSpaceDN/>
        <w:bidi w:val="0"/>
        <w:snapToGrid/>
        <w:spacing w:line="576" w:lineRule="exact"/>
        <w:ind w:firstLine="480"/>
        <w:jc w:val="left"/>
        <w:textAlignment w:val="auto"/>
        <w:rPr>
          <w:rFonts w:hint="eastAsia" w:ascii="仿宋_GB2312" w:hAnsi="Micsoft-Yahei" w:eastAsia="仿宋_GB2312" w:cs="宋体"/>
          <w:color w:val="000000"/>
          <w:kern w:val="0"/>
          <w:sz w:val="32"/>
          <w:szCs w:val="32"/>
        </w:rPr>
      </w:pPr>
      <w:r>
        <w:rPr>
          <w:rFonts w:ascii="仿宋_GB2312" w:hAnsi="宋体" w:eastAsia="仿宋_GB2312" w:cs="宋体"/>
          <w:color w:val="000000"/>
          <w:kern w:val="0"/>
          <w:sz w:val="32"/>
          <w:szCs w:val="32"/>
        </w:rPr>
        <w:t>1.</w:t>
      </w:r>
      <w:r>
        <w:rPr>
          <w:rFonts w:hint="eastAsia" w:ascii="仿宋_GB2312" w:hAnsi="宋体" w:eastAsia="仿宋_GB2312" w:cs="宋体"/>
          <w:color w:val="000000"/>
          <w:kern w:val="0"/>
          <w:sz w:val="32"/>
          <w:szCs w:val="32"/>
        </w:rPr>
        <w:t>效益指标完成情况分析</w:t>
      </w:r>
    </w:p>
    <w:p>
      <w:pPr>
        <w:pageBreakBefore w:val="0"/>
        <w:widowControl/>
        <w:kinsoku/>
        <w:wordWrap w:val="0"/>
        <w:overflowPunct/>
        <w:topLinePunct w:val="0"/>
        <w:autoSpaceDE/>
        <w:autoSpaceDN/>
        <w:bidi w:val="0"/>
        <w:snapToGrid/>
        <w:spacing w:line="576" w:lineRule="exact"/>
        <w:ind w:firstLine="640" w:firstLineChars="200"/>
        <w:jc w:val="left"/>
        <w:textAlignment w:val="auto"/>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通过对优抚人员生活补助的发放，切实缓解了我县困难优抚对象生活困难的问题，提高了困难优抚对象的生活质量。通过生活补助的发放使广大困难退役军人更清楚地感受到了党和政府对弱势群体的关心关怀，进一步增强了优抚人员的“感恩报国”意识。同时，充分发挥了退役军人工作工作在保障和改善民生、解决社会问题、化解社会矛盾、促进社会和谐方面的重要作用。</w:t>
      </w:r>
    </w:p>
    <w:p>
      <w:pPr>
        <w:pageBreakBefore w:val="0"/>
        <w:widowControl/>
        <w:shd w:val="clear" w:color="auto" w:fill="FFFFFF"/>
        <w:kinsoku/>
        <w:overflowPunct/>
        <w:topLinePunct w:val="0"/>
        <w:autoSpaceDE/>
        <w:autoSpaceDN/>
        <w:bidi w:val="0"/>
        <w:snapToGrid/>
        <w:spacing w:line="576" w:lineRule="exact"/>
        <w:ind w:firstLine="480"/>
        <w:jc w:val="left"/>
        <w:textAlignment w:val="auto"/>
        <w:rPr>
          <w:rFonts w:hint="eastAsia" w:ascii="仿宋_GB2312" w:hAnsi="Micsoft-Yahei" w:eastAsia="仿宋_GB2312" w:cs="宋体"/>
          <w:color w:val="000000"/>
          <w:kern w:val="0"/>
          <w:sz w:val="32"/>
          <w:szCs w:val="32"/>
        </w:rPr>
      </w:pPr>
      <w:r>
        <w:rPr>
          <w:rFonts w:ascii="仿宋_GB2312" w:hAnsi="宋体" w:eastAsia="仿宋_GB2312" w:cs="宋体"/>
          <w:color w:val="000000"/>
          <w:kern w:val="0"/>
          <w:sz w:val="32"/>
          <w:szCs w:val="32"/>
        </w:rPr>
        <w:t>2.</w:t>
      </w:r>
      <w:r>
        <w:rPr>
          <w:rFonts w:hint="eastAsia" w:ascii="仿宋_GB2312" w:hAnsi="宋体" w:eastAsia="仿宋_GB2312" w:cs="宋体"/>
          <w:color w:val="000000"/>
          <w:kern w:val="0"/>
          <w:sz w:val="32"/>
          <w:szCs w:val="32"/>
        </w:rPr>
        <w:t>满意度指标完成情况分析</w:t>
      </w:r>
    </w:p>
    <w:p>
      <w:pPr>
        <w:pageBreakBefore w:val="0"/>
        <w:widowControl/>
        <w:shd w:val="clear" w:color="auto" w:fill="FFFFFF"/>
        <w:kinsoku/>
        <w:overflowPunct/>
        <w:topLinePunct w:val="0"/>
        <w:autoSpaceDE/>
        <w:autoSpaceDN/>
        <w:bidi w:val="0"/>
        <w:snapToGrid/>
        <w:spacing w:line="576" w:lineRule="exact"/>
        <w:ind w:firstLine="480"/>
        <w:jc w:val="left"/>
        <w:textAlignment w:val="auto"/>
        <w:rPr>
          <w:rFonts w:hint="eastAsia" w:ascii="仿宋_GB2312" w:hAnsi="Micsoft-Yahei" w:eastAsia="仿宋_GB2312" w:cs="宋体"/>
          <w:color w:val="000000"/>
          <w:kern w:val="0"/>
          <w:sz w:val="32"/>
          <w:szCs w:val="32"/>
        </w:rPr>
      </w:pPr>
      <w:r>
        <w:rPr>
          <w:rFonts w:hint="eastAsia" w:ascii="仿宋_GB2312" w:hAnsi="宋体" w:eastAsia="仿宋_GB2312" w:cs="宋体"/>
          <w:color w:val="000000"/>
          <w:kern w:val="0"/>
          <w:sz w:val="32"/>
          <w:szCs w:val="32"/>
        </w:rPr>
        <w:t>优抚对象满意度较好，达到预期目标。</w:t>
      </w:r>
    </w:p>
    <w:p>
      <w:pPr>
        <w:pageBreakBefore w:val="0"/>
        <w:kinsoku/>
        <w:overflowPunct/>
        <w:topLinePunct w:val="0"/>
        <w:autoSpaceDE/>
        <w:autoSpaceDN/>
        <w:bidi w:val="0"/>
        <w:adjustRightInd w:val="0"/>
        <w:snapToGrid/>
        <w:spacing w:line="576" w:lineRule="exact"/>
        <w:ind w:firstLine="720"/>
        <w:textAlignment w:val="auto"/>
        <w:rPr>
          <w:rFonts w:ascii="黑体" w:hAnsi="宋体" w:eastAsia="黑体"/>
          <w:sz w:val="32"/>
          <w:szCs w:val="32"/>
        </w:rPr>
      </w:pPr>
      <w:r>
        <w:rPr>
          <w:rFonts w:hint="eastAsia" w:ascii="黑体" w:hAnsi="宋体" w:eastAsia="黑体"/>
          <w:sz w:val="32"/>
          <w:szCs w:val="32"/>
        </w:rPr>
        <w:t>五、评价结论及建议</w:t>
      </w:r>
    </w:p>
    <w:p>
      <w:pPr>
        <w:pageBreakBefore w:val="0"/>
        <w:kinsoku/>
        <w:overflowPunct/>
        <w:topLinePunct w:val="0"/>
        <w:autoSpaceDE/>
        <w:autoSpaceDN/>
        <w:bidi w:val="0"/>
        <w:adjustRightInd w:val="0"/>
        <w:snapToGrid/>
        <w:spacing w:line="576" w:lineRule="exact"/>
        <w:ind w:firstLine="720"/>
        <w:textAlignment w:val="auto"/>
        <w:rPr>
          <w:rFonts w:ascii="楷体_GB2312" w:hAnsi="宋体" w:eastAsia="楷体_GB2312"/>
          <w:b/>
          <w:sz w:val="32"/>
          <w:szCs w:val="32"/>
          <w:lang w:val="zh-CN"/>
        </w:rPr>
      </w:pPr>
      <w:r>
        <w:rPr>
          <w:rFonts w:hint="eastAsia" w:ascii="楷体_GB2312" w:hAnsi="宋体" w:eastAsia="楷体_GB2312"/>
          <w:b/>
          <w:sz w:val="32"/>
          <w:szCs w:val="32"/>
          <w:lang w:val="zh-CN"/>
        </w:rPr>
        <w:t>（一）评价结论</w:t>
      </w:r>
    </w:p>
    <w:p>
      <w:pPr>
        <w:pageBreakBefore w:val="0"/>
        <w:kinsoku/>
        <w:overflowPunct/>
        <w:topLinePunct w:val="0"/>
        <w:autoSpaceDE/>
        <w:autoSpaceDN/>
        <w:bidi w:val="0"/>
        <w:snapToGrid/>
        <w:spacing w:line="576" w:lineRule="exact"/>
        <w:ind w:firstLine="640" w:firstLineChars="200"/>
        <w:textAlignment w:val="auto"/>
        <w:outlineLvl w:val="0"/>
        <w:rPr>
          <w:rFonts w:ascii="仿宋" w:hAnsi="仿宋" w:eastAsia="仿宋"/>
          <w:color w:val="000000"/>
          <w:sz w:val="32"/>
          <w:szCs w:val="32"/>
          <w:shd w:val="clear" w:color="auto" w:fill="FFFFFF"/>
        </w:rPr>
      </w:pPr>
      <w:r>
        <w:rPr>
          <w:rFonts w:hint="eastAsia" w:ascii="仿宋" w:hAnsi="仿宋" w:eastAsia="仿宋"/>
          <w:color w:val="000000"/>
          <w:sz w:val="32"/>
          <w:szCs w:val="32"/>
          <w:shd w:val="clear" w:color="auto" w:fill="FFFFFF"/>
        </w:rPr>
        <w:t>根据项目执行情况和项目绩效情况，评价等次为优。</w:t>
      </w:r>
    </w:p>
    <w:p>
      <w:pPr>
        <w:pageBreakBefore w:val="0"/>
        <w:kinsoku/>
        <w:overflowPunct/>
        <w:topLinePunct w:val="0"/>
        <w:autoSpaceDE/>
        <w:autoSpaceDN/>
        <w:bidi w:val="0"/>
        <w:adjustRightInd w:val="0"/>
        <w:snapToGrid/>
        <w:spacing w:line="576" w:lineRule="exact"/>
        <w:ind w:firstLine="720"/>
        <w:textAlignment w:val="auto"/>
        <w:rPr>
          <w:rFonts w:ascii="楷体_GB2312" w:hAnsi="宋体" w:eastAsia="楷体_GB2312"/>
          <w:b/>
          <w:sz w:val="32"/>
          <w:szCs w:val="32"/>
          <w:lang w:val="zh-CN"/>
        </w:rPr>
      </w:pPr>
      <w:r>
        <w:rPr>
          <w:rFonts w:hint="eastAsia" w:ascii="楷体_GB2312" w:hAnsi="宋体" w:eastAsia="楷体_GB2312"/>
          <w:b/>
          <w:sz w:val="32"/>
          <w:szCs w:val="32"/>
          <w:lang w:val="zh-CN"/>
        </w:rPr>
        <w:t>（二）存在的问题</w:t>
      </w:r>
    </w:p>
    <w:p>
      <w:pPr>
        <w:pageBreakBefore w:val="0"/>
        <w:widowControl/>
        <w:shd w:val="clear" w:color="auto" w:fill="FFFFFF"/>
        <w:kinsoku/>
        <w:overflowPunct/>
        <w:topLinePunct w:val="0"/>
        <w:autoSpaceDE/>
        <w:autoSpaceDN/>
        <w:bidi w:val="0"/>
        <w:snapToGrid/>
        <w:spacing w:line="576" w:lineRule="exact"/>
        <w:ind w:firstLine="640"/>
        <w:jc w:val="left"/>
        <w:textAlignment w:val="auto"/>
        <w:rPr>
          <w:rFonts w:ascii="微软雅黑" w:hAnsi="微软雅黑" w:eastAsia="微软雅黑" w:cs="宋体"/>
          <w:color w:val="000000"/>
          <w:kern w:val="0"/>
          <w:sz w:val="24"/>
        </w:rPr>
      </w:pPr>
      <w:r>
        <w:rPr>
          <w:rFonts w:hint="eastAsia" w:ascii="仿宋_GB2312" w:hAnsi="微软雅黑" w:eastAsia="仿宋_GB2312" w:cs="宋体"/>
          <w:color w:val="000000"/>
          <w:kern w:val="0"/>
          <w:sz w:val="32"/>
          <w:szCs w:val="32"/>
        </w:rPr>
        <w:t>优抚对象经常更换银行卡，导致发放失败。</w:t>
      </w:r>
    </w:p>
    <w:p>
      <w:pPr>
        <w:pageBreakBefore w:val="0"/>
        <w:kinsoku/>
        <w:overflowPunct/>
        <w:topLinePunct w:val="0"/>
        <w:autoSpaceDE/>
        <w:autoSpaceDN/>
        <w:bidi w:val="0"/>
        <w:snapToGrid/>
        <w:spacing w:line="576" w:lineRule="exact"/>
        <w:textAlignment w:val="auto"/>
      </w:pPr>
    </w:p>
    <w:p>
      <w:pPr>
        <w:pageBreakBefore w:val="0"/>
        <w:kinsoku/>
        <w:overflowPunct/>
        <w:topLinePunct w:val="0"/>
        <w:autoSpaceDE/>
        <w:autoSpaceDN/>
        <w:bidi w:val="0"/>
        <w:snapToGrid/>
        <w:spacing w:line="576" w:lineRule="exact"/>
        <w:jc w:val="center"/>
        <w:textAlignment w:val="auto"/>
        <w:outlineLvl w:val="0"/>
        <w:rPr>
          <w:rFonts w:ascii="黑体" w:hAnsi="黑体" w:eastAsia="黑体"/>
          <w:color w:val="000000"/>
          <w:sz w:val="44"/>
          <w:szCs w:val="44"/>
        </w:rPr>
      </w:pPr>
    </w:p>
    <w:p>
      <w:pPr>
        <w:pageBreakBefore w:val="0"/>
        <w:kinsoku/>
        <w:overflowPunct/>
        <w:topLinePunct w:val="0"/>
        <w:autoSpaceDE/>
        <w:autoSpaceDN/>
        <w:bidi w:val="0"/>
        <w:snapToGrid/>
        <w:spacing w:line="576" w:lineRule="exact"/>
        <w:jc w:val="center"/>
        <w:textAlignment w:val="auto"/>
        <w:outlineLvl w:val="0"/>
        <w:rPr>
          <w:rFonts w:ascii="黑体" w:hAnsi="黑体" w:eastAsia="黑体"/>
          <w:color w:val="000000"/>
          <w:sz w:val="44"/>
          <w:szCs w:val="44"/>
        </w:rPr>
      </w:pPr>
    </w:p>
    <w:p>
      <w:pPr>
        <w:pageBreakBefore w:val="0"/>
        <w:kinsoku/>
        <w:overflowPunct/>
        <w:topLinePunct w:val="0"/>
        <w:autoSpaceDE/>
        <w:autoSpaceDN/>
        <w:bidi w:val="0"/>
        <w:snapToGrid/>
        <w:spacing w:line="576" w:lineRule="exact"/>
        <w:jc w:val="center"/>
        <w:textAlignment w:val="auto"/>
        <w:outlineLvl w:val="0"/>
        <w:rPr>
          <w:rFonts w:ascii="黑体" w:hAnsi="黑体" w:eastAsia="黑体"/>
          <w:color w:val="000000"/>
          <w:sz w:val="44"/>
          <w:szCs w:val="44"/>
        </w:rPr>
      </w:pPr>
    </w:p>
    <w:p>
      <w:pPr>
        <w:pageBreakBefore w:val="0"/>
        <w:kinsoku/>
        <w:overflowPunct/>
        <w:topLinePunct w:val="0"/>
        <w:autoSpaceDE/>
        <w:autoSpaceDN/>
        <w:bidi w:val="0"/>
        <w:snapToGrid/>
        <w:spacing w:line="576" w:lineRule="exact"/>
        <w:jc w:val="center"/>
        <w:textAlignment w:val="auto"/>
        <w:outlineLvl w:val="0"/>
        <w:rPr>
          <w:rFonts w:ascii="黑体" w:hAnsi="黑体" w:eastAsia="黑体"/>
          <w:color w:val="000000"/>
          <w:sz w:val="44"/>
          <w:szCs w:val="44"/>
        </w:rPr>
      </w:pPr>
    </w:p>
    <w:p>
      <w:pPr>
        <w:pageBreakBefore w:val="0"/>
        <w:kinsoku/>
        <w:overflowPunct/>
        <w:topLinePunct w:val="0"/>
        <w:autoSpaceDE/>
        <w:autoSpaceDN/>
        <w:bidi w:val="0"/>
        <w:snapToGrid/>
        <w:spacing w:line="576" w:lineRule="exact"/>
        <w:jc w:val="center"/>
        <w:textAlignment w:val="auto"/>
        <w:outlineLvl w:val="0"/>
        <w:rPr>
          <w:rFonts w:ascii="黑体" w:hAnsi="黑体" w:eastAsia="黑体"/>
          <w:color w:val="000000"/>
          <w:sz w:val="44"/>
          <w:szCs w:val="44"/>
        </w:rPr>
      </w:pPr>
    </w:p>
    <w:p>
      <w:pPr>
        <w:pageBreakBefore w:val="0"/>
        <w:kinsoku/>
        <w:overflowPunct/>
        <w:topLinePunct w:val="0"/>
        <w:autoSpaceDE/>
        <w:autoSpaceDN/>
        <w:bidi w:val="0"/>
        <w:snapToGrid/>
        <w:spacing w:line="576" w:lineRule="exact"/>
        <w:jc w:val="center"/>
        <w:textAlignment w:val="auto"/>
        <w:outlineLvl w:val="0"/>
        <w:rPr>
          <w:rFonts w:ascii="黑体" w:hAnsi="黑体" w:eastAsia="黑体"/>
          <w:color w:val="000000"/>
          <w:sz w:val="44"/>
          <w:szCs w:val="44"/>
        </w:rPr>
      </w:pPr>
    </w:p>
    <w:p>
      <w:pPr>
        <w:pageBreakBefore w:val="0"/>
        <w:kinsoku/>
        <w:overflowPunct/>
        <w:topLinePunct w:val="0"/>
        <w:autoSpaceDE/>
        <w:autoSpaceDN/>
        <w:bidi w:val="0"/>
        <w:snapToGrid/>
        <w:spacing w:line="576" w:lineRule="exact"/>
        <w:jc w:val="center"/>
        <w:textAlignment w:val="auto"/>
        <w:outlineLvl w:val="0"/>
        <w:rPr>
          <w:rFonts w:ascii="黑体" w:hAnsi="黑体" w:eastAsia="黑体"/>
          <w:color w:val="000000"/>
          <w:sz w:val="44"/>
          <w:szCs w:val="44"/>
        </w:rPr>
      </w:pPr>
    </w:p>
    <w:p>
      <w:pPr>
        <w:pageBreakBefore w:val="0"/>
        <w:kinsoku/>
        <w:overflowPunct/>
        <w:topLinePunct w:val="0"/>
        <w:autoSpaceDE/>
        <w:autoSpaceDN/>
        <w:bidi w:val="0"/>
        <w:snapToGrid/>
        <w:spacing w:line="576" w:lineRule="exact"/>
        <w:jc w:val="center"/>
        <w:textAlignment w:val="auto"/>
        <w:outlineLvl w:val="0"/>
        <w:rPr>
          <w:rFonts w:ascii="黑体" w:hAnsi="黑体" w:eastAsia="黑体"/>
          <w:color w:val="000000"/>
          <w:sz w:val="44"/>
          <w:szCs w:val="44"/>
        </w:rPr>
      </w:pPr>
    </w:p>
    <w:p>
      <w:pPr>
        <w:pageBreakBefore w:val="0"/>
        <w:kinsoku/>
        <w:overflowPunct/>
        <w:topLinePunct w:val="0"/>
        <w:autoSpaceDE/>
        <w:autoSpaceDN/>
        <w:bidi w:val="0"/>
        <w:snapToGrid/>
        <w:spacing w:line="576" w:lineRule="exact"/>
        <w:jc w:val="center"/>
        <w:textAlignment w:val="auto"/>
        <w:outlineLvl w:val="0"/>
        <w:rPr>
          <w:rFonts w:ascii="黑体" w:hAnsi="黑体" w:eastAsia="黑体"/>
          <w:color w:val="000000"/>
          <w:sz w:val="44"/>
          <w:szCs w:val="44"/>
        </w:rPr>
      </w:pPr>
    </w:p>
    <w:p>
      <w:pPr>
        <w:pageBreakBefore w:val="0"/>
        <w:kinsoku/>
        <w:overflowPunct/>
        <w:topLinePunct w:val="0"/>
        <w:autoSpaceDE/>
        <w:autoSpaceDN/>
        <w:bidi w:val="0"/>
        <w:snapToGrid/>
        <w:spacing w:line="576" w:lineRule="exact"/>
        <w:jc w:val="center"/>
        <w:textAlignment w:val="auto"/>
        <w:outlineLvl w:val="0"/>
        <w:rPr>
          <w:rFonts w:ascii="黑体" w:hAnsi="黑体" w:eastAsia="黑体"/>
          <w:color w:val="000000"/>
          <w:sz w:val="44"/>
          <w:szCs w:val="44"/>
        </w:rPr>
      </w:pPr>
    </w:p>
    <w:p>
      <w:pPr>
        <w:pageBreakBefore w:val="0"/>
        <w:kinsoku/>
        <w:overflowPunct/>
        <w:topLinePunct w:val="0"/>
        <w:autoSpaceDE/>
        <w:autoSpaceDN/>
        <w:bidi w:val="0"/>
        <w:snapToGrid/>
        <w:spacing w:line="576" w:lineRule="exact"/>
        <w:jc w:val="center"/>
        <w:textAlignment w:val="auto"/>
        <w:outlineLvl w:val="0"/>
        <w:rPr>
          <w:rFonts w:ascii="黑体" w:hAnsi="黑体" w:eastAsia="黑体"/>
          <w:color w:val="000000"/>
          <w:sz w:val="44"/>
          <w:szCs w:val="44"/>
        </w:rPr>
      </w:pPr>
    </w:p>
    <w:p>
      <w:pPr>
        <w:pageBreakBefore w:val="0"/>
        <w:kinsoku/>
        <w:overflowPunct/>
        <w:topLinePunct w:val="0"/>
        <w:autoSpaceDE/>
        <w:autoSpaceDN/>
        <w:bidi w:val="0"/>
        <w:snapToGrid/>
        <w:spacing w:line="576" w:lineRule="exact"/>
        <w:jc w:val="center"/>
        <w:textAlignment w:val="auto"/>
        <w:outlineLvl w:val="0"/>
        <w:rPr>
          <w:rFonts w:ascii="黑体" w:hAnsi="黑体" w:eastAsia="黑体"/>
          <w:color w:val="000000"/>
          <w:sz w:val="44"/>
          <w:szCs w:val="44"/>
        </w:rPr>
      </w:pPr>
    </w:p>
    <w:p>
      <w:pPr>
        <w:pageBreakBefore w:val="0"/>
        <w:kinsoku/>
        <w:overflowPunct/>
        <w:topLinePunct w:val="0"/>
        <w:autoSpaceDE/>
        <w:autoSpaceDN/>
        <w:bidi w:val="0"/>
        <w:snapToGrid/>
        <w:spacing w:line="576" w:lineRule="exact"/>
        <w:jc w:val="center"/>
        <w:textAlignment w:val="auto"/>
        <w:outlineLvl w:val="0"/>
        <w:rPr>
          <w:rFonts w:ascii="黑体" w:hAnsi="黑体" w:eastAsia="黑体"/>
          <w:color w:val="000000"/>
          <w:sz w:val="44"/>
          <w:szCs w:val="44"/>
        </w:rPr>
      </w:pPr>
    </w:p>
    <w:p>
      <w:pPr>
        <w:pageBreakBefore w:val="0"/>
        <w:kinsoku/>
        <w:overflowPunct/>
        <w:topLinePunct w:val="0"/>
        <w:autoSpaceDE/>
        <w:autoSpaceDN/>
        <w:bidi w:val="0"/>
        <w:snapToGrid/>
        <w:spacing w:line="576" w:lineRule="exact"/>
        <w:jc w:val="center"/>
        <w:textAlignment w:val="auto"/>
        <w:outlineLvl w:val="0"/>
        <w:rPr>
          <w:rFonts w:ascii="黑体" w:hAnsi="黑体" w:eastAsia="黑体"/>
          <w:color w:val="000000"/>
          <w:sz w:val="44"/>
          <w:szCs w:val="44"/>
        </w:rPr>
      </w:pPr>
    </w:p>
    <w:p>
      <w:pPr>
        <w:pageBreakBefore w:val="0"/>
        <w:kinsoku/>
        <w:overflowPunct/>
        <w:topLinePunct w:val="0"/>
        <w:autoSpaceDE/>
        <w:autoSpaceDN/>
        <w:bidi w:val="0"/>
        <w:snapToGrid/>
        <w:spacing w:line="576" w:lineRule="exact"/>
        <w:jc w:val="center"/>
        <w:textAlignment w:val="auto"/>
        <w:outlineLvl w:val="0"/>
        <w:rPr>
          <w:rFonts w:ascii="黑体" w:hAnsi="黑体" w:eastAsia="黑体"/>
          <w:color w:val="000000"/>
          <w:sz w:val="44"/>
          <w:szCs w:val="44"/>
        </w:rPr>
      </w:pPr>
    </w:p>
    <w:p>
      <w:pPr>
        <w:pageBreakBefore w:val="0"/>
        <w:kinsoku/>
        <w:overflowPunct/>
        <w:topLinePunct w:val="0"/>
        <w:autoSpaceDE/>
        <w:autoSpaceDN/>
        <w:bidi w:val="0"/>
        <w:snapToGrid/>
        <w:spacing w:line="576" w:lineRule="exact"/>
        <w:jc w:val="center"/>
        <w:textAlignment w:val="auto"/>
        <w:outlineLvl w:val="0"/>
        <w:rPr>
          <w:rFonts w:ascii="黑体" w:hAnsi="黑体" w:eastAsia="黑体"/>
          <w:color w:val="000000"/>
          <w:sz w:val="44"/>
          <w:szCs w:val="44"/>
        </w:rPr>
      </w:pPr>
    </w:p>
    <w:p>
      <w:pPr>
        <w:pageBreakBefore w:val="0"/>
        <w:kinsoku/>
        <w:overflowPunct/>
        <w:topLinePunct w:val="0"/>
        <w:autoSpaceDE/>
        <w:autoSpaceDN/>
        <w:bidi w:val="0"/>
        <w:snapToGrid/>
        <w:spacing w:line="576" w:lineRule="exact"/>
        <w:jc w:val="center"/>
        <w:textAlignment w:val="auto"/>
        <w:outlineLvl w:val="0"/>
        <w:rPr>
          <w:rFonts w:ascii="黑体" w:hAnsi="黑体" w:eastAsia="黑体"/>
          <w:color w:val="000000"/>
          <w:sz w:val="44"/>
          <w:szCs w:val="44"/>
        </w:rPr>
      </w:pPr>
    </w:p>
    <w:p>
      <w:pPr>
        <w:pageBreakBefore w:val="0"/>
        <w:kinsoku/>
        <w:overflowPunct/>
        <w:topLinePunct w:val="0"/>
        <w:autoSpaceDE/>
        <w:autoSpaceDN/>
        <w:bidi w:val="0"/>
        <w:snapToGrid/>
        <w:spacing w:line="576" w:lineRule="exact"/>
        <w:jc w:val="center"/>
        <w:textAlignment w:val="auto"/>
        <w:outlineLvl w:val="0"/>
        <w:rPr>
          <w:rFonts w:ascii="黑体" w:hAnsi="黑体" w:eastAsia="黑体"/>
          <w:color w:val="000000"/>
          <w:sz w:val="44"/>
          <w:szCs w:val="44"/>
        </w:rPr>
      </w:pPr>
    </w:p>
    <w:p>
      <w:pPr>
        <w:pageBreakBefore w:val="0"/>
        <w:kinsoku/>
        <w:overflowPunct/>
        <w:topLinePunct w:val="0"/>
        <w:autoSpaceDE/>
        <w:autoSpaceDN/>
        <w:bidi w:val="0"/>
        <w:snapToGrid/>
        <w:spacing w:line="576" w:lineRule="exact"/>
        <w:jc w:val="center"/>
        <w:textAlignment w:val="auto"/>
        <w:outlineLvl w:val="0"/>
        <w:rPr>
          <w:rFonts w:ascii="黑体" w:hAnsi="黑体" w:eastAsia="黑体"/>
          <w:color w:val="000000"/>
          <w:sz w:val="44"/>
          <w:szCs w:val="44"/>
        </w:rPr>
      </w:pPr>
    </w:p>
    <w:p>
      <w:pPr>
        <w:pageBreakBefore w:val="0"/>
        <w:kinsoku/>
        <w:overflowPunct/>
        <w:topLinePunct w:val="0"/>
        <w:autoSpaceDE/>
        <w:autoSpaceDN/>
        <w:bidi w:val="0"/>
        <w:snapToGrid/>
        <w:spacing w:line="576" w:lineRule="exact"/>
        <w:jc w:val="center"/>
        <w:textAlignment w:val="auto"/>
        <w:outlineLvl w:val="0"/>
        <w:rPr>
          <w:rFonts w:ascii="黑体" w:hAnsi="黑体" w:eastAsia="黑体"/>
          <w:color w:val="000000"/>
          <w:sz w:val="44"/>
          <w:szCs w:val="44"/>
        </w:rPr>
      </w:pPr>
    </w:p>
    <w:p>
      <w:pPr>
        <w:pageBreakBefore w:val="0"/>
        <w:kinsoku/>
        <w:overflowPunct/>
        <w:topLinePunct w:val="0"/>
        <w:autoSpaceDE/>
        <w:autoSpaceDN/>
        <w:bidi w:val="0"/>
        <w:snapToGrid/>
        <w:spacing w:line="576" w:lineRule="exact"/>
        <w:jc w:val="center"/>
        <w:textAlignment w:val="auto"/>
        <w:outlineLvl w:val="0"/>
        <w:rPr>
          <w:rFonts w:ascii="黑体" w:hAnsi="黑体" w:eastAsia="黑体"/>
          <w:color w:val="000000"/>
          <w:sz w:val="44"/>
          <w:szCs w:val="44"/>
        </w:rPr>
      </w:pPr>
    </w:p>
    <w:p>
      <w:pPr>
        <w:pageBreakBefore w:val="0"/>
        <w:kinsoku/>
        <w:overflowPunct/>
        <w:topLinePunct w:val="0"/>
        <w:autoSpaceDE/>
        <w:autoSpaceDN/>
        <w:bidi w:val="0"/>
        <w:snapToGrid/>
        <w:spacing w:line="576" w:lineRule="exact"/>
        <w:jc w:val="center"/>
        <w:textAlignment w:val="auto"/>
        <w:outlineLvl w:val="0"/>
        <w:rPr>
          <w:rFonts w:ascii="黑体" w:hAnsi="黑体" w:eastAsia="黑体"/>
          <w:color w:val="000000"/>
          <w:sz w:val="44"/>
          <w:szCs w:val="44"/>
        </w:rPr>
      </w:pPr>
    </w:p>
    <w:p>
      <w:pPr>
        <w:pageBreakBefore w:val="0"/>
        <w:kinsoku/>
        <w:overflowPunct/>
        <w:topLinePunct w:val="0"/>
        <w:autoSpaceDE/>
        <w:autoSpaceDN/>
        <w:bidi w:val="0"/>
        <w:snapToGrid/>
        <w:spacing w:line="576" w:lineRule="exact"/>
        <w:jc w:val="center"/>
        <w:textAlignment w:val="auto"/>
        <w:outlineLvl w:val="0"/>
        <w:rPr>
          <w:rFonts w:ascii="黑体" w:hAnsi="黑体" w:eastAsia="黑体"/>
          <w:color w:val="000000"/>
          <w:sz w:val="44"/>
          <w:szCs w:val="44"/>
        </w:rPr>
      </w:pPr>
    </w:p>
    <w:p>
      <w:pPr>
        <w:pageBreakBefore w:val="0"/>
        <w:kinsoku/>
        <w:overflowPunct/>
        <w:topLinePunct w:val="0"/>
        <w:autoSpaceDE/>
        <w:autoSpaceDN/>
        <w:bidi w:val="0"/>
        <w:snapToGrid/>
        <w:spacing w:line="576" w:lineRule="exact"/>
        <w:jc w:val="center"/>
        <w:textAlignment w:val="auto"/>
        <w:outlineLvl w:val="0"/>
        <w:rPr>
          <w:rFonts w:ascii="黑体" w:hAnsi="黑体" w:eastAsia="黑体"/>
          <w:color w:val="000000"/>
          <w:sz w:val="44"/>
          <w:szCs w:val="44"/>
        </w:rPr>
      </w:pPr>
    </w:p>
    <w:p>
      <w:pPr>
        <w:pageBreakBefore w:val="0"/>
        <w:kinsoku/>
        <w:overflowPunct/>
        <w:topLinePunct w:val="0"/>
        <w:autoSpaceDE/>
        <w:autoSpaceDN/>
        <w:bidi w:val="0"/>
        <w:snapToGrid/>
        <w:spacing w:line="576" w:lineRule="exact"/>
        <w:jc w:val="center"/>
        <w:textAlignment w:val="auto"/>
        <w:outlineLvl w:val="0"/>
        <w:rPr>
          <w:rFonts w:ascii="黑体" w:hAnsi="黑体" w:eastAsia="黑体"/>
          <w:color w:val="000000"/>
          <w:sz w:val="44"/>
          <w:szCs w:val="44"/>
        </w:rPr>
      </w:pPr>
    </w:p>
    <w:p>
      <w:pPr>
        <w:pageBreakBefore w:val="0"/>
        <w:kinsoku/>
        <w:overflowPunct/>
        <w:topLinePunct w:val="0"/>
        <w:autoSpaceDE/>
        <w:autoSpaceDN/>
        <w:bidi w:val="0"/>
        <w:snapToGrid/>
        <w:spacing w:line="576" w:lineRule="exact"/>
        <w:jc w:val="center"/>
        <w:textAlignment w:val="auto"/>
        <w:outlineLvl w:val="0"/>
        <w:rPr>
          <w:rFonts w:ascii="黑体" w:hAnsi="黑体" w:eastAsia="黑体"/>
          <w:color w:val="000000"/>
          <w:sz w:val="44"/>
          <w:szCs w:val="44"/>
        </w:rPr>
      </w:pPr>
    </w:p>
    <w:p>
      <w:pPr>
        <w:pageBreakBefore w:val="0"/>
        <w:kinsoku/>
        <w:overflowPunct/>
        <w:topLinePunct w:val="0"/>
        <w:autoSpaceDE/>
        <w:autoSpaceDN/>
        <w:bidi w:val="0"/>
        <w:snapToGrid/>
        <w:spacing w:line="576" w:lineRule="exact"/>
        <w:jc w:val="center"/>
        <w:textAlignment w:val="auto"/>
        <w:outlineLvl w:val="0"/>
        <w:rPr>
          <w:rFonts w:ascii="黑体" w:hAnsi="黑体" w:eastAsia="黑体"/>
          <w:color w:val="000000"/>
          <w:sz w:val="44"/>
          <w:szCs w:val="44"/>
        </w:rPr>
      </w:pPr>
    </w:p>
    <w:p>
      <w:pPr>
        <w:pageBreakBefore w:val="0"/>
        <w:kinsoku/>
        <w:overflowPunct/>
        <w:topLinePunct w:val="0"/>
        <w:autoSpaceDE/>
        <w:autoSpaceDN/>
        <w:bidi w:val="0"/>
        <w:snapToGrid/>
        <w:spacing w:line="576" w:lineRule="exact"/>
        <w:jc w:val="center"/>
        <w:textAlignment w:val="auto"/>
        <w:outlineLvl w:val="0"/>
        <w:rPr>
          <w:rFonts w:ascii="黑体" w:hAnsi="黑体" w:eastAsia="黑体"/>
          <w:color w:val="000000"/>
          <w:sz w:val="44"/>
          <w:szCs w:val="44"/>
        </w:rPr>
      </w:pPr>
    </w:p>
    <w:p>
      <w:pPr>
        <w:pageBreakBefore w:val="0"/>
        <w:kinsoku/>
        <w:overflowPunct/>
        <w:topLinePunct w:val="0"/>
        <w:autoSpaceDE/>
        <w:autoSpaceDN/>
        <w:bidi w:val="0"/>
        <w:snapToGrid/>
        <w:spacing w:line="576" w:lineRule="exact"/>
        <w:jc w:val="center"/>
        <w:textAlignment w:val="auto"/>
        <w:outlineLvl w:val="0"/>
        <w:rPr>
          <w:rStyle w:val="25"/>
          <w:rFonts w:ascii="黑体" w:hAnsi="黑体" w:eastAsia="黑体"/>
          <w:b w:val="0"/>
        </w:rPr>
      </w:pPr>
      <w:bookmarkStart w:id="168" w:name="_Toc82764235"/>
      <w:r>
        <w:rPr>
          <w:rFonts w:hint="eastAsia" w:ascii="方正小标宋简体" w:hAnsi="方正小标宋简体" w:eastAsia="方正小标宋简体" w:cs="方正小标宋简体"/>
          <w:b w:val="0"/>
          <w:bCs/>
          <w:kern w:val="44"/>
          <w:sz w:val="44"/>
          <w:szCs w:val="44"/>
          <w:lang w:val="en-US" w:eastAsia="zh-CN" w:bidi="ar-SA"/>
        </w:rPr>
        <w:t>第五部分 附表</w:t>
      </w:r>
      <w:bookmarkEnd w:id="168"/>
    </w:p>
    <w:p>
      <w:pPr>
        <w:pStyle w:val="3"/>
        <w:pageBreakBefore w:val="0"/>
        <w:widowControl w:val="0"/>
        <w:kinsoku/>
        <w:wordWrap/>
        <w:overflowPunct/>
        <w:topLinePunct w:val="0"/>
        <w:autoSpaceDE/>
        <w:autoSpaceDN/>
        <w:bidi w:val="0"/>
        <w:adjustRightInd/>
        <w:snapToGrid/>
        <w:spacing w:before="0" w:after="0" w:line="576" w:lineRule="exact"/>
        <w:textAlignment w:val="auto"/>
        <w:rPr>
          <w:rFonts w:hint="eastAsia" w:ascii="仿宋" w:hAnsi="仿宋" w:eastAsia="仿宋"/>
          <w:b w:val="0"/>
          <w:color w:val="000000"/>
        </w:rPr>
      </w:pPr>
      <w:bookmarkStart w:id="169" w:name="_Toc79163636"/>
      <w:bookmarkStart w:id="170" w:name="_Toc82764236"/>
      <w:bookmarkStart w:id="171" w:name="_Toc15396619"/>
    </w:p>
    <w:p>
      <w:pPr>
        <w:pStyle w:val="3"/>
        <w:pageBreakBefore w:val="0"/>
        <w:widowControl w:val="0"/>
        <w:kinsoku/>
        <w:wordWrap/>
        <w:overflowPunct/>
        <w:topLinePunct w:val="0"/>
        <w:autoSpaceDE/>
        <w:autoSpaceDN/>
        <w:bidi w:val="0"/>
        <w:adjustRightInd/>
        <w:snapToGrid/>
        <w:spacing w:before="0" w:after="0" w:line="576" w:lineRule="exac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b w:val="0"/>
          <w:color w:val="000000"/>
          <w:sz w:val="32"/>
          <w:szCs w:val="32"/>
        </w:rPr>
        <w:t>一、收</w:t>
      </w:r>
      <w:r>
        <w:rPr>
          <w:rStyle w:val="26"/>
          <w:rFonts w:hint="eastAsia" w:ascii="仿宋_GB2312" w:hAnsi="仿宋_GB2312" w:eastAsia="仿宋_GB2312" w:cs="仿宋_GB2312"/>
          <w:b w:val="0"/>
          <w:bCs w:val="0"/>
          <w:sz w:val="32"/>
          <w:szCs w:val="32"/>
        </w:rPr>
        <w:t>入支出决算总表</w:t>
      </w:r>
      <w:bookmarkEnd w:id="169"/>
      <w:bookmarkEnd w:id="170"/>
      <w:bookmarkEnd w:id="171"/>
    </w:p>
    <w:p>
      <w:pPr>
        <w:pStyle w:val="3"/>
        <w:pageBreakBefore w:val="0"/>
        <w:widowControl w:val="0"/>
        <w:kinsoku/>
        <w:wordWrap/>
        <w:overflowPunct/>
        <w:topLinePunct w:val="0"/>
        <w:autoSpaceDE/>
        <w:autoSpaceDN/>
        <w:bidi w:val="0"/>
        <w:adjustRightInd/>
        <w:snapToGrid/>
        <w:spacing w:before="0" w:after="0" w:line="576" w:lineRule="exact"/>
        <w:textAlignment w:val="auto"/>
        <w:rPr>
          <w:rFonts w:hint="eastAsia" w:ascii="仿宋_GB2312" w:hAnsi="仿宋_GB2312" w:eastAsia="仿宋_GB2312" w:cs="仿宋_GB2312"/>
          <w:color w:val="000000"/>
          <w:sz w:val="32"/>
          <w:szCs w:val="32"/>
        </w:rPr>
      </w:pPr>
      <w:bookmarkStart w:id="172" w:name="_Toc82764237"/>
      <w:bookmarkStart w:id="173" w:name="_Toc15396620"/>
      <w:bookmarkStart w:id="174" w:name="_Toc79163637"/>
      <w:r>
        <w:rPr>
          <w:rFonts w:hint="eastAsia" w:ascii="仿宋_GB2312" w:hAnsi="仿宋_GB2312" w:eastAsia="仿宋_GB2312" w:cs="仿宋_GB2312"/>
          <w:b w:val="0"/>
          <w:color w:val="000000"/>
          <w:sz w:val="32"/>
          <w:szCs w:val="32"/>
        </w:rPr>
        <w:t>二、收</w:t>
      </w:r>
      <w:r>
        <w:rPr>
          <w:rStyle w:val="26"/>
          <w:rFonts w:hint="eastAsia" w:ascii="仿宋_GB2312" w:hAnsi="仿宋_GB2312" w:eastAsia="仿宋_GB2312" w:cs="仿宋_GB2312"/>
          <w:b w:val="0"/>
          <w:bCs w:val="0"/>
          <w:sz w:val="32"/>
          <w:szCs w:val="32"/>
        </w:rPr>
        <w:t>入决算表</w:t>
      </w:r>
      <w:bookmarkEnd w:id="172"/>
      <w:bookmarkEnd w:id="173"/>
      <w:bookmarkEnd w:id="174"/>
    </w:p>
    <w:p>
      <w:pPr>
        <w:pStyle w:val="3"/>
        <w:pageBreakBefore w:val="0"/>
        <w:widowControl w:val="0"/>
        <w:kinsoku/>
        <w:wordWrap/>
        <w:overflowPunct/>
        <w:topLinePunct w:val="0"/>
        <w:autoSpaceDE/>
        <w:autoSpaceDN/>
        <w:bidi w:val="0"/>
        <w:adjustRightInd/>
        <w:snapToGrid/>
        <w:spacing w:before="0" w:after="0" w:line="576" w:lineRule="exact"/>
        <w:textAlignment w:val="auto"/>
        <w:rPr>
          <w:rFonts w:hint="eastAsia" w:ascii="仿宋_GB2312" w:hAnsi="仿宋_GB2312" w:eastAsia="仿宋_GB2312" w:cs="仿宋_GB2312"/>
          <w:color w:val="000000"/>
          <w:sz w:val="32"/>
          <w:szCs w:val="32"/>
        </w:rPr>
      </w:pPr>
      <w:bookmarkStart w:id="175" w:name="_Toc82764238"/>
      <w:bookmarkStart w:id="176" w:name="_Toc79163638"/>
      <w:bookmarkStart w:id="177" w:name="_Toc15396621"/>
      <w:r>
        <w:rPr>
          <w:rStyle w:val="26"/>
          <w:rFonts w:hint="eastAsia" w:ascii="仿宋_GB2312" w:hAnsi="仿宋_GB2312" w:eastAsia="仿宋_GB2312" w:cs="仿宋_GB2312"/>
          <w:b w:val="0"/>
          <w:bCs w:val="0"/>
          <w:sz w:val="32"/>
          <w:szCs w:val="32"/>
        </w:rPr>
        <w:t>三、</w:t>
      </w:r>
      <w:r>
        <w:rPr>
          <w:rFonts w:hint="eastAsia" w:ascii="仿宋_GB2312" w:hAnsi="仿宋_GB2312" w:eastAsia="仿宋_GB2312" w:cs="仿宋_GB2312"/>
          <w:b w:val="0"/>
          <w:color w:val="000000"/>
          <w:sz w:val="32"/>
          <w:szCs w:val="32"/>
        </w:rPr>
        <w:t>支</w:t>
      </w:r>
      <w:r>
        <w:rPr>
          <w:rStyle w:val="26"/>
          <w:rFonts w:hint="eastAsia" w:ascii="仿宋_GB2312" w:hAnsi="仿宋_GB2312" w:eastAsia="仿宋_GB2312" w:cs="仿宋_GB2312"/>
          <w:b w:val="0"/>
          <w:bCs w:val="0"/>
          <w:sz w:val="32"/>
          <w:szCs w:val="32"/>
        </w:rPr>
        <w:t>出决算表</w:t>
      </w:r>
      <w:bookmarkEnd w:id="175"/>
      <w:bookmarkEnd w:id="176"/>
      <w:bookmarkEnd w:id="177"/>
    </w:p>
    <w:p>
      <w:pPr>
        <w:pStyle w:val="3"/>
        <w:pageBreakBefore w:val="0"/>
        <w:widowControl w:val="0"/>
        <w:kinsoku/>
        <w:wordWrap/>
        <w:overflowPunct/>
        <w:topLinePunct w:val="0"/>
        <w:autoSpaceDE/>
        <w:autoSpaceDN/>
        <w:bidi w:val="0"/>
        <w:adjustRightInd/>
        <w:snapToGrid/>
        <w:spacing w:before="0" w:after="0" w:line="576" w:lineRule="exact"/>
        <w:textAlignment w:val="auto"/>
        <w:rPr>
          <w:rFonts w:hint="eastAsia" w:ascii="仿宋_GB2312" w:hAnsi="仿宋_GB2312" w:eastAsia="仿宋_GB2312" w:cs="仿宋_GB2312"/>
          <w:b w:val="0"/>
          <w:color w:val="000000"/>
          <w:sz w:val="32"/>
          <w:szCs w:val="32"/>
        </w:rPr>
      </w:pPr>
      <w:bookmarkStart w:id="178" w:name="_Toc79163639"/>
      <w:bookmarkStart w:id="179" w:name="_Toc15396622"/>
      <w:bookmarkStart w:id="180" w:name="_Toc82764239"/>
      <w:r>
        <w:rPr>
          <w:rStyle w:val="26"/>
          <w:rFonts w:hint="eastAsia" w:ascii="仿宋_GB2312" w:hAnsi="仿宋_GB2312" w:eastAsia="仿宋_GB2312" w:cs="仿宋_GB2312"/>
          <w:b w:val="0"/>
          <w:bCs w:val="0"/>
          <w:sz w:val="32"/>
          <w:szCs w:val="32"/>
        </w:rPr>
        <w:t>四、</w:t>
      </w:r>
      <w:r>
        <w:rPr>
          <w:rFonts w:hint="eastAsia" w:ascii="仿宋_GB2312" w:hAnsi="仿宋_GB2312" w:eastAsia="仿宋_GB2312" w:cs="仿宋_GB2312"/>
          <w:b w:val="0"/>
          <w:color w:val="000000"/>
          <w:sz w:val="32"/>
          <w:szCs w:val="32"/>
        </w:rPr>
        <w:t>财</w:t>
      </w:r>
      <w:r>
        <w:rPr>
          <w:rStyle w:val="26"/>
          <w:rFonts w:hint="eastAsia" w:ascii="仿宋_GB2312" w:hAnsi="仿宋_GB2312" w:eastAsia="仿宋_GB2312" w:cs="仿宋_GB2312"/>
          <w:b w:val="0"/>
          <w:bCs w:val="0"/>
          <w:sz w:val="32"/>
          <w:szCs w:val="32"/>
        </w:rPr>
        <w:t>政拨款收入支出决算总表</w:t>
      </w:r>
      <w:bookmarkEnd w:id="178"/>
      <w:bookmarkEnd w:id="179"/>
      <w:bookmarkEnd w:id="180"/>
    </w:p>
    <w:p>
      <w:pPr>
        <w:pStyle w:val="3"/>
        <w:pageBreakBefore w:val="0"/>
        <w:widowControl w:val="0"/>
        <w:kinsoku/>
        <w:wordWrap/>
        <w:overflowPunct/>
        <w:topLinePunct w:val="0"/>
        <w:autoSpaceDE/>
        <w:autoSpaceDN/>
        <w:bidi w:val="0"/>
        <w:adjustRightInd/>
        <w:snapToGrid/>
        <w:spacing w:before="0" w:after="0" w:line="576" w:lineRule="exact"/>
        <w:textAlignment w:val="auto"/>
        <w:rPr>
          <w:rStyle w:val="26"/>
          <w:rFonts w:hint="eastAsia" w:ascii="仿宋_GB2312" w:hAnsi="仿宋_GB2312" w:eastAsia="仿宋_GB2312" w:cs="仿宋_GB2312"/>
          <w:b w:val="0"/>
          <w:bCs w:val="0"/>
          <w:sz w:val="32"/>
          <w:szCs w:val="32"/>
        </w:rPr>
      </w:pPr>
      <w:bookmarkStart w:id="181" w:name="_Toc82764240"/>
      <w:bookmarkStart w:id="182" w:name="_Toc15396623"/>
      <w:bookmarkStart w:id="183" w:name="_Toc79163640"/>
      <w:r>
        <w:rPr>
          <w:rStyle w:val="26"/>
          <w:rFonts w:hint="eastAsia" w:ascii="仿宋_GB2312" w:hAnsi="仿宋_GB2312" w:eastAsia="仿宋_GB2312" w:cs="仿宋_GB2312"/>
          <w:b w:val="0"/>
          <w:bCs w:val="0"/>
          <w:sz w:val="32"/>
          <w:szCs w:val="32"/>
        </w:rPr>
        <w:t>五、</w:t>
      </w:r>
      <w:r>
        <w:rPr>
          <w:rFonts w:hint="eastAsia" w:ascii="仿宋_GB2312" w:hAnsi="仿宋_GB2312" w:eastAsia="仿宋_GB2312" w:cs="仿宋_GB2312"/>
          <w:b w:val="0"/>
          <w:color w:val="000000"/>
          <w:sz w:val="32"/>
          <w:szCs w:val="32"/>
        </w:rPr>
        <w:t>财</w:t>
      </w:r>
      <w:r>
        <w:rPr>
          <w:rStyle w:val="26"/>
          <w:rFonts w:hint="eastAsia" w:ascii="仿宋_GB2312" w:hAnsi="仿宋_GB2312" w:eastAsia="仿宋_GB2312" w:cs="仿宋_GB2312"/>
          <w:b w:val="0"/>
          <w:bCs w:val="0"/>
          <w:sz w:val="32"/>
          <w:szCs w:val="32"/>
        </w:rPr>
        <w:t>政拨款支出决算明细表</w:t>
      </w:r>
      <w:bookmarkEnd w:id="181"/>
      <w:bookmarkEnd w:id="182"/>
      <w:bookmarkEnd w:id="183"/>
      <w:bookmarkStart w:id="184" w:name="_Toc15396624"/>
    </w:p>
    <w:p>
      <w:pPr>
        <w:pStyle w:val="3"/>
        <w:pageBreakBefore w:val="0"/>
        <w:widowControl w:val="0"/>
        <w:kinsoku/>
        <w:wordWrap/>
        <w:overflowPunct/>
        <w:topLinePunct w:val="0"/>
        <w:autoSpaceDE/>
        <w:autoSpaceDN/>
        <w:bidi w:val="0"/>
        <w:adjustRightInd/>
        <w:snapToGrid/>
        <w:spacing w:before="0" w:after="0" w:line="576" w:lineRule="exact"/>
        <w:textAlignment w:val="auto"/>
        <w:rPr>
          <w:rFonts w:hint="eastAsia" w:ascii="仿宋_GB2312" w:hAnsi="仿宋_GB2312" w:eastAsia="仿宋_GB2312" w:cs="仿宋_GB2312"/>
          <w:color w:val="000000"/>
          <w:sz w:val="32"/>
          <w:szCs w:val="32"/>
        </w:rPr>
      </w:pPr>
      <w:bookmarkStart w:id="185" w:name="_Toc82764241"/>
      <w:bookmarkStart w:id="186" w:name="_Toc79163641"/>
      <w:r>
        <w:rPr>
          <w:rStyle w:val="26"/>
          <w:rFonts w:hint="eastAsia" w:ascii="仿宋_GB2312" w:hAnsi="仿宋_GB2312" w:eastAsia="仿宋_GB2312" w:cs="仿宋_GB2312"/>
          <w:b w:val="0"/>
          <w:bCs w:val="0"/>
          <w:sz w:val="32"/>
          <w:szCs w:val="32"/>
        </w:rPr>
        <w:t>六、</w:t>
      </w:r>
      <w:r>
        <w:rPr>
          <w:rFonts w:hint="eastAsia" w:ascii="仿宋_GB2312" w:hAnsi="仿宋_GB2312" w:eastAsia="仿宋_GB2312" w:cs="仿宋_GB2312"/>
          <w:b w:val="0"/>
          <w:color w:val="000000"/>
          <w:sz w:val="32"/>
          <w:szCs w:val="32"/>
        </w:rPr>
        <w:t>一</w:t>
      </w:r>
      <w:r>
        <w:rPr>
          <w:rStyle w:val="26"/>
          <w:rFonts w:hint="eastAsia" w:ascii="仿宋_GB2312" w:hAnsi="仿宋_GB2312" w:eastAsia="仿宋_GB2312" w:cs="仿宋_GB2312"/>
          <w:b w:val="0"/>
          <w:bCs w:val="0"/>
          <w:sz w:val="32"/>
          <w:szCs w:val="32"/>
        </w:rPr>
        <w:t>般公共预算财政拨款支出决算表</w:t>
      </w:r>
      <w:bookmarkEnd w:id="184"/>
      <w:bookmarkEnd w:id="185"/>
      <w:bookmarkEnd w:id="186"/>
    </w:p>
    <w:p>
      <w:pPr>
        <w:pStyle w:val="3"/>
        <w:pageBreakBefore w:val="0"/>
        <w:widowControl w:val="0"/>
        <w:kinsoku/>
        <w:wordWrap/>
        <w:overflowPunct/>
        <w:topLinePunct w:val="0"/>
        <w:autoSpaceDE/>
        <w:autoSpaceDN/>
        <w:bidi w:val="0"/>
        <w:adjustRightInd/>
        <w:snapToGrid/>
        <w:spacing w:before="0" w:after="0" w:line="576" w:lineRule="exact"/>
        <w:textAlignment w:val="auto"/>
        <w:rPr>
          <w:rFonts w:hint="eastAsia" w:ascii="仿宋_GB2312" w:hAnsi="仿宋_GB2312" w:eastAsia="仿宋_GB2312" w:cs="仿宋_GB2312"/>
          <w:color w:val="000000"/>
          <w:sz w:val="32"/>
          <w:szCs w:val="32"/>
        </w:rPr>
      </w:pPr>
      <w:bookmarkStart w:id="187" w:name="_Toc79163642"/>
      <w:bookmarkStart w:id="188" w:name="_Toc15396625"/>
      <w:bookmarkStart w:id="189" w:name="_Toc82764242"/>
      <w:r>
        <w:rPr>
          <w:rStyle w:val="26"/>
          <w:rFonts w:hint="eastAsia" w:ascii="仿宋_GB2312" w:hAnsi="仿宋_GB2312" w:eastAsia="仿宋_GB2312" w:cs="仿宋_GB2312"/>
          <w:b w:val="0"/>
          <w:bCs w:val="0"/>
          <w:sz w:val="32"/>
          <w:szCs w:val="32"/>
        </w:rPr>
        <w:t>七、</w:t>
      </w:r>
      <w:r>
        <w:rPr>
          <w:rFonts w:hint="eastAsia" w:ascii="仿宋_GB2312" w:hAnsi="仿宋_GB2312" w:eastAsia="仿宋_GB2312" w:cs="仿宋_GB2312"/>
          <w:b w:val="0"/>
          <w:color w:val="000000"/>
          <w:sz w:val="32"/>
          <w:szCs w:val="32"/>
        </w:rPr>
        <w:t>一</w:t>
      </w:r>
      <w:r>
        <w:rPr>
          <w:rStyle w:val="26"/>
          <w:rFonts w:hint="eastAsia" w:ascii="仿宋_GB2312" w:hAnsi="仿宋_GB2312" w:eastAsia="仿宋_GB2312" w:cs="仿宋_GB2312"/>
          <w:b w:val="0"/>
          <w:bCs w:val="0"/>
          <w:sz w:val="32"/>
          <w:szCs w:val="32"/>
        </w:rPr>
        <w:t>般公共预算财政拨款支出决算明细表</w:t>
      </w:r>
      <w:bookmarkEnd w:id="187"/>
      <w:bookmarkEnd w:id="188"/>
      <w:bookmarkEnd w:id="189"/>
    </w:p>
    <w:p>
      <w:pPr>
        <w:pStyle w:val="3"/>
        <w:pageBreakBefore w:val="0"/>
        <w:widowControl w:val="0"/>
        <w:kinsoku/>
        <w:wordWrap/>
        <w:overflowPunct/>
        <w:topLinePunct w:val="0"/>
        <w:autoSpaceDE/>
        <w:autoSpaceDN/>
        <w:bidi w:val="0"/>
        <w:adjustRightInd/>
        <w:snapToGrid/>
        <w:spacing w:before="0" w:after="0" w:line="576" w:lineRule="exact"/>
        <w:textAlignment w:val="auto"/>
        <w:rPr>
          <w:rFonts w:hint="eastAsia" w:ascii="仿宋_GB2312" w:hAnsi="仿宋_GB2312" w:eastAsia="仿宋_GB2312" w:cs="仿宋_GB2312"/>
          <w:color w:val="000000"/>
          <w:sz w:val="32"/>
          <w:szCs w:val="32"/>
        </w:rPr>
      </w:pPr>
      <w:bookmarkStart w:id="190" w:name="_Toc15396626"/>
      <w:bookmarkStart w:id="191" w:name="_Toc82764243"/>
      <w:bookmarkStart w:id="192" w:name="_Toc79163643"/>
      <w:r>
        <w:rPr>
          <w:rStyle w:val="26"/>
          <w:rFonts w:hint="eastAsia" w:ascii="仿宋_GB2312" w:hAnsi="仿宋_GB2312" w:eastAsia="仿宋_GB2312" w:cs="仿宋_GB2312"/>
          <w:b w:val="0"/>
          <w:bCs w:val="0"/>
          <w:sz w:val="32"/>
          <w:szCs w:val="32"/>
        </w:rPr>
        <w:t>八、</w:t>
      </w:r>
      <w:r>
        <w:rPr>
          <w:rFonts w:hint="eastAsia" w:ascii="仿宋_GB2312" w:hAnsi="仿宋_GB2312" w:eastAsia="仿宋_GB2312" w:cs="仿宋_GB2312"/>
          <w:b w:val="0"/>
          <w:color w:val="000000"/>
          <w:sz w:val="32"/>
          <w:szCs w:val="32"/>
        </w:rPr>
        <w:t>一</w:t>
      </w:r>
      <w:r>
        <w:rPr>
          <w:rStyle w:val="26"/>
          <w:rFonts w:hint="eastAsia" w:ascii="仿宋_GB2312" w:hAnsi="仿宋_GB2312" w:eastAsia="仿宋_GB2312" w:cs="仿宋_GB2312"/>
          <w:b w:val="0"/>
          <w:bCs w:val="0"/>
          <w:sz w:val="32"/>
          <w:szCs w:val="32"/>
        </w:rPr>
        <w:t>般公共预算财政拨款基本支出决算表</w:t>
      </w:r>
      <w:bookmarkEnd w:id="190"/>
      <w:bookmarkEnd w:id="191"/>
      <w:bookmarkEnd w:id="192"/>
    </w:p>
    <w:p>
      <w:pPr>
        <w:pStyle w:val="3"/>
        <w:pageBreakBefore w:val="0"/>
        <w:widowControl w:val="0"/>
        <w:kinsoku/>
        <w:wordWrap/>
        <w:overflowPunct/>
        <w:topLinePunct w:val="0"/>
        <w:autoSpaceDE/>
        <w:autoSpaceDN/>
        <w:bidi w:val="0"/>
        <w:adjustRightInd/>
        <w:snapToGrid/>
        <w:spacing w:before="0" w:after="0" w:line="576" w:lineRule="exact"/>
        <w:textAlignment w:val="auto"/>
        <w:rPr>
          <w:rFonts w:hint="eastAsia" w:ascii="仿宋_GB2312" w:hAnsi="仿宋_GB2312" w:eastAsia="仿宋_GB2312" w:cs="仿宋_GB2312"/>
          <w:color w:val="000000"/>
          <w:sz w:val="32"/>
          <w:szCs w:val="32"/>
        </w:rPr>
      </w:pPr>
      <w:bookmarkStart w:id="193" w:name="_Toc82764244"/>
      <w:bookmarkStart w:id="194" w:name="_Toc79163644"/>
      <w:bookmarkStart w:id="195" w:name="_Toc15396627"/>
      <w:r>
        <w:rPr>
          <w:rStyle w:val="26"/>
          <w:rFonts w:hint="eastAsia" w:ascii="仿宋_GB2312" w:hAnsi="仿宋_GB2312" w:eastAsia="仿宋_GB2312" w:cs="仿宋_GB2312"/>
          <w:b w:val="0"/>
          <w:bCs w:val="0"/>
          <w:sz w:val="32"/>
          <w:szCs w:val="32"/>
        </w:rPr>
        <w:t>九、</w:t>
      </w:r>
      <w:r>
        <w:rPr>
          <w:rFonts w:hint="eastAsia" w:ascii="仿宋_GB2312" w:hAnsi="仿宋_GB2312" w:eastAsia="仿宋_GB2312" w:cs="仿宋_GB2312"/>
          <w:b w:val="0"/>
          <w:color w:val="000000"/>
          <w:sz w:val="32"/>
          <w:szCs w:val="32"/>
        </w:rPr>
        <w:t>一</w:t>
      </w:r>
      <w:r>
        <w:rPr>
          <w:rStyle w:val="26"/>
          <w:rFonts w:hint="eastAsia" w:ascii="仿宋_GB2312" w:hAnsi="仿宋_GB2312" w:eastAsia="仿宋_GB2312" w:cs="仿宋_GB2312"/>
          <w:b w:val="0"/>
          <w:bCs w:val="0"/>
          <w:sz w:val="32"/>
          <w:szCs w:val="32"/>
        </w:rPr>
        <w:t>般公共预算财政拨款项目支出决算表</w:t>
      </w:r>
      <w:bookmarkEnd w:id="193"/>
      <w:bookmarkEnd w:id="194"/>
      <w:bookmarkEnd w:id="195"/>
    </w:p>
    <w:p>
      <w:pPr>
        <w:pStyle w:val="3"/>
        <w:pageBreakBefore w:val="0"/>
        <w:widowControl w:val="0"/>
        <w:kinsoku/>
        <w:wordWrap/>
        <w:overflowPunct/>
        <w:topLinePunct w:val="0"/>
        <w:autoSpaceDE/>
        <w:autoSpaceDN/>
        <w:bidi w:val="0"/>
        <w:adjustRightInd/>
        <w:snapToGrid/>
        <w:spacing w:before="0" w:after="0" w:line="576" w:lineRule="exact"/>
        <w:textAlignment w:val="auto"/>
        <w:rPr>
          <w:rFonts w:hint="eastAsia" w:ascii="仿宋_GB2312" w:hAnsi="仿宋_GB2312" w:eastAsia="仿宋_GB2312" w:cs="仿宋_GB2312"/>
          <w:color w:val="000000"/>
          <w:sz w:val="32"/>
          <w:szCs w:val="32"/>
        </w:rPr>
      </w:pPr>
      <w:bookmarkStart w:id="196" w:name="_Toc82764245"/>
      <w:bookmarkStart w:id="197" w:name="_Toc79163645"/>
      <w:bookmarkStart w:id="198" w:name="_Toc15396628"/>
      <w:r>
        <w:rPr>
          <w:rStyle w:val="26"/>
          <w:rFonts w:hint="eastAsia" w:ascii="仿宋_GB2312" w:hAnsi="仿宋_GB2312" w:eastAsia="仿宋_GB2312" w:cs="仿宋_GB2312"/>
          <w:b w:val="0"/>
          <w:bCs w:val="0"/>
          <w:sz w:val="32"/>
          <w:szCs w:val="32"/>
        </w:rPr>
        <w:t>十、</w:t>
      </w:r>
      <w:r>
        <w:rPr>
          <w:rFonts w:hint="eastAsia" w:ascii="仿宋_GB2312" w:hAnsi="仿宋_GB2312" w:eastAsia="仿宋_GB2312" w:cs="仿宋_GB2312"/>
          <w:b w:val="0"/>
          <w:color w:val="000000"/>
          <w:sz w:val="32"/>
          <w:szCs w:val="32"/>
        </w:rPr>
        <w:t>一</w:t>
      </w:r>
      <w:r>
        <w:rPr>
          <w:rStyle w:val="26"/>
          <w:rFonts w:hint="eastAsia" w:ascii="仿宋_GB2312" w:hAnsi="仿宋_GB2312" w:eastAsia="仿宋_GB2312" w:cs="仿宋_GB2312"/>
          <w:b w:val="0"/>
          <w:bCs w:val="0"/>
          <w:sz w:val="32"/>
          <w:szCs w:val="32"/>
        </w:rPr>
        <w:t>般公共预算财政拨款“三公”经费支出决算表</w:t>
      </w:r>
      <w:bookmarkEnd w:id="196"/>
      <w:bookmarkEnd w:id="197"/>
      <w:bookmarkEnd w:id="198"/>
    </w:p>
    <w:p>
      <w:pPr>
        <w:pStyle w:val="3"/>
        <w:pageBreakBefore w:val="0"/>
        <w:widowControl w:val="0"/>
        <w:kinsoku/>
        <w:wordWrap/>
        <w:overflowPunct/>
        <w:topLinePunct w:val="0"/>
        <w:autoSpaceDE/>
        <w:autoSpaceDN/>
        <w:bidi w:val="0"/>
        <w:adjustRightInd/>
        <w:snapToGrid/>
        <w:spacing w:before="0" w:after="0" w:line="576" w:lineRule="exact"/>
        <w:textAlignment w:val="auto"/>
        <w:rPr>
          <w:rFonts w:hint="eastAsia" w:ascii="仿宋_GB2312" w:hAnsi="仿宋_GB2312" w:eastAsia="仿宋_GB2312" w:cs="仿宋_GB2312"/>
          <w:color w:val="000000"/>
          <w:sz w:val="32"/>
          <w:szCs w:val="32"/>
        </w:rPr>
      </w:pPr>
      <w:bookmarkStart w:id="199" w:name="_Toc82764246"/>
      <w:bookmarkStart w:id="200" w:name="_Toc79163646"/>
      <w:bookmarkStart w:id="201" w:name="_Toc15396629"/>
      <w:r>
        <w:rPr>
          <w:rStyle w:val="26"/>
          <w:rFonts w:hint="eastAsia" w:ascii="仿宋_GB2312" w:hAnsi="仿宋_GB2312" w:eastAsia="仿宋_GB2312" w:cs="仿宋_GB2312"/>
          <w:b w:val="0"/>
          <w:bCs w:val="0"/>
          <w:sz w:val="32"/>
          <w:szCs w:val="32"/>
        </w:rPr>
        <w:t>十一、</w:t>
      </w:r>
      <w:r>
        <w:rPr>
          <w:rFonts w:hint="eastAsia" w:ascii="仿宋_GB2312" w:hAnsi="仿宋_GB2312" w:eastAsia="仿宋_GB2312" w:cs="仿宋_GB2312"/>
          <w:b w:val="0"/>
          <w:color w:val="000000"/>
          <w:sz w:val="32"/>
          <w:szCs w:val="32"/>
        </w:rPr>
        <w:t>政</w:t>
      </w:r>
      <w:r>
        <w:rPr>
          <w:rStyle w:val="26"/>
          <w:rFonts w:hint="eastAsia" w:ascii="仿宋_GB2312" w:hAnsi="仿宋_GB2312" w:eastAsia="仿宋_GB2312" w:cs="仿宋_GB2312"/>
          <w:b w:val="0"/>
          <w:bCs w:val="0"/>
          <w:sz w:val="32"/>
          <w:szCs w:val="32"/>
        </w:rPr>
        <w:t>府性基金预算财政拨款收入支出决算表</w:t>
      </w:r>
      <w:bookmarkEnd w:id="199"/>
      <w:bookmarkEnd w:id="200"/>
      <w:bookmarkEnd w:id="201"/>
    </w:p>
    <w:p>
      <w:pPr>
        <w:pStyle w:val="3"/>
        <w:pageBreakBefore w:val="0"/>
        <w:widowControl w:val="0"/>
        <w:kinsoku/>
        <w:wordWrap/>
        <w:overflowPunct/>
        <w:topLinePunct w:val="0"/>
        <w:autoSpaceDE/>
        <w:autoSpaceDN/>
        <w:bidi w:val="0"/>
        <w:adjustRightInd/>
        <w:snapToGrid/>
        <w:spacing w:before="0" w:after="0" w:line="576" w:lineRule="exact"/>
        <w:textAlignment w:val="auto"/>
        <w:rPr>
          <w:rFonts w:hint="eastAsia" w:ascii="仿宋_GB2312" w:hAnsi="仿宋_GB2312" w:eastAsia="仿宋_GB2312" w:cs="仿宋_GB2312"/>
          <w:color w:val="000000"/>
          <w:sz w:val="32"/>
          <w:szCs w:val="32"/>
        </w:rPr>
      </w:pPr>
      <w:bookmarkStart w:id="202" w:name="_Toc82764247"/>
      <w:bookmarkStart w:id="203" w:name="_Toc15396630"/>
      <w:bookmarkStart w:id="204" w:name="_Toc79163647"/>
      <w:r>
        <w:rPr>
          <w:rStyle w:val="26"/>
          <w:rFonts w:hint="eastAsia" w:ascii="仿宋_GB2312" w:hAnsi="仿宋_GB2312" w:eastAsia="仿宋_GB2312" w:cs="仿宋_GB2312"/>
          <w:b w:val="0"/>
          <w:bCs w:val="0"/>
          <w:sz w:val="32"/>
          <w:szCs w:val="32"/>
        </w:rPr>
        <w:t>十二、</w:t>
      </w:r>
      <w:r>
        <w:rPr>
          <w:rFonts w:hint="eastAsia" w:ascii="仿宋_GB2312" w:hAnsi="仿宋_GB2312" w:eastAsia="仿宋_GB2312" w:cs="仿宋_GB2312"/>
          <w:b w:val="0"/>
          <w:color w:val="000000"/>
          <w:sz w:val="32"/>
          <w:szCs w:val="32"/>
        </w:rPr>
        <w:t>政</w:t>
      </w:r>
      <w:r>
        <w:rPr>
          <w:rStyle w:val="26"/>
          <w:rFonts w:hint="eastAsia" w:ascii="仿宋_GB2312" w:hAnsi="仿宋_GB2312" w:eastAsia="仿宋_GB2312" w:cs="仿宋_GB2312"/>
          <w:b w:val="0"/>
          <w:bCs w:val="0"/>
          <w:sz w:val="32"/>
          <w:szCs w:val="32"/>
        </w:rPr>
        <w:t>府性基金预算财政拨款“三公”经费支出决算表</w:t>
      </w:r>
      <w:bookmarkEnd w:id="202"/>
      <w:bookmarkEnd w:id="203"/>
      <w:bookmarkEnd w:id="204"/>
    </w:p>
    <w:p>
      <w:pPr>
        <w:pStyle w:val="3"/>
        <w:pageBreakBefore w:val="0"/>
        <w:widowControl w:val="0"/>
        <w:kinsoku/>
        <w:wordWrap/>
        <w:overflowPunct/>
        <w:topLinePunct w:val="0"/>
        <w:autoSpaceDE/>
        <w:autoSpaceDN/>
        <w:bidi w:val="0"/>
        <w:adjustRightInd/>
        <w:snapToGrid/>
        <w:spacing w:before="0" w:after="0" w:line="576" w:lineRule="exact"/>
        <w:textAlignment w:val="auto"/>
        <w:rPr>
          <w:rStyle w:val="26"/>
          <w:rFonts w:hint="eastAsia" w:ascii="仿宋_GB2312" w:hAnsi="仿宋_GB2312" w:eastAsia="仿宋_GB2312" w:cs="仿宋_GB2312"/>
          <w:b w:val="0"/>
          <w:bCs w:val="0"/>
          <w:sz w:val="32"/>
          <w:szCs w:val="32"/>
        </w:rPr>
      </w:pPr>
      <w:bookmarkStart w:id="205" w:name="_Toc82764248"/>
      <w:bookmarkStart w:id="206" w:name="_Toc15396631"/>
      <w:bookmarkStart w:id="207" w:name="_Toc79163648"/>
      <w:r>
        <w:rPr>
          <w:rStyle w:val="26"/>
          <w:rFonts w:hint="eastAsia" w:ascii="仿宋_GB2312" w:hAnsi="仿宋_GB2312" w:eastAsia="仿宋_GB2312" w:cs="仿宋_GB2312"/>
          <w:b w:val="0"/>
          <w:bCs w:val="0"/>
          <w:sz w:val="32"/>
          <w:szCs w:val="32"/>
        </w:rPr>
        <w:t>十三、</w:t>
      </w:r>
      <w:r>
        <w:rPr>
          <w:rFonts w:hint="eastAsia" w:ascii="仿宋_GB2312" w:hAnsi="仿宋_GB2312" w:eastAsia="仿宋_GB2312" w:cs="仿宋_GB2312"/>
          <w:b w:val="0"/>
          <w:color w:val="000000"/>
          <w:sz w:val="32"/>
          <w:szCs w:val="32"/>
        </w:rPr>
        <w:t>国</w:t>
      </w:r>
      <w:r>
        <w:rPr>
          <w:rStyle w:val="26"/>
          <w:rFonts w:hint="eastAsia" w:ascii="仿宋_GB2312" w:hAnsi="仿宋_GB2312" w:eastAsia="仿宋_GB2312" w:cs="仿宋_GB2312"/>
          <w:b w:val="0"/>
          <w:bCs w:val="0"/>
          <w:sz w:val="32"/>
          <w:szCs w:val="32"/>
        </w:rPr>
        <w:t>有资本经营预算财政拨款支出决算表</w:t>
      </w:r>
      <w:bookmarkEnd w:id="205"/>
      <w:bookmarkEnd w:id="206"/>
      <w:bookmarkEnd w:id="207"/>
    </w:p>
    <w:p>
      <w:pPr>
        <w:pStyle w:val="3"/>
        <w:pageBreakBefore w:val="0"/>
        <w:widowControl w:val="0"/>
        <w:kinsoku/>
        <w:wordWrap/>
        <w:overflowPunct/>
        <w:topLinePunct w:val="0"/>
        <w:autoSpaceDE/>
        <w:autoSpaceDN/>
        <w:bidi w:val="0"/>
        <w:adjustRightInd/>
        <w:snapToGrid/>
        <w:spacing w:before="0" w:after="0" w:line="576" w:lineRule="exact"/>
        <w:textAlignment w:val="auto"/>
        <w:rPr>
          <w:rStyle w:val="26"/>
          <w:rFonts w:hint="eastAsia" w:ascii="仿宋_GB2312" w:hAnsi="仿宋_GB2312" w:eastAsia="仿宋_GB2312" w:cs="仿宋_GB2312"/>
          <w:b w:val="0"/>
          <w:bCs w:val="0"/>
          <w:sz w:val="32"/>
          <w:szCs w:val="32"/>
        </w:rPr>
      </w:pPr>
      <w:bookmarkStart w:id="208" w:name="_Toc82764249"/>
      <w:bookmarkStart w:id="209" w:name="_Toc79163649"/>
      <w:r>
        <w:rPr>
          <w:rStyle w:val="26"/>
          <w:rFonts w:hint="eastAsia" w:ascii="仿宋_GB2312" w:hAnsi="仿宋_GB2312" w:eastAsia="仿宋_GB2312" w:cs="仿宋_GB2312"/>
          <w:b w:val="0"/>
          <w:bCs w:val="0"/>
          <w:sz w:val="32"/>
          <w:szCs w:val="32"/>
        </w:rPr>
        <w:t>十四、国有资本经营预算财政拨款支出决算表</w:t>
      </w:r>
      <w:bookmarkEnd w:id="208"/>
      <w:bookmarkEnd w:id="209"/>
    </w:p>
    <w:bookmarkEnd w:id="132"/>
    <w:bookmarkEnd w:id="151"/>
    <w:bookmarkEnd w:id="152"/>
    <w:p>
      <w:pPr>
        <w:pageBreakBefore w:val="0"/>
        <w:widowControl w:val="0"/>
        <w:kinsoku/>
        <w:wordWrap/>
        <w:overflowPunct/>
        <w:topLinePunct w:val="0"/>
        <w:autoSpaceDE/>
        <w:autoSpaceDN/>
        <w:bidi w:val="0"/>
        <w:adjustRightInd/>
        <w:snapToGrid/>
        <w:spacing w:line="576" w:lineRule="exact"/>
        <w:jc w:val="center"/>
        <w:textAlignment w:val="auto"/>
        <w:outlineLvl w:val="0"/>
        <w:rPr>
          <w:rFonts w:hint="eastAsia" w:ascii="仿宋_GB2312" w:hAnsi="仿宋_GB2312" w:eastAsia="仿宋_GB2312" w:cs="仿宋_GB2312"/>
          <w:color w:val="000000"/>
          <w:sz w:val="32"/>
          <w:szCs w:val="32"/>
        </w:rPr>
      </w:pPr>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Cambria">
    <w:altName w:val="Noto Sans Syriac Eastern"/>
    <w:panose1 w:val="02040503050406030204"/>
    <w:charset w:val="00"/>
    <w:family w:val="roman"/>
    <w:pitch w:val="default"/>
    <w:sig w:usb0="00000000" w:usb1="00000000" w:usb2="00000000" w:usb3="00000000" w:csb0="2000019F" w:csb1="00000000"/>
  </w:font>
  <w:font w:name="Noto Sans Syriac Eastern">
    <w:panose1 w:val="02040503050306020203"/>
    <w:charset w:val="86"/>
    <w:family w:val="auto"/>
    <w:pitch w:val="default"/>
    <w:sig w:usb0="00000000" w:usb1="00000000" w:usb2="00000080" w:usb3="00000000" w:csb0="203E0161" w:csb1="D7FF0000"/>
  </w:font>
  <w:font w:name="等线">
    <w:altName w:val="宋体"/>
    <w:panose1 w:val="02010600030101010101"/>
    <w:charset w:val="86"/>
    <w:family w:val="auto"/>
    <w:pitch w:val="default"/>
    <w:sig w:usb0="00000000" w:usb1="00000000"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等线 Light">
    <w:altName w:val="宋体"/>
    <w:panose1 w:val="02010600030101010101"/>
    <w:charset w:val="86"/>
    <w:family w:val="auto"/>
    <w:pitch w:val="default"/>
    <w:sig w:usb0="00000000" w:usb1="00000000"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modern"/>
    <w:pitch w:val="default"/>
    <w:sig w:usb0="00000001" w:usb1="080E0000" w:usb2="00000000" w:usb3="00000000" w:csb0="00040000" w:csb1="00000000"/>
  </w:font>
  <w:font w:name="inherit">
    <w:altName w:val="Times New Roman"/>
    <w:panose1 w:val="00000000000000000000"/>
    <w:charset w:val="00"/>
    <w:family w:val="roman"/>
    <w:pitch w:val="default"/>
    <w:sig w:usb0="00000000" w:usb1="00000000" w:usb2="00000000" w:usb3="00000000" w:csb0="00040001" w:csb1="00000000"/>
  </w:font>
  <w:font w:name="TimesNewRomanPSMT">
    <w:altName w:val="Times New Roman"/>
    <w:panose1 w:val="00000000000000000000"/>
    <w:charset w:val="00"/>
    <w:family w:val="auto"/>
    <w:pitch w:val="default"/>
    <w:sig w:usb0="00000000" w:usb1="00000000" w:usb2="00000000" w:usb3="00000000" w:csb0="00000000" w:csb1="00000000"/>
  </w:font>
  <w:font w:name="Tahoma">
    <w:altName w:val="DejaVu Sans"/>
    <w:panose1 w:val="020B0604030504040204"/>
    <w:charset w:val="00"/>
    <w:family w:val="swiss"/>
    <w:pitch w:val="default"/>
    <w:sig w:usb0="00000000" w:usb1="00000000" w:usb2="00000029" w:usb3="00000000" w:csb0="200101FF" w:csb1="20280000"/>
  </w:font>
  <w:font w:name="Micsoft-Yahei">
    <w:altName w:val="仿宋"/>
    <w:panose1 w:val="00000000000000000000"/>
    <w:charset w:val="00"/>
    <w:family w:val="roman"/>
    <w:pitch w:val="default"/>
    <w:sig w:usb0="00000000" w:usb1="00000000" w:usb2="00000000" w:usb3="00000000" w:csb0="00000000" w:csb1="00000000"/>
  </w:font>
  <w:font w:name="微软雅黑">
    <w:altName w:val="黑体"/>
    <w:panose1 w:val="020B0503020204020204"/>
    <w:charset w:val="86"/>
    <w:family w:val="auto"/>
    <w:pitch w:val="default"/>
    <w:sig w:usb0="00000000" w:usb1="00000000" w:usb2="00000016" w:usb3="00000000" w:csb0="0004001F" w:csb1="00000000"/>
  </w:font>
  <w:font w:name="华文仿宋">
    <w:altName w:val="仿宋"/>
    <w:panose1 w:val="02010600040101010101"/>
    <w:charset w:val="86"/>
    <w:family w:val="auto"/>
    <w:pitch w:val="default"/>
    <w:sig w:usb0="00000000" w:usb1="00000000" w:usb2="00000000" w:usb3="00000000" w:csb0="0004009F" w:csb1="DFD70000"/>
  </w:font>
  <w:font w:name="楷体">
    <w:panose1 w:val="02010609060101010101"/>
    <w:charset w:val="86"/>
    <w:family w:val="modern"/>
    <w:pitch w:val="default"/>
    <w:sig w:usb0="800002BF" w:usb1="38CF7CFA" w:usb2="00000016" w:usb3="00000000" w:csb0="00040001" w:csb1="00000000"/>
  </w:font>
  <w:font w:name="等线">
    <w:altName w:val="仿宋"/>
    <w:panose1 w:val="00000000000000000000"/>
    <w:charset w:val="00"/>
    <w:family w:val="auto"/>
    <w:pitch w:val="default"/>
    <w:sig w:usb0="00000000" w:usb1="00000000" w:usb2="00000000" w:usb3="00000000" w:csb0="00000000"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pPr>
    <w:r>
      <w:fldChar w:fldCharType="begin"/>
    </w:r>
    <w:r>
      <w:instrText xml:space="preserve">PAGE   \* MERGEFORMAT</w:instrText>
    </w:r>
    <w:r>
      <w:fldChar w:fldCharType="separate"/>
    </w:r>
    <w:r>
      <w:rPr>
        <w:lang w:val="zh-CN"/>
      </w:rPr>
      <w:t>2</w:t>
    </w:r>
    <w:r>
      <w:fldChar w:fldCharType="end"/>
    </w:r>
  </w:p>
  <w:p>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rPr>
        <w:rFonts w:hint="eastAsia" w:cs="Times New Roman"/>
      </w:rPr>
    </w:lvl>
  </w:abstractNum>
  <w:abstractNum w:abstractNumId="1">
    <w:nsid w:val="E2FA047D"/>
    <w:multiLevelType w:val="singleLevel"/>
    <w:tmpl w:val="E2FA047D"/>
    <w:lvl w:ilvl="0" w:tentative="0">
      <w:start w:val="3"/>
      <w:numFmt w:val="chineseCounting"/>
      <w:suff w:val="space"/>
      <w:lvlText w:val="第%1部分"/>
      <w:lvlJc w:val="left"/>
      <w:rPr>
        <w:rFonts w:hint="eastAsia" w:cs="Times New Roman"/>
        <w:lang w:val="en-US"/>
      </w:rPr>
    </w:lvl>
  </w:abstractNum>
  <w:abstractNum w:abstractNumId="2">
    <w:nsid w:val="1272550B"/>
    <w:multiLevelType w:val="multilevel"/>
    <w:tmpl w:val="1272550B"/>
    <w:lvl w:ilvl="0" w:tentative="0">
      <w:start w:val="1"/>
      <w:numFmt w:val="japaneseCounting"/>
      <w:lvlText w:val="%1、"/>
      <w:lvlJc w:val="left"/>
      <w:pPr>
        <w:ind w:left="1360" w:hanging="720"/>
      </w:pPr>
      <w:rPr>
        <w:rFonts w:hint="default" w:cs="Times New Roman"/>
        <w:b w:val="0"/>
      </w:rPr>
    </w:lvl>
    <w:lvl w:ilvl="1" w:tentative="0">
      <w:start w:val="1"/>
      <w:numFmt w:val="lowerLetter"/>
      <w:lvlText w:val="%2)"/>
      <w:lvlJc w:val="left"/>
      <w:pPr>
        <w:ind w:left="1480" w:hanging="420"/>
      </w:pPr>
      <w:rPr>
        <w:rFonts w:cs="Times New Roman"/>
      </w:rPr>
    </w:lvl>
    <w:lvl w:ilvl="2" w:tentative="0">
      <w:start w:val="1"/>
      <w:numFmt w:val="lowerRoman"/>
      <w:lvlText w:val="%3."/>
      <w:lvlJc w:val="right"/>
      <w:pPr>
        <w:ind w:left="1900" w:hanging="420"/>
      </w:pPr>
      <w:rPr>
        <w:rFonts w:cs="Times New Roman"/>
      </w:rPr>
    </w:lvl>
    <w:lvl w:ilvl="3" w:tentative="0">
      <w:start w:val="1"/>
      <w:numFmt w:val="decimal"/>
      <w:lvlText w:val="%4."/>
      <w:lvlJc w:val="left"/>
      <w:pPr>
        <w:ind w:left="2320" w:hanging="420"/>
      </w:pPr>
      <w:rPr>
        <w:rFonts w:cs="Times New Roman"/>
      </w:rPr>
    </w:lvl>
    <w:lvl w:ilvl="4" w:tentative="0">
      <w:start w:val="1"/>
      <w:numFmt w:val="lowerLetter"/>
      <w:lvlText w:val="%5)"/>
      <w:lvlJc w:val="left"/>
      <w:pPr>
        <w:ind w:left="2740" w:hanging="420"/>
      </w:pPr>
      <w:rPr>
        <w:rFonts w:cs="Times New Roman"/>
      </w:rPr>
    </w:lvl>
    <w:lvl w:ilvl="5" w:tentative="0">
      <w:start w:val="1"/>
      <w:numFmt w:val="lowerRoman"/>
      <w:lvlText w:val="%6."/>
      <w:lvlJc w:val="right"/>
      <w:pPr>
        <w:ind w:left="3160" w:hanging="420"/>
      </w:pPr>
      <w:rPr>
        <w:rFonts w:cs="Times New Roman"/>
      </w:rPr>
    </w:lvl>
    <w:lvl w:ilvl="6" w:tentative="0">
      <w:start w:val="1"/>
      <w:numFmt w:val="decimal"/>
      <w:lvlText w:val="%7."/>
      <w:lvlJc w:val="left"/>
      <w:pPr>
        <w:ind w:left="3580" w:hanging="420"/>
      </w:pPr>
      <w:rPr>
        <w:rFonts w:cs="Times New Roman"/>
      </w:rPr>
    </w:lvl>
    <w:lvl w:ilvl="7" w:tentative="0">
      <w:start w:val="1"/>
      <w:numFmt w:val="lowerLetter"/>
      <w:lvlText w:val="%8)"/>
      <w:lvlJc w:val="left"/>
      <w:pPr>
        <w:ind w:left="4000" w:hanging="420"/>
      </w:pPr>
      <w:rPr>
        <w:rFonts w:cs="Times New Roman"/>
      </w:rPr>
    </w:lvl>
    <w:lvl w:ilvl="8" w:tentative="0">
      <w:start w:val="1"/>
      <w:numFmt w:val="lowerRoman"/>
      <w:lvlText w:val="%9."/>
      <w:lvlJc w:val="right"/>
      <w:pPr>
        <w:ind w:left="4420" w:hanging="420"/>
      </w:pPr>
      <w:rPr>
        <w:rFonts w:cs="Times New Roman"/>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F1361C"/>
    <w:rsid w:val="00001078"/>
    <w:rsid w:val="000135EC"/>
    <w:rsid w:val="00014B97"/>
    <w:rsid w:val="00016889"/>
    <w:rsid w:val="000222C6"/>
    <w:rsid w:val="0002397F"/>
    <w:rsid w:val="000253DE"/>
    <w:rsid w:val="0002549F"/>
    <w:rsid w:val="0003275D"/>
    <w:rsid w:val="000468DB"/>
    <w:rsid w:val="000540FC"/>
    <w:rsid w:val="0006487A"/>
    <w:rsid w:val="00065F8F"/>
    <w:rsid w:val="00070A43"/>
    <w:rsid w:val="00071665"/>
    <w:rsid w:val="0007206D"/>
    <w:rsid w:val="000738F4"/>
    <w:rsid w:val="000768F2"/>
    <w:rsid w:val="000827FE"/>
    <w:rsid w:val="0009184B"/>
    <w:rsid w:val="00094236"/>
    <w:rsid w:val="0009593C"/>
    <w:rsid w:val="00095FA2"/>
    <w:rsid w:val="00097322"/>
    <w:rsid w:val="000A34FA"/>
    <w:rsid w:val="000A6A92"/>
    <w:rsid w:val="000A7984"/>
    <w:rsid w:val="000B047F"/>
    <w:rsid w:val="000B5923"/>
    <w:rsid w:val="000B5A48"/>
    <w:rsid w:val="000B6FF3"/>
    <w:rsid w:val="000B71A1"/>
    <w:rsid w:val="000C1DD0"/>
    <w:rsid w:val="000C3467"/>
    <w:rsid w:val="000C3CA6"/>
    <w:rsid w:val="000C53F8"/>
    <w:rsid w:val="000D1267"/>
    <w:rsid w:val="000D1D50"/>
    <w:rsid w:val="000D5662"/>
    <w:rsid w:val="000D5782"/>
    <w:rsid w:val="000D73CA"/>
    <w:rsid w:val="000E6613"/>
    <w:rsid w:val="000E7119"/>
    <w:rsid w:val="00104D6D"/>
    <w:rsid w:val="00113758"/>
    <w:rsid w:val="00114E9B"/>
    <w:rsid w:val="00115301"/>
    <w:rsid w:val="00116E42"/>
    <w:rsid w:val="001219C0"/>
    <w:rsid w:val="001319E1"/>
    <w:rsid w:val="0013243B"/>
    <w:rsid w:val="001365DD"/>
    <w:rsid w:val="00137751"/>
    <w:rsid w:val="001415FC"/>
    <w:rsid w:val="00142216"/>
    <w:rsid w:val="001423DD"/>
    <w:rsid w:val="00143E28"/>
    <w:rsid w:val="00144D6A"/>
    <w:rsid w:val="0014729F"/>
    <w:rsid w:val="00157BAB"/>
    <w:rsid w:val="001654D1"/>
    <w:rsid w:val="00174518"/>
    <w:rsid w:val="0017503B"/>
    <w:rsid w:val="00180EF9"/>
    <w:rsid w:val="0018106D"/>
    <w:rsid w:val="001877A7"/>
    <w:rsid w:val="00191536"/>
    <w:rsid w:val="0019498C"/>
    <w:rsid w:val="00196687"/>
    <w:rsid w:val="001A36DF"/>
    <w:rsid w:val="001A7087"/>
    <w:rsid w:val="001C0962"/>
    <w:rsid w:val="001C26E7"/>
    <w:rsid w:val="001C77BC"/>
    <w:rsid w:val="001D6002"/>
    <w:rsid w:val="001D7531"/>
    <w:rsid w:val="001E6C35"/>
    <w:rsid w:val="001E737D"/>
    <w:rsid w:val="001F0592"/>
    <w:rsid w:val="001F63A9"/>
    <w:rsid w:val="001F7506"/>
    <w:rsid w:val="002006CD"/>
    <w:rsid w:val="00202B36"/>
    <w:rsid w:val="00204B7A"/>
    <w:rsid w:val="00204CDE"/>
    <w:rsid w:val="00210DA3"/>
    <w:rsid w:val="0021101A"/>
    <w:rsid w:val="002143CE"/>
    <w:rsid w:val="00220536"/>
    <w:rsid w:val="00223490"/>
    <w:rsid w:val="00235629"/>
    <w:rsid w:val="00243614"/>
    <w:rsid w:val="00245B05"/>
    <w:rsid w:val="00256262"/>
    <w:rsid w:val="00260C38"/>
    <w:rsid w:val="002616C0"/>
    <w:rsid w:val="00262831"/>
    <w:rsid w:val="00265372"/>
    <w:rsid w:val="002662AA"/>
    <w:rsid w:val="00271E01"/>
    <w:rsid w:val="0027224D"/>
    <w:rsid w:val="00276595"/>
    <w:rsid w:val="00280496"/>
    <w:rsid w:val="00294DC9"/>
    <w:rsid w:val="00295495"/>
    <w:rsid w:val="00295765"/>
    <w:rsid w:val="002A1503"/>
    <w:rsid w:val="002A31DE"/>
    <w:rsid w:val="002A4CF8"/>
    <w:rsid w:val="002B2613"/>
    <w:rsid w:val="002D206E"/>
    <w:rsid w:val="002D3B82"/>
    <w:rsid w:val="002D6AEA"/>
    <w:rsid w:val="002D6D05"/>
    <w:rsid w:val="002E04CE"/>
    <w:rsid w:val="002F1818"/>
    <w:rsid w:val="002F4724"/>
    <w:rsid w:val="002F567B"/>
    <w:rsid w:val="00316B5E"/>
    <w:rsid w:val="003216A9"/>
    <w:rsid w:val="003246C1"/>
    <w:rsid w:val="003259E0"/>
    <w:rsid w:val="00326EF4"/>
    <w:rsid w:val="00335A74"/>
    <w:rsid w:val="0034160C"/>
    <w:rsid w:val="00346F39"/>
    <w:rsid w:val="0036152E"/>
    <w:rsid w:val="003646C8"/>
    <w:rsid w:val="0036561B"/>
    <w:rsid w:val="0037013F"/>
    <w:rsid w:val="003803A4"/>
    <w:rsid w:val="00380C92"/>
    <w:rsid w:val="0038613D"/>
    <w:rsid w:val="00391185"/>
    <w:rsid w:val="00391FB4"/>
    <w:rsid w:val="00397553"/>
    <w:rsid w:val="003A31DB"/>
    <w:rsid w:val="003A484F"/>
    <w:rsid w:val="003A4883"/>
    <w:rsid w:val="003B0871"/>
    <w:rsid w:val="003B0BE0"/>
    <w:rsid w:val="003B0C1B"/>
    <w:rsid w:val="003B1B03"/>
    <w:rsid w:val="003B5532"/>
    <w:rsid w:val="003B688C"/>
    <w:rsid w:val="003C0291"/>
    <w:rsid w:val="003C39AE"/>
    <w:rsid w:val="003C7B60"/>
    <w:rsid w:val="003D0C0F"/>
    <w:rsid w:val="003D1FB2"/>
    <w:rsid w:val="003D5A85"/>
    <w:rsid w:val="003D66DA"/>
    <w:rsid w:val="003E1310"/>
    <w:rsid w:val="003E2F60"/>
    <w:rsid w:val="003E6F55"/>
    <w:rsid w:val="003E6FE4"/>
    <w:rsid w:val="003F077A"/>
    <w:rsid w:val="003F379E"/>
    <w:rsid w:val="003F6902"/>
    <w:rsid w:val="00406254"/>
    <w:rsid w:val="004118B6"/>
    <w:rsid w:val="004173CA"/>
    <w:rsid w:val="00420DAA"/>
    <w:rsid w:val="004223DE"/>
    <w:rsid w:val="004235B7"/>
    <w:rsid w:val="00423F10"/>
    <w:rsid w:val="00430DF9"/>
    <w:rsid w:val="00434489"/>
    <w:rsid w:val="00437085"/>
    <w:rsid w:val="00440100"/>
    <w:rsid w:val="00443880"/>
    <w:rsid w:val="004442EE"/>
    <w:rsid w:val="00445607"/>
    <w:rsid w:val="004464F4"/>
    <w:rsid w:val="00446993"/>
    <w:rsid w:val="00450AD9"/>
    <w:rsid w:val="00461774"/>
    <w:rsid w:val="00471401"/>
    <w:rsid w:val="0047346E"/>
    <w:rsid w:val="00473F31"/>
    <w:rsid w:val="004802ED"/>
    <w:rsid w:val="0048263A"/>
    <w:rsid w:val="00487E5D"/>
    <w:rsid w:val="004A711F"/>
    <w:rsid w:val="004B199D"/>
    <w:rsid w:val="004B4690"/>
    <w:rsid w:val="004D5479"/>
    <w:rsid w:val="004E0A2D"/>
    <w:rsid w:val="004E206B"/>
    <w:rsid w:val="004E6DF7"/>
    <w:rsid w:val="004F0FBD"/>
    <w:rsid w:val="004F1284"/>
    <w:rsid w:val="004F3E91"/>
    <w:rsid w:val="00504A67"/>
    <w:rsid w:val="00505A47"/>
    <w:rsid w:val="00512FDA"/>
    <w:rsid w:val="00520DA0"/>
    <w:rsid w:val="005239BD"/>
    <w:rsid w:val="005269A7"/>
    <w:rsid w:val="005269D7"/>
    <w:rsid w:val="0054034D"/>
    <w:rsid w:val="00547C2A"/>
    <w:rsid w:val="00553FC6"/>
    <w:rsid w:val="00554C87"/>
    <w:rsid w:val="0056185D"/>
    <w:rsid w:val="005664BB"/>
    <w:rsid w:val="00566FFA"/>
    <w:rsid w:val="0057481D"/>
    <w:rsid w:val="00583EC9"/>
    <w:rsid w:val="0058486E"/>
    <w:rsid w:val="00584F9F"/>
    <w:rsid w:val="00585179"/>
    <w:rsid w:val="00585B33"/>
    <w:rsid w:val="0059014D"/>
    <w:rsid w:val="00591E24"/>
    <w:rsid w:val="005B12CA"/>
    <w:rsid w:val="005B5C64"/>
    <w:rsid w:val="005C003A"/>
    <w:rsid w:val="005C2635"/>
    <w:rsid w:val="005C5337"/>
    <w:rsid w:val="005C6BD0"/>
    <w:rsid w:val="005D1C8B"/>
    <w:rsid w:val="005D2E95"/>
    <w:rsid w:val="005D468D"/>
    <w:rsid w:val="005D5CED"/>
    <w:rsid w:val="005E1A0B"/>
    <w:rsid w:val="005E4EDA"/>
    <w:rsid w:val="005F06D6"/>
    <w:rsid w:val="005F1A4C"/>
    <w:rsid w:val="005F75CE"/>
    <w:rsid w:val="006035A5"/>
    <w:rsid w:val="0060461D"/>
    <w:rsid w:val="00605688"/>
    <w:rsid w:val="006070AF"/>
    <w:rsid w:val="00607E6C"/>
    <w:rsid w:val="006101B1"/>
    <w:rsid w:val="00614E44"/>
    <w:rsid w:val="0062270A"/>
    <w:rsid w:val="00622830"/>
    <w:rsid w:val="00623DA0"/>
    <w:rsid w:val="00630AEF"/>
    <w:rsid w:val="006325F8"/>
    <w:rsid w:val="00633463"/>
    <w:rsid w:val="00633E03"/>
    <w:rsid w:val="00634C9A"/>
    <w:rsid w:val="006440E4"/>
    <w:rsid w:val="00645F81"/>
    <w:rsid w:val="006517C0"/>
    <w:rsid w:val="0065439D"/>
    <w:rsid w:val="0066343B"/>
    <w:rsid w:val="00664777"/>
    <w:rsid w:val="00672A9C"/>
    <w:rsid w:val="006748A4"/>
    <w:rsid w:val="00681A31"/>
    <w:rsid w:val="00683E73"/>
    <w:rsid w:val="006A3141"/>
    <w:rsid w:val="006A5E34"/>
    <w:rsid w:val="006B0246"/>
    <w:rsid w:val="006B2422"/>
    <w:rsid w:val="006B2B9A"/>
    <w:rsid w:val="006B52A1"/>
    <w:rsid w:val="006C1937"/>
    <w:rsid w:val="006C40BD"/>
    <w:rsid w:val="006E0314"/>
    <w:rsid w:val="006E2ABF"/>
    <w:rsid w:val="006E7DAE"/>
    <w:rsid w:val="006F020C"/>
    <w:rsid w:val="006F116B"/>
    <w:rsid w:val="006F533B"/>
    <w:rsid w:val="00703FC1"/>
    <w:rsid w:val="00707C96"/>
    <w:rsid w:val="0071109B"/>
    <w:rsid w:val="007127B7"/>
    <w:rsid w:val="0071798E"/>
    <w:rsid w:val="007231B6"/>
    <w:rsid w:val="007416B6"/>
    <w:rsid w:val="00746F48"/>
    <w:rsid w:val="0075404D"/>
    <w:rsid w:val="0076182A"/>
    <w:rsid w:val="00765287"/>
    <w:rsid w:val="00767B7E"/>
    <w:rsid w:val="00774C71"/>
    <w:rsid w:val="00776B58"/>
    <w:rsid w:val="007770C3"/>
    <w:rsid w:val="00784D24"/>
    <w:rsid w:val="007859F5"/>
    <w:rsid w:val="00785FBA"/>
    <w:rsid w:val="00786E4A"/>
    <w:rsid w:val="007875EB"/>
    <w:rsid w:val="0079426B"/>
    <w:rsid w:val="007A62F4"/>
    <w:rsid w:val="007C7A91"/>
    <w:rsid w:val="007D1682"/>
    <w:rsid w:val="007D312A"/>
    <w:rsid w:val="007D3F19"/>
    <w:rsid w:val="007E23B0"/>
    <w:rsid w:val="007E23E5"/>
    <w:rsid w:val="007E3360"/>
    <w:rsid w:val="007E4034"/>
    <w:rsid w:val="007F1991"/>
    <w:rsid w:val="007F1E59"/>
    <w:rsid w:val="007F2C2F"/>
    <w:rsid w:val="007F4229"/>
    <w:rsid w:val="007F55FC"/>
    <w:rsid w:val="007F5665"/>
    <w:rsid w:val="007F64C3"/>
    <w:rsid w:val="00800112"/>
    <w:rsid w:val="00806AA6"/>
    <w:rsid w:val="00813348"/>
    <w:rsid w:val="008225F0"/>
    <w:rsid w:val="008253BB"/>
    <w:rsid w:val="00834099"/>
    <w:rsid w:val="0083706E"/>
    <w:rsid w:val="008408F6"/>
    <w:rsid w:val="008423A5"/>
    <w:rsid w:val="00845BD0"/>
    <w:rsid w:val="00850625"/>
    <w:rsid w:val="00853718"/>
    <w:rsid w:val="00855221"/>
    <w:rsid w:val="00860645"/>
    <w:rsid w:val="0086156C"/>
    <w:rsid w:val="00871F71"/>
    <w:rsid w:val="00872348"/>
    <w:rsid w:val="00872C37"/>
    <w:rsid w:val="00872FD8"/>
    <w:rsid w:val="00873046"/>
    <w:rsid w:val="00873055"/>
    <w:rsid w:val="008779F3"/>
    <w:rsid w:val="00885AF4"/>
    <w:rsid w:val="00892977"/>
    <w:rsid w:val="008939CD"/>
    <w:rsid w:val="00893C8A"/>
    <w:rsid w:val="00897F1B"/>
    <w:rsid w:val="008B768C"/>
    <w:rsid w:val="008B78B9"/>
    <w:rsid w:val="008B7BDC"/>
    <w:rsid w:val="008C0914"/>
    <w:rsid w:val="008C13EC"/>
    <w:rsid w:val="008C4DB1"/>
    <w:rsid w:val="008C4EAF"/>
    <w:rsid w:val="008C5176"/>
    <w:rsid w:val="008C5CE3"/>
    <w:rsid w:val="008C7FD0"/>
    <w:rsid w:val="008D2CC6"/>
    <w:rsid w:val="008D3309"/>
    <w:rsid w:val="008D3C25"/>
    <w:rsid w:val="008D480F"/>
    <w:rsid w:val="008E1DE7"/>
    <w:rsid w:val="008E554B"/>
    <w:rsid w:val="008E562A"/>
    <w:rsid w:val="008E5F79"/>
    <w:rsid w:val="008E707C"/>
    <w:rsid w:val="008F319E"/>
    <w:rsid w:val="008F3E14"/>
    <w:rsid w:val="008F6B05"/>
    <w:rsid w:val="008F7AD3"/>
    <w:rsid w:val="00900B08"/>
    <w:rsid w:val="00902155"/>
    <w:rsid w:val="00902FA3"/>
    <w:rsid w:val="00914508"/>
    <w:rsid w:val="009177D3"/>
    <w:rsid w:val="00923564"/>
    <w:rsid w:val="0092392E"/>
    <w:rsid w:val="00926DE3"/>
    <w:rsid w:val="009315F9"/>
    <w:rsid w:val="00933499"/>
    <w:rsid w:val="009334D8"/>
    <w:rsid w:val="00934415"/>
    <w:rsid w:val="00935C98"/>
    <w:rsid w:val="00946945"/>
    <w:rsid w:val="00950985"/>
    <w:rsid w:val="00951248"/>
    <w:rsid w:val="0095152F"/>
    <w:rsid w:val="00954C49"/>
    <w:rsid w:val="00955E37"/>
    <w:rsid w:val="00957FF0"/>
    <w:rsid w:val="00962656"/>
    <w:rsid w:val="00962C61"/>
    <w:rsid w:val="00967F79"/>
    <w:rsid w:val="0097099F"/>
    <w:rsid w:val="00971997"/>
    <w:rsid w:val="00971FFC"/>
    <w:rsid w:val="009736FC"/>
    <w:rsid w:val="009739B7"/>
    <w:rsid w:val="0098660A"/>
    <w:rsid w:val="00986A4C"/>
    <w:rsid w:val="009931C3"/>
    <w:rsid w:val="00997826"/>
    <w:rsid w:val="009B2C43"/>
    <w:rsid w:val="009B4EAE"/>
    <w:rsid w:val="009B7573"/>
    <w:rsid w:val="009C06AB"/>
    <w:rsid w:val="009C09EC"/>
    <w:rsid w:val="009C22F4"/>
    <w:rsid w:val="009C2A4B"/>
    <w:rsid w:val="009C2E98"/>
    <w:rsid w:val="009C7F4D"/>
    <w:rsid w:val="009D0977"/>
    <w:rsid w:val="009D3447"/>
    <w:rsid w:val="009D3AF1"/>
    <w:rsid w:val="009D4711"/>
    <w:rsid w:val="009E344F"/>
    <w:rsid w:val="009E7EC8"/>
    <w:rsid w:val="009F1185"/>
    <w:rsid w:val="009F18CD"/>
    <w:rsid w:val="009F2A13"/>
    <w:rsid w:val="009F3158"/>
    <w:rsid w:val="009F5CB5"/>
    <w:rsid w:val="009F7527"/>
    <w:rsid w:val="00A04EB0"/>
    <w:rsid w:val="00A13CC1"/>
    <w:rsid w:val="00A141A6"/>
    <w:rsid w:val="00A16847"/>
    <w:rsid w:val="00A237D8"/>
    <w:rsid w:val="00A268C4"/>
    <w:rsid w:val="00A307CD"/>
    <w:rsid w:val="00A331C8"/>
    <w:rsid w:val="00A358A4"/>
    <w:rsid w:val="00A40A00"/>
    <w:rsid w:val="00A4142F"/>
    <w:rsid w:val="00A422EB"/>
    <w:rsid w:val="00A45BB7"/>
    <w:rsid w:val="00A56DF2"/>
    <w:rsid w:val="00A56E6E"/>
    <w:rsid w:val="00A64120"/>
    <w:rsid w:val="00A64D86"/>
    <w:rsid w:val="00A6787D"/>
    <w:rsid w:val="00A67AB5"/>
    <w:rsid w:val="00A733B2"/>
    <w:rsid w:val="00A741C2"/>
    <w:rsid w:val="00A77941"/>
    <w:rsid w:val="00A91760"/>
    <w:rsid w:val="00A93B00"/>
    <w:rsid w:val="00A93C21"/>
    <w:rsid w:val="00A948BF"/>
    <w:rsid w:val="00A97EE4"/>
    <w:rsid w:val="00AB1D8A"/>
    <w:rsid w:val="00AB37E0"/>
    <w:rsid w:val="00AB58E9"/>
    <w:rsid w:val="00AB64C9"/>
    <w:rsid w:val="00AC239B"/>
    <w:rsid w:val="00AC3C6A"/>
    <w:rsid w:val="00AD3155"/>
    <w:rsid w:val="00AD3AD4"/>
    <w:rsid w:val="00AD43EA"/>
    <w:rsid w:val="00AD5620"/>
    <w:rsid w:val="00AD656B"/>
    <w:rsid w:val="00AD7C1B"/>
    <w:rsid w:val="00AE16BA"/>
    <w:rsid w:val="00AE1EBE"/>
    <w:rsid w:val="00AF2588"/>
    <w:rsid w:val="00AF3176"/>
    <w:rsid w:val="00B011E4"/>
    <w:rsid w:val="00B03C9D"/>
    <w:rsid w:val="00B060AE"/>
    <w:rsid w:val="00B06D60"/>
    <w:rsid w:val="00B104EB"/>
    <w:rsid w:val="00B10517"/>
    <w:rsid w:val="00B14E76"/>
    <w:rsid w:val="00B161B8"/>
    <w:rsid w:val="00B162EF"/>
    <w:rsid w:val="00B1642A"/>
    <w:rsid w:val="00B16DBB"/>
    <w:rsid w:val="00B2048C"/>
    <w:rsid w:val="00B20A16"/>
    <w:rsid w:val="00B310B9"/>
    <w:rsid w:val="00B33332"/>
    <w:rsid w:val="00B35F3F"/>
    <w:rsid w:val="00B36CBB"/>
    <w:rsid w:val="00B425E0"/>
    <w:rsid w:val="00B440AA"/>
    <w:rsid w:val="00B44B70"/>
    <w:rsid w:val="00B528FA"/>
    <w:rsid w:val="00B53C56"/>
    <w:rsid w:val="00B57DAF"/>
    <w:rsid w:val="00B7596C"/>
    <w:rsid w:val="00B763D7"/>
    <w:rsid w:val="00B77EA6"/>
    <w:rsid w:val="00B81598"/>
    <w:rsid w:val="00B841F1"/>
    <w:rsid w:val="00B90E4E"/>
    <w:rsid w:val="00B944D6"/>
    <w:rsid w:val="00B965DC"/>
    <w:rsid w:val="00BA0002"/>
    <w:rsid w:val="00BA7F50"/>
    <w:rsid w:val="00BB16BA"/>
    <w:rsid w:val="00BB4DF0"/>
    <w:rsid w:val="00BC289F"/>
    <w:rsid w:val="00BC2D50"/>
    <w:rsid w:val="00BC4B7F"/>
    <w:rsid w:val="00BC5361"/>
    <w:rsid w:val="00BC5460"/>
    <w:rsid w:val="00BC6B50"/>
    <w:rsid w:val="00BD0C0E"/>
    <w:rsid w:val="00BD0E25"/>
    <w:rsid w:val="00BD36DE"/>
    <w:rsid w:val="00BE6B44"/>
    <w:rsid w:val="00BF11C6"/>
    <w:rsid w:val="00BF5BD6"/>
    <w:rsid w:val="00C02618"/>
    <w:rsid w:val="00C03A33"/>
    <w:rsid w:val="00C03E31"/>
    <w:rsid w:val="00C2676B"/>
    <w:rsid w:val="00C27A7A"/>
    <w:rsid w:val="00C27B34"/>
    <w:rsid w:val="00C33E72"/>
    <w:rsid w:val="00C354B2"/>
    <w:rsid w:val="00C35554"/>
    <w:rsid w:val="00C42709"/>
    <w:rsid w:val="00C4423F"/>
    <w:rsid w:val="00C506BA"/>
    <w:rsid w:val="00C533CC"/>
    <w:rsid w:val="00C5751C"/>
    <w:rsid w:val="00C61BFC"/>
    <w:rsid w:val="00C621A7"/>
    <w:rsid w:val="00C62B85"/>
    <w:rsid w:val="00C65438"/>
    <w:rsid w:val="00C656F9"/>
    <w:rsid w:val="00C67309"/>
    <w:rsid w:val="00C72336"/>
    <w:rsid w:val="00C75442"/>
    <w:rsid w:val="00C87FD8"/>
    <w:rsid w:val="00C91381"/>
    <w:rsid w:val="00C91853"/>
    <w:rsid w:val="00C91CBB"/>
    <w:rsid w:val="00CA7DCD"/>
    <w:rsid w:val="00CB06B8"/>
    <w:rsid w:val="00CB4E70"/>
    <w:rsid w:val="00CB75AA"/>
    <w:rsid w:val="00CC09B6"/>
    <w:rsid w:val="00CC2B4D"/>
    <w:rsid w:val="00CC666F"/>
    <w:rsid w:val="00CD1E3F"/>
    <w:rsid w:val="00CD4BB4"/>
    <w:rsid w:val="00CE094C"/>
    <w:rsid w:val="00CE44F6"/>
    <w:rsid w:val="00CE49DA"/>
    <w:rsid w:val="00CE7B61"/>
    <w:rsid w:val="00CF048A"/>
    <w:rsid w:val="00D00095"/>
    <w:rsid w:val="00D02EBD"/>
    <w:rsid w:val="00D06B73"/>
    <w:rsid w:val="00D114F0"/>
    <w:rsid w:val="00D16EB2"/>
    <w:rsid w:val="00D20620"/>
    <w:rsid w:val="00D254F7"/>
    <w:rsid w:val="00D26091"/>
    <w:rsid w:val="00D2685C"/>
    <w:rsid w:val="00D31314"/>
    <w:rsid w:val="00D34E7C"/>
    <w:rsid w:val="00D35489"/>
    <w:rsid w:val="00D36AFE"/>
    <w:rsid w:val="00D36F90"/>
    <w:rsid w:val="00D401FF"/>
    <w:rsid w:val="00D4650E"/>
    <w:rsid w:val="00D50649"/>
    <w:rsid w:val="00D507BC"/>
    <w:rsid w:val="00D51276"/>
    <w:rsid w:val="00D5390E"/>
    <w:rsid w:val="00D54A37"/>
    <w:rsid w:val="00D56B26"/>
    <w:rsid w:val="00D65B00"/>
    <w:rsid w:val="00D7035F"/>
    <w:rsid w:val="00D73A23"/>
    <w:rsid w:val="00D81A47"/>
    <w:rsid w:val="00D86C2F"/>
    <w:rsid w:val="00D94FC9"/>
    <w:rsid w:val="00DA634F"/>
    <w:rsid w:val="00DA65AC"/>
    <w:rsid w:val="00DB1913"/>
    <w:rsid w:val="00DC410D"/>
    <w:rsid w:val="00DC5A81"/>
    <w:rsid w:val="00DC68CA"/>
    <w:rsid w:val="00DC74B0"/>
    <w:rsid w:val="00DC7CBA"/>
    <w:rsid w:val="00DD34E7"/>
    <w:rsid w:val="00DD3734"/>
    <w:rsid w:val="00DD6E23"/>
    <w:rsid w:val="00DD73B7"/>
    <w:rsid w:val="00DE237D"/>
    <w:rsid w:val="00DE7783"/>
    <w:rsid w:val="00DF28BC"/>
    <w:rsid w:val="00DF34B9"/>
    <w:rsid w:val="00E01053"/>
    <w:rsid w:val="00E022ED"/>
    <w:rsid w:val="00E02BE9"/>
    <w:rsid w:val="00E05300"/>
    <w:rsid w:val="00E06DE9"/>
    <w:rsid w:val="00E07ACF"/>
    <w:rsid w:val="00E119A1"/>
    <w:rsid w:val="00E11D63"/>
    <w:rsid w:val="00E1651D"/>
    <w:rsid w:val="00E253FC"/>
    <w:rsid w:val="00E25734"/>
    <w:rsid w:val="00E32CAD"/>
    <w:rsid w:val="00E331A1"/>
    <w:rsid w:val="00E33202"/>
    <w:rsid w:val="00E336A9"/>
    <w:rsid w:val="00E400E2"/>
    <w:rsid w:val="00E42F31"/>
    <w:rsid w:val="00E43254"/>
    <w:rsid w:val="00E472B1"/>
    <w:rsid w:val="00E50624"/>
    <w:rsid w:val="00E533C4"/>
    <w:rsid w:val="00E568DF"/>
    <w:rsid w:val="00E64269"/>
    <w:rsid w:val="00E70975"/>
    <w:rsid w:val="00E73C30"/>
    <w:rsid w:val="00E75F7E"/>
    <w:rsid w:val="00E82267"/>
    <w:rsid w:val="00E853CE"/>
    <w:rsid w:val="00E867B6"/>
    <w:rsid w:val="00E86F41"/>
    <w:rsid w:val="00E94239"/>
    <w:rsid w:val="00EA010F"/>
    <w:rsid w:val="00EA29B4"/>
    <w:rsid w:val="00EC14DD"/>
    <w:rsid w:val="00ED105A"/>
    <w:rsid w:val="00ED1A71"/>
    <w:rsid w:val="00ED1B63"/>
    <w:rsid w:val="00ED36D3"/>
    <w:rsid w:val="00ED3C1F"/>
    <w:rsid w:val="00ED4085"/>
    <w:rsid w:val="00ED420E"/>
    <w:rsid w:val="00ED6FBE"/>
    <w:rsid w:val="00EE2F57"/>
    <w:rsid w:val="00EE701C"/>
    <w:rsid w:val="00EF08C0"/>
    <w:rsid w:val="00EF4C34"/>
    <w:rsid w:val="00EF52A2"/>
    <w:rsid w:val="00EF60EF"/>
    <w:rsid w:val="00EF77C6"/>
    <w:rsid w:val="00F0044A"/>
    <w:rsid w:val="00F05438"/>
    <w:rsid w:val="00F1253E"/>
    <w:rsid w:val="00F1361C"/>
    <w:rsid w:val="00F156F0"/>
    <w:rsid w:val="00F160C7"/>
    <w:rsid w:val="00F16776"/>
    <w:rsid w:val="00F2408F"/>
    <w:rsid w:val="00F240E9"/>
    <w:rsid w:val="00F36D8F"/>
    <w:rsid w:val="00F417B1"/>
    <w:rsid w:val="00F45853"/>
    <w:rsid w:val="00F5460F"/>
    <w:rsid w:val="00F55F22"/>
    <w:rsid w:val="00F602DF"/>
    <w:rsid w:val="00F644BE"/>
    <w:rsid w:val="00F72C3B"/>
    <w:rsid w:val="00F754A1"/>
    <w:rsid w:val="00F81FD9"/>
    <w:rsid w:val="00F841AA"/>
    <w:rsid w:val="00F84A94"/>
    <w:rsid w:val="00F87E96"/>
    <w:rsid w:val="00F96CD2"/>
    <w:rsid w:val="00FA0FE0"/>
    <w:rsid w:val="00FA23E8"/>
    <w:rsid w:val="00FA4B63"/>
    <w:rsid w:val="00FA745D"/>
    <w:rsid w:val="00FC0263"/>
    <w:rsid w:val="00FC2607"/>
    <w:rsid w:val="00FD09BA"/>
    <w:rsid w:val="00FD3CC1"/>
    <w:rsid w:val="00FD5A1A"/>
    <w:rsid w:val="00FF1E02"/>
    <w:rsid w:val="00FF30B4"/>
    <w:rsid w:val="00FF7495"/>
    <w:rsid w:val="022B6444"/>
    <w:rsid w:val="069B3EE4"/>
    <w:rsid w:val="088D0D4D"/>
    <w:rsid w:val="0A2032A3"/>
    <w:rsid w:val="0E5C4DB1"/>
    <w:rsid w:val="10C055FF"/>
    <w:rsid w:val="118107EC"/>
    <w:rsid w:val="16BB723D"/>
    <w:rsid w:val="1D155CEE"/>
    <w:rsid w:val="240371BF"/>
    <w:rsid w:val="29FD04D3"/>
    <w:rsid w:val="2E4819B2"/>
    <w:rsid w:val="30AA2B93"/>
    <w:rsid w:val="319F7F4E"/>
    <w:rsid w:val="37231FCB"/>
    <w:rsid w:val="49F405C5"/>
    <w:rsid w:val="4E1135A7"/>
    <w:rsid w:val="4ECE2238"/>
    <w:rsid w:val="5FE98D0F"/>
    <w:rsid w:val="609A535F"/>
    <w:rsid w:val="62BF431D"/>
    <w:rsid w:val="6B5F3B65"/>
    <w:rsid w:val="6C4A05C8"/>
    <w:rsid w:val="72734D90"/>
    <w:rsid w:val="74116BD0"/>
    <w:rsid w:val="78614C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6"/>
    <w:qFormat/>
    <w:uiPriority w:val="9"/>
    <w:pPr>
      <w:keepNext/>
      <w:keepLines/>
      <w:spacing w:before="260" w:after="260" w:line="416" w:lineRule="auto"/>
      <w:outlineLvl w:val="1"/>
    </w:pPr>
    <w:rPr>
      <w:rFonts w:ascii="Cambria" w:hAnsi="Cambria"/>
      <w:b/>
      <w:bCs/>
      <w:sz w:val="32"/>
      <w:szCs w:val="32"/>
    </w:rPr>
  </w:style>
  <w:style w:type="paragraph" w:styleId="4">
    <w:name w:val="heading 3"/>
    <w:basedOn w:val="1"/>
    <w:next w:val="1"/>
    <w:link w:val="27"/>
    <w:qFormat/>
    <w:uiPriority w:val="9"/>
    <w:pPr>
      <w:keepNext/>
      <w:keepLines/>
      <w:spacing w:before="260" w:after="260" w:line="416" w:lineRule="auto"/>
      <w:outlineLvl w:val="2"/>
    </w:pPr>
    <w:rPr>
      <w:b/>
      <w:bCs/>
      <w:sz w:val="32"/>
      <w:szCs w:val="32"/>
    </w:rPr>
  </w:style>
  <w:style w:type="character" w:default="1" w:styleId="22">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5">
    <w:name w:val="toc 7"/>
    <w:basedOn w:val="1"/>
    <w:next w:val="1"/>
    <w:unhideWhenUsed/>
    <w:qFormat/>
    <w:uiPriority w:val="39"/>
    <w:pPr>
      <w:ind w:left="1260"/>
      <w:jc w:val="left"/>
    </w:pPr>
    <w:rPr>
      <w:rFonts w:asciiTheme="minorHAnsi" w:eastAsiaTheme="minorHAnsi"/>
      <w:sz w:val="18"/>
      <w:szCs w:val="18"/>
    </w:rPr>
  </w:style>
  <w:style w:type="paragraph" w:styleId="6">
    <w:name w:val="Body Text"/>
    <w:basedOn w:val="1"/>
    <w:link w:val="34"/>
    <w:qFormat/>
    <w:uiPriority w:val="99"/>
    <w:pPr>
      <w:spacing w:beforeLines="30"/>
    </w:pPr>
    <w:rPr>
      <w:rFonts w:ascii="仿宋_GB2312" w:eastAsia="仿宋_GB2312"/>
      <w:kern w:val="0"/>
      <w:sz w:val="24"/>
      <w:szCs w:val="20"/>
    </w:rPr>
  </w:style>
  <w:style w:type="paragraph" w:styleId="7">
    <w:name w:val="Body Text Indent"/>
    <w:basedOn w:val="1"/>
    <w:link w:val="40"/>
    <w:semiHidden/>
    <w:unhideWhenUsed/>
    <w:qFormat/>
    <w:uiPriority w:val="99"/>
    <w:pPr>
      <w:spacing w:after="120"/>
      <w:ind w:left="420" w:leftChars="200"/>
    </w:pPr>
  </w:style>
  <w:style w:type="paragraph" w:styleId="8">
    <w:name w:val="toc 5"/>
    <w:basedOn w:val="1"/>
    <w:next w:val="1"/>
    <w:unhideWhenUsed/>
    <w:qFormat/>
    <w:uiPriority w:val="39"/>
    <w:pPr>
      <w:ind w:left="840"/>
      <w:jc w:val="left"/>
    </w:pPr>
    <w:rPr>
      <w:rFonts w:asciiTheme="minorHAnsi" w:eastAsiaTheme="minorHAnsi"/>
      <w:sz w:val="18"/>
      <w:szCs w:val="18"/>
    </w:rPr>
  </w:style>
  <w:style w:type="paragraph" w:styleId="9">
    <w:name w:val="toc 3"/>
    <w:basedOn w:val="1"/>
    <w:next w:val="1"/>
    <w:unhideWhenUsed/>
    <w:qFormat/>
    <w:uiPriority w:val="39"/>
    <w:pPr>
      <w:ind w:left="420"/>
      <w:jc w:val="left"/>
    </w:pPr>
    <w:rPr>
      <w:rFonts w:asciiTheme="minorHAnsi" w:eastAsiaTheme="minorHAnsi"/>
      <w:i/>
      <w:iCs/>
      <w:sz w:val="20"/>
      <w:szCs w:val="20"/>
    </w:rPr>
  </w:style>
  <w:style w:type="paragraph" w:styleId="10">
    <w:name w:val="toc 8"/>
    <w:basedOn w:val="1"/>
    <w:next w:val="1"/>
    <w:unhideWhenUsed/>
    <w:qFormat/>
    <w:uiPriority w:val="39"/>
    <w:pPr>
      <w:ind w:left="1470"/>
      <w:jc w:val="left"/>
    </w:pPr>
    <w:rPr>
      <w:rFonts w:asciiTheme="minorHAnsi" w:eastAsiaTheme="minorHAnsi"/>
      <w:sz w:val="18"/>
      <w:szCs w:val="18"/>
    </w:rPr>
  </w:style>
  <w:style w:type="paragraph" w:styleId="11">
    <w:name w:val="Balloon Text"/>
    <w:basedOn w:val="1"/>
    <w:link w:val="29"/>
    <w:semiHidden/>
    <w:unhideWhenUsed/>
    <w:qFormat/>
    <w:uiPriority w:val="99"/>
    <w:rPr>
      <w:sz w:val="18"/>
      <w:szCs w:val="18"/>
    </w:rPr>
  </w:style>
  <w:style w:type="paragraph" w:styleId="12">
    <w:name w:val="footer"/>
    <w:basedOn w:val="1"/>
    <w:link w:val="33"/>
    <w:qFormat/>
    <w:uiPriority w:val="99"/>
    <w:pPr>
      <w:tabs>
        <w:tab w:val="center" w:pos="4153"/>
        <w:tab w:val="right" w:pos="8306"/>
      </w:tabs>
      <w:snapToGrid w:val="0"/>
      <w:jc w:val="left"/>
    </w:pPr>
    <w:rPr>
      <w:rFonts w:ascii="Calibri" w:hAnsi="Calibri"/>
      <w:kern w:val="0"/>
      <w:sz w:val="18"/>
      <w:szCs w:val="20"/>
    </w:rPr>
  </w:style>
  <w:style w:type="paragraph" w:styleId="13">
    <w:name w:val="header"/>
    <w:basedOn w:val="1"/>
    <w:link w:val="32"/>
    <w:semiHidden/>
    <w:qFormat/>
    <w:uiPriority w:val="99"/>
    <w:pPr>
      <w:pBdr>
        <w:bottom w:val="single" w:color="auto" w:sz="6" w:space="1"/>
      </w:pBdr>
      <w:tabs>
        <w:tab w:val="center" w:pos="4153"/>
        <w:tab w:val="right" w:pos="8306"/>
      </w:tabs>
      <w:snapToGrid w:val="0"/>
      <w:jc w:val="center"/>
    </w:pPr>
    <w:rPr>
      <w:rFonts w:ascii="Calibri" w:hAnsi="Calibri"/>
      <w:kern w:val="0"/>
      <w:sz w:val="18"/>
      <w:szCs w:val="20"/>
    </w:rPr>
  </w:style>
  <w:style w:type="paragraph" w:styleId="14">
    <w:name w:val="toc 1"/>
    <w:basedOn w:val="1"/>
    <w:next w:val="1"/>
    <w:unhideWhenUsed/>
    <w:qFormat/>
    <w:uiPriority w:val="39"/>
    <w:pPr>
      <w:spacing w:before="120" w:after="120"/>
      <w:jc w:val="left"/>
    </w:pPr>
    <w:rPr>
      <w:rFonts w:asciiTheme="minorHAnsi" w:eastAsiaTheme="minorHAnsi"/>
      <w:b/>
      <w:bCs/>
      <w:caps/>
      <w:sz w:val="20"/>
      <w:szCs w:val="20"/>
    </w:rPr>
  </w:style>
  <w:style w:type="paragraph" w:styleId="15">
    <w:name w:val="toc 4"/>
    <w:basedOn w:val="1"/>
    <w:next w:val="1"/>
    <w:unhideWhenUsed/>
    <w:qFormat/>
    <w:uiPriority w:val="39"/>
    <w:pPr>
      <w:ind w:left="630"/>
      <w:jc w:val="left"/>
    </w:pPr>
    <w:rPr>
      <w:rFonts w:asciiTheme="minorHAnsi" w:eastAsiaTheme="minorHAnsi"/>
      <w:sz w:val="18"/>
      <w:szCs w:val="18"/>
    </w:rPr>
  </w:style>
  <w:style w:type="paragraph" w:styleId="16">
    <w:name w:val="toc 6"/>
    <w:basedOn w:val="1"/>
    <w:next w:val="1"/>
    <w:unhideWhenUsed/>
    <w:qFormat/>
    <w:uiPriority w:val="39"/>
    <w:pPr>
      <w:ind w:left="1050"/>
      <w:jc w:val="left"/>
    </w:pPr>
    <w:rPr>
      <w:rFonts w:asciiTheme="minorHAnsi" w:eastAsiaTheme="minorHAnsi"/>
      <w:sz w:val="18"/>
      <w:szCs w:val="18"/>
    </w:rPr>
  </w:style>
  <w:style w:type="paragraph" w:styleId="17">
    <w:name w:val="toc 2"/>
    <w:basedOn w:val="1"/>
    <w:next w:val="1"/>
    <w:unhideWhenUsed/>
    <w:qFormat/>
    <w:uiPriority w:val="39"/>
    <w:pPr>
      <w:ind w:left="210"/>
      <w:jc w:val="left"/>
    </w:pPr>
    <w:rPr>
      <w:rFonts w:asciiTheme="minorHAnsi" w:eastAsiaTheme="minorHAnsi"/>
      <w:smallCaps/>
      <w:sz w:val="20"/>
      <w:szCs w:val="20"/>
    </w:rPr>
  </w:style>
  <w:style w:type="paragraph" w:styleId="18">
    <w:name w:val="toc 9"/>
    <w:basedOn w:val="1"/>
    <w:next w:val="1"/>
    <w:unhideWhenUsed/>
    <w:qFormat/>
    <w:uiPriority w:val="39"/>
    <w:pPr>
      <w:ind w:left="1680"/>
      <w:jc w:val="left"/>
    </w:pPr>
    <w:rPr>
      <w:rFonts w:asciiTheme="minorHAnsi" w:eastAsiaTheme="minorHAnsi"/>
      <w:sz w:val="18"/>
      <w:szCs w:val="18"/>
    </w:rPr>
  </w:style>
  <w:style w:type="paragraph" w:styleId="19">
    <w:name w:val="Normal (Web)"/>
    <w:basedOn w:val="1"/>
    <w:qFormat/>
    <w:uiPriority w:val="99"/>
    <w:pPr>
      <w:widowControl/>
      <w:spacing w:before="100" w:beforeAutospacing="1" w:after="100" w:afterAutospacing="1"/>
      <w:jc w:val="left"/>
    </w:pPr>
    <w:rPr>
      <w:rFonts w:ascii="宋体" w:hAnsi="宋体" w:cs="宋体" w:eastAsiaTheme="minorEastAsia"/>
      <w:kern w:val="0"/>
      <w:sz w:val="24"/>
    </w:rPr>
  </w:style>
  <w:style w:type="paragraph" w:styleId="20">
    <w:name w:val="Body Text First Indent 2"/>
    <w:basedOn w:val="7"/>
    <w:link w:val="41"/>
    <w:semiHidden/>
    <w:unhideWhenUsed/>
    <w:qFormat/>
    <w:uiPriority w:val="99"/>
    <w:pPr>
      <w:ind w:firstLine="420" w:firstLineChars="200"/>
    </w:pPr>
  </w:style>
  <w:style w:type="character" w:styleId="23">
    <w:name w:val="Strong"/>
    <w:basedOn w:val="22"/>
    <w:qFormat/>
    <w:uiPriority w:val="99"/>
    <w:rPr>
      <w:rFonts w:cs="Times New Roman"/>
      <w:b/>
    </w:rPr>
  </w:style>
  <w:style w:type="character" w:styleId="24">
    <w:name w:val="Hyperlink"/>
    <w:basedOn w:val="22"/>
    <w:unhideWhenUsed/>
    <w:qFormat/>
    <w:uiPriority w:val="99"/>
    <w:rPr>
      <w:rFonts w:cs="Times New Roman"/>
      <w:color w:val="0000FF"/>
      <w:u w:val="single"/>
    </w:rPr>
  </w:style>
  <w:style w:type="character" w:customStyle="1" w:styleId="25">
    <w:name w:val="标题 1 字符"/>
    <w:basedOn w:val="22"/>
    <w:link w:val="2"/>
    <w:qFormat/>
    <w:locked/>
    <w:uiPriority w:val="9"/>
    <w:rPr>
      <w:rFonts w:ascii="Times New Roman" w:hAnsi="Times New Roman" w:cs="Times New Roman"/>
      <w:b/>
      <w:bCs/>
      <w:kern w:val="44"/>
      <w:sz w:val="44"/>
      <w:szCs w:val="44"/>
    </w:rPr>
  </w:style>
  <w:style w:type="character" w:customStyle="1" w:styleId="26">
    <w:name w:val="标题 2 字符"/>
    <w:basedOn w:val="22"/>
    <w:link w:val="3"/>
    <w:qFormat/>
    <w:locked/>
    <w:uiPriority w:val="9"/>
    <w:rPr>
      <w:rFonts w:ascii="Cambria" w:hAnsi="Cambria" w:eastAsia="宋体" w:cs="Times New Roman"/>
      <w:b/>
      <w:bCs/>
      <w:kern w:val="2"/>
      <w:sz w:val="32"/>
      <w:szCs w:val="32"/>
    </w:rPr>
  </w:style>
  <w:style w:type="character" w:customStyle="1" w:styleId="27">
    <w:name w:val="标题 3 字符"/>
    <w:basedOn w:val="22"/>
    <w:link w:val="4"/>
    <w:qFormat/>
    <w:locked/>
    <w:uiPriority w:val="9"/>
    <w:rPr>
      <w:rFonts w:ascii="Times New Roman" w:hAnsi="Times New Roman" w:cs="Times New Roman"/>
      <w:b/>
      <w:bCs/>
      <w:kern w:val="2"/>
      <w:sz w:val="32"/>
      <w:szCs w:val="32"/>
    </w:rPr>
  </w:style>
  <w:style w:type="character" w:customStyle="1" w:styleId="28">
    <w:name w:val="Body Text Char"/>
    <w:basedOn w:val="22"/>
    <w:semiHidden/>
    <w:qFormat/>
    <w:uiPriority w:val="99"/>
    <w:rPr>
      <w:rFonts w:ascii="Times New Roman" w:hAnsi="Times New Roman" w:cs="Times New Roman"/>
      <w:sz w:val="24"/>
      <w:szCs w:val="24"/>
    </w:rPr>
  </w:style>
  <w:style w:type="character" w:customStyle="1" w:styleId="29">
    <w:name w:val="批注框文本 字符"/>
    <w:basedOn w:val="22"/>
    <w:link w:val="11"/>
    <w:semiHidden/>
    <w:qFormat/>
    <w:locked/>
    <w:uiPriority w:val="99"/>
    <w:rPr>
      <w:rFonts w:ascii="Times New Roman" w:hAnsi="Times New Roman" w:cs="Times New Roman"/>
      <w:kern w:val="2"/>
      <w:sz w:val="18"/>
      <w:szCs w:val="18"/>
    </w:rPr>
  </w:style>
  <w:style w:type="character" w:customStyle="1" w:styleId="30">
    <w:name w:val="Footer Char"/>
    <w:basedOn w:val="22"/>
    <w:semiHidden/>
    <w:qFormat/>
    <w:uiPriority w:val="99"/>
    <w:rPr>
      <w:rFonts w:ascii="Times New Roman" w:hAnsi="Times New Roman" w:cs="Times New Roman"/>
      <w:sz w:val="18"/>
      <w:szCs w:val="18"/>
    </w:rPr>
  </w:style>
  <w:style w:type="character" w:customStyle="1" w:styleId="31">
    <w:name w:val="Header Char"/>
    <w:basedOn w:val="22"/>
    <w:semiHidden/>
    <w:qFormat/>
    <w:uiPriority w:val="99"/>
    <w:rPr>
      <w:rFonts w:ascii="Times New Roman" w:hAnsi="Times New Roman" w:cs="Times New Roman"/>
      <w:sz w:val="18"/>
      <w:szCs w:val="18"/>
    </w:rPr>
  </w:style>
  <w:style w:type="character" w:customStyle="1" w:styleId="32">
    <w:name w:val="页眉 字符"/>
    <w:link w:val="13"/>
    <w:semiHidden/>
    <w:qFormat/>
    <w:locked/>
    <w:uiPriority w:val="99"/>
    <w:rPr>
      <w:sz w:val="18"/>
    </w:rPr>
  </w:style>
  <w:style w:type="character" w:customStyle="1" w:styleId="33">
    <w:name w:val="页脚 字符"/>
    <w:link w:val="12"/>
    <w:qFormat/>
    <w:locked/>
    <w:uiPriority w:val="99"/>
    <w:rPr>
      <w:sz w:val="18"/>
    </w:rPr>
  </w:style>
  <w:style w:type="character" w:customStyle="1" w:styleId="34">
    <w:name w:val="正文文本 字符"/>
    <w:link w:val="6"/>
    <w:qFormat/>
    <w:locked/>
    <w:uiPriority w:val="99"/>
    <w:rPr>
      <w:rFonts w:ascii="仿宋_GB2312" w:hAnsi="Times New Roman" w:eastAsia="仿宋_GB2312"/>
      <w:sz w:val="24"/>
    </w:rPr>
  </w:style>
  <w:style w:type="paragraph" w:customStyle="1" w:styleId="35">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36">
    <w:name w:val="列表段落1"/>
    <w:basedOn w:val="1"/>
    <w:qFormat/>
    <w:uiPriority w:val="34"/>
    <w:pPr>
      <w:ind w:firstLine="420" w:firstLineChars="200"/>
    </w:pPr>
  </w:style>
  <w:style w:type="paragraph" w:customStyle="1" w:styleId="37">
    <w:name w:val="TOC 标题1"/>
    <w:basedOn w:val="2"/>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8">
    <w:name w:val="TOC Heading1"/>
    <w:basedOn w:val="2"/>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9">
    <w:name w:val="TOC Heading"/>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496" w:themeColor="accent1" w:themeShade="BF"/>
      <w:kern w:val="0"/>
      <w:sz w:val="32"/>
      <w:szCs w:val="32"/>
    </w:rPr>
  </w:style>
  <w:style w:type="character" w:customStyle="1" w:styleId="40">
    <w:name w:val="正文文本缩进 字符"/>
    <w:basedOn w:val="22"/>
    <w:link w:val="7"/>
    <w:semiHidden/>
    <w:qFormat/>
    <w:uiPriority w:val="99"/>
    <w:rPr>
      <w:rFonts w:ascii="Times New Roman" w:hAnsi="Times New Roman"/>
      <w:kern w:val="2"/>
      <w:sz w:val="21"/>
      <w:szCs w:val="24"/>
    </w:rPr>
  </w:style>
  <w:style w:type="character" w:customStyle="1" w:styleId="41">
    <w:name w:val="正文文本首行缩进 2 字符"/>
    <w:basedOn w:val="40"/>
    <w:link w:val="20"/>
    <w:semiHidden/>
    <w:qFormat/>
    <w:uiPriority w:val="99"/>
    <w:rPr>
      <w:rFonts w:ascii="Times New Roman" w:hAnsi="Times New Roman"/>
      <w:kern w:val="2"/>
      <w:sz w:val="21"/>
      <w:szCs w:val="24"/>
    </w:rPr>
  </w:style>
  <w:style w:type="character" w:customStyle="1" w:styleId="42">
    <w:name w:val="未处理的提及1"/>
    <w:basedOn w:val="22"/>
    <w:semiHidden/>
    <w:unhideWhenUsed/>
    <w:qFormat/>
    <w:uiPriority w:val="99"/>
    <w:rPr>
      <w:color w:val="605E5C"/>
      <w:shd w:val="clear" w:color="auto" w:fill="E1DFDD"/>
    </w:rPr>
  </w:style>
  <w:style w:type="paragraph" w:styleId="4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6.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r>
              <a:rPr lang="en-US" altLang="zh-CN"/>
              <a:t>2020</a:t>
            </a:r>
            <a:r>
              <a:rPr lang="zh-CN" altLang="en-US"/>
              <a:t>年</a:t>
            </a:r>
            <a:endParaRPr lang="zh-CN" altLang="en-US"/>
          </a:p>
        </c:rich>
      </c:tx>
      <c:layout/>
      <c:overlay val="0"/>
      <c:spPr>
        <a:noFill/>
        <a:ln>
          <a:noFill/>
        </a:ln>
        <a:effectLst/>
      </c:spPr>
    </c:title>
    <c:autoTitleDeleted val="0"/>
    <c:plotArea>
      <c:layout/>
      <c:pieChart>
        <c:varyColors val="1"/>
        <c:ser>
          <c:idx val="0"/>
          <c:order val="0"/>
          <c:tx>
            <c:strRef>
              <c:f>Sheet1!$B$1</c:f>
              <c:strCache>
                <c:ptCount val="1"/>
                <c:pt idx="0">
                  <c:v>金额</c:v>
                </c:pt>
              </c:strCache>
            </c:strRef>
          </c:tx>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dLbl>
              <c:idx val="0"/>
              <c:layout>
                <c:manualLayout>
                  <c:x val="-0.114535135938197"/>
                  <c:y val="0.00155959477027994"/>
                </c:manualLayout>
              </c:layout>
              <c:tx>
                <c:rich>
                  <a:bodyPr rot="0" spcFirstLastPara="1"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r>
                      <a:rPr lang="en-US" altLang="zh-CN"/>
                      <a:t>943.65</a:t>
                    </a:r>
                    <a:endParaRPr lang="en-US" altLang="zh-CN"/>
                  </a:p>
                </c:rich>
              </c:tx>
              <c:dLblPos val="bestFit"/>
              <c:showLegendKey val="0"/>
              <c:showVal val="1"/>
              <c:showCatName val="0"/>
              <c:showSerName val="0"/>
              <c:showPercent val="0"/>
              <c:showBubbleSize val="0"/>
              <c:extLst>
                <c:ext xmlns:c15="http://schemas.microsoft.com/office/drawing/2012/chart" uri="{CE6537A1-D6FC-4f65-9D91-7224C49458BB}">
                  <c15:layout/>
                </c:ext>
              </c:extLst>
            </c:dLbl>
            <c:dLbl>
              <c:idx val="1"/>
              <c:layout/>
              <c:tx>
                <c:rich>
                  <a:bodyPr rot="0" spcFirstLastPara="1"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r>
                      <a:rPr lang="en-US" altLang="zh-CN"/>
                      <a:t>943.65</a:t>
                    </a:r>
                    <a:endParaRPr lang="en-US" altLang="zh-CN"/>
                  </a:p>
                </c:rich>
              </c:tx>
              <c:dLblPos val="bestFi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Sheet1!$A$2:$A$5</c:f>
              <c:strCache>
                <c:ptCount val="4"/>
                <c:pt idx="0">
                  <c:v>收入</c:v>
                </c:pt>
                <c:pt idx="1">
                  <c:v>支出</c:v>
                </c:pt>
                <c:pt idx="3">
                  <c:v>第四季度</c:v>
                </c:pt>
              </c:strCache>
            </c:strRef>
          </c:cat>
          <c:val>
            <c:numRef>
              <c:f>Sheet1!$B$2:$B$5</c:f>
              <c:numCache>
                <c:formatCode>General</c:formatCode>
                <c:ptCount val="4"/>
                <c:pt idx="0">
                  <c:v>943.65</c:v>
                </c:pt>
                <c:pt idx="1">
                  <c:v>943.65</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egendEntry>
        <c:idx val="3"/>
        <c:delete val="1"/>
      </c:legendEntry>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1"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2020年</c:v>
                </c:pt>
              </c:strCache>
            </c:strRef>
          </c:tx>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Sheet1!$A$2:$A$5</c:f>
              <c:strCache>
                <c:ptCount val="1"/>
                <c:pt idx="0">
                  <c:v>收入</c:v>
                </c:pt>
              </c:strCache>
            </c:strRef>
          </c:cat>
          <c:val>
            <c:numRef>
              <c:f>Sheet1!$B$2:$B$5</c:f>
              <c:numCache>
                <c:formatCode>0%</c:formatCode>
                <c:ptCount val="4"/>
                <c:pt idx="0">
                  <c:v>1</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1"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2020年</c:v>
                </c:pt>
              </c:strCache>
            </c:strRef>
          </c:tx>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dLbl>
              <c:idx val="1"/>
              <c:layout/>
              <c:tx>
                <c:rich>
                  <a:bodyPr rot="0" spcFirstLastPara="1"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t>83%</a:t>
                    </a:r>
                    <a:endParaRPr lang="en-US" altLang="zh-CN" baseline="0"/>
                  </a:p>
                </c:rich>
              </c:tx>
              <c:dLblPos val="bestFit"/>
              <c:showLegendKey val="0"/>
              <c:showVal val="0"/>
              <c:showCatName val="0"/>
              <c:showSerName val="0"/>
              <c:showPercent val="1"/>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Sheet1!$A$2:$A$5</c:f>
              <c:strCache>
                <c:ptCount val="2"/>
                <c:pt idx="0">
                  <c:v>基本支出</c:v>
                </c:pt>
                <c:pt idx="1">
                  <c:v>项目支出</c:v>
                </c:pt>
              </c:strCache>
            </c:strRef>
          </c:cat>
          <c:val>
            <c:numRef>
              <c:f>Sheet1!$B$2:$B$5</c:f>
              <c:numCache>
                <c:formatCode>General</c:formatCode>
                <c:ptCount val="4"/>
                <c:pt idx="0">
                  <c:v>142.87</c:v>
                </c:pt>
                <c:pt idx="1">
                  <c:v>705.85</c:v>
                </c:pt>
                <c:pt idx="3">
                  <c:v>1.2</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r>
              <a:rPr lang="en-US" altLang="zh-CN"/>
              <a:t>2020</a:t>
            </a:r>
            <a:r>
              <a:rPr lang="zh-CN" altLang="en-US"/>
              <a:t>年</a:t>
            </a:r>
            <a:endParaRPr lang="zh-CN" altLang="en-US"/>
          </a:p>
        </c:rich>
      </c:tx>
      <c:layout/>
      <c:overlay val="0"/>
      <c:spPr>
        <a:noFill/>
        <a:ln>
          <a:noFill/>
        </a:ln>
        <a:effectLst/>
      </c:spPr>
    </c:title>
    <c:autoTitleDeleted val="0"/>
    <c:plotArea>
      <c:layout/>
      <c:barChart>
        <c:barDir val="col"/>
        <c:grouping val="stacked"/>
        <c:varyColors val="0"/>
        <c:ser>
          <c:idx val="0"/>
          <c:order val="0"/>
          <c:tx>
            <c:strRef>
              <c:f>Sheet1!$B$1</c:f>
              <c:strCache>
                <c:ptCount val="1"/>
                <c:pt idx="0">
                  <c:v>收入</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Sheet1!$A$2:$A$6</c:f>
              <c:strCache>
                <c:ptCount val="4"/>
                <c:pt idx="0">
                  <c:v>2019年</c:v>
                </c:pt>
                <c:pt idx="1">
                  <c:v>2019年</c:v>
                </c:pt>
                <c:pt idx="2">
                  <c:v>2020年</c:v>
                </c:pt>
                <c:pt idx="3">
                  <c:v>2020年</c:v>
                </c:pt>
              </c:strCache>
            </c:strRef>
          </c:cat>
          <c:val>
            <c:numRef>
              <c:f>Sheet1!$B$2:$B$6</c:f>
              <c:numCache>
                <c:formatCode>General</c:formatCode>
                <c:ptCount val="5"/>
                <c:pt idx="0">
                  <c:v>744.78</c:v>
                </c:pt>
                <c:pt idx="2">
                  <c:v>943.65</c:v>
                </c:pt>
              </c:numCache>
            </c:numRef>
          </c:val>
        </c:ser>
        <c:ser>
          <c:idx val="1"/>
          <c:order val="1"/>
          <c:tx>
            <c:strRef>
              <c:f>Sheet1!$C$1</c:f>
              <c:strCache>
                <c:ptCount val="1"/>
                <c:pt idx="0">
                  <c:v>支出</c:v>
                </c:pt>
              </c:strCache>
            </c:strRef>
          </c:tx>
          <c:spPr>
            <a:solidFill>
              <a:schemeClr val="accent2"/>
            </a:solidFill>
            <a:ln>
              <a:noFill/>
            </a:ln>
            <a:effectLst/>
          </c:spPr>
          <c:invertIfNegative val="0"/>
          <c:dLbls>
            <c:delete val="1"/>
          </c:dLbls>
          <c:cat>
            <c:strRef>
              <c:f>Sheet1!$A$2:$A$6</c:f>
              <c:strCache>
                <c:ptCount val="4"/>
                <c:pt idx="0">
                  <c:v>2019年</c:v>
                </c:pt>
                <c:pt idx="1">
                  <c:v>2019年</c:v>
                </c:pt>
                <c:pt idx="2">
                  <c:v>2020年</c:v>
                </c:pt>
                <c:pt idx="3">
                  <c:v>2020年</c:v>
                </c:pt>
              </c:strCache>
            </c:strRef>
          </c:cat>
          <c:val>
            <c:numRef>
              <c:f>Sheet1!$C$2:$C$6</c:f>
              <c:numCache>
                <c:formatCode>General</c:formatCode>
                <c:ptCount val="5"/>
                <c:pt idx="1">
                  <c:v>744.78</c:v>
                </c:pt>
                <c:pt idx="3">
                  <c:v>943.65</c:v>
                </c:pt>
              </c:numCache>
            </c:numRef>
          </c:val>
        </c:ser>
        <c:ser>
          <c:idx val="2"/>
          <c:order val="2"/>
          <c:tx>
            <c:strRef>
              <c:f>Sheet1!$D$1</c:f>
              <c:strCache>
                <c:ptCount val="1"/>
                <c:pt idx="0">
                  <c:v>列1</c:v>
                </c:pt>
              </c:strCache>
            </c:strRef>
          </c:tx>
          <c:spPr>
            <a:solidFill>
              <a:schemeClr val="accent3"/>
            </a:solidFill>
            <a:ln>
              <a:noFill/>
            </a:ln>
            <a:effectLst/>
          </c:spPr>
          <c:invertIfNegative val="0"/>
          <c:dLbls>
            <c:delete val="1"/>
          </c:dLbls>
          <c:cat>
            <c:strRef>
              <c:f>Sheet1!$A$2:$A$6</c:f>
              <c:strCache>
                <c:ptCount val="4"/>
                <c:pt idx="0">
                  <c:v>2019年</c:v>
                </c:pt>
                <c:pt idx="1">
                  <c:v>2019年</c:v>
                </c:pt>
                <c:pt idx="2">
                  <c:v>2020年</c:v>
                </c:pt>
                <c:pt idx="3">
                  <c:v>2020年</c:v>
                </c:pt>
              </c:strCache>
            </c:strRef>
          </c:cat>
          <c:val>
            <c:numRef>
              <c:f>Sheet1!$D$2:$D$6</c:f>
              <c:numCache>
                <c:formatCode>General</c:formatCode>
                <c:ptCount val="5"/>
              </c:numCache>
            </c:numRef>
          </c:val>
        </c:ser>
        <c:ser>
          <c:idx val="3"/>
          <c:order val="3"/>
          <c:tx>
            <c:strRef>
              <c:f>Sheet1!$E$1</c:f>
              <c:strCache>
                <c:ptCount val="1"/>
                <c:pt idx="0">
                  <c:v>列2</c:v>
                </c:pt>
              </c:strCache>
            </c:strRef>
          </c:tx>
          <c:spPr>
            <a:solidFill>
              <a:schemeClr val="accent4"/>
            </a:solidFill>
            <a:ln>
              <a:noFill/>
            </a:ln>
            <a:effectLst/>
          </c:spPr>
          <c:invertIfNegative val="0"/>
          <c:dLbls>
            <c:delete val="1"/>
          </c:dLbls>
          <c:cat>
            <c:strRef>
              <c:f>Sheet1!$A$2:$A$6</c:f>
              <c:strCache>
                <c:ptCount val="4"/>
                <c:pt idx="0">
                  <c:v>2019年</c:v>
                </c:pt>
                <c:pt idx="1">
                  <c:v>2019年</c:v>
                </c:pt>
                <c:pt idx="2">
                  <c:v>2020年</c:v>
                </c:pt>
                <c:pt idx="3">
                  <c:v>2020年</c:v>
                </c:pt>
              </c:strCache>
            </c:strRef>
          </c:cat>
          <c:val>
            <c:numRef>
              <c:f>Sheet1!$E$2:$E$6</c:f>
              <c:numCache>
                <c:formatCode>General</c:formatCode>
                <c:ptCount val="5"/>
              </c:numCache>
            </c:numRef>
          </c:val>
        </c:ser>
        <c:dLbls>
          <c:showLegendKey val="0"/>
          <c:showVal val="0"/>
          <c:showCatName val="0"/>
          <c:showSerName val="0"/>
          <c:showPercent val="0"/>
          <c:showBubbleSize val="0"/>
        </c:dLbls>
        <c:gapWidth val="150"/>
        <c:overlap val="100"/>
        <c:axId val="150042112"/>
        <c:axId val="150043648"/>
      </c:barChart>
      <c:catAx>
        <c:axId val="1500421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50043648"/>
        <c:crosses val="autoZero"/>
        <c:auto val="1"/>
        <c:lblAlgn val="ctr"/>
        <c:lblOffset val="100"/>
        <c:noMultiLvlLbl val="0"/>
      </c:catAx>
      <c:valAx>
        <c:axId val="150043648"/>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6350" cap="flat" cmpd="sng" algn="ctr">
            <a:noFill/>
            <a:prstDash val="solid"/>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5004211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r>
              <a:rPr lang="en-US" altLang="zh-CN"/>
              <a:t>2020</a:t>
            </a:r>
            <a:r>
              <a:rPr lang="zh-CN" altLang="en-US"/>
              <a:t>年</a:t>
            </a:r>
            <a:endParaRPr lang="zh-CN" altLang="en-US"/>
          </a:p>
        </c:rich>
      </c:tx>
      <c:layout/>
      <c:overlay val="0"/>
      <c:spPr>
        <a:noFill/>
        <a:ln>
          <a:noFill/>
        </a:ln>
        <a:effectLst/>
      </c:spPr>
    </c:title>
    <c:autoTitleDeleted val="0"/>
    <c:plotArea>
      <c:layout/>
      <c:barChart>
        <c:barDir val="col"/>
        <c:grouping val="stacked"/>
        <c:varyColors val="0"/>
        <c:ser>
          <c:idx val="0"/>
          <c:order val="0"/>
          <c:tx>
            <c:strRef>
              <c:f>Sheet1!$B$1</c:f>
              <c:strCache>
                <c:ptCount val="1"/>
                <c:pt idx="0">
                  <c:v>2019年</c:v>
                </c:pt>
              </c:strCache>
            </c:strRef>
          </c:tx>
          <c:spPr>
            <a:solidFill>
              <a:schemeClr val="accent1"/>
            </a:solidFill>
            <a:ln>
              <a:noFill/>
            </a:ln>
            <a:effectLst/>
          </c:spPr>
          <c:invertIfNegative val="0"/>
          <c:dLbls>
            <c:delete val="1"/>
          </c:dLbls>
          <c:cat>
            <c:strRef>
              <c:f>Sheet1!$A$2:$A$5</c:f>
              <c:strCache>
                <c:ptCount val="2"/>
                <c:pt idx="0">
                  <c:v>支出</c:v>
                </c:pt>
                <c:pt idx="1">
                  <c:v>支出</c:v>
                </c:pt>
              </c:strCache>
            </c:strRef>
          </c:cat>
          <c:val>
            <c:numRef>
              <c:f>Sheet1!$B$2:$B$5</c:f>
              <c:numCache>
                <c:formatCode>General</c:formatCode>
                <c:ptCount val="4"/>
                <c:pt idx="0">
                  <c:v>596.76</c:v>
                </c:pt>
              </c:numCache>
            </c:numRef>
          </c:val>
        </c:ser>
        <c:ser>
          <c:idx val="1"/>
          <c:order val="1"/>
          <c:tx>
            <c:strRef>
              <c:f>Sheet1!$C$1</c:f>
              <c:strCache>
                <c:ptCount val="1"/>
                <c:pt idx="0">
                  <c:v>2020年</c:v>
                </c:pt>
              </c:strCache>
            </c:strRef>
          </c:tx>
          <c:spPr>
            <a:solidFill>
              <a:schemeClr val="accent2"/>
            </a:solidFill>
            <a:ln>
              <a:noFill/>
            </a:ln>
            <a:effectLst/>
          </c:spPr>
          <c:invertIfNegative val="0"/>
          <c:dLbls>
            <c:delete val="1"/>
          </c:dLbls>
          <c:cat>
            <c:strRef>
              <c:f>Sheet1!$A$2:$A$5</c:f>
              <c:strCache>
                <c:ptCount val="2"/>
                <c:pt idx="0">
                  <c:v>支出</c:v>
                </c:pt>
                <c:pt idx="1">
                  <c:v>支出</c:v>
                </c:pt>
              </c:strCache>
            </c:strRef>
          </c:cat>
          <c:val>
            <c:numRef>
              <c:f>Sheet1!$C$2:$C$5</c:f>
              <c:numCache>
                <c:formatCode>General</c:formatCode>
                <c:ptCount val="4"/>
                <c:pt idx="1">
                  <c:v>848.72</c:v>
                </c:pt>
              </c:numCache>
            </c:numRef>
          </c:val>
        </c:ser>
        <c:ser>
          <c:idx val="2"/>
          <c:order val="2"/>
          <c:tx>
            <c:strRef>
              <c:f>Sheet1!$D$1</c:f>
              <c:strCache>
                <c:ptCount val="1"/>
                <c:pt idx="0">
                  <c:v>列1</c:v>
                </c:pt>
              </c:strCache>
            </c:strRef>
          </c:tx>
          <c:spPr>
            <a:solidFill>
              <a:schemeClr val="accent3"/>
            </a:solidFill>
            <a:ln>
              <a:noFill/>
            </a:ln>
            <a:effectLst/>
          </c:spPr>
          <c:invertIfNegative val="0"/>
          <c:dLbls>
            <c:delete val="1"/>
          </c:dLbls>
          <c:cat>
            <c:strRef>
              <c:f>Sheet1!$A$2:$A$5</c:f>
              <c:strCache>
                <c:ptCount val="2"/>
                <c:pt idx="0">
                  <c:v>支出</c:v>
                </c:pt>
                <c:pt idx="1">
                  <c:v>支出</c:v>
                </c:pt>
              </c:strCache>
            </c:strRef>
          </c:cat>
          <c:val>
            <c:numRef>
              <c:f>Sheet1!$D$2:$D$5</c:f>
              <c:numCache>
                <c:formatCode>General</c:formatCode>
                <c:ptCount val="4"/>
              </c:numCache>
            </c:numRef>
          </c:val>
        </c:ser>
        <c:dLbls>
          <c:showLegendKey val="0"/>
          <c:showVal val="0"/>
          <c:showCatName val="0"/>
          <c:showSerName val="0"/>
          <c:showPercent val="0"/>
          <c:showBubbleSize val="0"/>
        </c:dLbls>
        <c:gapWidth val="150"/>
        <c:overlap val="100"/>
        <c:axId val="150140800"/>
        <c:axId val="150142336"/>
      </c:barChart>
      <c:catAx>
        <c:axId val="1501408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50142336"/>
        <c:crosses val="autoZero"/>
        <c:auto val="1"/>
        <c:lblAlgn val="ctr"/>
        <c:lblOffset val="100"/>
        <c:noMultiLvlLbl val="0"/>
      </c:catAx>
      <c:valAx>
        <c:axId val="150142336"/>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6350" cap="flat" cmpd="sng" algn="ctr">
            <a:noFill/>
            <a:prstDash val="solid"/>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50140800"/>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noFill/>
      <a:prstDash val="solid"/>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1"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2020年</c:v>
                </c:pt>
              </c:strCache>
            </c:strRef>
          </c:tx>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dLbl>
              <c:idx val="1"/>
              <c:layout>
                <c:manualLayout>
                  <c:x val="-0.0616206669687598"/>
                  <c:y val="0.015604690280588"/>
                </c:manualLayout>
              </c:layout>
              <c:dLblPos val="bestFit"/>
              <c:showLegendKey val="0"/>
              <c:showVal val="1"/>
              <c:showCatName val="0"/>
              <c:showSerName val="0"/>
              <c:showPercent val="1"/>
              <c:showBubbleSize val="0"/>
              <c:extLst>
                <c:ext xmlns:c15="http://schemas.microsoft.com/office/drawing/2012/chart" uri="{CE6537A1-D6FC-4f65-9D91-7224C49458BB}">
                  <c15:layout/>
                </c:ext>
              </c:extLst>
            </c:dLbl>
            <c:dLbl>
              <c:idx val="3"/>
              <c:delete val="1"/>
            </c:dLbl>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Sheet1!$A$2:$A$5</c:f>
              <c:strCache>
                <c:ptCount val="3"/>
                <c:pt idx="0">
                  <c:v>社会保障和就业支出</c:v>
                </c:pt>
                <c:pt idx="1">
                  <c:v>卫生健康支出</c:v>
                </c:pt>
                <c:pt idx="2">
                  <c:v>住房保障支出</c:v>
                </c:pt>
              </c:strCache>
            </c:strRef>
          </c:cat>
          <c:val>
            <c:numRef>
              <c:f>Sheet1!$B$2:$B$5</c:f>
              <c:numCache>
                <c:formatCode>General</c:formatCode>
                <c:ptCount val="4"/>
                <c:pt idx="0">
                  <c:v>822.57</c:v>
                </c:pt>
                <c:pt idx="1">
                  <c:v>15.15</c:v>
                </c:pt>
                <c:pt idx="2">
                  <c:v>11</c:v>
                </c:pt>
                <c:pt idx="3">
                  <c:v>1.2</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四川省财政厅</Company>
  <Pages>68</Pages>
  <Words>4461</Words>
  <Characters>25428</Characters>
  <Lines>211</Lines>
  <Paragraphs>59</Paragraphs>
  <TotalTime>43</TotalTime>
  <ScaleCrop>false</ScaleCrop>
  <LinksUpToDate>false</LinksUpToDate>
  <CharactersWithSpaces>29830</CharactersWithSpaces>
  <Application>WPS Office_11.8.2.1116_F1E327BC-269C-435d-A152-05C5408002CA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2021-09-17T09:34:00Z</dcterms:created>
  <dc:creator>曹颖</dc:creator>
  <cp:lastModifiedBy>user</cp:lastModifiedBy>
  <cp:lastPrinted>2021-07-29T11:56:00Z</cp:lastPrinted>
  <dcterms:modified xsi:type="dcterms:W3CDTF">2023-07-13T20:49:42Z</dcterms:modified>
  <dc:title>阿坝州部门决算说明</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2052-11.8.2.1116</vt:lpwstr>
  </property>
  <property fmtid="{D5CDD505-2E9C-101B-9397-08002B2CF9AE}" pid="3" name="ICV">
    <vt:lpwstr>BD93AA65C3C44618B19E4BDB50581BBB</vt:lpwstr>
  </property>
</Properties>
</file>