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ascii="方正小标宋简体" w:eastAsia="方正小标宋简体"/>
          <w:color w:val="000000"/>
          <w:sz w:val="72"/>
          <w:szCs w:val="72"/>
        </w:rPr>
      </w:pPr>
      <w:bookmarkStart w:id="0" w:name="_Toc15306267"/>
    </w:p>
    <w:p>
      <w:pPr>
        <w:spacing w:line="576" w:lineRule="exact"/>
        <w:jc w:val="center"/>
        <w:outlineLvl w:val="0"/>
        <w:rPr>
          <w:rFonts w:ascii="方正小标宋简体" w:eastAsia="方正小标宋简体"/>
          <w:color w:val="000000"/>
          <w:sz w:val="72"/>
          <w:szCs w:val="72"/>
        </w:rPr>
      </w:pPr>
    </w:p>
    <w:p>
      <w:pPr>
        <w:spacing w:line="576" w:lineRule="exact"/>
        <w:jc w:val="center"/>
        <w:outlineLvl w:val="0"/>
        <w:rPr>
          <w:rFonts w:ascii="方正小标宋简体" w:hAnsi="方正小标宋简体" w:eastAsia="方正小标宋简体" w:cs="方正小标宋简体"/>
          <w:color w:val="000000"/>
          <w:sz w:val="72"/>
          <w:szCs w:val="72"/>
        </w:rPr>
      </w:pPr>
    </w:p>
    <w:p>
      <w:pPr>
        <w:jc w:val="center"/>
        <w:rPr>
          <w:rFonts w:ascii="方正小标宋简体" w:hAnsi="方正小标宋简体" w:eastAsia="方正小标宋简体" w:cs="方正小标宋简体"/>
          <w:sz w:val="72"/>
          <w:szCs w:val="72"/>
        </w:rPr>
      </w:pPr>
      <w:bookmarkStart w:id="1" w:name="_Toc15377193"/>
      <w:bookmarkStart w:id="2" w:name="_Toc15396597"/>
      <w:bookmarkStart w:id="3" w:name="_Toc15378441"/>
      <w:bookmarkStart w:id="4" w:name="_Toc15396475"/>
      <w:bookmarkStart w:id="5" w:name="_Toc15377425"/>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598"/>
      <w:bookmarkStart w:id="8" w:name="_Toc15377194"/>
      <w:bookmarkStart w:id="9" w:name="_Toc15377426"/>
      <w:bookmarkStart w:id="10" w:name="_Toc15396476"/>
      <w:r>
        <w:rPr>
          <w:rFonts w:hint="eastAsia" w:ascii="方正小标宋简体" w:hAnsi="方正小标宋简体" w:eastAsia="方正小标宋简体" w:cs="方正小标宋简体"/>
          <w:sz w:val="72"/>
          <w:szCs w:val="72"/>
        </w:rPr>
        <w:t>四川省茂县</w:t>
      </w:r>
      <w:bookmarkEnd w:id="0"/>
      <w:bookmarkStart w:id="11" w:name="_Toc15306268"/>
      <w:r>
        <w:rPr>
          <w:rFonts w:hint="eastAsia" w:ascii="方正小标宋简体" w:hAnsi="方正小标宋简体" w:eastAsia="方正小标宋简体" w:cs="方正小标宋简体"/>
          <w:sz w:val="72"/>
          <w:szCs w:val="72"/>
        </w:rPr>
        <w:t>退役军人事务局行政部门决算</w:t>
      </w:r>
      <w:bookmarkEnd w:id="6"/>
      <w:bookmarkEnd w:id="7"/>
      <w:bookmarkEnd w:id="8"/>
      <w:bookmarkEnd w:id="9"/>
      <w:bookmarkEnd w:id="10"/>
      <w:bookmarkEnd w:id="11"/>
    </w:p>
    <w:p>
      <w:pPr>
        <w:widowControl/>
        <w:spacing w:line="576" w:lineRule="exact"/>
        <w:jc w:val="center"/>
        <w:rPr>
          <w:rFonts w:ascii="方正小标宋简体" w:eastAsia="方正小标宋简体"/>
          <w:color w:val="000000"/>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autoSpaceDE w:val="0"/>
        <w:autoSpaceDN w:val="0"/>
        <w:spacing w:line="576" w:lineRule="exact"/>
        <w:ind w:left="420" w:left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保密审查情况：</w:t>
      </w:r>
      <w:r>
        <w:rPr>
          <w:rFonts w:hint="eastAsia" w:ascii="仿宋_GB2312" w:hAnsi="仿宋_GB2312" w:eastAsia="仿宋_GB2312" w:cs="仿宋_GB2312"/>
          <w:sz w:val="32"/>
          <w:szCs w:val="32"/>
        </w:rPr>
        <w:t>已审查，内容审定</w:t>
      </w:r>
    </w:p>
    <w:p>
      <w:pPr>
        <w:autoSpaceDE w:val="0"/>
        <w:autoSpaceDN w:val="0"/>
        <w:spacing w:line="576" w:lineRule="exact"/>
        <w:ind w:left="420" w:left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部门主要负责人审签情况：</w:t>
      </w:r>
      <w:r>
        <w:rPr>
          <w:rFonts w:hint="eastAsia" w:ascii="仿宋_GB2312" w:hAnsi="仿宋_GB2312" w:eastAsia="仿宋_GB2312" w:cs="仿宋_GB2312"/>
          <w:sz w:val="32"/>
          <w:szCs w:val="32"/>
        </w:rPr>
        <w:t>已审签，同意对外公开</w:t>
      </w:r>
    </w:p>
    <w:p>
      <w:pPr>
        <w:widowControl/>
        <w:spacing w:line="576" w:lineRule="exact"/>
        <w:jc w:val="center"/>
        <w:rPr>
          <w:rFonts w:ascii="方正小标宋简体" w:eastAsia="方正小标宋简体"/>
          <w:color w:val="000000"/>
          <w:sz w:val="36"/>
          <w:szCs w:val="36"/>
        </w:rPr>
      </w:pPr>
    </w:p>
    <w:p>
      <w:pPr>
        <w:widowControl/>
        <w:spacing w:line="576" w:lineRule="exact"/>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spacing w:before="0" w:after="0" w:line="576" w:lineRule="exact"/>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 xml:space="preserve"> 日</w:t>
      </w:r>
    </w:p>
    <w:p>
      <w:pPr>
        <w:pStyle w:val="13"/>
        <w:tabs>
          <w:tab w:val="right" w:leader="dot" w:pos="8296"/>
        </w:tabs>
        <w:rPr>
          <w:rFonts w:asciiTheme="minorHAnsi" w:hAnsiTheme="minorHAnsi" w:eastAsiaTheme="minorEastAsia" w:cstheme="minorBidi"/>
          <w:b w:val="0"/>
          <w:bCs w:val="0"/>
          <w:caps w:val="0"/>
          <w:sz w:val="21"/>
          <w:szCs w:val="22"/>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黑体" w:eastAsia="黑体"/>
          <w:b w:val="0"/>
        </w:rPr>
        <w:t xml:space="preserve">第一部分 </w:t>
      </w:r>
      <w:r>
        <w:rPr>
          <w:rFonts w:ascii="黑体" w:eastAsia="黑体"/>
          <w:b w:val="0"/>
          <w:bCs w:val="0"/>
        </w:rPr>
        <w:t>部门概况</w:t>
      </w:r>
      <w:r>
        <w:tab/>
      </w:r>
      <w:r>
        <w:fldChar w:fldCharType="begin"/>
      </w:r>
      <w:r>
        <w:instrText xml:space="preserve"> PAGEREF _Toc114821442 \h </w:instrText>
      </w:r>
      <w:r>
        <w:fldChar w:fldCharType="separate"/>
      </w:r>
      <w:r>
        <w:t>5</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_Toc114821443 \h </w:instrText>
      </w:r>
      <w:r>
        <w:fldChar w:fldCharType="separate"/>
      </w:r>
      <w:r>
        <w:t>5</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color w:val="000000"/>
        </w:rPr>
        <w:t>（一）2021年重点工作完成情况</w:t>
      </w:r>
      <w:r>
        <w:tab/>
      </w:r>
      <w:r>
        <w:fldChar w:fldCharType="begin"/>
      </w:r>
      <w:r>
        <w:instrText xml:space="preserve"> PAGEREF _Toc114821444 \h </w:instrText>
      </w:r>
      <w:r>
        <w:fldChar w:fldCharType="separate"/>
      </w:r>
      <w:r>
        <w:t>5</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_Toc114821445 \h </w:instrText>
      </w:r>
      <w:r>
        <w:fldChar w:fldCharType="separate"/>
      </w:r>
      <w:r>
        <w:t>5</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b w:val="0"/>
          <w:bCs w:val="0"/>
        </w:rPr>
        <w:t>2021年度部门决算情况说明</w:t>
      </w:r>
      <w:r>
        <w:tab/>
      </w:r>
      <w:r>
        <w:fldChar w:fldCharType="begin"/>
      </w:r>
      <w:r>
        <w:instrText xml:space="preserve"> PAGEREF _Toc114821446 \h </w:instrText>
      </w:r>
      <w:r>
        <w:fldChar w:fldCharType="separate"/>
      </w:r>
      <w:r>
        <w:t>6</w:t>
      </w:r>
      <w:r>
        <w:fldChar w:fldCharType="end"/>
      </w:r>
    </w:p>
    <w:p>
      <w:pPr>
        <w:pStyle w:val="17"/>
        <w:tabs>
          <w:tab w:val="left" w:pos="840"/>
          <w:tab w:val="right" w:leader="dot" w:pos="8296"/>
        </w:tabs>
        <w:rPr>
          <w:rFonts w:asciiTheme="minorHAnsi" w:hAnsiTheme="minorHAnsi" w:eastAsiaTheme="minorEastAsia" w:cstheme="minorBidi"/>
          <w:smallCaps w:val="0"/>
          <w:sz w:val="21"/>
          <w:szCs w:val="22"/>
        </w:rPr>
      </w:pPr>
      <w:r>
        <w:rPr>
          <w:rFonts w:ascii="黑体" w:hAnsi="Cambria" w:eastAsia="黑体"/>
          <w:bCs/>
        </w:rPr>
        <w:t>一、</w:t>
      </w:r>
      <w:r>
        <w:rPr>
          <w:rFonts w:asciiTheme="minorHAnsi" w:hAnsiTheme="minorHAnsi" w:eastAsiaTheme="minorEastAsia" w:cstheme="minorBidi"/>
          <w:smallCaps w:val="0"/>
          <w:sz w:val="21"/>
          <w:szCs w:val="22"/>
        </w:rPr>
        <w:tab/>
      </w:r>
      <w:r>
        <w:rPr>
          <w:rFonts w:ascii="黑体" w:eastAsia="黑体"/>
          <w:color w:val="000000"/>
        </w:rPr>
        <w:t>收</w:t>
      </w:r>
      <w:r>
        <w:rPr>
          <w:rFonts w:ascii="黑体" w:hAnsi="Cambria" w:eastAsia="黑体"/>
          <w:bCs/>
        </w:rPr>
        <w:t>入支出决算总体情况说明</w:t>
      </w:r>
      <w:r>
        <w:tab/>
      </w:r>
      <w:r>
        <w:fldChar w:fldCharType="begin"/>
      </w:r>
      <w:r>
        <w:instrText xml:space="preserve"> PAGEREF _Toc114821447 \h </w:instrText>
      </w:r>
      <w:r>
        <w:fldChar w:fldCharType="separate"/>
      </w:r>
      <w:r>
        <w:t>6</w:t>
      </w:r>
      <w:r>
        <w:fldChar w:fldCharType="end"/>
      </w:r>
    </w:p>
    <w:p>
      <w:pPr>
        <w:pStyle w:val="17"/>
        <w:tabs>
          <w:tab w:val="left" w:pos="840"/>
          <w:tab w:val="right" w:leader="dot" w:pos="8296"/>
        </w:tabs>
        <w:rPr>
          <w:rFonts w:asciiTheme="minorHAnsi" w:hAnsiTheme="minorHAnsi" w:eastAsiaTheme="minorEastAsia" w:cstheme="minorBidi"/>
          <w:smallCaps w:val="0"/>
          <w:sz w:val="21"/>
          <w:szCs w:val="22"/>
        </w:rPr>
      </w:pPr>
      <w:r>
        <w:rPr>
          <w:rFonts w:ascii="黑体" w:hAnsi="Cambria" w:eastAsia="黑体"/>
          <w:bCs/>
        </w:rPr>
        <w:t>二、</w:t>
      </w:r>
      <w:r>
        <w:rPr>
          <w:rFonts w:asciiTheme="minorHAnsi" w:hAnsiTheme="minorHAnsi" w:eastAsiaTheme="minorEastAsia" w:cstheme="minorBidi"/>
          <w:smallCaps w:val="0"/>
          <w:sz w:val="21"/>
          <w:szCs w:val="22"/>
        </w:rPr>
        <w:tab/>
      </w:r>
      <w:r>
        <w:rPr>
          <w:rFonts w:ascii="黑体" w:eastAsia="黑体"/>
          <w:color w:val="000000"/>
        </w:rPr>
        <w:t>收</w:t>
      </w:r>
      <w:r>
        <w:rPr>
          <w:rFonts w:ascii="黑体" w:hAnsi="Cambria" w:eastAsia="黑体"/>
          <w:bCs/>
        </w:rPr>
        <w:t>入决算情况说明</w:t>
      </w:r>
      <w:r>
        <w:tab/>
      </w:r>
      <w:r>
        <w:fldChar w:fldCharType="begin"/>
      </w:r>
      <w:r>
        <w:instrText xml:space="preserve"> PAGEREF _Toc114821448 \h </w:instrText>
      </w:r>
      <w:r>
        <w:fldChar w:fldCharType="separate"/>
      </w:r>
      <w:r>
        <w:t>6</w:t>
      </w:r>
      <w:r>
        <w:fldChar w:fldCharType="end"/>
      </w:r>
    </w:p>
    <w:p>
      <w:pPr>
        <w:pStyle w:val="17"/>
        <w:tabs>
          <w:tab w:val="left" w:pos="840"/>
          <w:tab w:val="right" w:leader="dot" w:pos="8296"/>
        </w:tabs>
        <w:rPr>
          <w:rFonts w:asciiTheme="minorHAnsi" w:hAnsiTheme="minorHAnsi" w:eastAsiaTheme="minorEastAsia" w:cstheme="minorBidi"/>
          <w:smallCaps w:val="0"/>
          <w:sz w:val="21"/>
          <w:szCs w:val="22"/>
        </w:rPr>
      </w:pPr>
      <w:r>
        <w:rPr>
          <w:rFonts w:ascii="黑体" w:hAnsi="Cambria" w:eastAsia="黑体"/>
          <w:bCs/>
        </w:rPr>
        <w:t>三、</w:t>
      </w:r>
      <w:r>
        <w:rPr>
          <w:rFonts w:asciiTheme="minorHAnsi" w:hAnsiTheme="minorHAnsi" w:eastAsiaTheme="minorEastAsia" w:cstheme="minorBidi"/>
          <w:smallCaps w:val="0"/>
          <w:sz w:val="21"/>
          <w:szCs w:val="22"/>
        </w:rPr>
        <w:tab/>
      </w:r>
      <w:r>
        <w:rPr>
          <w:rFonts w:ascii="黑体" w:eastAsia="黑体"/>
          <w:color w:val="000000"/>
        </w:rPr>
        <w:t>支</w:t>
      </w:r>
      <w:r>
        <w:rPr>
          <w:rFonts w:ascii="黑体" w:hAnsi="Cambria" w:eastAsia="黑体"/>
          <w:bCs/>
        </w:rPr>
        <w:t>出决算情况说明</w:t>
      </w:r>
      <w:r>
        <w:tab/>
      </w:r>
      <w:r>
        <w:fldChar w:fldCharType="begin"/>
      </w:r>
      <w:r>
        <w:instrText xml:space="preserve"> PAGEREF _Toc114821449 \h </w:instrText>
      </w:r>
      <w:r>
        <w:fldChar w:fldCharType="separate"/>
      </w:r>
      <w:r>
        <w:t>7</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四、财</w:t>
      </w:r>
      <w:r>
        <w:rPr>
          <w:rFonts w:ascii="黑体" w:hAnsi="Cambria" w:eastAsia="黑体"/>
          <w:bCs/>
        </w:rPr>
        <w:t>政拨款收入支出决算总体情况说明</w:t>
      </w:r>
      <w:r>
        <w:tab/>
      </w:r>
      <w:r>
        <w:fldChar w:fldCharType="begin"/>
      </w:r>
      <w:r>
        <w:instrText xml:space="preserve"> PAGEREF _Toc114821450 \h </w:instrText>
      </w:r>
      <w:r>
        <w:fldChar w:fldCharType="separate"/>
      </w:r>
      <w:r>
        <w:t>7</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五、</w:t>
      </w:r>
      <w:r>
        <w:rPr>
          <w:rFonts w:ascii="黑体" w:eastAsia="黑体"/>
          <w:b/>
          <w:color w:val="000000"/>
        </w:rPr>
        <w:t>一</w:t>
      </w:r>
      <w:r>
        <w:rPr>
          <w:rFonts w:ascii="黑体" w:hAnsi="Cambria" w:eastAsia="黑体"/>
          <w:bCs/>
        </w:rPr>
        <w:t>般公共预算财政拨款支出决算情况说明</w:t>
      </w:r>
      <w:r>
        <w:tab/>
      </w:r>
      <w:r>
        <w:fldChar w:fldCharType="begin"/>
      </w:r>
      <w:r>
        <w:instrText xml:space="preserve"> PAGEREF _Toc114821451 \h </w:instrText>
      </w:r>
      <w:r>
        <w:fldChar w:fldCharType="separate"/>
      </w:r>
      <w:r>
        <w:t>8</w:t>
      </w:r>
      <w: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color w:val="000000"/>
        </w:rPr>
        <w:t>（</w:t>
      </w:r>
      <w:r>
        <w:rPr>
          <w:rFonts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_Toc114821452 \h </w:instrText>
      </w:r>
      <w:r>
        <w:rPr>
          <w:i w:val="0"/>
          <w:iCs w:val="0"/>
        </w:rPr>
        <w:fldChar w:fldCharType="separate"/>
      </w:r>
      <w:r>
        <w:rPr>
          <w:i w:val="0"/>
          <w:iCs w:val="0"/>
        </w:rPr>
        <w:t>8</w:t>
      </w:r>
      <w:r>
        <w:rPr>
          <w:i w:val="0"/>
          <w:iCs w:val="0"/>
        </w:rP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_Toc114821453 \h </w:instrText>
      </w:r>
      <w:r>
        <w:rPr>
          <w:i w:val="0"/>
          <w:iCs w:val="0"/>
        </w:rPr>
        <w:fldChar w:fldCharType="separate"/>
      </w:r>
      <w:r>
        <w:rPr>
          <w:i w:val="0"/>
          <w:iCs w:val="0"/>
        </w:rPr>
        <w:t>8</w:t>
      </w:r>
      <w:r>
        <w:rPr>
          <w:i w:val="0"/>
          <w:iCs w:val="0"/>
        </w:rP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（三）一般公共预算财政拨款支出决算具体情况</w:t>
      </w:r>
      <w:r>
        <w:tab/>
      </w:r>
      <w:r>
        <w:fldChar w:fldCharType="begin"/>
      </w:r>
      <w:r>
        <w:instrText xml:space="preserve"> PAGEREF _Toc114821454 \h </w:instrText>
      </w:r>
      <w:r>
        <w:fldChar w:fldCharType="separate"/>
      </w:r>
      <w:r>
        <w:t>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六</w:t>
      </w:r>
      <w:r>
        <w:rPr>
          <w:rFonts w:ascii="黑体" w:eastAsia="黑体"/>
          <w:b/>
          <w:color w:val="000000"/>
        </w:rPr>
        <w:t>、一</w:t>
      </w:r>
      <w:r>
        <w:rPr>
          <w:rFonts w:ascii="黑体" w:hAnsi="Cambria" w:eastAsia="黑体"/>
          <w:bCs/>
        </w:rPr>
        <w:t>般公共预算财政拨款基本支出决算情况说明</w:t>
      </w:r>
      <w:r>
        <w:tab/>
      </w:r>
      <w:r>
        <w:fldChar w:fldCharType="begin"/>
      </w:r>
      <w:r>
        <w:instrText xml:space="preserve"> PAGEREF _Toc114821455 \h </w:instrText>
      </w:r>
      <w:r>
        <w:fldChar w:fldCharType="separate"/>
      </w:r>
      <w:r>
        <w:t>11</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七、</w:t>
      </w:r>
      <w:r>
        <w:rPr>
          <w:rFonts w:ascii="黑体" w:hAnsi="Cambria" w:eastAsia="黑体"/>
          <w:b/>
          <w:bCs/>
        </w:rPr>
        <w:t>“</w:t>
      </w:r>
      <w:r>
        <w:rPr>
          <w:rFonts w:ascii="黑体" w:hAnsi="Cambria" w:eastAsia="黑体"/>
          <w:bCs/>
        </w:rPr>
        <w:t>三公”经费财政拨款支出决算情况说明</w:t>
      </w:r>
      <w:r>
        <w:tab/>
      </w:r>
      <w:r>
        <w:fldChar w:fldCharType="begin"/>
      </w:r>
      <w:r>
        <w:instrText xml:space="preserve"> PAGEREF _Toc114821456 \h </w:instrText>
      </w:r>
      <w:r>
        <w:fldChar w:fldCharType="separate"/>
      </w:r>
      <w:r>
        <w:t>11</w:t>
      </w:r>
      <w: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_Toc114821457 \h </w:instrText>
      </w:r>
      <w:r>
        <w:rPr>
          <w:i w:val="0"/>
          <w:iCs w:val="0"/>
        </w:rPr>
        <w:fldChar w:fldCharType="separate"/>
      </w:r>
      <w:r>
        <w:rPr>
          <w:i w:val="0"/>
          <w:iCs w:val="0"/>
        </w:rPr>
        <w:t>11</w:t>
      </w:r>
      <w:r>
        <w:rPr>
          <w:i w:val="0"/>
          <w:iCs w:val="0"/>
        </w:rP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（二）“三公”经费财政拨款支出决算具体情况说明</w:t>
      </w:r>
      <w:r>
        <w:tab/>
      </w:r>
      <w:r>
        <w:fldChar w:fldCharType="begin"/>
      </w:r>
      <w:r>
        <w:instrText xml:space="preserve"> PAGEREF _Toc114821458 \h </w:instrText>
      </w:r>
      <w:r>
        <w:fldChar w:fldCharType="separate"/>
      </w:r>
      <w:r>
        <w:t>11</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八、</w:t>
      </w:r>
      <w:r>
        <w:rPr>
          <w:rFonts w:ascii="黑体" w:hAnsi="Cambria" w:eastAsia="黑体"/>
          <w:bCs/>
        </w:rPr>
        <w:t>政府性基金预算支出决算情况说明</w:t>
      </w:r>
      <w:r>
        <w:tab/>
      </w:r>
      <w:r>
        <w:fldChar w:fldCharType="begin"/>
      </w:r>
      <w:r>
        <w:instrText xml:space="preserve"> PAGEREF _Toc114821459 \h </w:instrText>
      </w:r>
      <w:r>
        <w:fldChar w:fldCharType="separate"/>
      </w:r>
      <w:r>
        <w:t>12</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hAnsi="Cambria" w:eastAsia="黑体"/>
          <w:bCs/>
        </w:rPr>
        <w:t>九、 国有资本经营预算支出决算情况说明</w:t>
      </w:r>
      <w:r>
        <w:tab/>
      </w:r>
      <w:r>
        <w:fldChar w:fldCharType="begin"/>
      </w:r>
      <w:r>
        <w:instrText xml:space="preserve"> PAGEREF _Toc114821460 \h </w:instrText>
      </w:r>
      <w:r>
        <w:fldChar w:fldCharType="separate"/>
      </w:r>
      <w:r>
        <w:t>13</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黑体" w:eastAsia="黑体"/>
          <w:color w:val="000000"/>
        </w:rPr>
        <w:t>十</w:t>
      </w:r>
      <w:r>
        <w:rPr>
          <w:rFonts w:ascii="黑体" w:hAnsi="Cambria" w:eastAsia="黑体"/>
          <w:b/>
          <w:bCs/>
        </w:rPr>
        <w:t>、</w:t>
      </w:r>
      <w:r>
        <w:rPr>
          <w:rFonts w:ascii="黑体" w:hAnsi="Cambria" w:eastAsia="黑体"/>
          <w:bCs/>
        </w:rPr>
        <w:t>其他重要事项的情况说明</w:t>
      </w:r>
      <w:r>
        <w:tab/>
      </w:r>
      <w:r>
        <w:fldChar w:fldCharType="begin"/>
      </w:r>
      <w:r>
        <w:instrText xml:space="preserve"> PAGEREF _Toc114821461 \h </w:instrText>
      </w:r>
      <w:r>
        <w:fldChar w:fldCharType="separate"/>
      </w:r>
      <w:r>
        <w:t>13</w:t>
      </w:r>
      <w: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color w:val="000000"/>
        </w:rPr>
        <w:t>（</w:t>
      </w:r>
      <w:r>
        <w:rPr>
          <w:rFonts w:ascii="仿宋" w:eastAsia="仿宋"/>
          <w:b/>
          <w:i w:val="0"/>
          <w:iCs w:val="0"/>
          <w:color w:val="000000"/>
        </w:rPr>
        <w:t>一）机关运行经费支出情况</w:t>
      </w:r>
      <w:r>
        <w:rPr>
          <w:i w:val="0"/>
          <w:iCs w:val="0"/>
        </w:rPr>
        <w:tab/>
      </w:r>
      <w:r>
        <w:rPr>
          <w:i w:val="0"/>
          <w:iCs w:val="0"/>
        </w:rPr>
        <w:fldChar w:fldCharType="begin"/>
      </w:r>
      <w:r>
        <w:rPr>
          <w:i w:val="0"/>
          <w:iCs w:val="0"/>
        </w:rPr>
        <w:instrText xml:space="preserve"> PAGEREF _Toc114821462 \h </w:instrText>
      </w:r>
      <w:r>
        <w:rPr>
          <w:i w:val="0"/>
          <w:iCs w:val="0"/>
        </w:rPr>
        <w:fldChar w:fldCharType="separate"/>
      </w:r>
      <w:r>
        <w:rPr>
          <w:i w:val="0"/>
          <w:iCs w:val="0"/>
        </w:rPr>
        <w:t>13</w:t>
      </w:r>
      <w:r>
        <w:rPr>
          <w:i w:val="0"/>
          <w:iCs w:val="0"/>
        </w:rP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（二）政府采购支出情况</w:t>
      </w:r>
      <w:r>
        <w:rPr>
          <w:i w:val="0"/>
          <w:iCs w:val="0"/>
        </w:rPr>
        <w:tab/>
      </w:r>
      <w:r>
        <w:rPr>
          <w:i w:val="0"/>
          <w:iCs w:val="0"/>
        </w:rPr>
        <w:fldChar w:fldCharType="begin"/>
      </w:r>
      <w:r>
        <w:rPr>
          <w:i w:val="0"/>
          <w:iCs w:val="0"/>
        </w:rPr>
        <w:instrText xml:space="preserve"> PAGEREF _Toc114821463 \h </w:instrText>
      </w:r>
      <w:r>
        <w:rPr>
          <w:i w:val="0"/>
          <w:iCs w:val="0"/>
        </w:rPr>
        <w:fldChar w:fldCharType="separate"/>
      </w:r>
      <w:r>
        <w:rPr>
          <w:i w:val="0"/>
          <w:iCs w:val="0"/>
        </w:rPr>
        <w:t>13</w:t>
      </w:r>
      <w:r>
        <w:rPr>
          <w:i w:val="0"/>
          <w:iCs w:val="0"/>
        </w:rPr>
        <w:fldChar w:fldCharType="end"/>
      </w:r>
    </w:p>
    <w:p>
      <w:pPr>
        <w:pStyle w:val="8"/>
        <w:tabs>
          <w:tab w:val="right" w:leader="dot" w:pos="8296"/>
        </w:tabs>
        <w:rPr>
          <w:rFonts w:asciiTheme="minorHAnsi" w:hAnsiTheme="minorHAnsi" w:eastAsiaTheme="minorEastAsia" w:cstheme="minorBidi"/>
          <w:i w:val="0"/>
          <w:iCs w:val="0"/>
          <w:sz w:val="21"/>
          <w:szCs w:val="22"/>
        </w:rPr>
      </w:pPr>
      <w:r>
        <w:rPr>
          <w:rFonts w:ascii="仿宋" w:eastAsia="仿宋"/>
          <w:b/>
          <w:i w:val="0"/>
          <w:iCs w:val="0"/>
          <w:color w:val="000000"/>
        </w:rPr>
        <w:t>（三）国有资产占有使用情况</w:t>
      </w:r>
      <w:r>
        <w:tab/>
      </w:r>
      <w:r>
        <w:fldChar w:fldCharType="begin"/>
      </w:r>
      <w:r>
        <w:instrText xml:space="preserve"> PAGEREF _Toc114821464 \h </w:instrText>
      </w:r>
      <w:r>
        <w:fldChar w:fldCharType="separate"/>
      </w:r>
      <w:r>
        <w:t>13</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fldChar w:fldCharType="begin"/>
      </w:r>
      <w:r>
        <w:instrText xml:space="preserve"> PAGEREF _Toc114821465 \h </w:instrText>
      </w:r>
      <w:r>
        <w:fldChar w:fldCharType="separate"/>
      </w:r>
      <w:r>
        <w:t>26</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四部分 附件</w:t>
      </w:r>
      <w:r>
        <w:tab/>
      </w:r>
      <w:r>
        <w:fldChar w:fldCharType="begin"/>
      </w:r>
      <w:r>
        <w:instrText xml:space="preserve"> PAGEREF _Toc114821466 \h </w:instrText>
      </w:r>
      <w:r>
        <w:fldChar w:fldCharType="separate"/>
      </w:r>
      <w:r>
        <w:t>31</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cs="黑体"/>
        </w:rPr>
        <w:t>附件1</w:t>
      </w:r>
      <w:r>
        <w:tab/>
      </w:r>
      <w:r>
        <w:fldChar w:fldCharType="begin"/>
      </w:r>
      <w:r>
        <w:instrText xml:space="preserve"> PAGEREF _Toc114821467 \h </w:instrText>
      </w:r>
      <w:r>
        <w:fldChar w:fldCharType="separate"/>
      </w:r>
      <w:r>
        <w:t>31</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方正小标宋简体" w:eastAsia="方正小标宋简体" w:cs="黑体"/>
        </w:rPr>
        <w:t>茂县退役军人事务局部门2021年部门整体支出绩效评价报告</w:t>
      </w:r>
      <w:r>
        <w:tab/>
      </w:r>
      <w:r>
        <w:fldChar w:fldCharType="begin"/>
      </w:r>
      <w:r>
        <w:instrText xml:space="preserve"> PAGEREF _Toc114821468 \h </w:instrText>
      </w:r>
      <w:r>
        <w:fldChar w:fldCharType="separate"/>
      </w:r>
      <w:r>
        <w:t>31</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cs="黑体"/>
        </w:rPr>
        <w:t>附件2</w:t>
      </w:r>
      <w:r>
        <w:tab/>
      </w:r>
      <w:r>
        <w:fldChar w:fldCharType="begin"/>
      </w:r>
      <w:r>
        <w:instrText xml:space="preserve"> PAGEREF _Toc114821469 \h </w:instrText>
      </w:r>
      <w:r>
        <w:fldChar w:fldCharType="separate"/>
      </w:r>
      <w:r>
        <w:t>34</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_Toc114821470 \h </w:instrText>
      </w:r>
      <w:r>
        <w:fldChar w:fldCharType="separate"/>
      </w:r>
      <w:r>
        <w:t>37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w:t>
      </w:r>
      <w:r>
        <w:rPr>
          <w:rFonts w:ascii="仿宋" w:hAnsi="仿宋" w:eastAsia="仿宋"/>
          <w:color w:val="333333"/>
          <w:shd w:val="clear" w:color="auto" w:fill="FFFFFF"/>
        </w:rPr>
        <w:t>军人抚恤优待条例</w:t>
      </w:r>
      <w:r>
        <w:rPr>
          <w:rFonts w:ascii="仿宋_GB2312" w:hAnsi="仿宋_GB2312" w:eastAsia="仿宋_GB2312" w:cs="仿宋_GB2312"/>
        </w:rPr>
        <w:t>》执行,确保抚恤补助项目的规范有序实施,同时发放审批档案资料齐全、完整、规范。</w:t>
      </w:r>
      <w:r>
        <w:tab/>
      </w:r>
      <w:r>
        <w:fldChar w:fldCharType="begin"/>
      </w:r>
      <w:r>
        <w:instrText xml:space="preserve"> PAGEREF _Toc114821471 \h </w:instrText>
      </w:r>
      <w:r>
        <w:fldChar w:fldCharType="separate"/>
      </w:r>
      <w:r>
        <w:t>37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_Toc114821472 \h </w:instrText>
      </w:r>
      <w:r>
        <w:fldChar w:fldCharType="separate"/>
      </w:r>
      <w:r>
        <w:t>37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_Toc114821473 \h </w:instrText>
      </w:r>
      <w:r>
        <w:fldChar w:fldCharType="separate"/>
      </w:r>
      <w:r>
        <w:t>37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_Toc114821474 \h </w:instrText>
      </w:r>
      <w:r>
        <w:fldChar w:fldCharType="separate"/>
      </w:r>
      <w:r>
        <w:t>37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_Toc114821475 \h </w:instrText>
      </w:r>
      <w:r>
        <w:fldChar w:fldCharType="separate"/>
      </w:r>
      <w:r>
        <w:t>38</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_Toc114821476 \h </w:instrText>
      </w:r>
      <w:r>
        <w:fldChar w:fldCharType="separate"/>
      </w:r>
      <w:r>
        <w:t>42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优抚对象抚恤补助资金管理严格按《军人抚恤优待条例》执行,确保抚恤补助项目的规范有序实施,同时发放审批档案资料齐全、完整、规范。</w:t>
      </w:r>
      <w:r>
        <w:tab/>
      </w:r>
      <w:r>
        <w:fldChar w:fldCharType="begin"/>
      </w:r>
      <w:r>
        <w:instrText xml:space="preserve"> PAGEREF _Toc114821477 \h </w:instrText>
      </w:r>
      <w:r>
        <w:fldChar w:fldCharType="separate"/>
      </w:r>
      <w:r>
        <w:t>42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_Toc114821478 \h </w:instrText>
      </w:r>
      <w:r>
        <w:fldChar w:fldCharType="separate"/>
      </w:r>
      <w:r>
        <w:t>42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_Toc114821479 \h </w:instrText>
      </w:r>
      <w:r>
        <w:fldChar w:fldCharType="separate"/>
      </w:r>
      <w:r>
        <w:t>42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_Toc114821480 \h </w:instrText>
      </w:r>
      <w:r>
        <w:fldChar w:fldCharType="separate"/>
      </w:r>
      <w:r>
        <w:t>42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_Toc114821481 \h </w:instrText>
      </w:r>
      <w:r>
        <w:fldChar w:fldCharType="separate"/>
      </w:r>
      <w:r>
        <w:t>43</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_Toc114821482 \h </w:instrText>
      </w:r>
      <w:r>
        <w:fldChar w:fldCharType="separate"/>
      </w:r>
      <w:r>
        <w:t>47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优抚对象抚恤补助资金管理严格按《军人抚恤优待条例》执行,确保抚恤补助项目的规范有序实施,同时发放审批档案资料齐全、完整、规范。</w:t>
      </w:r>
      <w:r>
        <w:tab/>
      </w:r>
      <w:r>
        <w:fldChar w:fldCharType="begin"/>
      </w:r>
      <w:r>
        <w:instrText xml:space="preserve"> PAGEREF _Toc114821483 \h </w:instrText>
      </w:r>
      <w:r>
        <w:fldChar w:fldCharType="separate"/>
      </w:r>
      <w:r>
        <w:t>47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_Toc114821484 \h </w:instrText>
      </w:r>
      <w:r>
        <w:fldChar w:fldCharType="separate"/>
      </w:r>
      <w:r>
        <w:t>47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_Toc114821485 \h </w:instrText>
      </w:r>
      <w:r>
        <w:fldChar w:fldCharType="separate"/>
      </w:r>
      <w:r>
        <w:t>47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_Toc114821486 \h </w:instrText>
      </w:r>
      <w:r>
        <w:fldChar w:fldCharType="separate"/>
      </w:r>
      <w:r>
        <w:t>47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_Toc114821487 \h </w:instrText>
      </w:r>
      <w:r>
        <w:fldChar w:fldCharType="separate"/>
      </w:r>
      <w:r>
        <w:t>48</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_Toc114821488 \h </w:instrText>
      </w:r>
      <w:r>
        <w:fldChar w:fldCharType="separate"/>
      </w:r>
      <w:r>
        <w:t>52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退役安置补助资金管理严格按《</w:t>
      </w:r>
      <w:r>
        <w:rPr>
          <w:rFonts w:ascii="仿宋_GB2312" w:hAnsi="宋体" w:eastAsia="仿宋_GB2312" w:cs="宋体"/>
          <w:color w:val="000000"/>
          <w:kern w:val="0"/>
        </w:rPr>
        <w:t>四川省军队离退休干部服务管理办法</w:t>
      </w:r>
      <w:r>
        <w:rPr>
          <w:rFonts w:ascii="仿宋_GB2312" w:hAnsi="仿宋_GB2312" w:eastAsia="仿宋_GB2312" w:cs="仿宋_GB2312"/>
        </w:rPr>
        <w:t>》执行,确保补助项目的规范有序实施,同时发放审批档案资料齐全、完整、规范。</w:t>
      </w:r>
      <w:r>
        <w:tab/>
      </w:r>
      <w:r>
        <w:fldChar w:fldCharType="begin"/>
      </w:r>
      <w:r>
        <w:instrText xml:space="preserve"> PAGEREF _Toc114821489 \h </w:instrText>
      </w:r>
      <w:r>
        <w:fldChar w:fldCharType="separate"/>
      </w:r>
      <w:r>
        <w:t>52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_Toc114821490 \h </w:instrText>
      </w:r>
      <w:r>
        <w:fldChar w:fldCharType="separate"/>
      </w:r>
      <w:r>
        <w:t>52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_Toc114821491 \h </w:instrText>
      </w:r>
      <w:r>
        <w:fldChar w:fldCharType="separate"/>
      </w:r>
      <w:r>
        <w:t>52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_Toc114821492 \h </w:instrText>
      </w:r>
      <w:r>
        <w:fldChar w:fldCharType="separate"/>
      </w:r>
      <w:r>
        <w:t>52</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_Toc114821493 \h </w:instrText>
      </w:r>
      <w:r>
        <w:fldChar w:fldCharType="separate"/>
      </w:r>
      <w:r>
        <w:t>53</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_Toc114821494 \h </w:instrText>
      </w:r>
      <w:r>
        <w:fldChar w:fldCharType="separate"/>
      </w:r>
      <w:r>
        <w:t>57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优抚对象医疗补助资金管理严格按《优抚对象医疗补助资金使用管理办法》和《优抚对象医疗保障实施办法》执行,确保医疗补助项目的规范有序实施,同时发放审批档案资料齐全、完整、规范。</w:t>
      </w:r>
      <w:r>
        <w:tab/>
      </w:r>
      <w:r>
        <w:fldChar w:fldCharType="begin"/>
      </w:r>
      <w:r>
        <w:instrText xml:space="preserve"> PAGEREF _Toc114821495 \h </w:instrText>
      </w:r>
      <w:r>
        <w:fldChar w:fldCharType="separate"/>
      </w:r>
      <w:r>
        <w:t>57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_Toc114821496 \h </w:instrText>
      </w:r>
      <w:r>
        <w:fldChar w:fldCharType="separate"/>
      </w:r>
      <w:r>
        <w:t>57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_Toc114821497 \h </w:instrText>
      </w:r>
      <w:r>
        <w:fldChar w:fldCharType="separate"/>
      </w:r>
      <w:r>
        <w:t>57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_Toc114821498 \h </w:instrText>
      </w:r>
      <w:r>
        <w:fldChar w:fldCharType="separate"/>
      </w:r>
      <w:r>
        <w:t>57</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bookmarkStart w:id="233" w:name="_GoBack"/>
      <w:bookmarkEnd w:id="233"/>
      <w:r>
        <w:tab/>
      </w:r>
      <w:r>
        <w:fldChar w:fldCharType="begin"/>
      </w:r>
      <w:r>
        <w:instrText xml:space="preserve"> PAGEREF _Toc114821499 \h </w:instrText>
      </w:r>
      <w:r>
        <w:fldChar w:fldCharType="separate"/>
      </w:r>
      <w:r>
        <w:t>58</w:t>
      </w:r>
      <w:r>
        <w:fldChar w:fldCharType="end"/>
      </w:r>
    </w:p>
    <w:p>
      <w:pPr>
        <w:pStyle w:val="13"/>
        <w:tabs>
          <w:tab w:val="right" w:leader="dot" w:pos="8296"/>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五部分 附表</w:t>
      </w:r>
      <w:r>
        <w:tab/>
      </w:r>
      <w:r>
        <w:fldChar w:fldCharType="begin"/>
      </w:r>
      <w:r>
        <w:instrText xml:space="preserve"> PAGEREF _Toc114821500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color w:val="000000"/>
        </w:rPr>
        <w:t>一、收</w:t>
      </w:r>
      <w:r>
        <w:rPr>
          <w:rFonts w:ascii="仿宋" w:eastAsia="仿宋"/>
        </w:rPr>
        <w:t>入支出决算总表</w:t>
      </w:r>
      <w:r>
        <w:tab/>
      </w:r>
      <w:r>
        <w:fldChar w:fldCharType="begin"/>
      </w:r>
      <w:r>
        <w:instrText xml:space="preserve"> PAGEREF _Toc114821501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color w:val="000000"/>
        </w:rPr>
        <w:t>二、收</w:t>
      </w:r>
      <w:r>
        <w:rPr>
          <w:rFonts w:ascii="仿宋" w:eastAsia="仿宋"/>
        </w:rPr>
        <w:t>入决算表</w:t>
      </w:r>
      <w:r>
        <w:tab/>
      </w:r>
      <w:r>
        <w:fldChar w:fldCharType="begin"/>
      </w:r>
      <w:r>
        <w:instrText xml:space="preserve"> PAGEREF _Toc114821502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三、</w:t>
      </w:r>
      <w:r>
        <w:rPr>
          <w:rFonts w:ascii="仿宋" w:eastAsia="仿宋"/>
          <w:color w:val="000000"/>
        </w:rPr>
        <w:t>支</w:t>
      </w:r>
      <w:r>
        <w:rPr>
          <w:rFonts w:ascii="仿宋" w:eastAsia="仿宋"/>
        </w:rPr>
        <w:t>出决算表</w:t>
      </w:r>
      <w:r>
        <w:tab/>
      </w:r>
      <w:r>
        <w:fldChar w:fldCharType="begin"/>
      </w:r>
      <w:r>
        <w:instrText xml:space="preserve"> PAGEREF _Toc114821503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fldChar w:fldCharType="begin"/>
      </w:r>
      <w:r>
        <w:instrText xml:space="preserve"> PAGEREF _Toc114821504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fldChar w:fldCharType="begin"/>
      </w:r>
      <w:r>
        <w:instrText xml:space="preserve"> PAGEREF _Toc114821505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fldChar w:fldCharType="begin"/>
      </w:r>
      <w:r>
        <w:instrText xml:space="preserve"> PAGEREF _Toc114821506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fldChar w:fldCharType="begin"/>
      </w:r>
      <w:r>
        <w:instrText xml:space="preserve"> PAGEREF _Toc114821507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fldChar w:fldCharType="begin"/>
      </w:r>
      <w:r>
        <w:instrText xml:space="preserve"> PAGEREF _Toc114821508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fldChar w:fldCharType="begin"/>
      </w:r>
      <w:r>
        <w:instrText xml:space="preserve"> PAGEREF _Toc114821509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十、</w:t>
      </w:r>
      <w:r>
        <w:rPr>
          <w:rFonts w:ascii="仿宋" w:eastAsia="仿宋"/>
          <w:color w:val="000000"/>
        </w:rPr>
        <w:t>一</w:t>
      </w:r>
      <w:r>
        <w:rPr>
          <w:rFonts w:ascii="仿宋" w:eastAsia="仿宋"/>
        </w:rPr>
        <w:t>般公共预算财政拨款“三公”经费支出决算表</w:t>
      </w:r>
      <w:r>
        <w:tab/>
      </w:r>
      <w:r>
        <w:fldChar w:fldCharType="begin"/>
      </w:r>
      <w:r>
        <w:instrText xml:space="preserve"> PAGEREF _Toc114821510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十一、</w:t>
      </w:r>
      <w:r>
        <w:rPr>
          <w:rFonts w:ascii="仿宋" w:eastAsia="仿宋"/>
          <w:color w:val="000000"/>
        </w:rPr>
        <w:t>政</w:t>
      </w:r>
      <w:r>
        <w:rPr>
          <w:rFonts w:ascii="仿宋" w:eastAsia="仿宋"/>
        </w:rPr>
        <w:t>府性基金预算财政拨款收入支出决算表</w:t>
      </w:r>
      <w:r>
        <w:tab/>
      </w:r>
      <w:r>
        <w:fldChar w:fldCharType="begin"/>
      </w:r>
      <w:r>
        <w:instrText xml:space="preserve"> PAGEREF _Toc114821511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fldChar w:fldCharType="begin"/>
      </w:r>
      <w:r>
        <w:instrText xml:space="preserve"> PAGEREF _Toc114821512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十三、</w:t>
      </w:r>
      <w:r>
        <w:rPr>
          <w:rFonts w:ascii="仿宋" w:eastAsia="仿宋"/>
          <w:color w:val="000000"/>
        </w:rPr>
        <w:t>国</w:t>
      </w:r>
      <w:r>
        <w:rPr>
          <w:rFonts w:ascii="仿宋" w:eastAsia="仿宋"/>
        </w:rPr>
        <w:t>有资本经营预算财政拨款支出决算表</w:t>
      </w:r>
      <w:r>
        <w:tab/>
      </w:r>
      <w:r>
        <w:fldChar w:fldCharType="begin"/>
      </w:r>
      <w:r>
        <w:instrText xml:space="preserve"> PAGEREF _Toc114821513 \h </w:instrText>
      </w:r>
      <w:r>
        <w:fldChar w:fldCharType="separate"/>
      </w:r>
      <w:r>
        <w:t>59</w:t>
      </w:r>
      <w:r>
        <w:fldChar w:fldCharType="end"/>
      </w:r>
    </w:p>
    <w:p>
      <w:pPr>
        <w:pStyle w:val="17"/>
        <w:tabs>
          <w:tab w:val="right" w:leader="dot" w:pos="8296"/>
        </w:tabs>
        <w:rPr>
          <w:rFonts w:asciiTheme="minorHAnsi" w:hAnsiTheme="minorHAnsi" w:eastAsiaTheme="minorEastAsia" w:cstheme="minorBidi"/>
          <w:smallCaps w:val="0"/>
          <w:sz w:val="21"/>
          <w:szCs w:val="22"/>
        </w:rPr>
      </w:pPr>
      <w:r>
        <w:rPr>
          <w:rFonts w:ascii="仿宋" w:eastAsia="仿宋"/>
        </w:rPr>
        <w:t>十四、国有资本经营预算财政拨款支出决算表</w:t>
      </w:r>
      <w:r>
        <w:tab/>
      </w:r>
      <w:r>
        <w:fldChar w:fldCharType="begin"/>
      </w:r>
      <w:r>
        <w:instrText xml:space="preserve"> PAGEREF _Toc114821514 \h </w:instrText>
      </w:r>
      <w:r>
        <w:fldChar w:fldCharType="separate"/>
      </w:r>
      <w:r>
        <w:t>59</w:t>
      </w:r>
      <w:r>
        <w:fldChar w:fldCharType="end"/>
      </w:r>
    </w:p>
    <w:p>
      <w:pPr>
        <w:spacing w:line="576" w:lineRule="exact"/>
      </w:pPr>
      <w:r>
        <w:rPr>
          <w:rFonts w:ascii="仿宋" w:eastAsia="仿宋"/>
          <w:smallCaps/>
          <w:sz w:val="20"/>
          <w:szCs w:val="20"/>
        </w:rPr>
        <w:fldChar w:fldCharType="end"/>
      </w:r>
    </w:p>
    <w:p>
      <w:pPr>
        <w:widowControl/>
        <w:spacing w:line="576"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spacing w:before="0" w:after="0" w:line="576" w:lineRule="exact"/>
        <w:jc w:val="center"/>
        <w:rPr>
          <w:rStyle w:val="23"/>
          <w:rFonts w:ascii="黑体" w:eastAsia="黑体"/>
          <w:b/>
          <w:bCs w:val="0"/>
        </w:rPr>
      </w:pPr>
      <w:bookmarkStart w:id="14" w:name="_Toc79163601"/>
      <w:bookmarkStart w:id="15" w:name="_Toc114821442"/>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spacing w:line="576" w:lineRule="exact"/>
        <w:jc w:val="left"/>
        <w:rPr>
          <w:rFonts w:ascii="黑体" w:eastAsia="黑体"/>
          <w:color w:val="000000"/>
          <w:sz w:val="32"/>
          <w:szCs w:val="32"/>
        </w:rPr>
      </w:pPr>
    </w:p>
    <w:p>
      <w:pPr>
        <w:pStyle w:val="3"/>
        <w:spacing w:before="0" w:after="0" w:line="576" w:lineRule="exact"/>
        <w:rPr>
          <w:rStyle w:val="24"/>
          <w:rFonts w:ascii="黑体" w:eastAsia="黑体"/>
          <w:b w:val="0"/>
          <w:bCs w:val="0"/>
        </w:rPr>
      </w:pPr>
      <w:bookmarkStart w:id="16" w:name="_Toc114821443"/>
      <w:bookmarkStart w:id="17" w:name="_Toc15396600"/>
      <w:bookmarkStart w:id="18" w:name="_Toc79163602"/>
      <w:bookmarkStart w:id="19" w:name="_Toc15377197"/>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bookmarkStart w:id="20" w:name="_Toc15378446"/>
      <w:bookmarkStart w:id="21" w:name="_Toc15377199"/>
      <w:bookmarkStart w:id="22" w:name="_Toc79163604"/>
    </w:p>
    <w:p>
      <w:pPr>
        <w:pStyle w:val="3"/>
        <w:spacing w:before="0" w:after="0" w:line="576" w:lineRule="exact"/>
        <w:rPr>
          <w:rFonts w:ascii="仿宋" w:eastAsia="仿宋"/>
          <w:color w:val="000000"/>
        </w:rPr>
      </w:pPr>
      <w:bookmarkStart w:id="23" w:name="_Toc114821444"/>
      <w:r>
        <w:rPr>
          <w:rFonts w:hint="eastAsia" w:ascii="仿宋" w:eastAsia="仿宋"/>
          <w:color w:val="000000"/>
        </w:rPr>
        <w:t>（一）</w:t>
      </w:r>
      <w:r>
        <w:rPr>
          <w:rFonts w:ascii="仿宋" w:eastAsia="仿宋"/>
          <w:color w:val="000000"/>
        </w:rPr>
        <w:t>2021</w:t>
      </w:r>
      <w:r>
        <w:rPr>
          <w:rFonts w:hint="eastAsia" w:ascii="仿宋" w:eastAsia="仿宋"/>
          <w:color w:val="000000"/>
        </w:rPr>
        <w:t>年重点工作完成情况。</w:t>
      </w:r>
      <w:bookmarkEnd w:id="20"/>
      <w:bookmarkEnd w:id="21"/>
      <w:bookmarkEnd w:id="22"/>
      <w:bookmarkEnd w:id="23"/>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1.按照县委、县政府各项中心工作开展好双拥工作。结合“元旦春节”“八·一”建军节、“9.30”公祭日等重大节日开展走访慰问驻县部队、优抚对象、退役军人等各类对象，把党和政府的关怀落到实处。</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 xml:space="preserve">2.加强自身队伍建设。切实把党建、党风廉政建设和意识形态放在重要的位置，认真落实“两个责任”，建立健全风险领域的评估及防范机制落到实处，使退役军人事务工作高质量推进。  </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3.落实各类生活补助。按省、州要求每月、季度及时兑现各类优抚对象生活补助。</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4.加强信访维稳力度，把矛盾化解在基层。</w:t>
      </w:r>
    </w:p>
    <w:p>
      <w:pPr>
        <w:spacing w:line="576" w:lineRule="exact"/>
        <w:ind w:firstLine="640" w:firstLineChars="200"/>
        <w:rPr>
          <w:rFonts w:ascii="仿宋_GB2312" w:hAnsi="微软雅黑" w:eastAsia="仿宋_GB2312" w:cstheme="minorBidi"/>
          <w:color w:val="000000"/>
          <w:sz w:val="32"/>
          <w:szCs w:val="32"/>
        </w:rPr>
      </w:pPr>
      <w:r>
        <w:rPr>
          <w:rFonts w:hint="eastAsia" w:ascii="仿宋_GB2312" w:hAnsi="微软雅黑" w:eastAsia="仿宋_GB2312" w:cstheme="minorBidi"/>
          <w:color w:val="000000"/>
          <w:sz w:val="32"/>
          <w:szCs w:val="32"/>
        </w:rPr>
        <w:t>5.切实做好乡村振兴工作，真正把联系村工作落到实处。同时，高质量完成县委县政府交办的各项重点工作。</w:t>
      </w:r>
    </w:p>
    <w:p>
      <w:pPr>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6.积极争取国家支持阿坝州经济社会发展规划建设项目。</w:t>
      </w:r>
    </w:p>
    <w:p>
      <w:pPr>
        <w:pStyle w:val="6"/>
        <w:spacing w:before="0" w:beforeLines="0" w:line="576" w:lineRule="exact"/>
        <w:ind w:firstLine="668" w:firstLineChars="209"/>
        <w:outlineLvl w:val="2"/>
        <w:rPr>
          <w:rFonts w:ascii="仿宋" w:eastAsia="仿宋"/>
          <w:bCs/>
          <w:color w:val="000000"/>
          <w:sz w:val="32"/>
          <w:szCs w:val="32"/>
        </w:rPr>
      </w:pPr>
    </w:p>
    <w:p>
      <w:pPr>
        <w:pStyle w:val="3"/>
        <w:spacing w:before="0" w:after="0" w:line="576" w:lineRule="exact"/>
        <w:rPr>
          <w:rStyle w:val="24"/>
          <w:b w:val="0"/>
          <w:bCs w:val="0"/>
        </w:rPr>
      </w:pPr>
      <w:bookmarkStart w:id="24" w:name="_Toc15396601"/>
      <w:bookmarkStart w:id="25" w:name="_Toc15377200"/>
      <w:bookmarkStart w:id="26" w:name="_Toc79163605"/>
      <w:bookmarkStart w:id="27" w:name="_Toc114821445"/>
      <w:r>
        <w:rPr>
          <w:rFonts w:hint="eastAsia" w:ascii="黑体" w:eastAsia="黑体"/>
          <w:b w:val="0"/>
          <w:color w:val="000000"/>
        </w:rPr>
        <w:t>二、机</w:t>
      </w:r>
      <w:r>
        <w:rPr>
          <w:rStyle w:val="24"/>
          <w:rFonts w:hint="eastAsia" w:ascii="黑体" w:eastAsia="黑体"/>
          <w:b w:val="0"/>
          <w:bCs w:val="0"/>
        </w:rPr>
        <w:t>构设置</w:t>
      </w:r>
      <w:bookmarkEnd w:id="24"/>
      <w:bookmarkEnd w:id="25"/>
      <w:bookmarkEnd w:id="26"/>
      <w:bookmarkEnd w:id="27"/>
    </w:p>
    <w:p>
      <w:pPr>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茂县退役军人事务局属一级行政单位。</w:t>
      </w:r>
    </w:p>
    <w:p>
      <w:pPr>
        <w:pStyle w:val="6"/>
        <w:spacing w:before="0" w:beforeLines="0" w:line="576" w:lineRule="exact"/>
        <w:rPr>
          <w:rFonts w:ascii="仿宋" w:eastAsia="仿宋"/>
          <w:color w:val="000000"/>
          <w:sz w:val="32"/>
          <w:szCs w:val="32"/>
        </w:rPr>
      </w:pPr>
    </w:p>
    <w:p>
      <w:pPr>
        <w:widowControl/>
        <w:spacing w:line="576" w:lineRule="exact"/>
        <w:jc w:val="left"/>
        <w:rPr>
          <w:rFonts w:ascii="仿宋" w:eastAsia="仿宋"/>
          <w:color w:val="000000"/>
          <w:kern w:val="0"/>
          <w:sz w:val="32"/>
          <w:szCs w:val="32"/>
        </w:rPr>
      </w:pPr>
      <w:r>
        <w:rPr>
          <w:rFonts w:ascii="仿宋" w:eastAsia="仿宋"/>
          <w:color w:val="000000"/>
          <w:sz w:val="32"/>
          <w:szCs w:val="32"/>
        </w:rPr>
        <w:br w:type="page"/>
      </w:r>
    </w:p>
    <w:p>
      <w:pPr>
        <w:pStyle w:val="2"/>
        <w:spacing w:before="0" w:after="0" w:line="576" w:lineRule="exact"/>
        <w:ind w:right="440"/>
        <w:jc w:val="right"/>
        <w:rPr>
          <w:rStyle w:val="23"/>
          <w:rFonts w:ascii="黑体" w:eastAsia="黑体"/>
          <w:b w:val="0"/>
          <w:bCs w:val="0"/>
        </w:rPr>
      </w:pPr>
      <w:bookmarkStart w:id="28" w:name="_Toc15396602"/>
      <w:bookmarkStart w:id="29" w:name="_Toc114821446"/>
      <w:bookmarkStart w:id="30" w:name="_Toc15377204"/>
      <w:bookmarkStart w:id="31" w:name="_Toc79163609"/>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28"/>
      <w:bookmarkEnd w:id="29"/>
      <w:bookmarkEnd w:id="30"/>
      <w:bookmarkEnd w:id="31"/>
    </w:p>
    <w:p>
      <w:pPr>
        <w:spacing w:line="576" w:lineRule="exact"/>
      </w:pPr>
    </w:p>
    <w:p>
      <w:pPr>
        <w:pStyle w:val="29"/>
        <w:numPr>
          <w:ilvl w:val="0"/>
          <w:numId w:val="1"/>
        </w:numPr>
        <w:spacing w:line="576" w:lineRule="exact"/>
        <w:ind w:firstLineChars="0"/>
        <w:outlineLvl w:val="1"/>
        <w:rPr>
          <w:rStyle w:val="24"/>
          <w:rFonts w:ascii="黑体" w:eastAsia="黑体"/>
          <w:b w:val="0"/>
        </w:rPr>
      </w:pPr>
      <w:bookmarkStart w:id="32" w:name="_Toc114821447"/>
      <w:bookmarkStart w:id="33" w:name="_Toc15377205"/>
      <w:bookmarkStart w:id="34" w:name="_Toc15396603"/>
      <w:bookmarkStart w:id="35" w:name="_Toc79163610"/>
      <w:r>
        <w:rPr>
          <w:rFonts w:hint="eastAsia" w:ascii="黑体" w:eastAsia="黑体"/>
          <w:color w:val="000000"/>
          <w:sz w:val="32"/>
          <w:szCs w:val="32"/>
        </w:rPr>
        <w:t>收</w:t>
      </w:r>
      <w:r>
        <w:rPr>
          <w:rStyle w:val="24"/>
          <w:rFonts w:hint="eastAsia" w:ascii="黑体" w:eastAsia="黑体"/>
          <w:b w:val="0"/>
        </w:rPr>
        <w:t>入支出决算总体情况说明</w:t>
      </w:r>
      <w:bookmarkEnd w:id="32"/>
      <w:bookmarkEnd w:id="33"/>
      <w:bookmarkEnd w:id="34"/>
      <w:bookmarkEnd w:id="35"/>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883.87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ascii="仿宋" w:eastAsia="仿宋"/>
          <w:color w:val="000000"/>
          <w:sz w:val="32"/>
          <w:szCs w:val="32"/>
        </w:rPr>
        <w:t>0.82</w:t>
      </w:r>
      <w:r>
        <w:rPr>
          <w:rFonts w:hint="eastAsia" w:ascii="仿宋" w:eastAsia="仿宋"/>
          <w:color w:val="000000"/>
          <w:sz w:val="32"/>
          <w:szCs w:val="32"/>
        </w:rPr>
        <w:t>万元，</w:t>
      </w:r>
      <w:bookmarkStart w:id="36" w:name="_Hlk114217356"/>
      <w:r>
        <w:rPr>
          <w:rFonts w:hint="eastAsia" w:ascii="仿宋" w:eastAsia="仿宋"/>
          <w:color w:val="000000"/>
          <w:sz w:val="32"/>
          <w:szCs w:val="32"/>
        </w:rPr>
        <w:t>下降</w:t>
      </w:r>
      <w:r>
        <w:rPr>
          <w:rFonts w:ascii="仿宋" w:eastAsia="仿宋"/>
          <w:color w:val="000000"/>
          <w:sz w:val="32"/>
          <w:szCs w:val="32"/>
        </w:rPr>
        <w:t>0.09%</w:t>
      </w:r>
      <w:r>
        <w:rPr>
          <w:rFonts w:hint="eastAsia" w:ascii="仿宋" w:eastAsia="仿宋"/>
          <w:color w:val="000000"/>
          <w:sz w:val="32"/>
          <w:szCs w:val="32"/>
        </w:rPr>
        <w:t>。主要变动原因是年初结转和结余减少</w:t>
      </w:r>
      <w:bookmarkEnd w:id="36"/>
      <w:r>
        <w:rPr>
          <w:rFonts w:hint="eastAsia" w:ascii="仿宋" w:eastAsia="仿宋"/>
          <w:color w:val="000000"/>
          <w:sz w:val="32"/>
          <w:szCs w:val="32"/>
        </w:rPr>
        <w:t>。</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spacing w:line="576" w:lineRule="exact"/>
        <w:ind w:firstLine="420" w:firstLineChars="200"/>
        <w:rPr>
          <w:rFonts w:ascii="仿宋" w:eastAsia="仿宋"/>
          <w:color w:val="000000"/>
          <w:sz w:val="32"/>
          <w:szCs w:val="32"/>
        </w:rPr>
      </w:pPr>
      <w:r>
        <w:drawing>
          <wp:anchor distT="0" distB="0" distL="114300" distR="114300" simplePos="0" relativeHeight="251652096" behindDoc="0" locked="0" layoutInCell="1" allowOverlap="1">
            <wp:simplePos x="0" y="0"/>
            <wp:positionH relativeFrom="column">
              <wp:posOffset>936625</wp:posOffset>
            </wp:positionH>
            <wp:positionV relativeFrom="paragraph">
              <wp:posOffset>137160</wp:posOffset>
            </wp:positionV>
            <wp:extent cx="3249295" cy="2493010"/>
            <wp:effectExtent l="0" t="0" r="12065" b="6350"/>
            <wp:wrapSquare wrapText="bothSides"/>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
                    <a:stretch>
                      <a:fillRect/>
                    </a:stretch>
                  </pic:blipFill>
                  <pic:spPr>
                    <a:xfrm>
                      <a:off x="0" y="0"/>
                      <a:ext cx="3249295" cy="2493010"/>
                    </a:xfrm>
                    <a:prstGeom prst="rect">
                      <a:avLst/>
                    </a:prstGeom>
                    <a:noFill/>
                    <a:ln>
                      <a:noFill/>
                    </a:ln>
                  </pic:spPr>
                </pic:pic>
              </a:graphicData>
            </a:graphic>
          </wp:anchor>
        </w:drawing>
      </w: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pStyle w:val="29"/>
        <w:numPr>
          <w:ilvl w:val="0"/>
          <w:numId w:val="1"/>
        </w:numPr>
        <w:spacing w:line="576" w:lineRule="exact"/>
        <w:ind w:firstLineChars="0"/>
        <w:outlineLvl w:val="1"/>
        <w:rPr>
          <w:rStyle w:val="24"/>
          <w:rFonts w:ascii="黑体" w:eastAsia="黑体"/>
          <w:b w:val="0"/>
        </w:rPr>
      </w:pPr>
      <w:bookmarkStart w:id="37" w:name="_Toc15396604"/>
      <w:bookmarkStart w:id="38" w:name="_Toc79163611"/>
      <w:bookmarkStart w:id="39" w:name="_Toc15377206"/>
      <w:bookmarkStart w:id="40" w:name="_Toc114821448"/>
      <w:r>
        <w:rPr>
          <w:rFonts w:hint="eastAsia" w:ascii="黑体" w:eastAsia="黑体"/>
          <w:color w:val="000000"/>
          <w:sz w:val="32"/>
          <w:szCs w:val="32"/>
        </w:rPr>
        <w:t>收</w:t>
      </w:r>
      <w:r>
        <w:rPr>
          <w:rStyle w:val="24"/>
          <w:rFonts w:hint="eastAsia" w:ascii="黑体" w:eastAsia="黑体"/>
          <w:b w:val="0"/>
        </w:rPr>
        <w:t>入决算情况说明</w:t>
      </w:r>
      <w:bookmarkEnd w:id="37"/>
      <w:bookmarkEnd w:id="38"/>
      <w:bookmarkEnd w:id="39"/>
      <w:bookmarkEnd w:id="40"/>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827.89</w:t>
      </w:r>
      <w:r>
        <w:rPr>
          <w:rFonts w:hint="eastAsia" w:ascii="仿宋" w:eastAsia="仿宋"/>
          <w:color w:val="000000"/>
          <w:sz w:val="32"/>
          <w:szCs w:val="32"/>
        </w:rPr>
        <w:t>万元，其中：一般公共预算财政拨款收入</w:t>
      </w:r>
      <w:r>
        <w:rPr>
          <w:rFonts w:ascii="仿宋" w:eastAsia="仿宋"/>
          <w:color w:val="000000"/>
          <w:sz w:val="32"/>
          <w:szCs w:val="32"/>
        </w:rPr>
        <w:t>827.89</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p>
    <w:p>
      <w:pPr>
        <w:spacing w:line="576"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spacing w:line="576" w:lineRule="exact"/>
        <w:ind w:firstLine="420" w:firstLineChars="200"/>
        <w:rPr>
          <w:rFonts w:ascii="仿宋" w:eastAsia="仿宋"/>
          <w:color w:val="000000"/>
          <w:sz w:val="32"/>
          <w:szCs w:val="32"/>
        </w:rPr>
      </w:pPr>
      <w:r>
        <w:drawing>
          <wp:anchor distT="0" distB="0" distL="114300" distR="114300" simplePos="0" relativeHeight="251654144" behindDoc="0" locked="0" layoutInCell="1" allowOverlap="1">
            <wp:simplePos x="0" y="0"/>
            <wp:positionH relativeFrom="column">
              <wp:posOffset>963295</wp:posOffset>
            </wp:positionH>
            <wp:positionV relativeFrom="paragraph">
              <wp:posOffset>-97790</wp:posOffset>
            </wp:positionV>
            <wp:extent cx="3273425" cy="1999615"/>
            <wp:effectExtent l="0" t="0" r="3175" b="12065"/>
            <wp:wrapSquare wrapText="bothSides"/>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7"/>
                    <a:stretch>
                      <a:fillRect/>
                    </a:stretch>
                  </pic:blipFill>
                  <pic:spPr>
                    <a:xfrm>
                      <a:off x="0" y="0"/>
                      <a:ext cx="3273425" cy="1999615"/>
                    </a:xfrm>
                    <a:prstGeom prst="rect">
                      <a:avLst/>
                    </a:prstGeom>
                    <a:noFill/>
                    <a:ln>
                      <a:noFill/>
                    </a:ln>
                  </pic:spPr>
                </pic:pic>
              </a:graphicData>
            </a:graphic>
          </wp:anchor>
        </w:drawing>
      </w:r>
    </w:p>
    <w:p>
      <w:pPr>
        <w:spacing w:line="576" w:lineRule="exact"/>
        <w:ind w:firstLine="640" w:firstLineChars="200"/>
        <w:rPr>
          <w:rFonts w:ascii="仿宋_GB2312" w:eastAsia="仿宋_GB2312"/>
          <w:color w:val="FF0000"/>
          <w:sz w:val="32"/>
          <w:szCs w:val="32"/>
        </w:rPr>
      </w:pPr>
    </w:p>
    <w:p>
      <w:pPr>
        <w:pStyle w:val="29"/>
        <w:numPr>
          <w:ilvl w:val="0"/>
          <w:numId w:val="1"/>
        </w:numPr>
        <w:spacing w:line="576" w:lineRule="exact"/>
        <w:ind w:firstLineChars="0"/>
        <w:outlineLvl w:val="1"/>
        <w:rPr>
          <w:rStyle w:val="24"/>
          <w:rFonts w:ascii="黑体" w:eastAsia="黑体"/>
          <w:b w:val="0"/>
        </w:rPr>
      </w:pPr>
      <w:bookmarkStart w:id="41" w:name="_Toc15396605"/>
      <w:bookmarkStart w:id="42" w:name="_Toc15377207"/>
      <w:bookmarkStart w:id="43" w:name="_Toc114821449"/>
      <w:bookmarkStart w:id="44" w:name="_Toc79163612"/>
      <w:r>
        <w:rPr>
          <w:rFonts w:hint="eastAsia" w:ascii="黑体" w:eastAsia="黑体"/>
          <w:color w:val="000000"/>
          <w:sz w:val="32"/>
          <w:szCs w:val="32"/>
        </w:rPr>
        <w:t>支</w:t>
      </w:r>
      <w:r>
        <w:rPr>
          <w:rStyle w:val="24"/>
          <w:rFonts w:hint="eastAsia" w:ascii="黑体" w:eastAsia="黑体"/>
          <w:b w:val="0"/>
        </w:rPr>
        <w:t>出决算情况说明</w:t>
      </w:r>
      <w:bookmarkEnd w:id="41"/>
      <w:bookmarkEnd w:id="42"/>
      <w:bookmarkEnd w:id="43"/>
      <w:bookmarkEnd w:id="44"/>
    </w:p>
    <w:p>
      <w:pPr>
        <w:spacing w:line="576"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883.87</w:t>
      </w:r>
      <w:r>
        <w:rPr>
          <w:rFonts w:hint="eastAsia" w:ascii="仿宋_GB2312" w:eastAsia="仿宋_GB2312"/>
          <w:sz w:val="32"/>
          <w:szCs w:val="32"/>
        </w:rPr>
        <w:t>万元，其中：基本支出</w:t>
      </w:r>
      <w:r>
        <w:rPr>
          <w:rFonts w:ascii="仿宋_GB2312" w:eastAsia="仿宋_GB2312"/>
          <w:sz w:val="32"/>
          <w:szCs w:val="32"/>
        </w:rPr>
        <w:t>107.93</w:t>
      </w:r>
      <w:r>
        <w:rPr>
          <w:rFonts w:hint="eastAsia" w:ascii="仿宋_GB2312" w:eastAsia="仿宋_GB2312"/>
          <w:sz w:val="32"/>
          <w:szCs w:val="32"/>
        </w:rPr>
        <w:t>万元，占</w:t>
      </w:r>
      <w:r>
        <w:rPr>
          <w:rFonts w:ascii="仿宋_GB2312" w:eastAsia="仿宋_GB2312"/>
          <w:sz w:val="32"/>
          <w:szCs w:val="32"/>
        </w:rPr>
        <w:t>12%</w:t>
      </w:r>
      <w:r>
        <w:rPr>
          <w:rFonts w:hint="eastAsia" w:ascii="仿宋_GB2312" w:eastAsia="仿宋_GB2312"/>
          <w:sz w:val="32"/>
          <w:szCs w:val="32"/>
        </w:rPr>
        <w:t>；项目支出</w:t>
      </w:r>
      <w:r>
        <w:rPr>
          <w:rFonts w:ascii="仿宋_GB2312" w:eastAsia="仿宋_GB2312"/>
          <w:sz w:val="32"/>
          <w:szCs w:val="32"/>
        </w:rPr>
        <w:t>775.94</w:t>
      </w:r>
      <w:r>
        <w:rPr>
          <w:rFonts w:hint="eastAsia" w:ascii="仿宋_GB2312" w:eastAsia="仿宋_GB2312"/>
          <w:sz w:val="32"/>
          <w:szCs w:val="32"/>
        </w:rPr>
        <w:t>万元，占</w:t>
      </w:r>
      <w:r>
        <w:rPr>
          <w:rFonts w:ascii="仿宋_GB2312" w:eastAsia="仿宋_GB2312"/>
          <w:sz w:val="32"/>
          <w:szCs w:val="32"/>
        </w:rPr>
        <w:t>88%</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576" w:lineRule="exact"/>
        <w:ind w:firstLine="640" w:firstLineChars="20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p>
    <w:p>
      <w:pPr>
        <w:spacing w:line="576" w:lineRule="exact"/>
        <w:ind w:firstLine="420" w:firstLineChars="200"/>
        <w:rPr>
          <w:rFonts w:ascii="仿宋" w:eastAsia="仿宋"/>
          <w:color w:val="000000"/>
          <w:sz w:val="32"/>
          <w:szCs w:val="32"/>
        </w:rPr>
      </w:pPr>
      <w:r>
        <w:drawing>
          <wp:anchor distT="0" distB="0" distL="114300" distR="114300" simplePos="0" relativeHeight="251656192" behindDoc="0" locked="0" layoutInCell="1" allowOverlap="1">
            <wp:simplePos x="0" y="0"/>
            <wp:positionH relativeFrom="column">
              <wp:posOffset>588010</wp:posOffset>
            </wp:positionH>
            <wp:positionV relativeFrom="paragraph">
              <wp:posOffset>149225</wp:posOffset>
            </wp:positionV>
            <wp:extent cx="3587750" cy="2680970"/>
            <wp:effectExtent l="0" t="0" r="8890" b="1270"/>
            <wp:wrapSquare wrapText="bothSides"/>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8"/>
                    <a:stretch>
                      <a:fillRect/>
                    </a:stretch>
                  </pic:blipFill>
                  <pic:spPr>
                    <a:xfrm>
                      <a:off x="0" y="0"/>
                      <a:ext cx="3587750" cy="2680970"/>
                    </a:xfrm>
                    <a:prstGeom prst="rect">
                      <a:avLst/>
                    </a:prstGeom>
                    <a:noFill/>
                    <a:ln>
                      <a:noFill/>
                    </a:ln>
                  </pic:spPr>
                </pic:pic>
              </a:graphicData>
            </a:graphic>
          </wp:anchor>
        </w:drawing>
      </w:r>
    </w:p>
    <w:p>
      <w:pPr>
        <w:spacing w:line="576" w:lineRule="exact"/>
        <w:ind w:firstLine="640" w:firstLineChars="2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0" w:firstLineChars="200"/>
        <w:outlineLvl w:val="1"/>
        <w:rPr>
          <w:rFonts w:ascii="黑体" w:eastAsia="黑体"/>
          <w:color w:val="000000"/>
          <w:sz w:val="32"/>
          <w:szCs w:val="32"/>
        </w:rPr>
      </w:pPr>
      <w:bookmarkStart w:id="45" w:name="_Toc79163613"/>
      <w:bookmarkStart w:id="46" w:name="_Toc15396606"/>
      <w:bookmarkStart w:id="47" w:name="_Toc15377208"/>
    </w:p>
    <w:p>
      <w:pPr>
        <w:spacing w:line="576" w:lineRule="exact"/>
        <w:ind w:firstLine="640" w:firstLineChars="200"/>
        <w:outlineLvl w:val="1"/>
        <w:rPr>
          <w:rFonts w:ascii="黑体" w:eastAsia="黑体"/>
          <w:color w:val="000000"/>
          <w:sz w:val="32"/>
          <w:szCs w:val="32"/>
        </w:rPr>
      </w:pPr>
    </w:p>
    <w:p>
      <w:pPr>
        <w:spacing w:line="576" w:lineRule="exact"/>
        <w:ind w:firstLine="640" w:firstLineChars="200"/>
        <w:outlineLvl w:val="1"/>
        <w:rPr>
          <w:rFonts w:ascii="黑体" w:eastAsia="黑体"/>
          <w:color w:val="000000"/>
          <w:sz w:val="32"/>
          <w:szCs w:val="32"/>
        </w:rPr>
      </w:pPr>
    </w:p>
    <w:p>
      <w:pPr>
        <w:spacing w:line="576" w:lineRule="exact"/>
        <w:outlineLvl w:val="1"/>
        <w:rPr>
          <w:rFonts w:ascii="黑体" w:eastAsia="黑体"/>
          <w:color w:val="000000"/>
          <w:sz w:val="32"/>
          <w:szCs w:val="32"/>
        </w:rPr>
      </w:pPr>
    </w:p>
    <w:p>
      <w:pPr>
        <w:spacing w:line="576" w:lineRule="exact"/>
        <w:outlineLvl w:val="1"/>
        <w:rPr>
          <w:rFonts w:ascii="黑体" w:eastAsia="黑体"/>
          <w:color w:val="000000"/>
          <w:sz w:val="32"/>
          <w:szCs w:val="32"/>
        </w:rPr>
      </w:pPr>
    </w:p>
    <w:p>
      <w:pPr>
        <w:spacing w:line="576" w:lineRule="exact"/>
        <w:ind w:firstLine="640" w:firstLineChars="200"/>
        <w:outlineLvl w:val="1"/>
        <w:rPr>
          <w:rStyle w:val="24"/>
          <w:rFonts w:ascii="黑体" w:eastAsia="黑体"/>
          <w:b w:val="0"/>
        </w:rPr>
      </w:pPr>
      <w:bookmarkStart w:id="48" w:name="_Toc114821450"/>
      <w:r>
        <w:rPr>
          <w:rFonts w:hint="eastAsia" w:ascii="黑体" w:eastAsia="黑体"/>
          <w:color w:val="000000"/>
          <w:sz w:val="32"/>
          <w:szCs w:val="32"/>
        </w:rPr>
        <w:t>四、财</w:t>
      </w:r>
      <w:r>
        <w:rPr>
          <w:rStyle w:val="24"/>
          <w:rFonts w:hint="eastAsia" w:ascii="黑体" w:eastAsia="黑体"/>
          <w:b w:val="0"/>
        </w:rPr>
        <w:t>政拨款收入支出决算总体情况说明</w:t>
      </w:r>
      <w:bookmarkEnd w:id="45"/>
      <w:bookmarkEnd w:id="46"/>
      <w:bookmarkEnd w:id="47"/>
      <w:bookmarkEnd w:id="48"/>
    </w:p>
    <w:p>
      <w:pPr>
        <w:spacing w:line="576" w:lineRule="exact"/>
        <w:ind w:firstLine="640"/>
        <w:rPr>
          <w:rFonts w:hint="eastAsia" w:ascii="仿宋" w:eastAsia="仿宋"/>
          <w:b/>
          <w:color w:val="FF0000"/>
          <w:sz w:val="32"/>
          <w:szCs w:val="32"/>
          <w:lang w:eastAsia="zh-CN"/>
        </w:rPr>
      </w:pPr>
      <w:r>
        <w:rPr>
          <w:rFonts w:ascii="仿宋" w:eastAsia="仿宋"/>
          <w:color w:val="000000"/>
          <w:sz w:val="32"/>
          <w:szCs w:val="32"/>
        </w:rPr>
        <w:t>2021</w:t>
      </w:r>
      <w:r>
        <w:rPr>
          <w:rFonts w:hint="eastAsia" w:ascii="仿宋" w:eastAsia="仿宋"/>
          <w:color w:val="000000"/>
          <w:sz w:val="32"/>
          <w:szCs w:val="32"/>
        </w:rPr>
        <w:t>年财政拨款收、支总计</w:t>
      </w:r>
      <w:r>
        <w:rPr>
          <w:rFonts w:ascii="仿宋" w:eastAsia="仿宋"/>
          <w:color w:val="000000"/>
          <w:sz w:val="32"/>
          <w:szCs w:val="32"/>
        </w:rPr>
        <w:t>883.87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ascii="仿宋" w:eastAsia="仿宋"/>
          <w:color w:val="000000"/>
          <w:sz w:val="32"/>
          <w:szCs w:val="32"/>
        </w:rPr>
        <w:t>0.82</w:t>
      </w:r>
      <w:r>
        <w:rPr>
          <w:rFonts w:hint="eastAsia" w:ascii="仿宋" w:eastAsia="仿宋"/>
          <w:color w:val="000000"/>
          <w:sz w:val="32"/>
          <w:szCs w:val="32"/>
        </w:rPr>
        <w:t>万元，下降</w:t>
      </w:r>
      <w:r>
        <w:rPr>
          <w:rFonts w:ascii="仿宋" w:eastAsia="仿宋"/>
          <w:color w:val="000000"/>
          <w:sz w:val="32"/>
          <w:szCs w:val="32"/>
        </w:rPr>
        <w:t>0.09%</w:t>
      </w:r>
      <w:r>
        <w:rPr>
          <w:rFonts w:hint="eastAsia" w:ascii="仿宋" w:eastAsia="仿宋"/>
          <w:color w:val="000000"/>
          <w:sz w:val="32"/>
          <w:szCs w:val="32"/>
        </w:rPr>
        <w:t>。主要变动原因是年初结转和结余减少</w:t>
      </w:r>
      <w:r>
        <w:rPr>
          <w:rFonts w:hint="eastAsia" w:ascii="仿宋" w:eastAsia="仿宋"/>
          <w:color w:val="000000"/>
          <w:sz w:val="32"/>
          <w:szCs w:val="32"/>
          <w:lang w:eastAsia="zh-CN"/>
        </w:rPr>
        <w:t>。</w:t>
      </w:r>
    </w:p>
    <w:p>
      <w:pPr>
        <w:spacing w:line="576"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576" w:lineRule="exact"/>
        <w:jc w:val="center"/>
        <w:rPr>
          <w:rFonts w:ascii="仿宋" w:eastAsia="仿宋"/>
          <w:color w:val="000000"/>
          <w:sz w:val="32"/>
          <w:szCs w:val="32"/>
        </w:rPr>
      </w:pPr>
      <w:r>
        <w:drawing>
          <wp:anchor distT="0" distB="0" distL="114300" distR="114300" simplePos="0" relativeHeight="251658240" behindDoc="0" locked="0" layoutInCell="1" allowOverlap="1">
            <wp:simplePos x="0" y="0"/>
            <wp:positionH relativeFrom="column">
              <wp:posOffset>703580</wp:posOffset>
            </wp:positionH>
            <wp:positionV relativeFrom="paragraph">
              <wp:posOffset>195580</wp:posOffset>
            </wp:positionV>
            <wp:extent cx="3307715" cy="2348865"/>
            <wp:effectExtent l="0" t="0" r="14605" b="13335"/>
            <wp:wrapSquare wrapText="bothSides"/>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9"/>
                    <a:stretch>
                      <a:fillRect/>
                    </a:stretch>
                  </pic:blipFill>
                  <pic:spPr>
                    <a:xfrm>
                      <a:off x="0" y="0"/>
                      <a:ext cx="3307715" cy="2348865"/>
                    </a:xfrm>
                    <a:prstGeom prst="rect">
                      <a:avLst/>
                    </a:prstGeom>
                    <a:noFill/>
                    <a:ln>
                      <a:noFill/>
                    </a:ln>
                  </pic:spPr>
                </pic:pic>
              </a:graphicData>
            </a:graphic>
          </wp:anchor>
        </w:drawing>
      </w:r>
    </w:p>
    <w:p>
      <w:pPr>
        <w:spacing w:line="576" w:lineRule="exact"/>
        <w:jc w:val="center"/>
        <w:rPr>
          <w:rFonts w:ascii="仿宋" w:eastAsia="仿宋"/>
          <w:color w:val="000000"/>
          <w:sz w:val="32"/>
          <w:szCs w:val="32"/>
        </w:rPr>
      </w:pPr>
    </w:p>
    <w:p>
      <w:pPr>
        <w:spacing w:line="576" w:lineRule="exact"/>
        <w:jc w:val="center"/>
        <w:rPr>
          <w:rFonts w:ascii="仿宋" w:eastAsia="仿宋"/>
          <w:color w:val="000000"/>
          <w:sz w:val="32"/>
          <w:szCs w:val="32"/>
        </w:rPr>
      </w:pPr>
    </w:p>
    <w:p>
      <w:pPr>
        <w:spacing w:line="576" w:lineRule="exact"/>
        <w:jc w:val="center"/>
        <w:rPr>
          <w:rFonts w:ascii="仿宋" w:eastAsia="仿宋"/>
          <w:color w:val="000000"/>
          <w:sz w:val="32"/>
          <w:szCs w:val="32"/>
        </w:rPr>
      </w:pPr>
    </w:p>
    <w:p>
      <w:pPr>
        <w:spacing w:line="576" w:lineRule="exact"/>
        <w:ind w:firstLine="640"/>
        <w:rPr>
          <w:rFonts w:ascii="仿宋" w:eastAsia="仿宋"/>
          <w:b/>
          <w:color w:val="00B050"/>
          <w:sz w:val="32"/>
          <w:szCs w:val="32"/>
        </w:rPr>
      </w:pPr>
    </w:p>
    <w:p>
      <w:pPr>
        <w:spacing w:line="576" w:lineRule="exact"/>
        <w:ind w:firstLine="640" w:firstLineChars="200"/>
        <w:outlineLvl w:val="1"/>
        <w:rPr>
          <w:rFonts w:ascii="黑体" w:eastAsia="黑体"/>
          <w:color w:val="000000"/>
          <w:sz w:val="32"/>
          <w:szCs w:val="32"/>
        </w:rPr>
      </w:pPr>
      <w:bookmarkStart w:id="49" w:name="_Toc15377209"/>
      <w:bookmarkStart w:id="50" w:name="_Toc15396607"/>
      <w:bookmarkStart w:id="51" w:name="_Toc79163614"/>
    </w:p>
    <w:p>
      <w:pPr>
        <w:spacing w:line="576" w:lineRule="exact"/>
        <w:outlineLvl w:val="1"/>
        <w:rPr>
          <w:rFonts w:ascii="黑体" w:eastAsia="黑体"/>
          <w:color w:val="000000"/>
          <w:sz w:val="32"/>
          <w:szCs w:val="32"/>
        </w:rPr>
      </w:pPr>
    </w:p>
    <w:p>
      <w:pPr>
        <w:spacing w:line="576" w:lineRule="exact"/>
        <w:ind w:firstLine="640" w:firstLineChars="200"/>
        <w:outlineLvl w:val="1"/>
        <w:rPr>
          <w:rStyle w:val="24"/>
          <w:rFonts w:ascii="黑体" w:eastAsia="黑体"/>
          <w:b w:val="0"/>
        </w:rPr>
      </w:pPr>
      <w:bookmarkStart w:id="52" w:name="_Toc114821451"/>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49"/>
      <w:bookmarkEnd w:id="50"/>
      <w:bookmarkEnd w:id="51"/>
      <w:bookmarkEnd w:id="52"/>
    </w:p>
    <w:p>
      <w:pPr>
        <w:spacing w:line="576" w:lineRule="exact"/>
        <w:ind w:firstLine="642" w:firstLineChars="200"/>
        <w:outlineLvl w:val="2"/>
        <w:rPr>
          <w:rFonts w:ascii="仿宋" w:eastAsia="仿宋"/>
          <w:b/>
          <w:color w:val="000000"/>
          <w:sz w:val="32"/>
          <w:szCs w:val="32"/>
        </w:rPr>
      </w:pPr>
      <w:bookmarkStart w:id="53" w:name="_Toc114821452"/>
      <w:bookmarkStart w:id="54" w:name="_Toc15377210"/>
      <w:bookmarkStart w:id="55" w:name="_Toc79163615"/>
      <w:r>
        <w:rPr>
          <w:rFonts w:hint="eastAsia" w:ascii="仿宋" w:eastAsia="仿宋"/>
          <w:b/>
          <w:color w:val="000000"/>
          <w:sz w:val="32"/>
          <w:szCs w:val="32"/>
        </w:rPr>
        <w:t>（一）一般公共预算财政拨款支出决算总体情况</w:t>
      </w:r>
      <w:bookmarkEnd w:id="53"/>
      <w:bookmarkEnd w:id="54"/>
      <w:bookmarkEnd w:id="55"/>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883.87</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w:t>
      </w:r>
      <w:r>
        <w:rPr>
          <w:rFonts w:ascii="仿宋" w:eastAsia="仿宋"/>
          <w:color w:val="000000"/>
          <w:sz w:val="32"/>
          <w:szCs w:val="32"/>
        </w:rPr>
        <w:t>94.11</w:t>
      </w:r>
      <w:r>
        <w:rPr>
          <w:rFonts w:hint="eastAsia" w:ascii="仿宋" w:eastAsia="仿宋"/>
          <w:color w:val="000000"/>
          <w:sz w:val="32"/>
          <w:szCs w:val="32"/>
        </w:rPr>
        <w:t>万元，增长</w:t>
      </w:r>
      <w:r>
        <w:rPr>
          <w:rFonts w:ascii="仿宋" w:eastAsia="仿宋"/>
          <w:color w:val="000000"/>
          <w:sz w:val="32"/>
          <w:szCs w:val="32"/>
        </w:rPr>
        <w:t>12%</w:t>
      </w:r>
      <w:r>
        <w:rPr>
          <w:rFonts w:hint="eastAsia" w:ascii="仿宋" w:eastAsia="仿宋"/>
          <w:color w:val="000000"/>
          <w:sz w:val="32"/>
          <w:szCs w:val="32"/>
        </w:rPr>
        <w:t>。主要变动原因是项目增加和人员经费增加。</w:t>
      </w:r>
    </w:p>
    <w:p>
      <w:pPr>
        <w:spacing w:line="576"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576" w:lineRule="exact"/>
        <w:jc w:val="center"/>
        <w:rPr>
          <w:rFonts w:ascii="仿宋" w:eastAsia="仿宋"/>
          <w:color w:val="000000"/>
          <w:sz w:val="32"/>
          <w:szCs w:val="32"/>
        </w:rPr>
      </w:pPr>
      <w:r>
        <w:drawing>
          <wp:anchor distT="0" distB="0" distL="114300" distR="114300" simplePos="0" relativeHeight="251660288" behindDoc="0" locked="0" layoutInCell="1" allowOverlap="1">
            <wp:simplePos x="0" y="0"/>
            <wp:positionH relativeFrom="column">
              <wp:posOffset>713740</wp:posOffset>
            </wp:positionH>
            <wp:positionV relativeFrom="paragraph">
              <wp:posOffset>204470</wp:posOffset>
            </wp:positionV>
            <wp:extent cx="3306445" cy="2436495"/>
            <wp:effectExtent l="0" t="0" r="635" b="1905"/>
            <wp:wrapSquare wrapText="bothSides"/>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9"/>
                    <a:stretch>
                      <a:fillRect/>
                    </a:stretch>
                  </pic:blipFill>
                  <pic:spPr>
                    <a:xfrm>
                      <a:off x="0" y="0"/>
                      <a:ext cx="3306445" cy="2436495"/>
                    </a:xfrm>
                    <a:prstGeom prst="rect">
                      <a:avLst/>
                    </a:prstGeom>
                    <a:noFill/>
                    <a:ln>
                      <a:noFill/>
                    </a:ln>
                  </pic:spPr>
                </pic:pic>
              </a:graphicData>
            </a:graphic>
          </wp:anchor>
        </w:drawing>
      </w:r>
    </w:p>
    <w:p>
      <w:pPr>
        <w:spacing w:line="576" w:lineRule="exact"/>
        <w:jc w:val="center"/>
        <w:rPr>
          <w:rFonts w:ascii="仿宋" w:eastAsia="仿宋"/>
          <w:color w:val="000000"/>
          <w:sz w:val="32"/>
          <w:szCs w:val="32"/>
        </w:rPr>
      </w:pPr>
    </w:p>
    <w:p>
      <w:pPr>
        <w:spacing w:line="576" w:lineRule="exact"/>
        <w:jc w:val="center"/>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2" w:firstLineChars="200"/>
        <w:outlineLvl w:val="2"/>
        <w:rPr>
          <w:rFonts w:ascii="仿宋" w:eastAsia="仿宋"/>
          <w:b/>
          <w:color w:val="000000"/>
          <w:sz w:val="32"/>
          <w:szCs w:val="32"/>
        </w:rPr>
      </w:pPr>
      <w:bookmarkStart w:id="56" w:name="_Toc79163866"/>
      <w:bookmarkStart w:id="57" w:name="_Toc15377211"/>
      <w:bookmarkStart w:id="58" w:name="_Toc79163616"/>
    </w:p>
    <w:p>
      <w:pPr>
        <w:spacing w:line="576" w:lineRule="exact"/>
        <w:ind w:firstLine="642" w:firstLineChars="200"/>
        <w:outlineLvl w:val="2"/>
        <w:rPr>
          <w:rFonts w:ascii="仿宋" w:eastAsia="仿宋"/>
          <w:b/>
          <w:color w:val="000000"/>
          <w:sz w:val="32"/>
          <w:szCs w:val="32"/>
        </w:rPr>
      </w:pPr>
    </w:p>
    <w:p>
      <w:pPr>
        <w:spacing w:line="576" w:lineRule="exact"/>
        <w:ind w:firstLine="642" w:firstLineChars="200"/>
        <w:outlineLvl w:val="2"/>
        <w:rPr>
          <w:rFonts w:ascii="仿宋" w:eastAsia="仿宋"/>
          <w:b/>
          <w:color w:val="000000"/>
          <w:sz w:val="32"/>
          <w:szCs w:val="32"/>
        </w:rPr>
      </w:pPr>
    </w:p>
    <w:p>
      <w:pPr>
        <w:spacing w:line="576" w:lineRule="exact"/>
        <w:ind w:firstLine="1285" w:firstLineChars="400"/>
        <w:outlineLvl w:val="2"/>
        <w:rPr>
          <w:rFonts w:ascii="仿宋" w:eastAsia="仿宋"/>
          <w:b/>
          <w:color w:val="000000"/>
          <w:sz w:val="32"/>
          <w:szCs w:val="32"/>
        </w:rPr>
      </w:pPr>
      <w:bookmarkStart w:id="59" w:name="_Toc114821453"/>
      <w:r>
        <w:rPr>
          <w:rFonts w:hint="eastAsia" w:ascii="仿宋" w:eastAsia="仿宋"/>
          <w:b/>
          <w:color w:val="000000"/>
          <w:sz w:val="32"/>
          <w:szCs w:val="32"/>
        </w:rPr>
        <w:t>（二）一般公共预算财政拨款支出决算结构情况</w:t>
      </w:r>
      <w:bookmarkEnd w:id="56"/>
      <w:bookmarkEnd w:id="57"/>
      <w:bookmarkEnd w:id="58"/>
      <w:bookmarkEnd w:id="59"/>
    </w:p>
    <w:p>
      <w:pPr>
        <w:spacing w:line="576" w:lineRule="exact"/>
        <w:ind w:firstLine="640"/>
        <w:rPr>
          <w:rFonts w:ascii="仿宋" w:eastAsia="仿宋"/>
          <w:b/>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883.87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ascii="仿宋" w:eastAsia="仿宋"/>
          <w:color w:val="000000"/>
          <w:sz w:val="32"/>
          <w:szCs w:val="32"/>
        </w:rPr>
        <w:t>852.04</w:t>
      </w:r>
      <w:r>
        <w:rPr>
          <w:rFonts w:hint="eastAsia" w:ascii="仿宋" w:eastAsia="仿宋"/>
          <w:color w:val="000000"/>
          <w:sz w:val="32"/>
          <w:szCs w:val="32"/>
        </w:rPr>
        <w:t>万元，占</w:t>
      </w:r>
      <w:r>
        <w:rPr>
          <w:rFonts w:ascii="仿宋" w:eastAsia="仿宋"/>
          <w:color w:val="000000"/>
          <w:sz w:val="32"/>
          <w:szCs w:val="32"/>
        </w:rPr>
        <w:t>96%</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24.31</w:t>
      </w:r>
      <w:r>
        <w:rPr>
          <w:rFonts w:hint="eastAsia" w:ascii="仿宋" w:eastAsia="仿宋"/>
          <w:color w:val="000000"/>
          <w:sz w:val="32"/>
          <w:szCs w:val="32"/>
        </w:rPr>
        <w:t>万元，占</w:t>
      </w:r>
      <w:r>
        <w:rPr>
          <w:rFonts w:ascii="仿宋" w:eastAsia="仿宋"/>
          <w:color w:val="000000"/>
          <w:sz w:val="32"/>
          <w:szCs w:val="32"/>
        </w:rPr>
        <w:t>3%</w:t>
      </w:r>
      <w:r>
        <w:rPr>
          <w:rFonts w:hint="eastAsia" w:ascii="仿宋" w:eastAsia="仿宋"/>
          <w:color w:val="000000"/>
          <w:sz w:val="32"/>
          <w:szCs w:val="32"/>
        </w:rPr>
        <w:t>；住房保障支出</w:t>
      </w:r>
      <w:r>
        <w:rPr>
          <w:rFonts w:ascii="仿宋" w:eastAsia="仿宋"/>
          <w:color w:val="000000"/>
          <w:sz w:val="32"/>
          <w:szCs w:val="32"/>
        </w:rPr>
        <w:t>7.52</w:t>
      </w:r>
      <w:r>
        <w:rPr>
          <w:rFonts w:hint="eastAsia" w:ascii="仿宋" w:eastAsia="仿宋"/>
          <w:color w:val="000000"/>
          <w:sz w:val="32"/>
          <w:szCs w:val="32"/>
        </w:rPr>
        <w:t>万元，占</w:t>
      </w:r>
      <w:r>
        <w:rPr>
          <w:rFonts w:ascii="仿宋" w:eastAsia="仿宋"/>
          <w:color w:val="000000"/>
          <w:sz w:val="32"/>
          <w:szCs w:val="32"/>
        </w:rPr>
        <w:t>1%</w:t>
      </w:r>
      <w:r>
        <w:rPr>
          <w:rFonts w:hint="eastAsia" w:ascii="仿宋" w:eastAsia="仿宋"/>
          <w:color w:val="000000"/>
          <w:sz w:val="32"/>
          <w:szCs w:val="32"/>
        </w:rPr>
        <w:t>。</w:t>
      </w:r>
    </w:p>
    <w:p>
      <w:pPr>
        <w:spacing w:line="576" w:lineRule="exact"/>
        <w:ind w:firstLine="960" w:firstLineChars="3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spacing w:line="576" w:lineRule="exact"/>
        <w:ind w:firstLine="630" w:firstLineChars="300"/>
        <w:rPr>
          <w:rFonts w:ascii="仿宋" w:eastAsia="仿宋"/>
          <w:color w:val="000000"/>
          <w:sz w:val="32"/>
          <w:szCs w:val="32"/>
        </w:rPr>
      </w:pPr>
      <w:r>
        <w:drawing>
          <wp:anchor distT="0" distB="0" distL="114300" distR="114300" simplePos="0" relativeHeight="251662336" behindDoc="0" locked="0" layoutInCell="1" allowOverlap="1">
            <wp:simplePos x="0" y="0"/>
            <wp:positionH relativeFrom="column">
              <wp:posOffset>876935</wp:posOffset>
            </wp:positionH>
            <wp:positionV relativeFrom="paragraph">
              <wp:posOffset>107950</wp:posOffset>
            </wp:positionV>
            <wp:extent cx="3450590" cy="2383155"/>
            <wp:effectExtent l="0" t="0" r="8890" b="9525"/>
            <wp:wrapSquare wrapText="bothSides"/>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pic:cNvPicPr>
                  </pic:nvPicPr>
                  <pic:blipFill>
                    <a:blip r:embed="rId10"/>
                    <a:stretch>
                      <a:fillRect/>
                    </a:stretch>
                  </pic:blipFill>
                  <pic:spPr>
                    <a:xfrm>
                      <a:off x="0" y="0"/>
                      <a:ext cx="3450590" cy="2383155"/>
                    </a:xfrm>
                    <a:prstGeom prst="rect">
                      <a:avLst/>
                    </a:prstGeom>
                    <a:noFill/>
                    <a:ln>
                      <a:noFill/>
                    </a:ln>
                  </pic:spPr>
                </pic:pic>
              </a:graphicData>
            </a:graphic>
          </wp:anchor>
        </w:drawing>
      </w:r>
    </w:p>
    <w:p>
      <w:pPr>
        <w:spacing w:line="576" w:lineRule="exact"/>
        <w:ind w:firstLine="960" w:firstLineChars="300"/>
        <w:rPr>
          <w:rFonts w:ascii="仿宋" w:eastAsia="仿宋"/>
          <w:color w:val="000000"/>
          <w:sz w:val="32"/>
          <w:szCs w:val="32"/>
        </w:rPr>
      </w:pPr>
    </w:p>
    <w:p>
      <w:pPr>
        <w:spacing w:line="576" w:lineRule="exact"/>
        <w:ind w:firstLine="960" w:firstLineChars="300"/>
        <w:rPr>
          <w:rFonts w:ascii="仿宋" w:eastAsia="仿宋"/>
          <w:color w:val="000000"/>
          <w:sz w:val="32"/>
          <w:szCs w:val="32"/>
        </w:rPr>
      </w:pPr>
    </w:p>
    <w:p>
      <w:pPr>
        <w:spacing w:line="576" w:lineRule="exact"/>
        <w:ind w:firstLine="960" w:firstLineChars="300"/>
        <w:rPr>
          <w:rFonts w:ascii="仿宋" w:eastAsia="仿宋"/>
          <w:color w:val="000000"/>
          <w:sz w:val="32"/>
          <w:szCs w:val="32"/>
        </w:rPr>
      </w:pPr>
    </w:p>
    <w:p>
      <w:pPr>
        <w:spacing w:line="576" w:lineRule="exact"/>
        <w:ind w:firstLine="640" w:firstLineChars="200"/>
        <w:rPr>
          <w:rFonts w:ascii="仿宋" w:eastAsia="仿宋"/>
          <w:color w:val="000000"/>
          <w:sz w:val="32"/>
          <w:szCs w:val="32"/>
        </w:rPr>
      </w:pPr>
    </w:p>
    <w:p>
      <w:pPr>
        <w:spacing w:line="576" w:lineRule="exact"/>
        <w:ind w:firstLine="642" w:firstLineChars="200"/>
        <w:outlineLvl w:val="2"/>
        <w:rPr>
          <w:rFonts w:ascii="仿宋" w:eastAsia="仿宋"/>
          <w:b/>
          <w:color w:val="000000"/>
          <w:sz w:val="32"/>
          <w:szCs w:val="32"/>
        </w:rPr>
      </w:pPr>
      <w:bookmarkStart w:id="60" w:name="_Toc79163617"/>
      <w:bookmarkStart w:id="61" w:name="_Toc15377212"/>
    </w:p>
    <w:p>
      <w:pPr>
        <w:spacing w:line="576" w:lineRule="exact"/>
        <w:outlineLvl w:val="2"/>
        <w:rPr>
          <w:rFonts w:ascii="仿宋" w:eastAsia="仿宋"/>
          <w:b/>
          <w:color w:val="000000"/>
          <w:sz w:val="32"/>
          <w:szCs w:val="32"/>
        </w:rPr>
      </w:pPr>
    </w:p>
    <w:p>
      <w:pPr>
        <w:spacing w:line="576" w:lineRule="exact"/>
        <w:ind w:firstLine="321" w:firstLineChars="100"/>
        <w:outlineLvl w:val="2"/>
        <w:rPr>
          <w:rFonts w:ascii="仿宋" w:eastAsia="仿宋"/>
          <w:b/>
          <w:color w:val="000000"/>
          <w:sz w:val="32"/>
          <w:szCs w:val="32"/>
        </w:rPr>
      </w:pPr>
      <w:bookmarkStart w:id="62" w:name="_Toc114821454"/>
      <w:r>
        <w:rPr>
          <w:rFonts w:hint="eastAsia" w:ascii="仿宋" w:eastAsia="仿宋"/>
          <w:b/>
          <w:color w:val="000000"/>
          <w:sz w:val="32"/>
          <w:szCs w:val="32"/>
        </w:rPr>
        <w:t>（三）一般公共预算财政拨款支出决算具体情况</w:t>
      </w:r>
      <w:bookmarkEnd w:id="60"/>
      <w:bookmarkEnd w:id="61"/>
      <w:bookmarkEnd w:id="62"/>
    </w:p>
    <w:p>
      <w:pPr>
        <w:spacing w:line="576" w:lineRule="exact"/>
        <w:ind w:firstLine="642" w:firstLineChars="200"/>
        <w:rPr>
          <w:rFonts w:ascii="仿宋_GB2312" w:eastAsia="仿宋_GB2312"/>
          <w:b/>
          <w:bCs/>
          <w:sz w:val="32"/>
          <w:szCs w:val="32"/>
        </w:rPr>
      </w:pPr>
      <w:bookmarkStart w:id="63" w:name="_Toc15378460"/>
      <w:bookmarkStart w:id="64" w:name="_Toc15377213"/>
      <w:bookmarkStart w:id="65"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883.87</w:t>
      </w:r>
      <w:r>
        <w:rPr>
          <w:rFonts w:hint="eastAsia" w:ascii="仿宋_GB2312" w:eastAsia="仿宋_GB2312"/>
          <w:b/>
          <w:bCs/>
          <w:sz w:val="32"/>
          <w:szCs w:val="32"/>
        </w:rPr>
        <w:t>万元，完成预算</w:t>
      </w:r>
      <w:r>
        <w:rPr>
          <w:rFonts w:ascii="仿宋_GB2312" w:eastAsia="仿宋_GB2312"/>
          <w:b/>
          <w:bCs/>
          <w:sz w:val="32"/>
          <w:szCs w:val="32"/>
        </w:rPr>
        <w:t>100%</w:t>
      </w:r>
      <w:r>
        <w:rPr>
          <w:rFonts w:hint="eastAsia" w:ascii="仿宋_GB2312" w:eastAsia="仿宋_GB2312"/>
          <w:b/>
          <w:bCs/>
          <w:sz w:val="32"/>
          <w:szCs w:val="32"/>
        </w:rPr>
        <w:t>。其中：</w:t>
      </w:r>
      <w:bookmarkEnd w:id="63"/>
      <w:bookmarkEnd w:id="64"/>
      <w:bookmarkEnd w:id="65"/>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bookmarkStart w:id="66" w:name="_Hlk51311839"/>
      <w:r>
        <w:rPr>
          <w:rFonts w:hint="eastAsia" w:ascii="仿宋_GB2312" w:eastAsia="仿宋_GB2312"/>
          <w:sz w:val="32"/>
          <w:szCs w:val="32"/>
        </w:rPr>
        <w:t>支出决算数为</w:t>
      </w:r>
      <w:r>
        <w:rPr>
          <w:rFonts w:ascii="仿宋_GB2312" w:eastAsia="仿宋_GB2312"/>
          <w:sz w:val="32"/>
          <w:szCs w:val="32"/>
        </w:rPr>
        <w:t>7.45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6"/>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3.72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67" w:name="_Hlk51312987"/>
      <w:r>
        <w:rPr>
          <w:rFonts w:ascii="仿宋_GB2312" w:eastAsia="仿宋_GB2312"/>
          <w:sz w:val="32"/>
          <w:szCs w:val="32"/>
        </w:rPr>
        <w:t>3</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4.87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7"/>
    <w:p>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7.52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）军队转业干部安置（</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14.52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7.</w:t>
      </w:r>
      <w:bookmarkStart w:id="68" w:name="_Hlk42761990"/>
      <w:r>
        <w:rPr>
          <w:rFonts w:hint="eastAsia" w:ascii="仿宋_GB2312" w:eastAsia="仿宋_GB2312"/>
          <w:sz w:val="32"/>
          <w:szCs w:val="32"/>
        </w:rPr>
        <w:t>社会保障和就业支出</w:t>
      </w:r>
      <w:bookmarkEnd w:id="68"/>
      <w:r>
        <w:rPr>
          <w:rFonts w:hint="eastAsia" w:ascii="仿宋_GB2312" w:eastAsia="仿宋_GB2312"/>
          <w:sz w:val="32"/>
          <w:szCs w:val="32"/>
        </w:rPr>
        <w:t>（</w:t>
      </w:r>
      <w:r>
        <w:rPr>
          <w:rFonts w:ascii="仿宋_GB2312" w:eastAsia="仿宋_GB2312"/>
          <w:sz w:val="32"/>
          <w:szCs w:val="32"/>
        </w:rPr>
        <w:t>208</w:t>
      </w:r>
      <w:r>
        <w:rPr>
          <w:rFonts w:hint="eastAsia" w:ascii="仿宋_GB2312" w:eastAsia="仿宋_GB2312"/>
          <w:sz w:val="32"/>
          <w:szCs w:val="32"/>
        </w:rPr>
        <w:t>）抚恤支出（</w:t>
      </w:r>
      <w:r>
        <w:rPr>
          <w:rFonts w:ascii="仿宋_GB2312" w:eastAsia="仿宋_GB2312"/>
          <w:sz w:val="32"/>
          <w:szCs w:val="32"/>
        </w:rPr>
        <w:t>08</w:t>
      </w:r>
      <w:r>
        <w:rPr>
          <w:rFonts w:hint="eastAsia" w:ascii="仿宋_GB2312" w:eastAsia="仿宋_GB2312"/>
          <w:sz w:val="32"/>
          <w:szCs w:val="32"/>
        </w:rPr>
        <w:t>）优抚事业单位支出（</w:t>
      </w:r>
      <w:r>
        <w:rPr>
          <w:rFonts w:ascii="仿宋_GB2312" w:eastAsia="仿宋_GB2312"/>
          <w:sz w:val="32"/>
          <w:szCs w:val="32"/>
        </w:rPr>
        <w:t>04</w:t>
      </w:r>
      <w:r>
        <w:rPr>
          <w:rFonts w:hint="eastAsia" w:ascii="仿宋_GB2312" w:eastAsia="仿宋_GB2312"/>
          <w:sz w:val="32"/>
          <w:szCs w:val="32"/>
        </w:rPr>
        <w:t>）</w:t>
      </w:r>
      <w:bookmarkStart w:id="69" w:name="_Hlk51312189"/>
      <w:r>
        <w:rPr>
          <w:rFonts w:hint="eastAsia" w:ascii="仿宋_GB2312" w:eastAsia="仿宋_GB2312"/>
          <w:sz w:val="32"/>
          <w:szCs w:val="32"/>
        </w:rPr>
        <w:t>支出决算数为</w:t>
      </w:r>
      <w:r>
        <w:rPr>
          <w:rFonts w:ascii="仿宋_GB2312" w:eastAsia="仿宋_GB2312"/>
          <w:sz w:val="32"/>
          <w:szCs w:val="32"/>
        </w:rPr>
        <w:t>82.1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9"/>
    <w:p>
      <w:pPr>
        <w:spacing w:line="576" w:lineRule="exact"/>
        <w:ind w:firstLine="640" w:firstLineChars="200"/>
        <w:rPr>
          <w:rFonts w:ascii="仿宋_GB2312" w:eastAsia="仿宋_GB2312"/>
          <w:sz w:val="32"/>
          <w:szCs w:val="32"/>
        </w:rPr>
      </w:pPr>
      <w:bookmarkStart w:id="70" w:name="_Hlk51312593"/>
      <w:r>
        <w:rPr>
          <w:rFonts w:ascii="仿宋_GB2312" w:eastAsia="仿宋_GB2312"/>
          <w:sz w:val="32"/>
          <w:szCs w:val="32"/>
        </w:rPr>
        <w:t xml:space="preserve">8.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）退役士兵安置（</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32.66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0"/>
    <w:p>
      <w:pPr>
        <w:spacing w:line="576" w:lineRule="exact"/>
        <w:ind w:firstLine="640" w:firstLineChars="200"/>
        <w:rPr>
          <w:rFonts w:ascii="仿宋_GB2312" w:eastAsia="仿宋_GB2312"/>
          <w:sz w:val="32"/>
          <w:szCs w:val="32"/>
        </w:rPr>
      </w:pPr>
      <w:r>
        <w:rPr>
          <w:rFonts w:ascii="仿宋_GB2312" w:eastAsia="仿宋_GB2312"/>
          <w:sz w:val="32"/>
          <w:szCs w:val="32"/>
        </w:rPr>
        <w:t>9.</w:t>
      </w:r>
      <w:bookmarkStart w:id="71" w:name="_Hlk42762618"/>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bookmarkEnd w:id="71"/>
      <w:bookmarkStart w:id="72" w:name="_Hlk51312229"/>
      <w:r>
        <w:rPr>
          <w:rFonts w:hint="eastAsia" w:ascii="仿宋_GB2312" w:eastAsia="仿宋_GB2312"/>
          <w:sz w:val="32"/>
          <w:szCs w:val="32"/>
        </w:rPr>
        <w:t>支出决算数为</w:t>
      </w:r>
      <w:r>
        <w:rPr>
          <w:rFonts w:ascii="仿宋_GB2312" w:eastAsia="仿宋_GB2312"/>
          <w:sz w:val="32"/>
          <w:szCs w:val="32"/>
        </w:rPr>
        <w:t>84.37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2"/>
    <w:p>
      <w:pPr>
        <w:spacing w:line="576" w:lineRule="exact"/>
        <w:ind w:firstLine="640" w:firstLineChars="200"/>
        <w:rPr>
          <w:rFonts w:ascii="仿宋_GB2312" w:eastAsia="仿宋_GB2312"/>
          <w:sz w:val="32"/>
          <w:szCs w:val="32"/>
        </w:rPr>
      </w:pPr>
      <w:bookmarkStart w:id="73" w:name="_Hlk51312268"/>
      <w:r>
        <w:rPr>
          <w:rFonts w:ascii="仿宋_GB2312" w:eastAsia="仿宋_GB2312"/>
          <w:sz w:val="32"/>
          <w:szCs w:val="32"/>
        </w:rPr>
        <w:t xml:space="preserve">11.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）死亡抚恤（</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150.49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3"/>
    <w:p>
      <w:pPr>
        <w:spacing w:line="576" w:lineRule="exact"/>
        <w:ind w:firstLine="640" w:firstLineChars="200"/>
        <w:rPr>
          <w:rFonts w:ascii="仿宋_GB2312" w:eastAsia="仿宋_GB2312"/>
          <w:sz w:val="32"/>
          <w:szCs w:val="32"/>
        </w:rPr>
      </w:pPr>
      <w:r>
        <w:rPr>
          <w:rFonts w:ascii="仿宋_GB2312" w:eastAsia="仿宋_GB2312"/>
          <w:sz w:val="32"/>
          <w:szCs w:val="32"/>
        </w:rPr>
        <w:t xml:space="preserve">12.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）伤残抚恤（</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55.85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74" w:name="_Hlk51313347"/>
      <w:r>
        <w:rPr>
          <w:rFonts w:ascii="仿宋_GB2312" w:eastAsia="仿宋_GB2312"/>
          <w:sz w:val="32"/>
          <w:szCs w:val="32"/>
        </w:rPr>
        <w:t xml:space="preserve">13.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）在乡复员、退伍军人生活补助（</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102.51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4"/>
    <w:p>
      <w:pPr>
        <w:spacing w:line="576" w:lineRule="exact"/>
        <w:ind w:firstLine="640" w:firstLineChars="200"/>
        <w:rPr>
          <w:rFonts w:ascii="仿宋_GB2312" w:eastAsia="仿宋_GB2312"/>
          <w:sz w:val="32"/>
          <w:szCs w:val="32"/>
        </w:rPr>
      </w:pPr>
      <w:r>
        <w:rPr>
          <w:rFonts w:ascii="仿宋_GB2312" w:eastAsia="仿宋_GB2312"/>
          <w:sz w:val="32"/>
          <w:szCs w:val="32"/>
        </w:rPr>
        <w:t xml:space="preserve">14.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）军队移交政府的离退休人员安置（</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151.8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15.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）军队移交政府离退休管理机构（</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4.34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）拥军优属（</w:t>
      </w:r>
      <w:r>
        <w:rPr>
          <w:rFonts w:ascii="仿宋_GB2312" w:eastAsia="仿宋_GB2312"/>
          <w:sz w:val="32"/>
          <w:szCs w:val="32"/>
        </w:rPr>
        <w:t>04</w:t>
      </w:r>
      <w:r>
        <w:rPr>
          <w:rFonts w:hint="eastAsia" w:ascii="仿宋_GB2312" w:eastAsia="仿宋_GB2312"/>
          <w:sz w:val="32"/>
          <w:szCs w:val="32"/>
        </w:rPr>
        <w:t>）支出决算数为</w:t>
      </w:r>
      <w:r>
        <w:rPr>
          <w:rFonts w:ascii="仿宋_GB2312" w:eastAsia="仿宋_GB2312"/>
          <w:sz w:val="32"/>
          <w:szCs w:val="32"/>
        </w:rPr>
        <w:t>11.25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w:t>
      </w:r>
      <w:bookmarkStart w:id="75" w:name="_Hlk51313032"/>
      <w:r>
        <w:rPr>
          <w:rFonts w:hint="eastAsia" w:ascii="仿宋_GB2312" w:eastAsia="仿宋_GB2312"/>
          <w:sz w:val="32"/>
          <w:szCs w:val="32"/>
        </w:rPr>
        <w:t>优抚对象医疗</w:t>
      </w:r>
      <w:bookmarkEnd w:id="75"/>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）优抚对象医疗补助（</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19.44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18.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）农村籍退役士兵生活补助（</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34.84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76" w:name="_Hlk82423208"/>
      <w:r>
        <w:rPr>
          <w:rFonts w:ascii="仿宋_GB2312" w:eastAsia="仿宋_GB2312"/>
          <w:sz w:val="32"/>
          <w:szCs w:val="32"/>
        </w:rPr>
        <w:t>19.</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）义务兵优待支出（</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115.37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6"/>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）临时救助（</w:t>
      </w:r>
      <w:r>
        <w:rPr>
          <w:rFonts w:ascii="仿宋_GB2312" w:eastAsia="仿宋_GB2312"/>
          <w:sz w:val="32"/>
          <w:szCs w:val="32"/>
        </w:rPr>
        <w:t>20</w:t>
      </w:r>
      <w:r>
        <w:rPr>
          <w:rFonts w:hint="eastAsia" w:ascii="仿宋_GB2312" w:eastAsia="仿宋_GB2312"/>
          <w:sz w:val="32"/>
          <w:szCs w:val="32"/>
        </w:rPr>
        <w:t>）临时救助支出（</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0.77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tabs>
          <w:tab w:val="right" w:pos="8306"/>
        </w:tabs>
        <w:spacing w:line="576" w:lineRule="exact"/>
        <w:ind w:firstLine="640"/>
        <w:outlineLvl w:val="1"/>
        <w:rPr>
          <w:rStyle w:val="24"/>
        </w:rPr>
      </w:pPr>
      <w:bookmarkStart w:id="77" w:name="_Toc114821455"/>
      <w:bookmarkStart w:id="78" w:name="_Toc15396608"/>
      <w:bookmarkStart w:id="79" w:name="_Toc79163618"/>
      <w:bookmarkStart w:id="80" w:name="_Toc15377214"/>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77"/>
      <w:bookmarkEnd w:id="78"/>
      <w:bookmarkEnd w:id="79"/>
      <w:bookmarkEnd w:id="80"/>
      <w:r>
        <w:rPr>
          <w:rStyle w:val="24"/>
          <w:rFonts w:ascii="黑体" w:eastAsia="黑体"/>
          <w:b w:val="0"/>
        </w:rPr>
        <w:tab/>
      </w:r>
    </w:p>
    <w:p>
      <w:pPr>
        <w:spacing w:line="576"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107.93</w:t>
      </w:r>
      <w:r>
        <w:rPr>
          <w:rFonts w:hint="eastAsia" w:ascii="仿宋" w:eastAsia="仿宋"/>
          <w:color w:val="000000"/>
          <w:sz w:val="32"/>
          <w:szCs w:val="32"/>
        </w:rPr>
        <w:t>万元，其中：</w:t>
      </w:r>
    </w:p>
    <w:p>
      <w:pPr>
        <w:spacing w:line="576"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102.41</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日常公用经费</w:t>
      </w:r>
      <w:r>
        <w:rPr>
          <w:rFonts w:ascii="仿宋" w:eastAsia="仿宋"/>
          <w:color w:val="000000"/>
          <w:sz w:val="32"/>
          <w:szCs w:val="32"/>
        </w:rPr>
        <w:t>5.52</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4"/>
          <w:rFonts w:ascii="黑体" w:eastAsia="黑体"/>
          <w:b w:val="0"/>
        </w:rPr>
      </w:pPr>
      <w:bookmarkStart w:id="81" w:name="_Toc79163619"/>
      <w:bookmarkStart w:id="82" w:name="_Toc15396609"/>
      <w:bookmarkStart w:id="83" w:name="_Toc114821456"/>
      <w:bookmarkStart w:id="84" w:name="_Toc15377215"/>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81"/>
      <w:bookmarkEnd w:id="82"/>
      <w:bookmarkEnd w:id="83"/>
      <w:bookmarkEnd w:id="84"/>
    </w:p>
    <w:p>
      <w:pPr>
        <w:spacing w:line="576" w:lineRule="exact"/>
        <w:ind w:firstLine="640"/>
        <w:outlineLvl w:val="2"/>
        <w:rPr>
          <w:rFonts w:ascii="仿宋" w:eastAsia="仿宋"/>
          <w:b/>
          <w:color w:val="000000"/>
          <w:sz w:val="32"/>
          <w:szCs w:val="32"/>
        </w:rPr>
      </w:pPr>
      <w:bookmarkStart w:id="85" w:name="_Toc79163620"/>
      <w:bookmarkStart w:id="86" w:name="_Toc15377216"/>
      <w:bookmarkStart w:id="87" w:name="_Toc114821457"/>
      <w:r>
        <w:rPr>
          <w:rFonts w:hint="eastAsia" w:ascii="仿宋" w:eastAsia="仿宋"/>
          <w:b/>
          <w:color w:val="000000"/>
          <w:sz w:val="32"/>
          <w:szCs w:val="32"/>
        </w:rPr>
        <w:t>（一）“三公”经费财政拨款支出决算总体情况说明</w:t>
      </w:r>
      <w:bookmarkEnd w:id="85"/>
      <w:bookmarkEnd w:id="86"/>
      <w:bookmarkEnd w:id="87"/>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0.07</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w:t>
      </w:r>
    </w:p>
    <w:p>
      <w:pPr>
        <w:spacing w:line="576" w:lineRule="exact"/>
        <w:ind w:firstLine="640"/>
        <w:outlineLvl w:val="2"/>
        <w:rPr>
          <w:rFonts w:ascii="仿宋" w:eastAsia="仿宋"/>
          <w:b/>
          <w:color w:val="000000"/>
          <w:sz w:val="32"/>
          <w:szCs w:val="32"/>
        </w:rPr>
      </w:pPr>
      <w:bookmarkStart w:id="88" w:name="_Toc79163621"/>
      <w:bookmarkStart w:id="89" w:name="_Toc114821458"/>
      <w:bookmarkStart w:id="90" w:name="_Toc15377217"/>
      <w:r>
        <w:rPr>
          <w:rFonts w:hint="eastAsia" w:ascii="仿宋" w:eastAsia="仿宋"/>
          <w:b/>
          <w:color w:val="000000"/>
          <w:sz w:val="32"/>
          <w:szCs w:val="32"/>
        </w:rPr>
        <w:t>（二）“三公”经费财政拨款支出决算具体情况说明</w:t>
      </w:r>
      <w:bookmarkEnd w:id="88"/>
      <w:bookmarkEnd w:id="89"/>
      <w:bookmarkEnd w:id="90"/>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w:t>
      </w:r>
      <w:r>
        <w:rPr>
          <w:rFonts w:ascii="仿宋" w:eastAsia="仿宋"/>
          <w:color w:val="000000"/>
          <w:sz w:val="32"/>
          <w:szCs w:val="32"/>
        </w:rPr>
        <w:t>0</w:t>
      </w:r>
      <w:r>
        <w:rPr>
          <w:rFonts w:hint="eastAsia" w:ascii="仿宋" w:eastAsia="仿宋"/>
          <w:color w:val="000000"/>
          <w:sz w:val="32"/>
          <w:szCs w:val="32"/>
        </w:rPr>
        <w:t>万元；公务接待费支出决算</w:t>
      </w:r>
      <w:r>
        <w:rPr>
          <w:rFonts w:ascii="仿宋" w:eastAsia="仿宋"/>
          <w:color w:val="000000"/>
          <w:sz w:val="32"/>
          <w:szCs w:val="32"/>
        </w:rPr>
        <w:t>0.07</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。具体情况如下：</w:t>
      </w:r>
    </w:p>
    <w:p>
      <w:pPr>
        <w:spacing w:line="576"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 xml:space="preserve">：“三公”经费财政拨款支出结构） </w:t>
      </w:r>
    </w:p>
    <w:p>
      <w:pPr>
        <w:spacing w:line="576" w:lineRule="exact"/>
        <w:ind w:firstLine="640"/>
        <w:rPr>
          <w:rFonts w:ascii="仿宋" w:eastAsia="仿宋"/>
          <w:color w:val="000000"/>
          <w:sz w:val="32"/>
          <w:szCs w:val="32"/>
        </w:rPr>
      </w:pPr>
      <w:r>
        <w:drawing>
          <wp:anchor distT="0" distB="0" distL="114300" distR="114300" simplePos="0" relativeHeight="251664384" behindDoc="0" locked="0" layoutInCell="1" allowOverlap="1">
            <wp:simplePos x="0" y="0"/>
            <wp:positionH relativeFrom="column">
              <wp:posOffset>929005</wp:posOffset>
            </wp:positionH>
            <wp:positionV relativeFrom="paragraph">
              <wp:posOffset>140970</wp:posOffset>
            </wp:positionV>
            <wp:extent cx="3492500" cy="2415540"/>
            <wp:effectExtent l="0" t="0" r="12700" b="7620"/>
            <wp:wrapSquare wrapText="bothSides"/>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pic:cNvPicPr>
                  </pic:nvPicPr>
                  <pic:blipFill>
                    <a:blip r:embed="rId11"/>
                    <a:stretch>
                      <a:fillRect/>
                    </a:stretch>
                  </pic:blipFill>
                  <pic:spPr>
                    <a:xfrm>
                      <a:off x="0" y="0"/>
                      <a:ext cx="3492500" cy="2415540"/>
                    </a:xfrm>
                    <a:prstGeom prst="rect">
                      <a:avLst/>
                    </a:prstGeom>
                    <a:noFill/>
                    <a:ln>
                      <a:noFill/>
                    </a:ln>
                  </pic:spPr>
                </pic:pic>
              </a:graphicData>
            </a:graphic>
          </wp:anchor>
        </w:drawing>
      </w: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_GB2312" w:eastAsia="仿宋_GB2312"/>
          <w:b/>
          <w:color w:val="000000"/>
          <w:sz w:val="32"/>
          <w:szCs w:val="32"/>
        </w:rPr>
      </w:pPr>
    </w:p>
    <w:p>
      <w:pPr>
        <w:spacing w:line="576" w:lineRule="exact"/>
        <w:rPr>
          <w:rFonts w:ascii="仿宋_GB2312" w:eastAsia="仿宋_GB2312"/>
          <w:b/>
          <w:color w:val="000000"/>
          <w:sz w:val="32"/>
          <w:szCs w:val="32"/>
        </w:rPr>
      </w:pPr>
    </w:p>
    <w:p>
      <w:pPr>
        <w:spacing w:line="576" w:lineRule="exact"/>
        <w:ind w:firstLine="642"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0.07</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0.07</w:t>
      </w:r>
      <w:r>
        <w:rPr>
          <w:rFonts w:hint="eastAsia" w:ascii="仿宋_GB2312" w:eastAsia="仿宋_GB2312"/>
          <w:color w:val="000000"/>
          <w:sz w:val="32"/>
          <w:szCs w:val="32"/>
        </w:rPr>
        <w:t>万元，增长</w:t>
      </w:r>
      <w:r>
        <w:rPr>
          <w:rFonts w:ascii="仿宋_GB2312" w:eastAsia="仿宋_GB2312"/>
          <w:color w:val="000000"/>
          <w:sz w:val="32"/>
          <w:szCs w:val="32"/>
        </w:rPr>
        <w:t>100%</w:t>
      </w:r>
      <w:r>
        <w:rPr>
          <w:rFonts w:hint="eastAsia" w:ascii="仿宋_GB2312" w:eastAsia="仿宋_GB2312"/>
          <w:color w:val="000000"/>
          <w:sz w:val="32"/>
          <w:szCs w:val="32"/>
        </w:rPr>
        <w:t>。主要原因是增加业务活动和调研。其中：</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国内公务接待</w:t>
      </w:r>
      <w:r>
        <w:rPr>
          <w:rFonts w:hint="eastAsia" w:ascii="仿宋_GB2312" w:eastAsia="仿宋_GB2312"/>
          <w:color w:val="000000"/>
          <w:sz w:val="32"/>
          <w:szCs w:val="32"/>
        </w:rPr>
        <w:t>支出</w:t>
      </w:r>
      <w:r>
        <w:rPr>
          <w:rFonts w:ascii="仿宋_GB2312" w:eastAsia="仿宋_GB2312"/>
          <w:color w:val="000000"/>
          <w:sz w:val="32"/>
          <w:szCs w:val="32"/>
        </w:rPr>
        <w:t>0.07</w:t>
      </w:r>
      <w:r>
        <w:rPr>
          <w:rFonts w:hint="eastAsia" w:ascii="仿宋_GB2312" w:eastAsia="仿宋_GB2312"/>
          <w:color w:val="000000"/>
          <w:sz w:val="32"/>
          <w:szCs w:val="32"/>
        </w:rPr>
        <w:t>万元，主要用于开展业务活动和调研工作开支的用餐费等。国内公务接待</w:t>
      </w:r>
      <w:r>
        <w:rPr>
          <w:rFonts w:ascii="仿宋_GB2312" w:eastAsia="仿宋_GB2312"/>
          <w:color w:val="000000"/>
          <w:sz w:val="32"/>
          <w:szCs w:val="32"/>
        </w:rPr>
        <w:t>1</w:t>
      </w:r>
      <w:r>
        <w:rPr>
          <w:rFonts w:hint="eastAsia" w:ascii="仿宋_GB2312" w:eastAsia="仿宋_GB2312"/>
          <w:color w:val="000000"/>
          <w:sz w:val="32"/>
          <w:szCs w:val="32"/>
        </w:rPr>
        <w:t>批次，</w:t>
      </w:r>
      <w:r>
        <w:rPr>
          <w:rFonts w:ascii="仿宋_GB2312" w:eastAsia="仿宋_GB2312"/>
          <w:color w:val="000000"/>
          <w:sz w:val="32"/>
          <w:szCs w:val="32"/>
        </w:rPr>
        <w:t>10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0.07</w:t>
      </w:r>
      <w:r>
        <w:rPr>
          <w:rFonts w:hint="eastAsia" w:ascii="仿宋_GB2312" w:eastAsia="仿宋_GB2312"/>
          <w:color w:val="000000"/>
          <w:sz w:val="32"/>
          <w:szCs w:val="32"/>
        </w:rPr>
        <w:t>万元，具体内容包括：（接待工作餐共计0</w:t>
      </w:r>
      <w:r>
        <w:rPr>
          <w:rFonts w:ascii="仿宋_GB2312" w:eastAsia="仿宋_GB2312"/>
          <w:color w:val="000000"/>
          <w:sz w:val="32"/>
          <w:szCs w:val="32"/>
        </w:rPr>
        <w:t>.07</w:t>
      </w:r>
      <w:r>
        <w:rPr>
          <w:rFonts w:hint="eastAsia" w:ascii="仿宋_GB2312" w:eastAsia="仿宋_GB2312"/>
          <w:color w:val="000000"/>
          <w:sz w:val="32"/>
          <w:szCs w:val="32"/>
        </w:rPr>
        <w:t>万元）。</w:t>
      </w:r>
    </w:p>
    <w:p>
      <w:pPr>
        <w:spacing w:line="576" w:lineRule="exact"/>
        <w:ind w:firstLine="640"/>
        <w:outlineLvl w:val="1"/>
        <w:rPr>
          <w:rStyle w:val="24"/>
          <w:rFonts w:ascii="黑体" w:eastAsia="黑体"/>
        </w:rPr>
      </w:pPr>
      <w:bookmarkStart w:id="91" w:name="_Toc15377218"/>
      <w:bookmarkStart w:id="92" w:name="_Toc114821459"/>
      <w:bookmarkStart w:id="93" w:name="_Toc79163622"/>
      <w:bookmarkStart w:id="94" w:name="_Toc15396610"/>
      <w:r>
        <w:rPr>
          <w:rFonts w:hint="eastAsia" w:ascii="黑体" w:eastAsia="黑体"/>
          <w:color w:val="000000"/>
          <w:sz w:val="32"/>
          <w:szCs w:val="32"/>
        </w:rPr>
        <w:t>八、</w:t>
      </w:r>
      <w:r>
        <w:rPr>
          <w:rStyle w:val="24"/>
          <w:rFonts w:hint="eastAsia" w:ascii="黑体" w:eastAsia="黑体"/>
          <w:b w:val="0"/>
        </w:rPr>
        <w:t>政府性基金预算支出决算情况说明</w:t>
      </w:r>
      <w:bookmarkEnd w:id="91"/>
      <w:bookmarkEnd w:id="92"/>
      <w:bookmarkEnd w:id="93"/>
      <w:bookmarkEnd w:id="94"/>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576" w:lineRule="exact"/>
        <w:ind w:firstLine="640"/>
        <w:outlineLvl w:val="1"/>
        <w:rPr>
          <w:rStyle w:val="24"/>
          <w:rFonts w:ascii="黑体" w:eastAsia="黑体"/>
          <w:b w:val="0"/>
        </w:rPr>
      </w:pPr>
      <w:bookmarkStart w:id="95" w:name="_Toc15377219"/>
      <w:bookmarkStart w:id="96" w:name="_Toc114821460"/>
      <w:bookmarkStart w:id="97" w:name="_Toc15396611"/>
      <w:bookmarkStart w:id="98" w:name="_Toc79163623"/>
      <w:r>
        <w:rPr>
          <w:rStyle w:val="24"/>
          <w:rFonts w:hint="eastAsia" w:ascii="黑体" w:eastAsia="黑体"/>
          <w:b w:val="0"/>
        </w:rPr>
        <w:t>国有资本经营预算支出决算情况说明</w:t>
      </w:r>
      <w:bookmarkEnd w:id="95"/>
      <w:bookmarkEnd w:id="96"/>
      <w:bookmarkEnd w:id="97"/>
      <w:bookmarkEnd w:id="98"/>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800" w:firstLineChars="250"/>
        <w:outlineLvl w:val="1"/>
        <w:rPr>
          <w:rStyle w:val="24"/>
          <w:rFonts w:ascii="黑体" w:eastAsia="黑体"/>
        </w:rPr>
      </w:pPr>
      <w:bookmarkStart w:id="99" w:name="_Toc114821461"/>
      <w:bookmarkStart w:id="100" w:name="_Toc15377221"/>
      <w:bookmarkStart w:id="101" w:name="_Toc15396612"/>
      <w:bookmarkStart w:id="102" w:name="_Toc7916362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9"/>
      <w:bookmarkEnd w:id="100"/>
      <w:bookmarkEnd w:id="101"/>
      <w:bookmarkEnd w:id="102"/>
    </w:p>
    <w:p>
      <w:pPr>
        <w:spacing w:line="576" w:lineRule="exact"/>
        <w:ind w:firstLine="642" w:firstLineChars="200"/>
        <w:outlineLvl w:val="2"/>
        <w:rPr>
          <w:rFonts w:ascii="仿宋" w:eastAsia="仿宋"/>
          <w:color w:val="000000"/>
          <w:sz w:val="32"/>
          <w:szCs w:val="32"/>
        </w:rPr>
      </w:pPr>
      <w:bookmarkStart w:id="103" w:name="_Toc114821462"/>
      <w:bookmarkStart w:id="104" w:name="_Toc79163625"/>
      <w:bookmarkStart w:id="105" w:name="_Toc15377222"/>
      <w:r>
        <w:rPr>
          <w:rFonts w:hint="eastAsia" w:ascii="仿宋" w:eastAsia="仿宋"/>
          <w:b/>
          <w:color w:val="000000"/>
          <w:sz w:val="32"/>
          <w:szCs w:val="32"/>
        </w:rPr>
        <w:t>（一）机关运行经费支出情况</w:t>
      </w:r>
      <w:bookmarkEnd w:id="103"/>
      <w:bookmarkEnd w:id="104"/>
      <w:bookmarkEnd w:id="105"/>
    </w:p>
    <w:p>
      <w:pPr>
        <w:spacing w:line="576" w:lineRule="exact"/>
        <w:ind w:firstLine="640" w:firstLineChars="200"/>
        <w:rPr>
          <w:rFonts w:ascii="仿宋" w:eastAsia="仿宋"/>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年，茂县退役军人事务局机关运行经费支出</w:t>
      </w:r>
      <w:r>
        <w:rPr>
          <w:rFonts w:ascii="仿宋_GB2312" w:eastAsia="仿宋_GB2312"/>
          <w:color w:val="000000"/>
          <w:sz w:val="32"/>
          <w:szCs w:val="32"/>
        </w:rPr>
        <w:t>5.52</w:t>
      </w:r>
      <w:r>
        <w:rPr>
          <w:rFonts w:hint="eastAsia" w:ascii="仿宋" w:eastAsia="仿宋"/>
          <w:color w:val="000000"/>
          <w:sz w:val="32"/>
          <w:szCs w:val="32"/>
        </w:rPr>
        <w:t>万元，比</w:t>
      </w:r>
      <w:r>
        <w:rPr>
          <w:rFonts w:ascii="仿宋" w:eastAsia="仿宋"/>
          <w:color w:val="000000"/>
          <w:sz w:val="32"/>
          <w:szCs w:val="32"/>
        </w:rPr>
        <w:t>2020</w:t>
      </w:r>
      <w:r>
        <w:rPr>
          <w:rFonts w:hint="eastAsia" w:ascii="仿宋" w:eastAsia="仿宋"/>
          <w:color w:val="000000"/>
          <w:sz w:val="32"/>
          <w:szCs w:val="32"/>
        </w:rPr>
        <w:t>年减少</w:t>
      </w:r>
      <w:r>
        <w:rPr>
          <w:rFonts w:ascii="仿宋" w:eastAsia="仿宋"/>
          <w:color w:val="000000"/>
          <w:sz w:val="32"/>
          <w:szCs w:val="32"/>
        </w:rPr>
        <w:t>1.84</w:t>
      </w:r>
      <w:r>
        <w:rPr>
          <w:rFonts w:hint="eastAsia" w:ascii="仿宋" w:eastAsia="仿宋"/>
          <w:color w:val="000000"/>
          <w:sz w:val="32"/>
          <w:szCs w:val="32"/>
        </w:rPr>
        <w:t>万元，下降</w:t>
      </w:r>
      <w:r>
        <w:rPr>
          <w:rFonts w:ascii="仿宋" w:eastAsia="仿宋"/>
          <w:color w:val="000000"/>
          <w:sz w:val="32"/>
          <w:szCs w:val="32"/>
        </w:rPr>
        <w:t>25%</w:t>
      </w:r>
      <w:r>
        <w:rPr>
          <w:rFonts w:hint="eastAsia" w:ascii="仿宋" w:eastAsia="仿宋"/>
          <w:color w:val="000000"/>
          <w:sz w:val="32"/>
          <w:szCs w:val="32"/>
        </w:rPr>
        <w:t>。主要原因是厉行节约，节约开支。</w:t>
      </w:r>
    </w:p>
    <w:p>
      <w:pPr>
        <w:autoSpaceDE w:val="0"/>
        <w:autoSpaceDN w:val="0"/>
        <w:spacing w:line="576" w:lineRule="exact"/>
        <w:ind w:firstLine="642" w:firstLineChars="200"/>
        <w:jc w:val="left"/>
        <w:outlineLvl w:val="2"/>
        <w:rPr>
          <w:rFonts w:ascii="仿宋" w:eastAsia="仿宋"/>
          <w:b/>
          <w:color w:val="000000"/>
          <w:sz w:val="32"/>
          <w:szCs w:val="32"/>
        </w:rPr>
      </w:pPr>
      <w:bookmarkStart w:id="106" w:name="_Toc114821463"/>
      <w:bookmarkStart w:id="107" w:name="_Toc15377223"/>
      <w:bookmarkStart w:id="108" w:name="_Toc79163626"/>
      <w:r>
        <w:rPr>
          <w:rFonts w:hint="eastAsia" w:ascii="仿宋" w:eastAsia="仿宋"/>
          <w:b/>
          <w:color w:val="000000"/>
          <w:sz w:val="32"/>
          <w:szCs w:val="32"/>
        </w:rPr>
        <w:t>（二）政府采购支出情况</w:t>
      </w:r>
      <w:bookmarkEnd w:id="106"/>
      <w:bookmarkEnd w:id="107"/>
      <w:bookmarkEnd w:id="108"/>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spacing w:line="576" w:lineRule="exact"/>
        <w:ind w:firstLine="642" w:firstLineChars="200"/>
        <w:jc w:val="left"/>
        <w:outlineLvl w:val="2"/>
        <w:rPr>
          <w:rFonts w:ascii="仿宋" w:eastAsia="仿宋"/>
          <w:b/>
          <w:color w:val="000000"/>
          <w:sz w:val="32"/>
          <w:szCs w:val="32"/>
        </w:rPr>
      </w:pPr>
      <w:bookmarkStart w:id="109" w:name="_Toc79163627"/>
      <w:bookmarkStart w:id="110" w:name="_Toc114821464"/>
      <w:bookmarkStart w:id="111" w:name="_Toc15377224"/>
      <w:r>
        <w:rPr>
          <w:rFonts w:hint="eastAsia" w:ascii="仿宋" w:eastAsia="仿宋"/>
          <w:b/>
          <w:color w:val="000000"/>
          <w:sz w:val="32"/>
          <w:szCs w:val="32"/>
        </w:rPr>
        <w:t>（三）国有资产占有使用情况</w:t>
      </w:r>
      <w:bookmarkEnd w:id="109"/>
      <w:bookmarkEnd w:id="110"/>
      <w:bookmarkEnd w:id="111"/>
    </w:p>
    <w:p>
      <w:pPr>
        <w:autoSpaceDE w:val="0"/>
        <w:autoSpaceDN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12" w:name="_Toc79163628"/>
      <w:r>
        <w:rPr>
          <w:rFonts w:hint="eastAsia" w:ascii="仿宋_GB2312" w:eastAsia="仿宋_GB2312"/>
          <w:color w:val="000000"/>
          <w:sz w:val="32"/>
          <w:szCs w:val="32"/>
        </w:rPr>
        <w:t>茂县退役军人事务局无车辆。</w:t>
      </w:r>
    </w:p>
    <w:p>
      <w:pPr>
        <w:autoSpaceDE w:val="0"/>
        <w:autoSpaceDN w:val="0"/>
        <w:spacing w:line="576" w:lineRule="exact"/>
        <w:ind w:firstLine="642" w:firstLineChars="200"/>
        <w:jc w:val="left"/>
        <w:rPr>
          <w:rFonts w:ascii="仿宋" w:eastAsia="仿宋"/>
          <w:b/>
          <w:color w:val="000000"/>
          <w:sz w:val="32"/>
          <w:szCs w:val="32"/>
        </w:rPr>
      </w:pPr>
      <w:r>
        <w:rPr>
          <w:rFonts w:hint="eastAsia" w:ascii="仿宋" w:eastAsia="仿宋"/>
          <w:b/>
          <w:color w:val="000000"/>
          <w:sz w:val="32"/>
          <w:szCs w:val="32"/>
        </w:rPr>
        <w:t>（四）预算绩效管理情况。</w:t>
      </w:r>
      <w:bookmarkEnd w:id="112"/>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开展了预算事前绩效评估，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spacing w:line="576"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年度部门决算中反映“死亡抚恤”“ 军队移交政府的离退休人员安置补助资金”“优抚对象医疗”等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576"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）死亡抚恤</w:t>
      </w:r>
      <w:bookmarkStart w:id="113" w:name="_Hlk51573558"/>
      <w:r>
        <w:rPr>
          <w:rFonts w:hint="eastAsia" w:ascii="仿宋_GB2312" w:hAnsi="仿宋_GB2312" w:eastAsia="仿宋_GB2312" w:cs="仿宋_GB2312"/>
          <w:sz w:val="32"/>
          <w:szCs w:val="32"/>
        </w:rPr>
        <w:t>金补助项目</w:t>
      </w:r>
      <w:bookmarkEnd w:id="113"/>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150.49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150.49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。通过发放优抚对象抚恤补助资金，使优抚对象的基本生活得到了有效保障，发现的主要问题：</w:t>
      </w:r>
      <w:r>
        <w:rPr>
          <w:rFonts w:hint="eastAsia" w:ascii="仿宋_GB2312" w:hAnsi="宋体" w:eastAsia="仿宋_GB2312"/>
          <w:sz w:val="32"/>
          <w:szCs w:val="32"/>
        </w:rPr>
        <w:t>面临着业务不熟练的情况，生活补助发放虽在规定时间范围内，与优抚人员希望早点拿到生活补助还有距离。</w:t>
      </w:r>
      <w:r>
        <w:rPr>
          <w:rFonts w:hint="eastAsia" w:ascii="仿宋_GB2312" w:hAnsi="仿宋_GB2312" w:eastAsia="仿宋_GB2312" w:cs="仿宋_GB2312"/>
          <w:sz w:val="32"/>
          <w:szCs w:val="32"/>
        </w:rPr>
        <w:t>下一步改进措施：</w:t>
      </w:r>
      <w:r>
        <w:rPr>
          <w:rFonts w:hint="eastAsia" w:ascii="仿宋_GB2312" w:hAnsi="宋体" w:eastAsia="仿宋_GB2312"/>
          <w:sz w:val="32"/>
          <w:szCs w:val="32"/>
          <w:lang w:val="zh-CN"/>
        </w:rPr>
        <w:t>加大对各县业务培训，加快发放速度，减少社会矛盾。</w:t>
      </w:r>
    </w:p>
    <w:p>
      <w:pPr>
        <w:widowControl/>
        <w:wordWrap w:val="0"/>
        <w:spacing w:line="576" w:lineRule="exact"/>
        <w:ind w:firstLine="640" w:firstLineChars="200"/>
        <w:jc w:val="left"/>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）优抚对象医疗补助项目绩效目标完成情况综述。项目全年预算数</w:t>
      </w:r>
      <w:r>
        <w:rPr>
          <w:rFonts w:ascii="仿宋_GB2312" w:hAnsi="仿宋_GB2312" w:eastAsia="仿宋_GB2312" w:cs="仿宋_GB2312"/>
          <w:sz w:val="32"/>
          <w:szCs w:val="32"/>
        </w:rPr>
        <w:t>19.44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19.44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通过医疗救助的实施，在一定程度上遏制了“因病致贫、因病返贫”现象，切实缓解了我县优抚对象看病难的问题，提高了困难优抚对象的生活质量</w:t>
      </w:r>
      <w:r>
        <w:rPr>
          <w:rFonts w:hint="eastAsia" w:ascii="仿宋_GB2312" w:hAnsi="inherit" w:eastAsia="仿宋_GB2312" w:cs="宋体"/>
          <w:kern w:val="0"/>
          <w:sz w:val="32"/>
          <w:szCs w:val="32"/>
        </w:rPr>
        <w:t>。通过救助使广大困难退役军人更清楚地感受到了党和政府对弱势群体的关心关怀，进一步增强了困难群众的“感恩报国”意识。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发现的主要问题：社会救助队伍需进一步加强。由于乡镇退役军人工作人员工作杂、任务重、人手少、人员变化大等原因，导致一部分医疗救助工作不能及时上报或开展。下一步改进措施：</w:t>
      </w:r>
      <w:r>
        <w:rPr>
          <w:rFonts w:hint="eastAsia" w:ascii="仿宋_GB2312" w:hAnsi="宋体" w:eastAsia="仿宋_GB2312"/>
          <w:sz w:val="32"/>
          <w:szCs w:val="32"/>
          <w:lang w:val="zh-CN"/>
        </w:rPr>
        <w:t>加大对患重特大疾病患者实施医疗救助力度，提高救助比例，提高救助封顶线。确实减轻重病患者家庭负担，减少社会矛盾。</w:t>
      </w:r>
    </w:p>
    <w:p>
      <w:pPr>
        <w:widowControl/>
        <w:spacing w:line="576" w:lineRule="exact"/>
        <w:ind w:firstLine="640" w:firstLineChars="200"/>
        <w:jc w:val="left"/>
        <w:rPr>
          <w:rFonts w:ascii="仿宋_GB2312" w:hAnsi="仿宋_GB2312" w:eastAsia="仿宋_GB2312" w:cs="仿宋_GB2312"/>
          <w:sz w:val="32"/>
          <w:szCs w:val="32"/>
        </w:rPr>
      </w:pPr>
      <w:bookmarkStart w:id="114" w:name="_Hlk51573500"/>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）在乡复员、退伍军人生活补助项目绩效目标完成情况综述。项目全年预算数</w:t>
      </w:r>
      <w:r>
        <w:rPr>
          <w:rFonts w:ascii="仿宋_GB2312" w:hAnsi="仿宋_GB2312" w:eastAsia="仿宋_GB2312" w:cs="仿宋_GB2312"/>
          <w:sz w:val="32"/>
          <w:szCs w:val="32"/>
        </w:rPr>
        <w:t>102.51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102.51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。通过项目实施，切实保障在乡复员、退伍军人生活。</w:t>
      </w:r>
    </w:p>
    <w:bookmarkEnd w:id="114"/>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）伤残抚恤金补助项目目绩效目标完成情况综述。项目全年预算数</w:t>
      </w:r>
      <w:r>
        <w:rPr>
          <w:rFonts w:ascii="仿宋_GB2312" w:hAnsi="仿宋_GB2312" w:eastAsia="仿宋_GB2312" w:cs="仿宋_GB2312"/>
          <w:sz w:val="32"/>
          <w:szCs w:val="32"/>
        </w:rPr>
        <w:t>55.85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55.85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。通过项目实施，切实保障伤残人员的各种伤残补助。</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）军队移交政府的离退休人员安置补助资金项目绩效目标完成情况综述。项目全年预算数</w:t>
      </w:r>
      <w:r>
        <w:rPr>
          <w:rFonts w:ascii="仿宋_GB2312" w:hAnsi="仿宋_GB2312" w:eastAsia="仿宋_GB2312" w:cs="仿宋_GB2312"/>
          <w:sz w:val="32"/>
          <w:szCs w:val="32"/>
        </w:rPr>
        <w:t>151.8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151.8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进一步促进了军队的稳定</w:t>
      </w:r>
      <w:r>
        <w:rPr>
          <w:rFonts w:hint="eastAsia" w:ascii="仿宋_GB2312" w:hAnsi="inherit" w:eastAsia="仿宋_GB2312" w:cs="宋体"/>
          <w:kern w:val="0"/>
          <w:sz w:val="32"/>
          <w:szCs w:val="32"/>
        </w:rPr>
        <w:t>。通过发放生活补助使</w:t>
      </w:r>
      <w:r>
        <w:rPr>
          <w:rFonts w:hint="eastAsia" w:ascii="仿宋_GB2312" w:hAnsi="宋体" w:eastAsia="仿宋_GB2312"/>
          <w:sz w:val="32"/>
          <w:szCs w:val="32"/>
          <w:lang w:val="zh-CN"/>
        </w:rPr>
        <w:t>军队离退休干部、军队无军籍退休退职职工</w:t>
      </w:r>
      <w:r>
        <w:rPr>
          <w:rFonts w:hint="eastAsia" w:ascii="仿宋_GB2312" w:hAnsi="inherit" w:eastAsia="仿宋_GB2312" w:cs="宋体"/>
          <w:kern w:val="0"/>
          <w:sz w:val="32"/>
          <w:szCs w:val="32"/>
        </w:rPr>
        <w:t>更清楚地感受到了党和政府关心关怀，同时，充分发挥了退役军人工作工作在保障和改善民生、解决社会问题、化解社会矛盾、促进社会和谐方面的重要作用。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发现的主要问题：预算安排数较实际优抚医疗救助执行有偏差。下一步改进措施：进一步加强费用测算，提高预算编制准确度。</w:t>
      </w: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 xml:space="preserve">  </w:t>
      </w:r>
    </w:p>
    <w:p>
      <w:pPr>
        <w:spacing w:line="576" w:lineRule="exact"/>
        <w:ind w:firstLine="640" w:firstLineChars="200"/>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bookmarkStart w:id="115" w:name="_Hlk114241813"/>
            <w:r>
              <w:rPr>
                <w:rFonts w:hint="eastAsia" w:ascii="宋体" w:hAnsi="宋体" w:cs="宋体"/>
                <w:color w:val="000000"/>
                <w:sz w:val="24"/>
              </w:rPr>
              <w:t>死亡抚恤金补助</w:t>
            </w:r>
            <w:bookmarkEnd w:id="115"/>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150.49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150.49</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rPr>
          <w:trHeight w:val="133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70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通过发放优抚对象抚恤补助资金，使优抚对象等人员的基本生活得到了有效保障。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保障了优抚对象的基本生活</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614</w:t>
            </w:r>
            <w:r>
              <w:rPr>
                <w:rFonts w:hint="eastAsia" w:ascii="宋体" w:hAnsi="宋体" w:cs="宋体"/>
                <w:color w:val="000000"/>
                <w:sz w:val="24"/>
              </w:rPr>
              <w:t>人次</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优抚对象医疗补助</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19.44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19.44</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通过发放优抚对象医疗补助资金，对优抚参保缴费住院和门诊费用进行补助，有效帮助解决优抚医疗难问题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仿宋_GB2312" w:hAnsi="宋体" w:eastAsia="仿宋_GB2312" w:cs="宋体"/>
                <w:kern w:val="0"/>
                <w:sz w:val="24"/>
              </w:rPr>
              <w:t>保障了优抚对象医疗补助资金，对优抚</w:t>
            </w:r>
            <w:r>
              <w:rPr>
                <w:rFonts w:hint="eastAsia" w:ascii="仿宋_GB2312" w:hAnsi="仿宋_GB2312" w:eastAsia="仿宋_GB2312" w:cs="仿宋_GB2312"/>
                <w:sz w:val="24"/>
              </w:rPr>
              <w:t>参保</w:t>
            </w:r>
            <w:r>
              <w:rPr>
                <w:rFonts w:hint="eastAsia" w:ascii="仿宋_GB2312" w:hAnsi="宋体" w:eastAsia="仿宋_GB2312" w:cs="宋体"/>
                <w:kern w:val="0"/>
                <w:sz w:val="24"/>
              </w:rPr>
              <w:t>缴费住院和门诊费用进行补助，有效帮助解决优抚医疗难问题</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享受优抚医疗补助人数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16</w:t>
            </w:r>
            <w:r>
              <w:rPr>
                <w:rFonts w:hint="eastAsia" w:ascii="宋体" w:hAnsi="宋体" w:cs="宋体"/>
                <w:color w:val="000000"/>
                <w:sz w:val="24"/>
              </w:rPr>
              <w:t>人次</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(2021</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在乡复员、退伍军人生活补助</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102.51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102.51</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通过发放在乡复员军人和退伍军人补助资金，使在乡复员军人和退伍军人的基本生活得到了有效保障。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保障了在乡复员军人和退伍军人的基本生活</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预期指标值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实际完成指标值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享受在乡复员军人和退伍军人生活补助人数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646</w:t>
            </w:r>
            <w:r>
              <w:rPr>
                <w:rFonts w:hint="eastAsia" w:ascii="宋体" w:hAnsi="宋体" w:cs="宋体"/>
                <w:color w:val="000000"/>
                <w:sz w:val="24"/>
              </w:rPr>
              <w:t>人次</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在乡复员军人和退伍军人满意度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960" w:firstLineChars="400"/>
              <w:jc w:val="left"/>
              <w:rPr>
                <w:rFonts w:ascii="宋体" w:cs="宋体"/>
                <w:color w:val="000000"/>
                <w:sz w:val="24"/>
              </w:rPr>
            </w:pPr>
            <w:r>
              <w:rPr>
                <w:rFonts w:ascii="宋体" w:hAnsi="宋体" w:cs="宋体"/>
                <w:color w:val="000000"/>
                <w:sz w:val="24"/>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960" w:firstLineChars="400"/>
              <w:jc w:val="left"/>
              <w:rPr>
                <w:rFonts w:ascii="宋体" w:cs="宋体"/>
                <w:color w:val="000000"/>
                <w:sz w:val="24"/>
              </w:rPr>
            </w:pPr>
            <w:r>
              <w:rPr>
                <w:rFonts w:ascii="宋体" w:hAnsi="宋体" w:cs="宋体"/>
                <w:color w:val="000000"/>
                <w:sz w:val="24"/>
              </w:rPr>
              <w:t>&gt;100%</w:t>
            </w:r>
          </w:p>
          <w:p>
            <w:pPr>
              <w:widowControl/>
              <w:spacing w:line="576" w:lineRule="exact"/>
              <w:jc w:val="center"/>
              <w:textAlignment w:val="center"/>
              <w:rPr>
                <w:rFonts w:ascii="宋体" w:cs="宋体"/>
                <w:color w:val="000000"/>
                <w:sz w:val="24"/>
              </w:rPr>
            </w:pPr>
          </w:p>
        </w:tc>
      </w:tr>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伤残抚恤金补助</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55.85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55.85</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通过发放优抚对象伤残补助资金，使优抚对象等人员的基本生活得到了有效保障。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保障了优抚对象的基本生活</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276</w:t>
            </w:r>
            <w:r>
              <w:rPr>
                <w:rFonts w:hint="eastAsia" w:ascii="宋体" w:hAnsi="宋体" w:cs="宋体"/>
                <w:color w:val="000000"/>
                <w:sz w:val="24"/>
              </w:rPr>
              <w:t>人次</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(2021</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军队移交政府的离退休人员安置</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151.8</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4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发放军队退休人员、无军籍退休职工逐月生活补助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已按月足额给军队退休人员、无军籍退休职工发放生活补助</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享受退休人员、无军籍退休职工人数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72</w:t>
            </w:r>
            <w:r>
              <w:rPr>
                <w:rFonts w:hint="eastAsia" w:ascii="宋体" w:hAnsi="宋体" w:cs="宋体"/>
                <w:color w:val="000000"/>
                <w:sz w:val="24"/>
              </w:rPr>
              <w:t>人次</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发放生活资金与政策相关比率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退休人员、无军籍退休职工满意度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bl>
    <w:p>
      <w:pPr>
        <w:spacing w:line="576"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年部门整体支出绩效评价情况开展自评，《茂县退役军人事务局部门</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bookmarkStart w:id="116" w:name="_Hlk114241886"/>
      <w:r>
        <w:rPr>
          <w:rFonts w:hint="eastAsia" w:ascii="仿宋_GB2312" w:eastAsia="仿宋_GB2312" w:cs="仿宋_GB2312"/>
          <w:sz w:val="32"/>
          <w:szCs w:val="32"/>
        </w:rPr>
        <w:t>死亡抚恤金补助</w:t>
      </w:r>
      <w:bookmarkEnd w:id="116"/>
      <w:r>
        <w:rPr>
          <w:rFonts w:hint="eastAsia" w:ascii="仿宋_GB2312" w:eastAsia="仿宋_GB2312" w:cs="仿宋_GB2312"/>
          <w:sz w:val="32"/>
          <w:szCs w:val="32"/>
        </w:rPr>
        <w:t>项目、伤残抚恤补助等项目开展了绩效评价，</w:t>
      </w:r>
      <w:bookmarkStart w:id="117" w:name="_Hlk114241910"/>
      <w:r>
        <w:rPr>
          <w:rFonts w:hint="eastAsia" w:ascii="仿宋_GB2312" w:eastAsia="仿宋_GB2312" w:cs="仿宋_GB2312"/>
          <w:sz w:val="32"/>
          <w:szCs w:val="32"/>
        </w:rPr>
        <w:t>《死亡抚恤金补助项目</w:t>
      </w:r>
      <w:r>
        <w:rPr>
          <w:rFonts w:ascii="仿宋_GB2312" w:eastAsia="仿宋_GB2312" w:cs="仿宋_GB2312"/>
          <w:sz w:val="32"/>
          <w:szCs w:val="32"/>
        </w:rPr>
        <w:t>2021</w:t>
      </w:r>
      <w:r>
        <w:rPr>
          <w:rFonts w:hint="eastAsia" w:ascii="仿宋_GB2312" w:eastAsia="仿宋_GB2312" w:cs="仿宋_GB2312"/>
          <w:sz w:val="32"/>
          <w:szCs w:val="32"/>
        </w:rPr>
        <w:t>年绩效评价报告》</w:t>
      </w:r>
      <w:bookmarkEnd w:id="117"/>
      <w:r>
        <w:rPr>
          <w:rFonts w:hint="eastAsia" w:ascii="仿宋_GB2312" w:eastAsia="仿宋_GB2312" w:cs="仿宋_GB2312"/>
          <w:sz w:val="32"/>
          <w:szCs w:val="32"/>
        </w:rPr>
        <w:t>、《在乡复员、退伍军人生活补助补助项目</w:t>
      </w:r>
      <w:r>
        <w:rPr>
          <w:rFonts w:ascii="仿宋_GB2312" w:eastAsia="仿宋_GB2312" w:cs="仿宋_GB2312"/>
          <w:sz w:val="32"/>
          <w:szCs w:val="32"/>
        </w:rPr>
        <w:t>2021</w:t>
      </w:r>
      <w:r>
        <w:rPr>
          <w:rFonts w:hint="eastAsia" w:ascii="仿宋_GB2312" w:eastAsia="仿宋_GB2312" w:cs="仿宋_GB2312"/>
          <w:sz w:val="32"/>
          <w:szCs w:val="32"/>
        </w:rPr>
        <w:t>年绩效评价报告》《军队移交政府的离退休人员安置补助项目</w:t>
      </w:r>
      <w:r>
        <w:rPr>
          <w:rFonts w:ascii="仿宋_GB2312" w:eastAsia="仿宋_GB2312" w:cs="仿宋_GB2312"/>
          <w:sz w:val="32"/>
          <w:szCs w:val="32"/>
        </w:rPr>
        <w:t>2021</w:t>
      </w:r>
      <w:r>
        <w:rPr>
          <w:rFonts w:hint="eastAsia" w:ascii="仿宋_GB2312" w:eastAsia="仿宋_GB2312" w:cs="仿宋_GB2312"/>
          <w:sz w:val="32"/>
          <w:szCs w:val="32"/>
        </w:rPr>
        <w:t>年绩效评价报告》、《伤残抚恤金补助项目</w:t>
      </w:r>
      <w:r>
        <w:rPr>
          <w:rFonts w:ascii="仿宋_GB2312" w:eastAsia="仿宋_GB2312" w:cs="仿宋_GB2312"/>
          <w:sz w:val="32"/>
          <w:szCs w:val="32"/>
        </w:rPr>
        <w:t>2021</w:t>
      </w:r>
      <w:r>
        <w:rPr>
          <w:rFonts w:hint="eastAsia" w:ascii="仿宋_GB2312" w:eastAsia="仿宋_GB2312" w:cs="仿宋_GB2312"/>
          <w:sz w:val="32"/>
          <w:szCs w:val="32"/>
        </w:rPr>
        <w:t>年绩效评价报告》、《优抚对象医疗补助项目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576" w:lineRule="exact"/>
        <w:ind w:firstLine="660" w:firstLineChars="150"/>
        <w:jc w:val="center"/>
        <w:outlineLvl w:val="0"/>
        <w:rPr>
          <w:rStyle w:val="23"/>
          <w:rFonts w:ascii="黑体" w:eastAsia="黑体"/>
          <w:b w:val="0"/>
        </w:rPr>
      </w:pPr>
      <w:bookmarkStart w:id="118" w:name="_Toc15377225"/>
      <w:bookmarkStart w:id="119" w:name="_Toc114821465"/>
      <w:bookmarkStart w:id="120" w:name="_Toc15396613"/>
      <w:bookmarkStart w:id="121" w:name="_Toc79163629"/>
      <w:r>
        <w:rPr>
          <w:rFonts w:hint="eastAsia" w:ascii="黑体" w:eastAsia="黑体"/>
          <w:color w:val="000000"/>
          <w:sz w:val="44"/>
          <w:szCs w:val="44"/>
        </w:rPr>
        <w:t>名</w:t>
      </w:r>
      <w:r>
        <w:rPr>
          <w:rStyle w:val="23"/>
          <w:rFonts w:hint="eastAsia" w:ascii="黑体" w:eastAsia="黑体"/>
          <w:b w:val="0"/>
        </w:rPr>
        <w:t>词解释</w:t>
      </w:r>
      <w:bookmarkEnd w:id="118"/>
      <w:bookmarkEnd w:id="119"/>
      <w:bookmarkEnd w:id="120"/>
      <w:bookmarkEnd w:id="121"/>
    </w:p>
    <w:p>
      <w:pPr>
        <w:spacing w:line="576" w:lineRule="exact"/>
        <w:jc w:val="left"/>
        <w:rPr>
          <w:rFonts w:ascii="宋体"/>
          <w:b/>
          <w:color w:val="000000"/>
          <w:sz w:val="44"/>
          <w:szCs w:val="44"/>
        </w:rPr>
      </w:pPr>
    </w:p>
    <w:p>
      <w:pPr>
        <w:pStyle w:val="28"/>
        <w:adjustRightInd/>
        <w:spacing w:line="576" w:lineRule="exact"/>
        <w:ind w:firstLine="640" w:firstLineChars="200"/>
        <w:rPr>
          <w:rFonts w:ascii="仿宋_GB2312" w:eastAsia="仿宋_GB2312"/>
          <w:sz w:val="32"/>
          <w:szCs w:val="32"/>
        </w:rPr>
      </w:pPr>
      <w:bookmarkStart w:id="122" w:name="_Toc15396614"/>
      <w:bookmarkStart w:id="123" w:name="_Toc79163630"/>
      <w:bookmarkStart w:id="124"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9. </w:t>
      </w:r>
      <w:r>
        <w:rPr>
          <w:rFonts w:hint="eastAsia" w:ascii="仿宋_GB2312" w:eastAsia="仿宋_GB2312"/>
          <w:color w:val="000000"/>
          <w:sz w:val="32"/>
          <w:szCs w:val="32"/>
        </w:rPr>
        <w:t>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10. </w:t>
      </w:r>
      <w:r>
        <w:rPr>
          <w:rFonts w:hint="eastAsia" w:ascii="仿宋_GB2312" w:eastAsia="仿宋_GB2312"/>
          <w:color w:val="000000"/>
          <w:sz w:val="32"/>
          <w:szCs w:val="32"/>
        </w:rPr>
        <w:t>社会保障和就业（类）抚恤（款）死亡抚恤（项）：指按规定用于烈士和牺牲、病故人员家属的一次性和定期抚恤金以及丧葬补助费。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社会保障和就业（类）抚恤（款）伤残抚恤（项）：指按规定用于伤残人员的抚恤金和按规定开支的各种伤残补助费。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社会保障和就业（类）抚恤（款）义务兵优待（项）：指用于义务兵优待方面的支出。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社会保障和就业（类）抚恤（款）农村籍退役士兵老年生活补助（项）：指反映</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11</w:t>
      </w:r>
      <w:r>
        <w:rPr>
          <w:rFonts w:hint="eastAsia" w:ascii="仿宋_GB2312" w:eastAsia="仿宋_GB2312"/>
          <w:color w:val="000000"/>
          <w:sz w:val="32"/>
          <w:szCs w:val="32"/>
        </w:rPr>
        <w:t>月</w:t>
      </w:r>
      <w:r>
        <w:rPr>
          <w:rFonts w:ascii="仿宋_GB2312" w:eastAsia="仿宋_GB2312"/>
          <w:color w:val="000000"/>
          <w:sz w:val="32"/>
          <w:szCs w:val="32"/>
        </w:rPr>
        <w:t>1</w:t>
      </w:r>
      <w:r>
        <w:rPr>
          <w:rFonts w:hint="eastAsia" w:ascii="仿宋_GB2312" w:eastAsia="仿宋_GB2312"/>
          <w:color w:val="000000"/>
          <w:sz w:val="32"/>
          <w:szCs w:val="32"/>
        </w:rPr>
        <w:t>日试行义务兵役制后至《退役士兵安置条例》实施前入伍、年龄在</w:t>
      </w:r>
      <w:r>
        <w:rPr>
          <w:rFonts w:ascii="仿宋_GB2312" w:eastAsia="仿宋_GB2312"/>
          <w:color w:val="000000"/>
          <w:sz w:val="32"/>
          <w:szCs w:val="32"/>
        </w:rPr>
        <w:t>60</w:t>
      </w:r>
      <w:r>
        <w:rPr>
          <w:rFonts w:hint="eastAsia" w:ascii="仿宋_GB2312" w:eastAsia="仿宋_GB2312"/>
          <w:color w:val="000000"/>
          <w:sz w:val="32"/>
          <w:szCs w:val="32"/>
        </w:rPr>
        <w:t>周岁以上（含</w:t>
      </w:r>
      <w:r>
        <w:rPr>
          <w:rFonts w:ascii="仿宋_GB2312" w:eastAsia="仿宋_GB2312"/>
          <w:color w:val="000000"/>
          <w:sz w:val="32"/>
          <w:szCs w:val="32"/>
        </w:rPr>
        <w:t>60</w:t>
      </w:r>
      <w:r>
        <w:rPr>
          <w:rFonts w:hint="eastAsia" w:ascii="仿宋_GB2312" w:eastAsia="仿宋_GB2312"/>
          <w:color w:val="000000"/>
          <w:sz w:val="32"/>
          <w:szCs w:val="32"/>
        </w:rPr>
        <w:t>周岁）、未享受到国家定期抚恤补助的农村籍退役士兵的老年生活补助。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社会保障和就业（类）抚恤（款）其他优抚支出（项）：指除上述项目以外其他用于优抚方面的支出。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社会保障和就业（类）抚恤（款）在乡复员、退役军人生活补助（项）：反映在乡退伍红军老战士（含西路红军老战士、红军失散人员）、</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10</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日前入伍的在乡复员军人、安规定办理带病回乡手续的退伍军人生活补助。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社会保障和就业（类）退役安置（款）退役士兵安置（项）：指按规定用于伤残义务兵的一次性建房补助，对符合条件的退役士兵、转业士官的安置支出。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社会保障和就业（类）退役安置（款）军队移交政府的离退休人员安置（项）：指移交政府的军队离退休人员安置支出。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社会保障和就业（类）退役安置（款）军队移交政府的离退休干部管理机构（项）：指民政部门管理的军队移交政府安置的离退休干部管理机构列入事业编制的人员经费、公用经费以及管理机构用房建设经费等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社会保障和就业（类）退役安置（款）军队转业安置支出（项）：反映军转干部安置、人员经费、自主择业退役金等方面的支出。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社会保障和就业（类）</w:t>
      </w:r>
      <w:bookmarkStart w:id="125" w:name="_Hlk51579848"/>
      <w:r>
        <w:rPr>
          <w:rFonts w:hint="eastAsia" w:ascii="仿宋_GB2312" w:eastAsia="仿宋_GB2312"/>
          <w:color w:val="000000"/>
          <w:sz w:val="32"/>
          <w:szCs w:val="32"/>
        </w:rPr>
        <w:t>退役军人管理事务</w:t>
      </w:r>
      <w:bookmarkEnd w:id="125"/>
      <w:r>
        <w:rPr>
          <w:rFonts w:hint="eastAsia" w:ascii="仿宋_GB2312" w:eastAsia="仿宋_GB2312"/>
          <w:color w:val="000000"/>
          <w:sz w:val="32"/>
          <w:szCs w:val="32"/>
        </w:rPr>
        <w:t>（款）行政运行（项）：指行政单位（包括实行公务员管理的事业单位）的基本支出。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bookmarkStart w:id="126" w:name="_Hlk51579931"/>
      <w:r>
        <w:rPr>
          <w:rFonts w:ascii="仿宋_GB2312" w:eastAsia="仿宋_GB2312"/>
          <w:color w:val="000000"/>
          <w:sz w:val="32"/>
          <w:szCs w:val="32"/>
        </w:rPr>
        <w:t>23.</w:t>
      </w:r>
      <w:r>
        <w:rPr>
          <w:rFonts w:hint="eastAsia" w:ascii="仿宋_GB2312" w:eastAsia="仿宋_GB2312"/>
          <w:color w:val="000000"/>
          <w:sz w:val="32"/>
          <w:szCs w:val="32"/>
        </w:rPr>
        <w:t>社会保障和就业（类）退役军人管理事务（款）拥军优属（项）：指开展拥军优属活动的支出。</w:t>
      </w:r>
    </w:p>
    <w:bookmarkEnd w:id="126"/>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社会保障和就业（类）行政事业单位离退休（款）机关事业单位职业年金缴费支出（项）：指机关事业单位实施养老保险制度由单位实际缴纳的职业年金支出。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医疗卫生与计划生育支出（类）行政事业单位医疗（款）行政单位医疗（项）：指机关及参公管理事业单位用于缴纳单位基本医疗保险支出。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医疗卫生与计划生育支出（类）行政事业单位医疗（款）行政单位医疗（项）：指事业单位用于缴纳单位基本医疗保险支出。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医疗卫生与计划生育支出（类）优抚对象医疗（款）优抚对象医疗补助（项）：指按规定补助优抚对象的医疗经费。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社会保障和就业（类）退役军人管理事务（款）其他退役军人事务管理支出（项）：反映除上述项目以外其他用于退役军人事务管理方面的支出。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30.</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31.</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32.</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33.</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34.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adjustRightInd/>
        <w:spacing w:line="576" w:lineRule="exact"/>
        <w:ind w:firstLine="640" w:firstLineChars="200"/>
        <w:rPr>
          <w:rFonts w:ascii="仿宋_GB2312" w:eastAsia="仿宋_GB2312"/>
          <w:sz w:val="32"/>
          <w:szCs w:val="32"/>
        </w:rPr>
      </w:pPr>
      <w:r>
        <w:rPr>
          <w:rFonts w:ascii="仿宋_GB2312" w:eastAsia="仿宋_GB2312"/>
          <w:sz w:val="32"/>
          <w:szCs w:val="32"/>
        </w:rPr>
        <w:t>35.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hAns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Style w:val="23"/>
          <w:rFonts w:ascii="黑体" w:eastAsia="黑体"/>
          <w:b w:val="0"/>
        </w:rPr>
      </w:pPr>
      <w:bookmarkStart w:id="127" w:name="_Toc114821466"/>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22"/>
      <w:bookmarkEnd w:id="123"/>
      <w:bookmarkEnd w:id="127"/>
    </w:p>
    <w:p>
      <w:pPr>
        <w:spacing w:line="576" w:lineRule="exact"/>
        <w:jc w:val="left"/>
        <w:outlineLvl w:val="0"/>
        <w:rPr>
          <w:rFonts w:ascii="方正小标宋简体" w:eastAsia="方正小标宋简体" w:cs="方正小标宋简体"/>
          <w:sz w:val="32"/>
          <w:szCs w:val="32"/>
        </w:rPr>
      </w:pPr>
      <w:bookmarkStart w:id="128" w:name="_Toc79163631"/>
      <w:bookmarkStart w:id="129" w:name="_Toc114821467"/>
      <w:r>
        <w:rPr>
          <w:rFonts w:hint="eastAsia" w:ascii="黑体" w:eastAsia="黑体" w:cs="黑体"/>
          <w:sz w:val="32"/>
          <w:szCs w:val="32"/>
        </w:rPr>
        <w:t>附件</w:t>
      </w:r>
      <w:r>
        <w:rPr>
          <w:rFonts w:ascii="黑体" w:eastAsia="黑体" w:cs="黑体"/>
          <w:sz w:val="32"/>
          <w:szCs w:val="32"/>
        </w:rPr>
        <w:t>1</w:t>
      </w:r>
      <w:bookmarkEnd w:id="128"/>
      <w:bookmarkEnd w:id="129"/>
    </w:p>
    <w:p>
      <w:pPr>
        <w:spacing w:line="576" w:lineRule="exact"/>
        <w:jc w:val="center"/>
        <w:rPr>
          <w:rFonts w:ascii="方正小标宋简体" w:eastAsia="方正小标宋简体" w:cs="方正小标宋简体"/>
          <w:sz w:val="44"/>
          <w:szCs w:val="44"/>
        </w:rPr>
      </w:pPr>
    </w:p>
    <w:p>
      <w:pPr>
        <w:spacing w:line="576" w:lineRule="exact"/>
        <w:jc w:val="center"/>
        <w:outlineLvl w:val="0"/>
        <w:rPr>
          <w:rFonts w:ascii="方正小标宋简体" w:eastAsia="方正小标宋简体" w:cs="黑体"/>
          <w:sz w:val="44"/>
          <w:szCs w:val="44"/>
        </w:rPr>
      </w:pPr>
      <w:bookmarkStart w:id="130" w:name="_Toc79163632"/>
      <w:bookmarkStart w:id="131" w:name="_Toc114821468"/>
      <w:r>
        <w:rPr>
          <w:rFonts w:hint="eastAsia" w:ascii="方正小标宋简体" w:eastAsia="方正小标宋简体" w:cs="黑体"/>
          <w:sz w:val="44"/>
          <w:szCs w:val="44"/>
        </w:rPr>
        <w:t>茂县退役军人事务局部门</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30"/>
      <w:bookmarkEnd w:id="131"/>
    </w:p>
    <w:p>
      <w:pPr>
        <w:widowControl/>
        <w:spacing w:line="576" w:lineRule="exact"/>
        <w:ind w:firstLine="480" w:firstLineChars="200"/>
        <w:contextualSpacing/>
        <w:jc w:val="left"/>
        <w:rPr>
          <w:rFonts w:ascii="黑体" w:eastAsia="黑体" w:cs="宋体"/>
          <w:color w:val="000000"/>
          <w:kern w:val="0"/>
          <w:sz w:val="24"/>
          <w:szCs w:val="32"/>
          <w:shd w:val="clear" w:color="auto" w:fill="FFFFFF"/>
        </w:rPr>
      </w:pPr>
    </w:p>
    <w:p>
      <w:pPr>
        <w:widowControl/>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茂县退役军人事务局属一级预算单位，其中：其他事业单位1个；其他事业单位是退役军人服务中心。</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（二）人员概况。</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茂县退役军人事务局为行政单位，现有行政编制</w:t>
      </w:r>
      <w:r>
        <w:rPr>
          <w:rFonts w:ascii="仿宋_GB2312" w:eastAsia="仿宋_GB2312"/>
          <w:sz w:val="32"/>
          <w:szCs w:val="32"/>
        </w:rPr>
        <w:t>6</w:t>
      </w:r>
      <w:r>
        <w:rPr>
          <w:rFonts w:hint="eastAsia" w:ascii="仿宋_GB2312" w:eastAsia="仿宋_GB2312"/>
          <w:sz w:val="32"/>
          <w:szCs w:val="32"/>
        </w:rPr>
        <w:t>人，行政人员</w:t>
      </w:r>
      <w:r>
        <w:rPr>
          <w:rFonts w:ascii="仿宋_GB2312" w:eastAsia="仿宋_GB2312"/>
          <w:sz w:val="32"/>
          <w:szCs w:val="32"/>
        </w:rPr>
        <w:t>6</w:t>
      </w:r>
      <w:r>
        <w:rPr>
          <w:rFonts w:hint="eastAsia" w:ascii="仿宋_GB2312" w:eastAsia="仿宋_GB2312"/>
          <w:sz w:val="32"/>
          <w:szCs w:val="32"/>
        </w:rPr>
        <w:t>人。</w:t>
      </w:r>
    </w:p>
    <w:p>
      <w:pPr>
        <w:widowControl/>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2021年本部门</w:t>
      </w:r>
      <w:bookmarkStart w:id="132" w:name="_Hlk111190946"/>
      <w:r>
        <w:rPr>
          <w:rFonts w:hint="eastAsia" w:ascii="仿宋_GB2312" w:eastAsia="仿宋_GB2312"/>
          <w:sz w:val="32"/>
          <w:szCs w:val="32"/>
        </w:rPr>
        <w:t>财政拨款收入总额</w:t>
      </w:r>
      <w:r>
        <w:rPr>
          <w:rFonts w:ascii="仿宋_GB2312" w:eastAsia="仿宋_GB2312"/>
          <w:sz w:val="32"/>
          <w:szCs w:val="32"/>
        </w:rPr>
        <w:t>883.87</w:t>
      </w:r>
      <w:r>
        <w:rPr>
          <w:rFonts w:hint="eastAsia" w:ascii="仿宋_GB2312" w:eastAsia="仿宋_GB2312"/>
          <w:sz w:val="32"/>
          <w:szCs w:val="32"/>
        </w:rPr>
        <w:t>万元</w:t>
      </w:r>
      <w:bookmarkEnd w:id="132"/>
      <w:r>
        <w:rPr>
          <w:rFonts w:hint="eastAsia" w:ascii="仿宋_GB2312" w:eastAsia="仿宋_GB2312"/>
          <w:sz w:val="32"/>
          <w:szCs w:val="32"/>
        </w:rPr>
        <w:t>，其中：当年财政拨款收入</w:t>
      </w:r>
      <w:r>
        <w:rPr>
          <w:rFonts w:ascii="仿宋_GB2312" w:eastAsia="仿宋_GB2312"/>
          <w:sz w:val="32"/>
          <w:szCs w:val="32"/>
        </w:rPr>
        <w:t>827.89</w:t>
      </w:r>
      <w:r>
        <w:rPr>
          <w:rFonts w:hint="eastAsia" w:ascii="仿宋_GB2312" w:eastAsia="仿宋_GB2312"/>
          <w:sz w:val="32"/>
          <w:szCs w:val="32"/>
        </w:rPr>
        <w:t>万元（一般公共预算财政拨款8</w:t>
      </w:r>
      <w:r>
        <w:rPr>
          <w:rFonts w:ascii="仿宋_GB2312" w:eastAsia="仿宋_GB2312"/>
          <w:sz w:val="32"/>
          <w:szCs w:val="32"/>
        </w:rPr>
        <w:t>27.89</w:t>
      </w:r>
      <w:r>
        <w:rPr>
          <w:rFonts w:hint="eastAsia" w:ascii="仿宋_GB2312" w:eastAsia="仿宋_GB2312"/>
          <w:sz w:val="32"/>
          <w:szCs w:val="32"/>
        </w:rPr>
        <w:t>万元，年初结转和结余</w:t>
      </w:r>
      <w:r>
        <w:rPr>
          <w:rFonts w:ascii="仿宋_GB2312" w:eastAsia="仿宋_GB2312"/>
          <w:sz w:val="32"/>
          <w:szCs w:val="32"/>
        </w:rPr>
        <w:t>55.98</w:t>
      </w:r>
      <w:r>
        <w:rPr>
          <w:rFonts w:hint="eastAsia" w:ascii="仿宋_GB2312" w:eastAsia="仿宋_GB2312"/>
          <w:sz w:val="32"/>
          <w:szCs w:val="32"/>
        </w:rPr>
        <w:t>万元）。</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spacing w:line="576" w:lineRule="exact"/>
        <w:ind w:firstLine="640" w:firstLineChars="200"/>
        <w:contextualSpacing/>
        <w:jc w:val="left"/>
        <w:rPr>
          <w:rFonts w:ascii="仿宋_GB2312" w:eastAsia="仿宋_GB2312"/>
          <w:sz w:val="32"/>
          <w:szCs w:val="32"/>
        </w:rPr>
      </w:pPr>
      <w:bookmarkStart w:id="133" w:name="_Hlk111190972"/>
      <w:r>
        <w:rPr>
          <w:rFonts w:hint="eastAsia" w:ascii="仿宋_GB2312" w:eastAsia="仿宋_GB2312"/>
          <w:sz w:val="32"/>
          <w:szCs w:val="32"/>
        </w:rPr>
        <w:t>2021年本部门财政拨款支出决算总额</w:t>
      </w:r>
      <w:r>
        <w:rPr>
          <w:rFonts w:ascii="仿宋_GB2312" w:eastAsia="仿宋_GB2312"/>
          <w:sz w:val="32"/>
          <w:szCs w:val="32"/>
        </w:rPr>
        <w:t>883.87</w:t>
      </w:r>
      <w:r>
        <w:rPr>
          <w:rFonts w:hint="eastAsia" w:ascii="仿宋_GB2312" w:eastAsia="仿宋_GB2312"/>
          <w:sz w:val="32"/>
          <w:szCs w:val="32"/>
        </w:rPr>
        <w:t>万元</w:t>
      </w:r>
      <w:bookmarkEnd w:id="133"/>
      <w:r>
        <w:rPr>
          <w:rFonts w:hint="eastAsia" w:ascii="仿宋_GB2312" w:eastAsia="仿宋_GB2312"/>
          <w:sz w:val="32"/>
          <w:szCs w:val="32"/>
        </w:rPr>
        <w:t>，其中按功能分类，社会保障和就业支出</w:t>
      </w:r>
      <w:r>
        <w:rPr>
          <w:rFonts w:ascii="仿宋_GB2312" w:eastAsia="仿宋_GB2312"/>
          <w:sz w:val="32"/>
          <w:szCs w:val="32"/>
        </w:rPr>
        <w:t>852.04</w:t>
      </w:r>
      <w:r>
        <w:rPr>
          <w:rFonts w:hint="eastAsia" w:ascii="仿宋_GB2312" w:eastAsia="仿宋_GB2312"/>
          <w:sz w:val="32"/>
          <w:szCs w:val="32"/>
        </w:rPr>
        <w:t>万元，卫生健康支出</w:t>
      </w:r>
      <w:r>
        <w:rPr>
          <w:rFonts w:ascii="仿宋_GB2312" w:eastAsia="仿宋_GB2312"/>
          <w:sz w:val="32"/>
          <w:szCs w:val="32"/>
        </w:rPr>
        <w:t>24.31</w:t>
      </w:r>
      <w:r>
        <w:rPr>
          <w:rFonts w:hint="eastAsia" w:ascii="仿宋_GB2312" w:eastAsia="仿宋_GB2312"/>
          <w:sz w:val="32"/>
          <w:szCs w:val="32"/>
        </w:rPr>
        <w:t>万元，住房保障支出</w:t>
      </w:r>
      <w:r>
        <w:rPr>
          <w:rFonts w:ascii="仿宋_GB2312" w:eastAsia="仿宋_GB2312"/>
          <w:sz w:val="32"/>
          <w:szCs w:val="32"/>
        </w:rPr>
        <w:t>7.52</w:t>
      </w:r>
      <w:r>
        <w:rPr>
          <w:rFonts w:hint="eastAsia" w:ascii="仿宋_GB2312" w:eastAsia="仿宋_GB2312"/>
          <w:sz w:val="32"/>
          <w:szCs w:val="32"/>
        </w:rPr>
        <w:t>万元；按支出性质和经济分类，基本支出</w:t>
      </w:r>
      <w:r>
        <w:rPr>
          <w:rFonts w:ascii="仿宋_GB2312" w:eastAsia="仿宋_GB2312"/>
          <w:sz w:val="32"/>
          <w:szCs w:val="32"/>
        </w:rPr>
        <w:t>107.93</w:t>
      </w:r>
      <w:r>
        <w:rPr>
          <w:rFonts w:hint="eastAsia" w:ascii="仿宋_GB2312" w:eastAsia="仿宋_GB2312"/>
          <w:sz w:val="32"/>
          <w:szCs w:val="32"/>
        </w:rPr>
        <w:t>万元，项目支出</w:t>
      </w:r>
      <w:r>
        <w:rPr>
          <w:rFonts w:ascii="仿宋_GB2312" w:eastAsia="仿宋_GB2312"/>
          <w:sz w:val="32"/>
          <w:szCs w:val="32"/>
        </w:rPr>
        <w:t>775.94</w:t>
      </w:r>
      <w:r>
        <w:rPr>
          <w:rFonts w:hint="eastAsia" w:ascii="仿宋_GB2312" w:eastAsia="仿宋_GB2312"/>
          <w:sz w:val="32"/>
          <w:szCs w:val="32"/>
        </w:rPr>
        <w:t>万元。</w:t>
      </w:r>
    </w:p>
    <w:p>
      <w:pPr>
        <w:widowControl/>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局根据实际工作开展情况，在部门中期预算调整中调整至急需项目，盘活资金，提高财政资金使用效益，保障了全局工作顺利开展。</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widowControl/>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pStyle w:val="16"/>
        <w:spacing w:line="576" w:lineRule="exact"/>
        <w:ind w:left="0" w:leftChars="0" w:firstLine="640" w:firstLineChars="200"/>
        <w:rPr>
          <w:lang w:val="zh-CN"/>
        </w:rPr>
      </w:pPr>
      <w:r>
        <w:rPr>
          <w:rFonts w:hint="eastAsia" w:ascii="仿宋_GB2312"/>
          <w:szCs w:val="32"/>
        </w:rPr>
        <w:t>2021年我局部门整体支出绩效评价自查自评结果良好， 全年基本支出保证了部门的正常运行和日常工作的正常开展，项目支出保障了重点工作的开展，达到预期绩效目标。</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spacing w:line="576" w:lineRule="exact"/>
        <w:ind w:firstLine="640" w:firstLineChars="200"/>
        <w:jc w:val="left"/>
        <w:rPr>
          <w:rFonts w:ascii="仿宋_GB2312" w:eastAsia="仿宋_GB2312"/>
          <w:sz w:val="32"/>
          <w:szCs w:val="32"/>
        </w:rPr>
      </w:pPr>
      <w:r>
        <w:rPr>
          <w:rFonts w:hint="eastAsia" w:ascii="仿宋_GB2312" w:eastAsia="仿宋_GB2312"/>
          <w:sz w:val="32"/>
          <w:szCs w:val="32"/>
        </w:rPr>
        <w:t>绩效目标设定应当更科学更合理。单位对部门支出相关规章制度落实力度不够，执行能力不强，在票据报销规范性方面的管理不够严谨细致。</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widowControl/>
        <w:spacing w:line="576" w:lineRule="exact"/>
        <w:ind w:firstLine="640" w:firstLineChars="200"/>
        <w:contextualSpacing/>
        <w:jc w:val="left"/>
        <w:rPr>
          <w:rFonts w:ascii="仿宋_GB2312" w:eastAsia="仿宋_GB2312" w:cs="宋体"/>
          <w:color w:val="000000"/>
          <w:kern w:val="0"/>
          <w:sz w:val="32"/>
          <w:szCs w:val="32"/>
          <w:shd w:val="clear" w:color="auto" w:fill="FFFFFF"/>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jc w:val="left"/>
        <w:outlineLvl w:val="0"/>
        <w:rPr>
          <w:rFonts w:ascii="黑体" w:eastAsia="黑体" w:cs="黑体"/>
          <w:sz w:val="32"/>
          <w:szCs w:val="32"/>
        </w:rPr>
      </w:pPr>
      <w:bookmarkStart w:id="134" w:name="_Toc79163633"/>
    </w:p>
    <w:p>
      <w:pPr>
        <w:spacing w:line="576" w:lineRule="exact"/>
        <w:jc w:val="left"/>
        <w:outlineLvl w:val="0"/>
        <w:rPr>
          <w:rFonts w:ascii="黑体" w:eastAsia="黑体" w:cs="黑体"/>
          <w:sz w:val="32"/>
          <w:szCs w:val="32"/>
        </w:rPr>
      </w:pPr>
    </w:p>
    <w:p>
      <w:pPr>
        <w:spacing w:line="576" w:lineRule="exact"/>
        <w:jc w:val="left"/>
        <w:outlineLvl w:val="0"/>
        <w:rPr>
          <w:rFonts w:hint="eastAsia" w:ascii="黑体" w:eastAsia="黑体" w:cs="黑体"/>
          <w:sz w:val="32"/>
          <w:szCs w:val="32"/>
        </w:rPr>
      </w:pPr>
    </w:p>
    <w:p>
      <w:pPr>
        <w:spacing w:line="576" w:lineRule="exact"/>
        <w:jc w:val="left"/>
        <w:outlineLvl w:val="0"/>
        <w:rPr>
          <w:rFonts w:ascii="黑体" w:eastAsia="黑体" w:cs="黑体"/>
          <w:sz w:val="32"/>
          <w:szCs w:val="32"/>
        </w:rPr>
      </w:pPr>
      <w:bookmarkStart w:id="135" w:name="_Toc114821469"/>
      <w:r>
        <w:rPr>
          <w:rFonts w:hint="eastAsia" w:ascii="黑体" w:eastAsia="黑体" w:cs="黑体"/>
          <w:sz w:val="32"/>
          <w:szCs w:val="32"/>
        </w:rPr>
        <w:t>附件</w:t>
      </w:r>
      <w:r>
        <w:rPr>
          <w:rFonts w:ascii="黑体" w:eastAsia="黑体" w:cs="黑体"/>
          <w:sz w:val="32"/>
          <w:szCs w:val="32"/>
        </w:rPr>
        <w:t>2</w:t>
      </w:r>
      <w:bookmarkEnd w:id="134"/>
      <w:bookmarkEnd w:id="135"/>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Cs/>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优抚对象死亡抚恤项目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黑体" w:hAnsi="黑体" w:eastAsia="黑体" w:cs="黑体"/>
          <w:color w:val="000000"/>
          <w:kern w:val="0"/>
          <w:sz w:val="32"/>
          <w:szCs w:val="32"/>
        </w:rPr>
      </w:pP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bookmarkStart w:id="136" w:name="_Hlk82611349"/>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w:t>
      </w:r>
      <w:bookmarkStart w:id="137" w:name="_Hlk82764647"/>
      <w:r>
        <w:rPr>
          <w:rFonts w:hint="eastAsia" w:ascii="仿宋_GB2312" w:hAnsi="宋体" w:eastAsia="仿宋_GB2312" w:cs="宋体"/>
          <w:color w:val="000000"/>
          <w:kern w:val="0"/>
          <w:sz w:val="32"/>
          <w:szCs w:val="32"/>
        </w:rPr>
        <w:t>保障优抚对象生活水平不低于当地的平均生活水平。</w:t>
      </w:r>
    </w:p>
    <w:bookmarkEnd w:id="136"/>
    <w:bookmarkEnd w:id="137"/>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w:t>
      </w:r>
      <w:bookmarkStart w:id="138" w:name="_Hlk82764476"/>
      <w:r>
        <w:rPr>
          <w:rFonts w:hint="eastAsia" w:ascii="仿宋_GB2312" w:hAnsi="宋体" w:eastAsia="仿宋_GB2312" w:cs="宋体"/>
          <w:color w:val="000000"/>
          <w:kern w:val="0"/>
          <w:sz w:val="32"/>
          <w:szCs w:val="32"/>
        </w:rPr>
        <w:t>军人抚恤优待条例</w:t>
      </w:r>
      <w:bookmarkEnd w:id="138"/>
      <w:r>
        <w:rPr>
          <w:rFonts w:hint="eastAsia" w:ascii="仿宋_GB2312" w:hAnsi="宋体" w:eastAsia="仿宋_GB2312" w:cs="宋体"/>
          <w:color w:val="000000"/>
          <w:kern w:val="0"/>
          <w:sz w:val="32"/>
          <w:szCs w:val="32"/>
        </w:rPr>
        <w:t>》、《烈士褒扬条例》、《民政部、财政部关于调整部分优抚对象抚恤补助标准的通知》等，这些为抚恤补助资金支出立项提供了充分法律和政策依据。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bookmarkStart w:id="139" w:name="_Hlk82596154"/>
      <w:r>
        <w:rPr>
          <w:rFonts w:hint="eastAsia" w:ascii="仿宋_GB2312" w:hAnsi="宋体" w:eastAsia="仿宋_GB2312" w:cs="宋体"/>
          <w:color w:val="000000"/>
          <w:kern w:val="0"/>
          <w:sz w:val="32"/>
          <w:szCs w:val="32"/>
        </w:rPr>
        <w:t>按照《</w:t>
      </w:r>
      <w:bookmarkStart w:id="140" w:name="_Hlk82764663"/>
      <w:r>
        <w:rPr>
          <w:rFonts w:hint="eastAsia" w:ascii="仿宋_GB2312" w:hAnsi="宋体" w:eastAsia="仿宋_GB2312" w:cs="宋体"/>
          <w:color w:val="000000"/>
          <w:kern w:val="0"/>
          <w:sz w:val="32"/>
          <w:szCs w:val="32"/>
        </w:rPr>
        <w:t>军人抚恤优待条例</w:t>
      </w:r>
      <w:bookmarkEnd w:id="140"/>
      <w:r>
        <w:rPr>
          <w:rFonts w:hint="eastAsia" w:ascii="仿宋_GB2312" w:hAnsi="宋体" w:eastAsia="仿宋_GB2312" w:cs="宋体"/>
          <w:color w:val="000000"/>
          <w:kern w:val="0"/>
          <w:sz w:val="32"/>
          <w:szCs w:val="32"/>
        </w:rPr>
        <w:t>》，我局优抚对象抚恤保障经费按照因素法进行分配，主要考虑对象人数、县财政困难程度等因素。</w:t>
      </w:r>
      <w:bookmarkEnd w:id="139"/>
      <w:r>
        <w:rPr>
          <w:rFonts w:hint="eastAsia" w:ascii="仿宋_GB2312" w:hAnsi="宋体" w:eastAsia="仿宋_GB2312" w:cs="宋体"/>
          <w:color w:val="000000"/>
          <w:kern w:val="0"/>
          <w:sz w:val="32"/>
          <w:szCs w:val="32"/>
        </w:rPr>
        <w:t>按照资金要求做好绩效监控，确保绩效目标实现。我局优抚对象抚恤保障经费总体绩效目标是：</w:t>
      </w:r>
      <w:bookmarkStart w:id="141" w:name="_Hlk82611639"/>
      <w:bookmarkStart w:id="142" w:name="_Hlk82764755"/>
      <w:r>
        <w:rPr>
          <w:rFonts w:hint="eastAsia" w:ascii="仿宋_GB2312" w:hAnsi="宋体" w:eastAsia="仿宋_GB2312" w:cs="宋体"/>
          <w:color w:val="000000"/>
          <w:kern w:val="0"/>
          <w:sz w:val="32"/>
          <w:szCs w:val="32"/>
        </w:rPr>
        <w:t>通过发放优抚对象抚恤补助资金，</w:t>
      </w:r>
      <w:bookmarkEnd w:id="141"/>
      <w:r>
        <w:rPr>
          <w:rFonts w:hint="eastAsia" w:ascii="仿宋_GB2312" w:hAnsi="宋体" w:eastAsia="仿宋_GB2312" w:cs="宋体"/>
          <w:color w:val="000000"/>
          <w:kern w:val="0"/>
          <w:sz w:val="32"/>
          <w:szCs w:val="32"/>
        </w:rPr>
        <w:t>保障优抚对象生活水平不低于当地的平均生活水平。</w:t>
      </w:r>
    </w:p>
    <w:bookmarkEnd w:id="142"/>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w:t>
      </w:r>
      <w:bookmarkStart w:id="143" w:name="_Hlk82764782"/>
      <w:r>
        <w:rPr>
          <w:rFonts w:hint="eastAsia" w:ascii="仿宋_GB2312" w:hAnsi="宋体" w:eastAsia="仿宋_GB2312" w:cs="宋体"/>
          <w:color w:val="000000"/>
          <w:kern w:val="0"/>
          <w:sz w:val="32"/>
          <w:szCs w:val="32"/>
        </w:rPr>
        <w:t>军人抚恤优待条例</w:t>
      </w:r>
      <w:bookmarkEnd w:id="143"/>
      <w:r>
        <w:rPr>
          <w:rFonts w:hint="eastAsia" w:ascii="仿宋_GB2312" w:hAnsi="宋体" w:eastAsia="仿宋_GB2312" w:cs="宋体"/>
          <w:color w:val="000000"/>
          <w:kern w:val="0"/>
          <w:sz w:val="32"/>
          <w:szCs w:val="32"/>
        </w:rPr>
        <w:t>》，我局优抚对象抚恤保障经费按照因素法进行分配，主要考虑对象人数、县财政困难程度等因素。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w:t>
      </w:r>
      <w:bookmarkStart w:id="144" w:name="_Hlk82765295"/>
      <w:r>
        <w:rPr>
          <w:rFonts w:hint="eastAsia" w:ascii="仿宋_GB2312" w:hAnsi="宋体" w:eastAsia="仿宋_GB2312" w:cs="宋体"/>
          <w:color w:val="000000"/>
          <w:kern w:val="0"/>
          <w:sz w:val="32"/>
          <w:szCs w:val="32"/>
        </w:rPr>
        <w:t>军人抚恤优待条例</w:t>
      </w:r>
      <w:bookmarkEnd w:id="144"/>
      <w:r>
        <w:rPr>
          <w:rFonts w:hint="eastAsia" w:ascii="仿宋_GB2312" w:hAnsi="宋体" w:eastAsia="仿宋_GB2312" w:cs="宋体"/>
          <w:color w:val="000000"/>
          <w:kern w:val="0"/>
          <w:sz w:val="32"/>
          <w:szCs w:val="32"/>
        </w:rPr>
        <w:t>》，加强资金分配和使用管理，定期报送进展情况，强化绩效跟踪，自觉接受纪检、审计部门的监督，切实提升资金使用效益。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号）文件通知，我局对“优抚对象死亡抚恤补助”项目进行绩效评价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对优抚对象抚恤补助经费进行核查，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145" w:name="_Hlk36799704"/>
      <w:r>
        <w:rPr>
          <w:rFonts w:hint="eastAsia" w:ascii="仿宋_GB2312" w:hAnsi="宋体" w:eastAsia="仿宋_GB2312" w:cs="宋体"/>
          <w:bCs/>
          <w:kern w:val="0"/>
          <w:sz w:val="32"/>
          <w:szCs w:val="32"/>
          <w:lang w:val="zh-CN"/>
        </w:rPr>
        <w:t>《</w:t>
      </w:r>
      <w:bookmarkEnd w:id="145"/>
      <w:bookmarkStart w:id="146" w:name="_Hlk3679969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w:t>
      </w:r>
      <w:bookmarkStart w:id="147" w:name="_Hlk110952815"/>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w:t>
      </w:r>
      <w:bookmarkEnd w:id="147"/>
      <w:r>
        <w:rPr>
          <w:rFonts w:hint="eastAsia" w:ascii="仿宋_GB2312" w:hAnsi="宋体" w:eastAsia="仿宋_GB2312" w:cs="宋体"/>
          <w:bCs/>
          <w:kern w:val="0"/>
          <w:sz w:val="32"/>
          <w:szCs w:val="32"/>
          <w:lang w:val="zh-CN"/>
        </w:rPr>
        <w:t>和茂财社〔20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62</w:t>
      </w:r>
      <w:r>
        <w:rPr>
          <w:rFonts w:hint="eastAsia" w:ascii="仿宋_GB2312" w:hAnsi="宋体" w:eastAsia="仿宋_GB2312" w:cs="宋体"/>
          <w:bCs/>
          <w:kern w:val="0"/>
          <w:sz w:val="32"/>
          <w:szCs w:val="32"/>
          <w:lang w:val="zh-CN"/>
        </w:rPr>
        <w:t>号文件下拨资金共计</w:t>
      </w:r>
      <w:r>
        <w:rPr>
          <w:rFonts w:ascii="仿宋_GB2312" w:hAnsi="宋体" w:eastAsia="仿宋_GB2312" w:cs="宋体"/>
          <w:bCs/>
          <w:kern w:val="0"/>
          <w:sz w:val="32"/>
          <w:szCs w:val="32"/>
          <w:lang w:val="zh-CN"/>
        </w:rPr>
        <w:t>151.4</w:t>
      </w:r>
      <w:r>
        <w:rPr>
          <w:rFonts w:hint="eastAsia" w:ascii="仿宋_GB2312" w:hAnsi="宋体" w:eastAsia="仿宋_GB2312" w:cs="宋体"/>
          <w:bCs/>
          <w:kern w:val="0"/>
          <w:sz w:val="32"/>
          <w:szCs w:val="32"/>
          <w:lang w:val="zh-CN"/>
        </w:rPr>
        <w:t>万元</w:t>
      </w:r>
      <w:bookmarkEnd w:id="146"/>
      <w:r>
        <w:rPr>
          <w:rFonts w:hint="eastAsia" w:ascii="仿宋_GB2312" w:hAnsi="宋体" w:eastAsia="仿宋_GB2312" w:cs="宋体"/>
          <w:bCs/>
          <w:kern w:val="0"/>
          <w:sz w:val="32"/>
          <w:szCs w:val="32"/>
          <w:lang w:val="zh-CN"/>
        </w:rPr>
        <w:t>，</w:t>
      </w:r>
      <w:r>
        <w:rPr>
          <w:rFonts w:hint="eastAsia" w:ascii="仿宋_GB2312" w:hAnsi="华文仿宋" w:eastAsia="仿宋_GB2312" w:cs="华文仿宋"/>
          <w:bCs/>
          <w:kern w:val="0"/>
          <w:sz w:val="32"/>
          <w:szCs w:val="32"/>
          <w:lang w:val="zh-CN"/>
        </w:rPr>
        <w:t>优抚对象抚恤经费全额来源于上级拨付。</w:t>
      </w:r>
    </w:p>
    <w:p>
      <w:pPr>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w:t>
      </w:r>
      <w:bookmarkStart w:id="148" w:name="_Hlk82613197"/>
      <w:r>
        <w:rPr>
          <w:rFonts w:hint="eastAsia" w:ascii="仿宋_GB2312" w:hAnsi="宋体" w:eastAsia="仿宋_GB2312"/>
          <w:sz w:val="32"/>
          <w:szCs w:val="32"/>
          <w:lang w:val="zh-CN"/>
        </w:rPr>
        <w:t>优抚对象抚恤补助资金</w:t>
      </w:r>
      <w:bookmarkEnd w:id="148"/>
      <w:r>
        <w:rPr>
          <w:rFonts w:ascii="仿宋_GB2312" w:hAnsi="宋体" w:eastAsia="仿宋_GB2312"/>
          <w:sz w:val="32"/>
          <w:szCs w:val="32"/>
        </w:rPr>
        <w:t>151.4</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年共支付优抚对象死亡抚恤补助资金</w:t>
      </w:r>
      <w:r>
        <w:rPr>
          <w:rFonts w:ascii="仿宋_GB2312" w:hAnsi="宋体" w:eastAsia="仿宋_GB2312"/>
          <w:sz w:val="32"/>
          <w:szCs w:val="32"/>
        </w:rPr>
        <w:t>150.49</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149" w:name="_Toc114821470"/>
      <w:r>
        <w:rPr>
          <w:rFonts w:hint="eastAsia" w:ascii="仿宋_GB2312" w:hAnsi="楷体" w:eastAsia="仿宋_GB2312" w:cs="楷体"/>
          <w:bCs/>
          <w:color w:val="000000"/>
          <w:sz w:val="32"/>
          <w:szCs w:val="32"/>
        </w:rPr>
        <w:t>（二）项目管理情况。</w:t>
      </w:r>
      <w:bookmarkEnd w:id="149"/>
    </w:p>
    <w:p>
      <w:pPr>
        <w:spacing w:line="576" w:lineRule="exact"/>
        <w:ind w:firstLine="640" w:firstLineChars="200"/>
        <w:outlineLvl w:val="0"/>
        <w:rPr>
          <w:rFonts w:ascii="仿宋_GB2312" w:hAnsi="仿宋_GB2312" w:eastAsia="仿宋_GB2312" w:cs="仿宋_GB2312"/>
          <w:sz w:val="32"/>
          <w:szCs w:val="32"/>
        </w:rPr>
      </w:pPr>
      <w:bookmarkStart w:id="150" w:name="_Toc114821471"/>
      <w:r>
        <w:rPr>
          <w:rFonts w:hint="eastAsia" w:ascii="仿宋_GB2312" w:hAnsi="仿宋_GB2312" w:eastAsia="仿宋_GB2312" w:cs="仿宋_GB2312"/>
          <w:sz w:val="32"/>
          <w:szCs w:val="32"/>
        </w:rPr>
        <w:t>优抚对象抚恤补助资金管理严格按《</w:t>
      </w:r>
      <w:r>
        <w:rPr>
          <w:rFonts w:hint="eastAsia" w:ascii="仿宋" w:hAnsi="仿宋" w:eastAsia="仿宋"/>
          <w:color w:val="333333"/>
          <w:sz w:val="32"/>
          <w:szCs w:val="32"/>
          <w:shd w:val="clear" w:color="auto" w:fill="FFFFFF"/>
        </w:rPr>
        <w:t>军人抚恤优待条例</w:t>
      </w:r>
      <w:r>
        <w:rPr>
          <w:rFonts w:hint="eastAsia" w:ascii="仿宋_GB2312" w:hAnsi="仿宋_GB2312" w:eastAsia="仿宋_GB2312" w:cs="仿宋_GB2312"/>
          <w:sz w:val="32"/>
          <w:szCs w:val="32"/>
        </w:rPr>
        <w:t>》执行,确保抚恤补助项目的规范有序实施,同时发放审批档案资料齐全、完整、规范。</w:t>
      </w:r>
      <w:bookmarkEnd w:id="150"/>
    </w:p>
    <w:p>
      <w:pPr>
        <w:spacing w:line="576" w:lineRule="exact"/>
        <w:ind w:firstLine="640" w:firstLineChars="200"/>
        <w:outlineLvl w:val="0"/>
        <w:rPr>
          <w:rFonts w:ascii="仿宋_GB2312" w:hAnsi="仿宋_GB2312" w:eastAsia="仿宋_GB2312" w:cs="仿宋_GB2312"/>
          <w:sz w:val="32"/>
          <w:szCs w:val="32"/>
        </w:rPr>
      </w:pPr>
      <w:bookmarkStart w:id="151" w:name="_Toc114821472"/>
      <w:r>
        <w:rPr>
          <w:rFonts w:hint="eastAsia" w:ascii="仿宋_GB2312" w:hAnsi="仿宋_GB2312" w:eastAsia="仿宋_GB2312" w:cs="仿宋_GB2312"/>
          <w:sz w:val="32"/>
          <w:szCs w:val="32"/>
        </w:rPr>
        <w:t>（三）项目监管情况。</w:t>
      </w:r>
      <w:bookmarkEnd w:id="151"/>
    </w:p>
    <w:p>
      <w:pPr>
        <w:spacing w:line="576" w:lineRule="exact"/>
        <w:ind w:firstLine="640" w:firstLineChars="200"/>
        <w:outlineLvl w:val="0"/>
        <w:rPr>
          <w:rFonts w:ascii="仿宋_GB2312" w:hAnsi="仿宋_GB2312" w:eastAsia="仿宋_GB2312" w:cs="仿宋_GB2312"/>
          <w:sz w:val="32"/>
          <w:szCs w:val="32"/>
        </w:rPr>
      </w:pPr>
      <w:bookmarkStart w:id="152" w:name="_Toc114821473"/>
      <w:r>
        <w:rPr>
          <w:rFonts w:hint="eastAsia" w:ascii="仿宋_GB2312" w:hAnsi="仿宋_GB2312" w:eastAsia="仿宋_GB2312" w:cs="仿宋_GB2312"/>
          <w:sz w:val="32"/>
          <w:szCs w:val="32"/>
        </w:rPr>
        <w:t>我局内审机构定期对发放情况进行检查，不重报</w:t>
      </w:r>
      <w:bookmarkEnd w:id="152"/>
    </w:p>
    <w:p>
      <w:pPr>
        <w:spacing w:line="576" w:lineRule="exact"/>
        <w:outlineLvl w:val="0"/>
        <w:rPr>
          <w:rFonts w:ascii="仿宋_GB2312" w:hAnsi="仿宋_GB2312" w:eastAsia="仿宋_GB2312" w:cs="仿宋_GB2312"/>
          <w:bCs/>
          <w:color w:val="000000"/>
          <w:sz w:val="32"/>
          <w:szCs w:val="32"/>
        </w:rPr>
      </w:pPr>
      <w:bookmarkStart w:id="153" w:name="_Toc114821474"/>
      <w:r>
        <w:rPr>
          <w:rFonts w:hint="eastAsia" w:ascii="仿宋_GB2312" w:hAnsi="仿宋_GB2312" w:eastAsia="仿宋_GB2312" w:cs="仿宋_GB2312"/>
          <w:sz w:val="32"/>
          <w:szCs w:val="32"/>
        </w:rPr>
        <w:t>不漏报、不乱报，做到发放有依有据。</w:t>
      </w:r>
      <w:bookmarkEnd w:id="153"/>
    </w:p>
    <w:p>
      <w:pPr>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614</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154" w:name="_Toc114821475"/>
      <w:r>
        <w:rPr>
          <w:rFonts w:hint="eastAsia" w:ascii="仿宋" w:hAnsi="仿宋" w:eastAsia="仿宋"/>
          <w:color w:val="000000"/>
          <w:sz w:val="32"/>
          <w:szCs w:val="32"/>
          <w:shd w:val="clear" w:color="auto" w:fill="FFFFFF"/>
        </w:rPr>
        <w:t>根据项目执行情况和项目绩效情况，评价等次为优。</w:t>
      </w:r>
      <w:bookmarkEnd w:id="154"/>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Cs/>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优抚对象伤残抚恤项目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严格执行《军人抚恤优待条例》，加强资金分配和使用管理，定期报送进展情况，强化绩效跟踪，自觉接受纪检、审计部门的监督，切实提升资金使用效益。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号）文件通知，我局对“优抚对象伤残抚恤补助”项目进行绩效评价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成立绩效评价工作小组，召开专题工作会议进行部署，对优抚对象抚恤补助经费进行核查，力求数据准确，标准合理，指标科学，考评严格。</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w:t>
      </w:r>
      <w:bookmarkStart w:id="155" w:name="_Hlk110953225"/>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w:t>
      </w:r>
      <w:bookmarkEnd w:id="155"/>
      <w:r>
        <w:rPr>
          <w:rFonts w:hint="eastAsia" w:ascii="仿宋_GB2312" w:hAnsi="宋体" w:eastAsia="仿宋_GB2312" w:cs="宋体"/>
          <w:bCs/>
          <w:kern w:val="0"/>
          <w:sz w:val="32"/>
          <w:szCs w:val="32"/>
          <w:lang w:val="zh-CN"/>
        </w:rPr>
        <w:t>文件下拨资金共计</w:t>
      </w:r>
      <w:r>
        <w:rPr>
          <w:rFonts w:ascii="仿宋_GB2312" w:hAnsi="宋体" w:eastAsia="仿宋_GB2312" w:cs="宋体"/>
          <w:bCs/>
          <w:kern w:val="0"/>
          <w:sz w:val="32"/>
          <w:szCs w:val="32"/>
          <w:lang w:val="zh-CN"/>
        </w:rPr>
        <w:t>60.77</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优抚对象抚恤经费全额来源于上级拨付。</w:t>
      </w:r>
    </w:p>
    <w:p>
      <w:pPr>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年财政共拨付优抚对象抚恤补助资金</w:t>
      </w:r>
      <w:r>
        <w:rPr>
          <w:rFonts w:ascii="仿宋_GB2312" w:hAnsi="宋体" w:eastAsia="仿宋_GB2312"/>
          <w:sz w:val="32"/>
          <w:szCs w:val="32"/>
        </w:rPr>
        <w:t>60.77</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年共支付优抚对象伤残抚恤补助资金</w:t>
      </w:r>
      <w:r>
        <w:rPr>
          <w:rFonts w:ascii="仿宋_GB2312" w:hAnsi="宋体" w:eastAsia="仿宋_GB2312"/>
          <w:sz w:val="32"/>
          <w:szCs w:val="32"/>
        </w:rPr>
        <w:t>55.85</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三、项目实施及管理情况</w:t>
      </w:r>
    </w:p>
    <w:p>
      <w:pPr>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156" w:name="_Toc114821476"/>
      <w:r>
        <w:rPr>
          <w:rFonts w:hint="eastAsia" w:ascii="仿宋_GB2312" w:hAnsi="楷体" w:eastAsia="仿宋_GB2312" w:cs="楷体"/>
          <w:bCs/>
          <w:color w:val="000000"/>
          <w:sz w:val="32"/>
          <w:szCs w:val="32"/>
        </w:rPr>
        <w:t>（二）项目管理情况。</w:t>
      </w:r>
      <w:bookmarkEnd w:id="156"/>
    </w:p>
    <w:p>
      <w:pPr>
        <w:spacing w:line="576" w:lineRule="exact"/>
        <w:ind w:firstLine="640" w:firstLineChars="200"/>
        <w:outlineLvl w:val="0"/>
        <w:rPr>
          <w:rFonts w:ascii="仿宋_GB2312" w:hAnsi="仿宋_GB2312" w:eastAsia="仿宋_GB2312" w:cs="仿宋_GB2312"/>
          <w:sz w:val="32"/>
          <w:szCs w:val="32"/>
        </w:rPr>
      </w:pPr>
      <w:bookmarkStart w:id="157" w:name="_Toc114821477"/>
      <w:r>
        <w:rPr>
          <w:rFonts w:hint="eastAsia" w:ascii="仿宋_GB2312" w:hAnsi="仿宋_GB2312" w:eastAsia="仿宋_GB2312" w:cs="仿宋_GB2312"/>
          <w:sz w:val="32"/>
          <w:szCs w:val="32"/>
        </w:rPr>
        <w:t>优抚对象抚恤补助资金管理严格按《军人抚恤优待条例》执行,确保抚恤补助项目的规范有序实施,同时发放审批档案资料齐全、完整、规范。</w:t>
      </w:r>
      <w:bookmarkEnd w:id="157"/>
    </w:p>
    <w:p>
      <w:pPr>
        <w:spacing w:line="576" w:lineRule="exact"/>
        <w:ind w:firstLine="640" w:firstLineChars="200"/>
        <w:outlineLvl w:val="0"/>
        <w:rPr>
          <w:rFonts w:ascii="仿宋_GB2312" w:hAnsi="仿宋_GB2312" w:eastAsia="仿宋_GB2312" w:cs="仿宋_GB2312"/>
          <w:sz w:val="32"/>
          <w:szCs w:val="32"/>
        </w:rPr>
      </w:pPr>
      <w:bookmarkStart w:id="158" w:name="_Toc114821478"/>
      <w:r>
        <w:rPr>
          <w:rFonts w:hint="eastAsia" w:ascii="仿宋_GB2312" w:hAnsi="仿宋_GB2312" w:eastAsia="仿宋_GB2312" w:cs="仿宋_GB2312"/>
          <w:sz w:val="32"/>
          <w:szCs w:val="32"/>
        </w:rPr>
        <w:t>（三）项目监管情况。</w:t>
      </w:r>
      <w:bookmarkEnd w:id="158"/>
    </w:p>
    <w:p>
      <w:pPr>
        <w:spacing w:line="576" w:lineRule="exact"/>
        <w:ind w:firstLine="640" w:firstLineChars="200"/>
        <w:outlineLvl w:val="0"/>
        <w:rPr>
          <w:rFonts w:ascii="仿宋_GB2312" w:hAnsi="仿宋_GB2312" w:eastAsia="仿宋_GB2312" w:cs="仿宋_GB2312"/>
          <w:sz w:val="32"/>
          <w:szCs w:val="32"/>
        </w:rPr>
      </w:pPr>
      <w:bookmarkStart w:id="159" w:name="_Toc114821479"/>
      <w:r>
        <w:rPr>
          <w:rFonts w:hint="eastAsia" w:ascii="仿宋_GB2312" w:hAnsi="仿宋_GB2312" w:eastAsia="仿宋_GB2312" w:cs="仿宋_GB2312"/>
          <w:sz w:val="32"/>
          <w:szCs w:val="32"/>
        </w:rPr>
        <w:t>我局内审机构定期对发放情况进行检查，不重报</w:t>
      </w:r>
      <w:bookmarkEnd w:id="159"/>
    </w:p>
    <w:p>
      <w:pPr>
        <w:spacing w:line="576" w:lineRule="exact"/>
        <w:outlineLvl w:val="0"/>
        <w:rPr>
          <w:rFonts w:ascii="仿宋_GB2312" w:hAnsi="仿宋_GB2312" w:eastAsia="仿宋_GB2312" w:cs="仿宋_GB2312"/>
          <w:bCs/>
          <w:color w:val="000000"/>
          <w:sz w:val="32"/>
          <w:szCs w:val="32"/>
        </w:rPr>
      </w:pPr>
      <w:bookmarkStart w:id="160" w:name="_Toc114821480"/>
      <w:r>
        <w:rPr>
          <w:rFonts w:hint="eastAsia" w:ascii="仿宋_GB2312" w:hAnsi="仿宋_GB2312" w:eastAsia="仿宋_GB2312" w:cs="仿宋_GB2312"/>
          <w:sz w:val="32"/>
          <w:szCs w:val="32"/>
        </w:rPr>
        <w:t>不漏报、不乱报，做到发放有依有据。</w:t>
      </w:r>
      <w:bookmarkEnd w:id="160"/>
    </w:p>
    <w:p>
      <w:pPr>
        <w:widowControl/>
        <w:shd w:val="clear" w:color="auto" w:fill="FFFFFF"/>
        <w:spacing w:line="576" w:lineRule="exact"/>
        <w:ind w:firstLine="480"/>
        <w:jc w:val="left"/>
        <w:rPr>
          <w:rFonts w:ascii="黑体" w:hAnsi="黑体" w:eastAsia="黑体" w:cs="黑体"/>
          <w:color w:val="000000"/>
          <w:kern w:val="0"/>
          <w:sz w:val="32"/>
          <w:szCs w:val="32"/>
          <w:lang w:val="zh-CN"/>
        </w:rPr>
      </w:pPr>
      <w:r>
        <w:rPr>
          <w:rFonts w:hint="eastAsia" w:ascii="黑体" w:hAnsi="黑体" w:eastAsia="黑体" w:cs="黑体"/>
          <w:color w:val="000000"/>
          <w:kern w:val="0"/>
          <w:sz w:val="32"/>
          <w:szCs w:val="32"/>
        </w:rPr>
        <w:t>四、项目绩效情况</w:t>
      </w:r>
      <w:r>
        <w:rPr>
          <w:rFonts w:hint="eastAsia" w:ascii="黑体" w:hAnsi="黑体" w:eastAsia="黑体" w:cs="黑体"/>
          <w:color w:val="000000"/>
          <w:kern w:val="0"/>
          <w:sz w:val="32"/>
          <w:szCs w:val="32"/>
          <w:lang w:val="zh-CN"/>
        </w:rPr>
        <w:tab/>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276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五、评价结论及建议</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161" w:name="_Toc114821481"/>
      <w:r>
        <w:rPr>
          <w:rFonts w:hint="eastAsia" w:ascii="仿宋" w:hAnsi="仿宋" w:eastAsia="仿宋"/>
          <w:color w:val="000000"/>
          <w:sz w:val="32"/>
          <w:szCs w:val="32"/>
          <w:shd w:val="clear" w:color="auto" w:fill="FFFFFF"/>
        </w:rPr>
        <w:t>根据项目执行情况和项目绩效情况，评价等次为优。</w:t>
      </w:r>
      <w:bookmarkEnd w:id="161"/>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Cs/>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优抚对象在乡复员、退伍军人生活补助项目</w:t>
      </w:r>
      <w:r>
        <w:rPr>
          <w:rFonts w:hint="eastAsia" w:ascii="方正小标宋简体" w:hAnsi="宋体" w:eastAsia="方正小标宋简体" w:cs="宋体"/>
          <w:bCs/>
          <w:sz w:val="44"/>
          <w:szCs w:val="44"/>
        </w:rPr>
        <w:t>绩效报告</w:t>
      </w:r>
    </w:p>
    <w:p>
      <w:pPr>
        <w:widowControl/>
        <w:shd w:val="clear" w:color="auto" w:fill="FFFFFF"/>
        <w:spacing w:line="576" w:lineRule="exact"/>
        <w:jc w:val="left"/>
        <w:rPr>
          <w:rFonts w:ascii="宋体" w:hAnsi="宋体" w:cs="宋体"/>
          <w:b/>
          <w:bCs/>
          <w:color w:val="000000"/>
          <w:kern w:val="0"/>
          <w:sz w:val="32"/>
          <w:szCs w:val="32"/>
        </w:rPr>
      </w:pPr>
    </w:p>
    <w:p>
      <w:pPr>
        <w:widowControl/>
        <w:shd w:val="clear" w:color="auto" w:fill="FFFFFF"/>
        <w:spacing w:line="576" w:lineRule="exact"/>
        <w:ind w:firstLine="642" w:firstLineChars="20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严格执行《军人抚恤优待条例》，加强资金分配和使用管理，定期报送进展情况，强化绩效跟踪，自觉接受纪检、审计部门的监督，切实提升资金使用效益。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号）文件通知，我局对“优抚对象在乡复员、退伍军人生活补助”项目进行绩效评价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成立绩效评价工作小组，召开专题工作会议进行部署，对优抚对象抚恤补助经费进行核查，力求数据准确，标准合理，指标科学，考评严格。</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号和茂财社〔20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62</w:t>
      </w:r>
      <w:r>
        <w:rPr>
          <w:rFonts w:hint="eastAsia" w:ascii="仿宋_GB2312" w:hAnsi="宋体" w:eastAsia="仿宋_GB2312" w:cs="宋体"/>
          <w:bCs/>
          <w:kern w:val="0"/>
          <w:sz w:val="32"/>
          <w:szCs w:val="32"/>
          <w:lang w:val="zh-CN"/>
        </w:rPr>
        <w:t>号等文件下拨资金共计</w:t>
      </w:r>
      <w:r>
        <w:rPr>
          <w:rFonts w:ascii="仿宋_GB2312" w:hAnsi="宋体" w:eastAsia="仿宋_GB2312" w:cs="宋体"/>
          <w:bCs/>
          <w:kern w:val="0"/>
          <w:sz w:val="32"/>
          <w:szCs w:val="32"/>
          <w:lang w:val="zh-CN"/>
        </w:rPr>
        <w:t>160.29</w:t>
      </w:r>
      <w:r>
        <w:rPr>
          <w:rFonts w:hint="eastAsia" w:ascii="仿宋_GB2312" w:hAnsi="宋体" w:eastAsia="仿宋_GB2312" w:cs="宋体"/>
          <w:bCs/>
          <w:kern w:val="0"/>
          <w:sz w:val="32"/>
          <w:szCs w:val="32"/>
          <w:lang w:val="zh-CN"/>
        </w:rPr>
        <w:t>万元，其中5</w:t>
      </w:r>
      <w:r>
        <w:rPr>
          <w:rFonts w:ascii="仿宋_GB2312" w:hAnsi="宋体" w:eastAsia="仿宋_GB2312" w:cs="宋体"/>
          <w:bCs/>
          <w:kern w:val="0"/>
          <w:sz w:val="32"/>
          <w:szCs w:val="32"/>
          <w:lang w:val="zh-CN"/>
        </w:rPr>
        <w:t>7.78</w:t>
      </w:r>
      <w:r>
        <w:rPr>
          <w:rFonts w:hint="eastAsia" w:ascii="仿宋_GB2312" w:hAnsi="宋体" w:eastAsia="仿宋_GB2312" w:cs="宋体"/>
          <w:bCs/>
          <w:kern w:val="0"/>
          <w:sz w:val="32"/>
          <w:szCs w:val="32"/>
          <w:lang w:val="zh-CN"/>
        </w:rPr>
        <w:t>万元来源于县级资金，剩余1</w:t>
      </w:r>
      <w:r>
        <w:rPr>
          <w:rFonts w:ascii="仿宋_GB2312" w:hAnsi="宋体" w:eastAsia="仿宋_GB2312" w:cs="宋体"/>
          <w:bCs/>
          <w:kern w:val="0"/>
          <w:sz w:val="32"/>
          <w:szCs w:val="32"/>
          <w:lang w:val="zh-CN"/>
        </w:rPr>
        <w:t>02.51</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优抚对象抚恤经费全额来源于上级拨付。</w:t>
      </w:r>
    </w:p>
    <w:p>
      <w:pPr>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年财政共拨付优抚对象抚恤补助资金</w:t>
      </w:r>
      <w:r>
        <w:rPr>
          <w:rFonts w:ascii="仿宋_GB2312" w:hAnsi="宋体" w:eastAsia="仿宋_GB2312"/>
          <w:sz w:val="32"/>
          <w:szCs w:val="32"/>
        </w:rPr>
        <w:t>160.29</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年共支付优抚对象在乡复员、退伍军人生活补助资金</w:t>
      </w:r>
      <w:r>
        <w:rPr>
          <w:rFonts w:ascii="仿宋_GB2312" w:hAnsi="宋体" w:eastAsia="仿宋_GB2312"/>
          <w:sz w:val="32"/>
          <w:szCs w:val="32"/>
        </w:rPr>
        <w:t>55.85</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162" w:name="_Toc114821482"/>
      <w:r>
        <w:rPr>
          <w:rFonts w:hint="eastAsia" w:ascii="仿宋_GB2312" w:hAnsi="楷体" w:eastAsia="仿宋_GB2312" w:cs="楷体"/>
          <w:bCs/>
          <w:color w:val="000000"/>
          <w:sz w:val="32"/>
          <w:szCs w:val="32"/>
        </w:rPr>
        <w:t>（二）项目管理情况。</w:t>
      </w:r>
      <w:bookmarkEnd w:id="162"/>
    </w:p>
    <w:p>
      <w:pPr>
        <w:spacing w:line="576" w:lineRule="exact"/>
        <w:ind w:firstLine="640" w:firstLineChars="200"/>
        <w:outlineLvl w:val="0"/>
        <w:rPr>
          <w:rFonts w:ascii="仿宋_GB2312" w:hAnsi="仿宋_GB2312" w:eastAsia="仿宋_GB2312" w:cs="仿宋_GB2312"/>
          <w:sz w:val="32"/>
          <w:szCs w:val="32"/>
        </w:rPr>
      </w:pPr>
      <w:bookmarkStart w:id="163" w:name="_Toc114821483"/>
      <w:r>
        <w:rPr>
          <w:rFonts w:hint="eastAsia" w:ascii="仿宋_GB2312" w:hAnsi="仿宋_GB2312" w:eastAsia="仿宋_GB2312" w:cs="仿宋_GB2312"/>
          <w:sz w:val="32"/>
          <w:szCs w:val="32"/>
        </w:rPr>
        <w:t>优抚对象抚恤补助资金管理严格按《军人抚恤优待条例》执行,确保抚恤补助项目的规范有序实施,同时发放审批档案资料齐全、完整、规范。</w:t>
      </w:r>
      <w:bookmarkEnd w:id="163"/>
    </w:p>
    <w:p>
      <w:pPr>
        <w:spacing w:line="576" w:lineRule="exact"/>
        <w:ind w:firstLine="640" w:firstLineChars="200"/>
        <w:outlineLvl w:val="0"/>
        <w:rPr>
          <w:rFonts w:ascii="仿宋_GB2312" w:hAnsi="仿宋_GB2312" w:eastAsia="仿宋_GB2312" w:cs="仿宋_GB2312"/>
          <w:sz w:val="32"/>
          <w:szCs w:val="32"/>
        </w:rPr>
      </w:pPr>
      <w:bookmarkStart w:id="164" w:name="_Toc114821484"/>
      <w:r>
        <w:rPr>
          <w:rFonts w:hint="eastAsia" w:ascii="仿宋_GB2312" w:hAnsi="仿宋_GB2312" w:eastAsia="仿宋_GB2312" w:cs="仿宋_GB2312"/>
          <w:sz w:val="32"/>
          <w:szCs w:val="32"/>
        </w:rPr>
        <w:t>（三）项目监管情况。</w:t>
      </w:r>
      <w:bookmarkEnd w:id="164"/>
    </w:p>
    <w:p>
      <w:pPr>
        <w:spacing w:line="576" w:lineRule="exact"/>
        <w:ind w:firstLine="640" w:firstLineChars="200"/>
        <w:outlineLvl w:val="0"/>
        <w:rPr>
          <w:rFonts w:ascii="仿宋_GB2312" w:hAnsi="仿宋_GB2312" w:eastAsia="仿宋_GB2312" w:cs="仿宋_GB2312"/>
          <w:sz w:val="32"/>
          <w:szCs w:val="32"/>
        </w:rPr>
      </w:pPr>
      <w:bookmarkStart w:id="165" w:name="_Toc114821485"/>
      <w:r>
        <w:rPr>
          <w:rFonts w:hint="eastAsia" w:ascii="仿宋_GB2312" w:hAnsi="仿宋_GB2312" w:eastAsia="仿宋_GB2312" w:cs="仿宋_GB2312"/>
          <w:sz w:val="32"/>
          <w:szCs w:val="32"/>
        </w:rPr>
        <w:t>我局内审机构定期对发放情况进行检查，不重报</w:t>
      </w:r>
      <w:bookmarkEnd w:id="165"/>
    </w:p>
    <w:p>
      <w:pPr>
        <w:spacing w:line="576" w:lineRule="exact"/>
        <w:outlineLvl w:val="0"/>
        <w:rPr>
          <w:rFonts w:ascii="仿宋_GB2312" w:hAnsi="仿宋_GB2312" w:eastAsia="仿宋_GB2312" w:cs="仿宋_GB2312"/>
          <w:bCs/>
          <w:color w:val="000000"/>
          <w:sz w:val="32"/>
          <w:szCs w:val="32"/>
        </w:rPr>
      </w:pPr>
      <w:bookmarkStart w:id="166" w:name="_Toc114821486"/>
      <w:r>
        <w:rPr>
          <w:rFonts w:hint="eastAsia" w:ascii="仿宋_GB2312" w:hAnsi="仿宋_GB2312" w:eastAsia="仿宋_GB2312" w:cs="仿宋_GB2312"/>
          <w:sz w:val="32"/>
          <w:szCs w:val="32"/>
        </w:rPr>
        <w:t>不漏报、不乱报，做到发放有依有据。</w:t>
      </w:r>
      <w:bookmarkEnd w:id="166"/>
    </w:p>
    <w:p>
      <w:pPr>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646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167" w:name="_Toc114821487"/>
      <w:r>
        <w:rPr>
          <w:rFonts w:hint="eastAsia" w:ascii="仿宋" w:hAnsi="仿宋" w:eastAsia="仿宋"/>
          <w:color w:val="000000"/>
          <w:sz w:val="32"/>
          <w:szCs w:val="32"/>
          <w:shd w:val="clear" w:color="auto" w:fill="FFFFFF"/>
        </w:rPr>
        <w:t>根据项目执行情况和项目绩效情况，评价等次为优。</w:t>
      </w:r>
      <w:bookmarkEnd w:id="167"/>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茂县退役军人事务局关于</w:t>
      </w:r>
    </w:p>
    <w:p>
      <w:pPr>
        <w:spacing w:line="576" w:lineRule="exact"/>
        <w:jc w:val="center"/>
        <w:rPr>
          <w:rFonts w:ascii="方正小标宋简体" w:hAnsi="宋体" w:eastAsia="方正小标宋简体" w:cs="宋体"/>
          <w:bCs/>
          <w:sz w:val="44"/>
          <w:szCs w:val="44"/>
        </w:rPr>
      </w:pPr>
      <w:bookmarkStart w:id="168" w:name="_Hlk82616542"/>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军队移交政府的离退休人员安置</w:t>
      </w:r>
      <w:bookmarkEnd w:id="168"/>
      <w:r>
        <w:rPr>
          <w:rFonts w:hint="eastAsia" w:ascii="方正小标宋简体" w:hAnsi="Arial" w:eastAsia="方正小标宋简体" w:cs="Arial"/>
          <w:bCs/>
          <w:sz w:val="44"/>
          <w:szCs w:val="44"/>
        </w:rPr>
        <w:t>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spacing w:line="576"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为贯彻落实</w:t>
      </w:r>
      <w:bookmarkStart w:id="169" w:name="_Hlk36733741"/>
      <w:r>
        <w:rPr>
          <w:rFonts w:hint="eastAsia" w:ascii="仿宋_GB2312" w:hAnsi="宋体" w:eastAsia="仿宋_GB2312" w:cs="宋体"/>
          <w:color w:val="000000"/>
          <w:kern w:val="0"/>
          <w:sz w:val="32"/>
          <w:szCs w:val="32"/>
        </w:rPr>
        <w:t>军队离退休干部、军队无军籍退休退职职工</w:t>
      </w:r>
      <w:bookmarkEnd w:id="169"/>
      <w:r>
        <w:rPr>
          <w:rFonts w:hint="eastAsia" w:ascii="仿宋_GB2312" w:hAnsi="宋体" w:eastAsia="仿宋_GB2312" w:cs="宋体"/>
          <w:color w:val="000000"/>
          <w:kern w:val="0"/>
          <w:sz w:val="32"/>
          <w:szCs w:val="32"/>
        </w:rPr>
        <w:t>服务工作，充分体现党和国家的关怀</w:t>
      </w:r>
      <w:bookmarkStart w:id="170" w:name="_Hlk82615939"/>
      <w:r>
        <w:rPr>
          <w:rFonts w:hint="eastAsia" w:ascii="仿宋_GB2312" w:hAnsi="宋体" w:eastAsia="仿宋_GB2312" w:cs="宋体"/>
          <w:color w:val="000000"/>
          <w:kern w:val="0"/>
          <w:sz w:val="32"/>
          <w:szCs w:val="32"/>
        </w:rPr>
        <w:t>，</w:t>
      </w:r>
      <w:bookmarkEnd w:id="170"/>
      <w:r>
        <w:rPr>
          <w:rFonts w:hint="eastAsia" w:ascii="仿宋_GB2312" w:hAnsi="宋体" w:eastAsia="仿宋_GB2312" w:cs="宋体"/>
          <w:color w:val="000000"/>
          <w:kern w:val="0"/>
          <w:sz w:val="32"/>
          <w:szCs w:val="32"/>
        </w:rPr>
        <w:t>我县</w:t>
      </w:r>
      <w:bookmarkStart w:id="171" w:name="_Hlk82616419"/>
      <w:r>
        <w:rPr>
          <w:rFonts w:hint="eastAsia" w:ascii="仿宋_GB2312" w:hAnsi="宋体" w:eastAsia="仿宋_GB2312" w:cs="宋体"/>
          <w:color w:val="000000"/>
          <w:kern w:val="0"/>
          <w:sz w:val="32"/>
          <w:szCs w:val="32"/>
        </w:rPr>
        <w:t>对军队离退休干部、军队无军籍退休退职职工逐月发放生活补助。</w:t>
      </w:r>
    </w:p>
    <w:bookmarkEnd w:id="171"/>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cs="宋体"/>
          <w:color w:val="000000"/>
          <w:kern w:val="0"/>
          <w:sz w:val="32"/>
          <w:szCs w:val="32"/>
        </w:rPr>
        <w:t>2.项</w:t>
      </w:r>
      <w:r>
        <w:rPr>
          <w:rFonts w:hint="eastAsia" w:ascii="仿宋_GB2312" w:hAnsi="宋体" w:eastAsia="仿宋_GB2312"/>
          <w:sz w:val="32"/>
          <w:szCs w:val="32"/>
          <w:lang w:val="zh-CN"/>
        </w:rPr>
        <w:t>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根据《四川省军队离退休干部服务管理办法》（川民发〔2018〕2号）、《关于贯彻落实民发〔2005〕135号文件精神推进军队无军籍退休退职职工移交安置工作的意见》（联司〔2011〕298号）文件。</w:t>
      </w:r>
    </w:p>
    <w:p>
      <w:pPr>
        <w:widowControl/>
        <w:shd w:val="clear" w:color="auto" w:fill="FFFFFF"/>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根据《四川省军队离退休干部服务管理办法》，我局每月按规定标准发放军队离退休人员的工资。按照管理办法要求做好绩效监控，确保绩效目标实现。</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根据《</w:t>
      </w:r>
      <w:bookmarkStart w:id="172" w:name="_Hlk82616493"/>
      <w:r>
        <w:rPr>
          <w:rFonts w:hint="eastAsia" w:ascii="仿宋_GB2312" w:hAnsi="宋体" w:eastAsia="仿宋_GB2312" w:cs="宋体"/>
          <w:color w:val="000000"/>
          <w:kern w:val="0"/>
          <w:sz w:val="32"/>
          <w:szCs w:val="32"/>
        </w:rPr>
        <w:t>四川省军队离退休干部服务管理办法</w:t>
      </w:r>
      <w:bookmarkEnd w:id="172"/>
      <w:r>
        <w:rPr>
          <w:rFonts w:hint="eastAsia" w:ascii="仿宋_GB2312" w:hAnsi="宋体" w:eastAsia="仿宋_GB2312" w:cs="宋体"/>
          <w:color w:val="000000"/>
          <w:kern w:val="0"/>
          <w:sz w:val="32"/>
          <w:szCs w:val="32"/>
        </w:rPr>
        <w:t>》，我局每月按规定标准发放军队离退休人员的工资。主要考虑人数临时增加，上级资金到位及时。</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spacing w:line="576" w:lineRule="exact"/>
        <w:ind w:firstLine="72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1、</w:t>
      </w:r>
      <w:r>
        <w:rPr>
          <w:rFonts w:hint="eastAsia" w:ascii="仿宋_GB2312" w:hAnsi="宋体" w:eastAsia="仿宋_GB2312" w:cs="宋体"/>
          <w:color w:val="000000"/>
          <w:kern w:val="0"/>
          <w:sz w:val="32"/>
          <w:szCs w:val="32"/>
        </w:rPr>
        <w:t>项目主要内容。对军队离退休干部、军队无军籍退休退职职工逐月发放生活补助。</w:t>
      </w:r>
    </w:p>
    <w:p>
      <w:pPr>
        <w:widowControl/>
        <w:spacing w:line="576" w:lineRule="exact"/>
        <w:ind w:firstLine="66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2、</w:t>
      </w:r>
      <w:r>
        <w:rPr>
          <w:rFonts w:hint="eastAsia" w:ascii="仿宋_GB2312" w:hAnsi="宋体" w:eastAsia="仿宋_GB2312" w:cs="宋体"/>
          <w:color w:val="000000"/>
          <w:kern w:val="0"/>
          <w:sz w:val="32"/>
          <w:szCs w:val="32"/>
        </w:rPr>
        <w:t>项目绩效目标。通过逐月发放</w:t>
      </w:r>
      <w:bookmarkStart w:id="173" w:name="_Hlk36734522"/>
      <w:r>
        <w:rPr>
          <w:rFonts w:hint="eastAsia" w:ascii="仿宋_GB2312" w:hAnsi="宋体" w:eastAsia="仿宋_GB2312" w:cs="宋体"/>
          <w:color w:val="000000"/>
          <w:kern w:val="0"/>
          <w:sz w:val="32"/>
          <w:szCs w:val="32"/>
        </w:rPr>
        <w:t>军队离退休干部、军队无军籍退休退职职工</w:t>
      </w:r>
      <w:bookmarkEnd w:id="173"/>
      <w:r>
        <w:rPr>
          <w:rFonts w:hint="eastAsia" w:ascii="仿宋_GB2312" w:hAnsi="宋体" w:eastAsia="仿宋_GB2312" w:cs="宋体"/>
          <w:color w:val="000000"/>
          <w:kern w:val="0"/>
          <w:sz w:val="32"/>
          <w:szCs w:val="32"/>
        </w:rPr>
        <w:t>生活补助,进一步促进军队稳定。</w:t>
      </w:r>
    </w:p>
    <w:p>
      <w:pPr>
        <w:widowControl/>
        <w:shd w:val="clear" w:color="auto" w:fill="FFFFFF"/>
        <w:spacing w:line="576" w:lineRule="exact"/>
        <w:ind w:firstLine="720" w:firstLineChars="20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w:t>
      </w:r>
      <w:r>
        <w:rPr>
          <w:rFonts w:hint="eastAsia" w:ascii="仿宋_GB2312" w:hAnsi="宋体" w:eastAsia="仿宋_GB2312" w:cs="宋体"/>
          <w:color w:val="000000"/>
          <w:kern w:val="0"/>
          <w:sz w:val="32"/>
          <w:szCs w:val="32"/>
        </w:rPr>
        <w:t>项目资金管理情况分析。严格执行《四川省军队离退休干部服务管理办法》，加强资金分配和使用管理，定期报送进展情况，强化绩效跟踪，自觉接受纪检、审计部门的监督，切实提升资金使用效益。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号）文件通知，我局对“军队移交政府的离退休人员安置”“军队移交政府离退休干部管理机构”项目进行绩效评价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对军队移交政府离退休人员经费进行核查，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离退休人员补助方面的满意程度，以离退休人员的满意度为评价标准衡量医疗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174" w:name="_Hlk8261682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年中央、省、州级财政退役安置补助资金的通知</w:t>
      </w:r>
      <w:bookmarkEnd w:id="174"/>
      <w:r>
        <w:rPr>
          <w:rFonts w:hint="eastAsia" w:ascii="仿宋_GB2312" w:hAnsi="宋体" w:eastAsia="仿宋_GB2312" w:cs="宋体"/>
          <w:bCs/>
          <w:kern w:val="0"/>
          <w:sz w:val="32"/>
          <w:szCs w:val="32"/>
          <w:lang w:val="zh-CN"/>
        </w:rPr>
        <w:t>》</w:t>
      </w:r>
      <w:bookmarkStart w:id="175" w:name="_Hlk82615199"/>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号</w:t>
      </w:r>
      <w:bookmarkEnd w:id="175"/>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 xml:space="preserve">年中央、省级财政退役士兵安置补助资金的通知》 </w:t>
      </w:r>
      <w:bookmarkStart w:id="176" w:name="_Hlk82616964"/>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73</w:t>
      </w:r>
      <w:r>
        <w:rPr>
          <w:rFonts w:hint="eastAsia" w:ascii="仿宋_GB2312" w:hAnsi="宋体" w:eastAsia="仿宋_GB2312" w:cs="宋体"/>
          <w:bCs/>
          <w:kern w:val="0"/>
          <w:sz w:val="32"/>
          <w:szCs w:val="32"/>
          <w:lang w:val="zh-CN"/>
        </w:rPr>
        <w:t>号</w:t>
      </w:r>
      <w:bookmarkEnd w:id="176"/>
      <w:r>
        <w:rPr>
          <w:rFonts w:hint="eastAsia" w:ascii="仿宋_GB2312" w:hAnsi="宋体" w:eastAsia="仿宋_GB2312" w:cs="宋体"/>
          <w:bCs/>
          <w:kern w:val="0"/>
          <w:sz w:val="32"/>
          <w:szCs w:val="32"/>
          <w:lang w:val="zh-CN"/>
        </w:rPr>
        <w:t>等文件，下拨资金共计</w:t>
      </w:r>
      <w:r>
        <w:rPr>
          <w:rFonts w:ascii="仿宋_GB2312" w:hAnsi="宋体" w:eastAsia="仿宋_GB2312" w:cs="宋体"/>
          <w:bCs/>
          <w:kern w:val="0"/>
          <w:sz w:val="32"/>
          <w:szCs w:val="32"/>
          <w:lang w:val="zh-CN"/>
        </w:rPr>
        <w:t>228.80</w:t>
      </w:r>
      <w:r>
        <w:rPr>
          <w:rFonts w:hint="eastAsia" w:ascii="仿宋_GB2312" w:hAnsi="宋体" w:eastAsia="仿宋_GB2312" w:cs="宋体"/>
          <w:bCs/>
          <w:kern w:val="0"/>
          <w:sz w:val="32"/>
          <w:szCs w:val="32"/>
          <w:lang w:val="zh-CN"/>
        </w:rPr>
        <w:t>万元，其中财返资金5</w:t>
      </w:r>
      <w:r>
        <w:rPr>
          <w:rFonts w:ascii="仿宋_GB2312" w:hAnsi="宋体" w:eastAsia="仿宋_GB2312" w:cs="宋体"/>
          <w:bCs/>
          <w:kern w:val="0"/>
          <w:sz w:val="32"/>
          <w:szCs w:val="32"/>
          <w:lang w:val="zh-CN"/>
        </w:rPr>
        <w:t>3.93</w:t>
      </w:r>
      <w:r>
        <w:rPr>
          <w:rFonts w:hint="eastAsia" w:ascii="仿宋_GB2312" w:hAnsi="宋体" w:eastAsia="仿宋_GB2312" w:cs="宋体"/>
          <w:bCs/>
          <w:kern w:val="0"/>
          <w:sz w:val="32"/>
          <w:szCs w:val="32"/>
          <w:lang w:val="zh-CN"/>
        </w:rPr>
        <w:t>万元，剩余1</w:t>
      </w:r>
      <w:r>
        <w:rPr>
          <w:rFonts w:ascii="仿宋_GB2312" w:hAnsi="宋体" w:eastAsia="仿宋_GB2312" w:cs="宋体"/>
          <w:bCs/>
          <w:kern w:val="0"/>
          <w:sz w:val="32"/>
          <w:szCs w:val="32"/>
          <w:lang w:val="zh-CN"/>
        </w:rPr>
        <w:t>74.87</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经费来源于上级拨付。</w:t>
      </w:r>
    </w:p>
    <w:p>
      <w:pPr>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w:t>
      </w:r>
      <w:r>
        <w:rPr>
          <w:rFonts w:hint="eastAsia" w:ascii="仿宋_GB2312" w:hAnsi="宋体" w:eastAsia="仿宋_GB2312" w:cs="宋体"/>
          <w:bCs/>
          <w:kern w:val="0"/>
          <w:sz w:val="32"/>
          <w:szCs w:val="32"/>
          <w:lang w:val="zh-CN"/>
        </w:rPr>
        <w:t>退役安置</w:t>
      </w:r>
      <w:r>
        <w:rPr>
          <w:rFonts w:hint="eastAsia" w:ascii="仿宋_GB2312" w:hAnsi="宋体" w:eastAsia="仿宋_GB2312"/>
          <w:sz w:val="32"/>
          <w:szCs w:val="32"/>
          <w:lang w:val="zh-CN"/>
        </w:rPr>
        <w:t>补助资金</w:t>
      </w:r>
      <w:r>
        <w:rPr>
          <w:rFonts w:ascii="仿宋_GB2312" w:hAnsi="宋体" w:eastAsia="仿宋_GB2312"/>
          <w:sz w:val="32"/>
          <w:szCs w:val="32"/>
        </w:rPr>
        <w:t>228.8</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年共支付退役安置资金</w:t>
      </w:r>
      <w:r>
        <w:rPr>
          <w:rFonts w:ascii="仿宋_GB2312" w:hAnsi="宋体" w:eastAsia="仿宋_GB2312"/>
          <w:sz w:val="32"/>
          <w:szCs w:val="32"/>
        </w:rPr>
        <w:t>116.77</w:t>
      </w:r>
      <w:r>
        <w:rPr>
          <w:rFonts w:hint="eastAsia" w:ascii="仿宋_GB2312" w:hAnsi="宋体" w:eastAsia="仿宋_GB2312"/>
          <w:sz w:val="32"/>
          <w:szCs w:val="32"/>
        </w:rPr>
        <w:t>万</w:t>
      </w:r>
      <w:r>
        <w:rPr>
          <w:rFonts w:hint="eastAsia" w:ascii="仿宋_GB2312" w:hAnsi="宋体" w:eastAsia="仿宋_GB2312"/>
          <w:sz w:val="32"/>
          <w:szCs w:val="32"/>
          <w:lang w:val="zh-CN"/>
        </w:rPr>
        <w:t>元，帐上支付数1</w:t>
      </w:r>
      <w:r>
        <w:rPr>
          <w:rFonts w:ascii="仿宋_GB2312" w:hAnsi="宋体" w:eastAsia="仿宋_GB2312"/>
          <w:sz w:val="32"/>
          <w:szCs w:val="32"/>
          <w:lang w:val="zh-CN"/>
        </w:rPr>
        <w:t>56.14</w:t>
      </w:r>
      <w:r>
        <w:rPr>
          <w:rFonts w:hint="eastAsia" w:ascii="仿宋_GB2312" w:hAnsi="宋体" w:eastAsia="仿宋_GB2312"/>
          <w:sz w:val="32"/>
          <w:szCs w:val="32"/>
          <w:lang w:val="zh-CN"/>
        </w:rPr>
        <w:t>万元（其中代管资金6万账务处理不做支，财返资金账务处理做支4</w:t>
      </w:r>
      <w:r>
        <w:rPr>
          <w:rFonts w:ascii="仿宋_GB2312" w:hAnsi="宋体" w:eastAsia="仿宋_GB2312"/>
          <w:sz w:val="32"/>
          <w:szCs w:val="32"/>
          <w:lang w:val="zh-CN"/>
        </w:rPr>
        <w:t>5.37</w:t>
      </w:r>
      <w:r>
        <w:rPr>
          <w:rFonts w:hint="eastAsia" w:ascii="仿宋_GB2312" w:hAnsi="宋体" w:eastAsia="仿宋_GB2312"/>
          <w:sz w:val="32"/>
          <w:szCs w:val="32"/>
          <w:lang w:val="zh-CN"/>
        </w:rPr>
        <w:t>万元）</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退役安置补助工作组织机构健全、职责分工明确。由茂县退役军人服务中心具体推进项目的落实。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177" w:name="_Toc114821488"/>
      <w:r>
        <w:rPr>
          <w:rFonts w:hint="eastAsia" w:ascii="仿宋_GB2312" w:hAnsi="楷体" w:eastAsia="仿宋_GB2312" w:cs="楷体"/>
          <w:bCs/>
          <w:color w:val="000000"/>
          <w:sz w:val="32"/>
          <w:szCs w:val="32"/>
        </w:rPr>
        <w:t>（二）项目管理情况。</w:t>
      </w:r>
      <w:bookmarkEnd w:id="177"/>
    </w:p>
    <w:p>
      <w:pPr>
        <w:spacing w:line="576" w:lineRule="exact"/>
        <w:ind w:firstLine="640" w:firstLineChars="200"/>
        <w:outlineLvl w:val="0"/>
        <w:rPr>
          <w:rFonts w:ascii="仿宋_GB2312" w:hAnsi="仿宋_GB2312" w:eastAsia="仿宋_GB2312" w:cs="仿宋_GB2312"/>
          <w:sz w:val="32"/>
          <w:szCs w:val="32"/>
        </w:rPr>
      </w:pPr>
      <w:bookmarkStart w:id="178" w:name="_Toc114821489"/>
      <w:r>
        <w:rPr>
          <w:rFonts w:hint="eastAsia" w:ascii="仿宋_GB2312" w:hAnsi="仿宋_GB2312" w:eastAsia="仿宋_GB2312" w:cs="仿宋_GB2312"/>
          <w:sz w:val="32"/>
          <w:szCs w:val="32"/>
        </w:rPr>
        <w:t>退役安置补助资金管理严格按《</w:t>
      </w:r>
      <w:r>
        <w:rPr>
          <w:rFonts w:hint="eastAsia" w:ascii="仿宋_GB2312" w:hAnsi="宋体" w:eastAsia="仿宋_GB2312" w:cs="宋体"/>
          <w:color w:val="000000"/>
          <w:kern w:val="0"/>
          <w:sz w:val="32"/>
          <w:szCs w:val="32"/>
        </w:rPr>
        <w:t>四川省军队离退休干部服务管理办法</w:t>
      </w:r>
      <w:r>
        <w:rPr>
          <w:rFonts w:hint="eastAsia" w:ascii="仿宋_GB2312" w:hAnsi="仿宋_GB2312" w:eastAsia="仿宋_GB2312" w:cs="仿宋_GB2312"/>
          <w:sz w:val="32"/>
          <w:szCs w:val="32"/>
        </w:rPr>
        <w:t>》执行,确保补助项目的规范有序实施,同时发放审批档案资料齐全、完整、规范。</w:t>
      </w:r>
      <w:bookmarkEnd w:id="178"/>
    </w:p>
    <w:p>
      <w:pPr>
        <w:spacing w:line="576" w:lineRule="exact"/>
        <w:ind w:firstLine="640" w:firstLineChars="200"/>
        <w:outlineLvl w:val="0"/>
        <w:rPr>
          <w:rFonts w:ascii="仿宋_GB2312" w:hAnsi="仿宋_GB2312" w:eastAsia="仿宋_GB2312" w:cs="仿宋_GB2312"/>
          <w:sz w:val="32"/>
          <w:szCs w:val="32"/>
        </w:rPr>
      </w:pPr>
      <w:bookmarkStart w:id="179" w:name="_Toc114821490"/>
      <w:r>
        <w:rPr>
          <w:rFonts w:hint="eastAsia" w:ascii="仿宋_GB2312" w:hAnsi="仿宋_GB2312" w:eastAsia="仿宋_GB2312" w:cs="仿宋_GB2312"/>
          <w:sz w:val="32"/>
          <w:szCs w:val="32"/>
        </w:rPr>
        <w:t>（三）项目监管情况。</w:t>
      </w:r>
      <w:bookmarkEnd w:id="179"/>
    </w:p>
    <w:p>
      <w:pPr>
        <w:spacing w:line="576" w:lineRule="exact"/>
        <w:ind w:firstLine="640" w:firstLineChars="200"/>
        <w:outlineLvl w:val="0"/>
        <w:rPr>
          <w:rFonts w:ascii="仿宋_GB2312" w:hAnsi="仿宋_GB2312" w:eastAsia="仿宋_GB2312" w:cs="仿宋_GB2312"/>
          <w:sz w:val="32"/>
          <w:szCs w:val="32"/>
        </w:rPr>
      </w:pPr>
      <w:bookmarkStart w:id="180" w:name="_Toc114821491"/>
      <w:r>
        <w:rPr>
          <w:rFonts w:hint="eastAsia" w:ascii="仿宋_GB2312" w:hAnsi="仿宋_GB2312" w:eastAsia="仿宋_GB2312" w:cs="仿宋_GB2312"/>
          <w:sz w:val="32"/>
          <w:szCs w:val="32"/>
        </w:rPr>
        <w:t>我局内审机构定期对发放情况进行检查，不重报</w:t>
      </w:r>
      <w:bookmarkEnd w:id="180"/>
    </w:p>
    <w:p>
      <w:pPr>
        <w:spacing w:line="576" w:lineRule="exact"/>
        <w:outlineLvl w:val="0"/>
        <w:rPr>
          <w:rFonts w:ascii="仿宋_GB2312" w:hAnsi="仿宋_GB2312" w:eastAsia="仿宋_GB2312" w:cs="仿宋_GB2312"/>
          <w:bCs/>
          <w:color w:val="000000"/>
          <w:sz w:val="32"/>
          <w:szCs w:val="32"/>
        </w:rPr>
      </w:pPr>
      <w:bookmarkStart w:id="181" w:name="_Toc114821492"/>
      <w:r>
        <w:rPr>
          <w:rFonts w:hint="eastAsia" w:ascii="仿宋_GB2312" w:hAnsi="仿宋_GB2312" w:eastAsia="仿宋_GB2312" w:cs="仿宋_GB2312"/>
          <w:sz w:val="32"/>
          <w:szCs w:val="32"/>
        </w:rPr>
        <w:t>不漏报、不乱报，做到发放有依有据。</w:t>
      </w:r>
      <w:bookmarkEnd w:id="181"/>
    </w:p>
    <w:p>
      <w:pPr>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年发放离退休人员补助</w:t>
      </w:r>
      <w:r>
        <w:rPr>
          <w:rFonts w:ascii="仿宋_GB2312" w:hAnsi="宋体" w:eastAsia="仿宋_GB2312" w:cs="宋体"/>
          <w:color w:val="000000"/>
          <w:kern w:val="0"/>
          <w:sz w:val="32"/>
          <w:szCs w:val="32"/>
        </w:rPr>
        <w:t>72</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年，确保按规定标准兑现离退休人员补助待遇。经费符合相关政策规定比率达到100%。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时效指标。按月及时发放。</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退役安置补助资金的发放，进一步促进了军队的稳定。通过发放生活补助使军队离退休干部、军队无军籍退休退职职工更清楚地感受到了党和政府关心关怀，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离退休人员满意度较好，达到预期目标。</w:t>
      </w:r>
    </w:p>
    <w:p>
      <w:pPr>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182" w:name="_Toc114821493"/>
      <w:r>
        <w:rPr>
          <w:rFonts w:hint="eastAsia" w:ascii="仿宋" w:hAnsi="仿宋" w:eastAsia="仿宋"/>
          <w:color w:val="000000"/>
          <w:sz w:val="32"/>
          <w:szCs w:val="32"/>
          <w:shd w:val="clear" w:color="auto" w:fill="FFFFFF"/>
        </w:rPr>
        <w:t>根据项目执行情况和项目绩效情况，评价等次为优。</w:t>
      </w:r>
      <w:bookmarkEnd w:id="182"/>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由于离退休人员不了解我们发放的要求，临时更改自己的银行卡号，导致发放失败。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r>
        <w:rPr>
          <w:rFonts w:hint="eastAsia" w:ascii="方正小标宋简体" w:hAnsi="Arial" w:eastAsia="方正小标宋简体" w:cs="Arial"/>
          <w:b/>
          <w:sz w:val="44"/>
          <w:szCs w:val="44"/>
        </w:rPr>
        <w:t>茂县退役军人事务局</w:t>
      </w:r>
    </w:p>
    <w:p>
      <w:pPr>
        <w:spacing w:line="576" w:lineRule="exact"/>
        <w:jc w:val="center"/>
        <w:rPr>
          <w:rFonts w:ascii="方正小标宋简体" w:hAnsi="宋体" w:eastAsia="方正小标宋简体" w:cs="宋体"/>
          <w:b/>
          <w:sz w:val="44"/>
          <w:szCs w:val="44"/>
        </w:rPr>
      </w:pPr>
      <w:r>
        <w:rPr>
          <w:rFonts w:ascii="方正小标宋简体" w:hAnsi="Arial" w:eastAsia="方正小标宋简体" w:cs="Arial"/>
          <w:b/>
          <w:sz w:val="44"/>
          <w:szCs w:val="44"/>
        </w:rPr>
        <w:t>2021</w:t>
      </w:r>
      <w:r>
        <w:rPr>
          <w:rFonts w:hint="eastAsia" w:ascii="方正小标宋简体" w:hAnsi="宋体" w:eastAsia="方正小标宋简体" w:cs="宋体"/>
          <w:b/>
          <w:sz w:val="44"/>
          <w:szCs w:val="44"/>
        </w:rPr>
        <w:t>年度</w:t>
      </w:r>
      <w:r>
        <w:rPr>
          <w:rFonts w:hint="eastAsia" w:ascii="方正小标宋简体" w:hAnsi="Arial" w:eastAsia="方正小标宋简体" w:cs="Arial"/>
          <w:b/>
          <w:sz w:val="44"/>
          <w:szCs w:val="44"/>
        </w:rPr>
        <w:t>优抚对象医疗补助项目</w:t>
      </w:r>
      <w:r>
        <w:rPr>
          <w:rFonts w:hint="eastAsia" w:ascii="方正小标宋简体" w:hAnsi="宋体" w:eastAsia="方正小标宋简体" w:cs="宋体"/>
          <w:b/>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主要负责优抚对象五至十级残疾农村籍军人参加城镇职工基本医疗保险和建立补充医疗保障；五至十级残疾村村及军人旧伤复发医疗经费，以及落实其他有关优抚对象医疗优惠待遇。</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根据国务院、中央军委《军人抚恤条例》、《茂县优抚对象医疗保障实施意见（试行）的通知》（茂民发〔2009〕58号）文件。</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按照资金要求做好绩效监控，确保绩效目标实现。我局优抚对象医疗保障经费总体绩效目标是：通过发放优抚对象医疗补助资金，对优抚对象参保缴费住院和门诊费用进行补助，有效帮助解决优抚对象医疗难问题。</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优抚对象医疗补助资金主要用于五至十级残疾农村籍军人参加城镇职工基本医疗保险和建立补充医疗保障；五至十级残疾村村及军人旧伤复发医疗经费，以及落实其他有关优抚对象医疗优惠待遇。</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通过发放优抚对象医疗补助资金，对优抚对象参保缴费住院和门诊费用进行补助，有效帮助解决优抚对象医疗难问题。</w:t>
      </w:r>
    </w:p>
    <w:p>
      <w:pPr>
        <w:widowControl/>
        <w:shd w:val="clear" w:color="auto" w:fill="FFFFFF"/>
        <w:spacing w:line="576" w:lineRule="exact"/>
        <w:ind w:firstLine="48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3、项目资金管理情况分析。严格执行《优抚对象医疗补助资金管理办法》，加强资金分配和使用管理，定期报送进展情况，强化绩效跟踪，自觉接受纪检、审计部门的监督，切实提升资金使用效益。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号）文件通知，我局对“优抚对象医疗补助”项目进行绩效评价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对优抚对象医疗补助经费进行核查，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医疗补助方面的满意程度，以优抚对象的满意度为评价标准衡量医疗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bCs/>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年优抚对象医疗保障经费的通知》（茂财社〔20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61</w:t>
      </w:r>
      <w:r>
        <w:rPr>
          <w:rFonts w:hint="eastAsia" w:ascii="仿宋_GB2312" w:hAnsi="宋体" w:eastAsia="仿宋_GB2312" w:cs="宋体"/>
          <w:bCs/>
          <w:kern w:val="0"/>
          <w:sz w:val="32"/>
          <w:szCs w:val="32"/>
          <w:lang w:val="zh-CN"/>
        </w:rPr>
        <w:t>号、茂财社〔20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13</w:t>
      </w:r>
      <w:r>
        <w:rPr>
          <w:rFonts w:hint="eastAsia" w:ascii="仿宋_GB2312" w:hAnsi="宋体" w:eastAsia="仿宋_GB2312" w:cs="宋体"/>
          <w:bCs/>
          <w:kern w:val="0"/>
          <w:sz w:val="32"/>
          <w:szCs w:val="32"/>
          <w:lang w:val="zh-CN"/>
        </w:rPr>
        <w:t>号）下拨资金共计</w:t>
      </w:r>
      <w:r>
        <w:rPr>
          <w:rFonts w:ascii="仿宋_GB2312" w:hAnsi="宋体" w:eastAsia="仿宋_GB2312" w:cs="宋体"/>
          <w:bCs/>
          <w:kern w:val="0"/>
          <w:sz w:val="32"/>
          <w:szCs w:val="32"/>
          <w:lang w:val="zh-CN"/>
        </w:rPr>
        <w:t>28.3</w:t>
      </w:r>
      <w:r>
        <w:rPr>
          <w:rFonts w:hint="eastAsia" w:ascii="仿宋_GB2312" w:hAnsi="宋体" w:eastAsia="仿宋_GB2312" w:cs="宋体"/>
          <w:bCs/>
          <w:kern w:val="0"/>
          <w:sz w:val="32"/>
          <w:szCs w:val="32"/>
          <w:lang w:val="zh-CN"/>
        </w:rPr>
        <w:t>万元，其中财返资金1</w:t>
      </w:r>
      <w:r>
        <w:rPr>
          <w:rFonts w:ascii="仿宋_GB2312" w:hAnsi="宋体" w:eastAsia="仿宋_GB2312" w:cs="宋体"/>
          <w:bCs/>
          <w:kern w:val="0"/>
          <w:sz w:val="32"/>
          <w:szCs w:val="32"/>
          <w:lang w:val="zh-CN"/>
        </w:rPr>
        <w:t>0.14</w:t>
      </w:r>
      <w:r>
        <w:rPr>
          <w:rFonts w:hint="eastAsia" w:ascii="仿宋_GB2312" w:hAnsi="宋体" w:eastAsia="仿宋_GB2312" w:cs="宋体"/>
          <w:bCs/>
          <w:kern w:val="0"/>
          <w:sz w:val="32"/>
          <w:szCs w:val="32"/>
          <w:lang w:val="zh-CN"/>
        </w:rPr>
        <w:t>万元，县级资金7</w:t>
      </w:r>
      <w:r>
        <w:rPr>
          <w:rFonts w:ascii="仿宋_GB2312" w:hAnsi="宋体" w:eastAsia="仿宋_GB2312" w:cs="宋体"/>
          <w:bCs/>
          <w:kern w:val="0"/>
          <w:sz w:val="32"/>
          <w:szCs w:val="32"/>
          <w:lang w:val="zh-CN"/>
        </w:rPr>
        <w:t>.92</w:t>
      </w:r>
      <w:r>
        <w:rPr>
          <w:rFonts w:hint="eastAsia" w:ascii="仿宋_GB2312" w:hAnsi="宋体" w:eastAsia="仿宋_GB2312" w:cs="宋体"/>
          <w:bCs/>
          <w:kern w:val="0"/>
          <w:sz w:val="32"/>
          <w:szCs w:val="32"/>
          <w:lang w:val="zh-CN"/>
        </w:rPr>
        <w:t>万元，剩余1</w:t>
      </w:r>
      <w:r>
        <w:rPr>
          <w:rFonts w:ascii="仿宋_GB2312" w:hAnsi="宋体" w:eastAsia="仿宋_GB2312" w:cs="宋体"/>
          <w:bCs/>
          <w:kern w:val="0"/>
          <w:sz w:val="32"/>
          <w:szCs w:val="32"/>
          <w:lang w:val="zh-CN"/>
        </w:rPr>
        <w:t>0.</w:t>
      </w:r>
      <w:r>
        <w:rPr>
          <w:rFonts w:hint="eastAsia" w:ascii="仿宋_GB2312" w:hAnsi="宋体" w:eastAsia="仿宋_GB2312" w:cs="宋体"/>
          <w:bCs/>
          <w:kern w:val="0"/>
          <w:sz w:val="32"/>
          <w:szCs w:val="32"/>
          <w:lang w:val="zh-CN"/>
        </w:rPr>
        <w:t>2</w:t>
      </w:r>
      <w:r>
        <w:rPr>
          <w:rFonts w:ascii="仿宋_GB2312" w:hAnsi="宋体" w:eastAsia="仿宋_GB2312" w:cs="宋体"/>
          <w:bCs/>
          <w:kern w:val="0"/>
          <w:sz w:val="32"/>
          <w:szCs w:val="32"/>
          <w:lang w:val="zh-CN"/>
        </w:rPr>
        <w:t>4</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优抚医疗对象保障经费全额来源于上级拨付。</w:t>
      </w:r>
    </w:p>
    <w:p>
      <w:pPr>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2020年财政共拨付优抚对象医疗补助资金</w:t>
      </w:r>
      <w:r>
        <w:rPr>
          <w:rFonts w:ascii="仿宋_GB2312" w:hAnsi="宋体" w:eastAsia="仿宋_GB2312"/>
          <w:sz w:val="32"/>
          <w:szCs w:val="32"/>
        </w:rPr>
        <w:t>28.3</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年共支付优抚对象医疗补助资金</w:t>
      </w:r>
      <w:r>
        <w:rPr>
          <w:rFonts w:ascii="仿宋_GB2312" w:hAnsi="宋体" w:eastAsia="仿宋_GB2312"/>
          <w:sz w:val="32"/>
          <w:szCs w:val="32"/>
        </w:rPr>
        <w:t>19.44</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优抚对象医疗补助工作组织机构健全、职责分工明确。由茂县退役军人服务中心具体推进项目的落实。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183" w:name="_Toc114821494"/>
      <w:r>
        <w:rPr>
          <w:rFonts w:hint="eastAsia" w:ascii="仿宋_GB2312" w:hAnsi="楷体" w:eastAsia="仿宋_GB2312" w:cs="楷体"/>
          <w:bCs/>
          <w:color w:val="000000"/>
          <w:sz w:val="32"/>
          <w:szCs w:val="32"/>
        </w:rPr>
        <w:t>（二）项目管理情况。</w:t>
      </w:r>
      <w:bookmarkEnd w:id="183"/>
    </w:p>
    <w:p>
      <w:pPr>
        <w:spacing w:line="576" w:lineRule="exact"/>
        <w:ind w:firstLine="640" w:firstLineChars="200"/>
        <w:outlineLvl w:val="0"/>
        <w:rPr>
          <w:rFonts w:ascii="仿宋_GB2312" w:hAnsi="仿宋_GB2312" w:eastAsia="仿宋_GB2312" w:cs="仿宋_GB2312"/>
          <w:sz w:val="32"/>
          <w:szCs w:val="32"/>
        </w:rPr>
      </w:pPr>
      <w:bookmarkStart w:id="184" w:name="_Toc114821495"/>
      <w:r>
        <w:rPr>
          <w:rFonts w:hint="eastAsia" w:ascii="仿宋_GB2312" w:hAnsi="仿宋_GB2312" w:eastAsia="仿宋_GB2312" w:cs="仿宋_GB2312"/>
          <w:sz w:val="32"/>
          <w:szCs w:val="32"/>
        </w:rPr>
        <w:t>优抚对象医疗补助资金管理严格按《优抚对象医疗补助资金使用管理办法》和《优抚对象医疗保障实施办法》执行,确保医疗补助项目的规范有序实施,同时发放审批档案资料齐全、完整、规范。</w:t>
      </w:r>
      <w:bookmarkEnd w:id="184"/>
    </w:p>
    <w:p>
      <w:pPr>
        <w:spacing w:line="576" w:lineRule="exact"/>
        <w:ind w:firstLine="640" w:firstLineChars="200"/>
        <w:outlineLvl w:val="0"/>
        <w:rPr>
          <w:rFonts w:ascii="仿宋_GB2312" w:hAnsi="仿宋_GB2312" w:eastAsia="仿宋_GB2312" w:cs="仿宋_GB2312"/>
          <w:sz w:val="32"/>
          <w:szCs w:val="32"/>
        </w:rPr>
      </w:pPr>
      <w:bookmarkStart w:id="185" w:name="_Toc114821496"/>
      <w:r>
        <w:rPr>
          <w:rFonts w:hint="eastAsia" w:ascii="仿宋_GB2312" w:hAnsi="仿宋_GB2312" w:eastAsia="仿宋_GB2312" w:cs="仿宋_GB2312"/>
          <w:sz w:val="32"/>
          <w:szCs w:val="32"/>
        </w:rPr>
        <w:t>（三）项目监管情况。</w:t>
      </w:r>
      <w:bookmarkEnd w:id="185"/>
    </w:p>
    <w:p>
      <w:pPr>
        <w:spacing w:line="576" w:lineRule="exact"/>
        <w:ind w:firstLine="640" w:firstLineChars="200"/>
        <w:outlineLvl w:val="0"/>
        <w:rPr>
          <w:rFonts w:ascii="仿宋_GB2312" w:hAnsi="仿宋_GB2312" w:eastAsia="仿宋_GB2312" w:cs="仿宋_GB2312"/>
          <w:sz w:val="32"/>
          <w:szCs w:val="32"/>
        </w:rPr>
      </w:pPr>
      <w:bookmarkStart w:id="186" w:name="_Toc114821497"/>
      <w:r>
        <w:rPr>
          <w:rFonts w:hint="eastAsia" w:ascii="仿宋_GB2312" w:hAnsi="仿宋_GB2312" w:eastAsia="仿宋_GB2312" w:cs="仿宋_GB2312"/>
          <w:sz w:val="32"/>
          <w:szCs w:val="32"/>
        </w:rPr>
        <w:t>我局内审机构定期对发放情况进行检查，不重报</w:t>
      </w:r>
      <w:bookmarkEnd w:id="186"/>
    </w:p>
    <w:p>
      <w:pPr>
        <w:spacing w:line="576" w:lineRule="exact"/>
        <w:outlineLvl w:val="0"/>
        <w:rPr>
          <w:rFonts w:ascii="仿宋_GB2312" w:hAnsi="仿宋_GB2312" w:eastAsia="仿宋_GB2312" w:cs="仿宋_GB2312"/>
          <w:bCs/>
          <w:color w:val="000000"/>
          <w:sz w:val="32"/>
          <w:szCs w:val="32"/>
        </w:rPr>
      </w:pPr>
      <w:bookmarkStart w:id="187" w:name="_Toc114821498"/>
      <w:r>
        <w:rPr>
          <w:rFonts w:hint="eastAsia" w:ascii="仿宋_GB2312" w:hAnsi="仿宋_GB2312" w:eastAsia="仿宋_GB2312" w:cs="仿宋_GB2312"/>
          <w:sz w:val="32"/>
          <w:szCs w:val="32"/>
        </w:rPr>
        <w:t>不漏报、不乱报，做到发放有依有据。</w:t>
      </w:r>
      <w:bookmarkEnd w:id="187"/>
    </w:p>
    <w:p>
      <w:pPr>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年，优抚对象医疗保障经费惠及残疾军人、三属、在乡老复员军人、带病回乡退伍军人、参战参试退役人员等各类优抚对象</w:t>
      </w:r>
      <w:r>
        <w:rPr>
          <w:rFonts w:ascii="仿宋_GB2312" w:hAnsi="宋体" w:eastAsia="仿宋_GB2312" w:cs="宋体"/>
          <w:color w:val="000000"/>
          <w:kern w:val="0"/>
          <w:sz w:val="32"/>
          <w:szCs w:val="32"/>
        </w:rPr>
        <w:t>16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年，确保按规定标准兑现优抚对象医疗补助待遇。经费符合相关政策规定比率达到100%。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时效指标。建立优抚对象医疗补助“一站式”即时结算服务，方便优抚对象即时结算报销，大大缩减了时间和人力成本，优抚对象医疗补助资金均及时发放。</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建立优抚对象医疗保障制度，体现了党和政府对优抚对象的关心，能有效地缓解这一群体“因病致贫”的问题，对于维护社会稳定，促进社会和谐，具有十分重要的意义。优抚对象医疗保障项目实施以来，在一定程度上缓解了我省优抚对象医疗困难，提高了优抚对象的生活质量，促进了经济发展和社会和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188" w:name="_Toc114821499"/>
      <w:r>
        <w:rPr>
          <w:rFonts w:hint="eastAsia" w:ascii="仿宋" w:hAnsi="仿宋" w:eastAsia="仿宋"/>
          <w:color w:val="000000"/>
          <w:sz w:val="32"/>
          <w:szCs w:val="32"/>
          <w:shd w:val="clear" w:color="auto" w:fill="FFFFFF"/>
        </w:rPr>
        <w:t>根据项目执行情况和项目绩效情况，评价等次为优。</w:t>
      </w:r>
      <w:bookmarkEnd w:id="188"/>
    </w:p>
    <w:p>
      <w:pPr>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优抚对象医疗补助项目，涉及人员广，人员类别多样，预算年度内人员变化大，预算编制难度大。</w:t>
      </w:r>
    </w:p>
    <w:p>
      <w:pPr>
        <w:spacing w:line="576" w:lineRule="exact"/>
      </w:pPr>
    </w:p>
    <w:p>
      <w:pPr>
        <w:spacing w:line="576" w:lineRule="exact"/>
        <w:jc w:val="center"/>
        <w:outlineLvl w:val="0"/>
        <w:rPr>
          <w:rStyle w:val="23"/>
          <w:rFonts w:ascii="黑体" w:eastAsia="黑体"/>
          <w:b w:val="0"/>
        </w:rPr>
      </w:pPr>
      <w:bookmarkStart w:id="189" w:name="_Toc79163635"/>
      <w:bookmarkStart w:id="190" w:name="_Toc15396618"/>
      <w:bookmarkStart w:id="191" w:name="_Toc114821500"/>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24"/>
      <w:bookmarkEnd w:id="189"/>
      <w:bookmarkEnd w:id="190"/>
      <w:bookmarkEnd w:id="191"/>
    </w:p>
    <w:p>
      <w:pPr>
        <w:pStyle w:val="3"/>
        <w:spacing w:before="0" w:after="0" w:line="576" w:lineRule="exact"/>
        <w:rPr>
          <w:rFonts w:ascii="仿宋" w:eastAsia="仿宋"/>
          <w:b w:val="0"/>
          <w:color w:val="000000"/>
        </w:rPr>
      </w:pPr>
      <w:bookmarkStart w:id="192" w:name="_Toc79163636"/>
      <w:bookmarkStart w:id="193" w:name="_Toc15396619"/>
    </w:p>
    <w:p>
      <w:pPr>
        <w:pStyle w:val="3"/>
        <w:spacing w:before="0" w:after="0" w:line="576" w:lineRule="exact"/>
        <w:rPr>
          <w:rFonts w:ascii="仿宋" w:eastAsia="仿宋"/>
          <w:color w:val="000000"/>
        </w:rPr>
      </w:pPr>
      <w:bookmarkStart w:id="194" w:name="_Toc114821501"/>
      <w:r>
        <w:rPr>
          <w:rFonts w:hint="eastAsia" w:ascii="仿宋" w:eastAsia="仿宋"/>
          <w:b w:val="0"/>
          <w:color w:val="000000"/>
        </w:rPr>
        <w:t>一、收</w:t>
      </w:r>
      <w:r>
        <w:rPr>
          <w:rStyle w:val="24"/>
          <w:rFonts w:hint="eastAsia" w:ascii="仿宋" w:eastAsia="仿宋"/>
          <w:b w:val="0"/>
          <w:bCs w:val="0"/>
        </w:rPr>
        <w:t>入支出决算总表</w:t>
      </w:r>
      <w:bookmarkEnd w:id="192"/>
      <w:bookmarkEnd w:id="193"/>
      <w:bookmarkEnd w:id="194"/>
    </w:p>
    <w:p>
      <w:pPr>
        <w:pStyle w:val="3"/>
        <w:spacing w:before="0" w:after="0" w:line="576" w:lineRule="exact"/>
        <w:rPr>
          <w:rFonts w:ascii="仿宋" w:eastAsia="仿宋"/>
          <w:color w:val="000000"/>
        </w:rPr>
      </w:pPr>
      <w:bookmarkStart w:id="195" w:name="_Toc79163637"/>
      <w:bookmarkStart w:id="196" w:name="_Toc15396620"/>
      <w:bookmarkStart w:id="197" w:name="_Toc114821502"/>
      <w:r>
        <w:rPr>
          <w:rFonts w:hint="eastAsia" w:ascii="仿宋" w:eastAsia="仿宋"/>
          <w:b w:val="0"/>
          <w:color w:val="000000"/>
        </w:rPr>
        <w:t>二、收</w:t>
      </w:r>
      <w:r>
        <w:rPr>
          <w:rStyle w:val="24"/>
          <w:rFonts w:hint="eastAsia" w:ascii="仿宋" w:eastAsia="仿宋"/>
          <w:b w:val="0"/>
          <w:bCs w:val="0"/>
        </w:rPr>
        <w:t>入决算表</w:t>
      </w:r>
      <w:bookmarkEnd w:id="195"/>
      <w:bookmarkEnd w:id="196"/>
      <w:bookmarkEnd w:id="197"/>
    </w:p>
    <w:p>
      <w:pPr>
        <w:pStyle w:val="3"/>
        <w:spacing w:before="0" w:after="0" w:line="576" w:lineRule="exact"/>
        <w:rPr>
          <w:rFonts w:ascii="仿宋" w:eastAsia="仿宋"/>
          <w:color w:val="000000"/>
        </w:rPr>
      </w:pPr>
      <w:bookmarkStart w:id="198" w:name="_Toc15396621"/>
      <w:bookmarkStart w:id="199" w:name="_Toc79163638"/>
      <w:bookmarkStart w:id="200" w:name="_Toc114821503"/>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98"/>
      <w:bookmarkEnd w:id="199"/>
      <w:bookmarkEnd w:id="200"/>
    </w:p>
    <w:p>
      <w:pPr>
        <w:pStyle w:val="3"/>
        <w:spacing w:before="0" w:after="0" w:line="576" w:lineRule="exact"/>
        <w:rPr>
          <w:rFonts w:ascii="仿宋" w:eastAsia="仿宋"/>
          <w:b w:val="0"/>
          <w:color w:val="000000"/>
        </w:rPr>
      </w:pPr>
      <w:bookmarkStart w:id="201" w:name="_Toc15396622"/>
      <w:bookmarkStart w:id="202" w:name="_Toc79163639"/>
      <w:bookmarkStart w:id="203" w:name="_Toc114821504"/>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201"/>
      <w:bookmarkEnd w:id="202"/>
      <w:bookmarkEnd w:id="203"/>
    </w:p>
    <w:p>
      <w:pPr>
        <w:pStyle w:val="3"/>
        <w:spacing w:before="0" w:after="0" w:line="576" w:lineRule="exact"/>
        <w:rPr>
          <w:rStyle w:val="24"/>
          <w:rFonts w:ascii="仿宋" w:eastAsia="仿宋"/>
          <w:b w:val="0"/>
          <w:bCs w:val="0"/>
        </w:rPr>
      </w:pPr>
      <w:bookmarkStart w:id="204" w:name="_Toc79163640"/>
      <w:bookmarkStart w:id="205" w:name="_Toc15396623"/>
      <w:bookmarkStart w:id="206" w:name="_Toc114821505"/>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204"/>
      <w:bookmarkEnd w:id="205"/>
      <w:bookmarkEnd w:id="206"/>
      <w:bookmarkStart w:id="207" w:name="_Toc15396624"/>
    </w:p>
    <w:p>
      <w:pPr>
        <w:pStyle w:val="3"/>
        <w:spacing w:before="0" w:after="0" w:line="576" w:lineRule="exact"/>
        <w:rPr>
          <w:rFonts w:ascii="仿宋" w:eastAsia="仿宋"/>
          <w:color w:val="000000"/>
        </w:rPr>
      </w:pPr>
      <w:bookmarkStart w:id="208" w:name="_Toc79163641"/>
      <w:bookmarkStart w:id="209" w:name="_Toc114821506"/>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207"/>
      <w:bookmarkEnd w:id="208"/>
      <w:bookmarkEnd w:id="209"/>
    </w:p>
    <w:p>
      <w:pPr>
        <w:pStyle w:val="3"/>
        <w:spacing w:before="0" w:after="0" w:line="576" w:lineRule="exact"/>
        <w:rPr>
          <w:rFonts w:ascii="仿宋" w:eastAsia="仿宋"/>
          <w:color w:val="000000"/>
        </w:rPr>
      </w:pPr>
      <w:bookmarkStart w:id="210" w:name="_Toc15396625"/>
      <w:bookmarkStart w:id="211" w:name="_Toc79163642"/>
      <w:bookmarkStart w:id="212" w:name="_Toc114821507"/>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210"/>
      <w:bookmarkEnd w:id="211"/>
      <w:bookmarkEnd w:id="212"/>
    </w:p>
    <w:p>
      <w:pPr>
        <w:pStyle w:val="3"/>
        <w:spacing w:before="0" w:after="0" w:line="576" w:lineRule="exact"/>
        <w:rPr>
          <w:rFonts w:ascii="仿宋" w:eastAsia="仿宋"/>
          <w:color w:val="000000"/>
        </w:rPr>
      </w:pPr>
      <w:bookmarkStart w:id="213" w:name="_Toc15396626"/>
      <w:bookmarkStart w:id="214" w:name="_Toc79163643"/>
      <w:bookmarkStart w:id="215" w:name="_Toc114821508"/>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213"/>
      <w:bookmarkEnd w:id="214"/>
      <w:bookmarkEnd w:id="215"/>
    </w:p>
    <w:p>
      <w:pPr>
        <w:pStyle w:val="3"/>
        <w:spacing w:before="0" w:after="0" w:line="576" w:lineRule="exact"/>
        <w:rPr>
          <w:rFonts w:ascii="仿宋" w:eastAsia="仿宋"/>
          <w:color w:val="000000"/>
        </w:rPr>
      </w:pPr>
      <w:bookmarkStart w:id="216" w:name="_Toc79163644"/>
      <w:bookmarkStart w:id="217" w:name="_Toc15396627"/>
      <w:bookmarkStart w:id="218" w:name="_Toc114821509"/>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216"/>
      <w:bookmarkEnd w:id="217"/>
      <w:bookmarkEnd w:id="218"/>
    </w:p>
    <w:p>
      <w:pPr>
        <w:pStyle w:val="3"/>
        <w:spacing w:before="0" w:after="0" w:line="576" w:lineRule="exact"/>
        <w:rPr>
          <w:rFonts w:ascii="仿宋" w:eastAsia="仿宋"/>
          <w:color w:val="000000"/>
        </w:rPr>
      </w:pPr>
      <w:bookmarkStart w:id="219" w:name="_Toc15396628"/>
      <w:bookmarkStart w:id="220" w:name="_Toc79163645"/>
      <w:bookmarkStart w:id="221" w:name="_Toc114821510"/>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219"/>
      <w:bookmarkEnd w:id="220"/>
      <w:bookmarkEnd w:id="221"/>
    </w:p>
    <w:p>
      <w:pPr>
        <w:pStyle w:val="3"/>
        <w:spacing w:before="0" w:after="0" w:line="576" w:lineRule="exact"/>
        <w:rPr>
          <w:rFonts w:ascii="仿宋" w:eastAsia="仿宋"/>
          <w:color w:val="000000"/>
        </w:rPr>
      </w:pPr>
      <w:bookmarkStart w:id="222" w:name="_Toc15396629"/>
      <w:bookmarkStart w:id="223" w:name="_Toc79163646"/>
      <w:bookmarkStart w:id="224" w:name="_Toc114821511"/>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222"/>
      <w:bookmarkEnd w:id="223"/>
      <w:bookmarkEnd w:id="224"/>
    </w:p>
    <w:p>
      <w:pPr>
        <w:pStyle w:val="3"/>
        <w:spacing w:before="0" w:after="0" w:line="576" w:lineRule="exact"/>
        <w:rPr>
          <w:rFonts w:ascii="仿宋" w:eastAsia="仿宋"/>
          <w:color w:val="000000"/>
        </w:rPr>
      </w:pPr>
      <w:bookmarkStart w:id="225" w:name="_Toc79163647"/>
      <w:bookmarkStart w:id="226" w:name="_Toc15396630"/>
      <w:bookmarkStart w:id="227" w:name="_Toc114821512"/>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225"/>
      <w:bookmarkEnd w:id="226"/>
      <w:bookmarkEnd w:id="227"/>
    </w:p>
    <w:p>
      <w:pPr>
        <w:pStyle w:val="3"/>
        <w:spacing w:before="0" w:after="0" w:line="576" w:lineRule="exact"/>
        <w:rPr>
          <w:rStyle w:val="24"/>
          <w:rFonts w:ascii="仿宋" w:eastAsia="仿宋"/>
          <w:b w:val="0"/>
          <w:bCs w:val="0"/>
        </w:rPr>
      </w:pPr>
      <w:bookmarkStart w:id="228" w:name="_Toc79163648"/>
      <w:bookmarkStart w:id="229" w:name="_Toc15396631"/>
      <w:bookmarkStart w:id="230" w:name="_Toc114821513"/>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228"/>
      <w:bookmarkEnd w:id="229"/>
      <w:bookmarkEnd w:id="230"/>
    </w:p>
    <w:p>
      <w:pPr>
        <w:pStyle w:val="3"/>
        <w:spacing w:before="0" w:after="0" w:line="576" w:lineRule="exact"/>
        <w:rPr>
          <w:rStyle w:val="24"/>
          <w:rFonts w:ascii="仿宋" w:eastAsia="仿宋"/>
          <w:b w:val="0"/>
          <w:bCs w:val="0"/>
        </w:rPr>
      </w:pPr>
      <w:bookmarkStart w:id="231" w:name="_Toc79163649"/>
      <w:bookmarkStart w:id="232" w:name="_Toc114821514"/>
      <w:r>
        <w:rPr>
          <w:rStyle w:val="24"/>
          <w:rFonts w:hint="eastAsia" w:ascii="仿宋" w:eastAsia="仿宋"/>
          <w:b w:val="0"/>
          <w:bCs w:val="0"/>
        </w:rPr>
        <w:t>十四、国有资本经营预算财政拨款支出决算表</w:t>
      </w:r>
      <w:bookmarkEnd w:id="231"/>
      <w:bookmarkEnd w:id="23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inherit">
    <w:altName w:val="AR PL UKai CN"/>
    <w:panose1 w:val="00000000000000000000"/>
    <w:charset w:val="00"/>
    <w:family w:val="roman"/>
    <w:pitch w:val="default"/>
    <w:sig w:usb0="00000000" w:usb1="00000000" w:usb2="00000000" w:usb3="00000000" w:csb0="00040001" w:csb1="00000000"/>
  </w:font>
  <w:font w:name="TimesNewRomanPSMT">
    <w:altName w:val="DejaVu Sans"/>
    <w:panose1 w:val="00000000000000000000"/>
    <w:charset w:val="00"/>
    <w:family w:val="auto"/>
    <w:pitch w:val="default"/>
    <w:sig w:usb0="00000000" w:usb1="00000000" w:usb2="00000000" w:usb3="00000000" w:csb0="00000000" w:csb1="00000000"/>
  </w:font>
  <w:font w:name="Micsoft-Yahei">
    <w:altName w:val="仿宋_GB2312"/>
    <w:panose1 w:val="00000000000000000000"/>
    <w:charset w:val="00"/>
    <w:family w:val="roman"/>
    <w:pitch w:val="default"/>
    <w:sig w:usb0="00000000" w:usb1="00000000" w:usb2="00000000" w:usb3="00000000" w:csb0="00000000" w:csb1="00000000"/>
  </w:font>
  <w:font w:name="华文仿宋">
    <w:altName w:val="方正仿宋_GBK"/>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M5MTZmYjMzY2FhMGRjNjUyOTVkOGM4ODVlMjI2NmMifQ=="/>
  </w:docVars>
  <w:rsids>
    <w:rsidRoot w:val="00851976"/>
    <w:rsid w:val="00012DFA"/>
    <w:rsid w:val="000203BB"/>
    <w:rsid w:val="00022CE4"/>
    <w:rsid w:val="00043716"/>
    <w:rsid w:val="0005010D"/>
    <w:rsid w:val="00093168"/>
    <w:rsid w:val="000A6E00"/>
    <w:rsid w:val="000C3CAA"/>
    <w:rsid w:val="000C7483"/>
    <w:rsid w:val="000D44E3"/>
    <w:rsid w:val="000E5C3C"/>
    <w:rsid w:val="0011697E"/>
    <w:rsid w:val="00116DF3"/>
    <w:rsid w:val="0012074B"/>
    <w:rsid w:val="00166B7F"/>
    <w:rsid w:val="00175BDB"/>
    <w:rsid w:val="001804AE"/>
    <w:rsid w:val="00182B88"/>
    <w:rsid w:val="001C16FC"/>
    <w:rsid w:val="001C4D7D"/>
    <w:rsid w:val="001D7CC2"/>
    <w:rsid w:val="001E47F7"/>
    <w:rsid w:val="00204C0E"/>
    <w:rsid w:val="00207FED"/>
    <w:rsid w:val="00226FFB"/>
    <w:rsid w:val="002418E7"/>
    <w:rsid w:val="00247868"/>
    <w:rsid w:val="00253E1C"/>
    <w:rsid w:val="00256590"/>
    <w:rsid w:val="002700DB"/>
    <w:rsid w:val="00282632"/>
    <w:rsid w:val="002A3070"/>
    <w:rsid w:val="002D11F1"/>
    <w:rsid w:val="002D4212"/>
    <w:rsid w:val="002D4CDF"/>
    <w:rsid w:val="00300FCC"/>
    <w:rsid w:val="00323082"/>
    <w:rsid w:val="0032736F"/>
    <w:rsid w:val="00384EC6"/>
    <w:rsid w:val="0039616F"/>
    <w:rsid w:val="00397674"/>
    <w:rsid w:val="003A6F77"/>
    <w:rsid w:val="004100BD"/>
    <w:rsid w:val="004224DE"/>
    <w:rsid w:val="00447032"/>
    <w:rsid w:val="004A6AAF"/>
    <w:rsid w:val="004B4514"/>
    <w:rsid w:val="004F04E9"/>
    <w:rsid w:val="00515342"/>
    <w:rsid w:val="00523497"/>
    <w:rsid w:val="00550B11"/>
    <w:rsid w:val="005528A0"/>
    <w:rsid w:val="005612DF"/>
    <w:rsid w:val="00571B10"/>
    <w:rsid w:val="00581620"/>
    <w:rsid w:val="0058426A"/>
    <w:rsid w:val="00585052"/>
    <w:rsid w:val="005A192F"/>
    <w:rsid w:val="005B6D5D"/>
    <w:rsid w:val="005F4B84"/>
    <w:rsid w:val="00615558"/>
    <w:rsid w:val="00617A95"/>
    <w:rsid w:val="00626EC1"/>
    <w:rsid w:val="00652C75"/>
    <w:rsid w:val="0065330E"/>
    <w:rsid w:val="00657326"/>
    <w:rsid w:val="0068163C"/>
    <w:rsid w:val="0068242D"/>
    <w:rsid w:val="006974EB"/>
    <w:rsid w:val="006A2977"/>
    <w:rsid w:val="006C73EC"/>
    <w:rsid w:val="006F1D61"/>
    <w:rsid w:val="0070724B"/>
    <w:rsid w:val="007150A3"/>
    <w:rsid w:val="00723D11"/>
    <w:rsid w:val="007344CD"/>
    <w:rsid w:val="00736201"/>
    <w:rsid w:val="007772A3"/>
    <w:rsid w:val="0079196B"/>
    <w:rsid w:val="007A46EA"/>
    <w:rsid w:val="007C02DB"/>
    <w:rsid w:val="007C2790"/>
    <w:rsid w:val="007D5C2B"/>
    <w:rsid w:val="007E7563"/>
    <w:rsid w:val="007F29C7"/>
    <w:rsid w:val="0080022D"/>
    <w:rsid w:val="00807C13"/>
    <w:rsid w:val="008255E1"/>
    <w:rsid w:val="0082609F"/>
    <w:rsid w:val="0083270C"/>
    <w:rsid w:val="00845589"/>
    <w:rsid w:val="00851976"/>
    <w:rsid w:val="008626A1"/>
    <w:rsid w:val="0088366F"/>
    <w:rsid w:val="00890639"/>
    <w:rsid w:val="0089140D"/>
    <w:rsid w:val="008D3853"/>
    <w:rsid w:val="008E4298"/>
    <w:rsid w:val="008F547D"/>
    <w:rsid w:val="00947AF2"/>
    <w:rsid w:val="00960993"/>
    <w:rsid w:val="00966999"/>
    <w:rsid w:val="009914D4"/>
    <w:rsid w:val="009A62E2"/>
    <w:rsid w:val="009B0F0E"/>
    <w:rsid w:val="009C52D8"/>
    <w:rsid w:val="009E35A2"/>
    <w:rsid w:val="00A00FBB"/>
    <w:rsid w:val="00A01B26"/>
    <w:rsid w:val="00A237D9"/>
    <w:rsid w:val="00A5750B"/>
    <w:rsid w:val="00A81B84"/>
    <w:rsid w:val="00A94A3D"/>
    <w:rsid w:val="00AD0996"/>
    <w:rsid w:val="00AF3B12"/>
    <w:rsid w:val="00B068DB"/>
    <w:rsid w:val="00B4637E"/>
    <w:rsid w:val="00B72B39"/>
    <w:rsid w:val="00BF1A79"/>
    <w:rsid w:val="00C06D21"/>
    <w:rsid w:val="00C11D84"/>
    <w:rsid w:val="00C60F77"/>
    <w:rsid w:val="00C641DF"/>
    <w:rsid w:val="00C91ACB"/>
    <w:rsid w:val="00CC71D4"/>
    <w:rsid w:val="00CD385E"/>
    <w:rsid w:val="00CF4BC7"/>
    <w:rsid w:val="00D03630"/>
    <w:rsid w:val="00D457D0"/>
    <w:rsid w:val="00D45DDF"/>
    <w:rsid w:val="00D47F75"/>
    <w:rsid w:val="00D7638F"/>
    <w:rsid w:val="00D81834"/>
    <w:rsid w:val="00DA5E73"/>
    <w:rsid w:val="00DD71BD"/>
    <w:rsid w:val="00DF35D6"/>
    <w:rsid w:val="00E537C8"/>
    <w:rsid w:val="00E646DA"/>
    <w:rsid w:val="00E66C92"/>
    <w:rsid w:val="00E857E2"/>
    <w:rsid w:val="00ED75F9"/>
    <w:rsid w:val="00EE5B22"/>
    <w:rsid w:val="00EF4E76"/>
    <w:rsid w:val="00F0248D"/>
    <w:rsid w:val="00F13947"/>
    <w:rsid w:val="00F332A7"/>
    <w:rsid w:val="00F44C3A"/>
    <w:rsid w:val="00F44CCF"/>
    <w:rsid w:val="00F455BD"/>
    <w:rsid w:val="00F52D62"/>
    <w:rsid w:val="00F60556"/>
    <w:rsid w:val="00F6230D"/>
    <w:rsid w:val="00F76700"/>
    <w:rsid w:val="00F802D6"/>
    <w:rsid w:val="00FA053D"/>
    <w:rsid w:val="00FA2428"/>
    <w:rsid w:val="00FB3FCA"/>
    <w:rsid w:val="00FC4AAA"/>
    <w:rsid w:val="00FE28BC"/>
    <w:rsid w:val="00FE592A"/>
    <w:rsid w:val="00FE755F"/>
    <w:rsid w:val="00FF212E"/>
    <w:rsid w:val="13DD4129"/>
    <w:rsid w:val="20963D3E"/>
    <w:rsid w:val="229A259B"/>
    <w:rsid w:val="432D402F"/>
    <w:rsid w:val="4DCF0A64"/>
    <w:rsid w:val="6E743B07"/>
    <w:rsid w:val="7FB12A34"/>
    <w:rsid w:val="AFCBA653"/>
    <w:rsid w:val="FFF69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39"/>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able of figures"/>
    <w:basedOn w:val="1"/>
    <w:next w:val="1"/>
    <w:qFormat/>
    <w:uiPriority w:val="99"/>
    <w:pPr>
      <w:ind w:left="200" w:leftChars="200" w:hanging="200" w:hangingChars="200"/>
    </w:pPr>
    <w:rPr>
      <w:rFonts w:eastAsia="仿宋_GB2312"/>
      <w:sz w:val="32"/>
    </w:rPr>
  </w:style>
  <w:style w:type="paragraph" w:styleId="17">
    <w:name w:val="toc 2"/>
    <w:basedOn w:val="1"/>
    <w:next w:val="1"/>
    <w:qFormat/>
    <w:uiPriority w:val="39"/>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字符"/>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标题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styleId="3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59</Pages>
  <Words>3968</Words>
  <Characters>22620</Characters>
  <Lines>188</Lines>
  <Paragraphs>53</Paragraphs>
  <TotalTime>371</TotalTime>
  <ScaleCrop>false</ScaleCrop>
  <LinksUpToDate>false</LinksUpToDate>
  <CharactersWithSpaces>26535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军魂不变</cp:lastModifiedBy>
  <cp:lastPrinted>2022-09-23T17:57:00Z</cp:lastPrinted>
  <dcterms:modified xsi:type="dcterms:W3CDTF">2022-09-26T17:10:14Z</dcterms:modified>
  <dc:title>阿坝州部门决算说明</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90559131B235413DA300C42C24EE3DD1</vt:lpwstr>
  </property>
</Properties>
</file>