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方正小标宋简体" w:hAnsi="方正小标宋简体" w:eastAsia="方正小标宋简体" w:cs="方正小标宋简体"/>
          <w:sz w:val="72"/>
          <w:szCs w:val="72"/>
        </w:rPr>
      </w:pPr>
      <w:bookmarkStart w:id="1" w:name="_Toc15377425"/>
      <w:bookmarkStart w:id="2" w:name="_Toc15396475"/>
      <w:bookmarkStart w:id="3" w:name="_Toc15378441"/>
      <w:bookmarkStart w:id="4" w:name="_Toc15377193"/>
      <w:bookmarkStart w:id="5" w:name="_Toc15396597"/>
      <w:r>
        <w:rPr>
          <w:rFonts w:hint="eastAsia" w:ascii="方正小标宋简体" w:hAnsi="方正小标宋简体" w:eastAsia="方正小标宋简体" w:cs="方正小标宋简体"/>
          <w:sz w:val="72"/>
          <w:szCs w:val="72"/>
        </w:rPr>
        <w:t>2021年度</w:t>
      </w:r>
      <w:bookmarkEnd w:id="1"/>
      <w:bookmarkEnd w:id="2"/>
      <w:bookmarkEnd w:id="3"/>
      <w:bookmarkEnd w:id="4"/>
      <w:bookmarkEnd w:id="5"/>
    </w:p>
    <w:p>
      <w:pPr>
        <w:jc w:val="center"/>
        <w:rPr>
          <w:rFonts w:ascii="方正小标宋简体" w:hAnsi="方正小标宋简体" w:eastAsia="方正小标宋简体" w:cs="方正小标宋简体"/>
          <w:sz w:val="72"/>
          <w:szCs w:val="72"/>
        </w:rPr>
      </w:pPr>
      <w:bookmarkStart w:id="6" w:name="_Toc15377426"/>
      <w:bookmarkStart w:id="7" w:name="_Toc15396476"/>
      <w:bookmarkStart w:id="8" w:name="_Toc15396598"/>
      <w:bookmarkStart w:id="9" w:name="_Toc15378442"/>
      <w:bookmarkStart w:id="10" w:name="_Toc15377194"/>
      <w:r>
        <w:rPr>
          <w:rFonts w:hint="eastAsia" w:ascii="方正小标宋简体" w:hAnsi="方正小标宋简体" w:eastAsia="方正小标宋简体" w:cs="方正小标宋简体"/>
          <w:sz w:val="72"/>
          <w:szCs w:val="72"/>
        </w:rPr>
        <w:t>四川省茂县</w:t>
      </w:r>
      <w:bookmarkEnd w:id="0"/>
      <w:bookmarkStart w:id="11" w:name="_Toc15306268"/>
      <w:r>
        <w:rPr>
          <w:rFonts w:hint="eastAsia" w:ascii="方正小标宋简体" w:hAnsi="方正小标宋简体" w:eastAsia="方正小标宋简体" w:cs="方正小标宋简体"/>
          <w:sz w:val="72"/>
          <w:szCs w:val="72"/>
        </w:rPr>
        <w:t>退役军人事务局服务中心部门决算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ascii="仿宋_GB2312" w:hAnsi="仿宋_GB2312" w:eastAsia="仿宋_GB2312" w:cs="仿宋_GB2312"/>
          <w:sz w:val="32"/>
          <w:szCs w:val="32"/>
        </w:rPr>
      </w:pPr>
      <w:r>
        <w:rPr>
          <w:rFonts w:hint="eastAsia" w:ascii="楷体_GB2312" w:hAnsi="楷体_GB2312" w:eastAsia="楷体_GB2312" w:cs="楷体_GB2312"/>
          <w:sz w:val="32"/>
          <w:szCs w:val="32"/>
        </w:rPr>
        <w:t>保密审查情况：</w:t>
      </w:r>
      <w:r>
        <w:rPr>
          <w:rFonts w:hint="eastAsia" w:ascii="仿宋_GB2312" w:hAnsi="仿宋_GB2312" w:eastAsia="仿宋_GB2312" w:cs="仿宋_GB2312"/>
          <w:sz w:val="32"/>
          <w:szCs w:val="32"/>
        </w:rPr>
        <w:t>已审查，内容审定</w:t>
      </w:r>
    </w:p>
    <w:p>
      <w:pPr>
        <w:autoSpaceDE w:val="0"/>
        <w:autoSpaceDN w:val="0"/>
        <w:adjustRightInd w:val="0"/>
        <w:ind w:left="420" w:leftChars="200"/>
        <w:jc w:val="left"/>
        <w:rPr>
          <w:rFonts w:ascii="仿宋_GB2312" w:hAnsi="仿宋_GB2312" w:eastAsia="仿宋_GB2312" w:cs="仿宋_GB2312"/>
          <w:sz w:val="32"/>
          <w:szCs w:val="32"/>
        </w:rPr>
      </w:pPr>
      <w:r>
        <w:rPr>
          <w:rFonts w:hint="eastAsia" w:ascii="楷体_GB2312" w:hAnsi="楷体_GB2312" w:eastAsia="楷体_GB2312" w:cs="楷体_GB2312"/>
          <w:sz w:val="32"/>
          <w:szCs w:val="32"/>
        </w:rPr>
        <w:t>部门主要负责人审签情况：</w:t>
      </w:r>
      <w:r>
        <w:rPr>
          <w:rFonts w:hint="eastAsia" w:ascii="仿宋_GB2312" w:hAnsi="仿宋_GB2312" w:eastAsia="仿宋_GB2312" w:cs="仿宋_GB2312"/>
          <w:sz w:val="32"/>
          <w:szCs w:val="32"/>
        </w:rPr>
        <w:t>已审签，同意对外公开</w:t>
      </w:r>
    </w:p>
    <w:p>
      <w:pPr>
        <w:widowControl/>
        <w:jc w:val="center"/>
        <w:rPr>
          <w:rFonts w:ascii="黑体" w:hAnsi="黑体" w:eastAsia="黑体" w:cs="黑体"/>
          <w:color w:val="000000"/>
          <w:sz w:val="48"/>
          <w:szCs w:val="48"/>
        </w:rPr>
      </w:pPr>
      <w:r>
        <w:rPr>
          <w:rFonts w:ascii="方正小标宋简体" w:eastAsia="方正小标宋简体"/>
          <w:sz w:val="36"/>
          <w:szCs w:val="36"/>
        </w:rPr>
        <w:br w:type="page"/>
      </w:r>
      <w:r>
        <w:rPr>
          <w:rFonts w:hint="eastAsia" w:ascii="黑体" w:hAnsi="黑体" w:eastAsia="黑体" w:cs="黑体"/>
          <w:color w:val="000000"/>
          <w:sz w:val="48"/>
          <w:szCs w:val="48"/>
        </w:rPr>
        <w:t>目录</w:t>
      </w:r>
    </w:p>
    <w:p>
      <w:pPr>
        <w:pStyle w:val="13"/>
        <w:jc w:val="center"/>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公开时间：2022年</w:t>
      </w:r>
      <w:r>
        <w:rPr>
          <w:rFonts w:hint="eastAsia" w:ascii="仿宋_GB2312" w:hAnsi="仿宋_GB2312" w:eastAsia="仿宋_GB2312" w:cs="仿宋_GB2312"/>
          <w:b w:val="0"/>
          <w:bCs w:val="0"/>
          <w:sz w:val="24"/>
          <w:szCs w:val="24"/>
          <w:lang w:val="en-US" w:eastAsia="zh-CN"/>
        </w:rPr>
        <w:t>9</w:t>
      </w:r>
      <w:r>
        <w:rPr>
          <w:rFonts w:hint="eastAsia" w:ascii="仿宋_GB2312" w:hAnsi="仿宋_GB2312" w:eastAsia="仿宋_GB2312" w:cs="仿宋_GB2312"/>
          <w:b w:val="0"/>
          <w:bCs w:val="0"/>
          <w:sz w:val="24"/>
          <w:szCs w:val="24"/>
        </w:rPr>
        <w:t xml:space="preserve"> 月</w:t>
      </w:r>
      <w:r>
        <w:rPr>
          <w:rFonts w:hint="eastAsia" w:ascii="仿宋_GB2312" w:hAnsi="仿宋_GB2312" w:eastAsia="仿宋_GB2312" w:cs="仿宋_GB2312"/>
          <w:b w:val="0"/>
          <w:bCs w:val="0"/>
          <w:sz w:val="24"/>
          <w:szCs w:val="24"/>
          <w:lang w:val="en-US" w:eastAsia="zh-CN"/>
        </w:rPr>
        <w:t>27</w:t>
      </w:r>
      <w:r>
        <w:rPr>
          <w:rFonts w:hint="eastAsia" w:ascii="仿宋_GB2312" w:hAnsi="仿宋_GB2312" w:eastAsia="仿宋_GB2312" w:cs="仿宋_GB2312"/>
          <w:b w:val="0"/>
          <w:bCs w:val="0"/>
          <w:sz w:val="24"/>
          <w:szCs w:val="24"/>
        </w:rPr>
        <w:t xml:space="preserve"> 日</w:t>
      </w:r>
    </w:p>
    <w:p>
      <w:pPr>
        <w:pStyle w:val="13"/>
        <w:tabs>
          <w:tab w:val="right" w:leader="dot" w:pos="8835"/>
        </w:tabs>
        <w:rPr>
          <w:rFonts w:asciiTheme="minorHAnsi" w:hAnsiTheme="minorHAnsi" w:eastAsiaTheme="minorEastAsia" w:cstheme="minorBidi"/>
          <w:b w:val="0"/>
          <w:bCs w:val="0"/>
          <w:caps w:val="0"/>
          <w:sz w:val="21"/>
          <w:szCs w:val="22"/>
        </w:rPr>
      </w:pPr>
      <w:r>
        <w:rPr>
          <w:rFonts w:ascii="仿宋" w:eastAsia="仿宋"/>
          <w:b w:val="0"/>
          <w:bCs w:val="0"/>
          <w:caps w:val="0"/>
          <w:smallCaps/>
        </w:rPr>
        <w:fldChar w:fldCharType="begin"/>
      </w:r>
      <w:r>
        <w:rPr>
          <w:rFonts w:ascii="仿宋" w:eastAsia="仿宋"/>
          <w:b w:val="0"/>
          <w:bCs w:val="0"/>
          <w:caps w:val="0"/>
          <w:smallCaps/>
        </w:rPr>
        <w:instrText xml:space="preserve"> TOC \o \u </w:instrText>
      </w:r>
      <w:r>
        <w:rPr>
          <w:rFonts w:ascii="仿宋" w:eastAsia="仿宋"/>
          <w:b w:val="0"/>
          <w:bCs w:val="0"/>
          <w:caps w:val="0"/>
          <w:smallCaps/>
        </w:rPr>
        <w:fldChar w:fldCharType="separate"/>
      </w:r>
      <w:r>
        <w:rPr>
          <w:rFonts w:ascii="方正小标宋简体" w:hAnsi="方正小标宋简体" w:eastAsia="方正小标宋简体" w:cs="方正小标宋简体"/>
          <w:b w:val="0"/>
        </w:rPr>
        <w:t xml:space="preserve">第一部分 </w:t>
      </w:r>
      <w:r>
        <w:rPr>
          <w:rFonts w:ascii="方正小标宋简体" w:hAnsi="方正小标宋简体" w:eastAsia="方正小标宋简体" w:cs="方正小标宋简体"/>
          <w:b w:val="0"/>
          <w:bCs w:val="0"/>
        </w:rPr>
        <w:t>部门概况</w:t>
      </w:r>
      <w:r>
        <w:tab/>
      </w:r>
      <w:r>
        <w:fldChar w:fldCharType="begin"/>
      </w:r>
      <w:r>
        <w:instrText xml:space="preserve"> PAGEREF _Toc114822469 \h </w:instrText>
      </w:r>
      <w:r>
        <w:fldChar w:fldCharType="separate"/>
      </w:r>
      <w:r>
        <w:t>4</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黑体" w:eastAsia="黑体"/>
          <w:color w:val="000000"/>
        </w:rPr>
        <w:t>一、基</w:t>
      </w:r>
      <w:r>
        <w:rPr>
          <w:rFonts w:ascii="黑体" w:eastAsia="黑体"/>
        </w:rPr>
        <w:t>本职能及主要工作</w:t>
      </w:r>
      <w:r>
        <w:tab/>
      </w:r>
      <w:r>
        <w:fldChar w:fldCharType="begin"/>
      </w:r>
      <w:r>
        <w:instrText xml:space="preserve"> PAGEREF _Toc114822470 \h </w:instrText>
      </w:r>
      <w:r>
        <w:fldChar w:fldCharType="separate"/>
      </w:r>
      <w:r>
        <w:t>4</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仿宋_GB2312" w:hAnsi="仿宋_GB2312" w:eastAsia="仿宋_GB2312" w:cs="仿宋_GB2312"/>
          <w:color w:val="000000"/>
        </w:rPr>
        <w:t>（一）2021年重点工作完成情况</w:t>
      </w:r>
      <w:bookmarkStart w:id="168" w:name="_GoBack"/>
      <w:bookmarkEnd w:id="168"/>
      <w:r>
        <w:tab/>
      </w:r>
      <w:r>
        <w:fldChar w:fldCharType="begin"/>
      </w:r>
      <w:r>
        <w:instrText xml:space="preserve"> PAGEREF _Toc114822471 \h </w:instrText>
      </w:r>
      <w:r>
        <w:fldChar w:fldCharType="separate"/>
      </w:r>
      <w:r>
        <w:t>4</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黑体" w:eastAsia="黑体"/>
          <w:color w:val="000000"/>
        </w:rPr>
        <w:t>二、机</w:t>
      </w:r>
      <w:r>
        <w:rPr>
          <w:rFonts w:ascii="黑体" w:eastAsia="黑体"/>
        </w:rPr>
        <w:t>构设置</w:t>
      </w:r>
      <w:r>
        <w:tab/>
      </w:r>
      <w:r>
        <w:fldChar w:fldCharType="begin"/>
      </w:r>
      <w:r>
        <w:instrText xml:space="preserve"> PAGEREF _Toc114822472 \h </w:instrText>
      </w:r>
      <w:r>
        <w:fldChar w:fldCharType="separate"/>
      </w:r>
      <w:r>
        <w:t>4</w:t>
      </w:r>
      <w:r>
        <w:fldChar w:fldCharType="end"/>
      </w:r>
    </w:p>
    <w:p>
      <w:pPr>
        <w:pStyle w:val="8"/>
        <w:tabs>
          <w:tab w:val="left" w:pos="840"/>
          <w:tab w:val="right" w:leader="dot" w:pos="8835"/>
        </w:tabs>
        <w:rPr>
          <w:rFonts w:asciiTheme="minorHAnsi" w:hAnsiTheme="minorHAnsi" w:eastAsiaTheme="minorEastAsia" w:cstheme="minorBidi"/>
          <w:i w:val="0"/>
          <w:iCs w:val="0"/>
          <w:sz w:val="21"/>
          <w:szCs w:val="22"/>
        </w:rPr>
      </w:pPr>
      <w:r>
        <w:rPr>
          <w:rFonts w:hAnsi="仿宋_GB2312"/>
          <w:color w:val="000000"/>
        </w:rPr>
        <w:t>1</w:t>
      </w:r>
      <w:r>
        <w:rPr>
          <w:rFonts w:hAnsi="仿宋_GB2312"/>
          <w:i w:val="0"/>
          <w:iCs w:val="0"/>
          <w:color w:val="000000"/>
        </w:rPr>
        <w:t>.</w:t>
      </w:r>
      <w:r>
        <w:rPr>
          <w:rFonts w:asciiTheme="minorHAnsi" w:hAnsiTheme="minorHAnsi" w:eastAsiaTheme="minorEastAsia" w:cstheme="minorBidi"/>
          <w:i w:val="0"/>
          <w:iCs w:val="0"/>
          <w:sz w:val="21"/>
          <w:szCs w:val="22"/>
        </w:rPr>
        <w:tab/>
      </w:r>
      <w:r>
        <w:rPr>
          <w:rFonts w:hAnsi="仿宋_GB2312" w:cs="仿宋_GB2312"/>
          <w:i w:val="0"/>
          <w:iCs w:val="0"/>
          <w:color w:val="000000"/>
        </w:rPr>
        <w:t>茂县退役军人服务中心</w:t>
      </w:r>
      <w:r>
        <w:tab/>
      </w:r>
      <w:r>
        <w:fldChar w:fldCharType="begin"/>
      </w:r>
      <w:r>
        <w:instrText xml:space="preserve"> PAGEREF _Toc114822473 \h </w:instrText>
      </w:r>
      <w:r>
        <w:fldChar w:fldCharType="separate"/>
      </w:r>
      <w:r>
        <w:t>5</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黑体" w:eastAsia="黑体"/>
          <w:b w:val="0"/>
          <w:color w:val="000000"/>
        </w:rPr>
        <w:t>第二部分</w:t>
      </w:r>
      <w:r>
        <w:rPr>
          <w:rFonts w:ascii="黑体" w:eastAsia="黑体"/>
          <w:color w:val="000000"/>
        </w:rPr>
        <w:t xml:space="preserve"> </w:t>
      </w:r>
      <w:r>
        <w:rPr>
          <w:rFonts w:ascii="黑体" w:eastAsia="黑体"/>
          <w:b w:val="0"/>
          <w:bCs w:val="0"/>
        </w:rPr>
        <w:t>2021年度部门决算情况说明</w:t>
      </w:r>
      <w:r>
        <w:tab/>
      </w:r>
      <w:r>
        <w:fldChar w:fldCharType="begin"/>
      </w:r>
      <w:r>
        <w:instrText xml:space="preserve"> PAGEREF _Toc114822474 \h </w:instrText>
      </w:r>
      <w:r>
        <w:fldChar w:fldCharType="separate"/>
      </w:r>
      <w:r>
        <w:t>6</w:t>
      </w:r>
      <w:r>
        <w:fldChar w:fldCharType="end"/>
      </w:r>
    </w:p>
    <w:p>
      <w:pPr>
        <w:pStyle w:val="17"/>
        <w:tabs>
          <w:tab w:val="left" w:pos="840"/>
          <w:tab w:val="right" w:leader="dot" w:pos="8835"/>
        </w:tabs>
        <w:rPr>
          <w:rFonts w:asciiTheme="minorHAnsi" w:hAnsiTheme="minorHAnsi" w:eastAsiaTheme="minorEastAsia" w:cstheme="minorBidi"/>
          <w:smallCaps w:val="0"/>
          <w:sz w:val="21"/>
          <w:szCs w:val="22"/>
        </w:rPr>
      </w:pPr>
      <w:r>
        <w:rPr>
          <w:rFonts w:ascii="黑体" w:hAnsi="Cambria" w:eastAsia="黑体"/>
          <w:bCs/>
        </w:rPr>
        <w:t>一、</w:t>
      </w:r>
      <w:r>
        <w:rPr>
          <w:rFonts w:asciiTheme="minorHAnsi" w:hAnsiTheme="minorHAnsi" w:eastAsiaTheme="minorEastAsia" w:cstheme="minorBidi"/>
          <w:smallCaps w:val="0"/>
          <w:sz w:val="21"/>
          <w:szCs w:val="22"/>
        </w:rPr>
        <w:tab/>
      </w:r>
      <w:r>
        <w:rPr>
          <w:rFonts w:ascii="黑体" w:eastAsia="黑体"/>
          <w:color w:val="000000"/>
        </w:rPr>
        <w:t>收</w:t>
      </w:r>
      <w:r>
        <w:rPr>
          <w:rFonts w:ascii="黑体" w:hAnsi="Cambria" w:eastAsia="黑体"/>
          <w:bCs/>
        </w:rPr>
        <w:t>入支出决算总体情况说明</w:t>
      </w:r>
      <w:r>
        <w:tab/>
      </w:r>
      <w:r>
        <w:fldChar w:fldCharType="begin"/>
      </w:r>
      <w:r>
        <w:instrText xml:space="preserve"> PAGEREF _Toc114822475 \h </w:instrText>
      </w:r>
      <w:r>
        <w:fldChar w:fldCharType="separate"/>
      </w:r>
      <w:r>
        <w:t>6</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黑体" w:eastAsia="黑体"/>
          <w:color w:val="000000"/>
        </w:rPr>
        <w:t>二、收</w:t>
      </w:r>
      <w:r>
        <w:rPr>
          <w:rFonts w:ascii="黑体" w:hAnsi="Cambria" w:eastAsia="黑体"/>
          <w:bCs/>
        </w:rPr>
        <w:t>入决算情况说明</w:t>
      </w:r>
      <w:r>
        <w:tab/>
      </w:r>
      <w:r>
        <w:fldChar w:fldCharType="begin"/>
      </w:r>
      <w:r>
        <w:instrText xml:space="preserve"> PAGEREF _Toc114822476 \h </w:instrText>
      </w:r>
      <w:r>
        <w:fldChar w:fldCharType="separate"/>
      </w:r>
      <w:r>
        <w:t>6</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黑体" w:eastAsia="黑体"/>
          <w:color w:val="000000"/>
        </w:rPr>
        <w:t>三、支</w:t>
      </w:r>
      <w:r>
        <w:rPr>
          <w:rFonts w:ascii="黑体" w:hAnsi="Cambria" w:eastAsia="黑体"/>
          <w:bCs/>
        </w:rPr>
        <w:t>出决算情况说明</w:t>
      </w:r>
      <w:r>
        <w:tab/>
      </w:r>
      <w:r>
        <w:fldChar w:fldCharType="begin"/>
      </w:r>
      <w:r>
        <w:instrText xml:space="preserve"> PAGEREF _Toc114822477 \h </w:instrText>
      </w:r>
      <w:r>
        <w:fldChar w:fldCharType="separate"/>
      </w:r>
      <w:r>
        <w:t>7</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黑体" w:eastAsia="黑体"/>
          <w:color w:val="000000"/>
        </w:rPr>
        <w:t>四、财</w:t>
      </w:r>
      <w:r>
        <w:rPr>
          <w:rFonts w:ascii="黑体" w:hAnsi="Cambria" w:eastAsia="黑体"/>
          <w:bCs/>
        </w:rPr>
        <w:t>政拨款收入支出决算总体情况说明</w:t>
      </w:r>
      <w:r>
        <w:tab/>
      </w:r>
      <w:r>
        <w:fldChar w:fldCharType="begin"/>
      </w:r>
      <w:r>
        <w:instrText xml:space="preserve"> PAGEREF _Toc114822478 \h </w:instrText>
      </w:r>
      <w:r>
        <w:fldChar w:fldCharType="separate"/>
      </w:r>
      <w:r>
        <w:t>7</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黑体" w:eastAsia="黑体"/>
          <w:color w:val="000000"/>
        </w:rPr>
        <w:t>五、</w:t>
      </w:r>
      <w:r>
        <w:rPr>
          <w:rFonts w:ascii="黑体" w:eastAsia="黑体"/>
          <w:b/>
          <w:color w:val="000000"/>
        </w:rPr>
        <w:t>一</w:t>
      </w:r>
      <w:r>
        <w:rPr>
          <w:rFonts w:ascii="黑体" w:hAnsi="Cambria" w:eastAsia="黑体"/>
          <w:bCs/>
        </w:rPr>
        <w:t>般公共预算财政拨款支出决算情况说明</w:t>
      </w:r>
      <w:r>
        <w:tab/>
      </w:r>
      <w:r>
        <w:fldChar w:fldCharType="begin"/>
      </w:r>
      <w:r>
        <w:instrText xml:space="preserve"> PAGEREF _Toc114822479 \h </w:instrText>
      </w:r>
      <w:r>
        <w:fldChar w:fldCharType="separate"/>
      </w:r>
      <w:r>
        <w:t>8</w:t>
      </w:r>
      <w:r>
        <w:fldChar w:fldCharType="end"/>
      </w:r>
    </w:p>
    <w:p>
      <w:pPr>
        <w:pStyle w:val="8"/>
        <w:tabs>
          <w:tab w:val="right" w:leader="dot" w:pos="8835"/>
        </w:tabs>
        <w:rPr>
          <w:rFonts w:asciiTheme="minorHAnsi" w:hAnsiTheme="minorHAnsi" w:eastAsiaTheme="minorEastAsia" w:cstheme="minorBidi"/>
          <w:i w:val="0"/>
          <w:iCs w:val="0"/>
          <w:sz w:val="21"/>
          <w:szCs w:val="22"/>
        </w:rPr>
      </w:pPr>
      <w:r>
        <w:rPr>
          <w:rFonts w:ascii="仿宋" w:eastAsia="仿宋"/>
          <w:b/>
          <w:i w:val="0"/>
          <w:iCs w:val="0"/>
          <w:color w:val="000000"/>
        </w:rPr>
        <w:t>（一）一般公共预算财政拨款支出决算总体情况</w:t>
      </w:r>
      <w:r>
        <w:rPr>
          <w:i w:val="0"/>
          <w:iCs w:val="0"/>
        </w:rPr>
        <w:tab/>
      </w:r>
      <w:r>
        <w:rPr>
          <w:i w:val="0"/>
          <w:iCs w:val="0"/>
        </w:rPr>
        <w:fldChar w:fldCharType="begin"/>
      </w:r>
      <w:r>
        <w:rPr>
          <w:i w:val="0"/>
          <w:iCs w:val="0"/>
        </w:rPr>
        <w:instrText xml:space="preserve"> PAGEREF _Toc114822480 \h </w:instrText>
      </w:r>
      <w:r>
        <w:rPr>
          <w:i w:val="0"/>
          <w:iCs w:val="0"/>
        </w:rPr>
        <w:fldChar w:fldCharType="separate"/>
      </w:r>
      <w:r>
        <w:rPr>
          <w:i w:val="0"/>
          <w:iCs w:val="0"/>
        </w:rPr>
        <w:t>8</w:t>
      </w:r>
      <w:r>
        <w:rPr>
          <w:i w:val="0"/>
          <w:iCs w:val="0"/>
        </w:rPr>
        <w:fldChar w:fldCharType="end"/>
      </w:r>
    </w:p>
    <w:p>
      <w:pPr>
        <w:pStyle w:val="8"/>
        <w:tabs>
          <w:tab w:val="right" w:leader="dot" w:pos="8835"/>
        </w:tabs>
        <w:rPr>
          <w:rFonts w:asciiTheme="minorHAnsi" w:hAnsiTheme="minorHAnsi" w:eastAsiaTheme="minorEastAsia" w:cstheme="minorBidi"/>
          <w:i w:val="0"/>
          <w:iCs w:val="0"/>
          <w:sz w:val="21"/>
          <w:szCs w:val="22"/>
        </w:rPr>
      </w:pPr>
      <w:r>
        <w:rPr>
          <w:rFonts w:ascii="仿宋" w:eastAsia="仿宋"/>
          <w:b/>
          <w:i w:val="0"/>
          <w:iCs w:val="0"/>
          <w:color w:val="000000"/>
        </w:rPr>
        <w:t>（二）一般公共预算财政拨款支出决算结构情况</w:t>
      </w:r>
      <w:r>
        <w:rPr>
          <w:i w:val="0"/>
          <w:iCs w:val="0"/>
        </w:rPr>
        <w:tab/>
      </w:r>
      <w:r>
        <w:rPr>
          <w:i w:val="0"/>
          <w:iCs w:val="0"/>
        </w:rPr>
        <w:fldChar w:fldCharType="begin"/>
      </w:r>
      <w:r>
        <w:rPr>
          <w:i w:val="0"/>
          <w:iCs w:val="0"/>
        </w:rPr>
        <w:instrText xml:space="preserve"> PAGEREF _Toc114822481 \h </w:instrText>
      </w:r>
      <w:r>
        <w:rPr>
          <w:i w:val="0"/>
          <w:iCs w:val="0"/>
        </w:rPr>
        <w:fldChar w:fldCharType="separate"/>
      </w:r>
      <w:r>
        <w:rPr>
          <w:i w:val="0"/>
          <w:iCs w:val="0"/>
        </w:rPr>
        <w:t>8</w:t>
      </w:r>
      <w:r>
        <w:rPr>
          <w:i w:val="0"/>
          <w:iCs w:val="0"/>
        </w:rPr>
        <w:fldChar w:fldCharType="end"/>
      </w:r>
    </w:p>
    <w:p>
      <w:pPr>
        <w:pStyle w:val="8"/>
        <w:tabs>
          <w:tab w:val="right" w:leader="dot" w:pos="8835"/>
        </w:tabs>
        <w:rPr>
          <w:rFonts w:asciiTheme="minorHAnsi" w:hAnsiTheme="minorHAnsi" w:eastAsiaTheme="minorEastAsia" w:cstheme="minorBidi"/>
          <w:i w:val="0"/>
          <w:iCs w:val="0"/>
          <w:sz w:val="21"/>
          <w:szCs w:val="22"/>
        </w:rPr>
      </w:pPr>
      <w:r>
        <w:rPr>
          <w:rFonts w:ascii="仿宋" w:eastAsia="仿宋"/>
          <w:b/>
          <w:i w:val="0"/>
          <w:iCs w:val="0"/>
          <w:color w:val="000000"/>
        </w:rPr>
        <w:t>（三）一般公共预算财政拨款支出决算具体情况</w:t>
      </w:r>
      <w:r>
        <w:tab/>
      </w:r>
      <w:r>
        <w:fldChar w:fldCharType="begin"/>
      </w:r>
      <w:r>
        <w:instrText xml:space="preserve"> PAGEREF _Toc114822482 \h </w:instrText>
      </w:r>
      <w:r>
        <w:fldChar w:fldCharType="separate"/>
      </w:r>
      <w:r>
        <w:t>9</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黑体" w:eastAsia="黑体"/>
          <w:color w:val="000000"/>
        </w:rPr>
        <w:t>六</w:t>
      </w:r>
      <w:r>
        <w:rPr>
          <w:rFonts w:ascii="黑体" w:eastAsia="黑体"/>
          <w:b/>
          <w:color w:val="000000"/>
        </w:rPr>
        <w:t>、一</w:t>
      </w:r>
      <w:r>
        <w:rPr>
          <w:rFonts w:ascii="黑体" w:hAnsi="Cambria" w:eastAsia="黑体"/>
          <w:bCs/>
        </w:rPr>
        <w:t>般公共预算财政拨款基本支出决算情况说明</w:t>
      </w:r>
      <w:r>
        <w:tab/>
      </w:r>
      <w:r>
        <w:fldChar w:fldCharType="begin"/>
      </w:r>
      <w:r>
        <w:instrText xml:space="preserve"> PAGEREF _Toc114822483 \h </w:instrText>
      </w:r>
      <w:r>
        <w:fldChar w:fldCharType="separate"/>
      </w:r>
      <w:r>
        <w:t>10</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黑体" w:eastAsia="黑体"/>
          <w:color w:val="000000"/>
        </w:rPr>
        <w:t>七、</w:t>
      </w:r>
      <w:r>
        <w:rPr>
          <w:rFonts w:ascii="黑体" w:hAnsi="Cambria" w:eastAsia="黑体"/>
          <w:b/>
          <w:bCs/>
        </w:rPr>
        <w:t>“</w:t>
      </w:r>
      <w:r>
        <w:rPr>
          <w:rFonts w:ascii="黑体" w:hAnsi="Cambria" w:eastAsia="黑体"/>
          <w:bCs/>
        </w:rPr>
        <w:t>三公”经费财政拨款支出决算情况说明</w:t>
      </w:r>
      <w:r>
        <w:tab/>
      </w:r>
      <w:r>
        <w:fldChar w:fldCharType="begin"/>
      </w:r>
      <w:r>
        <w:instrText xml:space="preserve"> PAGEREF _Toc114822484 \h </w:instrText>
      </w:r>
      <w:r>
        <w:fldChar w:fldCharType="separate"/>
      </w:r>
      <w:r>
        <w:t>10</w:t>
      </w:r>
      <w:r>
        <w:fldChar w:fldCharType="end"/>
      </w:r>
    </w:p>
    <w:p>
      <w:pPr>
        <w:pStyle w:val="8"/>
        <w:tabs>
          <w:tab w:val="right" w:leader="dot" w:pos="8835"/>
        </w:tabs>
        <w:rPr>
          <w:rFonts w:asciiTheme="minorHAnsi" w:hAnsiTheme="minorHAnsi" w:eastAsiaTheme="minorEastAsia" w:cstheme="minorBidi"/>
          <w:i w:val="0"/>
          <w:iCs w:val="0"/>
          <w:sz w:val="21"/>
          <w:szCs w:val="22"/>
        </w:rPr>
      </w:pPr>
      <w:r>
        <w:rPr>
          <w:rFonts w:ascii="仿宋" w:eastAsia="仿宋"/>
          <w:b/>
          <w:i w:val="0"/>
          <w:iCs w:val="0"/>
          <w:color w:val="000000"/>
        </w:rPr>
        <w:t>（一）“三公”经费财政拨款支出决算总体情况说明</w:t>
      </w:r>
      <w:r>
        <w:rPr>
          <w:i w:val="0"/>
          <w:iCs w:val="0"/>
        </w:rPr>
        <w:tab/>
      </w:r>
      <w:r>
        <w:rPr>
          <w:i w:val="0"/>
          <w:iCs w:val="0"/>
        </w:rPr>
        <w:fldChar w:fldCharType="begin"/>
      </w:r>
      <w:r>
        <w:rPr>
          <w:i w:val="0"/>
          <w:iCs w:val="0"/>
        </w:rPr>
        <w:instrText xml:space="preserve"> PAGEREF _Toc114822485 \h </w:instrText>
      </w:r>
      <w:r>
        <w:rPr>
          <w:i w:val="0"/>
          <w:iCs w:val="0"/>
        </w:rPr>
        <w:fldChar w:fldCharType="separate"/>
      </w:r>
      <w:r>
        <w:rPr>
          <w:i w:val="0"/>
          <w:iCs w:val="0"/>
        </w:rPr>
        <w:t>10</w:t>
      </w:r>
      <w:r>
        <w:rPr>
          <w:i w:val="0"/>
          <w:iCs w:val="0"/>
        </w:rPr>
        <w:fldChar w:fldCharType="end"/>
      </w:r>
    </w:p>
    <w:p>
      <w:pPr>
        <w:pStyle w:val="8"/>
        <w:tabs>
          <w:tab w:val="right" w:leader="dot" w:pos="8835"/>
        </w:tabs>
        <w:rPr>
          <w:rFonts w:asciiTheme="minorHAnsi" w:hAnsiTheme="minorHAnsi" w:eastAsiaTheme="minorEastAsia" w:cstheme="minorBidi"/>
          <w:i w:val="0"/>
          <w:iCs w:val="0"/>
          <w:sz w:val="21"/>
          <w:szCs w:val="22"/>
        </w:rPr>
      </w:pPr>
      <w:r>
        <w:rPr>
          <w:rFonts w:ascii="仿宋" w:eastAsia="仿宋"/>
          <w:b/>
          <w:i w:val="0"/>
          <w:iCs w:val="0"/>
          <w:color w:val="000000"/>
        </w:rPr>
        <w:t>（二）“三公”经费财政拨款支出决算具体情况说明</w:t>
      </w:r>
      <w:r>
        <w:tab/>
      </w:r>
      <w:r>
        <w:fldChar w:fldCharType="begin"/>
      </w:r>
      <w:r>
        <w:instrText xml:space="preserve"> PAGEREF _Toc114822486 \h </w:instrText>
      </w:r>
      <w:r>
        <w:fldChar w:fldCharType="separate"/>
      </w:r>
      <w:r>
        <w:t>10</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黑体" w:eastAsia="黑体"/>
          <w:color w:val="000000"/>
        </w:rPr>
        <w:t>八、</w:t>
      </w:r>
      <w:r>
        <w:rPr>
          <w:rFonts w:ascii="黑体" w:hAnsi="Cambria" w:eastAsia="黑体"/>
          <w:bCs/>
        </w:rPr>
        <w:t>政府性基金预算支出决算情况说明</w:t>
      </w:r>
      <w:r>
        <w:tab/>
      </w:r>
      <w:r>
        <w:fldChar w:fldCharType="begin"/>
      </w:r>
      <w:r>
        <w:instrText xml:space="preserve"> PAGEREF _Toc114822487 \h </w:instrText>
      </w:r>
      <w:r>
        <w:fldChar w:fldCharType="separate"/>
      </w:r>
      <w:r>
        <w:t>11</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黑体" w:hAnsi="Cambria" w:eastAsia="黑体"/>
          <w:bCs/>
        </w:rPr>
        <w:t>九、 国有资本经营预算支出决算情况说明</w:t>
      </w:r>
      <w:r>
        <w:tab/>
      </w:r>
      <w:r>
        <w:fldChar w:fldCharType="begin"/>
      </w:r>
      <w:r>
        <w:instrText xml:space="preserve"> PAGEREF _Toc114822488 \h </w:instrText>
      </w:r>
      <w:r>
        <w:fldChar w:fldCharType="separate"/>
      </w:r>
      <w:r>
        <w:t>12</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黑体" w:eastAsia="黑体"/>
          <w:color w:val="000000"/>
        </w:rPr>
        <w:t>十</w:t>
      </w:r>
      <w:r>
        <w:rPr>
          <w:rFonts w:ascii="黑体" w:hAnsi="Cambria" w:eastAsia="黑体"/>
          <w:b/>
          <w:bCs/>
        </w:rPr>
        <w:t>、</w:t>
      </w:r>
      <w:r>
        <w:rPr>
          <w:rFonts w:ascii="黑体" w:hAnsi="Cambria" w:eastAsia="黑体"/>
          <w:bCs/>
        </w:rPr>
        <w:t>其他重要事项的情况说明</w:t>
      </w:r>
      <w:r>
        <w:tab/>
      </w:r>
      <w:r>
        <w:fldChar w:fldCharType="begin"/>
      </w:r>
      <w:r>
        <w:instrText xml:space="preserve"> PAGEREF _Toc114822489 \h </w:instrText>
      </w:r>
      <w:r>
        <w:fldChar w:fldCharType="separate"/>
      </w:r>
      <w:r>
        <w:t>12</w:t>
      </w:r>
      <w:r>
        <w:fldChar w:fldCharType="end"/>
      </w:r>
    </w:p>
    <w:p>
      <w:pPr>
        <w:pStyle w:val="8"/>
        <w:tabs>
          <w:tab w:val="right" w:leader="dot" w:pos="8835"/>
        </w:tabs>
        <w:rPr>
          <w:rFonts w:asciiTheme="minorHAnsi" w:hAnsiTheme="minorHAnsi" w:eastAsiaTheme="minorEastAsia" w:cstheme="minorBidi"/>
          <w:i w:val="0"/>
          <w:iCs w:val="0"/>
          <w:sz w:val="21"/>
          <w:szCs w:val="22"/>
        </w:rPr>
      </w:pPr>
      <w:r>
        <w:rPr>
          <w:rFonts w:ascii="仿宋" w:eastAsia="仿宋"/>
          <w:b/>
          <w:color w:val="000000"/>
        </w:rPr>
        <w:t>（</w:t>
      </w:r>
      <w:r>
        <w:rPr>
          <w:rFonts w:ascii="仿宋" w:eastAsia="仿宋"/>
          <w:b/>
          <w:i w:val="0"/>
          <w:iCs w:val="0"/>
          <w:color w:val="000000"/>
        </w:rPr>
        <w:t>一）机关运行经费支出情况</w:t>
      </w:r>
      <w:r>
        <w:rPr>
          <w:i w:val="0"/>
          <w:iCs w:val="0"/>
        </w:rPr>
        <w:tab/>
      </w:r>
      <w:r>
        <w:rPr>
          <w:i w:val="0"/>
          <w:iCs w:val="0"/>
        </w:rPr>
        <w:fldChar w:fldCharType="begin"/>
      </w:r>
      <w:r>
        <w:rPr>
          <w:i w:val="0"/>
          <w:iCs w:val="0"/>
        </w:rPr>
        <w:instrText xml:space="preserve"> PAGEREF _Toc114822490 \h </w:instrText>
      </w:r>
      <w:r>
        <w:rPr>
          <w:i w:val="0"/>
          <w:iCs w:val="0"/>
        </w:rPr>
        <w:fldChar w:fldCharType="separate"/>
      </w:r>
      <w:r>
        <w:rPr>
          <w:i w:val="0"/>
          <w:iCs w:val="0"/>
        </w:rPr>
        <w:t>12</w:t>
      </w:r>
      <w:r>
        <w:rPr>
          <w:i w:val="0"/>
          <w:iCs w:val="0"/>
        </w:rPr>
        <w:fldChar w:fldCharType="end"/>
      </w:r>
    </w:p>
    <w:p>
      <w:pPr>
        <w:pStyle w:val="8"/>
        <w:tabs>
          <w:tab w:val="right" w:leader="dot" w:pos="8835"/>
        </w:tabs>
        <w:rPr>
          <w:rFonts w:asciiTheme="minorHAnsi" w:hAnsiTheme="minorHAnsi" w:eastAsiaTheme="minorEastAsia" w:cstheme="minorBidi"/>
          <w:i w:val="0"/>
          <w:iCs w:val="0"/>
          <w:sz w:val="21"/>
          <w:szCs w:val="22"/>
        </w:rPr>
      </w:pPr>
      <w:r>
        <w:rPr>
          <w:rFonts w:ascii="仿宋" w:eastAsia="仿宋"/>
          <w:b/>
          <w:i w:val="0"/>
          <w:iCs w:val="0"/>
          <w:color w:val="000000"/>
        </w:rPr>
        <w:t>（二）政府采购支出情况</w:t>
      </w:r>
      <w:r>
        <w:rPr>
          <w:i w:val="0"/>
          <w:iCs w:val="0"/>
        </w:rPr>
        <w:tab/>
      </w:r>
      <w:r>
        <w:rPr>
          <w:i w:val="0"/>
          <w:iCs w:val="0"/>
        </w:rPr>
        <w:fldChar w:fldCharType="begin"/>
      </w:r>
      <w:r>
        <w:rPr>
          <w:i w:val="0"/>
          <w:iCs w:val="0"/>
        </w:rPr>
        <w:instrText xml:space="preserve"> PAGEREF _Toc114822491 \h </w:instrText>
      </w:r>
      <w:r>
        <w:rPr>
          <w:i w:val="0"/>
          <w:iCs w:val="0"/>
        </w:rPr>
        <w:fldChar w:fldCharType="separate"/>
      </w:r>
      <w:r>
        <w:rPr>
          <w:i w:val="0"/>
          <w:iCs w:val="0"/>
        </w:rPr>
        <w:t>12</w:t>
      </w:r>
      <w:r>
        <w:rPr>
          <w:i w:val="0"/>
          <w:iCs w:val="0"/>
        </w:rPr>
        <w:fldChar w:fldCharType="end"/>
      </w:r>
    </w:p>
    <w:p>
      <w:pPr>
        <w:pStyle w:val="8"/>
        <w:tabs>
          <w:tab w:val="right" w:leader="dot" w:pos="8835"/>
        </w:tabs>
        <w:rPr>
          <w:rFonts w:asciiTheme="minorHAnsi" w:hAnsiTheme="minorHAnsi" w:eastAsiaTheme="minorEastAsia" w:cstheme="minorBidi"/>
          <w:i w:val="0"/>
          <w:iCs w:val="0"/>
          <w:sz w:val="21"/>
          <w:szCs w:val="22"/>
        </w:rPr>
      </w:pPr>
      <w:r>
        <w:rPr>
          <w:rFonts w:ascii="仿宋" w:eastAsia="仿宋"/>
          <w:b/>
          <w:i w:val="0"/>
          <w:iCs w:val="0"/>
          <w:color w:val="000000"/>
        </w:rPr>
        <w:t>（三）国有资产占有使用情况</w:t>
      </w:r>
      <w:r>
        <w:tab/>
      </w:r>
      <w:r>
        <w:fldChar w:fldCharType="begin"/>
      </w:r>
      <w:r>
        <w:instrText xml:space="preserve"> PAGEREF _Toc114822492 \h </w:instrText>
      </w:r>
      <w:r>
        <w:fldChar w:fldCharType="separate"/>
      </w:r>
      <w:r>
        <w:t>12</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黑体" w:eastAsia="黑体"/>
          <w:kern w:val="44"/>
        </w:rPr>
        <w:t>第三部分</w:t>
      </w:r>
      <w:r>
        <w:rPr>
          <w:rFonts w:ascii="黑体" w:eastAsia="黑体"/>
          <w:color w:val="000000"/>
        </w:rPr>
        <w:t xml:space="preserve"> 名</w:t>
      </w:r>
      <w:r>
        <w:rPr>
          <w:rFonts w:ascii="黑体" w:eastAsia="黑体"/>
          <w:kern w:val="44"/>
        </w:rPr>
        <w:t>词解释</w:t>
      </w:r>
      <w:r>
        <w:tab/>
      </w:r>
      <w:r>
        <w:fldChar w:fldCharType="begin"/>
      </w:r>
      <w:r>
        <w:instrText xml:space="preserve"> PAGEREF _Toc114822493 \h </w:instrText>
      </w:r>
      <w:r>
        <w:fldChar w:fldCharType="separate"/>
      </w:r>
      <w:r>
        <w:t>13</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黑体" w:eastAsia="黑体"/>
          <w:color w:val="000000"/>
        </w:rPr>
        <w:t>第</w:t>
      </w:r>
      <w:r>
        <w:rPr>
          <w:rFonts w:ascii="黑体" w:eastAsia="黑体"/>
          <w:kern w:val="44"/>
        </w:rPr>
        <w:t>四部分 附件</w:t>
      </w:r>
      <w:r>
        <w:tab/>
      </w:r>
      <w:r>
        <w:fldChar w:fldCharType="begin"/>
      </w:r>
      <w:r>
        <w:instrText xml:space="preserve"> PAGEREF _Toc114822494 \h </w:instrText>
      </w:r>
      <w:r>
        <w:fldChar w:fldCharType="separate"/>
      </w:r>
      <w:r>
        <w:t>18</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黑体" w:eastAsia="黑体" w:cs="黑体"/>
        </w:rPr>
        <w:t>附件1</w:t>
      </w:r>
      <w:r>
        <w:tab/>
      </w:r>
      <w:r>
        <w:fldChar w:fldCharType="begin"/>
      </w:r>
      <w:r>
        <w:instrText xml:space="preserve"> PAGEREF _Toc114822495 \h </w:instrText>
      </w:r>
      <w:r>
        <w:fldChar w:fldCharType="separate"/>
      </w:r>
      <w:r>
        <w:t>18</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方正小标宋简体" w:eastAsia="方正小标宋简体" w:cs="黑体"/>
        </w:rPr>
        <w:t>茂县退役军人服务中心部门2021年部门整体支出绩效评价报告</w:t>
      </w:r>
      <w:r>
        <w:tab/>
      </w:r>
      <w:r>
        <w:fldChar w:fldCharType="begin"/>
      </w:r>
      <w:r>
        <w:instrText xml:space="preserve"> PAGEREF _Toc114822496 \h </w:instrText>
      </w:r>
      <w:r>
        <w:fldChar w:fldCharType="separate"/>
      </w:r>
      <w:r>
        <w:t>18</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黑体" w:eastAsia="黑体" w:cs="黑体"/>
        </w:rPr>
        <w:t>附件2</w:t>
      </w:r>
      <w:r>
        <w:tab/>
      </w:r>
      <w:r>
        <w:fldChar w:fldCharType="begin"/>
      </w:r>
      <w:r>
        <w:instrText xml:space="preserve"> PAGEREF _Toc114822497 \h </w:instrText>
      </w:r>
      <w:r>
        <w:fldChar w:fldCharType="separate"/>
      </w:r>
      <w:r>
        <w:t>21</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黑体" w:eastAsia="黑体"/>
          <w:color w:val="000000"/>
        </w:rPr>
        <w:t>第</w:t>
      </w:r>
      <w:r>
        <w:rPr>
          <w:rFonts w:ascii="黑体" w:eastAsia="黑体"/>
          <w:kern w:val="44"/>
        </w:rPr>
        <w:t>五部分 附表</w:t>
      </w:r>
      <w:r>
        <w:tab/>
      </w:r>
      <w:r>
        <w:fldChar w:fldCharType="begin"/>
      </w:r>
      <w:r>
        <w:instrText xml:space="preserve"> PAGEREF _Toc114822498 \h </w:instrText>
      </w:r>
      <w:r>
        <w:fldChar w:fldCharType="separate"/>
      </w:r>
      <w:r>
        <w:t>21</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仿宋" w:eastAsia="仿宋"/>
          <w:color w:val="000000"/>
        </w:rPr>
        <w:t>一、收</w:t>
      </w:r>
      <w:r>
        <w:rPr>
          <w:rFonts w:ascii="仿宋" w:eastAsia="仿宋"/>
        </w:rPr>
        <w:t>入支出决算总表</w:t>
      </w:r>
      <w:r>
        <w:tab/>
      </w:r>
      <w:r>
        <w:fldChar w:fldCharType="begin"/>
      </w:r>
      <w:r>
        <w:instrText xml:space="preserve"> PAGEREF _Toc114822499 \h </w:instrText>
      </w:r>
      <w:r>
        <w:fldChar w:fldCharType="separate"/>
      </w:r>
      <w:r>
        <w:t>21</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仿宋" w:eastAsia="仿宋"/>
          <w:color w:val="000000"/>
        </w:rPr>
        <w:t>二、收</w:t>
      </w:r>
      <w:r>
        <w:rPr>
          <w:rFonts w:ascii="仿宋" w:eastAsia="仿宋"/>
        </w:rPr>
        <w:t>入决算表</w:t>
      </w:r>
      <w:r>
        <w:tab/>
      </w:r>
      <w:r>
        <w:fldChar w:fldCharType="begin"/>
      </w:r>
      <w:r>
        <w:instrText xml:space="preserve"> PAGEREF _Toc114822500 \h </w:instrText>
      </w:r>
      <w:r>
        <w:fldChar w:fldCharType="separate"/>
      </w:r>
      <w:r>
        <w:t>21</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仿宋" w:eastAsia="仿宋"/>
        </w:rPr>
        <w:t>三、</w:t>
      </w:r>
      <w:r>
        <w:rPr>
          <w:rFonts w:ascii="仿宋" w:eastAsia="仿宋"/>
          <w:color w:val="000000"/>
        </w:rPr>
        <w:t>支</w:t>
      </w:r>
      <w:r>
        <w:rPr>
          <w:rFonts w:ascii="仿宋" w:eastAsia="仿宋"/>
        </w:rPr>
        <w:t>出决算表</w:t>
      </w:r>
      <w:r>
        <w:tab/>
      </w:r>
      <w:r>
        <w:fldChar w:fldCharType="begin"/>
      </w:r>
      <w:r>
        <w:instrText xml:space="preserve"> PAGEREF _Toc114822501 \h </w:instrText>
      </w:r>
      <w:r>
        <w:fldChar w:fldCharType="separate"/>
      </w:r>
      <w:r>
        <w:t>21</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仿宋" w:eastAsia="仿宋"/>
        </w:rPr>
        <w:t>四、</w:t>
      </w:r>
      <w:r>
        <w:rPr>
          <w:rFonts w:ascii="仿宋" w:eastAsia="仿宋"/>
          <w:color w:val="000000"/>
        </w:rPr>
        <w:t>财</w:t>
      </w:r>
      <w:r>
        <w:rPr>
          <w:rFonts w:ascii="仿宋" w:eastAsia="仿宋"/>
        </w:rPr>
        <w:t>政拨款收入支出决算总表</w:t>
      </w:r>
      <w:r>
        <w:tab/>
      </w:r>
      <w:r>
        <w:fldChar w:fldCharType="begin"/>
      </w:r>
      <w:r>
        <w:instrText xml:space="preserve"> PAGEREF _Toc114822502 \h </w:instrText>
      </w:r>
      <w:r>
        <w:fldChar w:fldCharType="separate"/>
      </w:r>
      <w:r>
        <w:t>21</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仿宋" w:eastAsia="仿宋"/>
        </w:rPr>
        <w:t>五、</w:t>
      </w:r>
      <w:r>
        <w:rPr>
          <w:rFonts w:ascii="仿宋" w:eastAsia="仿宋"/>
          <w:color w:val="000000"/>
        </w:rPr>
        <w:t>财</w:t>
      </w:r>
      <w:r>
        <w:rPr>
          <w:rFonts w:ascii="仿宋" w:eastAsia="仿宋"/>
        </w:rPr>
        <w:t>政拨款支出决算明细表</w:t>
      </w:r>
      <w:r>
        <w:tab/>
      </w:r>
      <w:r>
        <w:fldChar w:fldCharType="begin"/>
      </w:r>
      <w:r>
        <w:instrText xml:space="preserve"> PAGEREF _Toc114822503 \h </w:instrText>
      </w:r>
      <w:r>
        <w:fldChar w:fldCharType="separate"/>
      </w:r>
      <w:r>
        <w:t>21</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仿宋" w:eastAsia="仿宋"/>
        </w:rPr>
        <w:t>六、</w:t>
      </w:r>
      <w:r>
        <w:rPr>
          <w:rFonts w:ascii="仿宋" w:eastAsia="仿宋"/>
          <w:color w:val="000000"/>
        </w:rPr>
        <w:t>一</w:t>
      </w:r>
      <w:r>
        <w:rPr>
          <w:rFonts w:ascii="仿宋" w:eastAsia="仿宋"/>
        </w:rPr>
        <w:t>般公共预算财政拨款支出决算表</w:t>
      </w:r>
      <w:r>
        <w:tab/>
      </w:r>
      <w:r>
        <w:fldChar w:fldCharType="begin"/>
      </w:r>
      <w:r>
        <w:instrText xml:space="preserve"> PAGEREF _Toc114822504 \h </w:instrText>
      </w:r>
      <w:r>
        <w:fldChar w:fldCharType="separate"/>
      </w:r>
      <w:r>
        <w:t>21</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仿宋" w:eastAsia="仿宋"/>
        </w:rPr>
        <w:t>七、</w:t>
      </w:r>
      <w:r>
        <w:rPr>
          <w:rFonts w:ascii="仿宋" w:eastAsia="仿宋"/>
          <w:color w:val="000000"/>
        </w:rPr>
        <w:t>一</w:t>
      </w:r>
      <w:r>
        <w:rPr>
          <w:rFonts w:ascii="仿宋" w:eastAsia="仿宋"/>
        </w:rPr>
        <w:t>般公共预算财政拨款支出决算明细表</w:t>
      </w:r>
      <w:r>
        <w:tab/>
      </w:r>
      <w:r>
        <w:fldChar w:fldCharType="begin"/>
      </w:r>
      <w:r>
        <w:instrText xml:space="preserve"> PAGEREF _Toc114822505 \h </w:instrText>
      </w:r>
      <w:r>
        <w:fldChar w:fldCharType="separate"/>
      </w:r>
      <w:r>
        <w:t>21</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仿宋" w:eastAsia="仿宋"/>
        </w:rPr>
        <w:t>八、</w:t>
      </w:r>
      <w:r>
        <w:rPr>
          <w:rFonts w:ascii="仿宋" w:eastAsia="仿宋"/>
          <w:color w:val="000000"/>
        </w:rPr>
        <w:t>一</w:t>
      </w:r>
      <w:r>
        <w:rPr>
          <w:rFonts w:ascii="仿宋" w:eastAsia="仿宋"/>
        </w:rPr>
        <w:t>般公共预算财政拨款基本支出决算表</w:t>
      </w:r>
      <w:r>
        <w:tab/>
      </w:r>
      <w:r>
        <w:fldChar w:fldCharType="begin"/>
      </w:r>
      <w:r>
        <w:instrText xml:space="preserve"> PAGEREF _Toc114822506 \h </w:instrText>
      </w:r>
      <w:r>
        <w:fldChar w:fldCharType="separate"/>
      </w:r>
      <w:r>
        <w:t>21</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仿宋" w:eastAsia="仿宋"/>
        </w:rPr>
        <w:t>九、</w:t>
      </w:r>
      <w:r>
        <w:rPr>
          <w:rFonts w:ascii="仿宋" w:eastAsia="仿宋"/>
          <w:color w:val="000000"/>
        </w:rPr>
        <w:t>一</w:t>
      </w:r>
      <w:r>
        <w:rPr>
          <w:rFonts w:ascii="仿宋" w:eastAsia="仿宋"/>
        </w:rPr>
        <w:t>般公共预算财政拨款项目支出决算表</w:t>
      </w:r>
      <w:r>
        <w:tab/>
      </w:r>
      <w:r>
        <w:fldChar w:fldCharType="begin"/>
      </w:r>
      <w:r>
        <w:instrText xml:space="preserve"> PAGEREF _Toc114822507 \h </w:instrText>
      </w:r>
      <w:r>
        <w:fldChar w:fldCharType="separate"/>
      </w:r>
      <w:r>
        <w:t>21</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仿宋" w:eastAsia="仿宋"/>
        </w:rPr>
        <w:t>十、</w:t>
      </w:r>
      <w:r>
        <w:rPr>
          <w:rFonts w:ascii="仿宋" w:eastAsia="仿宋"/>
          <w:color w:val="000000"/>
        </w:rPr>
        <w:t>一</w:t>
      </w:r>
      <w:r>
        <w:rPr>
          <w:rFonts w:ascii="仿宋" w:eastAsia="仿宋"/>
        </w:rPr>
        <w:t>般公共预算财政拨款“三公”经费支出决算表</w:t>
      </w:r>
      <w:r>
        <w:tab/>
      </w:r>
      <w:r>
        <w:fldChar w:fldCharType="begin"/>
      </w:r>
      <w:r>
        <w:instrText xml:space="preserve"> PAGEREF _Toc114822508 \h </w:instrText>
      </w:r>
      <w:r>
        <w:fldChar w:fldCharType="separate"/>
      </w:r>
      <w:r>
        <w:t>21</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仿宋" w:eastAsia="仿宋"/>
        </w:rPr>
        <w:t>十一、</w:t>
      </w:r>
      <w:r>
        <w:rPr>
          <w:rFonts w:ascii="仿宋" w:eastAsia="仿宋"/>
          <w:color w:val="000000"/>
        </w:rPr>
        <w:t>政</w:t>
      </w:r>
      <w:r>
        <w:rPr>
          <w:rFonts w:ascii="仿宋" w:eastAsia="仿宋"/>
        </w:rPr>
        <w:t>府性基金预算财政拨款收入支出决算表</w:t>
      </w:r>
      <w:r>
        <w:tab/>
      </w:r>
      <w:r>
        <w:fldChar w:fldCharType="begin"/>
      </w:r>
      <w:r>
        <w:instrText xml:space="preserve"> PAGEREF _Toc114822509 \h </w:instrText>
      </w:r>
      <w:r>
        <w:fldChar w:fldCharType="separate"/>
      </w:r>
      <w:r>
        <w:t>21</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仿宋" w:eastAsia="仿宋"/>
        </w:rPr>
        <w:t>十二、</w:t>
      </w:r>
      <w:r>
        <w:rPr>
          <w:rFonts w:ascii="仿宋" w:eastAsia="仿宋"/>
          <w:color w:val="000000"/>
        </w:rPr>
        <w:t>政</w:t>
      </w:r>
      <w:r>
        <w:rPr>
          <w:rFonts w:ascii="仿宋" w:eastAsia="仿宋"/>
        </w:rPr>
        <w:t>府性基金预算财政拨款“三公”经费支出决算表</w:t>
      </w:r>
      <w:r>
        <w:tab/>
      </w:r>
      <w:r>
        <w:fldChar w:fldCharType="begin"/>
      </w:r>
      <w:r>
        <w:instrText xml:space="preserve"> PAGEREF _Toc114822510 \h </w:instrText>
      </w:r>
      <w:r>
        <w:fldChar w:fldCharType="separate"/>
      </w:r>
      <w:r>
        <w:t>21</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仿宋" w:eastAsia="仿宋"/>
        </w:rPr>
        <w:t>十三、</w:t>
      </w:r>
      <w:r>
        <w:rPr>
          <w:rFonts w:ascii="仿宋" w:eastAsia="仿宋"/>
          <w:color w:val="000000"/>
        </w:rPr>
        <w:t>国</w:t>
      </w:r>
      <w:r>
        <w:rPr>
          <w:rFonts w:ascii="仿宋" w:eastAsia="仿宋"/>
        </w:rPr>
        <w:t>有资本经营预算财政拨款支出决算表</w:t>
      </w:r>
      <w:r>
        <w:tab/>
      </w:r>
      <w:r>
        <w:fldChar w:fldCharType="begin"/>
      </w:r>
      <w:r>
        <w:instrText xml:space="preserve"> PAGEREF _Toc114822511 \h </w:instrText>
      </w:r>
      <w:r>
        <w:fldChar w:fldCharType="separate"/>
      </w:r>
      <w:r>
        <w:t>21</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仿宋" w:eastAsia="仿宋"/>
        </w:rPr>
        <w:t>十四、国有资本经营预算财政拨款支出决算表</w:t>
      </w:r>
      <w:r>
        <w:tab/>
      </w:r>
      <w:r>
        <w:fldChar w:fldCharType="begin"/>
      </w:r>
      <w:r>
        <w:instrText xml:space="preserve"> PAGEREF _Toc114822512 \h </w:instrText>
      </w:r>
      <w:r>
        <w:fldChar w:fldCharType="separate"/>
      </w:r>
      <w:r>
        <w:t>21</w:t>
      </w:r>
      <w:r>
        <w:fldChar w:fldCharType="end"/>
      </w:r>
    </w:p>
    <w:p>
      <w:r>
        <w:rPr>
          <w:rFonts w:ascii="仿宋" w:eastAsia="仿宋"/>
          <w:smallCaps/>
          <w:sz w:val="20"/>
          <w:szCs w:val="20"/>
        </w:rPr>
        <w:fldChar w:fldCharType="end"/>
      </w:r>
    </w:p>
    <w:p>
      <w:pPr>
        <w:widowControl/>
        <w:spacing w:line="440" w:lineRule="exact"/>
        <w:jc w:val="left"/>
        <w:rPr>
          <w:rFonts w:ascii="仿宋" w:eastAsia="仿宋"/>
          <w:bCs/>
          <w:kern w:val="44"/>
          <w:sz w:val="24"/>
        </w:rPr>
      </w:pPr>
      <w:bookmarkStart w:id="12" w:name="_Toc15396599"/>
      <w:bookmarkStart w:id="13" w:name="_Toc15377196"/>
      <w:r>
        <w:rPr>
          <w:rFonts w:ascii="仿宋" w:eastAsia="仿宋"/>
          <w:b/>
          <w:sz w:val="24"/>
        </w:rPr>
        <w:br w:type="page"/>
      </w:r>
    </w:p>
    <w:p>
      <w:pPr>
        <w:pStyle w:val="2"/>
        <w:spacing w:before="0" w:after="0" w:line="576" w:lineRule="exact"/>
        <w:jc w:val="center"/>
        <w:rPr>
          <w:rStyle w:val="23"/>
          <w:rFonts w:ascii="方正小标宋简体" w:hAnsi="方正小标宋简体" w:eastAsia="方正小标宋简体" w:cs="方正小标宋简体"/>
          <w:b/>
          <w:bCs w:val="0"/>
        </w:rPr>
      </w:pPr>
      <w:bookmarkStart w:id="14" w:name="_Toc79163601"/>
      <w:bookmarkStart w:id="15" w:name="_Toc114822469"/>
      <w:r>
        <w:rPr>
          <w:rFonts w:hint="eastAsia" w:ascii="方正小标宋简体" w:hAnsi="方正小标宋简体" w:eastAsia="方正小标宋简体" w:cs="方正小标宋简体"/>
          <w:b w:val="0"/>
        </w:rPr>
        <w:t xml:space="preserve">第一部分 </w:t>
      </w:r>
      <w:r>
        <w:rPr>
          <w:rStyle w:val="23"/>
          <w:rFonts w:hint="eastAsia" w:ascii="方正小标宋简体" w:hAnsi="方正小标宋简体" w:eastAsia="方正小标宋简体" w:cs="方正小标宋简体"/>
          <w:b w:val="0"/>
          <w:bCs w:val="0"/>
        </w:rPr>
        <w:t>部门概况</w:t>
      </w:r>
      <w:bookmarkEnd w:id="12"/>
      <w:bookmarkEnd w:id="13"/>
      <w:bookmarkEnd w:id="14"/>
      <w:bookmarkEnd w:id="15"/>
    </w:p>
    <w:p>
      <w:pPr>
        <w:pStyle w:val="3"/>
        <w:spacing w:before="0" w:after="0" w:line="576" w:lineRule="exact"/>
        <w:rPr>
          <w:rFonts w:ascii="黑体" w:eastAsia="黑体"/>
          <w:b w:val="0"/>
          <w:color w:val="000000"/>
        </w:rPr>
      </w:pPr>
      <w:bookmarkStart w:id="16" w:name="_Toc79163602"/>
      <w:bookmarkStart w:id="17" w:name="_Toc15377197"/>
      <w:bookmarkStart w:id="18" w:name="_Toc15396600"/>
    </w:p>
    <w:p>
      <w:pPr>
        <w:pStyle w:val="3"/>
        <w:spacing w:before="0" w:after="0" w:line="576" w:lineRule="exact"/>
        <w:ind w:firstLine="640" w:firstLineChars="200"/>
        <w:rPr>
          <w:rStyle w:val="24"/>
          <w:rFonts w:ascii="黑体" w:eastAsia="黑体"/>
          <w:b w:val="0"/>
          <w:bCs w:val="0"/>
        </w:rPr>
      </w:pPr>
      <w:bookmarkStart w:id="19" w:name="_Toc114822470"/>
      <w:r>
        <w:rPr>
          <w:rFonts w:hint="eastAsia" w:ascii="黑体" w:eastAsia="黑体"/>
          <w:b w:val="0"/>
          <w:color w:val="000000"/>
        </w:rPr>
        <w:t>一、基</w:t>
      </w:r>
      <w:r>
        <w:rPr>
          <w:rStyle w:val="24"/>
          <w:rFonts w:hint="eastAsia" w:ascii="黑体" w:eastAsia="黑体"/>
          <w:b w:val="0"/>
          <w:bCs w:val="0"/>
        </w:rPr>
        <w:t>本职能及主要工作</w:t>
      </w:r>
      <w:bookmarkEnd w:id="16"/>
      <w:bookmarkEnd w:id="17"/>
      <w:bookmarkEnd w:id="18"/>
      <w:bookmarkEnd w:id="19"/>
      <w:bookmarkStart w:id="20" w:name="_Toc15377199"/>
      <w:bookmarkStart w:id="21" w:name="_Toc15378446"/>
      <w:bookmarkStart w:id="22" w:name="_Toc79163604"/>
    </w:p>
    <w:p>
      <w:pPr>
        <w:pStyle w:val="3"/>
        <w:spacing w:before="0" w:after="0" w:line="576" w:lineRule="exact"/>
        <w:ind w:firstLine="642" w:firstLineChars="200"/>
        <w:rPr>
          <w:rFonts w:ascii="仿宋_GB2312" w:hAnsi="仿宋_GB2312" w:eastAsia="仿宋_GB2312" w:cs="仿宋_GB2312"/>
          <w:color w:val="000000"/>
        </w:rPr>
      </w:pPr>
      <w:bookmarkStart w:id="23" w:name="_Toc114822471"/>
      <w:r>
        <w:rPr>
          <w:rFonts w:hint="eastAsia" w:ascii="仿宋_GB2312" w:hAnsi="仿宋_GB2312" w:eastAsia="仿宋_GB2312" w:cs="仿宋_GB2312"/>
          <w:color w:val="000000"/>
        </w:rPr>
        <w:t>（一）2021年重点工作完成情况。</w:t>
      </w:r>
      <w:bookmarkEnd w:id="20"/>
      <w:bookmarkEnd w:id="21"/>
      <w:bookmarkEnd w:id="22"/>
      <w:bookmarkEnd w:id="23"/>
    </w:p>
    <w:p>
      <w:pPr>
        <w:shd w:val="clear" w:color="auto" w:fill="FFFFFF"/>
        <w:spacing w:line="576" w:lineRule="exact"/>
        <w:ind w:firstLine="640" w:firstLineChars="200"/>
        <w:rPr>
          <w:rFonts w:ascii="仿宋_GB2312" w:hAnsi="微软雅黑" w:eastAsia="仿宋_GB2312" w:cs="宋体"/>
          <w:color w:val="000000"/>
          <w:sz w:val="32"/>
          <w:szCs w:val="32"/>
        </w:rPr>
      </w:pPr>
      <w:r>
        <w:rPr>
          <w:rFonts w:hint="eastAsia" w:ascii="仿宋_GB2312" w:hAnsi="微软雅黑" w:eastAsia="仿宋_GB2312" w:cs="宋体"/>
          <w:color w:val="000000"/>
          <w:sz w:val="32"/>
          <w:szCs w:val="32"/>
        </w:rPr>
        <w:t>1.按照县委、县政府各项中心工作开展好双拥工作。结合“元旦春节”“八·一”建军节、“9.30”公祭日等重大节日开展走访慰问驻县部队、优抚对象、退役军人等各类对象，把党和政府的关怀落到实处。</w:t>
      </w:r>
    </w:p>
    <w:p>
      <w:pPr>
        <w:shd w:val="clear" w:color="auto" w:fill="FFFFFF"/>
        <w:spacing w:line="576" w:lineRule="exact"/>
        <w:ind w:firstLine="640" w:firstLineChars="200"/>
        <w:rPr>
          <w:rFonts w:ascii="仿宋_GB2312" w:hAnsi="微软雅黑" w:eastAsia="仿宋_GB2312" w:cs="宋体"/>
          <w:color w:val="000000"/>
          <w:sz w:val="32"/>
          <w:szCs w:val="32"/>
        </w:rPr>
      </w:pPr>
      <w:r>
        <w:rPr>
          <w:rFonts w:hint="eastAsia" w:ascii="仿宋_GB2312" w:hAnsi="微软雅黑" w:eastAsia="仿宋_GB2312" w:cs="宋体"/>
          <w:color w:val="000000"/>
          <w:sz w:val="32"/>
          <w:szCs w:val="32"/>
        </w:rPr>
        <w:t xml:space="preserve">2.加强自身队伍建设。切实把党建、党风廉政建设和意识形态放在重要的位置，认真落实“两个责任”，建立健全风险领域的评估及防范机制落到实处，使退役军人事务工作高质量推进。  </w:t>
      </w:r>
    </w:p>
    <w:p>
      <w:pPr>
        <w:shd w:val="clear" w:color="auto" w:fill="FFFFFF"/>
        <w:spacing w:line="576" w:lineRule="exact"/>
        <w:ind w:firstLine="640" w:firstLineChars="200"/>
        <w:rPr>
          <w:rFonts w:ascii="仿宋_GB2312" w:hAnsi="微软雅黑" w:eastAsia="仿宋_GB2312" w:cs="宋体"/>
          <w:color w:val="000000"/>
          <w:sz w:val="32"/>
          <w:szCs w:val="32"/>
        </w:rPr>
      </w:pPr>
      <w:r>
        <w:rPr>
          <w:rFonts w:hint="eastAsia" w:ascii="仿宋_GB2312" w:hAnsi="微软雅黑" w:eastAsia="仿宋_GB2312" w:cs="宋体"/>
          <w:color w:val="000000"/>
          <w:sz w:val="32"/>
          <w:szCs w:val="32"/>
        </w:rPr>
        <w:t>3.落实各类生活补助。按省、州要求每月、季度及时兑现各类优抚对象生活补助。</w:t>
      </w:r>
    </w:p>
    <w:p>
      <w:pPr>
        <w:shd w:val="clear" w:color="auto" w:fill="FFFFFF"/>
        <w:spacing w:line="576" w:lineRule="exact"/>
        <w:ind w:firstLine="640" w:firstLineChars="200"/>
        <w:rPr>
          <w:rFonts w:ascii="仿宋_GB2312" w:hAnsi="微软雅黑" w:eastAsia="仿宋_GB2312" w:cs="宋体"/>
          <w:color w:val="000000"/>
          <w:sz w:val="32"/>
          <w:szCs w:val="32"/>
        </w:rPr>
      </w:pPr>
      <w:r>
        <w:rPr>
          <w:rFonts w:hint="eastAsia" w:ascii="仿宋_GB2312" w:hAnsi="微软雅黑" w:eastAsia="仿宋_GB2312" w:cs="宋体"/>
          <w:color w:val="000000"/>
          <w:sz w:val="32"/>
          <w:szCs w:val="32"/>
        </w:rPr>
        <w:t>4.加强信访维稳力度，把矛盾化解在基层。</w:t>
      </w:r>
    </w:p>
    <w:p>
      <w:pPr>
        <w:spacing w:line="576" w:lineRule="exact"/>
        <w:ind w:firstLine="640" w:firstLineChars="200"/>
        <w:rPr>
          <w:rFonts w:ascii="仿宋_GB2312" w:hAnsi="微软雅黑" w:eastAsia="仿宋_GB2312" w:cstheme="minorBidi"/>
          <w:color w:val="000000"/>
          <w:sz w:val="32"/>
          <w:szCs w:val="32"/>
        </w:rPr>
      </w:pPr>
      <w:r>
        <w:rPr>
          <w:rFonts w:hint="eastAsia" w:ascii="仿宋_GB2312" w:hAnsi="微软雅黑" w:eastAsia="仿宋_GB2312" w:cstheme="minorBidi"/>
          <w:color w:val="000000"/>
          <w:sz w:val="32"/>
          <w:szCs w:val="32"/>
        </w:rPr>
        <w:t>5.切实做好乡村振兴工作，真正把联系村工作落到实处。同时，高质量完成县委县政府交办的各项重点工作。</w:t>
      </w:r>
    </w:p>
    <w:p>
      <w:pPr>
        <w:spacing w:line="576" w:lineRule="exact"/>
        <w:ind w:firstLine="640" w:firstLineChars="200"/>
        <w:rPr>
          <w:rFonts w:ascii="仿宋" w:eastAsia="仿宋"/>
          <w:bCs/>
          <w:color w:val="000000"/>
          <w:sz w:val="32"/>
          <w:szCs w:val="32"/>
        </w:rPr>
      </w:pPr>
      <w:r>
        <w:rPr>
          <w:rFonts w:hint="eastAsia" w:ascii="仿宋_GB2312" w:hAnsi="微软雅黑" w:eastAsia="仿宋_GB2312" w:cs="宋体"/>
          <w:color w:val="000000"/>
          <w:sz w:val="32"/>
          <w:szCs w:val="32"/>
        </w:rPr>
        <w:t>6.积极争取国家支持阿坝州经济社会发展规划建设项目。</w:t>
      </w:r>
    </w:p>
    <w:p>
      <w:pPr>
        <w:pStyle w:val="3"/>
        <w:spacing w:before="0" w:after="0" w:line="576" w:lineRule="exact"/>
        <w:ind w:firstLine="640" w:firstLineChars="200"/>
        <w:rPr>
          <w:rStyle w:val="24"/>
          <w:b w:val="0"/>
          <w:bCs w:val="0"/>
        </w:rPr>
      </w:pPr>
      <w:bookmarkStart w:id="24" w:name="_Toc114822472"/>
      <w:bookmarkStart w:id="25" w:name="_Toc15377200"/>
      <w:bookmarkStart w:id="26" w:name="_Toc79163605"/>
      <w:bookmarkStart w:id="27" w:name="_Toc15396601"/>
      <w:r>
        <w:rPr>
          <w:rFonts w:hint="eastAsia" w:ascii="黑体" w:eastAsia="黑体"/>
          <w:b w:val="0"/>
          <w:color w:val="000000"/>
        </w:rPr>
        <w:t>二、机</w:t>
      </w:r>
      <w:r>
        <w:rPr>
          <w:rStyle w:val="24"/>
          <w:rFonts w:hint="eastAsia" w:ascii="黑体" w:eastAsia="黑体"/>
          <w:b w:val="0"/>
          <w:bCs w:val="0"/>
        </w:rPr>
        <w:t>构设置</w:t>
      </w:r>
      <w:bookmarkEnd w:id="24"/>
      <w:bookmarkEnd w:id="25"/>
      <w:bookmarkEnd w:id="26"/>
      <w:bookmarkEnd w:id="27"/>
    </w:p>
    <w:p>
      <w:pPr>
        <w:spacing w:line="576"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茂县退役军人服务中心属二级单位1个，其中其他事业单位1个。</w:t>
      </w:r>
    </w:p>
    <w:p>
      <w:pPr>
        <w:pStyle w:val="6"/>
        <w:adjustRightInd w:val="0"/>
        <w:spacing w:before="0" w:beforeLines="0" w:line="576" w:lineRule="exact"/>
        <w:ind w:firstLine="672" w:firstLineChars="210"/>
        <w:rPr>
          <w:rFonts w:hAnsi="仿宋_GB2312" w:cs="仿宋_GB2312"/>
          <w:color w:val="000000"/>
          <w:sz w:val="32"/>
          <w:szCs w:val="32"/>
        </w:rPr>
      </w:pPr>
      <w:r>
        <w:rPr>
          <w:rFonts w:hint="eastAsia" w:hAnsi="仿宋_GB2312" w:cs="仿宋_GB2312"/>
          <w:color w:val="000000"/>
          <w:sz w:val="32"/>
          <w:szCs w:val="32"/>
        </w:rPr>
        <w:t>纳入茂县退役军人事务局20</w:t>
      </w:r>
      <w:r>
        <w:rPr>
          <w:rFonts w:hAnsi="仿宋_GB2312" w:cs="仿宋_GB2312"/>
          <w:color w:val="000000"/>
          <w:sz w:val="32"/>
          <w:szCs w:val="32"/>
        </w:rPr>
        <w:t>21</w:t>
      </w:r>
      <w:r>
        <w:rPr>
          <w:rFonts w:hint="eastAsia" w:hAnsi="仿宋_GB2312" w:cs="仿宋_GB2312"/>
          <w:color w:val="000000"/>
          <w:sz w:val="32"/>
          <w:szCs w:val="32"/>
        </w:rPr>
        <w:t>年度部门决算编制范围的二级预算单位包括：</w:t>
      </w:r>
    </w:p>
    <w:p>
      <w:pPr>
        <w:pStyle w:val="6"/>
        <w:numPr>
          <w:ilvl w:val="0"/>
          <w:numId w:val="1"/>
        </w:numPr>
        <w:adjustRightInd w:val="0"/>
        <w:spacing w:before="0" w:beforeLines="0" w:line="576" w:lineRule="exact"/>
        <w:outlineLvl w:val="2"/>
        <w:rPr>
          <w:rFonts w:hAnsi="仿宋_GB2312" w:cs="仿宋_GB2312"/>
          <w:color w:val="000000"/>
          <w:sz w:val="32"/>
          <w:szCs w:val="32"/>
        </w:rPr>
      </w:pPr>
      <w:bookmarkStart w:id="28" w:name="_Toc114822473"/>
      <w:bookmarkStart w:id="29" w:name="_Toc82764201"/>
      <w:r>
        <w:rPr>
          <w:rFonts w:hint="eastAsia" w:hAnsi="仿宋_GB2312" w:cs="仿宋_GB2312"/>
          <w:color w:val="000000"/>
          <w:sz w:val="32"/>
          <w:szCs w:val="32"/>
        </w:rPr>
        <w:t>茂县退役军人服务中心</w:t>
      </w:r>
      <w:bookmarkEnd w:id="28"/>
      <w:bookmarkEnd w:id="29"/>
    </w:p>
    <w:p>
      <w:pPr>
        <w:pStyle w:val="6"/>
        <w:adjustRightInd w:val="0"/>
        <w:spacing w:before="0" w:beforeLines="0" w:line="576" w:lineRule="exact"/>
        <w:rPr>
          <w:rFonts w:ascii="仿宋" w:eastAsia="仿宋"/>
          <w:color w:val="000000"/>
          <w:sz w:val="32"/>
          <w:szCs w:val="32"/>
        </w:rPr>
      </w:pPr>
    </w:p>
    <w:p>
      <w:pPr>
        <w:widowControl/>
        <w:spacing w:line="576" w:lineRule="exact"/>
        <w:jc w:val="left"/>
        <w:rPr>
          <w:rFonts w:ascii="仿宋" w:eastAsia="仿宋"/>
          <w:color w:val="000000"/>
          <w:kern w:val="0"/>
          <w:sz w:val="32"/>
          <w:szCs w:val="32"/>
        </w:rPr>
      </w:pPr>
      <w:r>
        <w:rPr>
          <w:rFonts w:ascii="仿宋" w:eastAsia="仿宋"/>
          <w:color w:val="000000"/>
          <w:sz w:val="32"/>
          <w:szCs w:val="32"/>
        </w:rPr>
        <w:br w:type="page"/>
      </w:r>
    </w:p>
    <w:p>
      <w:pPr>
        <w:pStyle w:val="2"/>
        <w:spacing w:before="0" w:after="0" w:line="576" w:lineRule="exact"/>
        <w:ind w:right="440"/>
        <w:jc w:val="right"/>
        <w:rPr>
          <w:rStyle w:val="23"/>
          <w:rFonts w:ascii="黑体" w:eastAsia="黑体"/>
          <w:b w:val="0"/>
          <w:bCs w:val="0"/>
        </w:rPr>
      </w:pPr>
      <w:bookmarkStart w:id="30" w:name="_Toc114822474"/>
      <w:bookmarkStart w:id="31" w:name="_Toc15396602"/>
      <w:bookmarkStart w:id="32" w:name="_Toc79163609"/>
      <w:bookmarkStart w:id="33" w:name="_Toc15377204"/>
      <w:r>
        <w:rPr>
          <w:rFonts w:hint="eastAsia" w:ascii="黑体" w:eastAsia="黑体"/>
          <w:b w:val="0"/>
          <w:color w:val="000000"/>
        </w:rPr>
        <w:t>第二部分</w:t>
      </w:r>
      <w:r>
        <w:rPr>
          <w:rFonts w:ascii="黑体" w:eastAsia="黑体"/>
          <w:color w:val="000000"/>
        </w:rPr>
        <w:t xml:space="preserve"> </w:t>
      </w:r>
      <w:r>
        <w:rPr>
          <w:rStyle w:val="23"/>
          <w:rFonts w:ascii="黑体" w:eastAsia="黑体"/>
          <w:b w:val="0"/>
          <w:bCs w:val="0"/>
        </w:rPr>
        <w:t>2021</w:t>
      </w:r>
      <w:r>
        <w:rPr>
          <w:rStyle w:val="23"/>
          <w:rFonts w:hint="eastAsia" w:ascii="黑体" w:eastAsia="黑体"/>
          <w:b w:val="0"/>
          <w:bCs w:val="0"/>
        </w:rPr>
        <w:t>年度部门决算情况说明</w:t>
      </w:r>
      <w:bookmarkEnd w:id="30"/>
      <w:bookmarkEnd w:id="31"/>
      <w:bookmarkEnd w:id="32"/>
      <w:bookmarkEnd w:id="33"/>
    </w:p>
    <w:p>
      <w:pPr>
        <w:spacing w:line="576" w:lineRule="exact"/>
      </w:pPr>
    </w:p>
    <w:p>
      <w:pPr>
        <w:pStyle w:val="29"/>
        <w:numPr>
          <w:ilvl w:val="0"/>
          <w:numId w:val="2"/>
        </w:numPr>
        <w:spacing w:line="576" w:lineRule="exact"/>
        <w:ind w:firstLineChars="0"/>
        <w:outlineLvl w:val="1"/>
        <w:rPr>
          <w:rStyle w:val="24"/>
          <w:rFonts w:ascii="黑体" w:eastAsia="黑体"/>
          <w:b w:val="0"/>
        </w:rPr>
      </w:pPr>
      <w:bookmarkStart w:id="34" w:name="_Toc79163610"/>
      <w:bookmarkStart w:id="35" w:name="_Toc15396603"/>
      <w:bookmarkStart w:id="36" w:name="_Toc114822475"/>
      <w:bookmarkStart w:id="37" w:name="_Toc15377205"/>
      <w:r>
        <w:rPr>
          <w:rFonts w:hint="eastAsia" w:ascii="黑体" w:eastAsia="黑体"/>
          <w:color w:val="000000"/>
          <w:sz w:val="32"/>
          <w:szCs w:val="32"/>
        </w:rPr>
        <w:t>收</w:t>
      </w:r>
      <w:r>
        <w:rPr>
          <w:rStyle w:val="24"/>
          <w:rFonts w:hint="eastAsia" w:ascii="黑体" w:eastAsia="黑体"/>
          <w:b w:val="0"/>
        </w:rPr>
        <w:t>入支出决算总体情况说明</w:t>
      </w:r>
      <w:bookmarkEnd w:id="34"/>
      <w:bookmarkEnd w:id="35"/>
      <w:bookmarkEnd w:id="36"/>
      <w:bookmarkEnd w:id="37"/>
    </w:p>
    <w:p>
      <w:pPr>
        <w:spacing w:line="576" w:lineRule="exact"/>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年度收、支总计</w:t>
      </w:r>
      <w:r>
        <w:rPr>
          <w:rFonts w:ascii="仿宋" w:eastAsia="仿宋"/>
          <w:color w:val="000000"/>
          <w:sz w:val="32"/>
          <w:szCs w:val="32"/>
        </w:rPr>
        <w:t>56.89</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年相比收、支总计各减少</w:t>
      </w:r>
      <w:r>
        <w:rPr>
          <w:rFonts w:ascii="仿宋" w:eastAsia="仿宋"/>
          <w:color w:val="000000"/>
          <w:sz w:val="32"/>
          <w:szCs w:val="32"/>
        </w:rPr>
        <w:t>2.06</w:t>
      </w:r>
      <w:r>
        <w:rPr>
          <w:rFonts w:hint="eastAsia" w:ascii="仿宋" w:eastAsia="仿宋"/>
          <w:color w:val="000000"/>
          <w:sz w:val="32"/>
          <w:szCs w:val="32"/>
        </w:rPr>
        <w:t>万元，</w:t>
      </w:r>
      <w:bookmarkStart w:id="38" w:name="_Hlk114217356"/>
      <w:r>
        <w:rPr>
          <w:rFonts w:hint="eastAsia" w:ascii="仿宋" w:eastAsia="仿宋"/>
          <w:color w:val="000000"/>
          <w:sz w:val="32"/>
          <w:szCs w:val="32"/>
        </w:rPr>
        <w:t>下降</w:t>
      </w:r>
      <w:r>
        <w:rPr>
          <w:rFonts w:ascii="仿宋" w:eastAsia="仿宋"/>
          <w:color w:val="000000"/>
          <w:sz w:val="32"/>
          <w:szCs w:val="32"/>
        </w:rPr>
        <w:t>3.5%</w:t>
      </w:r>
      <w:r>
        <w:rPr>
          <w:rFonts w:hint="eastAsia" w:ascii="仿宋" w:eastAsia="仿宋"/>
          <w:color w:val="000000"/>
          <w:sz w:val="32"/>
          <w:szCs w:val="32"/>
        </w:rPr>
        <w:t>。主要变动原因是年初结转和结余减少</w:t>
      </w:r>
      <w:bookmarkEnd w:id="38"/>
      <w:r>
        <w:rPr>
          <w:rFonts w:hint="eastAsia" w:ascii="仿宋" w:eastAsia="仿宋"/>
          <w:color w:val="000000"/>
          <w:sz w:val="32"/>
          <w:szCs w:val="32"/>
        </w:rPr>
        <w:t>。</w:t>
      </w:r>
    </w:p>
    <w:p>
      <w:pPr>
        <w:spacing w:line="576" w:lineRule="exact"/>
        <w:ind w:firstLine="1280" w:firstLineChars="400"/>
        <w:rPr>
          <w:rFonts w:ascii="仿宋" w:eastAsia="仿宋"/>
          <w:sz w:val="32"/>
          <w:szCs w:val="32"/>
        </w:rPr>
      </w:pPr>
      <w:r>
        <w:rPr>
          <w:rFonts w:hint="eastAsia" w:ascii="仿宋" w:eastAsia="仿宋"/>
          <w:sz w:val="32"/>
          <w:szCs w:val="32"/>
        </w:rPr>
        <w:t>（图</w:t>
      </w:r>
      <w:r>
        <w:rPr>
          <w:rFonts w:ascii="仿宋" w:eastAsia="仿宋"/>
          <w:sz w:val="32"/>
          <w:szCs w:val="32"/>
        </w:rPr>
        <w:t>1</w:t>
      </w:r>
      <w:r>
        <w:rPr>
          <w:rFonts w:hint="eastAsia" w:ascii="仿宋" w:eastAsia="仿宋"/>
          <w:sz w:val="32"/>
          <w:szCs w:val="32"/>
        </w:rPr>
        <w:t>：收、支决算总计变动情况图）</w:t>
      </w:r>
    </w:p>
    <w:p>
      <w:pPr>
        <w:spacing w:line="576" w:lineRule="exact"/>
        <w:ind w:firstLine="420" w:firstLineChars="200"/>
        <w:rPr>
          <w:rFonts w:ascii="仿宋" w:eastAsia="仿宋"/>
          <w:color w:val="FF0000"/>
          <w:sz w:val="32"/>
          <w:szCs w:val="32"/>
        </w:rPr>
      </w:pPr>
      <w:r>
        <w:drawing>
          <wp:anchor distT="0" distB="0" distL="114300" distR="114300" simplePos="0" relativeHeight="251659264" behindDoc="0" locked="0" layoutInCell="1" allowOverlap="1">
            <wp:simplePos x="0" y="0"/>
            <wp:positionH relativeFrom="column">
              <wp:posOffset>1130300</wp:posOffset>
            </wp:positionH>
            <wp:positionV relativeFrom="paragraph">
              <wp:posOffset>57150</wp:posOffset>
            </wp:positionV>
            <wp:extent cx="2993390" cy="2170430"/>
            <wp:effectExtent l="0" t="0" r="8890" b="8890"/>
            <wp:wrapSquare wrapText="bothSides"/>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pic:cNvPicPr>
                  </pic:nvPicPr>
                  <pic:blipFill>
                    <a:blip r:embed="rId6"/>
                    <a:stretch>
                      <a:fillRect/>
                    </a:stretch>
                  </pic:blipFill>
                  <pic:spPr>
                    <a:xfrm>
                      <a:off x="0" y="0"/>
                      <a:ext cx="2993390" cy="2170430"/>
                    </a:xfrm>
                    <a:prstGeom prst="rect">
                      <a:avLst/>
                    </a:prstGeom>
                    <a:noFill/>
                    <a:ln>
                      <a:noFill/>
                    </a:ln>
                  </pic:spPr>
                </pic:pic>
              </a:graphicData>
            </a:graphic>
          </wp:anchor>
        </w:drawing>
      </w:r>
    </w:p>
    <w:p>
      <w:pPr>
        <w:spacing w:line="576" w:lineRule="exact"/>
        <w:ind w:firstLine="640" w:firstLineChars="200"/>
        <w:rPr>
          <w:rFonts w:ascii="仿宋" w:eastAsia="仿宋"/>
          <w:color w:val="FF0000"/>
          <w:sz w:val="32"/>
          <w:szCs w:val="32"/>
        </w:rPr>
      </w:pPr>
    </w:p>
    <w:p>
      <w:pPr>
        <w:spacing w:line="576" w:lineRule="exact"/>
        <w:ind w:firstLine="640" w:firstLineChars="200"/>
        <w:rPr>
          <w:rFonts w:ascii="仿宋" w:eastAsia="仿宋"/>
          <w:color w:val="000000"/>
          <w:sz w:val="32"/>
          <w:szCs w:val="32"/>
        </w:rPr>
      </w:pPr>
    </w:p>
    <w:p>
      <w:pPr>
        <w:spacing w:line="576" w:lineRule="exact"/>
        <w:ind w:firstLine="640" w:firstLineChars="200"/>
        <w:rPr>
          <w:rFonts w:ascii="仿宋" w:eastAsia="仿宋"/>
          <w:color w:val="000000"/>
          <w:sz w:val="32"/>
          <w:szCs w:val="32"/>
        </w:rPr>
      </w:pPr>
    </w:p>
    <w:p>
      <w:pPr>
        <w:pStyle w:val="29"/>
        <w:spacing w:line="576" w:lineRule="exact"/>
        <w:ind w:firstLine="0" w:firstLineChars="0"/>
        <w:outlineLvl w:val="1"/>
        <w:rPr>
          <w:rFonts w:ascii="黑体" w:eastAsia="黑体"/>
          <w:color w:val="000000"/>
          <w:sz w:val="32"/>
          <w:szCs w:val="32"/>
        </w:rPr>
      </w:pPr>
      <w:bookmarkStart w:id="39" w:name="_Toc15396604"/>
      <w:bookmarkStart w:id="40" w:name="_Toc79163611"/>
      <w:bookmarkStart w:id="41" w:name="_Toc15377206"/>
    </w:p>
    <w:p>
      <w:pPr>
        <w:pStyle w:val="29"/>
        <w:spacing w:line="576" w:lineRule="exact"/>
        <w:ind w:firstLine="0" w:firstLineChars="0"/>
        <w:outlineLvl w:val="1"/>
        <w:rPr>
          <w:rFonts w:ascii="黑体" w:eastAsia="黑体"/>
          <w:color w:val="000000"/>
          <w:sz w:val="32"/>
          <w:szCs w:val="32"/>
        </w:rPr>
      </w:pPr>
    </w:p>
    <w:p>
      <w:pPr>
        <w:pStyle w:val="29"/>
        <w:spacing w:line="576" w:lineRule="exact"/>
        <w:ind w:firstLine="0" w:firstLineChars="0"/>
        <w:outlineLvl w:val="1"/>
        <w:rPr>
          <w:rFonts w:ascii="黑体" w:eastAsia="黑体"/>
          <w:color w:val="000000"/>
          <w:sz w:val="32"/>
          <w:szCs w:val="32"/>
        </w:rPr>
      </w:pPr>
    </w:p>
    <w:p>
      <w:pPr>
        <w:pStyle w:val="29"/>
        <w:spacing w:line="576" w:lineRule="exact"/>
        <w:ind w:firstLine="0" w:firstLineChars="0"/>
        <w:outlineLvl w:val="1"/>
        <w:rPr>
          <w:rStyle w:val="24"/>
          <w:rFonts w:ascii="黑体" w:eastAsia="黑体"/>
          <w:b w:val="0"/>
        </w:rPr>
      </w:pPr>
      <w:bookmarkStart w:id="42" w:name="_Toc114822476"/>
      <w:r>
        <w:rPr>
          <w:rFonts w:hint="eastAsia" w:ascii="黑体" w:eastAsia="黑体"/>
          <w:color w:val="000000"/>
          <w:sz w:val="32"/>
          <w:szCs w:val="32"/>
        </w:rPr>
        <w:t>二、收</w:t>
      </w:r>
      <w:r>
        <w:rPr>
          <w:rStyle w:val="24"/>
          <w:rFonts w:hint="eastAsia" w:ascii="黑体" w:eastAsia="黑体"/>
          <w:b w:val="0"/>
        </w:rPr>
        <w:t>入决算情况说明</w:t>
      </w:r>
      <w:bookmarkEnd w:id="39"/>
      <w:bookmarkEnd w:id="40"/>
      <w:bookmarkEnd w:id="41"/>
      <w:bookmarkEnd w:id="42"/>
    </w:p>
    <w:p>
      <w:pPr>
        <w:spacing w:line="576" w:lineRule="exact"/>
        <w:ind w:firstLine="640" w:firstLineChars="200"/>
        <w:rPr>
          <w:rFonts w:ascii="仿宋" w:eastAsia="仿宋"/>
          <w:color w:val="FF0000"/>
          <w:sz w:val="32"/>
          <w:szCs w:val="32"/>
        </w:rPr>
      </w:pPr>
      <w:r>
        <w:rPr>
          <w:rFonts w:ascii="仿宋" w:eastAsia="仿宋"/>
          <w:color w:val="000000"/>
          <w:sz w:val="32"/>
          <w:szCs w:val="32"/>
        </w:rPr>
        <w:t>2021</w:t>
      </w:r>
      <w:r>
        <w:rPr>
          <w:rFonts w:hint="eastAsia" w:ascii="仿宋" w:eastAsia="仿宋"/>
          <w:color w:val="000000"/>
          <w:sz w:val="32"/>
          <w:szCs w:val="32"/>
        </w:rPr>
        <w:t>年本年收入合计</w:t>
      </w:r>
      <w:r>
        <w:rPr>
          <w:rFonts w:ascii="仿宋" w:eastAsia="仿宋"/>
          <w:color w:val="000000"/>
          <w:sz w:val="32"/>
          <w:szCs w:val="32"/>
        </w:rPr>
        <w:t>56.89</w:t>
      </w:r>
      <w:r>
        <w:rPr>
          <w:rFonts w:hint="eastAsia" w:ascii="仿宋" w:eastAsia="仿宋"/>
          <w:color w:val="000000"/>
          <w:sz w:val="32"/>
          <w:szCs w:val="32"/>
        </w:rPr>
        <w:t>万元，其中：一般公共预算财政拨款收入</w:t>
      </w:r>
      <w:r>
        <w:rPr>
          <w:rFonts w:ascii="仿宋" w:eastAsia="仿宋"/>
          <w:color w:val="000000"/>
          <w:sz w:val="32"/>
          <w:szCs w:val="32"/>
        </w:rPr>
        <w:t>56.89</w:t>
      </w:r>
      <w:r>
        <w:rPr>
          <w:rFonts w:hint="eastAsia" w:ascii="仿宋" w:eastAsia="仿宋"/>
          <w:color w:val="000000"/>
          <w:sz w:val="32"/>
          <w:szCs w:val="32"/>
        </w:rPr>
        <w:t>万元，占</w:t>
      </w:r>
      <w:r>
        <w:rPr>
          <w:rFonts w:ascii="仿宋" w:eastAsia="仿宋"/>
          <w:color w:val="000000"/>
          <w:sz w:val="32"/>
          <w:szCs w:val="32"/>
        </w:rPr>
        <w:t>100%</w:t>
      </w:r>
      <w:r>
        <w:rPr>
          <w:rFonts w:hint="eastAsia" w:ascii="仿宋" w:eastAsia="仿宋"/>
          <w:color w:val="000000"/>
          <w:sz w:val="32"/>
          <w:szCs w:val="32"/>
        </w:rPr>
        <w:t>；政府性基金预算财政拨款收入</w:t>
      </w:r>
      <w:r>
        <w:rPr>
          <w:rFonts w:ascii="仿宋" w:eastAsia="仿宋"/>
          <w:color w:val="000000"/>
          <w:sz w:val="32"/>
          <w:szCs w:val="32"/>
        </w:rPr>
        <w:t>0</w:t>
      </w:r>
      <w:r>
        <w:rPr>
          <w:rFonts w:hint="eastAsia" w:ascii="仿宋" w:eastAsia="仿宋"/>
          <w:color w:val="000000"/>
          <w:sz w:val="32"/>
          <w:szCs w:val="32"/>
        </w:rPr>
        <w:t>万元；上级补助收入</w:t>
      </w:r>
      <w:r>
        <w:rPr>
          <w:rFonts w:ascii="仿宋" w:eastAsia="仿宋"/>
          <w:color w:val="000000"/>
          <w:sz w:val="32"/>
          <w:szCs w:val="32"/>
        </w:rPr>
        <w:t>0</w:t>
      </w:r>
      <w:r>
        <w:rPr>
          <w:rFonts w:hint="eastAsia" w:ascii="仿宋" w:eastAsia="仿宋"/>
          <w:color w:val="000000"/>
          <w:sz w:val="32"/>
          <w:szCs w:val="32"/>
        </w:rPr>
        <w:t>万元；事业收入</w:t>
      </w:r>
      <w:r>
        <w:rPr>
          <w:rFonts w:ascii="仿宋" w:eastAsia="仿宋"/>
          <w:color w:val="000000"/>
          <w:sz w:val="32"/>
          <w:szCs w:val="32"/>
        </w:rPr>
        <w:t>0</w:t>
      </w:r>
      <w:r>
        <w:rPr>
          <w:rFonts w:hint="eastAsia" w:ascii="仿宋" w:eastAsia="仿宋"/>
          <w:color w:val="000000"/>
          <w:sz w:val="32"/>
          <w:szCs w:val="32"/>
        </w:rPr>
        <w:t>万元；经营收入</w:t>
      </w:r>
      <w:r>
        <w:rPr>
          <w:rFonts w:ascii="仿宋" w:eastAsia="仿宋"/>
          <w:color w:val="000000"/>
          <w:sz w:val="32"/>
          <w:szCs w:val="32"/>
        </w:rPr>
        <w:t>0</w:t>
      </w:r>
      <w:r>
        <w:rPr>
          <w:rFonts w:hint="eastAsia" w:ascii="仿宋" w:eastAsia="仿宋"/>
          <w:color w:val="000000"/>
          <w:sz w:val="32"/>
          <w:szCs w:val="32"/>
        </w:rPr>
        <w:t>万元；附属单位上缴收入</w:t>
      </w:r>
      <w:r>
        <w:rPr>
          <w:rFonts w:ascii="仿宋" w:eastAsia="仿宋"/>
          <w:color w:val="000000"/>
          <w:sz w:val="32"/>
          <w:szCs w:val="32"/>
        </w:rPr>
        <w:t>0</w:t>
      </w:r>
      <w:r>
        <w:rPr>
          <w:rFonts w:hint="eastAsia" w:ascii="仿宋" w:eastAsia="仿宋"/>
          <w:color w:val="000000"/>
          <w:sz w:val="32"/>
          <w:szCs w:val="32"/>
        </w:rPr>
        <w:t>万元；其他收入</w:t>
      </w:r>
      <w:r>
        <w:rPr>
          <w:rFonts w:ascii="仿宋" w:eastAsia="仿宋"/>
          <w:color w:val="000000"/>
          <w:sz w:val="32"/>
          <w:szCs w:val="32"/>
        </w:rPr>
        <w:t>0</w:t>
      </w:r>
      <w:r>
        <w:rPr>
          <w:rFonts w:hint="eastAsia" w:ascii="仿宋" w:eastAsia="仿宋"/>
          <w:color w:val="000000"/>
          <w:sz w:val="32"/>
          <w:szCs w:val="32"/>
        </w:rPr>
        <w:t>万元。</w:t>
      </w:r>
    </w:p>
    <w:p>
      <w:pPr>
        <w:spacing w:line="576" w:lineRule="exact"/>
        <w:jc w:val="center"/>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2</w:t>
      </w:r>
      <w:r>
        <w:rPr>
          <w:rFonts w:hint="eastAsia" w:ascii="仿宋" w:eastAsia="仿宋"/>
          <w:color w:val="000000"/>
          <w:sz w:val="32"/>
          <w:szCs w:val="32"/>
        </w:rPr>
        <w:t>：收入决算结构图）</w:t>
      </w:r>
    </w:p>
    <w:p>
      <w:pPr>
        <w:spacing w:line="576" w:lineRule="exact"/>
        <w:jc w:val="center"/>
        <w:rPr>
          <w:rFonts w:ascii="仿宋" w:eastAsia="仿宋"/>
          <w:color w:val="000000"/>
          <w:sz w:val="32"/>
          <w:szCs w:val="32"/>
        </w:rPr>
      </w:pPr>
    </w:p>
    <w:p>
      <w:pPr>
        <w:spacing w:line="576" w:lineRule="exact"/>
        <w:jc w:val="center"/>
        <w:rPr>
          <w:rFonts w:ascii="仿宋" w:eastAsia="仿宋"/>
          <w:color w:val="000000"/>
          <w:sz w:val="32"/>
          <w:szCs w:val="32"/>
        </w:rPr>
      </w:pPr>
    </w:p>
    <w:p>
      <w:pPr>
        <w:spacing w:line="576" w:lineRule="exact"/>
        <w:jc w:val="center"/>
        <w:rPr>
          <w:rFonts w:ascii="仿宋" w:eastAsia="仿宋"/>
          <w:color w:val="000000"/>
          <w:sz w:val="32"/>
          <w:szCs w:val="32"/>
        </w:rPr>
      </w:pPr>
      <w:r>
        <w:drawing>
          <wp:anchor distT="0" distB="0" distL="114300" distR="114300" simplePos="0" relativeHeight="251660288" behindDoc="0" locked="0" layoutInCell="1" allowOverlap="1">
            <wp:simplePos x="0" y="0"/>
            <wp:positionH relativeFrom="column">
              <wp:posOffset>1167765</wp:posOffset>
            </wp:positionH>
            <wp:positionV relativeFrom="paragraph">
              <wp:posOffset>-339090</wp:posOffset>
            </wp:positionV>
            <wp:extent cx="2893060" cy="2061210"/>
            <wp:effectExtent l="0" t="0" r="2540" b="11430"/>
            <wp:wrapSquare wrapText="bothSides"/>
            <wp:docPr id="2"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true"/>
                    </pic:cNvPicPr>
                  </pic:nvPicPr>
                  <pic:blipFill>
                    <a:blip r:embed="rId7"/>
                    <a:stretch>
                      <a:fillRect/>
                    </a:stretch>
                  </pic:blipFill>
                  <pic:spPr>
                    <a:xfrm>
                      <a:off x="0" y="0"/>
                      <a:ext cx="2893060" cy="2061210"/>
                    </a:xfrm>
                    <a:prstGeom prst="rect">
                      <a:avLst/>
                    </a:prstGeom>
                    <a:noFill/>
                    <a:ln>
                      <a:noFill/>
                    </a:ln>
                  </pic:spPr>
                </pic:pic>
              </a:graphicData>
            </a:graphic>
          </wp:anchor>
        </w:drawing>
      </w:r>
    </w:p>
    <w:p>
      <w:pPr>
        <w:spacing w:line="576" w:lineRule="exact"/>
        <w:ind w:firstLine="640" w:firstLineChars="200"/>
        <w:rPr>
          <w:rFonts w:ascii="仿宋_GB2312" w:eastAsia="仿宋_GB2312"/>
          <w:color w:val="FF0000"/>
          <w:sz w:val="32"/>
          <w:szCs w:val="32"/>
        </w:rPr>
      </w:pPr>
    </w:p>
    <w:p>
      <w:pPr>
        <w:pStyle w:val="29"/>
        <w:spacing w:line="576" w:lineRule="exact"/>
        <w:ind w:left="630" w:firstLine="0" w:firstLineChars="0"/>
        <w:outlineLvl w:val="1"/>
        <w:rPr>
          <w:rStyle w:val="24"/>
          <w:rFonts w:ascii="黑体" w:eastAsia="黑体"/>
          <w:b w:val="0"/>
        </w:rPr>
      </w:pPr>
      <w:bookmarkStart w:id="43" w:name="_Toc79163612"/>
      <w:bookmarkStart w:id="44" w:name="_Toc15377207"/>
      <w:bookmarkStart w:id="45" w:name="_Toc15396605"/>
    </w:p>
    <w:p>
      <w:pPr>
        <w:pStyle w:val="29"/>
        <w:spacing w:line="576" w:lineRule="exact"/>
        <w:ind w:left="630" w:firstLine="0" w:firstLineChars="0"/>
        <w:outlineLvl w:val="1"/>
        <w:rPr>
          <w:rStyle w:val="24"/>
          <w:rFonts w:ascii="黑体" w:eastAsia="黑体"/>
          <w:b w:val="0"/>
        </w:rPr>
      </w:pPr>
    </w:p>
    <w:p>
      <w:pPr>
        <w:pStyle w:val="29"/>
        <w:spacing w:line="576" w:lineRule="exact"/>
        <w:ind w:left="630" w:firstLine="0" w:firstLineChars="0"/>
        <w:outlineLvl w:val="1"/>
        <w:rPr>
          <w:rStyle w:val="24"/>
          <w:rFonts w:ascii="黑体" w:eastAsia="黑体"/>
          <w:b w:val="0"/>
        </w:rPr>
      </w:pPr>
    </w:p>
    <w:p>
      <w:pPr>
        <w:pStyle w:val="29"/>
        <w:spacing w:line="576" w:lineRule="exact"/>
        <w:ind w:left="630" w:firstLine="0" w:firstLineChars="0"/>
        <w:outlineLvl w:val="1"/>
        <w:rPr>
          <w:rStyle w:val="24"/>
          <w:rFonts w:ascii="黑体" w:eastAsia="黑体"/>
          <w:b w:val="0"/>
        </w:rPr>
      </w:pPr>
      <w:bookmarkStart w:id="46" w:name="_Toc114822477"/>
      <w:r>
        <w:rPr>
          <w:rFonts w:hint="eastAsia" w:ascii="黑体" w:eastAsia="黑体"/>
          <w:color w:val="000000"/>
          <w:sz w:val="32"/>
          <w:szCs w:val="32"/>
        </w:rPr>
        <w:t>三、支</w:t>
      </w:r>
      <w:r>
        <w:rPr>
          <w:rStyle w:val="24"/>
          <w:rFonts w:hint="eastAsia" w:ascii="黑体" w:eastAsia="黑体"/>
          <w:b w:val="0"/>
        </w:rPr>
        <w:t>出决算情况说明</w:t>
      </w:r>
      <w:bookmarkEnd w:id="43"/>
      <w:bookmarkEnd w:id="44"/>
      <w:bookmarkEnd w:id="45"/>
      <w:bookmarkEnd w:id="46"/>
    </w:p>
    <w:p>
      <w:pPr>
        <w:spacing w:line="576" w:lineRule="exact"/>
        <w:ind w:firstLine="640" w:firstLineChars="200"/>
        <w:rPr>
          <w:rFonts w:ascii="仿宋" w:eastAsia="仿宋"/>
          <w:color w:val="000000"/>
          <w:sz w:val="32"/>
          <w:szCs w:val="32"/>
          <w:shd w:val="pct10" w:color="auto" w:fill="FFFFFF"/>
        </w:rPr>
      </w:pPr>
      <w:r>
        <w:rPr>
          <w:rFonts w:ascii="仿宋_GB2312" w:eastAsia="仿宋_GB2312"/>
          <w:sz w:val="32"/>
          <w:szCs w:val="32"/>
        </w:rPr>
        <w:t>2021</w:t>
      </w:r>
      <w:r>
        <w:rPr>
          <w:rFonts w:hint="eastAsia" w:ascii="仿宋_GB2312" w:eastAsia="仿宋_GB2312"/>
          <w:sz w:val="32"/>
          <w:szCs w:val="32"/>
        </w:rPr>
        <w:t>年本年支出合计</w:t>
      </w:r>
      <w:r>
        <w:rPr>
          <w:rFonts w:ascii="仿宋_GB2312" w:eastAsia="仿宋_GB2312"/>
          <w:sz w:val="32"/>
          <w:szCs w:val="32"/>
        </w:rPr>
        <w:t>56.89</w:t>
      </w:r>
      <w:r>
        <w:rPr>
          <w:rFonts w:hint="eastAsia" w:ascii="仿宋_GB2312" w:eastAsia="仿宋_GB2312"/>
          <w:sz w:val="32"/>
          <w:szCs w:val="32"/>
        </w:rPr>
        <w:t>万元，其中：基本支出</w:t>
      </w:r>
      <w:r>
        <w:rPr>
          <w:rFonts w:ascii="仿宋_GB2312" w:eastAsia="仿宋_GB2312"/>
          <w:sz w:val="32"/>
          <w:szCs w:val="32"/>
        </w:rPr>
        <w:t>56.89</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rPr>
        <w:t>，上缴上级支出</w:t>
      </w:r>
      <w:r>
        <w:rPr>
          <w:rFonts w:ascii="仿宋_GB2312" w:eastAsia="仿宋_GB2312"/>
          <w:sz w:val="32"/>
          <w:szCs w:val="32"/>
        </w:rPr>
        <w:t>0</w:t>
      </w:r>
      <w:r>
        <w:rPr>
          <w:rFonts w:hint="eastAsia" w:ascii="仿宋_GB2312" w:eastAsia="仿宋_GB2312"/>
          <w:sz w:val="32"/>
          <w:szCs w:val="32"/>
        </w:rPr>
        <w:t>万元；经营支出</w:t>
      </w:r>
      <w:r>
        <w:rPr>
          <w:rFonts w:ascii="仿宋_GB2312" w:eastAsia="仿宋_GB2312"/>
          <w:sz w:val="32"/>
          <w:szCs w:val="32"/>
        </w:rPr>
        <w:t>0</w:t>
      </w:r>
      <w:r>
        <w:rPr>
          <w:rFonts w:hint="eastAsia" w:ascii="仿宋_GB2312" w:eastAsia="仿宋_GB2312"/>
          <w:sz w:val="32"/>
          <w:szCs w:val="32"/>
        </w:rPr>
        <w:t>万元；对附属单位补助支出</w:t>
      </w:r>
      <w:r>
        <w:rPr>
          <w:rFonts w:ascii="仿宋_GB2312" w:eastAsia="仿宋_GB2312"/>
          <w:sz w:val="32"/>
          <w:szCs w:val="32"/>
        </w:rPr>
        <w:t>0</w:t>
      </w:r>
      <w:r>
        <w:rPr>
          <w:rFonts w:hint="eastAsia" w:ascii="仿宋_GB2312" w:eastAsia="仿宋_GB2312"/>
          <w:sz w:val="32"/>
          <w:szCs w:val="32"/>
        </w:rPr>
        <w:t>万元。</w:t>
      </w:r>
    </w:p>
    <w:p>
      <w:pPr>
        <w:spacing w:line="576" w:lineRule="exact"/>
        <w:ind w:firstLine="640" w:firstLineChars="200"/>
        <w:jc w:val="center"/>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3</w:t>
      </w:r>
      <w:r>
        <w:rPr>
          <w:rFonts w:hint="eastAsia" w:ascii="仿宋" w:eastAsia="仿宋"/>
          <w:color w:val="000000"/>
          <w:sz w:val="32"/>
          <w:szCs w:val="32"/>
        </w:rPr>
        <w:t>：支出决算结构图）</w:t>
      </w:r>
    </w:p>
    <w:p>
      <w:pPr>
        <w:spacing w:line="576" w:lineRule="exact"/>
        <w:ind w:firstLine="420" w:firstLineChars="200"/>
        <w:rPr>
          <w:rFonts w:ascii="仿宋" w:eastAsia="仿宋"/>
          <w:color w:val="000000"/>
          <w:sz w:val="32"/>
          <w:szCs w:val="32"/>
        </w:rPr>
      </w:pPr>
      <w:r>
        <w:drawing>
          <wp:anchor distT="0" distB="0" distL="114300" distR="114300" simplePos="0" relativeHeight="251661312" behindDoc="0" locked="0" layoutInCell="1" allowOverlap="1">
            <wp:simplePos x="0" y="0"/>
            <wp:positionH relativeFrom="column">
              <wp:posOffset>633095</wp:posOffset>
            </wp:positionH>
            <wp:positionV relativeFrom="paragraph">
              <wp:posOffset>116205</wp:posOffset>
            </wp:positionV>
            <wp:extent cx="4067810" cy="2707640"/>
            <wp:effectExtent l="0" t="0" r="1270" b="5080"/>
            <wp:wrapSquare wrapText="bothSides"/>
            <wp:docPr id="3"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true"/>
                    </pic:cNvPicPr>
                  </pic:nvPicPr>
                  <pic:blipFill>
                    <a:blip r:embed="rId8"/>
                    <a:stretch>
                      <a:fillRect/>
                    </a:stretch>
                  </pic:blipFill>
                  <pic:spPr>
                    <a:xfrm>
                      <a:off x="0" y="0"/>
                      <a:ext cx="4067810" cy="2707640"/>
                    </a:xfrm>
                    <a:prstGeom prst="rect">
                      <a:avLst/>
                    </a:prstGeom>
                    <a:noFill/>
                    <a:ln>
                      <a:noFill/>
                    </a:ln>
                  </pic:spPr>
                </pic:pic>
              </a:graphicData>
            </a:graphic>
          </wp:anchor>
        </w:drawing>
      </w:r>
    </w:p>
    <w:p>
      <w:pPr>
        <w:spacing w:line="576" w:lineRule="exact"/>
        <w:ind w:firstLine="640" w:firstLineChars="200"/>
        <w:rPr>
          <w:rFonts w:ascii="仿宋" w:eastAsia="仿宋"/>
          <w:color w:val="000000"/>
          <w:sz w:val="32"/>
          <w:szCs w:val="32"/>
        </w:rPr>
      </w:pPr>
    </w:p>
    <w:p>
      <w:pPr>
        <w:spacing w:line="576" w:lineRule="exact"/>
        <w:ind w:firstLine="640" w:firstLineChars="200"/>
        <w:rPr>
          <w:rFonts w:ascii="仿宋" w:eastAsia="仿宋"/>
          <w:color w:val="000000"/>
          <w:sz w:val="32"/>
          <w:szCs w:val="32"/>
        </w:rPr>
      </w:pPr>
    </w:p>
    <w:p>
      <w:pPr>
        <w:spacing w:line="576" w:lineRule="exact"/>
        <w:ind w:firstLine="640" w:firstLineChars="200"/>
        <w:rPr>
          <w:rFonts w:ascii="仿宋" w:eastAsia="仿宋"/>
          <w:color w:val="000000"/>
          <w:sz w:val="32"/>
          <w:szCs w:val="32"/>
        </w:rPr>
      </w:pPr>
    </w:p>
    <w:p>
      <w:pPr>
        <w:spacing w:line="576" w:lineRule="exact"/>
        <w:ind w:firstLine="640" w:firstLineChars="200"/>
        <w:rPr>
          <w:rFonts w:ascii="仿宋_GB2312" w:eastAsia="仿宋_GB2312"/>
          <w:color w:val="FF0000"/>
          <w:sz w:val="32"/>
          <w:szCs w:val="32"/>
        </w:rPr>
      </w:pPr>
    </w:p>
    <w:p>
      <w:pPr>
        <w:spacing w:line="576" w:lineRule="exact"/>
        <w:ind w:firstLine="640" w:firstLineChars="200"/>
        <w:outlineLvl w:val="1"/>
        <w:rPr>
          <w:rFonts w:ascii="黑体" w:eastAsia="黑体"/>
          <w:color w:val="000000"/>
          <w:sz w:val="32"/>
          <w:szCs w:val="32"/>
        </w:rPr>
      </w:pPr>
      <w:bookmarkStart w:id="47" w:name="_Toc79163613"/>
      <w:bookmarkStart w:id="48" w:name="_Toc15377208"/>
      <w:bookmarkStart w:id="49" w:name="_Toc15396606"/>
    </w:p>
    <w:p>
      <w:pPr>
        <w:spacing w:line="576" w:lineRule="exact"/>
        <w:ind w:firstLine="640" w:firstLineChars="200"/>
        <w:outlineLvl w:val="1"/>
        <w:rPr>
          <w:rFonts w:ascii="黑体" w:eastAsia="黑体"/>
          <w:color w:val="000000"/>
          <w:sz w:val="32"/>
          <w:szCs w:val="32"/>
        </w:rPr>
      </w:pPr>
    </w:p>
    <w:p>
      <w:pPr>
        <w:spacing w:line="576" w:lineRule="exact"/>
        <w:ind w:firstLine="640" w:firstLineChars="200"/>
        <w:outlineLvl w:val="1"/>
        <w:rPr>
          <w:rFonts w:ascii="黑体" w:eastAsia="黑体"/>
          <w:color w:val="000000"/>
          <w:sz w:val="32"/>
          <w:szCs w:val="32"/>
        </w:rPr>
      </w:pPr>
    </w:p>
    <w:p>
      <w:pPr>
        <w:spacing w:line="576" w:lineRule="exact"/>
        <w:ind w:firstLine="640" w:firstLineChars="200"/>
        <w:outlineLvl w:val="1"/>
        <w:rPr>
          <w:rStyle w:val="24"/>
          <w:rFonts w:ascii="黑体" w:eastAsia="黑体"/>
          <w:b w:val="0"/>
        </w:rPr>
      </w:pPr>
      <w:bookmarkStart w:id="50" w:name="_Toc114822478"/>
      <w:r>
        <w:rPr>
          <w:rFonts w:hint="eastAsia" w:ascii="黑体" w:eastAsia="黑体"/>
          <w:color w:val="000000"/>
          <w:sz w:val="32"/>
          <w:szCs w:val="32"/>
        </w:rPr>
        <w:t>四、财</w:t>
      </w:r>
      <w:r>
        <w:rPr>
          <w:rStyle w:val="24"/>
          <w:rFonts w:hint="eastAsia" w:ascii="黑体" w:eastAsia="黑体"/>
          <w:b w:val="0"/>
        </w:rPr>
        <w:t>政拨款收入支出决算总体情况说明</w:t>
      </w:r>
      <w:bookmarkEnd w:id="47"/>
      <w:bookmarkEnd w:id="48"/>
      <w:bookmarkEnd w:id="49"/>
      <w:bookmarkEnd w:id="50"/>
    </w:p>
    <w:p>
      <w:pPr>
        <w:spacing w:line="576"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年财政拨款收、支总</w:t>
      </w:r>
      <w:r>
        <w:rPr>
          <w:rFonts w:hint="eastAsia" w:ascii="仿宋" w:eastAsia="仿宋"/>
          <w:color w:val="000000"/>
          <w:sz w:val="32"/>
          <w:szCs w:val="32"/>
          <w:lang w:eastAsia="zh-CN"/>
        </w:rPr>
        <w:t>计</w:t>
      </w:r>
      <w:r>
        <w:rPr>
          <w:rFonts w:ascii="仿宋" w:eastAsia="仿宋"/>
          <w:color w:val="000000"/>
          <w:sz w:val="32"/>
          <w:szCs w:val="32"/>
        </w:rPr>
        <w:t>56.89</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年相比财政拨款收、支总计各减少</w:t>
      </w:r>
      <w:r>
        <w:rPr>
          <w:rFonts w:ascii="仿宋" w:eastAsia="仿宋"/>
          <w:color w:val="000000"/>
          <w:sz w:val="32"/>
          <w:szCs w:val="32"/>
        </w:rPr>
        <w:t>2.06</w:t>
      </w:r>
      <w:r>
        <w:rPr>
          <w:rFonts w:hint="eastAsia" w:ascii="仿宋" w:eastAsia="仿宋"/>
          <w:color w:val="000000"/>
          <w:sz w:val="32"/>
          <w:szCs w:val="32"/>
        </w:rPr>
        <w:t>万元，下降</w:t>
      </w:r>
      <w:r>
        <w:rPr>
          <w:rFonts w:ascii="仿宋" w:eastAsia="仿宋"/>
          <w:color w:val="000000"/>
          <w:sz w:val="32"/>
          <w:szCs w:val="32"/>
        </w:rPr>
        <w:t>3%</w:t>
      </w:r>
      <w:r>
        <w:rPr>
          <w:rFonts w:hint="eastAsia" w:ascii="仿宋" w:eastAsia="仿宋"/>
          <w:color w:val="000000"/>
          <w:sz w:val="32"/>
          <w:szCs w:val="32"/>
        </w:rPr>
        <w:t>。主要变动原因是年初结转和结余减少。</w:t>
      </w:r>
    </w:p>
    <w:p>
      <w:pPr>
        <w:spacing w:line="576" w:lineRule="exact"/>
        <w:ind w:firstLine="640" w:firstLineChars="2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4</w:t>
      </w:r>
      <w:r>
        <w:rPr>
          <w:rFonts w:hint="eastAsia" w:ascii="仿宋" w:eastAsia="仿宋"/>
          <w:color w:val="000000"/>
          <w:sz w:val="32"/>
          <w:szCs w:val="32"/>
        </w:rPr>
        <w:t>：财政拨款收、支决算总计变动情况）</w:t>
      </w:r>
    </w:p>
    <w:p>
      <w:pPr>
        <w:spacing w:line="576" w:lineRule="exact"/>
        <w:ind w:firstLine="420" w:firstLineChars="200"/>
        <w:rPr>
          <w:rFonts w:ascii="仿宋" w:eastAsia="仿宋"/>
          <w:color w:val="000000"/>
          <w:sz w:val="32"/>
          <w:szCs w:val="32"/>
        </w:rPr>
      </w:pPr>
      <w:r>
        <w:drawing>
          <wp:anchor distT="0" distB="0" distL="114300" distR="114300" simplePos="0" relativeHeight="251662336" behindDoc="0" locked="0" layoutInCell="1" allowOverlap="1">
            <wp:simplePos x="0" y="0"/>
            <wp:positionH relativeFrom="column">
              <wp:posOffset>936625</wp:posOffset>
            </wp:positionH>
            <wp:positionV relativeFrom="paragraph">
              <wp:posOffset>635</wp:posOffset>
            </wp:positionV>
            <wp:extent cx="2987040" cy="2018030"/>
            <wp:effectExtent l="0" t="0" r="0" b="8890"/>
            <wp:wrapSquare wrapText="bothSides"/>
            <wp:docPr id="4"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true"/>
                    </pic:cNvPicPr>
                  </pic:nvPicPr>
                  <pic:blipFill>
                    <a:blip r:embed="rId9"/>
                    <a:stretch>
                      <a:fillRect/>
                    </a:stretch>
                  </pic:blipFill>
                  <pic:spPr>
                    <a:xfrm>
                      <a:off x="0" y="0"/>
                      <a:ext cx="2987040" cy="2018030"/>
                    </a:xfrm>
                    <a:prstGeom prst="rect">
                      <a:avLst/>
                    </a:prstGeom>
                    <a:noFill/>
                    <a:ln>
                      <a:noFill/>
                    </a:ln>
                  </pic:spPr>
                </pic:pic>
              </a:graphicData>
            </a:graphic>
          </wp:anchor>
        </w:drawing>
      </w:r>
    </w:p>
    <w:p>
      <w:pPr>
        <w:spacing w:line="576" w:lineRule="exact"/>
        <w:ind w:firstLine="640" w:firstLineChars="200"/>
        <w:rPr>
          <w:rFonts w:ascii="仿宋" w:eastAsia="仿宋"/>
          <w:color w:val="000000"/>
          <w:sz w:val="32"/>
          <w:szCs w:val="32"/>
        </w:rPr>
      </w:pPr>
    </w:p>
    <w:p>
      <w:pPr>
        <w:spacing w:line="576" w:lineRule="exact"/>
        <w:ind w:firstLine="640"/>
        <w:rPr>
          <w:rFonts w:ascii="仿宋" w:eastAsia="仿宋"/>
          <w:b/>
          <w:color w:val="00B050"/>
          <w:sz w:val="32"/>
          <w:szCs w:val="32"/>
        </w:rPr>
      </w:pPr>
    </w:p>
    <w:p>
      <w:pPr>
        <w:spacing w:line="576" w:lineRule="exact"/>
        <w:ind w:firstLine="640" w:firstLineChars="200"/>
        <w:outlineLvl w:val="1"/>
        <w:rPr>
          <w:rFonts w:ascii="黑体" w:eastAsia="黑体"/>
          <w:color w:val="000000"/>
          <w:sz w:val="32"/>
          <w:szCs w:val="32"/>
        </w:rPr>
      </w:pPr>
      <w:bookmarkStart w:id="51" w:name="_Toc79163614"/>
      <w:bookmarkStart w:id="52" w:name="_Toc15377209"/>
      <w:bookmarkStart w:id="53" w:name="_Toc15396607"/>
    </w:p>
    <w:p>
      <w:pPr>
        <w:spacing w:line="576" w:lineRule="exact"/>
        <w:ind w:firstLine="640" w:firstLineChars="200"/>
        <w:outlineLvl w:val="1"/>
        <w:rPr>
          <w:rFonts w:ascii="黑体" w:eastAsia="黑体"/>
          <w:color w:val="000000"/>
          <w:sz w:val="32"/>
          <w:szCs w:val="32"/>
        </w:rPr>
      </w:pPr>
    </w:p>
    <w:p>
      <w:pPr>
        <w:spacing w:line="576" w:lineRule="exact"/>
        <w:ind w:firstLine="640" w:firstLineChars="200"/>
        <w:outlineLvl w:val="1"/>
        <w:rPr>
          <w:rFonts w:ascii="黑体" w:eastAsia="黑体"/>
          <w:color w:val="000000"/>
          <w:sz w:val="32"/>
          <w:szCs w:val="32"/>
        </w:rPr>
      </w:pPr>
    </w:p>
    <w:p>
      <w:pPr>
        <w:spacing w:line="576" w:lineRule="exact"/>
        <w:ind w:firstLine="640" w:firstLineChars="200"/>
        <w:outlineLvl w:val="1"/>
        <w:rPr>
          <w:rStyle w:val="24"/>
          <w:rFonts w:ascii="黑体" w:eastAsia="黑体"/>
          <w:b w:val="0"/>
        </w:rPr>
      </w:pPr>
      <w:bookmarkStart w:id="54" w:name="_Toc114822479"/>
      <w:r>
        <w:rPr>
          <w:rFonts w:hint="eastAsia" w:ascii="黑体" w:eastAsia="黑体"/>
          <w:color w:val="000000"/>
          <w:sz w:val="32"/>
          <w:szCs w:val="32"/>
        </w:rPr>
        <w:t>五、</w:t>
      </w:r>
      <w:r>
        <w:rPr>
          <w:rFonts w:hint="eastAsia" w:ascii="黑体" w:eastAsia="黑体"/>
          <w:b/>
          <w:color w:val="000000"/>
          <w:sz w:val="32"/>
          <w:szCs w:val="32"/>
        </w:rPr>
        <w:t>一</w:t>
      </w:r>
      <w:r>
        <w:rPr>
          <w:rStyle w:val="24"/>
          <w:rFonts w:hint="eastAsia" w:ascii="黑体" w:eastAsia="黑体"/>
          <w:b w:val="0"/>
        </w:rPr>
        <w:t>般公共预算财政拨款支出决算情况说明</w:t>
      </w:r>
      <w:bookmarkEnd w:id="51"/>
      <w:bookmarkEnd w:id="52"/>
      <w:bookmarkEnd w:id="53"/>
      <w:bookmarkEnd w:id="54"/>
    </w:p>
    <w:p>
      <w:pPr>
        <w:spacing w:line="576" w:lineRule="exact"/>
        <w:ind w:firstLine="642" w:firstLineChars="200"/>
        <w:outlineLvl w:val="2"/>
        <w:rPr>
          <w:rFonts w:ascii="仿宋" w:eastAsia="仿宋"/>
          <w:b/>
          <w:color w:val="000000"/>
          <w:sz w:val="32"/>
          <w:szCs w:val="32"/>
        </w:rPr>
      </w:pPr>
      <w:bookmarkStart w:id="55" w:name="_Toc15377210"/>
      <w:bookmarkStart w:id="56" w:name="_Toc79163615"/>
      <w:bookmarkStart w:id="57" w:name="_Toc114822480"/>
      <w:r>
        <w:rPr>
          <w:rFonts w:hint="eastAsia" w:ascii="仿宋" w:eastAsia="仿宋"/>
          <w:b/>
          <w:color w:val="000000"/>
          <w:sz w:val="32"/>
          <w:szCs w:val="32"/>
        </w:rPr>
        <w:t>（一）一般公共预算财政拨款支出决算总体情况</w:t>
      </w:r>
      <w:bookmarkEnd w:id="55"/>
      <w:bookmarkEnd w:id="56"/>
      <w:bookmarkEnd w:id="57"/>
    </w:p>
    <w:p>
      <w:pPr>
        <w:spacing w:line="576" w:lineRule="exact"/>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ascii="仿宋" w:eastAsia="仿宋"/>
          <w:color w:val="000000"/>
          <w:sz w:val="32"/>
          <w:szCs w:val="32"/>
        </w:rPr>
        <w:t>56.89</w:t>
      </w:r>
      <w:r>
        <w:rPr>
          <w:rFonts w:hint="eastAsia" w:ascii="仿宋" w:eastAsia="仿宋"/>
          <w:color w:val="000000"/>
          <w:sz w:val="32"/>
          <w:szCs w:val="32"/>
        </w:rPr>
        <w:t>万元，占本年支出合计的</w:t>
      </w:r>
      <w:r>
        <w:rPr>
          <w:rFonts w:ascii="仿宋" w:eastAsia="仿宋"/>
          <w:color w:val="000000"/>
          <w:sz w:val="32"/>
          <w:szCs w:val="32"/>
        </w:rPr>
        <w:t>100%</w:t>
      </w:r>
      <w:r>
        <w:rPr>
          <w:rFonts w:hint="eastAsia" w:ascii="仿宋" w:eastAsia="仿宋"/>
          <w:color w:val="000000"/>
          <w:sz w:val="32"/>
          <w:szCs w:val="32"/>
        </w:rPr>
        <w:t>。与</w:t>
      </w:r>
      <w:r>
        <w:rPr>
          <w:rFonts w:ascii="仿宋" w:eastAsia="仿宋"/>
          <w:color w:val="000000"/>
          <w:sz w:val="32"/>
          <w:szCs w:val="32"/>
        </w:rPr>
        <w:t>2020</w:t>
      </w:r>
      <w:r>
        <w:rPr>
          <w:rFonts w:hint="eastAsia" w:ascii="仿宋" w:eastAsia="仿宋"/>
          <w:color w:val="000000"/>
          <w:sz w:val="32"/>
          <w:szCs w:val="32"/>
        </w:rPr>
        <w:t>年相比，一般公共预算财政拨款减少</w:t>
      </w:r>
      <w:r>
        <w:rPr>
          <w:rFonts w:ascii="仿宋" w:eastAsia="仿宋"/>
          <w:color w:val="000000"/>
          <w:sz w:val="32"/>
          <w:szCs w:val="32"/>
        </w:rPr>
        <w:t>2.06</w:t>
      </w:r>
      <w:r>
        <w:rPr>
          <w:rFonts w:hint="eastAsia" w:ascii="仿宋" w:eastAsia="仿宋"/>
          <w:color w:val="000000"/>
          <w:sz w:val="32"/>
          <w:szCs w:val="32"/>
        </w:rPr>
        <w:t>万元，下降</w:t>
      </w:r>
      <w:r>
        <w:rPr>
          <w:rFonts w:ascii="仿宋" w:eastAsia="仿宋"/>
          <w:color w:val="000000"/>
          <w:sz w:val="32"/>
          <w:szCs w:val="32"/>
        </w:rPr>
        <w:t>3%</w:t>
      </w:r>
      <w:r>
        <w:rPr>
          <w:rFonts w:hint="eastAsia" w:ascii="仿宋" w:eastAsia="仿宋"/>
          <w:color w:val="000000"/>
          <w:sz w:val="32"/>
          <w:szCs w:val="32"/>
        </w:rPr>
        <w:t>。主要变动原因是人员经费增加。</w:t>
      </w:r>
    </w:p>
    <w:p>
      <w:pPr>
        <w:spacing w:line="576" w:lineRule="exact"/>
        <w:ind w:firstLine="320" w:firstLineChars="1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5</w:t>
      </w:r>
      <w:r>
        <w:rPr>
          <w:rFonts w:hint="eastAsia" w:ascii="仿宋" w:eastAsia="仿宋"/>
          <w:color w:val="000000"/>
          <w:sz w:val="32"/>
          <w:szCs w:val="32"/>
        </w:rPr>
        <w:t>：一般公共预算财政拨款支出决算变动情况）</w:t>
      </w:r>
    </w:p>
    <w:p>
      <w:pPr>
        <w:spacing w:line="576" w:lineRule="exact"/>
        <w:ind w:firstLine="210" w:firstLineChars="100"/>
        <w:rPr>
          <w:rFonts w:ascii="仿宋" w:eastAsia="仿宋"/>
          <w:color w:val="000000"/>
          <w:sz w:val="32"/>
          <w:szCs w:val="32"/>
        </w:rPr>
      </w:pPr>
      <w:r>
        <w:drawing>
          <wp:anchor distT="0" distB="0" distL="114300" distR="114300" simplePos="0" relativeHeight="251663360" behindDoc="0" locked="0" layoutInCell="1" allowOverlap="1">
            <wp:simplePos x="0" y="0"/>
            <wp:positionH relativeFrom="column">
              <wp:posOffset>810260</wp:posOffset>
            </wp:positionH>
            <wp:positionV relativeFrom="paragraph">
              <wp:posOffset>165100</wp:posOffset>
            </wp:positionV>
            <wp:extent cx="3481070" cy="2325370"/>
            <wp:effectExtent l="0" t="0" r="8890" b="6350"/>
            <wp:wrapSquare wrapText="bothSides"/>
            <wp:docPr id="5"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true"/>
                    </pic:cNvPicPr>
                  </pic:nvPicPr>
                  <pic:blipFill>
                    <a:blip r:embed="rId10"/>
                    <a:stretch>
                      <a:fillRect/>
                    </a:stretch>
                  </pic:blipFill>
                  <pic:spPr>
                    <a:xfrm>
                      <a:off x="0" y="0"/>
                      <a:ext cx="3481070" cy="2325370"/>
                    </a:xfrm>
                    <a:prstGeom prst="rect">
                      <a:avLst/>
                    </a:prstGeom>
                    <a:noFill/>
                    <a:ln>
                      <a:noFill/>
                    </a:ln>
                  </pic:spPr>
                </pic:pic>
              </a:graphicData>
            </a:graphic>
          </wp:anchor>
        </w:drawing>
      </w:r>
    </w:p>
    <w:p>
      <w:pPr>
        <w:spacing w:line="576" w:lineRule="exact"/>
        <w:ind w:firstLine="320" w:firstLineChars="100"/>
        <w:rPr>
          <w:rFonts w:ascii="仿宋" w:eastAsia="仿宋"/>
          <w:color w:val="000000"/>
          <w:sz w:val="32"/>
          <w:szCs w:val="32"/>
        </w:rPr>
      </w:pPr>
      <w:r>
        <w:rPr>
          <w:rFonts w:hint="eastAsia" w:ascii="仿宋" w:eastAsia="仿宋"/>
          <w:color w:val="000000"/>
          <w:sz w:val="32"/>
          <w:szCs w:val="32"/>
        </w:rPr>
        <w:t xml:space="preserve"> </w:t>
      </w:r>
    </w:p>
    <w:p>
      <w:pPr>
        <w:spacing w:line="576" w:lineRule="exact"/>
        <w:ind w:firstLine="320" w:firstLineChars="100"/>
        <w:rPr>
          <w:rFonts w:ascii="仿宋" w:eastAsia="仿宋"/>
          <w:color w:val="000000"/>
          <w:sz w:val="32"/>
          <w:szCs w:val="32"/>
        </w:rPr>
      </w:pPr>
    </w:p>
    <w:p>
      <w:pPr>
        <w:spacing w:line="576" w:lineRule="exact"/>
        <w:ind w:firstLine="320" w:firstLineChars="100"/>
        <w:rPr>
          <w:rFonts w:ascii="仿宋" w:eastAsia="仿宋"/>
          <w:color w:val="000000"/>
          <w:sz w:val="32"/>
          <w:szCs w:val="32"/>
        </w:rPr>
      </w:pPr>
    </w:p>
    <w:p>
      <w:pPr>
        <w:spacing w:line="576" w:lineRule="exact"/>
        <w:ind w:firstLine="642" w:firstLineChars="200"/>
        <w:outlineLvl w:val="2"/>
        <w:rPr>
          <w:rFonts w:ascii="仿宋" w:eastAsia="仿宋"/>
          <w:b/>
          <w:color w:val="000000"/>
          <w:sz w:val="32"/>
          <w:szCs w:val="32"/>
        </w:rPr>
      </w:pPr>
      <w:bookmarkStart w:id="58" w:name="_Toc15377211"/>
      <w:bookmarkStart w:id="59" w:name="_Toc79163866"/>
      <w:bookmarkStart w:id="60" w:name="_Toc79163616"/>
    </w:p>
    <w:p>
      <w:pPr>
        <w:spacing w:line="576" w:lineRule="exact"/>
        <w:ind w:firstLine="642" w:firstLineChars="200"/>
        <w:outlineLvl w:val="2"/>
        <w:rPr>
          <w:rFonts w:ascii="仿宋" w:eastAsia="仿宋"/>
          <w:b/>
          <w:color w:val="000000"/>
          <w:sz w:val="32"/>
          <w:szCs w:val="32"/>
        </w:rPr>
      </w:pPr>
    </w:p>
    <w:p>
      <w:pPr>
        <w:spacing w:line="576" w:lineRule="exact"/>
        <w:ind w:firstLine="642" w:firstLineChars="200"/>
        <w:outlineLvl w:val="2"/>
        <w:rPr>
          <w:rFonts w:ascii="仿宋" w:eastAsia="仿宋"/>
          <w:b/>
          <w:color w:val="000000"/>
          <w:sz w:val="32"/>
          <w:szCs w:val="32"/>
        </w:rPr>
      </w:pPr>
    </w:p>
    <w:p>
      <w:pPr>
        <w:spacing w:line="576" w:lineRule="exact"/>
        <w:ind w:firstLine="642" w:firstLineChars="200"/>
        <w:outlineLvl w:val="2"/>
        <w:rPr>
          <w:rFonts w:ascii="仿宋" w:eastAsia="仿宋"/>
          <w:b/>
          <w:color w:val="000000"/>
          <w:sz w:val="32"/>
          <w:szCs w:val="32"/>
        </w:rPr>
      </w:pPr>
      <w:bookmarkStart w:id="61" w:name="_Toc114822481"/>
      <w:r>
        <w:rPr>
          <w:rFonts w:hint="eastAsia" w:ascii="仿宋" w:eastAsia="仿宋"/>
          <w:b/>
          <w:color w:val="000000"/>
          <w:sz w:val="32"/>
          <w:szCs w:val="32"/>
        </w:rPr>
        <w:t>（二）一般公共预算财政拨款支出决算结构情况</w:t>
      </w:r>
      <w:bookmarkEnd w:id="58"/>
      <w:bookmarkEnd w:id="59"/>
      <w:bookmarkEnd w:id="60"/>
      <w:bookmarkEnd w:id="61"/>
    </w:p>
    <w:p>
      <w:pPr>
        <w:spacing w:line="576" w:lineRule="exact"/>
        <w:ind w:firstLine="640"/>
        <w:rPr>
          <w:rFonts w:ascii="仿宋" w:eastAsia="仿宋"/>
          <w:b/>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ascii="仿宋" w:eastAsia="仿宋"/>
          <w:color w:val="000000"/>
          <w:sz w:val="32"/>
          <w:szCs w:val="32"/>
        </w:rPr>
        <w:t>56.89</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社会保障和就业</w:t>
      </w:r>
      <w:r>
        <w:rPr>
          <w:rFonts w:hint="eastAsia" w:ascii="仿宋" w:eastAsia="仿宋"/>
          <w:color w:val="000000"/>
          <w:sz w:val="32"/>
          <w:szCs w:val="32"/>
        </w:rPr>
        <w:t>支出</w:t>
      </w:r>
      <w:r>
        <w:rPr>
          <w:rFonts w:ascii="仿宋" w:eastAsia="仿宋"/>
          <w:color w:val="000000"/>
          <w:sz w:val="32"/>
          <w:szCs w:val="32"/>
        </w:rPr>
        <w:t>49.37</w:t>
      </w:r>
      <w:r>
        <w:rPr>
          <w:rFonts w:hint="eastAsia" w:ascii="仿宋" w:eastAsia="仿宋"/>
          <w:color w:val="000000"/>
          <w:sz w:val="32"/>
          <w:szCs w:val="32"/>
        </w:rPr>
        <w:t>万元，占</w:t>
      </w:r>
      <w:r>
        <w:rPr>
          <w:rFonts w:ascii="仿宋" w:eastAsia="仿宋"/>
          <w:color w:val="000000"/>
          <w:sz w:val="32"/>
          <w:szCs w:val="32"/>
        </w:rPr>
        <w:t>87%</w:t>
      </w:r>
      <w:r>
        <w:rPr>
          <w:rFonts w:hint="eastAsia" w:ascii="仿宋" w:eastAsia="仿宋"/>
          <w:color w:val="000000"/>
          <w:sz w:val="32"/>
          <w:szCs w:val="32"/>
        </w:rPr>
        <w:t>；</w:t>
      </w:r>
      <w:r>
        <w:rPr>
          <w:rFonts w:hint="eastAsia" w:ascii="仿宋" w:eastAsia="仿宋"/>
          <w:b/>
          <w:bCs/>
          <w:color w:val="000000"/>
          <w:sz w:val="32"/>
          <w:szCs w:val="32"/>
        </w:rPr>
        <w:t>卫生健康支出</w:t>
      </w:r>
      <w:r>
        <w:rPr>
          <w:rFonts w:ascii="仿宋" w:eastAsia="仿宋"/>
          <w:color w:val="000000"/>
          <w:sz w:val="32"/>
          <w:szCs w:val="32"/>
        </w:rPr>
        <w:t>2.95</w:t>
      </w:r>
      <w:r>
        <w:rPr>
          <w:rFonts w:hint="eastAsia" w:ascii="仿宋" w:eastAsia="仿宋"/>
          <w:color w:val="000000"/>
          <w:sz w:val="32"/>
          <w:szCs w:val="32"/>
        </w:rPr>
        <w:t>万元，占</w:t>
      </w:r>
      <w:r>
        <w:rPr>
          <w:rFonts w:ascii="仿宋" w:eastAsia="仿宋"/>
          <w:color w:val="000000"/>
          <w:sz w:val="32"/>
          <w:szCs w:val="32"/>
        </w:rPr>
        <w:t>5%</w:t>
      </w:r>
      <w:r>
        <w:rPr>
          <w:rFonts w:hint="eastAsia" w:ascii="仿宋" w:eastAsia="仿宋"/>
          <w:color w:val="000000"/>
          <w:sz w:val="32"/>
          <w:szCs w:val="32"/>
        </w:rPr>
        <w:t>；住房保障支出</w:t>
      </w:r>
      <w:r>
        <w:rPr>
          <w:rFonts w:ascii="仿宋" w:eastAsia="仿宋"/>
          <w:color w:val="000000"/>
          <w:sz w:val="32"/>
          <w:szCs w:val="32"/>
        </w:rPr>
        <w:t>4.57</w:t>
      </w:r>
      <w:r>
        <w:rPr>
          <w:rFonts w:hint="eastAsia" w:ascii="仿宋" w:eastAsia="仿宋"/>
          <w:color w:val="000000"/>
          <w:sz w:val="32"/>
          <w:szCs w:val="32"/>
        </w:rPr>
        <w:t>万元，占</w:t>
      </w:r>
      <w:r>
        <w:rPr>
          <w:rFonts w:ascii="仿宋" w:eastAsia="仿宋"/>
          <w:color w:val="000000"/>
          <w:sz w:val="32"/>
          <w:szCs w:val="32"/>
        </w:rPr>
        <w:t>8%</w:t>
      </w:r>
      <w:r>
        <w:rPr>
          <w:rFonts w:hint="eastAsia" w:ascii="仿宋" w:eastAsia="仿宋"/>
          <w:color w:val="000000"/>
          <w:sz w:val="32"/>
          <w:szCs w:val="32"/>
        </w:rPr>
        <w:t>。</w:t>
      </w:r>
    </w:p>
    <w:p>
      <w:pPr>
        <w:spacing w:line="576" w:lineRule="exact"/>
        <w:ind w:firstLine="320" w:firstLineChars="1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6</w:t>
      </w:r>
      <w:r>
        <w:rPr>
          <w:rFonts w:hint="eastAsia" w:ascii="仿宋" w:eastAsia="仿宋"/>
          <w:color w:val="000000"/>
          <w:sz w:val="32"/>
          <w:szCs w:val="32"/>
        </w:rPr>
        <w:t>：一般公共预算财政拨款支出决算结构）（饼状图）</w:t>
      </w:r>
    </w:p>
    <w:p>
      <w:pPr>
        <w:spacing w:line="576" w:lineRule="exact"/>
        <w:ind w:firstLine="210" w:firstLineChars="100"/>
        <w:rPr>
          <w:rFonts w:ascii="仿宋" w:eastAsia="仿宋"/>
          <w:color w:val="000000"/>
          <w:sz w:val="32"/>
          <w:szCs w:val="32"/>
        </w:rPr>
      </w:pPr>
      <w:r>
        <w:drawing>
          <wp:anchor distT="0" distB="0" distL="114300" distR="114300" simplePos="0" relativeHeight="251664384" behindDoc="0" locked="0" layoutInCell="1" allowOverlap="1">
            <wp:simplePos x="0" y="0"/>
            <wp:positionH relativeFrom="column">
              <wp:posOffset>1023620</wp:posOffset>
            </wp:positionH>
            <wp:positionV relativeFrom="paragraph">
              <wp:posOffset>100330</wp:posOffset>
            </wp:positionV>
            <wp:extent cx="3257550" cy="2191385"/>
            <wp:effectExtent l="0" t="0" r="3810" b="3175"/>
            <wp:wrapSquare wrapText="bothSides"/>
            <wp:docPr id="6" name="图片 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true"/>
                    </pic:cNvPicPr>
                  </pic:nvPicPr>
                  <pic:blipFill>
                    <a:blip r:embed="rId11"/>
                    <a:stretch>
                      <a:fillRect/>
                    </a:stretch>
                  </pic:blipFill>
                  <pic:spPr>
                    <a:xfrm>
                      <a:off x="0" y="0"/>
                      <a:ext cx="3257550" cy="2191385"/>
                    </a:xfrm>
                    <a:prstGeom prst="rect">
                      <a:avLst/>
                    </a:prstGeom>
                    <a:noFill/>
                    <a:ln>
                      <a:noFill/>
                    </a:ln>
                  </pic:spPr>
                </pic:pic>
              </a:graphicData>
            </a:graphic>
          </wp:anchor>
        </w:drawing>
      </w:r>
    </w:p>
    <w:p>
      <w:pPr>
        <w:spacing w:line="576" w:lineRule="exact"/>
        <w:ind w:firstLine="320" w:firstLineChars="100"/>
        <w:rPr>
          <w:rFonts w:ascii="仿宋" w:eastAsia="仿宋"/>
          <w:color w:val="000000"/>
          <w:sz w:val="32"/>
          <w:szCs w:val="32"/>
        </w:rPr>
      </w:pPr>
    </w:p>
    <w:p>
      <w:pPr>
        <w:spacing w:line="576" w:lineRule="exact"/>
        <w:ind w:firstLine="320" w:firstLineChars="100"/>
        <w:rPr>
          <w:rFonts w:ascii="仿宋" w:eastAsia="仿宋"/>
          <w:color w:val="000000"/>
          <w:sz w:val="32"/>
          <w:szCs w:val="32"/>
        </w:rPr>
      </w:pPr>
    </w:p>
    <w:p>
      <w:pPr>
        <w:spacing w:line="576" w:lineRule="exact"/>
        <w:outlineLvl w:val="2"/>
        <w:rPr>
          <w:rFonts w:ascii="仿宋" w:eastAsia="仿宋"/>
          <w:b/>
          <w:color w:val="000000"/>
          <w:sz w:val="32"/>
          <w:szCs w:val="32"/>
        </w:rPr>
      </w:pPr>
      <w:bookmarkStart w:id="62" w:name="_Toc15377212"/>
      <w:bookmarkStart w:id="63" w:name="_Toc79163617"/>
    </w:p>
    <w:p>
      <w:pPr>
        <w:spacing w:line="576" w:lineRule="exact"/>
        <w:ind w:firstLine="321" w:firstLineChars="100"/>
        <w:outlineLvl w:val="2"/>
        <w:rPr>
          <w:rFonts w:ascii="仿宋" w:eastAsia="仿宋"/>
          <w:b/>
          <w:color w:val="000000"/>
          <w:sz w:val="32"/>
          <w:szCs w:val="32"/>
        </w:rPr>
      </w:pPr>
    </w:p>
    <w:p>
      <w:pPr>
        <w:spacing w:line="576" w:lineRule="exact"/>
        <w:ind w:firstLine="321" w:firstLineChars="100"/>
        <w:outlineLvl w:val="2"/>
        <w:rPr>
          <w:rFonts w:ascii="仿宋" w:eastAsia="仿宋"/>
          <w:b/>
          <w:color w:val="000000"/>
          <w:sz w:val="32"/>
          <w:szCs w:val="32"/>
        </w:rPr>
      </w:pPr>
    </w:p>
    <w:p>
      <w:pPr>
        <w:spacing w:line="576" w:lineRule="exact"/>
        <w:ind w:firstLine="321" w:firstLineChars="100"/>
        <w:outlineLvl w:val="2"/>
        <w:rPr>
          <w:rFonts w:ascii="仿宋" w:eastAsia="仿宋"/>
          <w:b/>
          <w:color w:val="000000"/>
          <w:sz w:val="32"/>
          <w:szCs w:val="32"/>
        </w:rPr>
      </w:pPr>
    </w:p>
    <w:p>
      <w:pPr>
        <w:spacing w:line="576" w:lineRule="exact"/>
        <w:ind w:firstLine="321" w:firstLineChars="100"/>
        <w:outlineLvl w:val="2"/>
        <w:rPr>
          <w:rFonts w:ascii="仿宋" w:eastAsia="仿宋"/>
          <w:b/>
          <w:color w:val="000000"/>
          <w:sz w:val="32"/>
          <w:szCs w:val="32"/>
        </w:rPr>
      </w:pPr>
      <w:bookmarkStart w:id="64" w:name="_Toc114822482"/>
      <w:r>
        <w:rPr>
          <w:rFonts w:hint="eastAsia" w:ascii="仿宋" w:eastAsia="仿宋"/>
          <w:b/>
          <w:color w:val="000000"/>
          <w:sz w:val="32"/>
          <w:szCs w:val="32"/>
        </w:rPr>
        <w:t>（三）一般公共预算财政拨款支出决算具体情况</w:t>
      </w:r>
      <w:bookmarkEnd w:id="62"/>
      <w:bookmarkEnd w:id="63"/>
      <w:bookmarkEnd w:id="64"/>
    </w:p>
    <w:p>
      <w:pPr>
        <w:spacing w:line="576" w:lineRule="exact"/>
        <w:ind w:firstLine="640" w:firstLineChars="200"/>
        <w:rPr>
          <w:rFonts w:ascii="仿宋_GB2312" w:eastAsia="仿宋_GB2312"/>
          <w:b/>
          <w:bCs/>
          <w:sz w:val="32"/>
          <w:szCs w:val="32"/>
        </w:rPr>
      </w:pPr>
      <w:bookmarkStart w:id="65" w:name="_Toc15378460"/>
      <w:bookmarkStart w:id="66" w:name="_Toc15377444"/>
      <w:bookmarkStart w:id="67" w:name="_Toc15377213"/>
      <w:r>
        <w:rPr>
          <w:rFonts w:ascii="仿宋_GB2312" w:eastAsia="仿宋_GB2312"/>
          <w:sz w:val="32"/>
          <w:szCs w:val="32"/>
        </w:rPr>
        <w:t>2021</w:t>
      </w:r>
      <w:r>
        <w:rPr>
          <w:rFonts w:hint="eastAsia" w:ascii="仿宋_GB2312" w:eastAsia="仿宋_GB2312"/>
          <w:sz w:val="32"/>
          <w:szCs w:val="32"/>
        </w:rPr>
        <w:t>年一般公共预算支出决算数为</w:t>
      </w:r>
      <w:r>
        <w:rPr>
          <w:rFonts w:ascii="仿宋_GB2312" w:eastAsia="仿宋_GB2312"/>
          <w:sz w:val="32"/>
          <w:szCs w:val="32"/>
        </w:rPr>
        <w:t>56.89</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。其中：</w:t>
      </w:r>
      <w:bookmarkEnd w:id="65"/>
      <w:bookmarkEnd w:id="66"/>
      <w:bookmarkEnd w:id="67"/>
    </w:p>
    <w:p>
      <w:pPr>
        <w:spacing w:line="576"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）机关事业单位基本养老保险缴费支出（</w:t>
      </w:r>
      <w:r>
        <w:rPr>
          <w:rFonts w:ascii="仿宋_GB2312" w:eastAsia="仿宋_GB2312"/>
          <w:sz w:val="32"/>
          <w:szCs w:val="32"/>
        </w:rPr>
        <w:t>05</w:t>
      </w:r>
      <w:r>
        <w:rPr>
          <w:rFonts w:hint="eastAsia" w:ascii="仿宋_GB2312" w:eastAsia="仿宋_GB2312"/>
          <w:sz w:val="32"/>
          <w:szCs w:val="32"/>
        </w:rPr>
        <w:t>）</w:t>
      </w:r>
      <w:bookmarkStart w:id="68" w:name="_Hlk51311839"/>
      <w:r>
        <w:rPr>
          <w:rFonts w:hint="eastAsia" w:ascii="仿宋_GB2312" w:eastAsia="仿宋_GB2312"/>
          <w:sz w:val="32"/>
          <w:szCs w:val="32"/>
        </w:rPr>
        <w:t>支出决算数为</w:t>
      </w:r>
      <w:r>
        <w:rPr>
          <w:rFonts w:ascii="仿宋_GB2312" w:eastAsia="仿宋_GB2312"/>
          <w:sz w:val="32"/>
          <w:szCs w:val="32"/>
        </w:rPr>
        <w:t>4.69</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bookmarkEnd w:id="68"/>
    <w:p>
      <w:pPr>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）机关事业单位职业年金缴费支出（</w:t>
      </w:r>
      <w:r>
        <w:rPr>
          <w:rFonts w:ascii="仿宋_GB2312" w:eastAsia="仿宋_GB2312"/>
          <w:sz w:val="32"/>
          <w:szCs w:val="32"/>
        </w:rPr>
        <w:t>06</w:t>
      </w:r>
      <w:r>
        <w:rPr>
          <w:rFonts w:hint="eastAsia" w:ascii="仿宋_GB2312" w:eastAsia="仿宋_GB2312"/>
          <w:sz w:val="32"/>
          <w:szCs w:val="32"/>
        </w:rPr>
        <w:t>）支出决算数为</w:t>
      </w:r>
      <w:r>
        <w:rPr>
          <w:rFonts w:ascii="仿宋_GB2312" w:eastAsia="仿宋_GB2312"/>
          <w:sz w:val="32"/>
          <w:szCs w:val="32"/>
        </w:rPr>
        <w:t>2.34</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．卫生健康支出（</w:t>
      </w:r>
      <w:r>
        <w:rPr>
          <w:rFonts w:ascii="仿宋_GB2312" w:eastAsia="仿宋_GB2312"/>
          <w:sz w:val="32"/>
          <w:szCs w:val="32"/>
        </w:rPr>
        <w:t>210</w:t>
      </w:r>
      <w:r>
        <w:rPr>
          <w:rFonts w:hint="eastAsia" w:ascii="仿宋_GB2312" w:eastAsia="仿宋_GB2312"/>
          <w:sz w:val="32"/>
          <w:szCs w:val="32"/>
        </w:rPr>
        <w:t>）行政事业单位医疗（</w:t>
      </w:r>
      <w:r>
        <w:rPr>
          <w:rFonts w:ascii="仿宋_GB2312" w:eastAsia="仿宋_GB2312"/>
          <w:sz w:val="32"/>
          <w:szCs w:val="32"/>
        </w:rPr>
        <w:t>11</w:t>
      </w:r>
      <w:r>
        <w:rPr>
          <w:rFonts w:hint="eastAsia" w:ascii="仿宋_GB2312" w:eastAsia="仿宋_GB2312"/>
          <w:sz w:val="32"/>
          <w:szCs w:val="32"/>
        </w:rPr>
        <w:t>）事业单位医疗（</w:t>
      </w:r>
      <w:r>
        <w:rPr>
          <w:rFonts w:ascii="仿宋_GB2312" w:eastAsia="仿宋_GB2312"/>
          <w:sz w:val="32"/>
          <w:szCs w:val="32"/>
        </w:rPr>
        <w:t>02</w:t>
      </w:r>
      <w:r>
        <w:rPr>
          <w:rFonts w:hint="eastAsia" w:ascii="仿宋_GB2312" w:eastAsia="仿宋_GB2312"/>
          <w:sz w:val="32"/>
          <w:szCs w:val="32"/>
        </w:rPr>
        <w:t>）支出决算数为</w:t>
      </w:r>
      <w:r>
        <w:rPr>
          <w:rFonts w:ascii="仿宋_GB2312" w:eastAsia="仿宋_GB2312"/>
          <w:sz w:val="32"/>
          <w:szCs w:val="32"/>
        </w:rPr>
        <w:t>2.95</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．住房保障支出（</w:t>
      </w:r>
      <w:r>
        <w:rPr>
          <w:rFonts w:ascii="仿宋_GB2312" w:eastAsia="仿宋_GB2312"/>
          <w:sz w:val="32"/>
          <w:szCs w:val="32"/>
        </w:rPr>
        <w:t>221</w:t>
      </w:r>
      <w:r>
        <w:rPr>
          <w:rFonts w:hint="eastAsia" w:ascii="仿宋_GB2312" w:eastAsia="仿宋_GB2312"/>
          <w:sz w:val="32"/>
          <w:szCs w:val="32"/>
        </w:rPr>
        <w:t>）住房改革支出（</w:t>
      </w:r>
      <w:r>
        <w:rPr>
          <w:rFonts w:ascii="仿宋_GB2312" w:eastAsia="仿宋_GB2312"/>
          <w:sz w:val="32"/>
          <w:szCs w:val="32"/>
        </w:rPr>
        <w:t>02</w:t>
      </w:r>
      <w:r>
        <w:rPr>
          <w:rFonts w:hint="eastAsia" w:ascii="仿宋_GB2312" w:eastAsia="仿宋_GB2312"/>
          <w:sz w:val="32"/>
          <w:szCs w:val="32"/>
        </w:rPr>
        <w:t>）住房公积金（</w:t>
      </w:r>
      <w:r>
        <w:rPr>
          <w:rFonts w:ascii="仿宋_GB2312" w:eastAsia="仿宋_GB2312"/>
          <w:sz w:val="32"/>
          <w:szCs w:val="32"/>
        </w:rPr>
        <w:t>01</w:t>
      </w:r>
      <w:r>
        <w:rPr>
          <w:rFonts w:hint="eastAsia" w:ascii="仿宋_GB2312" w:eastAsia="仿宋_GB2312"/>
          <w:sz w:val="32"/>
          <w:szCs w:val="32"/>
        </w:rPr>
        <w:t>）支出决算数为</w:t>
      </w:r>
      <w:r>
        <w:rPr>
          <w:rFonts w:ascii="仿宋_GB2312" w:eastAsia="仿宋_GB2312"/>
          <w:sz w:val="32"/>
          <w:szCs w:val="32"/>
        </w:rPr>
        <w:t>4.57</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bookmarkStart w:id="69" w:name="_Hlk51312765"/>
      <w:r>
        <w:rPr>
          <w:rFonts w:ascii="仿宋_GB2312" w:eastAsia="仿宋_GB2312"/>
          <w:sz w:val="32"/>
          <w:szCs w:val="32"/>
        </w:rPr>
        <w:t xml:space="preserve">5.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）退役军人管理实务（</w:t>
      </w:r>
      <w:r>
        <w:rPr>
          <w:rFonts w:ascii="仿宋_GB2312" w:eastAsia="仿宋_GB2312"/>
          <w:sz w:val="32"/>
          <w:szCs w:val="32"/>
        </w:rPr>
        <w:t>28</w:t>
      </w:r>
      <w:r>
        <w:rPr>
          <w:rFonts w:hint="eastAsia" w:ascii="仿宋_GB2312" w:eastAsia="仿宋_GB2312"/>
          <w:sz w:val="32"/>
          <w:szCs w:val="32"/>
        </w:rPr>
        <w:t>）事业运行（</w:t>
      </w:r>
      <w:r>
        <w:rPr>
          <w:rFonts w:ascii="仿宋_GB2312" w:eastAsia="仿宋_GB2312"/>
          <w:sz w:val="32"/>
          <w:szCs w:val="32"/>
        </w:rPr>
        <w:t>50</w:t>
      </w:r>
      <w:r>
        <w:rPr>
          <w:rFonts w:hint="eastAsia" w:ascii="仿宋_GB2312" w:eastAsia="仿宋_GB2312"/>
          <w:sz w:val="32"/>
          <w:szCs w:val="32"/>
        </w:rPr>
        <w:t>）支出决算数为</w:t>
      </w:r>
      <w:r>
        <w:rPr>
          <w:rFonts w:ascii="仿宋_GB2312" w:eastAsia="仿宋_GB2312"/>
          <w:sz w:val="32"/>
          <w:szCs w:val="32"/>
        </w:rPr>
        <w:t>42.34</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bookmarkEnd w:id="69"/>
    <w:p>
      <w:pPr>
        <w:tabs>
          <w:tab w:val="right" w:pos="8306"/>
        </w:tabs>
        <w:spacing w:line="576" w:lineRule="exact"/>
        <w:ind w:firstLine="640"/>
        <w:outlineLvl w:val="1"/>
        <w:rPr>
          <w:rStyle w:val="24"/>
        </w:rPr>
      </w:pPr>
      <w:bookmarkStart w:id="70" w:name="_Toc15377214"/>
      <w:bookmarkStart w:id="71" w:name="_Toc114822483"/>
      <w:bookmarkStart w:id="72" w:name="_Toc15396608"/>
      <w:bookmarkStart w:id="73" w:name="_Toc79163618"/>
      <w:r>
        <w:rPr>
          <w:rFonts w:hint="eastAsia" w:ascii="黑体" w:eastAsia="黑体"/>
          <w:color w:val="000000"/>
          <w:sz w:val="32"/>
          <w:szCs w:val="32"/>
        </w:rPr>
        <w:t>六</w:t>
      </w:r>
      <w:r>
        <w:rPr>
          <w:rFonts w:hint="eastAsia" w:ascii="黑体" w:eastAsia="黑体"/>
          <w:b/>
          <w:color w:val="000000"/>
          <w:sz w:val="32"/>
          <w:szCs w:val="32"/>
        </w:rPr>
        <w:t>、一</w:t>
      </w:r>
      <w:r>
        <w:rPr>
          <w:rStyle w:val="24"/>
          <w:rFonts w:hint="eastAsia" w:ascii="黑体" w:eastAsia="黑体"/>
          <w:b w:val="0"/>
        </w:rPr>
        <w:t>般公共预算财政拨款基本支出决算情况说明</w:t>
      </w:r>
      <w:bookmarkEnd w:id="70"/>
      <w:bookmarkEnd w:id="71"/>
      <w:bookmarkEnd w:id="72"/>
      <w:bookmarkEnd w:id="73"/>
      <w:r>
        <w:rPr>
          <w:rStyle w:val="24"/>
          <w:rFonts w:ascii="黑体" w:eastAsia="黑体"/>
          <w:b w:val="0"/>
        </w:rPr>
        <w:tab/>
      </w:r>
    </w:p>
    <w:p>
      <w:pPr>
        <w:spacing w:line="576" w:lineRule="exact"/>
        <w:ind w:firstLine="645"/>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年一般公共预算财政拨款基本支出</w:t>
      </w:r>
      <w:r>
        <w:rPr>
          <w:rFonts w:ascii="仿宋" w:eastAsia="仿宋"/>
          <w:color w:val="000000"/>
          <w:sz w:val="32"/>
          <w:szCs w:val="32"/>
        </w:rPr>
        <w:t>56.89</w:t>
      </w:r>
      <w:r>
        <w:rPr>
          <w:rFonts w:hint="eastAsia" w:ascii="仿宋" w:eastAsia="仿宋"/>
          <w:color w:val="000000"/>
          <w:sz w:val="32"/>
          <w:szCs w:val="32"/>
        </w:rPr>
        <w:t>万元，其中：</w:t>
      </w:r>
    </w:p>
    <w:p>
      <w:pPr>
        <w:spacing w:line="576" w:lineRule="exact"/>
        <w:ind w:firstLine="645"/>
        <w:rPr>
          <w:rFonts w:ascii="仿宋" w:eastAsia="仿宋"/>
          <w:color w:val="000000"/>
          <w:sz w:val="32"/>
          <w:szCs w:val="32"/>
        </w:rPr>
      </w:pPr>
      <w:r>
        <w:rPr>
          <w:rFonts w:hint="eastAsia" w:ascii="仿宋" w:eastAsia="仿宋"/>
          <w:color w:val="000000"/>
          <w:sz w:val="32"/>
          <w:szCs w:val="32"/>
        </w:rPr>
        <w:t>人员经费</w:t>
      </w:r>
      <w:r>
        <w:rPr>
          <w:rFonts w:ascii="仿宋" w:eastAsia="仿宋"/>
          <w:color w:val="000000"/>
          <w:sz w:val="32"/>
          <w:szCs w:val="32"/>
        </w:rPr>
        <w:t>54.09</w:t>
      </w:r>
      <w:r>
        <w:rPr>
          <w:rFonts w:hint="eastAsia" w:ascii="仿宋" w:eastAsia="仿宋"/>
          <w:color w:val="000000"/>
          <w:sz w:val="32"/>
          <w:szCs w:val="32"/>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color w:val="000000"/>
          <w:sz w:val="32"/>
          <w:szCs w:val="32"/>
        </w:rPr>
        <w:br w:type="textWrapping"/>
      </w:r>
      <w:r>
        <w:rPr>
          <w:rFonts w:hint="eastAsia" w:ascii="仿宋" w:eastAsia="仿宋"/>
          <w:color w:val="000000"/>
          <w:sz w:val="32"/>
          <w:szCs w:val="32"/>
        </w:rPr>
        <w:t>　　日常公用经费</w:t>
      </w:r>
      <w:r>
        <w:rPr>
          <w:rFonts w:ascii="仿宋" w:eastAsia="仿宋"/>
          <w:color w:val="000000"/>
          <w:sz w:val="32"/>
          <w:szCs w:val="32"/>
        </w:rPr>
        <w:t>2.80</w:t>
      </w:r>
      <w:r>
        <w:rPr>
          <w:rFonts w:hint="eastAsia" w:asci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576" w:lineRule="exact"/>
        <w:ind w:firstLine="640"/>
        <w:outlineLvl w:val="1"/>
        <w:rPr>
          <w:rStyle w:val="24"/>
          <w:rFonts w:ascii="黑体" w:eastAsia="黑体"/>
          <w:b w:val="0"/>
        </w:rPr>
      </w:pPr>
      <w:bookmarkStart w:id="74" w:name="_Toc15396609"/>
      <w:bookmarkStart w:id="75" w:name="_Toc15377215"/>
      <w:bookmarkStart w:id="76" w:name="_Toc114822484"/>
      <w:bookmarkStart w:id="77" w:name="_Toc79163619"/>
      <w:r>
        <w:rPr>
          <w:rFonts w:hint="eastAsia" w:ascii="黑体" w:eastAsia="黑体"/>
          <w:color w:val="000000"/>
          <w:sz w:val="32"/>
          <w:szCs w:val="32"/>
        </w:rPr>
        <w:t>七、</w:t>
      </w:r>
      <w:r>
        <w:rPr>
          <w:rStyle w:val="24"/>
          <w:rFonts w:hint="eastAsia" w:ascii="黑体" w:eastAsia="黑体"/>
        </w:rPr>
        <w:t>“</w:t>
      </w:r>
      <w:r>
        <w:rPr>
          <w:rStyle w:val="24"/>
          <w:rFonts w:hint="eastAsia" w:ascii="黑体" w:eastAsia="黑体"/>
          <w:b w:val="0"/>
        </w:rPr>
        <w:t>三公”经费财政拨款支出决算情况说明</w:t>
      </w:r>
      <w:bookmarkEnd w:id="74"/>
      <w:bookmarkEnd w:id="75"/>
      <w:bookmarkEnd w:id="76"/>
      <w:bookmarkEnd w:id="77"/>
    </w:p>
    <w:p>
      <w:pPr>
        <w:spacing w:line="576" w:lineRule="exact"/>
        <w:ind w:firstLine="640"/>
        <w:outlineLvl w:val="2"/>
        <w:rPr>
          <w:rFonts w:ascii="仿宋" w:eastAsia="仿宋"/>
          <w:b/>
          <w:color w:val="000000"/>
          <w:sz w:val="32"/>
          <w:szCs w:val="32"/>
        </w:rPr>
      </w:pPr>
      <w:bookmarkStart w:id="78" w:name="_Toc79163620"/>
      <w:bookmarkStart w:id="79" w:name="_Toc15377216"/>
      <w:bookmarkStart w:id="80" w:name="_Toc114822485"/>
      <w:r>
        <w:rPr>
          <w:rFonts w:hint="eastAsia" w:ascii="仿宋" w:eastAsia="仿宋"/>
          <w:b/>
          <w:color w:val="000000"/>
          <w:sz w:val="32"/>
          <w:szCs w:val="32"/>
        </w:rPr>
        <w:t>（一）“三公”经费财政拨款支出决算总体情况说明</w:t>
      </w:r>
      <w:bookmarkEnd w:id="78"/>
      <w:bookmarkEnd w:id="79"/>
      <w:bookmarkEnd w:id="80"/>
    </w:p>
    <w:p>
      <w:pPr>
        <w:spacing w:line="576"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年“三公”经费财政拨款支出决算为</w:t>
      </w:r>
      <w:r>
        <w:rPr>
          <w:rFonts w:ascii="仿宋" w:eastAsia="仿宋"/>
          <w:color w:val="000000"/>
          <w:sz w:val="32"/>
          <w:szCs w:val="32"/>
        </w:rPr>
        <w:t>0.06</w:t>
      </w:r>
      <w:r>
        <w:rPr>
          <w:rFonts w:hint="eastAsia" w:ascii="仿宋" w:eastAsia="仿宋"/>
          <w:color w:val="000000"/>
          <w:sz w:val="32"/>
          <w:szCs w:val="32"/>
        </w:rPr>
        <w:t>万元，完成预算</w:t>
      </w:r>
      <w:r>
        <w:rPr>
          <w:rFonts w:ascii="仿宋" w:eastAsia="仿宋"/>
          <w:color w:val="000000"/>
          <w:sz w:val="32"/>
          <w:szCs w:val="32"/>
        </w:rPr>
        <w:t>100%</w:t>
      </w:r>
      <w:r>
        <w:rPr>
          <w:rFonts w:hint="eastAsia" w:ascii="仿宋" w:eastAsia="仿宋"/>
          <w:color w:val="000000"/>
          <w:sz w:val="32"/>
          <w:szCs w:val="32"/>
        </w:rPr>
        <w:t>。</w:t>
      </w:r>
    </w:p>
    <w:p>
      <w:pPr>
        <w:spacing w:line="576" w:lineRule="exact"/>
        <w:ind w:firstLine="640"/>
        <w:outlineLvl w:val="2"/>
        <w:rPr>
          <w:rFonts w:ascii="仿宋" w:eastAsia="仿宋"/>
          <w:b/>
          <w:color w:val="000000"/>
          <w:sz w:val="32"/>
          <w:szCs w:val="32"/>
        </w:rPr>
      </w:pPr>
      <w:bookmarkStart w:id="81" w:name="_Toc114822486"/>
      <w:bookmarkStart w:id="82" w:name="_Toc79163621"/>
      <w:bookmarkStart w:id="83" w:name="_Toc15377217"/>
      <w:r>
        <w:rPr>
          <w:rFonts w:hint="eastAsia" w:ascii="仿宋" w:eastAsia="仿宋"/>
          <w:b/>
          <w:color w:val="000000"/>
          <w:sz w:val="32"/>
          <w:szCs w:val="32"/>
        </w:rPr>
        <w:t>（二）“三公”经费财政拨款支出决算具体情况说明</w:t>
      </w:r>
      <w:bookmarkEnd w:id="81"/>
      <w:bookmarkEnd w:id="82"/>
      <w:bookmarkEnd w:id="83"/>
    </w:p>
    <w:p>
      <w:pPr>
        <w:spacing w:line="576"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年“三公”经费财政拨款支出决算中，因公出国（境）费支出决算</w:t>
      </w:r>
      <w:r>
        <w:rPr>
          <w:rFonts w:ascii="仿宋" w:eastAsia="仿宋"/>
          <w:color w:val="000000"/>
          <w:sz w:val="32"/>
          <w:szCs w:val="32"/>
        </w:rPr>
        <w:t>0</w:t>
      </w:r>
      <w:r>
        <w:rPr>
          <w:rFonts w:hint="eastAsia" w:ascii="仿宋" w:eastAsia="仿宋"/>
          <w:color w:val="000000"/>
          <w:sz w:val="32"/>
          <w:szCs w:val="32"/>
        </w:rPr>
        <w:t>万元；公务用车购置及运行维护费支出决算</w:t>
      </w:r>
      <w:r>
        <w:rPr>
          <w:rFonts w:ascii="仿宋" w:eastAsia="仿宋"/>
          <w:color w:val="000000"/>
          <w:sz w:val="32"/>
          <w:szCs w:val="32"/>
        </w:rPr>
        <w:t>0</w:t>
      </w:r>
      <w:r>
        <w:rPr>
          <w:rFonts w:hint="eastAsia" w:ascii="仿宋" w:eastAsia="仿宋"/>
          <w:color w:val="000000"/>
          <w:sz w:val="32"/>
          <w:szCs w:val="32"/>
        </w:rPr>
        <w:t>万元；公务接待费支出决算</w:t>
      </w:r>
      <w:r>
        <w:rPr>
          <w:rFonts w:ascii="仿宋" w:eastAsia="仿宋"/>
          <w:color w:val="000000"/>
          <w:sz w:val="32"/>
          <w:szCs w:val="32"/>
        </w:rPr>
        <w:t>0.06</w:t>
      </w:r>
      <w:r>
        <w:rPr>
          <w:rFonts w:hint="eastAsia" w:ascii="仿宋" w:eastAsia="仿宋"/>
          <w:color w:val="000000"/>
          <w:sz w:val="32"/>
          <w:szCs w:val="32"/>
        </w:rPr>
        <w:t>万元，占</w:t>
      </w:r>
      <w:r>
        <w:rPr>
          <w:rFonts w:ascii="仿宋" w:eastAsia="仿宋"/>
          <w:color w:val="000000"/>
          <w:sz w:val="32"/>
          <w:szCs w:val="32"/>
        </w:rPr>
        <w:t>100%</w:t>
      </w:r>
      <w:r>
        <w:rPr>
          <w:rFonts w:hint="eastAsia" w:ascii="仿宋" w:eastAsia="仿宋"/>
          <w:color w:val="000000"/>
          <w:sz w:val="32"/>
          <w:szCs w:val="32"/>
        </w:rPr>
        <w:t>。具体情况如下：</w:t>
      </w:r>
    </w:p>
    <w:p>
      <w:pPr>
        <w:spacing w:line="576" w:lineRule="exact"/>
        <w:ind w:firstLine="64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7</w:t>
      </w:r>
      <w:r>
        <w:rPr>
          <w:rFonts w:hint="eastAsia" w:ascii="仿宋" w:eastAsia="仿宋"/>
          <w:color w:val="000000"/>
          <w:sz w:val="32"/>
          <w:szCs w:val="32"/>
        </w:rPr>
        <w:t>：“三公”经费财政拨款支出结构）（饼状图）</w:t>
      </w:r>
    </w:p>
    <w:p>
      <w:pPr>
        <w:spacing w:line="576" w:lineRule="exact"/>
        <w:ind w:firstLine="640"/>
        <w:rPr>
          <w:rFonts w:ascii="仿宋" w:eastAsia="仿宋"/>
          <w:color w:val="000000"/>
          <w:sz w:val="32"/>
          <w:szCs w:val="32"/>
        </w:rPr>
      </w:pPr>
      <w:r>
        <w:drawing>
          <wp:anchor distT="0" distB="0" distL="114300" distR="114300" simplePos="0" relativeHeight="251665408" behindDoc="0" locked="0" layoutInCell="1" allowOverlap="1">
            <wp:simplePos x="0" y="0"/>
            <wp:positionH relativeFrom="column">
              <wp:posOffset>672465</wp:posOffset>
            </wp:positionH>
            <wp:positionV relativeFrom="paragraph">
              <wp:posOffset>111760</wp:posOffset>
            </wp:positionV>
            <wp:extent cx="3599180" cy="2292985"/>
            <wp:effectExtent l="0" t="0" r="12700" b="8255"/>
            <wp:wrapSquare wrapText="bothSides"/>
            <wp:docPr id="7" name="图片 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true"/>
                    </pic:cNvPicPr>
                  </pic:nvPicPr>
                  <pic:blipFill>
                    <a:blip r:embed="rId12"/>
                    <a:stretch>
                      <a:fillRect/>
                    </a:stretch>
                  </pic:blipFill>
                  <pic:spPr>
                    <a:xfrm>
                      <a:off x="0" y="0"/>
                      <a:ext cx="3599180" cy="2292985"/>
                    </a:xfrm>
                    <a:prstGeom prst="rect">
                      <a:avLst/>
                    </a:prstGeom>
                    <a:noFill/>
                    <a:ln>
                      <a:noFill/>
                    </a:ln>
                  </pic:spPr>
                </pic:pic>
              </a:graphicData>
            </a:graphic>
          </wp:anchor>
        </w:drawing>
      </w:r>
    </w:p>
    <w:p>
      <w:pPr>
        <w:spacing w:line="576" w:lineRule="exact"/>
        <w:ind w:firstLine="640"/>
        <w:rPr>
          <w:rFonts w:ascii="仿宋" w:eastAsia="仿宋"/>
          <w:color w:val="000000"/>
          <w:sz w:val="32"/>
          <w:szCs w:val="32"/>
        </w:rPr>
      </w:pPr>
    </w:p>
    <w:p>
      <w:pPr>
        <w:spacing w:line="576" w:lineRule="exact"/>
        <w:ind w:firstLine="640"/>
        <w:rPr>
          <w:rFonts w:ascii="仿宋" w:eastAsia="仿宋"/>
          <w:color w:val="000000"/>
          <w:sz w:val="32"/>
          <w:szCs w:val="32"/>
        </w:rPr>
      </w:pPr>
    </w:p>
    <w:p>
      <w:pPr>
        <w:spacing w:line="576" w:lineRule="exact"/>
        <w:ind w:firstLine="640"/>
        <w:rPr>
          <w:rFonts w:ascii="仿宋" w:eastAsia="仿宋"/>
          <w:color w:val="000000"/>
          <w:sz w:val="32"/>
          <w:szCs w:val="32"/>
        </w:rPr>
      </w:pPr>
    </w:p>
    <w:p>
      <w:pPr>
        <w:spacing w:line="576" w:lineRule="exact"/>
        <w:ind w:firstLine="640"/>
        <w:rPr>
          <w:rFonts w:ascii="仿宋_GB2312" w:eastAsia="仿宋_GB2312"/>
          <w:b/>
          <w:color w:val="000000"/>
          <w:sz w:val="32"/>
          <w:szCs w:val="32"/>
        </w:rPr>
      </w:pPr>
    </w:p>
    <w:p>
      <w:pPr>
        <w:spacing w:line="576" w:lineRule="exact"/>
        <w:ind w:firstLine="640"/>
        <w:rPr>
          <w:rFonts w:ascii="仿宋_GB2312" w:eastAsia="仿宋_GB2312"/>
          <w:b/>
          <w:color w:val="000000"/>
          <w:sz w:val="32"/>
          <w:szCs w:val="32"/>
        </w:rPr>
      </w:pPr>
    </w:p>
    <w:p>
      <w:pPr>
        <w:spacing w:line="576" w:lineRule="exact"/>
        <w:ind w:firstLine="640"/>
        <w:rPr>
          <w:rFonts w:ascii="仿宋_GB2312" w:eastAsia="仿宋_GB2312"/>
          <w:b/>
          <w:color w:val="000000"/>
          <w:sz w:val="32"/>
          <w:szCs w:val="32"/>
        </w:rPr>
      </w:pPr>
    </w:p>
    <w:p>
      <w:pPr>
        <w:spacing w:line="576"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21"/>
          <w:rFonts w:hint="eastAsia" w:ascii="仿宋" w:eastAsia="仿宋"/>
          <w:b w:val="0"/>
          <w:bCs/>
          <w:color w:val="000000"/>
          <w:sz w:val="32"/>
          <w:szCs w:val="32"/>
        </w:rPr>
        <w:t>。</w:t>
      </w:r>
    </w:p>
    <w:p>
      <w:pPr>
        <w:spacing w:line="576"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76"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0.06</w:t>
      </w:r>
      <w:r>
        <w:rPr>
          <w:rFonts w:hint="eastAsia" w:ascii="仿宋_GB2312" w:eastAsia="仿宋_GB2312"/>
          <w:color w:val="000000"/>
          <w:sz w:val="32"/>
          <w:szCs w:val="32"/>
        </w:rPr>
        <w:t>万元，</w:t>
      </w:r>
      <w:r>
        <w:rPr>
          <w:rStyle w:val="21"/>
          <w:rFonts w:hint="eastAsia" w:ascii="仿宋" w:eastAsia="仿宋"/>
          <w:b w:val="0"/>
          <w:bCs/>
          <w:color w:val="000000"/>
          <w:sz w:val="32"/>
          <w:szCs w:val="32"/>
        </w:rPr>
        <w:t>完成预算</w:t>
      </w:r>
      <w:r>
        <w:rPr>
          <w:rStyle w:val="21"/>
          <w:rFonts w:ascii="仿宋" w:eastAsia="仿宋"/>
          <w:b w:val="0"/>
          <w:bCs/>
          <w:color w:val="000000"/>
          <w:sz w:val="32"/>
          <w:szCs w:val="32"/>
        </w:rPr>
        <w:t>100%</w:t>
      </w:r>
      <w:r>
        <w:rPr>
          <w:rStyle w:val="21"/>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2020</w:t>
      </w:r>
      <w:r>
        <w:rPr>
          <w:rFonts w:hint="eastAsia" w:ascii="仿宋_GB2312" w:eastAsia="仿宋_GB2312"/>
          <w:color w:val="000000"/>
          <w:sz w:val="32"/>
          <w:szCs w:val="32"/>
        </w:rPr>
        <w:t>年增加</w:t>
      </w:r>
      <w:r>
        <w:rPr>
          <w:rFonts w:ascii="仿宋_GB2312" w:eastAsia="仿宋_GB2312"/>
          <w:color w:val="000000"/>
          <w:sz w:val="32"/>
          <w:szCs w:val="32"/>
        </w:rPr>
        <w:t>0.06</w:t>
      </w:r>
      <w:r>
        <w:rPr>
          <w:rFonts w:hint="eastAsia" w:ascii="仿宋_GB2312" w:eastAsia="仿宋_GB2312"/>
          <w:color w:val="000000"/>
          <w:sz w:val="32"/>
          <w:szCs w:val="32"/>
        </w:rPr>
        <w:t>万元，增长</w:t>
      </w:r>
      <w:r>
        <w:rPr>
          <w:rFonts w:ascii="仿宋_GB2312" w:eastAsia="仿宋_GB2312"/>
          <w:color w:val="000000"/>
          <w:sz w:val="32"/>
          <w:szCs w:val="32"/>
        </w:rPr>
        <w:t>100%</w:t>
      </w:r>
      <w:r>
        <w:rPr>
          <w:rFonts w:hint="eastAsia" w:ascii="仿宋_GB2312" w:eastAsia="仿宋_GB2312"/>
          <w:color w:val="000000"/>
          <w:sz w:val="32"/>
          <w:szCs w:val="32"/>
        </w:rPr>
        <w:t>。主要原因是增加开展业务活动和调研。其中：</w:t>
      </w:r>
    </w:p>
    <w:p>
      <w:pPr>
        <w:spacing w:line="576" w:lineRule="exact"/>
        <w:ind w:firstLine="640"/>
        <w:rPr>
          <w:rFonts w:ascii="仿宋_GB2312" w:eastAsia="仿宋_GB2312"/>
          <w:color w:val="000000"/>
          <w:sz w:val="32"/>
          <w:szCs w:val="32"/>
        </w:rPr>
      </w:pPr>
      <w:r>
        <w:rPr>
          <w:rFonts w:hint="eastAsia" w:ascii="仿宋" w:eastAsia="仿宋"/>
          <w:b/>
          <w:color w:val="000000"/>
          <w:sz w:val="32"/>
          <w:szCs w:val="32"/>
        </w:rPr>
        <w:t>国内公务接待支出</w:t>
      </w:r>
      <w:r>
        <w:rPr>
          <w:rFonts w:ascii="仿宋" w:eastAsia="仿宋"/>
          <w:color w:val="000000"/>
          <w:sz w:val="32"/>
          <w:szCs w:val="32"/>
        </w:rPr>
        <w:t>0.06</w:t>
      </w:r>
      <w:r>
        <w:rPr>
          <w:rFonts w:hint="eastAsia" w:ascii="仿宋_GB2312" w:eastAsia="仿宋_GB2312"/>
          <w:color w:val="000000"/>
          <w:sz w:val="32"/>
          <w:szCs w:val="32"/>
        </w:rPr>
        <w:t>万元，主要用于开展业务活动和调研工作开支的用餐费等。国内公务接待</w:t>
      </w:r>
      <w:r>
        <w:rPr>
          <w:rFonts w:ascii="仿宋_GB2312" w:eastAsia="仿宋_GB2312"/>
          <w:color w:val="000000"/>
          <w:sz w:val="32"/>
          <w:szCs w:val="32"/>
        </w:rPr>
        <w:t>1</w:t>
      </w:r>
      <w:r>
        <w:rPr>
          <w:rFonts w:hint="eastAsia" w:ascii="仿宋_GB2312" w:eastAsia="仿宋_GB2312"/>
          <w:color w:val="000000"/>
          <w:sz w:val="32"/>
          <w:szCs w:val="32"/>
        </w:rPr>
        <w:t>批次，</w:t>
      </w:r>
      <w:r>
        <w:rPr>
          <w:rFonts w:ascii="仿宋_GB2312" w:eastAsia="仿宋_GB2312"/>
          <w:color w:val="000000"/>
          <w:sz w:val="32"/>
          <w:szCs w:val="32"/>
        </w:rPr>
        <w:t>7</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0.06</w:t>
      </w:r>
      <w:r>
        <w:rPr>
          <w:rFonts w:hint="eastAsia" w:ascii="仿宋_GB2312" w:eastAsia="仿宋_GB2312"/>
          <w:color w:val="000000"/>
          <w:sz w:val="32"/>
          <w:szCs w:val="32"/>
        </w:rPr>
        <w:t>万元，具体内容包括：（接待工作餐共计0</w:t>
      </w:r>
      <w:r>
        <w:rPr>
          <w:rFonts w:ascii="仿宋_GB2312" w:eastAsia="仿宋_GB2312"/>
          <w:color w:val="000000"/>
          <w:sz w:val="32"/>
          <w:szCs w:val="32"/>
        </w:rPr>
        <w:t>.06</w:t>
      </w:r>
      <w:r>
        <w:rPr>
          <w:rFonts w:hint="eastAsia" w:ascii="仿宋_GB2312" w:eastAsia="仿宋_GB2312"/>
          <w:color w:val="000000"/>
          <w:sz w:val="32"/>
          <w:szCs w:val="32"/>
        </w:rPr>
        <w:t>万元）。</w:t>
      </w:r>
    </w:p>
    <w:p>
      <w:pPr>
        <w:spacing w:line="576" w:lineRule="exact"/>
        <w:ind w:firstLine="640"/>
        <w:outlineLvl w:val="1"/>
        <w:rPr>
          <w:rStyle w:val="24"/>
          <w:rFonts w:ascii="黑体" w:eastAsia="黑体"/>
        </w:rPr>
      </w:pPr>
      <w:bookmarkStart w:id="84" w:name="_Toc15377218"/>
      <w:bookmarkStart w:id="85" w:name="_Toc79163622"/>
      <w:bookmarkStart w:id="86" w:name="_Toc15396610"/>
      <w:bookmarkStart w:id="87" w:name="_Toc114822487"/>
      <w:r>
        <w:rPr>
          <w:rFonts w:hint="eastAsia" w:ascii="黑体" w:eastAsia="黑体"/>
          <w:color w:val="000000"/>
          <w:sz w:val="32"/>
          <w:szCs w:val="32"/>
        </w:rPr>
        <w:t>八、</w:t>
      </w:r>
      <w:r>
        <w:rPr>
          <w:rStyle w:val="24"/>
          <w:rFonts w:hint="eastAsia" w:ascii="黑体" w:eastAsia="黑体"/>
          <w:b w:val="0"/>
        </w:rPr>
        <w:t>政府性基金预算支出决算情况说明</w:t>
      </w:r>
      <w:bookmarkEnd w:id="84"/>
      <w:bookmarkEnd w:id="85"/>
      <w:bookmarkEnd w:id="86"/>
      <w:bookmarkEnd w:id="87"/>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3"/>
        </w:numPr>
        <w:spacing w:line="576" w:lineRule="exact"/>
        <w:ind w:firstLine="640"/>
        <w:outlineLvl w:val="1"/>
        <w:rPr>
          <w:rStyle w:val="24"/>
          <w:rFonts w:ascii="黑体" w:eastAsia="黑体"/>
          <w:b w:val="0"/>
        </w:rPr>
      </w:pPr>
      <w:bookmarkStart w:id="88" w:name="_Toc15396611"/>
      <w:bookmarkStart w:id="89" w:name="_Toc15377219"/>
      <w:bookmarkStart w:id="90" w:name="_Toc79163623"/>
      <w:bookmarkStart w:id="91" w:name="_Toc114822488"/>
      <w:r>
        <w:rPr>
          <w:rStyle w:val="24"/>
          <w:rFonts w:hint="eastAsia" w:ascii="黑体" w:eastAsia="黑体"/>
          <w:b w:val="0"/>
        </w:rPr>
        <w:t>国有资本经营预算支出决算情况说明</w:t>
      </w:r>
      <w:bookmarkEnd w:id="88"/>
      <w:bookmarkEnd w:id="89"/>
      <w:bookmarkEnd w:id="90"/>
      <w:bookmarkEnd w:id="91"/>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76" w:lineRule="exact"/>
        <w:ind w:firstLine="800" w:firstLineChars="250"/>
        <w:outlineLvl w:val="1"/>
        <w:rPr>
          <w:rStyle w:val="24"/>
          <w:rFonts w:ascii="黑体" w:eastAsia="黑体"/>
        </w:rPr>
      </w:pPr>
      <w:bookmarkStart w:id="92" w:name="_Toc15377221"/>
      <w:bookmarkStart w:id="93" w:name="_Toc114822489"/>
      <w:bookmarkStart w:id="94" w:name="_Toc79163624"/>
      <w:bookmarkStart w:id="95" w:name="_Toc15396612"/>
      <w:r>
        <w:rPr>
          <w:rFonts w:hint="eastAsia" w:ascii="黑体" w:eastAsia="黑体"/>
          <w:color w:val="000000"/>
          <w:sz w:val="32"/>
          <w:szCs w:val="32"/>
        </w:rPr>
        <w:t>十</w:t>
      </w:r>
      <w:r>
        <w:rPr>
          <w:rStyle w:val="24"/>
          <w:rFonts w:hint="eastAsia" w:ascii="黑体" w:eastAsia="黑体"/>
        </w:rPr>
        <w:t>、</w:t>
      </w:r>
      <w:r>
        <w:rPr>
          <w:rStyle w:val="24"/>
          <w:rFonts w:hint="eastAsia" w:ascii="黑体" w:eastAsia="黑体"/>
          <w:b w:val="0"/>
        </w:rPr>
        <w:t>其他重要事项的情况说明</w:t>
      </w:r>
      <w:bookmarkEnd w:id="92"/>
      <w:bookmarkEnd w:id="93"/>
      <w:bookmarkEnd w:id="94"/>
      <w:bookmarkEnd w:id="95"/>
    </w:p>
    <w:p>
      <w:pPr>
        <w:spacing w:line="576" w:lineRule="exact"/>
        <w:ind w:firstLine="642" w:firstLineChars="200"/>
        <w:outlineLvl w:val="2"/>
        <w:rPr>
          <w:rFonts w:ascii="仿宋" w:eastAsia="仿宋"/>
          <w:color w:val="000000"/>
          <w:sz w:val="32"/>
          <w:szCs w:val="32"/>
        </w:rPr>
      </w:pPr>
      <w:bookmarkStart w:id="96" w:name="_Toc79163625"/>
      <w:bookmarkStart w:id="97" w:name="_Toc15377222"/>
      <w:bookmarkStart w:id="98" w:name="_Toc114822490"/>
      <w:r>
        <w:rPr>
          <w:rFonts w:hint="eastAsia" w:ascii="仿宋" w:eastAsia="仿宋"/>
          <w:b/>
          <w:color w:val="000000"/>
          <w:sz w:val="32"/>
          <w:szCs w:val="32"/>
        </w:rPr>
        <w:t>（一）机关运行经费支出情况</w:t>
      </w:r>
      <w:bookmarkEnd w:id="96"/>
      <w:bookmarkEnd w:id="97"/>
      <w:bookmarkEnd w:id="98"/>
    </w:p>
    <w:p>
      <w:pPr>
        <w:spacing w:line="576" w:lineRule="exact"/>
        <w:ind w:firstLine="640" w:firstLineChars="200"/>
        <w:rPr>
          <w:rFonts w:ascii="仿宋" w:eastAsia="仿宋"/>
          <w:b/>
          <w:color w:val="FF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年，茂县退役军人事务局机关运行经费支出</w:t>
      </w:r>
      <w:r>
        <w:rPr>
          <w:rFonts w:ascii="仿宋_GB2312" w:eastAsia="仿宋_GB2312"/>
          <w:color w:val="000000"/>
          <w:sz w:val="32"/>
          <w:szCs w:val="32"/>
        </w:rPr>
        <w:t>0</w:t>
      </w:r>
      <w:r>
        <w:rPr>
          <w:rFonts w:hint="eastAsia" w:ascii="仿宋_GB2312" w:eastAsia="仿宋_GB2312"/>
          <w:color w:val="000000"/>
          <w:sz w:val="32"/>
          <w:szCs w:val="32"/>
        </w:rPr>
        <w:t>万元，比</w:t>
      </w:r>
      <w:r>
        <w:rPr>
          <w:rFonts w:ascii="仿宋_GB2312" w:eastAsia="仿宋_GB2312"/>
          <w:color w:val="000000"/>
          <w:sz w:val="32"/>
          <w:szCs w:val="32"/>
        </w:rPr>
        <w:t>2020</w:t>
      </w:r>
      <w:r>
        <w:rPr>
          <w:rFonts w:hint="eastAsia" w:ascii="仿宋_GB2312" w:eastAsia="仿宋_GB2312"/>
          <w:color w:val="000000"/>
          <w:sz w:val="32"/>
          <w:szCs w:val="32"/>
        </w:rPr>
        <w:t>年无增减。</w:t>
      </w:r>
    </w:p>
    <w:p>
      <w:pPr>
        <w:autoSpaceDE w:val="0"/>
        <w:autoSpaceDN w:val="0"/>
        <w:adjustRightInd w:val="0"/>
        <w:spacing w:line="576" w:lineRule="exact"/>
        <w:ind w:firstLine="642" w:firstLineChars="200"/>
        <w:jc w:val="left"/>
        <w:outlineLvl w:val="2"/>
        <w:rPr>
          <w:rFonts w:ascii="仿宋" w:eastAsia="仿宋"/>
          <w:b/>
          <w:color w:val="000000"/>
          <w:sz w:val="32"/>
          <w:szCs w:val="32"/>
        </w:rPr>
      </w:pPr>
      <w:bookmarkStart w:id="99" w:name="_Toc79163626"/>
      <w:bookmarkStart w:id="100" w:name="_Toc15377223"/>
      <w:bookmarkStart w:id="101" w:name="_Toc114822491"/>
      <w:r>
        <w:rPr>
          <w:rFonts w:hint="eastAsia" w:ascii="仿宋" w:eastAsia="仿宋"/>
          <w:b/>
          <w:color w:val="000000"/>
          <w:sz w:val="32"/>
          <w:szCs w:val="32"/>
        </w:rPr>
        <w:t>（二）政府采购支出情况</w:t>
      </w:r>
      <w:bookmarkEnd w:id="99"/>
      <w:bookmarkEnd w:id="100"/>
      <w:bookmarkEnd w:id="101"/>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年，茂县退役军人事务局政府采购支出总额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w:t>
      </w:r>
    </w:p>
    <w:p>
      <w:pPr>
        <w:autoSpaceDE w:val="0"/>
        <w:autoSpaceDN w:val="0"/>
        <w:adjustRightInd w:val="0"/>
        <w:spacing w:line="576" w:lineRule="exact"/>
        <w:ind w:firstLine="642" w:firstLineChars="200"/>
        <w:jc w:val="left"/>
        <w:outlineLvl w:val="2"/>
        <w:rPr>
          <w:rFonts w:ascii="仿宋" w:eastAsia="仿宋"/>
          <w:b/>
          <w:color w:val="000000"/>
          <w:sz w:val="32"/>
          <w:szCs w:val="32"/>
        </w:rPr>
      </w:pPr>
      <w:bookmarkStart w:id="102" w:name="_Toc15377224"/>
      <w:bookmarkStart w:id="103" w:name="_Toc114822492"/>
      <w:bookmarkStart w:id="104" w:name="_Toc79163627"/>
      <w:r>
        <w:rPr>
          <w:rFonts w:hint="eastAsia" w:ascii="仿宋" w:eastAsia="仿宋"/>
          <w:b/>
          <w:color w:val="000000"/>
          <w:sz w:val="32"/>
          <w:szCs w:val="32"/>
        </w:rPr>
        <w:t>（三）国有资产占有使用情况</w:t>
      </w:r>
      <w:bookmarkEnd w:id="102"/>
      <w:bookmarkEnd w:id="103"/>
      <w:bookmarkEnd w:id="104"/>
    </w:p>
    <w:p>
      <w:pPr>
        <w:autoSpaceDE w:val="0"/>
        <w:autoSpaceDN w:val="0"/>
        <w:adjustRightInd w:val="0"/>
        <w:spacing w:line="576"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bookmarkStart w:id="105" w:name="_Toc79163628"/>
      <w:r>
        <w:rPr>
          <w:rFonts w:hint="eastAsia" w:ascii="仿宋_GB2312" w:eastAsia="仿宋_GB2312"/>
          <w:color w:val="000000"/>
          <w:sz w:val="32"/>
          <w:szCs w:val="32"/>
        </w:rPr>
        <w:t>茂县退役军人事务局无车辆。</w:t>
      </w:r>
    </w:p>
    <w:p>
      <w:pPr>
        <w:autoSpaceDE w:val="0"/>
        <w:autoSpaceDN w:val="0"/>
        <w:adjustRightInd w:val="0"/>
        <w:spacing w:line="576" w:lineRule="exact"/>
        <w:ind w:firstLine="642" w:firstLineChars="200"/>
        <w:jc w:val="left"/>
        <w:rPr>
          <w:rFonts w:ascii="仿宋" w:eastAsia="仿宋"/>
          <w:b/>
          <w:color w:val="000000"/>
          <w:sz w:val="32"/>
          <w:szCs w:val="32"/>
        </w:rPr>
      </w:pPr>
      <w:r>
        <w:rPr>
          <w:rFonts w:hint="eastAsia" w:ascii="仿宋" w:eastAsia="仿宋"/>
          <w:b/>
          <w:color w:val="000000"/>
          <w:sz w:val="32"/>
          <w:szCs w:val="32"/>
        </w:rPr>
        <w:t>（四）预算绩效管理情况。</w:t>
      </w:r>
      <w:bookmarkEnd w:id="105"/>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年部门整体支出开展绩效自评，</w:t>
      </w:r>
      <w:r>
        <w:rPr>
          <w:rFonts w:hint="eastAsia" w:ascii="仿宋_GB2312" w:hAnsi="仿宋" w:eastAsia="仿宋_GB2312" w:cs="仿宋"/>
          <w:color w:val="000000"/>
          <w:kern w:val="0"/>
          <w:sz w:val="32"/>
          <w:szCs w:val="32"/>
        </w:rPr>
        <w:t>自</w:t>
      </w:r>
      <w:r>
        <w:rPr>
          <w:rFonts w:hint="eastAsia" w:ascii="仿宋_GB2312" w:hAnsi="仿宋_GB2312" w:eastAsia="仿宋_GB2312" w:cs="仿宋_GB2312"/>
          <w:sz w:val="32"/>
          <w:szCs w:val="32"/>
        </w:rPr>
        <w:t xml:space="preserve">查自评结果良好，全年基本支出保证了部门的正常运行和日常工作的正常开展，绩效目标得到较好实现，绩效管理水平不断提高，绩效指标体系逐渐 丰富和完善。 </w:t>
      </w:r>
    </w:p>
    <w:p>
      <w:pPr>
        <w:spacing w:line="576" w:lineRule="exact"/>
        <w:ind w:left="630"/>
        <w:rPr>
          <w:rFonts w:ascii="仿宋_GB2312" w:eastAsia="仿宋_GB2312" w:cs="仿宋_GB2312"/>
          <w:sz w:val="32"/>
          <w:szCs w:val="32"/>
        </w:rPr>
      </w:pPr>
      <w:r>
        <w:rPr>
          <w:rFonts w:ascii="楷体_GB2312" w:eastAsia="楷体_GB2312" w:cs="楷体_GB2312"/>
          <w:sz w:val="32"/>
          <w:szCs w:val="32"/>
        </w:rPr>
        <w:t>2.</w:t>
      </w:r>
      <w:r>
        <w:rPr>
          <w:rFonts w:hint="eastAsia" w:ascii="楷体_GB2312" w:eastAsia="楷体_GB2312" w:cs="楷体_GB2312"/>
          <w:sz w:val="32"/>
          <w:szCs w:val="32"/>
        </w:rPr>
        <w:t>部门绩效评价结果。</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2021</w:t>
      </w:r>
      <w:r>
        <w:rPr>
          <w:rFonts w:hint="eastAsia" w:ascii="仿宋_GB2312" w:eastAsia="仿宋_GB2312" w:cs="仿宋_GB2312"/>
          <w:sz w:val="32"/>
          <w:szCs w:val="32"/>
        </w:rPr>
        <w:t>年部门整体支出绩效评价情况开展自评，《茂县退役军人服务中心部门</w:t>
      </w:r>
      <w:r>
        <w:rPr>
          <w:rFonts w:ascii="仿宋_GB2312" w:eastAsia="仿宋_GB2312" w:cs="仿宋_GB2312"/>
          <w:sz w:val="32"/>
          <w:szCs w:val="32"/>
        </w:rPr>
        <w:t>2021</w:t>
      </w:r>
      <w:r>
        <w:rPr>
          <w:rFonts w:hint="eastAsia" w:ascii="仿宋_GB2312" w:eastAsia="仿宋_GB2312" w:cs="仿宋_GB2312"/>
          <w:sz w:val="32"/>
          <w:szCs w:val="32"/>
        </w:rPr>
        <w:t>年部门整体支出绩效评价报告》见附件（附件</w:t>
      </w:r>
      <w:r>
        <w:rPr>
          <w:rFonts w:ascii="仿宋_GB2312" w:eastAsia="仿宋_GB2312" w:cs="仿宋_GB2312"/>
          <w:sz w:val="32"/>
          <w:szCs w:val="32"/>
        </w:rPr>
        <w:t>1</w:t>
      </w:r>
      <w:r>
        <w:rPr>
          <w:rFonts w:hint="eastAsia" w:ascii="仿宋_GB2312" w:eastAsia="仿宋_GB2312" w:cs="仿宋_GB2312"/>
          <w:sz w:val="32"/>
          <w:szCs w:val="32"/>
        </w:rPr>
        <w:t>）。</w:t>
      </w:r>
    </w:p>
    <w:p>
      <w:pPr>
        <w:spacing w:line="576" w:lineRule="exact"/>
        <w:ind w:firstLine="640" w:firstLineChars="200"/>
        <w:rPr>
          <w:rFonts w:ascii="仿宋_GB2312" w:eastAsia="仿宋_GB2312" w:cs="仿宋_GB2312"/>
          <w:sz w:val="32"/>
          <w:szCs w:val="32"/>
        </w:rPr>
      </w:pPr>
    </w:p>
    <w:p>
      <w:pPr>
        <w:numPr>
          <w:ilvl w:val="0"/>
          <w:numId w:val="4"/>
        </w:numPr>
        <w:spacing w:line="576" w:lineRule="exact"/>
        <w:ind w:firstLine="660" w:firstLineChars="150"/>
        <w:jc w:val="center"/>
        <w:outlineLvl w:val="0"/>
        <w:rPr>
          <w:rStyle w:val="23"/>
          <w:rFonts w:ascii="黑体" w:eastAsia="黑体"/>
          <w:b w:val="0"/>
        </w:rPr>
      </w:pPr>
      <w:bookmarkStart w:id="106" w:name="_Toc79163629"/>
      <w:bookmarkStart w:id="107" w:name="_Toc15377225"/>
      <w:bookmarkStart w:id="108" w:name="_Toc15396613"/>
      <w:bookmarkStart w:id="109" w:name="_Toc114822493"/>
      <w:r>
        <w:rPr>
          <w:rFonts w:hint="eastAsia" w:ascii="黑体" w:eastAsia="黑体"/>
          <w:color w:val="000000"/>
          <w:sz w:val="44"/>
          <w:szCs w:val="44"/>
        </w:rPr>
        <w:t>名</w:t>
      </w:r>
      <w:r>
        <w:rPr>
          <w:rStyle w:val="23"/>
          <w:rFonts w:hint="eastAsia" w:ascii="黑体" w:eastAsia="黑体"/>
          <w:b w:val="0"/>
        </w:rPr>
        <w:t>词解释</w:t>
      </w:r>
      <w:bookmarkEnd w:id="106"/>
      <w:bookmarkEnd w:id="107"/>
      <w:bookmarkEnd w:id="108"/>
      <w:bookmarkEnd w:id="109"/>
    </w:p>
    <w:p>
      <w:pPr>
        <w:spacing w:line="576" w:lineRule="exact"/>
        <w:jc w:val="left"/>
        <w:rPr>
          <w:rFonts w:ascii="宋体"/>
          <w:b/>
          <w:color w:val="000000"/>
          <w:sz w:val="44"/>
          <w:szCs w:val="44"/>
        </w:rPr>
      </w:pPr>
    </w:p>
    <w:p>
      <w:pPr>
        <w:pStyle w:val="28"/>
        <w:spacing w:line="576" w:lineRule="exact"/>
        <w:ind w:firstLine="640" w:firstLineChars="200"/>
        <w:rPr>
          <w:rFonts w:ascii="仿宋_GB2312" w:eastAsia="仿宋_GB2312"/>
          <w:sz w:val="32"/>
          <w:szCs w:val="32"/>
        </w:rPr>
      </w:pPr>
      <w:bookmarkStart w:id="110" w:name="_Toc15396614"/>
      <w:bookmarkStart w:id="111" w:name="_Toc79163630"/>
      <w:bookmarkStart w:id="112"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8"/>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8"/>
        <w:spacing w:line="576"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8"/>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8"/>
        <w:spacing w:line="576"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8"/>
        <w:spacing w:line="576"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8"/>
        <w:spacing w:line="576"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8"/>
        <w:spacing w:line="576"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 xml:space="preserve">9. </w:t>
      </w:r>
      <w:r>
        <w:rPr>
          <w:rFonts w:hint="eastAsia" w:ascii="仿宋_GB2312" w:eastAsia="仿宋_GB2312"/>
          <w:color w:val="000000"/>
          <w:sz w:val="32"/>
          <w:szCs w:val="32"/>
        </w:rPr>
        <w:t>一般公共服务（类）其他一般公共服务支出（款）其他一般公共服务支出（项）：指反映除上述项目以外的其他一般公共服务支出。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 xml:space="preserve">10. </w:t>
      </w:r>
      <w:r>
        <w:rPr>
          <w:rFonts w:hint="eastAsia" w:ascii="仿宋_GB2312" w:eastAsia="仿宋_GB2312"/>
          <w:color w:val="000000"/>
          <w:sz w:val="32"/>
          <w:szCs w:val="32"/>
        </w:rPr>
        <w:t>社会保障和就业（类）抚恤（款）死亡抚恤（项）：指按规定用于烈士和牺牲、病故人员家属的一次性和定期抚恤金以及丧葬补助费。</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社会保障和就业（类）抚恤（款）伤残抚恤（项）：指按规定用于伤残人员的抚恤金和按规定开支的各种伤残补助费。</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社会保障和就业（类）抚恤（款）优抚事业单位支出（项）：指民政部门管理的优抚事业单位支出，对集体优抚事业单位的补助，对烈士纪念设施的维修改造和管理保护支出，以及全国重点军供站设施维修改造和设备更新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社会保障和就业（类）抚恤（款）义务兵优待（项）：指用于义务兵优待方面的支出。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社会保障和就业（类）抚恤（款）农村籍退役士兵老年生活补助（项）：指反映</w:t>
      </w:r>
      <w:r>
        <w:rPr>
          <w:rFonts w:ascii="仿宋_GB2312" w:eastAsia="仿宋_GB2312"/>
          <w:color w:val="000000"/>
          <w:sz w:val="32"/>
          <w:szCs w:val="32"/>
        </w:rPr>
        <w:t>1954</w:t>
      </w:r>
      <w:r>
        <w:rPr>
          <w:rFonts w:hint="eastAsia" w:ascii="仿宋_GB2312" w:eastAsia="仿宋_GB2312"/>
          <w:color w:val="000000"/>
          <w:sz w:val="32"/>
          <w:szCs w:val="32"/>
        </w:rPr>
        <w:t>年</w:t>
      </w:r>
      <w:r>
        <w:rPr>
          <w:rFonts w:ascii="仿宋_GB2312" w:eastAsia="仿宋_GB2312"/>
          <w:color w:val="000000"/>
          <w:sz w:val="32"/>
          <w:szCs w:val="32"/>
        </w:rPr>
        <w:t>11</w:t>
      </w:r>
      <w:r>
        <w:rPr>
          <w:rFonts w:hint="eastAsia" w:ascii="仿宋_GB2312" w:eastAsia="仿宋_GB2312"/>
          <w:color w:val="000000"/>
          <w:sz w:val="32"/>
          <w:szCs w:val="32"/>
        </w:rPr>
        <w:t>月</w:t>
      </w:r>
      <w:r>
        <w:rPr>
          <w:rFonts w:ascii="仿宋_GB2312" w:eastAsia="仿宋_GB2312"/>
          <w:color w:val="000000"/>
          <w:sz w:val="32"/>
          <w:szCs w:val="32"/>
        </w:rPr>
        <w:t>1</w:t>
      </w:r>
      <w:r>
        <w:rPr>
          <w:rFonts w:hint="eastAsia" w:ascii="仿宋_GB2312" w:eastAsia="仿宋_GB2312"/>
          <w:color w:val="000000"/>
          <w:sz w:val="32"/>
          <w:szCs w:val="32"/>
        </w:rPr>
        <w:t>日试行义务兵役制后至《退役士兵安置条例》实施前入伍、年龄在</w:t>
      </w:r>
      <w:r>
        <w:rPr>
          <w:rFonts w:ascii="仿宋_GB2312" w:eastAsia="仿宋_GB2312"/>
          <w:color w:val="000000"/>
          <w:sz w:val="32"/>
          <w:szCs w:val="32"/>
        </w:rPr>
        <w:t>60</w:t>
      </w:r>
      <w:r>
        <w:rPr>
          <w:rFonts w:hint="eastAsia" w:ascii="仿宋_GB2312" w:eastAsia="仿宋_GB2312"/>
          <w:color w:val="000000"/>
          <w:sz w:val="32"/>
          <w:szCs w:val="32"/>
        </w:rPr>
        <w:t>周岁以上（含</w:t>
      </w:r>
      <w:r>
        <w:rPr>
          <w:rFonts w:ascii="仿宋_GB2312" w:eastAsia="仿宋_GB2312"/>
          <w:color w:val="000000"/>
          <w:sz w:val="32"/>
          <w:szCs w:val="32"/>
        </w:rPr>
        <w:t>60</w:t>
      </w:r>
      <w:r>
        <w:rPr>
          <w:rFonts w:hint="eastAsia" w:ascii="仿宋_GB2312" w:eastAsia="仿宋_GB2312"/>
          <w:color w:val="000000"/>
          <w:sz w:val="32"/>
          <w:szCs w:val="32"/>
        </w:rPr>
        <w:t>周岁）、未享受到国家定期抚恤补助的农村籍退役士兵的老年生活补助。</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社会保障和就业（类）抚恤（款）其他优抚支出（项）：指除上述项目以外其他用于优抚方面的支出。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社会保障和就业（类）抚恤（款）优抚事业单位支出（项）：指民政部门管理的优抚事业单位支出，对集体优抚事业单位的补助，对烈士纪念设施的维修改造和管理保护支出，以及全国重点军供站设施维修改造和设备更新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社会保障和就业（类）抚恤（款）在乡复员、退役军人生活补助（项）：反映在乡退伍红军老战士（含西路红军老战士、红军失散人员）、</w:t>
      </w:r>
      <w:r>
        <w:rPr>
          <w:rFonts w:ascii="仿宋_GB2312" w:eastAsia="仿宋_GB2312"/>
          <w:color w:val="000000"/>
          <w:sz w:val="32"/>
          <w:szCs w:val="32"/>
        </w:rPr>
        <w:t>1954</w:t>
      </w:r>
      <w:r>
        <w:rPr>
          <w:rFonts w:hint="eastAsia" w:ascii="仿宋_GB2312" w:eastAsia="仿宋_GB2312"/>
          <w:color w:val="000000"/>
          <w:sz w:val="32"/>
          <w:szCs w:val="32"/>
        </w:rPr>
        <w:t>年</w:t>
      </w:r>
      <w:r>
        <w:rPr>
          <w:rFonts w:ascii="仿宋_GB2312" w:eastAsia="仿宋_GB2312"/>
          <w:color w:val="000000"/>
          <w:sz w:val="32"/>
          <w:szCs w:val="32"/>
        </w:rPr>
        <w:t>10</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日前入伍的在乡复员军人、安规定办理带病回乡手续的退伍军人生活补助。</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社会保障和就业（类）退役安置（款）退役士兵安置（项）：指按规定用于伤残义务兵的一次性建房补助，对符合条件的退役士兵、转业士官的安置支出。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社会保障和就业（类）退役安置（款）军队移交政府的离退休人员安置（项）：指移交政府的军队离退休人员安置支出。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社会保障和就业（类）退役安置（款）军队移交政府的离退休干部管理机构（项）：指民政部门管理的军队移交政府安置的离退休干部管理机构列入事业编制的人员经费、公用经费以及管理机构用房建设经费等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社会保障和就业（类）退役安置（款）军队转业安置支出（项）：反映军转干部安置、人员经费、自主择业退役金等方面的支出。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22.</w:t>
      </w:r>
      <w:r>
        <w:rPr>
          <w:rFonts w:hint="eastAsia" w:ascii="仿宋_GB2312" w:eastAsia="仿宋_GB2312"/>
          <w:color w:val="000000"/>
          <w:sz w:val="32"/>
          <w:szCs w:val="32"/>
        </w:rPr>
        <w:t>社会保障和就业（类）</w:t>
      </w:r>
      <w:bookmarkStart w:id="113" w:name="_Hlk51579848"/>
      <w:r>
        <w:rPr>
          <w:rFonts w:hint="eastAsia" w:ascii="仿宋_GB2312" w:eastAsia="仿宋_GB2312"/>
          <w:color w:val="000000"/>
          <w:sz w:val="32"/>
          <w:szCs w:val="32"/>
        </w:rPr>
        <w:t>退役军人管理事务</w:t>
      </w:r>
      <w:bookmarkEnd w:id="113"/>
      <w:r>
        <w:rPr>
          <w:rFonts w:hint="eastAsia" w:ascii="仿宋_GB2312" w:eastAsia="仿宋_GB2312"/>
          <w:color w:val="000000"/>
          <w:sz w:val="32"/>
          <w:szCs w:val="32"/>
        </w:rPr>
        <w:t>（款）行政运行（项）：指行政单位（包括实行公务员管理的事业单位）的基本支出。</w:t>
      </w:r>
    </w:p>
    <w:p>
      <w:pPr>
        <w:spacing w:line="576" w:lineRule="exact"/>
        <w:ind w:firstLine="640" w:firstLineChars="200"/>
        <w:rPr>
          <w:rFonts w:ascii="仿宋_GB2312" w:eastAsia="仿宋_GB2312"/>
          <w:color w:val="000000"/>
          <w:sz w:val="32"/>
          <w:szCs w:val="32"/>
        </w:rPr>
      </w:pPr>
      <w:bookmarkStart w:id="114" w:name="_Hlk51579931"/>
      <w:r>
        <w:rPr>
          <w:rFonts w:ascii="仿宋_GB2312" w:eastAsia="仿宋_GB2312"/>
          <w:color w:val="000000"/>
          <w:sz w:val="32"/>
          <w:szCs w:val="32"/>
        </w:rPr>
        <w:t>23.</w:t>
      </w:r>
      <w:r>
        <w:rPr>
          <w:rFonts w:hint="eastAsia" w:ascii="仿宋_GB2312" w:eastAsia="仿宋_GB2312"/>
          <w:color w:val="000000"/>
          <w:sz w:val="32"/>
          <w:szCs w:val="32"/>
        </w:rPr>
        <w:t>社会保障和就业（类）退役军人管理事务（款）拥军优属（项）：指开展拥军优属活动的支出。</w:t>
      </w:r>
    </w:p>
    <w:bookmarkEnd w:id="114"/>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24.</w:t>
      </w:r>
      <w:r>
        <w:rPr>
          <w:rFonts w:hint="eastAsia" w:ascii="仿宋_GB2312" w:eastAsia="仿宋_GB2312"/>
          <w:color w:val="000000"/>
          <w:sz w:val="32"/>
          <w:szCs w:val="32"/>
        </w:rPr>
        <w:t>社会保障和就业（类）行政事业单位离退休（款）机关事业单位基本养老保险缴费支出（项）：指机关事业单位实施养老保险制度由单位缴纳的基本养老保险费支出。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25.</w:t>
      </w:r>
      <w:r>
        <w:rPr>
          <w:rFonts w:hint="eastAsia" w:ascii="仿宋_GB2312" w:eastAsia="仿宋_GB2312"/>
          <w:color w:val="000000"/>
          <w:sz w:val="32"/>
          <w:szCs w:val="32"/>
        </w:rPr>
        <w:t>社会保障和就业（类）行政事业单位离退休（款）机关事业单位职业年金缴费支出（项）：指机关事业单位实施养老保险制度由单位实际缴纳的职业年金支出。</w:t>
      </w:r>
    </w:p>
    <w:p>
      <w:pPr>
        <w:widowControl/>
        <w:spacing w:line="576"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26.</w:t>
      </w:r>
      <w:r>
        <w:rPr>
          <w:rFonts w:hint="eastAsia" w:ascii="仿宋_GB2312" w:eastAsia="仿宋_GB2312"/>
          <w:color w:val="000000"/>
          <w:sz w:val="32"/>
          <w:szCs w:val="32"/>
        </w:rPr>
        <w:t>医疗卫生与计划生育支出（类）行政事业单位医疗（款）行政单位医疗（项）：指机关及参公管理事业单位用于缴纳单位基本医疗保险支出。</w:t>
      </w:r>
    </w:p>
    <w:p>
      <w:pPr>
        <w:widowControl/>
        <w:spacing w:line="576"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医疗卫生与计划生育支出（类）行政事业单位医疗（款）行政单位医疗（项）：指事业单位用于缴纳单位基本医疗保险支出。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医疗卫生与计划生育支出（类）优抚对象医疗（款）优抚对象医疗补助（项）：指按规定补助优抚对象的医疗经费。</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社会保障和就业（类）退役军人管理事务（款）其他退役军人事务管理支出（项）：反映除上述项目以外其他用于退役军人事务管理方面的支出。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30.</w:t>
      </w:r>
      <w:r>
        <w:rPr>
          <w:rFonts w:hint="eastAsia" w:ascii="仿宋_GB2312" w:eastAsia="仿宋_GB2312"/>
          <w:color w:val="000000"/>
          <w:sz w:val="32"/>
          <w:szCs w:val="32"/>
        </w:rPr>
        <w:t>住房保障支出（类）住房改革支出（款）住房公积金（项）：指行政事业单位按人力资源和社会保障部、财政部规定的基本工资和津贴补贴以及规定比例为职工缴纳的住房公积金。</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31.</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32.</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33.</w:t>
      </w:r>
      <w:r>
        <w:rPr>
          <w:rFonts w:hint="eastAsia" w:ascii="仿宋_GB2312" w:eastAsia="仿宋_GB2312"/>
          <w:color w:val="000000"/>
          <w:sz w:val="32"/>
          <w:szCs w:val="32"/>
        </w:rPr>
        <w:t>经营支出：指事业单位在专业业务活动及其辅助活动之外开展非独立核算经营活动发生的支出。</w:t>
      </w:r>
    </w:p>
    <w:p>
      <w:pPr>
        <w:pStyle w:val="28"/>
        <w:spacing w:line="576" w:lineRule="exact"/>
        <w:ind w:firstLine="640" w:firstLineChars="200"/>
        <w:rPr>
          <w:rFonts w:ascii="仿宋_GB2312" w:eastAsia="仿宋_GB2312"/>
          <w:sz w:val="32"/>
          <w:szCs w:val="32"/>
        </w:rPr>
      </w:pPr>
      <w:r>
        <w:rPr>
          <w:rFonts w:ascii="仿宋_GB2312" w:eastAsia="仿宋_GB2312"/>
          <w:sz w:val="32"/>
          <w:szCs w:val="32"/>
        </w:rPr>
        <w:t>34.</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76" w:lineRule="exact"/>
        <w:ind w:firstLine="640" w:firstLineChars="200"/>
        <w:rPr>
          <w:rFonts w:ascii="仿宋_GB2312" w:eastAsia="仿宋_GB2312"/>
          <w:sz w:val="32"/>
          <w:szCs w:val="32"/>
        </w:rPr>
      </w:pPr>
      <w:r>
        <w:rPr>
          <w:rFonts w:ascii="仿宋_GB2312" w:eastAsia="仿宋_GB2312"/>
          <w:sz w:val="32"/>
          <w:szCs w:val="32"/>
        </w:rPr>
        <w:t>35.</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76" w:lineRule="exact"/>
        <w:jc w:val="center"/>
        <w:outlineLvl w:val="0"/>
        <w:rPr>
          <w:rFonts w:ascii="黑体" w:hAnsi="黑体" w:eastAsia="黑体"/>
          <w:color w:val="000000"/>
          <w:sz w:val="44"/>
          <w:szCs w:val="44"/>
        </w:rPr>
      </w:pPr>
    </w:p>
    <w:p>
      <w:pPr>
        <w:spacing w:line="576" w:lineRule="exact"/>
        <w:jc w:val="center"/>
        <w:outlineLvl w:val="0"/>
        <w:rPr>
          <w:rFonts w:ascii="黑体" w:hAnsi="黑体" w:eastAsia="黑体"/>
          <w:color w:val="000000"/>
          <w:sz w:val="44"/>
          <w:szCs w:val="44"/>
        </w:rPr>
      </w:pPr>
    </w:p>
    <w:p>
      <w:pPr>
        <w:spacing w:line="576" w:lineRule="exact"/>
        <w:jc w:val="center"/>
        <w:outlineLvl w:val="0"/>
        <w:rPr>
          <w:rFonts w:ascii="黑体" w:hAnsi="黑体" w:eastAsia="黑体"/>
          <w:color w:val="000000"/>
          <w:sz w:val="44"/>
          <w:szCs w:val="44"/>
        </w:rPr>
      </w:pPr>
    </w:p>
    <w:p>
      <w:pPr>
        <w:spacing w:line="576" w:lineRule="exact"/>
        <w:jc w:val="center"/>
        <w:outlineLvl w:val="0"/>
        <w:rPr>
          <w:rFonts w:ascii="黑体" w:hAnsi="黑体" w:eastAsia="黑体"/>
          <w:color w:val="000000"/>
          <w:sz w:val="44"/>
          <w:szCs w:val="44"/>
        </w:rPr>
      </w:pPr>
    </w:p>
    <w:p>
      <w:pPr>
        <w:spacing w:line="576" w:lineRule="exact"/>
        <w:jc w:val="center"/>
        <w:outlineLvl w:val="0"/>
        <w:rPr>
          <w:rFonts w:ascii="黑体" w:eastAsia="黑体"/>
          <w:color w:val="000000"/>
          <w:sz w:val="44"/>
          <w:szCs w:val="44"/>
        </w:rPr>
      </w:pPr>
    </w:p>
    <w:p>
      <w:pPr>
        <w:spacing w:line="576" w:lineRule="exact"/>
        <w:jc w:val="center"/>
        <w:outlineLvl w:val="0"/>
        <w:rPr>
          <w:rFonts w:ascii="黑体" w:eastAsia="黑体"/>
          <w:color w:val="000000"/>
          <w:sz w:val="44"/>
          <w:szCs w:val="44"/>
        </w:rPr>
      </w:pPr>
    </w:p>
    <w:p>
      <w:pPr>
        <w:spacing w:line="576" w:lineRule="exact"/>
        <w:jc w:val="center"/>
        <w:outlineLvl w:val="0"/>
        <w:rPr>
          <w:rStyle w:val="23"/>
          <w:rFonts w:ascii="黑体" w:eastAsia="黑体"/>
          <w:b w:val="0"/>
        </w:rPr>
      </w:pPr>
      <w:bookmarkStart w:id="115" w:name="_Toc114822494"/>
      <w:r>
        <w:rPr>
          <w:rFonts w:hint="eastAsia" w:ascii="黑体" w:eastAsia="黑体"/>
          <w:color w:val="000000"/>
          <w:sz w:val="44"/>
          <w:szCs w:val="44"/>
        </w:rPr>
        <w:t>第</w:t>
      </w:r>
      <w:r>
        <w:rPr>
          <w:rStyle w:val="23"/>
          <w:rFonts w:hint="eastAsia" w:ascii="黑体" w:eastAsia="黑体"/>
          <w:b w:val="0"/>
        </w:rPr>
        <w:t>四部分</w:t>
      </w:r>
      <w:r>
        <w:rPr>
          <w:rStyle w:val="23"/>
          <w:rFonts w:ascii="黑体" w:eastAsia="黑体"/>
          <w:b w:val="0"/>
        </w:rPr>
        <w:t xml:space="preserve"> </w:t>
      </w:r>
      <w:r>
        <w:rPr>
          <w:rStyle w:val="23"/>
          <w:rFonts w:hint="eastAsia" w:ascii="黑体" w:eastAsia="黑体"/>
          <w:b w:val="0"/>
        </w:rPr>
        <w:t>附件</w:t>
      </w:r>
      <w:bookmarkEnd w:id="110"/>
      <w:bookmarkEnd w:id="111"/>
      <w:bookmarkEnd w:id="115"/>
    </w:p>
    <w:p>
      <w:pPr>
        <w:spacing w:line="576" w:lineRule="exact"/>
        <w:jc w:val="left"/>
        <w:outlineLvl w:val="0"/>
        <w:rPr>
          <w:rFonts w:ascii="方正小标宋简体" w:eastAsia="方正小标宋简体" w:cs="方正小标宋简体"/>
          <w:sz w:val="32"/>
          <w:szCs w:val="32"/>
        </w:rPr>
      </w:pPr>
      <w:bookmarkStart w:id="116" w:name="_Toc114822495"/>
      <w:bookmarkStart w:id="117" w:name="_Toc79163631"/>
      <w:r>
        <w:rPr>
          <w:rFonts w:hint="eastAsia" w:ascii="黑体" w:eastAsia="黑体" w:cs="黑体"/>
          <w:sz w:val="32"/>
          <w:szCs w:val="32"/>
        </w:rPr>
        <w:t>附件</w:t>
      </w:r>
      <w:r>
        <w:rPr>
          <w:rFonts w:ascii="黑体" w:eastAsia="黑体" w:cs="黑体"/>
          <w:sz w:val="32"/>
          <w:szCs w:val="32"/>
        </w:rPr>
        <w:t>1</w:t>
      </w:r>
      <w:bookmarkEnd w:id="116"/>
      <w:bookmarkEnd w:id="117"/>
    </w:p>
    <w:p>
      <w:pPr>
        <w:spacing w:line="576" w:lineRule="exact"/>
        <w:jc w:val="center"/>
        <w:rPr>
          <w:rFonts w:ascii="方正小标宋简体" w:eastAsia="方正小标宋简体" w:cs="方正小标宋简体"/>
          <w:sz w:val="44"/>
          <w:szCs w:val="44"/>
        </w:rPr>
      </w:pPr>
    </w:p>
    <w:p>
      <w:pPr>
        <w:spacing w:line="576" w:lineRule="exact"/>
        <w:jc w:val="center"/>
        <w:outlineLvl w:val="0"/>
        <w:rPr>
          <w:rFonts w:ascii="方正小标宋简体" w:eastAsia="方正小标宋简体" w:cs="黑体"/>
          <w:sz w:val="44"/>
          <w:szCs w:val="44"/>
        </w:rPr>
      </w:pPr>
      <w:bookmarkStart w:id="118" w:name="_Toc79163632"/>
      <w:bookmarkStart w:id="119" w:name="_Toc114822496"/>
      <w:r>
        <w:rPr>
          <w:rFonts w:hint="eastAsia" w:ascii="方正小标宋简体" w:eastAsia="方正小标宋简体" w:cs="黑体"/>
          <w:sz w:val="44"/>
          <w:szCs w:val="44"/>
        </w:rPr>
        <w:t>茂县退役军人服务中心部门</w:t>
      </w:r>
      <w:r>
        <w:rPr>
          <w:rFonts w:ascii="方正小标宋简体" w:eastAsia="方正小标宋简体" w:cs="黑体"/>
          <w:sz w:val="44"/>
          <w:szCs w:val="44"/>
        </w:rPr>
        <w:t>2021</w:t>
      </w:r>
      <w:r>
        <w:rPr>
          <w:rFonts w:hint="eastAsia" w:ascii="方正小标宋简体" w:eastAsia="方正小标宋简体" w:cs="黑体"/>
          <w:sz w:val="44"/>
          <w:szCs w:val="44"/>
        </w:rPr>
        <w:t>年部门整体支出绩效评价报告</w:t>
      </w:r>
      <w:bookmarkEnd w:id="118"/>
      <w:bookmarkEnd w:id="119"/>
    </w:p>
    <w:p>
      <w:pPr>
        <w:widowControl/>
        <w:adjustRightInd w:val="0"/>
        <w:spacing w:line="576" w:lineRule="exact"/>
        <w:ind w:firstLine="480" w:firstLineChars="200"/>
        <w:contextualSpacing/>
        <w:jc w:val="left"/>
        <w:rPr>
          <w:rFonts w:ascii="黑体" w:eastAsia="黑体" w:cs="宋体"/>
          <w:color w:val="000000"/>
          <w:kern w:val="0"/>
          <w:sz w:val="24"/>
          <w:szCs w:val="32"/>
          <w:shd w:val="clear" w:color="auto" w:fill="FFFFFF"/>
        </w:rPr>
      </w:pPr>
    </w:p>
    <w:p>
      <w:pPr>
        <w:widowControl/>
        <w:adjustRightInd w:val="0"/>
        <w:spacing w:line="576"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widowControl/>
        <w:adjustRightInd w:val="0"/>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（一）机构组成。</w:t>
      </w:r>
    </w:p>
    <w:p>
      <w:pPr>
        <w:pStyle w:val="33"/>
        <w:spacing w:line="576" w:lineRule="exact"/>
        <w:ind w:left="420" w:firstLine="640"/>
        <w:rPr>
          <w:rFonts w:ascii="仿宋_GB2312" w:eastAsia="仿宋_GB2312"/>
          <w:sz w:val="32"/>
          <w:szCs w:val="32"/>
        </w:rPr>
      </w:pPr>
      <w:r>
        <w:rPr>
          <w:rFonts w:hint="eastAsia" w:ascii="仿宋_GB2312" w:eastAsia="仿宋_GB2312"/>
          <w:sz w:val="32"/>
          <w:szCs w:val="32"/>
        </w:rPr>
        <w:t>茂县退役军人服务中心属二级预算单位。</w:t>
      </w:r>
    </w:p>
    <w:p>
      <w:pPr>
        <w:widowControl/>
        <w:adjustRightInd w:val="0"/>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（二）人员概况。</w:t>
      </w:r>
    </w:p>
    <w:p>
      <w:pPr>
        <w:pStyle w:val="33"/>
        <w:spacing w:line="576" w:lineRule="exact"/>
        <w:ind w:left="420" w:firstLine="640"/>
        <w:rPr>
          <w:rFonts w:ascii="仿宋_GB2312" w:eastAsia="仿宋_GB2312"/>
          <w:sz w:val="32"/>
          <w:szCs w:val="32"/>
        </w:rPr>
      </w:pPr>
      <w:r>
        <w:rPr>
          <w:rFonts w:hint="eastAsia" w:ascii="仿宋_GB2312" w:eastAsia="仿宋_GB2312"/>
          <w:sz w:val="32"/>
          <w:szCs w:val="32"/>
        </w:rPr>
        <w:t>茂县退役军人服务中心事业编制</w:t>
      </w:r>
      <w:r>
        <w:rPr>
          <w:rFonts w:ascii="仿宋_GB2312" w:eastAsia="仿宋_GB2312"/>
          <w:sz w:val="32"/>
          <w:szCs w:val="32"/>
        </w:rPr>
        <w:t>4</w:t>
      </w:r>
      <w:r>
        <w:rPr>
          <w:rFonts w:hint="eastAsia" w:ascii="仿宋_GB2312" w:eastAsia="仿宋_GB2312"/>
          <w:sz w:val="32"/>
          <w:szCs w:val="32"/>
        </w:rPr>
        <w:t>人，事业人员</w:t>
      </w:r>
      <w:r>
        <w:rPr>
          <w:rFonts w:ascii="仿宋_GB2312" w:eastAsia="仿宋_GB2312"/>
          <w:sz w:val="32"/>
          <w:szCs w:val="32"/>
        </w:rPr>
        <w:t>4</w:t>
      </w:r>
      <w:r>
        <w:rPr>
          <w:rFonts w:hint="eastAsia" w:ascii="仿宋_GB2312" w:eastAsia="仿宋_GB2312"/>
          <w:sz w:val="32"/>
          <w:szCs w:val="32"/>
        </w:rPr>
        <w:t>人。</w:t>
      </w:r>
    </w:p>
    <w:p>
      <w:pPr>
        <w:widowControl/>
        <w:adjustRightInd w:val="0"/>
        <w:spacing w:line="576"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widowControl/>
        <w:adjustRightInd w:val="0"/>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（一）部门财政资金收入情况。</w:t>
      </w:r>
    </w:p>
    <w:p>
      <w:pPr>
        <w:widowControl/>
        <w:adjustRightInd w:val="0"/>
        <w:spacing w:line="576"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2021年本部门</w:t>
      </w:r>
      <w:bookmarkStart w:id="120" w:name="_Hlk111190946"/>
      <w:r>
        <w:rPr>
          <w:rFonts w:hint="eastAsia" w:ascii="仿宋_GB2312" w:eastAsia="仿宋_GB2312"/>
          <w:sz w:val="32"/>
          <w:szCs w:val="32"/>
        </w:rPr>
        <w:t>财政拨款收入总额</w:t>
      </w:r>
      <w:r>
        <w:rPr>
          <w:rFonts w:ascii="仿宋_GB2312" w:eastAsia="仿宋_GB2312"/>
          <w:sz w:val="32"/>
          <w:szCs w:val="32"/>
        </w:rPr>
        <w:t>56.89</w:t>
      </w:r>
      <w:r>
        <w:rPr>
          <w:rFonts w:hint="eastAsia" w:ascii="仿宋_GB2312" w:eastAsia="仿宋_GB2312"/>
          <w:sz w:val="32"/>
          <w:szCs w:val="32"/>
        </w:rPr>
        <w:t>万元</w:t>
      </w:r>
      <w:bookmarkEnd w:id="120"/>
      <w:r>
        <w:rPr>
          <w:rFonts w:hint="eastAsia" w:ascii="仿宋_GB2312" w:eastAsia="仿宋_GB2312"/>
          <w:sz w:val="32"/>
          <w:szCs w:val="32"/>
        </w:rPr>
        <w:t>，其中：当年财政拨款收入</w:t>
      </w:r>
      <w:r>
        <w:rPr>
          <w:rFonts w:ascii="仿宋_GB2312" w:eastAsia="仿宋_GB2312"/>
          <w:sz w:val="32"/>
          <w:szCs w:val="32"/>
        </w:rPr>
        <w:t>56.89</w:t>
      </w:r>
      <w:r>
        <w:rPr>
          <w:rFonts w:hint="eastAsia" w:ascii="仿宋_GB2312" w:eastAsia="仿宋_GB2312"/>
          <w:sz w:val="32"/>
          <w:szCs w:val="32"/>
        </w:rPr>
        <w:t>万元。</w:t>
      </w:r>
    </w:p>
    <w:p>
      <w:pPr>
        <w:widowControl/>
        <w:adjustRightInd w:val="0"/>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（二）部门财政资金支出情况。</w:t>
      </w:r>
    </w:p>
    <w:p>
      <w:pPr>
        <w:widowControl/>
        <w:adjustRightInd w:val="0"/>
        <w:spacing w:line="576" w:lineRule="exact"/>
        <w:ind w:firstLine="640" w:firstLineChars="200"/>
        <w:contextualSpacing/>
        <w:jc w:val="left"/>
        <w:rPr>
          <w:rFonts w:ascii="仿宋_GB2312" w:eastAsia="仿宋_GB2312"/>
          <w:sz w:val="32"/>
          <w:szCs w:val="32"/>
        </w:rPr>
      </w:pPr>
      <w:bookmarkStart w:id="121" w:name="_Hlk111190972"/>
      <w:r>
        <w:rPr>
          <w:rFonts w:hint="eastAsia" w:ascii="仿宋_GB2312" w:eastAsia="仿宋_GB2312"/>
          <w:sz w:val="32"/>
          <w:szCs w:val="32"/>
        </w:rPr>
        <w:t>2021年本部门财政拨款支出决算总额</w:t>
      </w:r>
      <w:r>
        <w:rPr>
          <w:rFonts w:ascii="仿宋_GB2312" w:eastAsia="仿宋_GB2312"/>
          <w:sz w:val="32"/>
          <w:szCs w:val="32"/>
        </w:rPr>
        <w:t>56.89</w:t>
      </w:r>
      <w:r>
        <w:rPr>
          <w:rFonts w:hint="eastAsia" w:ascii="仿宋_GB2312" w:eastAsia="仿宋_GB2312"/>
          <w:sz w:val="32"/>
          <w:szCs w:val="32"/>
        </w:rPr>
        <w:t>万元</w:t>
      </w:r>
      <w:bookmarkEnd w:id="121"/>
      <w:r>
        <w:rPr>
          <w:rFonts w:hint="eastAsia" w:ascii="仿宋_GB2312" w:eastAsia="仿宋_GB2312"/>
          <w:sz w:val="32"/>
          <w:szCs w:val="32"/>
        </w:rPr>
        <w:t>，其中按功能分类，社会保障和就业支出</w:t>
      </w:r>
      <w:r>
        <w:rPr>
          <w:rFonts w:ascii="仿宋_GB2312" w:eastAsia="仿宋_GB2312"/>
          <w:sz w:val="32"/>
          <w:szCs w:val="32"/>
        </w:rPr>
        <w:t>49.37</w:t>
      </w:r>
      <w:r>
        <w:rPr>
          <w:rFonts w:hint="eastAsia" w:ascii="仿宋_GB2312" w:eastAsia="仿宋_GB2312"/>
          <w:sz w:val="32"/>
          <w:szCs w:val="32"/>
        </w:rPr>
        <w:t>万元，卫生健康支出</w:t>
      </w:r>
      <w:r>
        <w:rPr>
          <w:rFonts w:ascii="仿宋_GB2312" w:eastAsia="仿宋_GB2312"/>
          <w:sz w:val="32"/>
          <w:szCs w:val="32"/>
        </w:rPr>
        <w:t>2.95</w:t>
      </w:r>
      <w:r>
        <w:rPr>
          <w:rFonts w:hint="eastAsia" w:ascii="仿宋_GB2312" w:eastAsia="仿宋_GB2312"/>
          <w:sz w:val="32"/>
          <w:szCs w:val="32"/>
        </w:rPr>
        <w:t>万元，住房保障支出</w:t>
      </w:r>
      <w:r>
        <w:rPr>
          <w:rFonts w:ascii="仿宋_GB2312" w:eastAsia="仿宋_GB2312"/>
          <w:sz w:val="32"/>
          <w:szCs w:val="32"/>
        </w:rPr>
        <w:t>4.57</w:t>
      </w:r>
      <w:r>
        <w:rPr>
          <w:rFonts w:hint="eastAsia" w:ascii="仿宋_GB2312" w:eastAsia="仿宋_GB2312"/>
          <w:sz w:val="32"/>
          <w:szCs w:val="32"/>
        </w:rPr>
        <w:t>万元；按支出性质和经济分类，基本支出</w:t>
      </w:r>
      <w:r>
        <w:rPr>
          <w:rFonts w:ascii="仿宋_GB2312" w:eastAsia="仿宋_GB2312"/>
          <w:sz w:val="32"/>
          <w:szCs w:val="32"/>
        </w:rPr>
        <w:t>56.89</w:t>
      </w:r>
      <w:r>
        <w:rPr>
          <w:rFonts w:hint="eastAsia" w:ascii="仿宋_GB2312" w:eastAsia="仿宋_GB2312"/>
          <w:sz w:val="32"/>
          <w:szCs w:val="32"/>
        </w:rPr>
        <w:t>万元。</w:t>
      </w:r>
    </w:p>
    <w:p>
      <w:pPr>
        <w:widowControl/>
        <w:adjustRightInd w:val="0"/>
        <w:spacing w:line="576"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widowControl/>
        <w:adjustRightInd w:val="0"/>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（一）部门预算管理。</w:t>
      </w:r>
    </w:p>
    <w:p>
      <w:pPr>
        <w:widowControl/>
        <w:adjustRightInd w:val="0"/>
        <w:spacing w:line="576"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单位严格按照县财政部门预算编制通知和有关文件要求，秉承强化规划约束、坚持限额控制、实时滚动管理、强化绩效管理的基本编制原则在县财政部门规定的时间内于部门预算管理系统中以上年度9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widowControl/>
        <w:adjustRightInd w:val="0"/>
        <w:spacing w:line="576"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按照《四川省省级预算绩效运行监控管理暂行办法》要求，认真组织开展所属单位的绩效监控工作，对项目进度、预算执行、投入产出、各项效益的阶段完成情况进行动态跟踪监控，填报《项目预算绩效监控分析表》，进一步明确项目完成目标可能性及时间。为有效使用财政资金，我局根据实际工作开展情况，在部门中期预算调整中调整至急需项目，盘活资金，提高财政资金使用效益，保障了全局工作顺利开展。</w:t>
      </w:r>
    </w:p>
    <w:p>
      <w:pPr>
        <w:widowControl/>
        <w:adjustRightInd w:val="0"/>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（二）结果应用情况。</w:t>
      </w:r>
    </w:p>
    <w:p>
      <w:pPr>
        <w:widowControl/>
        <w:adjustRightInd w:val="0"/>
        <w:spacing w:line="576"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我局对部门预算绩效管理工作开展情况认真进行了自查自评。绩效评价自查开展覆盖重点支出，将评价结果作为预算安排的重要依据，参照项目年度预算执行情况、“三年滚动规划”执行情况统筹项目支出需求，保障重点支出，调整支出结构，优化财政资金配置，不断强化绩效理念，推动我厅部门整体绩效管理水平不断提升。</w:t>
      </w:r>
    </w:p>
    <w:p>
      <w:pPr>
        <w:widowControl/>
        <w:adjustRightInd w:val="0"/>
        <w:spacing w:line="576"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四、评价结论及建议</w:t>
      </w:r>
    </w:p>
    <w:p>
      <w:pPr>
        <w:widowControl/>
        <w:adjustRightInd w:val="0"/>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（一）评价结论。</w:t>
      </w:r>
    </w:p>
    <w:p>
      <w:pPr>
        <w:pStyle w:val="16"/>
        <w:spacing w:line="576" w:lineRule="exact"/>
        <w:ind w:left="0" w:leftChars="0" w:firstLine="640" w:firstLineChars="200"/>
        <w:rPr>
          <w:lang w:val="zh-CN"/>
        </w:rPr>
      </w:pPr>
      <w:r>
        <w:rPr>
          <w:rFonts w:hint="eastAsia" w:ascii="仿宋_GB2312"/>
          <w:szCs w:val="32"/>
        </w:rPr>
        <w:t>2021年我局部门整体支出绩效评价自查自评结果良好， 全年基本支出保证了部门的正常运行和日常工作的正常开展，项目支出保障了重点工作的开展，达到预期绩效目标。</w:t>
      </w:r>
    </w:p>
    <w:p>
      <w:pPr>
        <w:widowControl/>
        <w:adjustRightInd w:val="0"/>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（二）存在问题。</w:t>
      </w:r>
    </w:p>
    <w:p>
      <w:pPr>
        <w:widowControl/>
        <w:spacing w:line="576" w:lineRule="exact"/>
        <w:ind w:firstLine="640" w:firstLineChars="200"/>
        <w:jc w:val="left"/>
        <w:rPr>
          <w:rFonts w:ascii="仿宋_GB2312" w:eastAsia="仿宋_GB2312"/>
          <w:sz w:val="32"/>
          <w:szCs w:val="32"/>
        </w:rPr>
      </w:pPr>
      <w:r>
        <w:rPr>
          <w:rFonts w:hint="eastAsia" w:ascii="仿宋_GB2312" w:eastAsia="仿宋_GB2312"/>
          <w:sz w:val="32"/>
          <w:szCs w:val="32"/>
        </w:rPr>
        <w:t>绩效目标设定应当更科学更合理。单位对部门支出相关规章制度落实力度不够，执行能力不强，在票据报销规范性方面的管理不够严谨细致。</w:t>
      </w:r>
    </w:p>
    <w:p>
      <w:pPr>
        <w:widowControl/>
        <w:adjustRightInd w:val="0"/>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（三）改进建议。</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针对存在的问题，我们将进一步科学设定绩效目标，加强预算执行管理。一是改进部门收支预算编制，夯实预算基础工作，提高预算编制质量；二是认真研究政策，加强项目绩效目标审核，力求科学合理；三是认真研究重点项目的执行，特别是涉及残疾人重点民生项目，提早规划，提前实施，确保项目顺利实施，提高财政资金的使用效益。</w:t>
      </w:r>
    </w:p>
    <w:p>
      <w:pPr>
        <w:widowControl/>
        <w:adjustRightInd w:val="0"/>
        <w:spacing w:line="576" w:lineRule="exact"/>
        <w:ind w:firstLine="640" w:firstLineChars="200"/>
        <w:contextualSpacing/>
        <w:jc w:val="left"/>
        <w:rPr>
          <w:rFonts w:ascii="仿宋_GB2312" w:eastAsia="仿宋_GB2312" w:cs="宋体"/>
          <w:color w:val="000000"/>
          <w:kern w:val="0"/>
          <w:sz w:val="32"/>
          <w:szCs w:val="32"/>
          <w:shd w:val="clear" w:color="auto" w:fill="FFFFFF"/>
        </w:rPr>
      </w:pPr>
    </w:p>
    <w:p>
      <w:pPr>
        <w:spacing w:line="576" w:lineRule="exact"/>
        <w:ind w:firstLine="640" w:firstLineChars="200"/>
        <w:rPr>
          <w:rFonts w:ascii="仿宋_GB2312" w:eastAsia="仿宋_GB2312" w:cs="仿宋_GB2312"/>
          <w:sz w:val="32"/>
          <w:szCs w:val="32"/>
        </w:rPr>
      </w:pPr>
    </w:p>
    <w:p>
      <w:pPr>
        <w:spacing w:line="576" w:lineRule="exact"/>
        <w:ind w:firstLine="640" w:firstLineChars="200"/>
        <w:rPr>
          <w:rFonts w:ascii="仿宋_GB2312" w:eastAsia="仿宋_GB2312" w:cs="仿宋_GB2312"/>
          <w:sz w:val="32"/>
          <w:szCs w:val="32"/>
        </w:rPr>
      </w:pPr>
    </w:p>
    <w:p>
      <w:pPr>
        <w:spacing w:line="576" w:lineRule="exact"/>
        <w:ind w:firstLine="640" w:firstLineChars="200"/>
        <w:rPr>
          <w:rFonts w:ascii="仿宋_GB2312" w:eastAsia="仿宋_GB2312" w:cs="仿宋_GB2312"/>
          <w:sz w:val="32"/>
          <w:szCs w:val="32"/>
        </w:rPr>
      </w:pPr>
    </w:p>
    <w:p>
      <w:pPr>
        <w:spacing w:line="576" w:lineRule="exact"/>
        <w:ind w:firstLine="640" w:firstLineChars="200"/>
        <w:rPr>
          <w:rFonts w:ascii="仿宋_GB2312" w:eastAsia="仿宋_GB2312" w:cs="仿宋_GB2312"/>
          <w:sz w:val="32"/>
          <w:szCs w:val="32"/>
        </w:rPr>
      </w:pPr>
    </w:p>
    <w:p>
      <w:pPr>
        <w:spacing w:line="576" w:lineRule="exact"/>
        <w:jc w:val="left"/>
        <w:outlineLvl w:val="0"/>
        <w:rPr>
          <w:rFonts w:ascii="黑体" w:eastAsia="黑体" w:cs="黑体"/>
          <w:sz w:val="32"/>
          <w:szCs w:val="32"/>
        </w:rPr>
      </w:pPr>
      <w:bookmarkStart w:id="122" w:name="_Toc79163633"/>
    </w:p>
    <w:p>
      <w:pPr>
        <w:spacing w:line="576" w:lineRule="exact"/>
        <w:jc w:val="left"/>
        <w:outlineLvl w:val="0"/>
        <w:rPr>
          <w:rFonts w:ascii="黑体" w:eastAsia="黑体" w:cs="黑体"/>
          <w:sz w:val="32"/>
          <w:szCs w:val="32"/>
        </w:rPr>
      </w:pPr>
      <w:bookmarkStart w:id="123" w:name="_Toc114822497"/>
      <w:r>
        <w:rPr>
          <w:rFonts w:hint="eastAsia" w:ascii="黑体" w:eastAsia="黑体" w:cs="黑体"/>
          <w:sz w:val="32"/>
          <w:szCs w:val="32"/>
        </w:rPr>
        <w:t>附件</w:t>
      </w:r>
      <w:r>
        <w:rPr>
          <w:rFonts w:ascii="黑体" w:eastAsia="黑体" w:cs="黑体"/>
          <w:sz w:val="32"/>
          <w:szCs w:val="32"/>
        </w:rPr>
        <w:t>2</w:t>
      </w:r>
      <w:bookmarkEnd w:id="122"/>
      <w:bookmarkEnd w:id="123"/>
    </w:p>
    <w:p>
      <w:pPr>
        <w:spacing w:line="576" w:lineRule="exact"/>
        <w:jc w:val="center"/>
        <w:outlineLvl w:val="0"/>
        <w:rPr>
          <w:rStyle w:val="23"/>
          <w:rFonts w:ascii="黑体" w:eastAsia="黑体"/>
          <w:b w:val="0"/>
        </w:rPr>
      </w:pPr>
      <w:bookmarkStart w:id="124" w:name="_Toc79163635"/>
      <w:bookmarkStart w:id="125" w:name="_Toc15396618"/>
      <w:bookmarkStart w:id="126" w:name="_Toc114822498"/>
      <w:r>
        <w:rPr>
          <w:rFonts w:hint="eastAsia" w:ascii="黑体" w:eastAsia="黑体"/>
          <w:color w:val="000000"/>
          <w:sz w:val="44"/>
          <w:szCs w:val="44"/>
        </w:rPr>
        <w:t>第</w:t>
      </w:r>
      <w:r>
        <w:rPr>
          <w:rStyle w:val="23"/>
          <w:rFonts w:hint="eastAsia" w:ascii="黑体" w:eastAsia="黑体"/>
          <w:b w:val="0"/>
        </w:rPr>
        <w:t>五部分</w:t>
      </w:r>
      <w:r>
        <w:rPr>
          <w:rStyle w:val="23"/>
          <w:rFonts w:ascii="黑体" w:eastAsia="黑体"/>
          <w:b w:val="0"/>
        </w:rPr>
        <w:t xml:space="preserve"> </w:t>
      </w:r>
      <w:r>
        <w:rPr>
          <w:rStyle w:val="23"/>
          <w:rFonts w:hint="eastAsia" w:ascii="黑体" w:eastAsia="黑体"/>
          <w:b w:val="0"/>
        </w:rPr>
        <w:t>附表</w:t>
      </w:r>
      <w:bookmarkEnd w:id="112"/>
      <w:bookmarkEnd w:id="124"/>
      <w:bookmarkEnd w:id="125"/>
      <w:bookmarkEnd w:id="126"/>
    </w:p>
    <w:p>
      <w:pPr>
        <w:pStyle w:val="3"/>
        <w:spacing w:before="0" w:after="0" w:line="576" w:lineRule="exact"/>
        <w:ind w:firstLine="640" w:firstLineChars="200"/>
        <w:rPr>
          <w:rFonts w:ascii="仿宋" w:eastAsia="仿宋"/>
          <w:color w:val="000000"/>
        </w:rPr>
      </w:pPr>
      <w:bookmarkStart w:id="127" w:name="_Toc15396619"/>
      <w:bookmarkStart w:id="128" w:name="_Toc79163636"/>
      <w:bookmarkStart w:id="129" w:name="_Toc114822499"/>
      <w:r>
        <w:rPr>
          <w:rFonts w:hint="eastAsia" w:ascii="仿宋" w:eastAsia="仿宋"/>
          <w:b w:val="0"/>
          <w:color w:val="000000"/>
        </w:rPr>
        <w:t>一、收</w:t>
      </w:r>
      <w:r>
        <w:rPr>
          <w:rStyle w:val="24"/>
          <w:rFonts w:hint="eastAsia" w:ascii="仿宋" w:eastAsia="仿宋"/>
          <w:b w:val="0"/>
          <w:bCs w:val="0"/>
        </w:rPr>
        <w:t>入支出决算总表</w:t>
      </w:r>
      <w:bookmarkEnd w:id="127"/>
      <w:bookmarkEnd w:id="128"/>
      <w:bookmarkEnd w:id="129"/>
    </w:p>
    <w:p>
      <w:pPr>
        <w:pStyle w:val="3"/>
        <w:spacing w:before="0" w:after="0" w:line="576" w:lineRule="exact"/>
        <w:ind w:firstLine="640" w:firstLineChars="200"/>
        <w:rPr>
          <w:rFonts w:ascii="仿宋" w:eastAsia="仿宋"/>
          <w:color w:val="000000"/>
        </w:rPr>
      </w:pPr>
      <w:bookmarkStart w:id="130" w:name="_Toc79163637"/>
      <w:bookmarkStart w:id="131" w:name="_Toc15396620"/>
      <w:bookmarkStart w:id="132" w:name="_Toc114822500"/>
      <w:r>
        <w:rPr>
          <w:rFonts w:hint="eastAsia" w:ascii="仿宋" w:eastAsia="仿宋"/>
          <w:b w:val="0"/>
          <w:color w:val="000000"/>
        </w:rPr>
        <w:t>二、收</w:t>
      </w:r>
      <w:r>
        <w:rPr>
          <w:rStyle w:val="24"/>
          <w:rFonts w:hint="eastAsia" w:ascii="仿宋" w:eastAsia="仿宋"/>
          <w:b w:val="0"/>
          <w:bCs w:val="0"/>
        </w:rPr>
        <w:t>入决算表</w:t>
      </w:r>
      <w:bookmarkEnd w:id="130"/>
      <w:bookmarkEnd w:id="131"/>
      <w:bookmarkEnd w:id="132"/>
    </w:p>
    <w:p>
      <w:pPr>
        <w:pStyle w:val="3"/>
        <w:spacing w:before="0" w:after="0" w:line="576" w:lineRule="exact"/>
        <w:ind w:firstLine="640" w:firstLineChars="200"/>
        <w:rPr>
          <w:rFonts w:ascii="仿宋" w:eastAsia="仿宋"/>
          <w:color w:val="000000"/>
        </w:rPr>
      </w:pPr>
      <w:bookmarkStart w:id="133" w:name="_Toc79163638"/>
      <w:bookmarkStart w:id="134" w:name="_Toc15396621"/>
      <w:bookmarkStart w:id="135" w:name="_Toc114822501"/>
      <w:r>
        <w:rPr>
          <w:rStyle w:val="24"/>
          <w:rFonts w:hint="eastAsia" w:ascii="仿宋" w:eastAsia="仿宋"/>
          <w:b w:val="0"/>
          <w:bCs w:val="0"/>
        </w:rPr>
        <w:t>三、</w:t>
      </w:r>
      <w:r>
        <w:rPr>
          <w:rFonts w:hint="eastAsia" w:ascii="仿宋" w:eastAsia="仿宋"/>
          <w:b w:val="0"/>
          <w:color w:val="000000"/>
        </w:rPr>
        <w:t>支</w:t>
      </w:r>
      <w:r>
        <w:rPr>
          <w:rStyle w:val="24"/>
          <w:rFonts w:hint="eastAsia" w:ascii="仿宋" w:eastAsia="仿宋"/>
          <w:b w:val="0"/>
          <w:bCs w:val="0"/>
        </w:rPr>
        <w:t>出决算表</w:t>
      </w:r>
      <w:bookmarkEnd w:id="133"/>
      <w:bookmarkEnd w:id="134"/>
      <w:bookmarkEnd w:id="135"/>
    </w:p>
    <w:p>
      <w:pPr>
        <w:pStyle w:val="3"/>
        <w:spacing w:before="0" w:after="0" w:line="576" w:lineRule="exact"/>
        <w:ind w:firstLine="640" w:firstLineChars="200"/>
        <w:rPr>
          <w:rFonts w:ascii="仿宋" w:eastAsia="仿宋"/>
          <w:b w:val="0"/>
          <w:color w:val="000000"/>
        </w:rPr>
      </w:pPr>
      <w:bookmarkStart w:id="136" w:name="_Toc79163639"/>
      <w:bookmarkStart w:id="137" w:name="_Toc15396622"/>
      <w:bookmarkStart w:id="138" w:name="_Toc114822502"/>
      <w:r>
        <w:rPr>
          <w:rStyle w:val="24"/>
          <w:rFonts w:hint="eastAsia" w:ascii="仿宋" w:eastAsia="仿宋"/>
          <w:b w:val="0"/>
          <w:bCs w:val="0"/>
        </w:rPr>
        <w:t>四、</w:t>
      </w:r>
      <w:r>
        <w:rPr>
          <w:rFonts w:hint="eastAsia" w:ascii="仿宋" w:eastAsia="仿宋"/>
          <w:b w:val="0"/>
          <w:color w:val="000000"/>
        </w:rPr>
        <w:t>财</w:t>
      </w:r>
      <w:r>
        <w:rPr>
          <w:rStyle w:val="24"/>
          <w:rFonts w:hint="eastAsia" w:ascii="仿宋" w:eastAsia="仿宋"/>
          <w:b w:val="0"/>
          <w:bCs w:val="0"/>
        </w:rPr>
        <w:t>政拨款收入支出决算总表</w:t>
      </w:r>
      <w:bookmarkEnd w:id="136"/>
      <w:bookmarkEnd w:id="137"/>
      <w:bookmarkEnd w:id="138"/>
    </w:p>
    <w:p>
      <w:pPr>
        <w:pStyle w:val="3"/>
        <w:spacing w:before="0" w:after="0" w:line="576" w:lineRule="exact"/>
        <w:ind w:firstLine="640" w:firstLineChars="200"/>
        <w:rPr>
          <w:rStyle w:val="24"/>
          <w:rFonts w:ascii="仿宋" w:eastAsia="仿宋"/>
          <w:b w:val="0"/>
          <w:bCs w:val="0"/>
        </w:rPr>
      </w:pPr>
      <w:bookmarkStart w:id="139" w:name="_Toc15396623"/>
      <w:bookmarkStart w:id="140" w:name="_Toc79163640"/>
      <w:bookmarkStart w:id="141" w:name="_Toc114822503"/>
      <w:r>
        <w:rPr>
          <w:rStyle w:val="24"/>
          <w:rFonts w:hint="eastAsia" w:ascii="仿宋" w:eastAsia="仿宋"/>
          <w:b w:val="0"/>
          <w:bCs w:val="0"/>
        </w:rPr>
        <w:t>五、</w:t>
      </w:r>
      <w:r>
        <w:rPr>
          <w:rFonts w:hint="eastAsia" w:ascii="仿宋" w:eastAsia="仿宋"/>
          <w:b w:val="0"/>
          <w:color w:val="000000"/>
        </w:rPr>
        <w:t>财</w:t>
      </w:r>
      <w:r>
        <w:rPr>
          <w:rStyle w:val="24"/>
          <w:rFonts w:hint="eastAsia" w:ascii="仿宋" w:eastAsia="仿宋"/>
          <w:b w:val="0"/>
          <w:bCs w:val="0"/>
        </w:rPr>
        <w:t>政拨款支出决算明细表</w:t>
      </w:r>
      <w:bookmarkEnd w:id="139"/>
      <w:bookmarkEnd w:id="140"/>
      <w:bookmarkEnd w:id="141"/>
      <w:bookmarkStart w:id="142" w:name="_Toc15396624"/>
    </w:p>
    <w:p>
      <w:pPr>
        <w:pStyle w:val="3"/>
        <w:spacing w:before="0" w:after="0" w:line="576" w:lineRule="exact"/>
        <w:ind w:firstLine="640" w:firstLineChars="200"/>
        <w:rPr>
          <w:rFonts w:ascii="仿宋" w:eastAsia="仿宋"/>
          <w:color w:val="000000"/>
        </w:rPr>
      </w:pPr>
      <w:bookmarkStart w:id="143" w:name="_Toc79163641"/>
      <w:bookmarkStart w:id="144" w:name="_Toc114822504"/>
      <w:r>
        <w:rPr>
          <w:rStyle w:val="24"/>
          <w:rFonts w:hint="eastAsia" w:ascii="仿宋" w:eastAsia="仿宋"/>
          <w:b w:val="0"/>
          <w:bCs w:val="0"/>
        </w:rPr>
        <w:t>六、</w:t>
      </w:r>
      <w:r>
        <w:rPr>
          <w:rFonts w:hint="eastAsia" w:ascii="仿宋" w:eastAsia="仿宋"/>
          <w:b w:val="0"/>
          <w:color w:val="000000"/>
        </w:rPr>
        <w:t>一</w:t>
      </w:r>
      <w:r>
        <w:rPr>
          <w:rStyle w:val="24"/>
          <w:rFonts w:hint="eastAsia" w:ascii="仿宋" w:eastAsia="仿宋"/>
          <w:b w:val="0"/>
          <w:bCs w:val="0"/>
        </w:rPr>
        <w:t>般公共预算财政拨款支出决算表</w:t>
      </w:r>
      <w:bookmarkEnd w:id="142"/>
      <w:bookmarkEnd w:id="143"/>
      <w:bookmarkEnd w:id="144"/>
    </w:p>
    <w:p>
      <w:pPr>
        <w:pStyle w:val="3"/>
        <w:spacing w:before="0" w:after="0" w:line="576" w:lineRule="exact"/>
        <w:ind w:firstLine="640" w:firstLineChars="200"/>
        <w:rPr>
          <w:rFonts w:ascii="仿宋" w:eastAsia="仿宋"/>
          <w:color w:val="000000"/>
        </w:rPr>
      </w:pPr>
      <w:bookmarkStart w:id="145" w:name="_Toc79163642"/>
      <w:bookmarkStart w:id="146" w:name="_Toc15396625"/>
      <w:bookmarkStart w:id="147" w:name="_Toc114822505"/>
      <w:r>
        <w:rPr>
          <w:rStyle w:val="24"/>
          <w:rFonts w:hint="eastAsia" w:ascii="仿宋" w:eastAsia="仿宋"/>
          <w:b w:val="0"/>
          <w:bCs w:val="0"/>
        </w:rPr>
        <w:t>七、</w:t>
      </w:r>
      <w:r>
        <w:rPr>
          <w:rFonts w:hint="eastAsia" w:ascii="仿宋" w:eastAsia="仿宋"/>
          <w:b w:val="0"/>
          <w:color w:val="000000"/>
        </w:rPr>
        <w:t>一</w:t>
      </w:r>
      <w:r>
        <w:rPr>
          <w:rStyle w:val="24"/>
          <w:rFonts w:hint="eastAsia" w:ascii="仿宋" w:eastAsia="仿宋"/>
          <w:b w:val="0"/>
          <w:bCs w:val="0"/>
        </w:rPr>
        <w:t>般公共预算财政拨款支出决算明细表</w:t>
      </w:r>
      <w:bookmarkEnd w:id="145"/>
      <w:bookmarkEnd w:id="146"/>
      <w:bookmarkEnd w:id="147"/>
    </w:p>
    <w:p>
      <w:pPr>
        <w:pStyle w:val="3"/>
        <w:spacing w:before="0" w:after="0" w:line="576" w:lineRule="exact"/>
        <w:ind w:firstLine="640" w:firstLineChars="200"/>
        <w:rPr>
          <w:rFonts w:ascii="仿宋" w:eastAsia="仿宋"/>
          <w:color w:val="000000"/>
        </w:rPr>
      </w:pPr>
      <w:bookmarkStart w:id="148" w:name="_Toc15396626"/>
      <w:bookmarkStart w:id="149" w:name="_Toc79163643"/>
      <w:bookmarkStart w:id="150" w:name="_Toc114822506"/>
      <w:r>
        <w:rPr>
          <w:rStyle w:val="24"/>
          <w:rFonts w:hint="eastAsia" w:ascii="仿宋" w:eastAsia="仿宋"/>
          <w:b w:val="0"/>
          <w:bCs w:val="0"/>
        </w:rPr>
        <w:t>八、</w:t>
      </w:r>
      <w:r>
        <w:rPr>
          <w:rFonts w:hint="eastAsia" w:ascii="仿宋" w:eastAsia="仿宋"/>
          <w:b w:val="0"/>
          <w:color w:val="000000"/>
        </w:rPr>
        <w:t>一</w:t>
      </w:r>
      <w:r>
        <w:rPr>
          <w:rStyle w:val="24"/>
          <w:rFonts w:hint="eastAsia" w:ascii="仿宋" w:eastAsia="仿宋"/>
          <w:b w:val="0"/>
          <w:bCs w:val="0"/>
        </w:rPr>
        <w:t>般公共预算财政拨款基本支出决算表</w:t>
      </w:r>
      <w:bookmarkEnd w:id="148"/>
      <w:bookmarkEnd w:id="149"/>
      <w:bookmarkEnd w:id="150"/>
    </w:p>
    <w:p>
      <w:pPr>
        <w:pStyle w:val="3"/>
        <w:spacing w:before="0" w:after="0" w:line="576" w:lineRule="exact"/>
        <w:ind w:firstLine="640" w:firstLineChars="200"/>
        <w:rPr>
          <w:rFonts w:ascii="仿宋" w:eastAsia="仿宋"/>
          <w:color w:val="000000"/>
        </w:rPr>
      </w:pPr>
      <w:bookmarkStart w:id="151" w:name="_Toc15396627"/>
      <w:bookmarkStart w:id="152" w:name="_Toc79163644"/>
      <w:bookmarkStart w:id="153" w:name="_Toc114822507"/>
      <w:r>
        <w:rPr>
          <w:rStyle w:val="24"/>
          <w:rFonts w:hint="eastAsia" w:ascii="仿宋" w:eastAsia="仿宋"/>
          <w:b w:val="0"/>
          <w:bCs w:val="0"/>
        </w:rPr>
        <w:t>九、</w:t>
      </w:r>
      <w:r>
        <w:rPr>
          <w:rFonts w:hint="eastAsia" w:ascii="仿宋" w:eastAsia="仿宋"/>
          <w:b w:val="0"/>
          <w:color w:val="000000"/>
        </w:rPr>
        <w:t>一</w:t>
      </w:r>
      <w:r>
        <w:rPr>
          <w:rStyle w:val="24"/>
          <w:rFonts w:hint="eastAsia" w:ascii="仿宋" w:eastAsia="仿宋"/>
          <w:b w:val="0"/>
          <w:bCs w:val="0"/>
        </w:rPr>
        <w:t>般公共预算财政拨款项目支出决算表</w:t>
      </w:r>
      <w:bookmarkEnd w:id="151"/>
      <w:bookmarkEnd w:id="152"/>
      <w:bookmarkEnd w:id="153"/>
    </w:p>
    <w:p>
      <w:pPr>
        <w:pStyle w:val="3"/>
        <w:spacing w:before="0" w:after="0" w:line="576" w:lineRule="exact"/>
        <w:ind w:firstLine="640" w:firstLineChars="200"/>
        <w:rPr>
          <w:rFonts w:ascii="仿宋" w:eastAsia="仿宋"/>
          <w:color w:val="000000"/>
        </w:rPr>
      </w:pPr>
      <w:bookmarkStart w:id="154" w:name="_Toc15396628"/>
      <w:bookmarkStart w:id="155" w:name="_Toc79163645"/>
      <w:bookmarkStart w:id="156" w:name="_Toc114822508"/>
      <w:r>
        <w:rPr>
          <w:rStyle w:val="24"/>
          <w:rFonts w:hint="eastAsia" w:ascii="仿宋" w:eastAsia="仿宋"/>
          <w:b w:val="0"/>
          <w:bCs w:val="0"/>
        </w:rPr>
        <w:t>十、</w:t>
      </w:r>
      <w:r>
        <w:rPr>
          <w:rFonts w:hint="eastAsia" w:ascii="仿宋" w:eastAsia="仿宋"/>
          <w:b w:val="0"/>
          <w:color w:val="000000"/>
        </w:rPr>
        <w:t>一</w:t>
      </w:r>
      <w:r>
        <w:rPr>
          <w:rStyle w:val="24"/>
          <w:rFonts w:hint="eastAsia" w:ascii="仿宋" w:eastAsia="仿宋"/>
          <w:b w:val="0"/>
          <w:bCs w:val="0"/>
        </w:rPr>
        <w:t>般公共预算财政拨款“三公”经费支出决算表</w:t>
      </w:r>
      <w:bookmarkEnd w:id="154"/>
      <w:bookmarkEnd w:id="155"/>
      <w:bookmarkEnd w:id="156"/>
    </w:p>
    <w:p>
      <w:pPr>
        <w:pStyle w:val="3"/>
        <w:spacing w:before="0" w:after="0" w:line="576" w:lineRule="exact"/>
        <w:ind w:firstLine="640" w:firstLineChars="200"/>
        <w:rPr>
          <w:rFonts w:ascii="仿宋" w:eastAsia="仿宋"/>
          <w:color w:val="000000"/>
        </w:rPr>
      </w:pPr>
      <w:bookmarkStart w:id="157" w:name="_Toc15396629"/>
      <w:bookmarkStart w:id="158" w:name="_Toc79163646"/>
      <w:bookmarkStart w:id="159" w:name="_Toc114822509"/>
      <w:r>
        <w:rPr>
          <w:rStyle w:val="24"/>
          <w:rFonts w:hint="eastAsia" w:ascii="仿宋" w:eastAsia="仿宋"/>
          <w:b w:val="0"/>
          <w:bCs w:val="0"/>
        </w:rPr>
        <w:t>十一、</w:t>
      </w:r>
      <w:r>
        <w:rPr>
          <w:rFonts w:hint="eastAsia" w:ascii="仿宋" w:eastAsia="仿宋"/>
          <w:b w:val="0"/>
          <w:color w:val="000000"/>
        </w:rPr>
        <w:t>政</w:t>
      </w:r>
      <w:r>
        <w:rPr>
          <w:rStyle w:val="24"/>
          <w:rFonts w:hint="eastAsia" w:ascii="仿宋" w:eastAsia="仿宋"/>
          <w:b w:val="0"/>
          <w:bCs w:val="0"/>
        </w:rPr>
        <w:t>府性基金预算财政拨款收入支出决算表</w:t>
      </w:r>
      <w:bookmarkEnd w:id="157"/>
      <w:bookmarkEnd w:id="158"/>
      <w:bookmarkEnd w:id="159"/>
    </w:p>
    <w:p>
      <w:pPr>
        <w:pStyle w:val="3"/>
        <w:spacing w:before="0" w:after="0" w:line="576" w:lineRule="exact"/>
        <w:ind w:firstLine="640" w:firstLineChars="200"/>
        <w:rPr>
          <w:rFonts w:ascii="仿宋" w:eastAsia="仿宋"/>
          <w:color w:val="000000"/>
        </w:rPr>
      </w:pPr>
      <w:bookmarkStart w:id="160" w:name="_Toc15396630"/>
      <w:bookmarkStart w:id="161" w:name="_Toc79163647"/>
      <w:bookmarkStart w:id="162" w:name="_Toc114822510"/>
      <w:r>
        <w:rPr>
          <w:rStyle w:val="24"/>
          <w:rFonts w:hint="eastAsia" w:ascii="仿宋" w:eastAsia="仿宋"/>
          <w:b w:val="0"/>
          <w:bCs w:val="0"/>
        </w:rPr>
        <w:t>十二、</w:t>
      </w:r>
      <w:r>
        <w:rPr>
          <w:rFonts w:hint="eastAsia" w:ascii="仿宋" w:eastAsia="仿宋"/>
          <w:b w:val="0"/>
          <w:color w:val="000000"/>
        </w:rPr>
        <w:t>政</w:t>
      </w:r>
      <w:r>
        <w:rPr>
          <w:rStyle w:val="24"/>
          <w:rFonts w:hint="eastAsia" w:ascii="仿宋" w:eastAsia="仿宋"/>
          <w:b w:val="0"/>
          <w:bCs w:val="0"/>
        </w:rPr>
        <w:t>府性基金预算财政拨款“三公”经费支出决算表</w:t>
      </w:r>
      <w:bookmarkEnd w:id="160"/>
      <w:bookmarkEnd w:id="161"/>
      <w:bookmarkEnd w:id="162"/>
    </w:p>
    <w:p>
      <w:pPr>
        <w:pStyle w:val="3"/>
        <w:spacing w:before="0" w:after="0" w:line="576" w:lineRule="exact"/>
        <w:ind w:firstLine="640" w:firstLineChars="200"/>
        <w:rPr>
          <w:rStyle w:val="24"/>
          <w:rFonts w:ascii="仿宋" w:eastAsia="仿宋"/>
          <w:b w:val="0"/>
          <w:bCs w:val="0"/>
        </w:rPr>
      </w:pPr>
      <w:bookmarkStart w:id="163" w:name="_Toc15396631"/>
      <w:bookmarkStart w:id="164" w:name="_Toc79163648"/>
      <w:bookmarkStart w:id="165" w:name="_Toc114822511"/>
      <w:r>
        <w:rPr>
          <w:rStyle w:val="24"/>
          <w:rFonts w:hint="eastAsia" w:ascii="仿宋" w:eastAsia="仿宋"/>
          <w:b w:val="0"/>
          <w:bCs w:val="0"/>
        </w:rPr>
        <w:t>十三、</w:t>
      </w:r>
      <w:r>
        <w:rPr>
          <w:rFonts w:hint="eastAsia" w:ascii="仿宋" w:eastAsia="仿宋"/>
          <w:b w:val="0"/>
          <w:color w:val="000000"/>
        </w:rPr>
        <w:t>国</w:t>
      </w:r>
      <w:r>
        <w:rPr>
          <w:rStyle w:val="24"/>
          <w:rFonts w:hint="eastAsia" w:ascii="仿宋" w:eastAsia="仿宋"/>
          <w:b w:val="0"/>
          <w:bCs w:val="0"/>
        </w:rPr>
        <w:t>有资本经营预算财政拨款支出决算表</w:t>
      </w:r>
      <w:bookmarkEnd w:id="163"/>
      <w:bookmarkEnd w:id="164"/>
      <w:bookmarkEnd w:id="165"/>
    </w:p>
    <w:p>
      <w:pPr>
        <w:pStyle w:val="3"/>
        <w:spacing w:before="0" w:after="0" w:line="576" w:lineRule="exact"/>
        <w:ind w:firstLine="640" w:firstLineChars="200"/>
        <w:rPr>
          <w:rStyle w:val="24"/>
          <w:rFonts w:ascii="仿宋" w:eastAsia="仿宋"/>
          <w:b w:val="0"/>
          <w:bCs w:val="0"/>
        </w:rPr>
      </w:pPr>
      <w:bookmarkStart w:id="166" w:name="_Toc79163649"/>
      <w:bookmarkStart w:id="167" w:name="_Toc114822512"/>
      <w:r>
        <w:rPr>
          <w:rStyle w:val="24"/>
          <w:rFonts w:hint="eastAsia" w:ascii="仿宋" w:eastAsia="仿宋"/>
          <w:b w:val="0"/>
          <w:bCs w:val="0"/>
        </w:rPr>
        <w:t>十四、国有资本经营预算财政拨款支出决算表</w:t>
      </w:r>
      <w:bookmarkEnd w:id="166"/>
      <w:bookmarkEnd w:id="167"/>
    </w:p>
    <w:sectPr>
      <w:headerReference r:id="rId3" w:type="default"/>
      <w:footerReference r:id="rId4" w:type="default"/>
      <w:pgSz w:w="11906" w:h="16838"/>
      <w:pgMar w:top="2098" w:right="1474" w:bottom="1984" w:left="158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0000019F" w:csb1="00000000"/>
  </w:font>
  <w:font w:name="等线">
    <w:altName w:val="仿宋_GB2312"/>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等线 Light">
    <w:altName w:val="仿宋_GB2312"/>
    <w:panose1 w:val="02010600030101010101"/>
    <w:charset w:val="86"/>
    <w:family w:val="auto"/>
    <w:pitch w:val="default"/>
    <w:sig w:usb0="00000000" w:usb1="00000000" w:usb2="00000016" w:usb3="00000000" w:csb0="0004000F" w:csb1="00000000"/>
  </w:font>
  <w:font w:name="方正小标宋简体">
    <w:altName w:val="方正小标宋_GBK"/>
    <w:panose1 w:val="02010601030101010101"/>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等线">
    <w:altName w:val="仿宋_GB2312"/>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5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62621CDC"/>
    <w:multiLevelType w:val="multilevel"/>
    <w:tmpl w:val="62621CDC"/>
    <w:lvl w:ilvl="0" w:tentative="0">
      <w:start w:val="1"/>
      <w:numFmt w:val="decimal"/>
      <w:lvlText w:val="%1."/>
      <w:lvlJc w:val="left"/>
      <w:pPr>
        <w:ind w:left="1152" w:hanging="480"/>
      </w:pPr>
      <w:rPr>
        <w:rFonts w:hint="default" w:cs="Times New Roman"/>
      </w:rPr>
    </w:lvl>
    <w:lvl w:ilvl="1" w:tentative="0">
      <w:start w:val="1"/>
      <w:numFmt w:val="lowerLetter"/>
      <w:lvlText w:val="%2)"/>
      <w:lvlJc w:val="left"/>
      <w:pPr>
        <w:ind w:left="1512" w:hanging="420"/>
      </w:pPr>
      <w:rPr>
        <w:rFonts w:cs="Times New Roman"/>
      </w:rPr>
    </w:lvl>
    <w:lvl w:ilvl="2" w:tentative="0">
      <w:start w:val="1"/>
      <w:numFmt w:val="lowerRoman"/>
      <w:lvlText w:val="%3."/>
      <w:lvlJc w:val="right"/>
      <w:pPr>
        <w:ind w:left="1932" w:hanging="420"/>
      </w:pPr>
      <w:rPr>
        <w:rFonts w:cs="Times New Roman"/>
      </w:rPr>
    </w:lvl>
    <w:lvl w:ilvl="3" w:tentative="0">
      <w:start w:val="1"/>
      <w:numFmt w:val="decimal"/>
      <w:lvlText w:val="%4."/>
      <w:lvlJc w:val="left"/>
      <w:pPr>
        <w:ind w:left="2352" w:hanging="420"/>
      </w:pPr>
      <w:rPr>
        <w:rFonts w:cs="Times New Roman"/>
      </w:rPr>
    </w:lvl>
    <w:lvl w:ilvl="4" w:tentative="0">
      <w:start w:val="1"/>
      <w:numFmt w:val="lowerLetter"/>
      <w:lvlText w:val="%5)"/>
      <w:lvlJc w:val="left"/>
      <w:pPr>
        <w:ind w:left="2772" w:hanging="420"/>
      </w:pPr>
      <w:rPr>
        <w:rFonts w:cs="Times New Roman"/>
      </w:rPr>
    </w:lvl>
    <w:lvl w:ilvl="5" w:tentative="0">
      <w:start w:val="1"/>
      <w:numFmt w:val="lowerRoman"/>
      <w:lvlText w:val="%6."/>
      <w:lvlJc w:val="right"/>
      <w:pPr>
        <w:ind w:left="3192" w:hanging="420"/>
      </w:pPr>
      <w:rPr>
        <w:rFonts w:cs="Times New Roman"/>
      </w:rPr>
    </w:lvl>
    <w:lvl w:ilvl="6" w:tentative="0">
      <w:start w:val="1"/>
      <w:numFmt w:val="decimal"/>
      <w:lvlText w:val="%7."/>
      <w:lvlJc w:val="left"/>
      <w:pPr>
        <w:ind w:left="3612" w:hanging="420"/>
      </w:pPr>
      <w:rPr>
        <w:rFonts w:cs="Times New Roman"/>
      </w:rPr>
    </w:lvl>
    <w:lvl w:ilvl="7" w:tentative="0">
      <w:start w:val="1"/>
      <w:numFmt w:val="lowerLetter"/>
      <w:lvlText w:val="%8)"/>
      <w:lvlJc w:val="left"/>
      <w:pPr>
        <w:ind w:left="4032" w:hanging="420"/>
      </w:pPr>
      <w:rPr>
        <w:rFonts w:cs="Times New Roman"/>
      </w:rPr>
    </w:lvl>
    <w:lvl w:ilvl="8" w:tentative="0">
      <w:start w:val="1"/>
      <w:numFmt w:val="lowerRoman"/>
      <w:lvlText w:val="%9."/>
      <w:lvlJc w:val="right"/>
      <w:pPr>
        <w:ind w:left="4452" w:hanging="420"/>
      </w:pPr>
      <w:rPr>
        <w:rFonts w:cs="Times New Roman"/>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ZmM5MTZmYjMzY2FhMGRjNjUyOTVkOGM4ODVlMjI2NmMifQ=="/>
  </w:docVars>
  <w:rsids>
    <w:rsidRoot w:val="00851976"/>
    <w:rsid w:val="00012DFA"/>
    <w:rsid w:val="000203BB"/>
    <w:rsid w:val="00022CE4"/>
    <w:rsid w:val="00043716"/>
    <w:rsid w:val="00044AF5"/>
    <w:rsid w:val="00051A7B"/>
    <w:rsid w:val="00093168"/>
    <w:rsid w:val="000A6E00"/>
    <w:rsid w:val="000A7C21"/>
    <w:rsid w:val="000C3CAA"/>
    <w:rsid w:val="000C7483"/>
    <w:rsid w:val="000E5C3C"/>
    <w:rsid w:val="000F408B"/>
    <w:rsid w:val="00102FB7"/>
    <w:rsid w:val="0011697E"/>
    <w:rsid w:val="00116DF3"/>
    <w:rsid w:val="0012074B"/>
    <w:rsid w:val="00146056"/>
    <w:rsid w:val="00166B7F"/>
    <w:rsid w:val="00175BDB"/>
    <w:rsid w:val="00180679"/>
    <w:rsid w:val="001C4D7D"/>
    <w:rsid w:val="001D545B"/>
    <w:rsid w:val="001D7CC2"/>
    <w:rsid w:val="001E355C"/>
    <w:rsid w:val="00204C0E"/>
    <w:rsid w:val="002418E7"/>
    <w:rsid w:val="00247868"/>
    <w:rsid w:val="00253E1C"/>
    <w:rsid w:val="00256590"/>
    <w:rsid w:val="002700DB"/>
    <w:rsid w:val="002A096F"/>
    <w:rsid w:val="002A3070"/>
    <w:rsid w:val="002A6B40"/>
    <w:rsid w:val="002D11F1"/>
    <w:rsid w:val="002F10C3"/>
    <w:rsid w:val="00323082"/>
    <w:rsid w:val="0035419E"/>
    <w:rsid w:val="00357424"/>
    <w:rsid w:val="00384EC6"/>
    <w:rsid w:val="0039616F"/>
    <w:rsid w:val="003A6F77"/>
    <w:rsid w:val="003D5194"/>
    <w:rsid w:val="004100BD"/>
    <w:rsid w:val="004224DE"/>
    <w:rsid w:val="00447032"/>
    <w:rsid w:val="00493BD2"/>
    <w:rsid w:val="004A6AAF"/>
    <w:rsid w:val="004D29AB"/>
    <w:rsid w:val="004E2BBA"/>
    <w:rsid w:val="00512984"/>
    <w:rsid w:val="00523497"/>
    <w:rsid w:val="00550B11"/>
    <w:rsid w:val="0056729C"/>
    <w:rsid w:val="0058426A"/>
    <w:rsid w:val="00585052"/>
    <w:rsid w:val="005A192F"/>
    <w:rsid w:val="005F4B84"/>
    <w:rsid w:val="00615558"/>
    <w:rsid w:val="00626EC1"/>
    <w:rsid w:val="00652C75"/>
    <w:rsid w:val="00657326"/>
    <w:rsid w:val="006648D5"/>
    <w:rsid w:val="0068163C"/>
    <w:rsid w:val="006974EB"/>
    <w:rsid w:val="006C73EC"/>
    <w:rsid w:val="006F1D61"/>
    <w:rsid w:val="006F3038"/>
    <w:rsid w:val="0070724B"/>
    <w:rsid w:val="007150A3"/>
    <w:rsid w:val="00723D11"/>
    <w:rsid w:val="0077579B"/>
    <w:rsid w:val="007772A3"/>
    <w:rsid w:val="007C02DB"/>
    <w:rsid w:val="007D5C2B"/>
    <w:rsid w:val="007E7563"/>
    <w:rsid w:val="007F29C7"/>
    <w:rsid w:val="00807C13"/>
    <w:rsid w:val="0082609F"/>
    <w:rsid w:val="0083270C"/>
    <w:rsid w:val="00845589"/>
    <w:rsid w:val="00851976"/>
    <w:rsid w:val="00852162"/>
    <w:rsid w:val="00871481"/>
    <w:rsid w:val="00890639"/>
    <w:rsid w:val="008B786B"/>
    <w:rsid w:val="008F32E6"/>
    <w:rsid w:val="0092354E"/>
    <w:rsid w:val="00941CAD"/>
    <w:rsid w:val="00947AF2"/>
    <w:rsid w:val="00960993"/>
    <w:rsid w:val="009914D4"/>
    <w:rsid w:val="009A62E2"/>
    <w:rsid w:val="009B0F0E"/>
    <w:rsid w:val="009C52D8"/>
    <w:rsid w:val="009D75DA"/>
    <w:rsid w:val="009E35A2"/>
    <w:rsid w:val="009F0076"/>
    <w:rsid w:val="00A00FBB"/>
    <w:rsid w:val="00A1461F"/>
    <w:rsid w:val="00A237D9"/>
    <w:rsid w:val="00A5750B"/>
    <w:rsid w:val="00A81B84"/>
    <w:rsid w:val="00A94A3D"/>
    <w:rsid w:val="00B01969"/>
    <w:rsid w:val="00B068DB"/>
    <w:rsid w:val="00B160D4"/>
    <w:rsid w:val="00B4637E"/>
    <w:rsid w:val="00B46B02"/>
    <w:rsid w:val="00B554B1"/>
    <w:rsid w:val="00B72B39"/>
    <w:rsid w:val="00B960F8"/>
    <w:rsid w:val="00BF1A79"/>
    <w:rsid w:val="00C06D21"/>
    <w:rsid w:val="00C10ED6"/>
    <w:rsid w:val="00C11D84"/>
    <w:rsid w:val="00C60F77"/>
    <w:rsid w:val="00C64352"/>
    <w:rsid w:val="00C80421"/>
    <w:rsid w:val="00C91ACB"/>
    <w:rsid w:val="00CC71D4"/>
    <w:rsid w:val="00CD385E"/>
    <w:rsid w:val="00CF4BC7"/>
    <w:rsid w:val="00D368EC"/>
    <w:rsid w:val="00D42CBB"/>
    <w:rsid w:val="00D457D0"/>
    <w:rsid w:val="00D45DDF"/>
    <w:rsid w:val="00D47F75"/>
    <w:rsid w:val="00D571A9"/>
    <w:rsid w:val="00D7638F"/>
    <w:rsid w:val="00D81834"/>
    <w:rsid w:val="00DA0376"/>
    <w:rsid w:val="00DA4528"/>
    <w:rsid w:val="00DA5E73"/>
    <w:rsid w:val="00DD0E6E"/>
    <w:rsid w:val="00DD71BD"/>
    <w:rsid w:val="00E646DA"/>
    <w:rsid w:val="00E66C92"/>
    <w:rsid w:val="00E84FA6"/>
    <w:rsid w:val="00EC2AAC"/>
    <w:rsid w:val="00ED72E0"/>
    <w:rsid w:val="00EE5AEE"/>
    <w:rsid w:val="00EE5B22"/>
    <w:rsid w:val="00EF4E76"/>
    <w:rsid w:val="00F006A4"/>
    <w:rsid w:val="00F13947"/>
    <w:rsid w:val="00F455BD"/>
    <w:rsid w:val="00F52D62"/>
    <w:rsid w:val="00F60556"/>
    <w:rsid w:val="00F6230D"/>
    <w:rsid w:val="00F66254"/>
    <w:rsid w:val="00FA2428"/>
    <w:rsid w:val="00FB3FCA"/>
    <w:rsid w:val="00FC4AAA"/>
    <w:rsid w:val="00FE28BC"/>
    <w:rsid w:val="00FE592A"/>
    <w:rsid w:val="00FE755F"/>
    <w:rsid w:val="00FF212E"/>
    <w:rsid w:val="011A0C57"/>
    <w:rsid w:val="0EBB3568"/>
    <w:rsid w:val="274F2759"/>
    <w:rsid w:val="30616A2B"/>
    <w:rsid w:val="5FB83F44"/>
    <w:rsid w:val="6524340D"/>
    <w:rsid w:val="70650577"/>
    <w:rsid w:val="95FEFECA"/>
    <w:rsid w:val="F531D4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unhideWhenUsed/>
    <w:qFormat/>
    <w:uiPriority w:val="9"/>
    <w:pPr>
      <w:keepNext/>
      <w:keepLines/>
      <w:spacing w:before="260" w:after="260" w:line="415" w:lineRule="auto"/>
      <w:outlineLvl w:val="1"/>
    </w:pPr>
    <w:rPr>
      <w:rFonts w:ascii="Cambria" w:hAnsi="Cambria"/>
      <w:b/>
      <w:bCs/>
      <w:sz w:val="32"/>
      <w:szCs w:val="32"/>
    </w:rPr>
  </w:style>
  <w:style w:type="paragraph" w:styleId="4">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0"/>
    <w:pPr>
      <w:ind w:left="1260"/>
      <w:jc w:val="left"/>
    </w:pPr>
    <w:rPr>
      <w:rFonts w:ascii="等线" w:eastAsia="等线"/>
      <w:sz w:val="18"/>
      <w:szCs w:val="18"/>
    </w:rPr>
  </w:style>
  <w:style w:type="paragraph" w:styleId="6">
    <w:name w:val="Body Text"/>
    <w:basedOn w:val="1"/>
    <w:qFormat/>
    <w:uiPriority w:val="0"/>
    <w:pPr>
      <w:spacing w:before="30" w:beforeLines="30"/>
    </w:pPr>
    <w:rPr>
      <w:rFonts w:ascii="仿宋_GB2312" w:eastAsia="仿宋_GB2312"/>
      <w:kern w:val="0"/>
      <w:sz w:val="24"/>
      <w:szCs w:val="20"/>
    </w:rPr>
  </w:style>
  <w:style w:type="paragraph" w:styleId="7">
    <w:name w:val="toc 5"/>
    <w:basedOn w:val="1"/>
    <w:next w:val="1"/>
    <w:qFormat/>
    <w:uiPriority w:val="0"/>
    <w:pPr>
      <w:ind w:left="840"/>
      <w:jc w:val="left"/>
    </w:pPr>
    <w:rPr>
      <w:rFonts w:ascii="等线" w:eastAsia="等线"/>
      <w:sz w:val="18"/>
      <w:szCs w:val="18"/>
    </w:rPr>
  </w:style>
  <w:style w:type="paragraph" w:styleId="8">
    <w:name w:val="toc 3"/>
    <w:basedOn w:val="1"/>
    <w:next w:val="1"/>
    <w:qFormat/>
    <w:uiPriority w:val="39"/>
    <w:pPr>
      <w:ind w:left="420"/>
      <w:jc w:val="left"/>
    </w:pPr>
    <w:rPr>
      <w:rFonts w:ascii="等线" w:eastAsia="等线"/>
      <w:i/>
      <w:iCs/>
      <w:sz w:val="20"/>
      <w:szCs w:val="20"/>
    </w:rPr>
  </w:style>
  <w:style w:type="paragraph" w:styleId="9">
    <w:name w:val="toc 8"/>
    <w:basedOn w:val="1"/>
    <w:next w:val="1"/>
    <w:qFormat/>
    <w:uiPriority w:val="0"/>
    <w:pPr>
      <w:ind w:left="1470"/>
      <w:jc w:val="left"/>
    </w:pPr>
    <w:rPr>
      <w:rFonts w:ascii="等线" w:eastAsia="等线"/>
      <w:sz w:val="18"/>
      <w:szCs w:val="18"/>
    </w:r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qFormat/>
    <w:uiPriority w:val="39"/>
    <w:pPr>
      <w:spacing w:before="120" w:after="120"/>
      <w:jc w:val="left"/>
    </w:pPr>
    <w:rPr>
      <w:rFonts w:ascii="等线" w:eastAsia="等线"/>
      <w:b/>
      <w:bCs/>
      <w:caps/>
      <w:sz w:val="20"/>
      <w:szCs w:val="20"/>
    </w:rPr>
  </w:style>
  <w:style w:type="paragraph" w:styleId="14">
    <w:name w:val="toc 4"/>
    <w:basedOn w:val="1"/>
    <w:next w:val="1"/>
    <w:qFormat/>
    <w:uiPriority w:val="0"/>
    <w:pPr>
      <w:ind w:left="630"/>
      <w:jc w:val="left"/>
    </w:pPr>
    <w:rPr>
      <w:rFonts w:ascii="等线" w:eastAsia="等线"/>
      <w:sz w:val="18"/>
      <w:szCs w:val="18"/>
    </w:rPr>
  </w:style>
  <w:style w:type="paragraph" w:styleId="15">
    <w:name w:val="toc 6"/>
    <w:basedOn w:val="1"/>
    <w:next w:val="1"/>
    <w:qFormat/>
    <w:uiPriority w:val="0"/>
    <w:pPr>
      <w:ind w:left="1050"/>
      <w:jc w:val="left"/>
    </w:pPr>
    <w:rPr>
      <w:rFonts w:ascii="等线" w:eastAsia="等线"/>
      <w:sz w:val="18"/>
      <w:szCs w:val="18"/>
    </w:rPr>
  </w:style>
  <w:style w:type="paragraph" w:styleId="16">
    <w:name w:val="table of figures"/>
    <w:basedOn w:val="1"/>
    <w:next w:val="1"/>
    <w:qFormat/>
    <w:uiPriority w:val="99"/>
    <w:pPr>
      <w:ind w:left="200" w:leftChars="200" w:hanging="200" w:hangingChars="200"/>
    </w:pPr>
    <w:rPr>
      <w:rFonts w:eastAsia="仿宋_GB2312"/>
      <w:sz w:val="32"/>
    </w:rPr>
  </w:style>
  <w:style w:type="paragraph" w:styleId="17">
    <w:name w:val="toc 2"/>
    <w:basedOn w:val="1"/>
    <w:next w:val="1"/>
    <w:qFormat/>
    <w:uiPriority w:val="39"/>
    <w:pPr>
      <w:ind w:left="210"/>
      <w:jc w:val="left"/>
    </w:pPr>
    <w:rPr>
      <w:rFonts w:ascii="等线" w:eastAsia="等线"/>
      <w:smallCaps/>
      <w:sz w:val="20"/>
      <w:szCs w:val="20"/>
    </w:rPr>
  </w:style>
  <w:style w:type="paragraph" w:styleId="18">
    <w:name w:val="toc 9"/>
    <w:basedOn w:val="1"/>
    <w:next w:val="1"/>
    <w:qFormat/>
    <w:uiPriority w:val="0"/>
    <w:pPr>
      <w:ind w:left="1680"/>
      <w:jc w:val="left"/>
    </w:pPr>
    <w:rPr>
      <w:rFonts w:ascii="等线" w:eastAsia="等线"/>
      <w:sz w:val="18"/>
      <w:szCs w:val="18"/>
    </w:rPr>
  </w:style>
  <w:style w:type="character" w:styleId="21">
    <w:name w:val="Strong"/>
    <w:basedOn w:val="20"/>
    <w:qFormat/>
    <w:uiPriority w:val="0"/>
    <w:rPr>
      <w:rFonts w:cs="Times New Roman"/>
      <w:b/>
    </w:rPr>
  </w:style>
  <w:style w:type="character" w:styleId="22">
    <w:name w:val="Hyperlink"/>
    <w:basedOn w:val="20"/>
    <w:qFormat/>
    <w:uiPriority w:val="0"/>
    <w:rPr>
      <w:rFonts w:cs="Times New Roman"/>
      <w:color w:val="0000FF"/>
      <w:u w:val="single"/>
    </w:rPr>
  </w:style>
  <w:style w:type="character" w:customStyle="1" w:styleId="23">
    <w:name w:val="标题 1 字符"/>
    <w:basedOn w:val="20"/>
    <w:link w:val="2"/>
    <w:qFormat/>
    <w:uiPriority w:val="0"/>
    <w:rPr>
      <w:rFonts w:ascii="Times New Roman" w:hAnsi="Times New Roman" w:eastAsia="宋体" w:cs="Times New Roman"/>
      <w:b/>
      <w:bCs/>
      <w:kern w:val="44"/>
      <w:sz w:val="44"/>
      <w:szCs w:val="44"/>
      <w:lang w:val="en-US" w:eastAsia="zh-CN" w:bidi="ar-SA"/>
    </w:rPr>
  </w:style>
  <w:style w:type="character" w:customStyle="1" w:styleId="24">
    <w:name w:val="标题 2 字符"/>
    <w:basedOn w:val="20"/>
    <w:link w:val="3"/>
    <w:qFormat/>
    <w:uiPriority w:val="0"/>
    <w:rPr>
      <w:rFonts w:ascii="Cambria" w:hAnsi="Cambria" w:eastAsia="宋体" w:cs="Times New Roman"/>
      <w:b/>
      <w:bCs/>
      <w:kern w:val="2"/>
      <w:sz w:val="32"/>
      <w:szCs w:val="32"/>
      <w:lang w:val="en-US" w:eastAsia="zh-CN" w:bidi="ar-SA"/>
    </w:rPr>
  </w:style>
  <w:style w:type="character" w:customStyle="1" w:styleId="25">
    <w:name w:val="Body Text Char"/>
    <w:basedOn w:val="20"/>
    <w:qFormat/>
    <w:uiPriority w:val="0"/>
    <w:rPr>
      <w:rFonts w:ascii="Times New Roman" w:hAnsi="Times New Roman" w:cs="Times New Roman"/>
      <w:sz w:val="24"/>
      <w:szCs w:val="24"/>
    </w:rPr>
  </w:style>
  <w:style w:type="character" w:customStyle="1" w:styleId="26">
    <w:name w:val="Footer Char"/>
    <w:basedOn w:val="20"/>
    <w:qFormat/>
    <w:uiPriority w:val="0"/>
    <w:rPr>
      <w:rFonts w:ascii="Times New Roman" w:hAnsi="Times New Roman" w:cs="Times New Roman"/>
      <w:sz w:val="18"/>
      <w:szCs w:val="18"/>
    </w:rPr>
  </w:style>
  <w:style w:type="character" w:customStyle="1" w:styleId="27">
    <w:name w:val="Header Char"/>
    <w:basedOn w:val="20"/>
    <w:qFormat/>
    <w:uiPriority w:val="0"/>
    <w:rPr>
      <w:rFonts w:ascii="Times New Roman" w:hAnsi="Times New Roman" w:cs="Times New Roman"/>
      <w:sz w:val="18"/>
      <w:szCs w:val="18"/>
    </w:rPr>
  </w:style>
  <w:style w:type="paragraph" w:customStyle="1" w:styleId="28">
    <w:name w:val="Default"/>
    <w:qFormat/>
    <w:uiPriority w:val="99"/>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9">
    <w:name w:val="列表段落1"/>
    <w:basedOn w:val="1"/>
    <w:qFormat/>
    <w:uiPriority w:val="0"/>
    <w:pPr>
      <w:ind w:firstLine="200" w:firstLineChars="200"/>
    </w:pPr>
  </w:style>
  <w:style w:type="paragraph" w:customStyle="1" w:styleId="30">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1">
    <w:name w:val="TOC Heading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2">
    <w:name w:val="TOC 标题2"/>
    <w:basedOn w:val="2"/>
    <w:next w:val="1"/>
    <w:qFormat/>
    <w:uiPriority w:val="0"/>
    <w:pPr>
      <w:widowControl/>
      <w:spacing w:before="240" w:after="0" w:line="259" w:lineRule="auto"/>
      <w:jc w:val="left"/>
      <w:outlineLvl w:val="9"/>
    </w:pPr>
    <w:rPr>
      <w:rFonts w:ascii="等线 Light" w:eastAsia="等线 Light"/>
      <w:b w:val="0"/>
      <w:bCs w:val="0"/>
      <w:color w:val="2F5496"/>
      <w:kern w:val="0"/>
      <w:sz w:val="32"/>
      <w:szCs w:val="32"/>
    </w:rPr>
  </w:style>
  <w:style w:type="paragraph" w:styleId="3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21</Pages>
  <Words>1355</Words>
  <Characters>7724</Characters>
  <Lines>64</Lines>
  <Paragraphs>18</Paragraphs>
  <TotalTime>38</TotalTime>
  <ScaleCrop>false</ScaleCrop>
  <LinksUpToDate>false</LinksUpToDate>
  <CharactersWithSpaces>9061</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2021-08-07T01:38:00Z</dcterms:created>
  <dc:creator>曹颖</dc:creator>
  <cp:lastModifiedBy>军魂不变</cp:lastModifiedBy>
  <cp:lastPrinted>2021-07-29T19:56:00Z</cp:lastPrinted>
  <dcterms:modified xsi:type="dcterms:W3CDTF">2022-09-26T17:09:24Z</dcterms:modified>
  <dc:title>阿坝州部门决算说明</dc:title>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A3BDEC7FE85F4221AAB53D4F138453C3</vt:lpwstr>
  </property>
</Properties>
</file>