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35" w:rsidRDefault="0050085D">
      <w:pPr>
        <w:spacing w:line="576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茂县妇幼保健计划生育服务中心</w:t>
      </w:r>
    </w:p>
    <w:p w:rsidR="00C64B35" w:rsidRDefault="0050085D">
      <w:pPr>
        <w:spacing w:line="576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2016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年部门决算编制说明</w:t>
      </w:r>
    </w:p>
    <w:p w:rsidR="00C64B35" w:rsidRDefault="00C64B35">
      <w:pPr>
        <w:spacing w:line="576" w:lineRule="exact"/>
        <w:jc w:val="center"/>
        <w:rPr>
          <w:rFonts w:ascii="方正小标宋简体" w:eastAsia="方正小标宋简体" w:hAnsi="宋体"/>
          <w:color w:val="000000"/>
          <w:sz w:val="36"/>
          <w:szCs w:val="36"/>
        </w:rPr>
      </w:pPr>
    </w:p>
    <w:p w:rsidR="00C64B35" w:rsidRDefault="0050085D">
      <w:pPr>
        <w:spacing w:line="576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基本职能及主要工作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一）主要职能</w:t>
      </w:r>
    </w:p>
    <w:p w:rsidR="00C64B35" w:rsidRDefault="0050085D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深入贯彻《母婴保健法》、《中国妇女发展纲要》、《中国儿童发展纲要》，围绕实现“新两纲”目标和初级卫生保健指标，组织实施“重大公共卫生服务项目”，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“农村孕产妇住院分娩补助项目”、“补充叶酸预防神经管缺陷项目”、“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预防艾滋病、梅毒及乙肝母婴传播项目”，承担全县孕产妇、儿童保健、管理及凤仪镇片区预防接种等工作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r>
        <w:rPr>
          <w:rFonts w:ascii="仿宋_GB2312" w:eastAsia="仿宋_GB2312" w:hAnsi="仿宋_GB2312" w:cs="仿宋_GB2312" w:hint="eastAsia"/>
          <w:sz w:val="32"/>
          <w:szCs w:val="32"/>
        </w:rPr>
        <w:t>2016</w:t>
      </w:r>
      <w:r>
        <w:rPr>
          <w:rFonts w:ascii="仿宋_GB2312" w:eastAsia="仿宋_GB2312" w:hAnsi="仿宋_GB2312" w:cs="仿宋_GB2312" w:hint="eastAsia"/>
          <w:sz w:val="32"/>
          <w:szCs w:val="32"/>
        </w:rPr>
        <w:t>年重点工作完成情况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开展免费婚检检查全年工作完成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245 </w:t>
      </w:r>
      <w:r>
        <w:rPr>
          <w:rFonts w:ascii="仿宋_GB2312" w:eastAsia="仿宋_GB2312" w:hAnsi="仿宋_GB2312" w:cs="仿宋_GB2312" w:hint="eastAsia"/>
          <w:sz w:val="32"/>
          <w:szCs w:val="32"/>
        </w:rPr>
        <w:t>对，查孕、查环、取环手术等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20206 </w:t>
      </w:r>
      <w:r>
        <w:rPr>
          <w:rFonts w:ascii="仿宋_GB2312" w:eastAsia="仿宋_GB2312" w:hAnsi="仿宋_GB2312" w:cs="仿宋_GB2312" w:hint="eastAsia"/>
          <w:sz w:val="32"/>
          <w:szCs w:val="32"/>
        </w:rPr>
        <w:t>人次，孕前优生检查</w:t>
      </w:r>
      <w:r>
        <w:rPr>
          <w:rFonts w:ascii="仿宋_GB2312" w:eastAsia="仿宋_GB2312" w:hAnsi="仿宋_GB2312" w:cs="仿宋_GB2312" w:hint="eastAsia"/>
          <w:sz w:val="32"/>
          <w:szCs w:val="32"/>
        </w:rPr>
        <w:t>;623</w:t>
      </w:r>
      <w:r>
        <w:rPr>
          <w:rFonts w:ascii="仿宋_GB2312" w:eastAsia="仿宋_GB2312" w:hAnsi="仿宋_GB2312" w:cs="仿宋_GB2312" w:hint="eastAsia"/>
          <w:sz w:val="32"/>
          <w:szCs w:val="32"/>
        </w:rPr>
        <w:t>对，农村孕产妇住院分娩补助：</w:t>
      </w:r>
      <w:r>
        <w:rPr>
          <w:rFonts w:ascii="仿宋_GB2312" w:eastAsia="仿宋_GB2312" w:hAnsi="仿宋_GB2312" w:cs="仿宋_GB2312" w:hint="eastAsia"/>
          <w:sz w:val="32"/>
          <w:szCs w:val="32"/>
        </w:rPr>
        <w:t>786</w:t>
      </w:r>
      <w:r>
        <w:rPr>
          <w:rFonts w:ascii="仿宋_GB2312" w:eastAsia="仿宋_GB2312" w:hAnsi="仿宋_GB2312" w:cs="仿宋_GB2312" w:hint="eastAsia"/>
          <w:sz w:val="32"/>
          <w:szCs w:val="32"/>
        </w:rPr>
        <w:t>人次，新生儿筛查：</w:t>
      </w:r>
      <w:r>
        <w:rPr>
          <w:rFonts w:ascii="仿宋_GB2312" w:eastAsia="仿宋_GB2312" w:hAnsi="仿宋_GB2312" w:cs="仿宋_GB2312" w:hint="eastAsia"/>
          <w:sz w:val="32"/>
          <w:szCs w:val="32"/>
        </w:rPr>
        <w:t>836</w:t>
      </w:r>
      <w:r>
        <w:rPr>
          <w:rFonts w:ascii="仿宋_GB2312" w:eastAsia="仿宋_GB2312" w:hAnsi="仿宋_GB2312" w:cs="仿宋_GB2312" w:hint="eastAsia"/>
          <w:sz w:val="32"/>
          <w:szCs w:val="32"/>
        </w:rPr>
        <w:t>人次。</w:t>
      </w:r>
    </w:p>
    <w:p w:rsidR="00C64B35" w:rsidRDefault="0050085D">
      <w:pPr>
        <w:spacing w:line="576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二、部门概况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茂县妇幼保健计划生育服务中心属其他事业单位。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三、收支决算总体情况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2016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年本年收入合计：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128.93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万元，其中：财政拨款收入：</w:t>
      </w:r>
      <w:r>
        <w:rPr>
          <w:rFonts w:ascii="仿宋_GB2312" w:eastAsia="仿宋_GB2312" w:hAnsi="仿宋_GB2312" w:cs="仿宋_GB2312" w:hint="eastAsia"/>
          <w:sz w:val="32"/>
          <w:szCs w:val="32"/>
        </w:rPr>
        <w:t>601.56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万元，占总收入</w:t>
      </w:r>
      <w:r>
        <w:rPr>
          <w:rFonts w:ascii="仿宋_GB2312" w:eastAsia="仿宋_GB2312" w:hAnsi="仿宋_GB2312" w:cs="仿宋_GB2312" w:hint="eastAsia"/>
          <w:sz w:val="32"/>
          <w:szCs w:val="32"/>
        </w:rPr>
        <w:t>53%</w:t>
      </w:r>
      <w:r>
        <w:rPr>
          <w:rFonts w:ascii="仿宋_GB2312" w:eastAsia="仿宋_GB2312" w:hAnsi="仿宋_GB2312" w:cs="仿宋_GB2312" w:hint="eastAsia"/>
          <w:sz w:val="32"/>
          <w:szCs w:val="32"/>
        </w:rPr>
        <w:t>；事业收入：</w:t>
      </w:r>
      <w:r>
        <w:rPr>
          <w:rFonts w:ascii="仿宋_GB2312" w:eastAsia="仿宋_GB2312" w:hAnsi="仿宋_GB2312" w:cs="仿宋_GB2312" w:hint="eastAsia"/>
          <w:sz w:val="32"/>
          <w:szCs w:val="32"/>
        </w:rPr>
        <w:t>527.37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万元，占总收入</w:t>
      </w:r>
      <w:r>
        <w:rPr>
          <w:rFonts w:ascii="仿宋_GB2312" w:eastAsia="仿宋_GB2312" w:hAnsi="仿宋_GB2312" w:cs="仿宋_GB2312" w:hint="eastAsia"/>
          <w:sz w:val="32"/>
          <w:szCs w:val="32"/>
        </w:rPr>
        <w:t>47%</w:t>
      </w:r>
      <w:r>
        <w:rPr>
          <w:rFonts w:ascii="仿宋_GB2312" w:eastAsia="仿宋_GB2312" w:hAnsi="仿宋_GB2312" w:cs="仿宋_GB2312" w:hint="eastAsia"/>
          <w:sz w:val="32"/>
          <w:szCs w:val="32"/>
        </w:rPr>
        <w:t>；经营收入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sz w:val="32"/>
          <w:szCs w:val="32"/>
        </w:rPr>
        <w:t>；附属单位上缴收入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="008C5E32"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sz w:val="32"/>
          <w:szCs w:val="32"/>
        </w:rPr>
        <w:t>；其他收入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sz w:val="32"/>
          <w:szCs w:val="32"/>
        </w:rPr>
        <w:t>。（饼状图）</w:t>
      </w:r>
    </w:p>
    <w:p w:rsidR="00C64B35" w:rsidRDefault="0050085D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2717800" cy="23977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547" t="3368" r="18803" b="5138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39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年本年支出合计：</w:t>
      </w:r>
      <w:r>
        <w:rPr>
          <w:rFonts w:ascii="仿宋_GB2312" w:eastAsia="仿宋_GB2312" w:hint="eastAsia"/>
          <w:color w:val="000000"/>
          <w:sz w:val="32"/>
          <w:szCs w:val="32"/>
        </w:rPr>
        <w:t>1084.66</w:t>
      </w:r>
      <w:r>
        <w:rPr>
          <w:rFonts w:ascii="仿宋_GB2312" w:eastAsia="仿宋_GB2312" w:hint="eastAsia"/>
          <w:color w:val="000000"/>
          <w:sz w:val="32"/>
          <w:szCs w:val="32"/>
        </w:rPr>
        <w:t>万元，其中：基本支出</w:t>
      </w:r>
      <w:r>
        <w:rPr>
          <w:rFonts w:ascii="仿宋_GB2312" w:eastAsia="仿宋_GB2312" w:hint="eastAsia"/>
          <w:color w:val="000000"/>
          <w:sz w:val="32"/>
          <w:szCs w:val="32"/>
        </w:rPr>
        <w:t>965.12</w:t>
      </w:r>
      <w:r>
        <w:rPr>
          <w:rFonts w:ascii="仿宋_GB2312" w:eastAsia="仿宋_GB2312" w:hint="eastAsia"/>
          <w:color w:val="000000"/>
          <w:sz w:val="32"/>
          <w:szCs w:val="32"/>
        </w:rPr>
        <w:t>万元，占</w:t>
      </w:r>
      <w:r>
        <w:rPr>
          <w:rFonts w:ascii="仿宋_GB2312" w:eastAsia="仿宋_GB2312" w:hint="eastAsia"/>
          <w:color w:val="000000"/>
          <w:sz w:val="32"/>
          <w:szCs w:val="32"/>
        </w:rPr>
        <w:t>88.9%</w:t>
      </w:r>
      <w:r>
        <w:rPr>
          <w:rFonts w:ascii="仿宋_GB2312" w:eastAsia="仿宋_GB2312" w:hint="eastAsia"/>
          <w:color w:val="000000"/>
          <w:sz w:val="32"/>
          <w:szCs w:val="32"/>
        </w:rPr>
        <w:t>；项目支出</w:t>
      </w:r>
      <w:r>
        <w:rPr>
          <w:rFonts w:ascii="仿宋_GB2312" w:eastAsia="仿宋_GB2312" w:hint="eastAsia"/>
          <w:color w:val="000000"/>
          <w:sz w:val="32"/>
          <w:szCs w:val="32"/>
        </w:rPr>
        <w:t>119.54</w:t>
      </w:r>
      <w:r>
        <w:rPr>
          <w:rFonts w:ascii="仿宋_GB2312" w:eastAsia="仿宋_GB2312" w:hint="eastAsia"/>
          <w:color w:val="000000"/>
          <w:sz w:val="32"/>
          <w:szCs w:val="32"/>
        </w:rPr>
        <w:t>万元，占</w:t>
      </w:r>
      <w:r>
        <w:rPr>
          <w:rFonts w:ascii="仿宋_GB2312" w:eastAsia="仿宋_GB2312" w:hint="eastAsia"/>
          <w:color w:val="000000"/>
          <w:sz w:val="32"/>
          <w:szCs w:val="32"/>
        </w:rPr>
        <w:t>11%</w:t>
      </w:r>
      <w:r>
        <w:rPr>
          <w:rFonts w:ascii="仿宋_GB2312" w:eastAsia="仿宋_GB2312" w:hint="eastAsia"/>
          <w:color w:val="000000"/>
          <w:sz w:val="32"/>
          <w:szCs w:val="32"/>
        </w:rPr>
        <w:t>；上缴上级支出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hint="eastAsia"/>
          <w:color w:val="000000"/>
          <w:sz w:val="32"/>
          <w:szCs w:val="32"/>
        </w:rPr>
        <w:t>；经营支出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hint="eastAsia"/>
          <w:color w:val="000000"/>
          <w:sz w:val="32"/>
          <w:szCs w:val="32"/>
        </w:rPr>
        <w:t>；对附属单位补助支出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 w:rsidR="008C5E32">
        <w:rPr>
          <w:rFonts w:ascii="仿宋_GB2312" w:eastAsia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hint="eastAsia"/>
          <w:color w:val="000000"/>
          <w:sz w:val="32"/>
          <w:szCs w:val="32"/>
        </w:rPr>
        <w:t>。（饼状图）</w:t>
      </w:r>
    </w:p>
    <w:p w:rsidR="00C64B35" w:rsidRDefault="0050085D">
      <w:pPr>
        <w:ind w:firstLineChars="200" w:firstLine="640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/>
          <w:noProof/>
          <w:color w:val="000000"/>
          <w:sz w:val="32"/>
          <w:szCs w:val="32"/>
        </w:rPr>
        <w:drawing>
          <wp:inline distT="0" distB="0" distL="0" distR="0">
            <wp:extent cx="2219325" cy="19431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047" t="2753" r="18447" b="3670"/>
                    <a:stretch>
                      <a:fillRect/>
                    </a:stretch>
                  </pic:blipFill>
                  <pic:spPr>
                    <a:xfrm>
                      <a:off x="0" y="0"/>
                      <a:ext cx="2222719" cy="19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35" w:rsidRDefault="00C64B35">
      <w:pPr>
        <w:ind w:firstLineChars="200" w:firstLine="640"/>
        <w:rPr>
          <w:rFonts w:ascii="黑体" w:eastAsia="黑体"/>
          <w:color w:val="000000"/>
          <w:sz w:val="32"/>
          <w:szCs w:val="32"/>
        </w:rPr>
      </w:pP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四、财政拨款收支决算情况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年度财政拨款收支总决算</w:t>
      </w:r>
      <w:r>
        <w:rPr>
          <w:rFonts w:ascii="仿宋_GB2312" w:eastAsia="仿宋_GB2312" w:hint="eastAsia"/>
          <w:color w:val="000000"/>
          <w:sz w:val="32"/>
          <w:szCs w:val="32"/>
        </w:rPr>
        <w:t>141.64</w:t>
      </w:r>
      <w:r>
        <w:rPr>
          <w:rFonts w:ascii="仿宋_GB2312" w:eastAsia="仿宋_GB2312" w:hint="eastAsia"/>
          <w:color w:val="000000"/>
          <w:sz w:val="32"/>
          <w:szCs w:val="32"/>
        </w:rPr>
        <w:t>万元。与</w:t>
      </w:r>
      <w:r>
        <w:rPr>
          <w:rFonts w:ascii="仿宋_GB2312" w:eastAsia="仿宋_GB2312" w:hint="eastAsia"/>
          <w:color w:val="000000"/>
          <w:sz w:val="32"/>
          <w:szCs w:val="32"/>
        </w:rPr>
        <w:t>2015</w:t>
      </w:r>
      <w:r>
        <w:rPr>
          <w:rFonts w:ascii="仿宋_GB2312" w:eastAsia="仿宋_GB2312" w:hint="eastAsia"/>
          <w:color w:val="000000"/>
          <w:sz w:val="32"/>
          <w:szCs w:val="32"/>
        </w:rPr>
        <w:t>年相比，财政拨款收入增加</w:t>
      </w:r>
      <w:r>
        <w:rPr>
          <w:rFonts w:ascii="仿宋_GB2312" w:eastAsia="仿宋_GB2312" w:hint="eastAsia"/>
          <w:color w:val="000000"/>
          <w:sz w:val="32"/>
          <w:szCs w:val="32"/>
        </w:rPr>
        <w:t>36.79</w:t>
      </w:r>
      <w:r>
        <w:rPr>
          <w:rFonts w:ascii="仿宋_GB2312" w:eastAsia="仿宋_GB2312" w:hint="eastAsia"/>
          <w:color w:val="000000"/>
          <w:sz w:val="32"/>
          <w:szCs w:val="32"/>
        </w:rPr>
        <w:t>万元，财政拨款收入增长</w:t>
      </w:r>
      <w:r>
        <w:rPr>
          <w:rFonts w:ascii="仿宋_GB2312" w:eastAsia="仿宋_GB2312" w:hint="eastAsia"/>
          <w:color w:val="000000"/>
          <w:sz w:val="32"/>
          <w:szCs w:val="32"/>
        </w:rPr>
        <w:t>6%</w:t>
      </w:r>
      <w:r>
        <w:rPr>
          <w:rFonts w:ascii="仿宋_GB2312" w:eastAsia="仿宋_GB2312" w:hint="eastAsia"/>
          <w:color w:val="000000"/>
          <w:sz w:val="32"/>
          <w:szCs w:val="32"/>
        </w:rPr>
        <w:t>财政支出增加：</w:t>
      </w:r>
      <w:r>
        <w:rPr>
          <w:rFonts w:ascii="仿宋_GB2312" w:eastAsia="仿宋_GB2312" w:hint="eastAsia"/>
          <w:color w:val="000000"/>
          <w:sz w:val="32"/>
          <w:szCs w:val="32"/>
        </w:rPr>
        <w:t>124.28</w:t>
      </w:r>
      <w:r>
        <w:rPr>
          <w:rFonts w:ascii="仿宋_GB2312" w:eastAsia="仿宋_GB2312" w:hint="eastAsia"/>
          <w:color w:val="000000"/>
          <w:sz w:val="32"/>
          <w:szCs w:val="32"/>
        </w:rPr>
        <w:t>万元，财政支出增长</w:t>
      </w:r>
      <w:r>
        <w:rPr>
          <w:rFonts w:ascii="仿宋_GB2312" w:eastAsia="仿宋_GB2312" w:hint="eastAsia"/>
          <w:color w:val="000000"/>
          <w:sz w:val="32"/>
          <w:szCs w:val="32"/>
        </w:rPr>
        <w:t>21.9%</w:t>
      </w:r>
      <w:r>
        <w:rPr>
          <w:rFonts w:ascii="仿宋_GB2312" w:eastAsia="仿宋_GB2312" w:hint="eastAsia"/>
          <w:color w:val="000000"/>
          <w:sz w:val="32"/>
          <w:szCs w:val="32"/>
        </w:rPr>
        <w:t>。（柱状图）</w:t>
      </w:r>
    </w:p>
    <w:p w:rsidR="00C64B35" w:rsidRDefault="0050085D">
      <w:pPr>
        <w:ind w:firstLine="200"/>
        <w:rPr>
          <w:rFonts w:ascii="仿宋_GB2312" w:eastAsia="仿宋_GB2312"/>
          <w:b/>
          <w:color w:val="404040"/>
          <w:sz w:val="32"/>
          <w:szCs w:val="32"/>
        </w:rPr>
      </w:pPr>
      <w:r>
        <w:rPr>
          <w:rFonts w:ascii="仿宋_GB2312" w:eastAsia="仿宋_GB2312"/>
          <w:b/>
          <w:noProof/>
          <w:color w:val="404040"/>
          <w:sz w:val="32"/>
          <w:szCs w:val="32"/>
        </w:rPr>
        <w:lastRenderedPageBreak/>
        <w:drawing>
          <wp:inline distT="0" distB="0" distL="0" distR="0">
            <wp:extent cx="5198745" cy="2714625"/>
            <wp:effectExtent l="4445" t="4445" r="16510" b="508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64B35" w:rsidRDefault="0050085D">
      <w:pPr>
        <w:spacing w:line="576" w:lineRule="exact"/>
        <w:ind w:firstLineChars="200" w:firstLine="640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五、一般公共预算财政拨款支出决算情况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（一）一般公共预算财政拨款支</w:t>
      </w:r>
      <w:r>
        <w:rPr>
          <w:rFonts w:ascii="仿宋_GB2312" w:eastAsia="仿宋_GB2312" w:hint="eastAsia"/>
          <w:color w:val="000000"/>
          <w:sz w:val="32"/>
          <w:szCs w:val="32"/>
        </w:rPr>
        <w:t>出决算总体情况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年度一般公共预算财政拨款支出</w:t>
      </w:r>
      <w:r>
        <w:rPr>
          <w:rFonts w:ascii="仿宋_GB2312" w:eastAsia="仿宋_GB2312" w:hint="eastAsia"/>
          <w:color w:val="000000"/>
          <w:sz w:val="32"/>
          <w:szCs w:val="32"/>
        </w:rPr>
        <w:t>690.16</w:t>
      </w:r>
      <w:r>
        <w:rPr>
          <w:rFonts w:ascii="仿宋_GB2312" w:eastAsia="仿宋_GB2312" w:hint="eastAsia"/>
          <w:color w:val="000000"/>
          <w:sz w:val="32"/>
          <w:szCs w:val="32"/>
        </w:rPr>
        <w:t>万元，占本年支出合计的</w:t>
      </w:r>
      <w:r>
        <w:rPr>
          <w:rFonts w:ascii="仿宋_GB2312" w:eastAsia="仿宋_GB2312" w:hint="eastAsia"/>
          <w:color w:val="000000"/>
          <w:sz w:val="32"/>
          <w:szCs w:val="32"/>
        </w:rPr>
        <w:t>63.6%</w:t>
      </w:r>
      <w:r>
        <w:rPr>
          <w:rFonts w:ascii="仿宋_GB2312" w:eastAsia="仿宋_GB2312" w:hint="eastAsia"/>
          <w:color w:val="000000"/>
          <w:sz w:val="32"/>
          <w:szCs w:val="32"/>
        </w:rPr>
        <w:t>。与</w:t>
      </w:r>
      <w:r>
        <w:rPr>
          <w:rFonts w:ascii="仿宋_GB2312" w:eastAsia="仿宋_GB2312" w:hint="eastAsia"/>
          <w:color w:val="000000"/>
          <w:sz w:val="32"/>
          <w:szCs w:val="32"/>
        </w:rPr>
        <w:t>2015</w:t>
      </w:r>
      <w:r>
        <w:rPr>
          <w:rFonts w:ascii="仿宋_GB2312" w:eastAsia="仿宋_GB2312" w:hint="eastAsia"/>
          <w:color w:val="000000"/>
          <w:sz w:val="32"/>
          <w:szCs w:val="32"/>
        </w:rPr>
        <w:t>年相比，一般公共预算财政拨款增加</w:t>
      </w:r>
      <w:r>
        <w:rPr>
          <w:rFonts w:ascii="仿宋_GB2312" w:eastAsia="仿宋_GB2312" w:hint="eastAsia"/>
          <w:color w:val="000000"/>
          <w:sz w:val="32"/>
          <w:szCs w:val="32"/>
        </w:rPr>
        <w:t>124.28</w:t>
      </w:r>
      <w:r>
        <w:rPr>
          <w:rFonts w:ascii="仿宋_GB2312" w:eastAsia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hint="eastAsia"/>
          <w:color w:val="000000"/>
          <w:sz w:val="32"/>
          <w:szCs w:val="32"/>
        </w:rPr>
        <w:t>21.9%</w:t>
      </w:r>
      <w:r>
        <w:rPr>
          <w:rFonts w:ascii="仿宋_GB2312" w:eastAsia="仿宋_GB2312" w:hint="eastAsia"/>
          <w:color w:val="000000"/>
          <w:sz w:val="32"/>
          <w:szCs w:val="32"/>
        </w:rPr>
        <w:t>。（柱状图）</w:t>
      </w:r>
    </w:p>
    <w:p w:rsidR="00C64B35" w:rsidRDefault="0050085D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noProof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0" t="0" r="21590" b="9525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（二）一般公共预算财政拨款支出决算结构情况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年一般公共预算财政拨款支出</w:t>
      </w:r>
      <w:r>
        <w:rPr>
          <w:rFonts w:ascii="仿宋_GB2312" w:eastAsia="仿宋_GB2312" w:hint="eastAsia"/>
          <w:color w:val="000000"/>
          <w:sz w:val="32"/>
          <w:szCs w:val="32"/>
        </w:rPr>
        <w:t>690.16</w:t>
      </w:r>
      <w:r>
        <w:rPr>
          <w:rFonts w:ascii="仿宋_GB2312" w:eastAsia="仿宋_GB2312" w:hint="eastAsia"/>
          <w:color w:val="000000"/>
          <w:sz w:val="32"/>
          <w:szCs w:val="32"/>
        </w:rPr>
        <w:t>万元，主要用于以下方面</w:t>
      </w:r>
      <w:r>
        <w:rPr>
          <w:rFonts w:ascii="仿宋_GB2312" w:eastAsia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sz w:val="32"/>
          <w:szCs w:val="32"/>
        </w:rPr>
        <w:t>医疗卫生支出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651.2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color w:val="000000"/>
          <w:sz w:val="32"/>
          <w:szCs w:val="32"/>
        </w:rPr>
        <w:t>拨款支出</w:t>
      </w:r>
      <w:r>
        <w:rPr>
          <w:rFonts w:ascii="仿宋_GB2312" w:eastAsia="仿宋_GB2312" w:hint="eastAsia"/>
          <w:color w:val="000000"/>
          <w:sz w:val="32"/>
          <w:szCs w:val="32"/>
        </w:rPr>
        <w:t>94%</w:t>
      </w:r>
      <w:r>
        <w:rPr>
          <w:rFonts w:ascii="仿宋_GB2312" w:eastAsia="仿宋_GB2312" w:hint="eastAsia"/>
          <w:color w:val="000000"/>
          <w:sz w:val="32"/>
          <w:szCs w:val="32"/>
        </w:rPr>
        <w:t>；住房保障支出</w:t>
      </w:r>
      <w:r>
        <w:rPr>
          <w:rFonts w:ascii="仿宋_GB2312" w:eastAsia="仿宋_GB2312" w:hint="eastAsia"/>
          <w:color w:val="000000"/>
          <w:sz w:val="32"/>
          <w:szCs w:val="32"/>
        </w:rPr>
        <w:t>38.96</w:t>
      </w:r>
      <w:r>
        <w:rPr>
          <w:rFonts w:ascii="仿宋_GB2312" w:eastAsia="仿宋_GB2312" w:hint="eastAsia"/>
          <w:color w:val="000000"/>
          <w:sz w:val="32"/>
          <w:szCs w:val="32"/>
        </w:rPr>
        <w:t>万元，占拨款支出</w:t>
      </w:r>
      <w:r>
        <w:rPr>
          <w:rFonts w:ascii="仿宋_GB2312" w:eastAsia="仿宋_GB2312" w:hint="eastAsia"/>
          <w:color w:val="000000"/>
          <w:sz w:val="32"/>
          <w:szCs w:val="32"/>
        </w:rPr>
        <w:t>6%</w:t>
      </w:r>
      <w:r>
        <w:rPr>
          <w:rFonts w:ascii="仿宋_GB2312" w:eastAsia="仿宋_GB2312" w:hint="eastAsia"/>
          <w:color w:val="000000"/>
          <w:sz w:val="32"/>
          <w:szCs w:val="32"/>
        </w:rPr>
        <w:t>。（饼状图）</w:t>
      </w:r>
    </w:p>
    <w:p w:rsidR="00C64B35" w:rsidRDefault="0050085D">
      <w:pPr>
        <w:ind w:firstLine="200"/>
        <w:rPr>
          <w:rFonts w:ascii="仿宋_GB2312" w:eastAsia="仿宋_GB2312"/>
          <w:b/>
          <w:color w:val="404040"/>
          <w:sz w:val="32"/>
          <w:szCs w:val="32"/>
        </w:rPr>
      </w:pPr>
      <w:r>
        <w:rPr>
          <w:rFonts w:ascii="仿宋_GB2312" w:eastAsia="仿宋_GB2312" w:hint="eastAsia"/>
          <w:b/>
          <w:noProof/>
          <w:color w:val="404040"/>
          <w:sz w:val="32"/>
          <w:szCs w:val="32"/>
        </w:rPr>
        <w:drawing>
          <wp:inline distT="0" distB="0" distL="0" distR="0">
            <wp:extent cx="5274310" cy="3076575"/>
            <wp:effectExtent l="0" t="0" r="21590" b="9525"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64B35" w:rsidRDefault="0050085D">
      <w:pPr>
        <w:numPr>
          <w:ilvl w:val="0"/>
          <w:numId w:val="1"/>
        </w:num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一般公共预算财政拨款支出决算具体情况</w:t>
      </w:r>
    </w:p>
    <w:p w:rsidR="00C64B35" w:rsidRDefault="0050085D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1.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一般公共服务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2010101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—行政运行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年决算数为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64B35" w:rsidRDefault="0050085D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2.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教育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2050101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—行政运行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年决算数为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64B35" w:rsidRDefault="0050085D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3.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科学技术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2060101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—行政运行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年决算数为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64B35" w:rsidRDefault="0050085D">
      <w:pPr>
        <w:spacing w:line="576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4.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文化体育与传媒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2070101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—行政运行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年决算数为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64B35" w:rsidRDefault="0050085D">
      <w:pPr>
        <w:spacing w:line="576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　　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5.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社会保障和就业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2080101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—行政运行</w:t>
      </w:r>
      <w:bookmarkStart w:id="0" w:name="_GoBack"/>
      <w:bookmarkEnd w:id="0"/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年决算数为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万</w:t>
      </w:r>
      <w:r>
        <w:rPr>
          <w:rFonts w:ascii="仿宋_GB2312" w:eastAsia="仿宋_GB2312" w:hint="eastAsia"/>
          <w:color w:val="000000"/>
          <w:sz w:val="32"/>
          <w:szCs w:val="32"/>
        </w:rPr>
        <w:t>元，完成预算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64B35" w:rsidRDefault="0050085D">
      <w:pPr>
        <w:spacing w:line="576" w:lineRule="exact"/>
        <w:ind w:firstLineChars="200" w:firstLine="643"/>
        <w:rPr>
          <w:rFonts w:ascii="黑体" w:eastAsia="黑体"/>
          <w:color w:val="000000"/>
          <w:sz w:val="32"/>
          <w:szCs w:val="32"/>
        </w:rPr>
      </w:pP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6.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医疗卫生与计划生育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2100403-</w:t>
      </w:r>
      <w:r>
        <w:rPr>
          <w:rStyle w:val="a8"/>
          <w:rFonts w:ascii="仿宋_GB2312" w:eastAsia="仿宋_GB2312" w:hint="eastAsia"/>
          <w:color w:val="000000"/>
          <w:sz w:val="32"/>
          <w:szCs w:val="32"/>
        </w:rPr>
        <w:t>—妇幼保健机构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年决算数为</w:t>
      </w:r>
      <w:r>
        <w:rPr>
          <w:rFonts w:ascii="仿宋_GB2312" w:eastAsia="仿宋_GB2312" w:hint="eastAsia"/>
          <w:color w:val="000000"/>
          <w:sz w:val="32"/>
          <w:szCs w:val="32"/>
        </w:rPr>
        <w:t>538.56</w:t>
      </w:r>
      <w:r>
        <w:rPr>
          <w:rFonts w:ascii="仿宋_GB2312" w:eastAsia="仿宋_GB2312" w:hint="eastAsia"/>
          <w:color w:val="000000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000000"/>
          <w:sz w:val="32"/>
          <w:szCs w:val="32"/>
        </w:rPr>
        <w:t>100%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br/>
        <w:t xml:space="preserve">    </w:t>
      </w:r>
      <w:r>
        <w:rPr>
          <w:rFonts w:ascii="黑体" w:eastAsia="黑体" w:hint="eastAsia"/>
          <w:color w:val="000000"/>
          <w:sz w:val="32"/>
          <w:szCs w:val="32"/>
        </w:rPr>
        <w:t>六、一般公共预算财政拨款基本支出决算情况</w:t>
      </w:r>
    </w:p>
    <w:p w:rsidR="00C64B35" w:rsidRDefault="0050085D">
      <w:pPr>
        <w:spacing w:line="576" w:lineRule="exact"/>
        <w:ind w:firstLine="64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年一般公共预算财政拨款基本支出</w:t>
      </w:r>
      <w:r>
        <w:rPr>
          <w:rFonts w:ascii="仿宋_GB2312" w:eastAsia="仿宋_GB2312" w:hint="eastAsia"/>
          <w:color w:val="000000"/>
          <w:sz w:val="32"/>
          <w:szCs w:val="32"/>
        </w:rPr>
        <w:t>570.62</w:t>
      </w:r>
      <w:r>
        <w:rPr>
          <w:rFonts w:ascii="仿宋_GB2312" w:eastAsia="仿宋_GB2312" w:hint="eastAsia"/>
          <w:color w:val="000000"/>
          <w:sz w:val="32"/>
          <w:szCs w:val="32"/>
        </w:rPr>
        <w:t>万元，其中：人员经费</w:t>
      </w:r>
      <w:r>
        <w:rPr>
          <w:rFonts w:ascii="仿宋_GB2312" w:eastAsia="仿宋_GB2312" w:hint="eastAsia"/>
          <w:color w:val="000000"/>
          <w:sz w:val="32"/>
          <w:szCs w:val="32"/>
        </w:rPr>
        <w:t>531.66</w:t>
      </w:r>
      <w:r>
        <w:rPr>
          <w:rFonts w:ascii="仿宋_GB2312" w:eastAsia="仿宋_GB2312" w:hint="eastAsia"/>
          <w:color w:val="000000"/>
          <w:sz w:val="32"/>
          <w:szCs w:val="32"/>
        </w:rPr>
        <w:t>万元，主要包括：基本工资、津贴补贴、奖金、伙食补助费、绩效工资、机关事业单位基本养老保险缴费、职业年金缴费、其他社会保障缴费、其他工资福利支出、离休费、退休费、抚恤金、生活补助、医疗费、奖励金、住房公积金、提租补贴、购房补贴、其他对个人和家庭的补助支出。</w:t>
      </w:r>
      <w:r>
        <w:rPr>
          <w:rFonts w:ascii="仿宋_GB2312" w:eastAsia="仿宋_GB2312" w:hint="eastAsia"/>
          <w:color w:val="000000"/>
          <w:sz w:val="32"/>
          <w:szCs w:val="32"/>
        </w:rPr>
        <w:br/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　　公用经费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万元，主要包括：办公费、印刷费、咨询费、手续费、水费、电费、邮电费、取暖费、物业管理费、差旅费、因公出国（境）费用、维修（护）费、租赁费、会议费、培训费、公务接</w:t>
      </w:r>
      <w:r>
        <w:rPr>
          <w:rFonts w:ascii="仿宋_GB2312" w:eastAsia="仿宋_GB2312" w:hint="eastAsia"/>
          <w:color w:val="000000"/>
          <w:sz w:val="32"/>
          <w:szCs w:val="32"/>
        </w:rPr>
        <w:t>待费、劳务费、委托业务费、工会经费、福利费、其他交通费、税金及附加费用、其他商品和服务支出。</w:t>
      </w:r>
    </w:p>
    <w:p w:rsidR="00C64B35" w:rsidRDefault="0050085D">
      <w:pPr>
        <w:spacing w:line="576" w:lineRule="exact"/>
        <w:ind w:firstLine="640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七、“三公”经费财政拨款支出决算情况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（一）“三公”经费财政拨款支出决算总体情况说明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2016</w:t>
      </w:r>
      <w:r>
        <w:rPr>
          <w:rFonts w:ascii="仿宋_GB2312" w:eastAsia="仿宋_GB2312" w:hint="eastAsia"/>
          <w:color w:val="333333"/>
          <w:sz w:val="32"/>
          <w:szCs w:val="32"/>
        </w:rPr>
        <w:t>年度“三公”经费财政拨款支出决算为</w:t>
      </w:r>
      <w:r>
        <w:rPr>
          <w:rFonts w:ascii="仿宋_GB2312" w:eastAsia="仿宋_GB2312" w:hint="eastAsia"/>
          <w:color w:val="333333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333333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，其中：因公出国（境）费支出决算为</w:t>
      </w:r>
      <w:r>
        <w:rPr>
          <w:rFonts w:ascii="仿宋_GB2312" w:eastAsia="仿宋_GB2312" w:hint="eastAsia"/>
          <w:color w:val="333333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333333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；公务用车购置及运行维护费支出决算为</w:t>
      </w:r>
      <w:r>
        <w:rPr>
          <w:rFonts w:ascii="仿宋_GB2312" w:eastAsia="仿宋_GB2312" w:hint="eastAsia"/>
          <w:color w:val="333333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333333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；公务接待费支出决算为</w:t>
      </w:r>
      <w:r>
        <w:rPr>
          <w:rFonts w:ascii="仿宋_GB2312" w:eastAsia="仿宋_GB2312" w:hint="eastAsia"/>
          <w:color w:val="333333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万元，完成预算</w:t>
      </w:r>
      <w:r>
        <w:rPr>
          <w:rFonts w:ascii="仿宋_GB2312" w:eastAsia="仿宋_GB2312" w:hint="eastAsia"/>
          <w:color w:val="333333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2016</w:t>
      </w:r>
      <w:r>
        <w:rPr>
          <w:rFonts w:ascii="仿宋_GB2312" w:eastAsia="仿宋_GB2312" w:hint="eastAsia"/>
          <w:color w:val="333333"/>
          <w:sz w:val="32"/>
          <w:szCs w:val="32"/>
        </w:rPr>
        <w:t>年度“三公”经费财政拨款支出决算数比</w:t>
      </w:r>
      <w:r>
        <w:rPr>
          <w:rFonts w:ascii="仿宋_GB2312" w:eastAsia="仿宋_GB2312" w:hint="eastAsia"/>
          <w:color w:val="333333"/>
          <w:sz w:val="32"/>
          <w:szCs w:val="32"/>
        </w:rPr>
        <w:t>2015</w:t>
      </w:r>
      <w:r>
        <w:rPr>
          <w:rFonts w:ascii="仿宋_GB2312" w:eastAsia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int="eastAsia"/>
          <w:color w:val="000000"/>
          <w:sz w:val="32"/>
          <w:szCs w:val="32"/>
        </w:rPr>
        <w:t>增加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000000"/>
          <w:sz w:val="32"/>
          <w:szCs w:val="32"/>
        </w:rPr>
        <w:t>，其中：</w:t>
      </w:r>
      <w:r>
        <w:rPr>
          <w:rFonts w:ascii="仿宋_GB2312" w:eastAsia="仿宋_GB2312" w:hint="eastAsia"/>
          <w:color w:val="333333"/>
          <w:sz w:val="32"/>
          <w:szCs w:val="32"/>
        </w:rPr>
        <w:t>因公出国（境）费支出决算</w:t>
      </w:r>
      <w:r>
        <w:rPr>
          <w:rFonts w:ascii="仿宋_GB2312" w:eastAsia="仿宋_GB2312" w:hint="eastAsia"/>
          <w:color w:val="000000"/>
          <w:sz w:val="32"/>
          <w:szCs w:val="32"/>
        </w:rPr>
        <w:t>增加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</w:t>
      </w:r>
      <w:r>
        <w:rPr>
          <w:rFonts w:ascii="仿宋_GB2312" w:eastAsia="仿宋_GB2312" w:hint="eastAsia"/>
          <w:color w:val="333333"/>
          <w:sz w:val="32"/>
          <w:szCs w:val="32"/>
        </w:rPr>
        <w:t>元，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；公务用车购置及运行维护费支出决算</w:t>
      </w:r>
      <w:r>
        <w:rPr>
          <w:rFonts w:ascii="仿宋_GB2312" w:eastAsia="仿宋_GB2312" w:hint="eastAsia"/>
          <w:color w:val="000000"/>
          <w:sz w:val="32"/>
          <w:szCs w:val="32"/>
        </w:rPr>
        <w:t>增加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；公务接待费支出决算</w:t>
      </w:r>
      <w:r>
        <w:rPr>
          <w:rFonts w:ascii="仿宋_GB2312" w:eastAsia="仿宋_GB2312" w:hint="eastAsia"/>
          <w:color w:val="000000"/>
          <w:sz w:val="32"/>
          <w:szCs w:val="32"/>
        </w:rPr>
        <w:t>增加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b/>
          <w:color w:val="333333"/>
          <w:sz w:val="32"/>
          <w:szCs w:val="32"/>
        </w:rPr>
      </w:pPr>
      <w:r>
        <w:rPr>
          <w:rFonts w:ascii="仿宋_GB2312" w:eastAsia="仿宋_GB2312" w:hint="eastAsia"/>
          <w:b/>
          <w:color w:val="333333"/>
          <w:sz w:val="32"/>
          <w:szCs w:val="32"/>
        </w:rPr>
        <w:t>(</w:t>
      </w:r>
      <w:r>
        <w:rPr>
          <w:rFonts w:ascii="仿宋_GB2312" w:eastAsia="仿宋_GB2312" w:hint="eastAsia"/>
          <w:b/>
          <w:color w:val="333333"/>
          <w:sz w:val="32"/>
          <w:szCs w:val="32"/>
        </w:rPr>
        <w:t>二）</w:t>
      </w:r>
      <w:r>
        <w:rPr>
          <w:rFonts w:ascii="仿宋_GB2312" w:eastAsia="仿宋_GB2312" w:hint="eastAsia"/>
          <w:b/>
          <w:color w:val="333333"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color w:val="333333"/>
          <w:sz w:val="32"/>
          <w:szCs w:val="32"/>
        </w:rPr>
        <w:t>三公”经费财政拨款支出决算具体情况说明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2016</w:t>
      </w:r>
      <w:r>
        <w:rPr>
          <w:rFonts w:ascii="仿宋_GB2312" w:eastAsia="仿宋_GB2312" w:hint="eastAsia"/>
          <w:color w:val="333333"/>
          <w:sz w:val="32"/>
          <w:szCs w:val="32"/>
        </w:rPr>
        <w:t>年度“三公”经费财政拨款支出决算中，因公出国（境）费支出决算</w:t>
      </w:r>
      <w:r>
        <w:rPr>
          <w:rFonts w:ascii="仿宋_GB2312" w:eastAsia="仿宋_GB2312" w:hint="eastAsia"/>
          <w:color w:val="333333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</w:t>
      </w:r>
      <w:r>
        <w:rPr>
          <w:rFonts w:ascii="仿宋_GB2312" w:eastAsia="仿宋_GB2312" w:hint="eastAsia"/>
          <w:color w:val="000000"/>
          <w:sz w:val="32"/>
          <w:szCs w:val="32"/>
        </w:rPr>
        <w:t>占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；公务用车购置及运行维护费支出决算</w:t>
      </w:r>
      <w:r>
        <w:rPr>
          <w:rFonts w:ascii="仿宋_GB2312" w:eastAsia="仿宋_GB2312" w:hint="eastAsia"/>
          <w:color w:val="333333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</w:t>
      </w:r>
      <w:r>
        <w:rPr>
          <w:rFonts w:ascii="仿宋_GB2312" w:eastAsia="仿宋_GB2312" w:hint="eastAsia"/>
          <w:color w:val="000000"/>
          <w:sz w:val="32"/>
          <w:szCs w:val="32"/>
        </w:rPr>
        <w:t>占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333333"/>
          <w:sz w:val="32"/>
          <w:szCs w:val="32"/>
        </w:rPr>
        <w:t>；公务接待费支出决算</w:t>
      </w:r>
      <w:r>
        <w:rPr>
          <w:rFonts w:ascii="仿宋_GB2312" w:eastAsia="仿宋_GB2312" w:hint="eastAsia"/>
          <w:color w:val="333333"/>
          <w:sz w:val="32"/>
          <w:szCs w:val="32"/>
        </w:rPr>
        <w:t>0</w:t>
      </w:r>
      <w:r>
        <w:rPr>
          <w:rFonts w:ascii="仿宋_GB2312" w:eastAsia="仿宋_GB2312" w:hint="eastAsia"/>
          <w:color w:val="333333"/>
          <w:sz w:val="32"/>
          <w:szCs w:val="32"/>
        </w:rPr>
        <w:t>万元，</w:t>
      </w:r>
      <w:r>
        <w:rPr>
          <w:rFonts w:ascii="仿宋_GB2312" w:eastAsia="仿宋_GB2312" w:hint="eastAsia"/>
          <w:color w:val="000000"/>
          <w:sz w:val="32"/>
          <w:szCs w:val="32"/>
        </w:rPr>
        <w:t>占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000000"/>
          <w:sz w:val="32"/>
          <w:szCs w:val="32"/>
        </w:rPr>
        <w:t>。具体情况如下：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因公出国（境）经费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年因公出国（境）费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万元。全年安排因公出国（境）团组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次，出国（境）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人。</w:t>
      </w:r>
    </w:p>
    <w:p w:rsidR="00C64B35" w:rsidRDefault="0050085D">
      <w:pPr>
        <w:spacing w:line="576" w:lineRule="exact"/>
        <w:ind w:firstLineChars="200" w:firstLine="643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公务用车购置及运行维护费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年公务用车购置及运行维护费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hint="eastAsia"/>
          <w:color w:val="000000"/>
          <w:sz w:val="32"/>
          <w:szCs w:val="32"/>
        </w:rPr>
        <w:t>,</w:t>
      </w:r>
      <w:r>
        <w:rPr>
          <w:rFonts w:ascii="仿宋_GB2312" w:eastAsia="仿宋_GB2312" w:hint="eastAsia"/>
          <w:color w:val="000000"/>
          <w:sz w:val="32"/>
          <w:szCs w:val="32"/>
        </w:rPr>
        <w:t>其中：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公务用车购置支出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万元。全年按规定更新购置公务用车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辆，其中：轿车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辆、金额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万元，越野车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辆、金额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万元，载客汽车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辆、金额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万元。截至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int="eastAsia"/>
          <w:color w:val="000000"/>
          <w:sz w:val="32"/>
          <w:szCs w:val="32"/>
        </w:rPr>
        <w:t>12</w:t>
      </w:r>
      <w:r>
        <w:rPr>
          <w:rFonts w:ascii="仿宋_GB2312" w:eastAsia="仿宋_GB2312" w:hint="eastAsia"/>
          <w:color w:val="000000"/>
          <w:sz w:val="32"/>
          <w:szCs w:val="32"/>
        </w:rPr>
        <w:t>月底，单位共有公务用车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辆，其中：轿车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辆、越野车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辆、载客汽车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辆。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公务用车运行维护费支出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</w:t>
      </w:r>
    </w:p>
    <w:p w:rsidR="00C64B35" w:rsidRDefault="0050085D">
      <w:pPr>
        <w:spacing w:line="576" w:lineRule="exact"/>
        <w:ind w:firstLineChars="200" w:firstLine="643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3.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公务接待费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年公务接待费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万元。主要用于执行公务、开展业务活动开支的交通费、住宿费、用餐费等。国内公务接待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批次，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人，共计支出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</w:t>
      </w:r>
    </w:p>
    <w:p w:rsidR="00C64B35" w:rsidRDefault="0050085D">
      <w:pPr>
        <w:spacing w:line="576" w:lineRule="exact"/>
        <w:ind w:firstLine="640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八、政府性基金预算财政拨款支出决算情况</w:t>
      </w:r>
    </w:p>
    <w:p w:rsidR="00C64B35" w:rsidRDefault="0050085D">
      <w:pPr>
        <w:spacing w:line="576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年使用政府性基金预算财政拨款支出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</w:t>
      </w:r>
    </w:p>
    <w:p w:rsidR="00C64B35" w:rsidRDefault="0050085D">
      <w:pPr>
        <w:spacing w:line="576" w:lineRule="exact"/>
        <w:ind w:firstLineChars="200" w:firstLine="640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九、其他重要事项的情况说明</w:t>
      </w:r>
    </w:p>
    <w:p w:rsidR="00C64B35" w:rsidRDefault="0050085D">
      <w:pPr>
        <w:spacing w:line="576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（一）机关运行经费支出情况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年度，机关运行经费支出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万元，比</w:t>
      </w:r>
      <w:r>
        <w:rPr>
          <w:rFonts w:ascii="仿宋_GB2312" w:eastAsia="仿宋_GB2312" w:hint="eastAsia"/>
          <w:color w:val="000000"/>
          <w:sz w:val="32"/>
          <w:szCs w:val="32"/>
        </w:rPr>
        <w:t>2015</w:t>
      </w:r>
      <w:r>
        <w:rPr>
          <w:rFonts w:ascii="仿宋_GB2312" w:eastAsia="仿宋_GB2312" w:hint="eastAsia"/>
          <w:color w:val="000000"/>
          <w:sz w:val="32"/>
          <w:szCs w:val="32"/>
        </w:rPr>
        <w:t>年增加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hint="eastAsia"/>
          <w:color w:val="000000"/>
          <w:sz w:val="32"/>
          <w:szCs w:val="32"/>
        </w:rPr>
        <w:t>0%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C64B35" w:rsidRDefault="0050085D">
      <w:pPr>
        <w:autoSpaceDE w:val="0"/>
        <w:autoSpaceDN w:val="0"/>
        <w:adjustRightInd w:val="0"/>
        <w:spacing w:line="576" w:lineRule="exact"/>
        <w:ind w:firstLineChars="200" w:firstLine="643"/>
        <w:jc w:val="left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（二）政府采购支出情况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b/>
          <w:i/>
          <w:color w:val="40404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年度，政府采购支出总额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万元，其中：政府采购货物支出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万元、政府采购工程支出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万元、政府采购服务支出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万元。</w:t>
      </w:r>
    </w:p>
    <w:p w:rsidR="00C64B35" w:rsidRDefault="0050085D">
      <w:pPr>
        <w:autoSpaceDE w:val="0"/>
        <w:autoSpaceDN w:val="0"/>
        <w:adjustRightInd w:val="0"/>
        <w:spacing w:line="576" w:lineRule="exact"/>
        <w:ind w:firstLineChars="200" w:firstLine="643"/>
        <w:jc w:val="left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（三）国有资产占有使用情况</w:t>
      </w:r>
    </w:p>
    <w:p w:rsidR="00C64B35" w:rsidRDefault="0050085D">
      <w:pPr>
        <w:autoSpaceDE w:val="0"/>
        <w:autoSpaceDN w:val="0"/>
        <w:adjustRightInd w:val="0"/>
        <w:spacing w:line="576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截至</w:t>
      </w:r>
      <w:r>
        <w:rPr>
          <w:rFonts w:ascii="仿宋_GB2312" w:eastAsia="仿宋_GB2312" w:hint="eastAsia"/>
          <w:color w:val="000000"/>
          <w:sz w:val="32"/>
          <w:szCs w:val="32"/>
        </w:rPr>
        <w:t>2016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int="eastAsia"/>
          <w:color w:val="000000"/>
          <w:sz w:val="32"/>
          <w:szCs w:val="32"/>
        </w:rPr>
        <w:t>12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31</w:t>
      </w:r>
      <w:r>
        <w:rPr>
          <w:rFonts w:ascii="仿宋_GB2312" w:eastAsia="仿宋_GB2312" w:hint="eastAsia"/>
          <w:color w:val="000000"/>
          <w:sz w:val="32"/>
          <w:szCs w:val="32"/>
        </w:rPr>
        <w:t>日，单位公有车辆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辆，其中：州级领导干部用车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辆、一般公务用车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辆；单价</w:t>
      </w:r>
      <w:r>
        <w:rPr>
          <w:rFonts w:ascii="仿宋_GB2312" w:eastAsia="仿宋_GB2312" w:hint="eastAsia"/>
          <w:color w:val="000000"/>
          <w:sz w:val="32"/>
          <w:szCs w:val="32"/>
        </w:rPr>
        <w:t>50</w:t>
      </w:r>
      <w:r>
        <w:rPr>
          <w:rFonts w:ascii="仿宋_GB2312" w:eastAsia="仿宋_GB2312" w:hint="eastAsia"/>
          <w:color w:val="000000"/>
          <w:sz w:val="32"/>
          <w:szCs w:val="32"/>
        </w:rPr>
        <w:t>万元以上通用设备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台，单价</w:t>
      </w:r>
      <w:r>
        <w:rPr>
          <w:rFonts w:ascii="仿宋_GB2312" w:eastAsia="仿宋_GB2312" w:hint="eastAsia"/>
          <w:color w:val="000000"/>
          <w:sz w:val="32"/>
          <w:szCs w:val="32"/>
        </w:rPr>
        <w:t>100</w:t>
      </w:r>
      <w:r>
        <w:rPr>
          <w:rFonts w:ascii="仿宋_GB2312" w:eastAsia="仿宋_GB2312" w:hint="eastAsia"/>
          <w:color w:val="000000"/>
          <w:sz w:val="32"/>
          <w:szCs w:val="32"/>
        </w:rPr>
        <w:t>万元以上专用设备</w:t>
      </w:r>
      <w:r>
        <w:rPr>
          <w:rFonts w:ascii="仿宋_GB2312" w:eastAsia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台。</w:t>
      </w:r>
    </w:p>
    <w:p w:rsidR="00C64B35" w:rsidRDefault="0050085D">
      <w:pPr>
        <w:autoSpaceDE w:val="0"/>
        <w:autoSpaceDN w:val="0"/>
        <w:adjustRightInd w:val="0"/>
        <w:spacing w:line="576" w:lineRule="exact"/>
        <w:ind w:firstLineChars="200" w:firstLine="643"/>
        <w:jc w:val="left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（四）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预算绩效情况</w:t>
      </w:r>
    </w:p>
    <w:p w:rsidR="00C64B35" w:rsidRDefault="0050085D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按照预算绩效管理要求，本部门对</w:t>
      </w:r>
      <w:r>
        <w:rPr>
          <w:rFonts w:ascii="仿宋_GB2312" w:eastAsia="仿宋_GB2312" w:hint="eastAsia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年一般公共预算项目支出开展了绩效目标管理，共编制绩效目标个算项目支出开展了绩效目标管理，共编制绩效目标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个，涉及财政资金</w:t>
      </w:r>
      <w:r>
        <w:rPr>
          <w:rFonts w:ascii="仿宋_GB2312" w:eastAsia="仿宋_GB2312" w:hint="eastAsia"/>
          <w:sz w:val="32"/>
          <w:szCs w:val="32"/>
        </w:rPr>
        <w:t>39.3</w:t>
      </w:r>
      <w:r>
        <w:rPr>
          <w:rFonts w:ascii="仿宋_GB2312" w:eastAsia="仿宋_GB2312" w:hint="eastAsia"/>
          <w:sz w:val="32"/>
          <w:szCs w:val="32"/>
        </w:rPr>
        <w:t>万元，覆盖率达到</w:t>
      </w:r>
      <w:r>
        <w:rPr>
          <w:rFonts w:ascii="仿宋_GB2312" w:eastAsia="仿宋_GB2312" w:hint="eastAsia"/>
          <w:sz w:val="32"/>
          <w:szCs w:val="32"/>
        </w:rPr>
        <w:t>66%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64B35" w:rsidRDefault="00C64B35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C64B35" w:rsidSect="00C64B35">
      <w:headerReference w:type="default" r:id="rId14"/>
      <w:footerReference w:type="default" r:id="rId15"/>
      <w:pgSz w:w="11906" w:h="16838"/>
      <w:pgMar w:top="1984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85D" w:rsidRDefault="0050085D" w:rsidP="00C64B35">
      <w:r>
        <w:separator/>
      </w:r>
    </w:p>
  </w:endnote>
  <w:endnote w:type="continuationSeparator" w:id="1">
    <w:p w:rsidR="0050085D" w:rsidRDefault="0050085D" w:rsidP="00C64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35" w:rsidRDefault="00C64B35">
    <w:pPr>
      <w:pStyle w:val="a5"/>
      <w:jc w:val="center"/>
    </w:pPr>
    <w:r>
      <w:fldChar w:fldCharType="begin"/>
    </w:r>
    <w:r w:rsidR="0050085D">
      <w:instrText xml:space="preserve"> PAGE   \* MERGEFORMAT </w:instrText>
    </w:r>
    <w:r>
      <w:fldChar w:fldCharType="separate"/>
    </w:r>
    <w:r w:rsidR="008C5E32" w:rsidRPr="008C5E32">
      <w:rPr>
        <w:noProof/>
        <w:lang w:val="zh-CN"/>
      </w:rPr>
      <w:t>4</w:t>
    </w:r>
    <w:r>
      <w:fldChar w:fldCharType="end"/>
    </w:r>
  </w:p>
  <w:p w:rsidR="00C64B35" w:rsidRDefault="00C64B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85D" w:rsidRDefault="0050085D" w:rsidP="00C64B35">
      <w:r>
        <w:separator/>
      </w:r>
    </w:p>
  </w:footnote>
  <w:footnote w:type="continuationSeparator" w:id="1">
    <w:p w:rsidR="0050085D" w:rsidRDefault="0050085D" w:rsidP="00C64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35" w:rsidRDefault="00C64B35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07DB0"/>
    <w:multiLevelType w:val="singleLevel"/>
    <w:tmpl w:val="59C07DB0"/>
    <w:lvl w:ilvl="0">
      <w:start w:val="3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1361C"/>
    <w:rsid w:val="000266F8"/>
    <w:rsid w:val="000851DC"/>
    <w:rsid w:val="000B047F"/>
    <w:rsid w:val="000B5A48"/>
    <w:rsid w:val="000C3CA6"/>
    <w:rsid w:val="000D5782"/>
    <w:rsid w:val="0014729F"/>
    <w:rsid w:val="00191536"/>
    <w:rsid w:val="001C4B4B"/>
    <w:rsid w:val="001F54A6"/>
    <w:rsid w:val="00216508"/>
    <w:rsid w:val="00224844"/>
    <w:rsid w:val="00256CA2"/>
    <w:rsid w:val="00260C38"/>
    <w:rsid w:val="0037013F"/>
    <w:rsid w:val="00386753"/>
    <w:rsid w:val="003A484F"/>
    <w:rsid w:val="003B0C1B"/>
    <w:rsid w:val="004119BA"/>
    <w:rsid w:val="00422126"/>
    <w:rsid w:val="004656AA"/>
    <w:rsid w:val="00482E3F"/>
    <w:rsid w:val="0050085D"/>
    <w:rsid w:val="00544EC6"/>
    <w:rsid w:val="00583B58"/>
    <w:rsid w:val="0058486E"/>
    <w:rsid w:val="005A0502"/>
    <w:rsid w:val="005C1FD1"/>
    <w:rsid w:val="005D5CED"/>
    <w:rsid w:val="00607E6C"/>
    <w:rsid w:val="0065138E"/>
    <w:rsid w:val="0066343B"/>
    <w:rsid w:val="006764DD"/>
    <w:rsid w:val="0068457C"/>
    <w:rsid w:val="006A01E9"/>
    <w:rsid w:val="006C78BA"/>
    <w:rsid w:val="00725DBB"/>
    <w:rsid w:val="00761358"/>
    <w:rsid w:val="0076182A"/>
    <w:rsid w:val="00767B7E"/>
    <w:rsid w:val="007770C3"/>
    <w:rsid w:val="007855B7"/>
    <w:rsid w:val="00800112"/>
    <w:rsid w:val="00871F71"/>
    <w:rsid w:val="008C5E32"/>
    <w:rsid w:val="009062CC"/>
    <w:rsid w:val="00951248"/>
    <w:rsid w:val="0095152F"/>
    <w:rsid w:val="00971FFC"/>
    <w:rsid w:val="009B4EAE"/>
    <w:rsid w:val="009B7573"/>
    <w:rsid w:val="009B79CD"/>
    <w:rsid w:val="009D3447"/>
    <w:rsid w:val="00A307CD"/>
    <w:rsid w:val="00A363CD"/>
    <w:rsid w:val="00A73EA8"/>
    <w:rsid w:val="00A8240B"/>
    <w:rsid w:val="00AC3DA0"/>
    <w:rsid w:val="00AE711B"/>
    <w:rsid w:val="00B03C9D"/>
    <w:rsid w:val="00B10517"/>
    <w:rsid w:val="00B310B9"/>
    <w:rsid w:val="00BD6757"/>
    <w:rsid w:val="00C03E31"/>
    <w:rsid w:val="00C0524B"/>
    <w:rsid w:val="00C10915"/>
    <w:rsid w:val="00C35554"/>
    <w:rsid w:val="00C533CC"/>
    <w:rsid w:val="00C62B85"/>
    <w:rsid w:val="00C64B35"/>
    <w:rsid w:val="00C845F5"/>
    <w:rsid w:val="00CC09B6"/>
    <w:rsid w:val="00CD5B36"/>
    <w:rsid w:val="00CE7B61"/>
    <w:rsid w:val="00DA0E13"/>
    <w:rsid w:val="00DA6B49"/>
    <w:rsid w:val="00DC410D"/>
    <w:rsid w:val="00E34066"/>
    <w:rsid w:val="00E82267"/>
    <w:rsid w:val="00ED1B63"/>
    <w:rsid w:val="00EF4C34"/>
    <w:rsid w:val="00F1361C"/>
    <w:rsid w:val="00F160C7"/>
    <w:rsid w:val="00F662E7"/>
    <w:rsid w:val="00F7009E"/>
    <w:rsid w:val="00FF1E02"/>
    <w:rsid w:val="016B4FC4"/>
    <w:rsid w:val="01F72D8B"/>
    <w:rsid w:val="02202DC9"/>
    <w:rsid w:val="02A41FB7"/>
    <w:rsid w:val="02A9618D"/>
    <w:rsid w:val="07DE7C2F"/>
    <w:rsid w:val="08EA7E9F"/>
    <w:rsid w:val="091E5D16"/>
    <w:rsid w:val="0AF16C17"/>
    <w:rsid w:val="0E905364"/>
    <w:rsid w:val="10B3085C"/>
    <w:rsid w:val="12BB3D92"/>
    <w:rsid w:val="155D4244"/>
    <w:rsid w:val="16780C72"/>
    <w:rsid w:val="19DA30BC"/>
    <w:rsid w:val="1DBF0040"/>
    <w:rsid w:val="1E8D2E9C"/>
    <w:rsid w:val="1F105BE5"/>
    <w:rsid w:val="1F1062D0"/>
    <w:rsid w:val="225770AF"/>
    <w:rsid w:val="238852AB"/>
    <w:rsid w:val="244937B7"/>
    <w:rsid w:val="26921821"/>
    <w:rsid w:val="27CD615F"/>
    <w:rsid w:val="29BB6ABA"/>
    <w:rsid w:val="2A5B67A6"/>
    <w:rsid w:val="2B0A6587"/>
    <w:rsid w:val="2E1C6639"/>
    <w:rsid w:val="2FAE0BC0"/>
    <w:rsid w:val="36F942B0"/>
    <w:rsid w:val="390D370A"/>
    <w:rsid w:val="3A545A57"/>
    <w:rsid w:val="3BDA0D3F"/>
    <w:rsid w:val="3CBA4168"/>
    <w:rsid w:val="3D110981"/>
    <w:rsid w:val="3F421565"/>
    <w:rsid w:val="413E4C45"/>
    <w:rsid w:val="418A2581"/>
    <w:rsid w:val="42913F74"/>
    <w:rsid w:val="42953D2A"/>
    <w:rsid w:val="42E644A4"/>
    <w:rsid w:val="43013BC0"/>
    <w:rsid w:val="47D1249A"/>
    <w:rsid w:val="48870DE3"/>
    <w:rsid w:val="4BBC428B"/>
    <w:rsid w:val="4C097371"/>
    <w:rsid w:val="4E4B6314"/>
    <w:rsid w:val="4E8838B8"/>
    <w:rsid w:val="51713039"/>
    <w:rsid w:val="51F07918"/>
    <w:rsid w:val="51FD6343"/>
    <w:rsid w:val="52015B7F"/>
    <w:rsid w:val="52754F0C"/>
    <w:rsid w:val="52F941CF"/>
    <w:rsid w:val="53360FD2"/>
    <w:rsid w:val="54682D8C"/>
    <w:rsid w:val="585750CC"/>
    <w:rsid w:val="5A093C18"/>
    <w:rsid w:val="5A990764"/>
    <w:rsid w:val="5B366C40"/>
    <w:rsid w:val="5E213979"/>
    <w:rsid w:val="5ECA4526"/>
    <w:rsid w:val="609658AE"/>
    <w:rsid w:val="60A83590"/>
    <w:rsid w:val="620B7B62"/>
    <w:rsid w:val="621F1702"/>
    <w:rsid w:val="626B406A"/>
    <w:rsid w:val="63516194"/>
    <w:rsid w:val="65E5747C"/>
    <w:rsid w:val="68CB37F2"/>
    <w:rsid w:val="6A707CAF"/>
    <w:rsid w:val="6AD25A12"/>
    <w:rsid w:val="6BB0191F"/>
    <w:rsid w:val="6E3D11A6"/>
    <w:rsid w:val="6E7117C5"/>
    <w:rsid w:val="6F55399E"/>
    <w:rsid w:val="70A55EE0"/>
    <w:rsid w:val="730D3421"/>
    <w:rsid w:val="74971824"/>
    <w:rsid w:val="753402E2"/>
    <w:rsid w:val="75415DD6"/>
    <w:rsid w:val="762F4E1A"/>
    <w:rsid w:val="763F562B"/>
    <w:rsid w:val="76AA1CB6"/>
    <w:rsid w:val="770B5D96"/>
    <w:rsid w:val="77EC61F4"/>
    <w:rsid w:val="7B8148B3"/>
    <w:rsid w:val="7C54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C64B35"/>
    <w:pPr>
      <w:spacing w:beforeLines="30"/>
    </w:pPr>
    <w:rPr>
      <w:rFonts w:ascii="仿宋_GB2312" w:eastAsia="仿宋_GB2312"/>
      <w:kern w:val="0"/>
      <w:sz w:val="30"/>
    </w:rPr>
  </w:style>
  <w:style w:type="paragraph" w:styleId="a4">
    <w:name w:val="Balloon Text"/>
    <w:basedOn w:val="a"/>
    <w:link w:val="Char0"/>
    <w:uiPriority w:val="99"/>
    <w:unhideWhenUsed/>
    <w:qFormat/>
    <w:rsid w:val="00C64B3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64B35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64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a7">
    <w:name w:val="Normal (Web)"/>
    <w:basedOn w:val="a"/>
    <w:uiPriority w:val="99"/>
    <w:unhideWhenUsed/>
    <w:rsid w:val="00C64B35"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uiPriority w:val="22"/>
    <w:qFormat/>
    <w:rsid w:val="00C64B35"/>
    <w:rPr>
      <w:b/>
      <w:bCs/>
    </w:rPr>
  </w:style>
  <w:style w:type="character" w:customStyle="1" w:styleId="Char2">
    <w:name w:val="页眉 Char"/>
    <w:link w:val="a6"/>
    <w:uiPriority w:val="99"/>
    <w:semiHidden/>
    <w:rsid w:val="00C64B35"/>
    <w:rPr>
      <w:sz w:val="18"/>
      <w:szCs w:val="18"/>
    </w:rPr>
  </w:style>
  <w:style w:type="character" w:customStyle="1" w:styleId="Char1">
    <w:name w:val="页脚 Char"/>
    <w:link w:val="a5"/>
    <w:uiPriority w:val="99"/>
    <w:rsid w:val="00C64B35"/>
    <w:rPr>
      <w:sz w:val="18"/>
      <w:szCs w:val="18"/>
    </w:rPr>
  </w:style>
  <w:style w:type="character" w:customStyle="1" w:styleId="Char">
    <w:name w:val="正文文本 Char"/>
    <w:link w:val="a3"/>
    <w:rsid w:val="00C64B35"/>
    <w:rPr>
      <w:rFonts w:ascii="仿宋_GB2312" w:eastAsia="仿宋_GB2312" w:hAnsi="Times New Roman" w:cs="Times New Roman"/>
      <w:sz w:val="30"/>
      <w:szCs w:val="24"/>
    </w:rPr>
  </w:style>
  <w:style w:type="paragraph" w:customStyle="1" w:styleId="Default">
    <w:name w:val="Default"/>
    <w:rsid w:val="00C64B35"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rsid w:val="00C64B3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财政收支对比</a:t>
            </a:r>
          </a:p>
        </c:rich>
      </c:tx>
    </c:title>
    <c:plotArea>
      <c:layout>
        <c:manualLayout>
          <c:layoutTarget val="inner"/>
          <c:xMode val="edge"/>
          <c:yMode val="edge"/>
          <c:x val="4.8398747893089317E-2"/>
          <c:y val="0.38369453044375601"/>
          <c:w val="0.92511437515049399"/>
          <c:h val="0.50773993808049522"/>
        </c:manualLayout>
      </c:layout>
      <c:bar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列2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Sheet1!$A$2:$A$5</c:f>
              <c:strCache>
                <c:ptCount val="2"/>
                <c:pt idx="0">
                  <c:v>2015年</c:v>
                </c:pt>
                <c:pt idx="1">
                  <c:v>2016年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财政拨款支出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Sheet1!$A$2:$A$5</c:f>
              <c:strCache>
                <c:ptCount val="2"/>
                <c:pt idx="0">
                  <c:v>2015年</c:v>
                </c:pt>
                <c:pt idx="1">
                  <c:v>2016年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565.88</c:v>
                </c:pt>
                <c:pt idx="1">
                  <c:v>690.16</c:v>
                </c:pt>
                <c:pt idx="2">
                  <c:v>124.28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列1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Sheet1!$A$2:$A$5</c:f>
              <c:strCache>
                <c:ptCount val="2"/>
                <c:pt idx="0">
                  <c:v>2015年</c:v>
                </c:pt>
                <c:pt idx="1">
                  <c:v>2016年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gapWidth val="95"/>
        <c:overlap val="100"/>
        <c:axId val="297074048"/>
        <c:axId val="297257600"/>
      </c:barChart>
      <c:catAx>
        <c:axId val="297074048"/>
        <c:scaling>
          <c:orientation val="minMax"/>
        </c:scaling>
        <c:axPos val="b"/>
        <c:maj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97257600"/>
        <c:crosses val="autoZero"/>
        <c:auto val="1"/>
        <c:lblAlgn val="ctr"/>
        <c:lblOffset val="100"/>
      </c:catAx>
      <c:valAx>
        <c:axId val="297257600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297074048"/>
        <c:crosses val="autoZero"/>
        <c:crossBetween val="between"/>
      </c:valAx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0.25736680026910014"/>
          <c:y val="0.15851393188854507"/>
          <c:w val="0.41306404388982121"/>
          <c:h val="7.4645669291338604E-2"/>
        </c:manualLayout>
      </c:layout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</c:chart>
  <c:txPr>
    <a:bodyPr/>
    <a:lstStyle/>
    <a:p>
      <a:pPr>
        <a:defRPr lang="zh-CN"/>
      </a:pPr>
      <a:endParaRPr lang="zh-CN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财政拨款支出对比</a:t>
            </a:r>
          </a:p>
        </c:rich>
      </c:tx>
    </c:title>
    <c:plotArea>
      <c:layout/>
      <c:barChart>
        <c:barDir val="col"/>
        <c:grouping val="percentStacked"/>
        <c:ser>
          <c:idx val="0"/>
          <c:order val="0"/>
          <c:tx>
            <c:strRef>
              <c:f>Sheet1!$B$1</c:f>
              <c:strCache>
                <c:ptCount val="1"/>
                <c:pt idx="0">
                  <c:v>财政拨款支出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Sheet1!$A$2:$A$5</c:f>
              <c:strCache>
                <c:ptCount val="4"/>
                <c:pt idx="0">
                  <c:v>2015年</c:v>
                </c:pt>
                <c:pt idx="1">
                  <c:v>2016年</c:v>
                </c:pt>
                <c:pt idx="2">
                  <c:v>增加</c:v>
                </c:pt>
                <c:pt idx="3">
                  <c:v>增长比例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565.88</c:v>
                </c:pt>
                <c:pt idx="1">
                  <c:v>690.16</c:v>
                </c:pt>
                <c:pt idx="2">
                  <c:v>124.28</c:v>
                </c:pt>
                <c:pt idx="3">
                  <c:v>21.9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占本年支出比例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Sheet1!$A$2:$A$5</c:f>
              <c:strCache>
                <c:ptCount val="4"/>
                <c:pt idx="0">
                  <c:v>2015年</c:v>
                </c:pt>
                <c:pt idx="1">
                  <c:v>2016年</c:v>
                </c:pt>
                <c:pt idx="2">
                  <c:v>增加</c:v>
                </c:pt>
                <c:pt idx="3">
                  <c:v>增长比例</c:v>
                </c:pt>
              </c:strCache>
            </c:strRef>
          </c:cat>
          <c:val>
            <c:numRef>
              <c:f>Sheet1!$C$3:$C$5</c:f>
              <c:numCache>
                <c:formatCode>General</c:formatCode>
                <c:ptCount val="3"/>
                <c:pt idx="0">
                  <c:v>63.6</c:v>
                </c:pt>
              </c:numCache>
            </c:numRef>
          </c:val>
        </c:ser>
        <c:ser>
          <c:idx val="2"/>
          <c:order val="2"/>
          <c:tx>
            <c:strRef>
              <c:f>Sheet1!$A$5</c:f>
              <c:strCache>
                <c:ptCount val="1"/>
                <c:pt idx="0">
                  <c:v>增长比例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Sheet1!$A$2:$A$5</c:f>
              <c:strCache>
                <c:ptCount val="4"/>
                <c:pt idx="0">
                  <c:v>2015年</c:v>
                </c:pt>
                <c:pt idx="1">
                  <c:v>2016年</c:v>
                </c:pt>
                <c:pt idx="2">
                  <c:v>增加</c:v>
                </c:pt>
                <c:pt idx="3">
                  <c:v>增长比例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gapWidth val="95"/>
        <c:overlap val="100"/>
        <c:axId val="301484672"/>
        <c:axId val="305533312"/>
      </c:barChart>
      <c:catAx>
        <c:axId val="301484672"/>
        <c:scaling>
          <c:orientation val="minMax"/>
        </c:scaling>
        <c:axPos val="b"/>
        <c:maj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5533312"/>
        <c:crosses val="autoZero"/>
        <c:auto val="1"/>
        <c:lblAlgn val="ctr"/>
        <c:lblOffset val="100"/>
      </c:catAx>
      <c:valAx>
        <c:axId val="305533312"/>
        <c:scaling>
          <c:orientation val="minMax"/>
        </c:scaling>
        <c:delete val="1"/>
        <c:axPos val="l"/>
        <c:numFmt formatCode="0%" sourceLinked="1"/>
        <c:tickLblPos val="nextTo"/>
        <c:crossAx val="301484672"/>
        <c:crosses val="autoZero"/>
        <c:crossBetween val="between"/>
      </c:valAx>
    </c:plotArea>
    <c:legend>
      <c:legendPos val="t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</c:chart>
  <c:txPr>
    <a:bodyPr/>
    <a:lstStyle/>
    <a:p>
      <a:pPr>
        <a:defRPr lang="zh-CN"/>
      </a:pPr>
      <a:endParaRPr lang="zh-CN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财政拨款支出结构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Percent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Sheet1!$A$2:$A$5</c:f>
              <c:strCache>
                <c:ptCount val="2"/>
                <c:pt idx="0">
                  <c:v>医疗卫生支出</c:v>
                </c:pt>
                <c:pt idx="1">
                  <c:v>住房保障支出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651.20000000000005</c:v>
                </c:pt>
                <c:pt idx="1">
                  <c:v>38.96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zero"/>
  </c:chart>
  <c:txPr>
    <a:bodyPr/>
    <a:lstStyle/>
    <a:p>
      <a:pPr>
        <a:defRPr lang="zh-CN"/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FDB24C7-C7F2-4B0F-A5A9-9B7D44B4F5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384</Words>
  <Characters>2189</Characters>
  <Application>Microsoft Office Word</Application>
  <DocSecurity>0</DocSecurity>
  <Lines>18</Lines>
  <Paragraphs>5</Paragraphs>
  <ScaleCrop>false</ScaleCrop>
  <Company>四川省财政厅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张彬茜</dc:creator>
  <cp:lastModifiedBy>王睿林</cp:lastModifiedBy>
  <cp:revision>15</cp:revision>
  <cp:lastPrinted>2017-09-14T10:03:00Z</cp:lastPrinted>
  <dcterms:created xsi:type="dcterms:W3CDTF">2017-09-16T14:14:00Z</dcterms:created>
  <dcterms:modified xsi:type="dcterms:W3CDTF">2017-09-22T08:10:00Z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