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36"/>
          <w:szCs w:val="36"/>
        </w:rPr>
      </w:pPr>
    </w:p>
    <w:p>
      <w:pPr>
        <w:spacing w:line="600" w:lineRule="exact"/>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茂县妇幼保健计划生育服务中心</w:t>
      </w:r>
    </w:p>
    <w:p>
      <w:pPr>
        <w:spacing w:line="600" w:lineRule="exact"/>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2017年部门决算编制说明</w:t>
      </w:r>
    </w:p>
    <w:p>
      <w:pPr>
        <w:spacing w:line="600" w:lineRule="exact"/>
        <w:jc w:val="center"/>
        <w:rPr>
          <w:rFonts w:ascii="宋体" w:hAnsi="宋体"/>
          <w:b/>
          <w:color w:val="000000"/>
          <w:sz w:val="44"/>
          <w:szCs w:val="44"/>
        </w:rPr>
      </w:pP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一、基本职能及主要工作</w:t>
      </w:r>
    </w:p>
    <w:p>
      <w:pPr>
        <w:pStyle w:val="3"/>
        <w:adjustRightInd w:val="0"/>
        <w:snapToGrid w:val="0"/>
        <w:spacing w:line="600" w:lineRule="exact"/>
        <w:ind w:firstLine="675" w:firstLineChars="210"/>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rPr>
        <w:t>（一）</w:t>
      </w:r>
      <w:r>
        <w:rPr>
          <w:rFonts w:hint="eastAsia" w:ascii="楷体_GB2312" w:hAnsi="楷体_GB2312" w:eastAsia="楷体_GB2312" w:cs="楷体_GB2312"/>
          <w:b/>
          <w:bCs w:val="0"/>
          <w:color w:val="000000"/>
          <w:sz w:val="32"/>
          <w:szCs w:val="32"/>
          <w:lang w:val="en-US" w:eastAsia="zh-CN"/>
        </w:rPr>
        <w:t>基本职能</w:t>
      </w:r>
    </w:p>
    <w:p>
      <w:pPr>
        <w:pStyle w:val="3"/>
        <w:adjustRightInd w:val="0"/>
        <w:snapToGrid w:val="0"/>
        <w:spacing w:line="600" w:lineRule="exact"/>
        <w:ind w:firstLine="988" w:firstLineChars="309"/>
        <w:rPr>
          <w:bCs/>
          <w:i/>
          <w:color w:val="000000"/>
          <w:sz w:val="32"/>
          <w:szCs w:val="32"/>
        </w:rPr>
      </w:pPr>
      <w:r>
        <w:rPr>
          <w:rFonts w:hint="eastAsia" w:hAnsi="仿宋_GB2312" w:cs="仿宋_GB2312"/>
          <w:sz w:val="32"/>
          <w:szCs w:val="32"/>
        </w:rPr>
        <w:t>深入贯彻《母婴保健法》、《中国妇女发展纲要》、《中国儿童发展纲要》，围绕实现“新两纲”目标和初级卫生保健指标，组织实施“重大公共卫生服务项目”， 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pPr>
        <w:pStyle w:val="3"/>
        <w:adjustRightInd w:val="0"/>
        <w:snapToGrid w:val="0"/>
        <w:spacing w:line="600" w:lineRule="exact"/>
        <w:ind w:firstLine="675" w:firstLineChars="210"/>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（二）2017年重点工作完成情况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开展免费婚检检查全年工作完成 170对，查孕、查环、取环手术等 20317 人次，孕前优生检查330对，农村孕产妇住院分娩补助268人次，新生儿听力筛查1350人次。</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二、部门概况</w:t>
      </w:r>
    </w:p>
    <w:p>
      <w:pPr>
        <w:pStyle w:val="3"/>
        <w:adjustRightInd w:val="0"/>
        <w:snapToGrid w:val="0"/>
        <w:spacing w:line="600" w:lineRule="exact"/>
        <w:ind w:firstLine="672" w:firstLineChars="210"/>
        <w:rPr>
          <w:color w:val="000000"/>
          <w:sz w:val="32"/>
          <w:szCs w:val="32"/>
        </w:rPr>
      </w:pPr>
      <w:r>
        <w:rPr>
          <w:rFonts w:hint="eastAsia" w:hAnsi="仿宋_GB2312" w:cs="仿宋_GB2312"/>
          <w:sz w:val="32"/>
          <w:szCs w:val="32"/>
        </w:rPr>
        <w:t>茂县妇幼保健计划生育服务中心属其他事业单位</w:t>
      </w:r>
      <w:r>
        <w:rPr>
          <w:rFonts w:hint="eastAsia"/>
          <w:color w:val="000000"/>
          <w:sz w:val="32"/>
          <w:szCs w:val="32"/>
        </w:rPr>
        <w:t>。</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三、收支决算总体情况</w:t>
      </w:r>
    </w:p>
    <w:p>
      <w:pPr>
        <w:ind w:firstLine="640" w:firstLineChars="200"/>
        <w:rPr>
          <w:rFonts w:hint="eastAsia" w:ascii="仿宋_GB2312" w:eastAsia="仿宋_GB2312"/>
          <w:color w:val="000000"/>
          <w:sz w:val="32"/>
          <w:szCs w:val="32"/>
          <w:highlight w:val="none"/>
        </w:rPr>
      </w:pPr>
      <w:r>
        <w:rPr>
          <w:rFonts w:hint="eastAsia" w:ascii="仿宋_GB2312" w:eastAsia="仿宋_GB2312"/>
          <w:color w:val="000000"/>
          <w:sz w:val="32"/>
          <w:szCs w:val="32"/>
        </w:rPr>
        <w:t>2017年本年收入合计1193.72万元，其中：财政拨款收入662.93万元</w:t>
      </w:r>
      <w:r>
        <w:rPr>
          <w:rFonts w:hint="eastAsia" w:ascii="仿宋_GB2312" w:eastAsia="仿宋_GB2312"/>
          <w:color w:val="000000"/>
          <w:sz w:val="32"/>
          <w:szCs w:val="32"/>
          <w:highlight w:val="none"/>
        </w:rPr>
        <w:t>，占55.5%；事业收入530.80万元，占44.5%；</w:t>
      </w:r>
    </w:p>
    <w:p>
      <w:pPr>
        <w:ind w:firstLine="320" w:firstLineChars="100"/>
        <w:rPr>
          <w:rFonts w:hint="eastAsia" w:ascii="仿宋_GB2312" w:eastAsia="仿宋_GB2312"/>
          <w:color w:val="000000"/>
          <w:sz w:val="32"/>
          <w:szCs w:val="32"/>
        </w:rPr>
      </w:pPr>
      <w:r>
        <w:rPr>
          <w:rFonts w:hint="eastAsia" w:ascii="仿宋_GB2312" w:eastAsia="仿宋_GB2312"/>
          <w:color w:val="000000"/>
          <w:sz w:val="32"/>
          <w:szCs w:val="32"/>
        </w:rPr>
        <w:t>经营收入0万元;附属单位上缴收入0万元；其他收入0万元。</w:t>
      </w:r>
    </w:p>
    <w:p>
      <w:pPr>
        <w:ind w:firstLine="420" w:firstLineChars="200"/>
        <w:rPr>
          <w:rFonts w:ascii="仿宋_GB2312" w:eastAsia="仿宋_GB2312"/>
          <w:color w:val="000000"/>
          <w:sz w:val="32"/>
          <w:szCs w:val="32"/>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rPr>
          <w:rFonts w:ascii="仿宋_GB2312" w:eastAsia="仿宋_GB2312"/>
          <w:color w:val="000000"/>
          <w:sz w:val="32"/>
          <w:szCs w:val="32"/>
        </w:rPr>
      </w:pP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2017年本年支出合计1141.12万元，其中：基本支出1064.60万元，占93%；项目支出76.52万元，占7%；上缴上级支出0万元；经营支出0万元；对附属单位补助支出0万元。</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drawing>
          <wp:inline distT="0" distB="0" distL="0" distR="0">
            <wp:extent cx="3841750" cy="1758315"/>
            <wp:effectExtent l="4445" t="5080" r="9525" b="44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000000"/>
          <w:sz w:val="32"/>
          <w:szCs w:val="32"/>
        </w:rPr>
      </w:pPr>
      <w:r>
        <w:rPr>
          <w:rFonts w:hint="eastAsia" w:ascii="黑体" w:eastAsia="黑体"/>
          <w:color w:val="000000"/>
          <w:sz w:val="32"/>
          <w:szCs w:val="32"/>
        </w:rPr>
        <w:t>四、财政拨款收支决算情况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妇幼保健计划生育服务中心2017年度财政拨款收支总决算</w:t>
      </w:r>
      <w:r>
        <w:rPr>
          <w:rFonts w:hint="eastAsia" w:ascii="仿宋_GB2312" w:eastAsia="仿宋_GB2312"/>
          <w:color w:val="000000"/>
          <w:sz w:val="32"/>
          <w:szCs w:val="32"/>
          <w:lang w:val="en-US" w:eastAsia="zh-CN"/>
        </w:rPr>
        <w:t>38.32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与2016年相比，财政拨款收、支总计各增加</w:t>
      </w:r>
      <w:r>
        <w:rPr>
          <w:rFonts w:hint="eastAsia" w:ascii="仿宋_GB2312" w:eastAsia="仿宋_GB2312"/>
          <w:color w:val="000000"/>
          <w:sz w:val="32"/>
          <w:szCs w:val="32"/>
          <w:lang w:val="en-US" w:eastAsia="zh-CN"/>
        </w:rPr>
        <w:t>21.1</w:t>
      </w:r>
      <w:r>
        <w:rPr>
          <w:rFonts w:hint="eastAsia" w:ascii="仿宋_GB2312" w:eastAsia="仿宋_GB2312"/>
          <w:color w:val="000000"/>
          <w:sz w:val="32"/>
          <w:szCs w:val="32"/>
        </w:rPr>
        <w:t>万元，</w:t>
      </w:r>
      <w:bookmarkStart w:id="0" w:name="_GoBack"/>
      <w:r>
        <w:rPr>
          <w:rFonts w:hint="eastAsia" w:ascii="仿宋_GB2312" w:eastAsia="仿宋_GB2312"/>
          <w:color w:val="000000"/>
          <w:sz w:val="32"/>
          <w:szCs w:val="32"/>
          <w:highlight w:val="none"/>
        </w:rPr>
        <w:t>增长1</w:t>
      </w:r>
      <w:r>
        <w:rPr>
          <w:rFonts w:hint="eastAsia" w:ascii="仿宋_GB2312" w:eastAsia="仿宋_GB2312"/>
          <w:color w:val="000000"/>
          <w:sz w:val="32"/>
          <w:szCs w:val="32"/>
          <w:highlight w:val="none"/>
          <w:lang w:val="en-US" w:eastAsia="zh-CN"/>
        </w:rPr>
        <w:t>22</w:t>
      </w:r>
      <w:r>
        <w:rPr>
          <w:rFonts w:hint="eastAsia" w:ascii="仿宋_GB2312" w:eastAsia="仿宋_GB2312"/>
          <w:color w:val="000000"/>
          <w:sz w:val="32"/>
          <w:szCs w:val="32"/>
          <w:highlight w:val="none"/>
        </w:rPr>
        <w:t>%。</w:t>
      </w:r>
      <w:bookmarkEnd w:id="0"/>
    </w:p>
    <w:p>
      <w:pPr>
        <w:ind w:firstLine="640" w:firstLineChars="200"/>
        <w:rPr>
          <w:rFonts w:ascii="仿宋_GB2312" w:eastAsia="仿宋_GB2312"/>
          <w:color w:val="000000"/>
          <w:sz w:val="32"/>
          <w:szCs w:val="32"/>
        </w:rPr>
      </w:pPr>
      <w:r>
        <w:rPr>
          <w:rFonts w:ascii="仿宋_GB2312" w:eastAsia="仿宋_GB2312"/>
          <w:color w:val="000000"/>
          <w:sz w:val="32"/>
          <w:szCs w:val="32"/>
        </w:rPr>
        <w:drawing>
          <wp:inline distT="0" distB="0" distL="0" distR="0">
            <wp:extent cx="4467225" cy="2581275"/>
            <wp:effectExtent l="4445" t="4445" r="508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五、一般公共预算财政拨款支出决算情况</w:t>
      </w:r>
    </w:p>
    <w:p>
      <w:pPr>
        <w:spacing w:line="600" w:lineRule="exact"/>
        <w:ind w:firstLine="643" w:firstLineChars="200"/>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（一）一般公共预算财政拨款支出决算总体情况</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妇幼保健计划生育服务中心2017年度一般公共预算财政拨款支出641.83万元，占本年支出合计的56%。与2016年相比，一般公共预算财政拨款减少48.33万元，下降7%。</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drawing>
          <wp:inline distT="0" distB="0" distL="0" distR="0">
            <wp:extent cx="4146550" cy="2230755"/>
            <wp:effectExtent l="4445" t="5080" r="9525" b="44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（二）一般公共预算财政拨款支出决算结构情况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妇幼保健计划生育服务中心2017年一般公共预算财政拨款支出641.83万元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主要用于:一般公共服务支出0万元；教育支出0万元；社会保障和就业支出98.22万元，占15%；医疗卫生支出492.84万元，占77%；住房保障支出50.77万元，占8%。</w:t>
      </w:r>
    </w:p>
    <w:p>
      <w:pPr>
        <w:ind w:firstLine="200"/>
        <w:rPr>
          <w:rFonts w:ascii="仿宋_GB2312" w:eastAsia="仿宋_GB2312"/>
          <w:b/>
          <w:i/>
          <w:color w:val="404040"/>
          <w:sz w:val="32"/>
          <w:szCs w:val="32"/>
        </w:rPr>
      </w:pPr>
      <w:r>
        <w:rPr>
          <w:rFonts w:hint="eastAsia" w:ascii="仿宋_GB2312" w:eastAsia="仿宋_GB2312"/>
          <w:b/>
          <w:i/>
          <w:color w:val="404040"/>
          <w:sz w:val="32"/>
          <w:szCs w:val="32"/>
        </w:rPr>
        <w:drawing>
          <wp:inline distT="0" distB="0" distL="0" distR="0">
            <wp:extent cx="4404360" cy="2116455"/>
            <wp:effectExtent l="4445" t="5080" r="10795" b="1206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（三）一般公共预算财政拨款支出决算具体情况</w:t>
      </w:r>
    </w:p>
    <w:p>
      <w:pPr>
        <w:spacing w:line="600" w:lineRule="exact"/>
        <w:ind w:firstLine="643" w:firstLineChars="200"/>
        <w:rPr>
          <w:rFonts w:ascii="仿宋_GB2312" w:eastAsia="仿宋_GB2312"/>
          <w:color w:val="000000"/>
          <w:sz w:val="32"/>
          <w:szCs w:val="32"/>
        </w:rPr>
      </w:pPr>
      <w:r>
        <w:rPr>
          <w:rStyle w:val="9"/>
          <w:rFonts w:hint="eastAsia" w:ascii="仿宋_GB2312" w:eastAsia="仿宋_GB2312"/>
          <w:color w:val="000000"/>
          <w:sz w:val="32"/>
          <w:szCs w:val="32"/>
        </w:rPr>
        <w:t>1.一般公共服务:</w:t>
      </w:r>
      <w:r>
        <w:rPr>
          <w:rFonts w:hint="eastAsia" w:ascii="仿宋_GB2312" w:eastAsia="仿宋_GB2312"/>
          <w:color w:val="000000"/>
          <w:sz w:val="32"/>
          <w:szCs w:val="32"/>
        </w:rPr>
        <w:t>2017年决算数为0万元。</w:t>
      </w:r>
    </w:p>
    <w:p>
      <w:pPr>
        <w:spacing w:line="600" w:lineRule="exact"/>
        <w:ind w:firstLine="643" w:firstLineChars="200"/>
        <w:rPr>
          <w:rFonts w:ascii="仿宋_GB2312" w:eastAsia="仿宋_GB2312"/>
          <w:color w:val="000000"/>
          <w:sz w:val="32"/>
          <w:szCs w:val="32"/>
        </w:rPr>
      </w:pPr>
      <w:r>
        <w:rPr>
          <w:rStyle w:val="9"/>
          <w:rFonts w:hint="eastAsia" w:ascii="仿宋_GB2312" w:eastAsia="仿宋_GB2312"/>
          <w:color w:val="000000"/>
          <w:sz w:val="32"/>
          <w:szCs w:val="32"/>
        </w:rPr>
        <w:t>2.教育:</w:t>
      </w:r>
      <w:r>
        <w:rPr>
          <w:rFonts w:hint="eastAsia" w:ascii="仿宋_GB2312" w:eastAsia="仿宋_GB2312"/>
          <w:color w:val="000000"/>
          <w:sz w:val="32"/>
          <w:szCs w:val="32"/>
        </w:rPr>
        <w:t>2017年决算数为0万元。</w:t>
      </w:r>
    </w:p>
    <w:p>
      <w:pPr>
        <w:spacing w:line="600" w:lineRule="exact"/>
        <w:ind w:firstLine="643" w:firstLineChars="200"/>
        <w:rPr>
          <w:rFonts w:ascii="仿宋_GB2312" w:eastAsia="仿宋_GB2312"/>
          <w:color w:val="000000"/>
          <w:sz w:val="32"/>
          <w:szCs w:val="32"/>
        </w:rPr>
      </w:pPr>
      <w:r>
        <w:rPr>
          <w:rStyle w:val="9"/>
          <w:rFonts w:hint="eastAsia" w:ascii="仿宋_GB2312" w:eastAsia="仿宋_GB2312"/>
          <w:color w:val="000000"/>
          <w:sz w:val="32"/>
          <w:szCs w:val="32"/>
        </w:rPr>
        <w:t>3.科学技术:</w:t>
      </w:r>
      <w:r>
        <w:rPr>
          <w:rFonts w:hint="eastAsia" w:ascii="仿宋_GB2312" w:eastAsia="仿宋_GB2312"/>
          <w:color w:val="000000"/>
          <w:sz w:val="32"/>
          <w:szCs w:val="32"/>
        </w:rPr>
        <w:t>2017年决算数为0万元。</w:t>
      </w:r>
    </w:p>
    <w:p>
      <w:pPr>
        <w:spacing w:line="600" w:lineRule="exact"/>
        <w:ind w:firstLine="643" w:firstLineChars="200"/>
        <w:rPr>
          <w:rFonts w:hint="eastAsia" w:ascii="仿宋_GB2312" w:eastAsia="仿宋_GB2312"/>
          <w:color w:val="000000"/>
          <w:sz w:val="32"/>
          <w:szCs w:val="32"/>
          <w:lang w:eastAsia="zh-CN"/>
        </w:rPr>
      </w:pPr>
      <w:r>
        <w:rPr>
          <w:rStyle w:val="9"/>
          <w:rFonts w:hint="eastAsia" w:ascii="仿宋_GB2312" w:eastAsia="仿宋_GB2312"/>
          <w:color w:val="000000"/>
          <w:sz w:val="32"/>
          <w:szCs w:val="32"/>
        </w:rPr>
        <w:t>4.文化体育与传媒:</w:t>
      </w:r>
      <w:r>
        <w:rPr>
          <w:rFonts w:hint="eastAsia" w:ascii="仿宋_GB2312" w:eastAsia="仿宋_GB2312"/>
          <w:color w:val="000000"/>
          <w:sz w:val="32"/>
          <w:szCs w:val="32"/>
        </w:rPr>
        <w:t>2017年决算数为0万元。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Style w:val="9"/>
          <w:rFonts w:hint="eastAsia" w:ascii="仿宋_GB2312" w:eastAsia="仿宋_GB2312"/>
          <w:color w:val="000000"/>
          <w:sz w:val="32"/>
          <w:szCs w:val="32"/>
        </w:rPr>
        <w:t>5.社会保障和就业:</w:t>
      </w:r>
      <w:r>
        <w:rPr>
          <w:rFonts w:hint="eastAsia" w:ascii="仿宋_GB2312" w:eastAsia="仿宋_GB2312"/>
          <w:color w:val="000000"/>
          <w:sz w:val="32"/>
          <w:szCs w:val="32"/>
        </w:rPr>
        <w:t>2017年决算数为0元。</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Style w:val="9"/>
          <w:rFonts w:hint="eastAsia" w:ascii="仿宋_GB2312" w:eastAsia="仿宋_GB2312"/>
          <w:color w:val="000000"/>
          <w:sz w:val="32"/>
          <w:szCs w:val="32"/>
        </w:rPr>
        <w:t>6.医疗卫生与计划生育:</w:t>
      </w:r>
      <w:r>
        <w:rPr>
          <w:rFonts w:hint="eastAsia" w:ascii="仿宋_GB2312" w:eastAsia="仿宋_GB2312"/>
          <w:color w:val="000000"/>
          <w:sz w:val="32"/>
          <w:szCs w:val="32"/>
        </w:rPr>
        <w:t>2017年决算数为</w:t>
      </w:r>
      <w:r>
        <w:rPr>
          <w:rFonts w:hint="eastAsia" w:ascii="仿宋_GB2312" w:eastAsia="仿宋_GB2312"/>
          <w:color w:val="000000"/>
          <w:sz w:val="32"/>
          <w:szCs w:val="32"/>
          <w:lang w:val="en-US" w:eastAsia="zh-CN"/>
        </w:rPr>
        <w:t>492.84</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spacing w:line="600" w:lineRule="exact"/>
        <w:ind w:firstLine="640"/>
        <w:rPr>
          <w:rFonts w:ascii="黑体" w:eastAsia="黑体"/>
          <w:color w:val="000000"/>
          <w:sz w:val="32"/>
          <w:szCs w:val="32"/>
        </w:rPr>
      </w:pPr>
      <w:r>
        <w:rPr>
          <w:rFonts w:hint="eastAsia" w:ascii="黑体" w:eastAsia="黑体"/>
          <w:color w:val="000000"/>
          <w:sz w:val="32"/>
          <w:szCs w:val="32"/>
        </w:rPr>
        <w:t>六、一般公共预算财政拨款基本支出决算情况</w:t>
      </w:r>
    </w:p>
    <w:p>
      <w:pPr>
        <w:spacing w:line="600" w:lineRule="exact"/>
        <w:ind w:firstLine="420"/>
        <w:rPr>
          <w:rFonts w:ascii="仿宋_GB2312" w:eastAsia="仿宋_GB2312"/>
          <w:color w:val="000000"/>
          <w:sz w:val="32"/>
          <w:szCs w:val="32"/>
        </w:rPr>
      </w:pPr>
      <w:r>
        <w:rPr>
          <w:rFonts w:hint="eastAsia" w:ascii="仿宋_GB2312" w:eastAsia="仿宋_GB2312"/>
          <w:color w:val="000000"/>
          <w:sz w:val="32"/>
          <w:szCs w:val="32"/>
        </w:rPr>
        <w:t>妇幼保健计划妇幼中心2017年一般公共预算财政拨款基本支出565.30万元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人员经费565.30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0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600" w:lineRule="exact"/>
        <w:ind w:firstLine="640"/>
        <w:rPr>
          <w:rFonts w:ascii="黑体" w:eastAsia="黑体"/>
          <w:color w:val="000000"/>
          <w:sz w:val="32"/>
          <w:szCs w:val="32"/>
        </w:rPr>
      </w:pPr>
      <w:r>
        <w:rPr>
          <w:rFonts w:hint="eastAsia" w:ascii="黑体" w:eastAsia="黑体"/>
          <w:color w:val="000000"/>
          <w:sz w:val="32"/>
          <w:szCs w:val="32"/>
        </w:rPr>
        <w:t>七、“三公”经费财政拨款支出决算情况</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pPr>
        <w:spacing w:line="600" w:lineRule="exact"/>
        <w:ind w:firstLine="640"/>
        <w:rPr>
          <w:rFonts w:hint="eastAsia" w:ascii="仿宋_GB2312" w:eastAsia="仿宋_GB2312"/>
          <w:color w:val="333333"/>
          <w:sz w:val="32"/>
          <w:szCs w:val="32"/>
          <w:lang w:eastAsia="zh-CN"/>
        </w:rPr>
      </w:pPr>
      <w:r>
        <w:rPr>
          <w:rFonts w:hint="eastAsia" w:ascii="仿宋_GB2312" w:eastAsia="仿宋_GB2312"/>
          <w:color w:val="333333"/>
          <w:sz w:val="32"/>
          <w:szCs w:val="32"/>
        </w:rPr>
        <w:t>妇幼保健计划服务中心2017年度“三公”经费财政拨款支出决算为0万元</w:t>
      </w:r>
      <w:r>
        <w:rPr>
          <w:rFonts w:hint="eastAsia" w:ascii="仿宋_GB2312" w:eastAsia="仿宋_GB2312"/>
          <w:color w:val="333333"/>
          <w:sz w:val="32"/>
          <w:szCs w:val="32"/>
          <w:lang w:eastAsia="zh-CN"/>
        </w:rPr>
        <w:t>。</w:t>
      </w:r>
    </w:p>
    <w:p>
      <w:pPr>
        <w:spacing w:line="600" w:lineRule="exact"/>
        <w:ind w:firstLine="640"/>
        <w:rPr>
          <w:rFonts w:hint="eastAsia" w:ascii="仿宋_GB2312" w:eastAsia="仿宋_GB2312"/>
          <w:color w:val="333333"/>
          <w:sz w:val="32"/>
          <w:szCs w:val="32"/>
          <w:lang w:eastAsia="zh-CN"/>
        </w:rPr>
      </w:pPr>
      <w:r>
        <w:rPr>
          <w:rFonts w:hint="eastAsia" w:ascii="仿宋_GB2312" w:eastAsia="仿宋_GB2312"/>
          <w:color w:val="333333"/>
          <w:sz w:val="32"/>
          <w:szCs w:val="32"/>
        </w:rPr>
        <w:t>2017年度“三公”经费财政拨款支出</w:t>
      </w:r>
      <w:r>
        <w:rPr>
          <w:rFonts w:hint="eastAsia" w:ascii="仿宋_GB2312" w:eastAsia="仿宋_GB2312"/>
          <w:color w:val="333333"/>
          <w:sz w:val="32"/>
          <w:szCs w:val="32"/>
          <w:lang w:eastAsia="zh-CN"/>
        </w:rPr>
        <w:t>决算</w:t>
      </w:r>
      <w:r>
        <w:rPr>
          <w:rFonts w:hint="eastAsia" w:ascii="仿宋_GB2312" w:eastAsia="仿宋_GB2312"/>
          <w:color w:val="333333"/>
          <w:sz w:val="32"/>
          <w:szCs w:val="32"/>
        </w:rPr>
        <w:t>0万元</w:t>
      </w:r>
      <w:r>
        <w:rPr>
          <w:rFonts w:hint="eastAsia" w:ascii="仿宋_GB2312" w:eastAsia="仿宋_GB2312"/>
          <w:color w:val="333333"/>
          <w:sz w:val="32"/>
          <w:szCs w:val="32"/>
          <w:lang w:eastAsia="zh-CN"/>
        </w:rPr>
        <w:t>。</w:t>
      </w:r>
    </w:p>
    <w:p>
      <w:pPr>
        <w:spacing w:line="600" w:lineRule="exact"/>
        <w:ind w:firstLine="640"/>
        <w:rPr>
          <w:rFonts w:ascii="仿宋_GB2312" w:eastAsia="仿宋_GB2312"/>
          <w:b/>
          <w:color w:val="333333"/>
          <w:sz w:val="32"/>
          <w:szCs w:val="32"/>
        </w:rPr>
      </w:pPr>
      <w:r>
        <w:rPr>
          <w:rFonts w:hint="eastAsia" w:ascii="仿宋_GB2312" w:eastAsia="仿宋_GB2312"/>
          <w:b/>
          <w:color w:val="333333"/>
          <w:sz w:val="32"/>
          <w:szCs w:val="32"/>
        </w:rPr>
        <w:t>（二）“三公”经费财政拨款支出决算具体情况说明</w:t>
      </w:r>
    </w:p>
    <w:p>
      <w:pPr>
        <w:ind w:firstLine="641"/>
        <w:rPr>
          <w:rFonts w:ascii="仿宋_GB2312" w:eastAsia="仿宋_GB2312"/>
          <w:color w:val="000000"/>
          <w:sz w:val="32"/>
          <w:szCs w:val="32"/>
        </w:rPr>
      </w:pPr>
      <w:r>
        <w:rPr>
          <w:rFonts w:hint="eastAsia" w:ascii="仿宋_GB2312" w:eastAsia="仿宋_GB2312"/>
          <w:color w:val="333333"/>
          <w:sz w:val="32"/>
          <w:szCs w:val="32"/>
        </w:rPr>
        <w:t>2017年度“三公”经费财政拨款支出决算中，因公出国（境）费支出决算0万元，公务用车购置及运行维护费支出决算0万元，公务接待费支出决算0万元</w:t>
      </w:r>
      <w:r>
        <w:rPr>
          <w:rFonts w:hint="eastAsia" w:ascii="仿宋_GB2312" w:eastAsia="仿宋_GB2312"/>
          <w:color w:val="000000"/>
          <w:sz w:val="32"/>
          <w:szCs w:val="32"/>
        </w:rPr>
        <w:t>。具体情况如下：</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2017年</w:t>
      </w:r>
      <w:r>
        <w:rPr>
          <w:rFonts w:hint="eastAsia" w:ascii="仿宋_GB2312" w:eastAsia="仿宋_GB2312"/>
          <w:color w:val="000000"/>
          <w:sz w:val="32"/>
          <w:szCs w:val="32"/>
        </w:rPr>
        <w:t>因公出国（境）费0万元。全年安排因公出国（境）团组0次，出国（境）0人。</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2.公务用车购置及运行维护费</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2017年</w:t>
      </w:r>
      <w:r>
        <w:rPr>
          <w:rFonts w:hint="eastAsia" w:ascii="仿宋_GB2312" w:eastAsia="仿宋_GB2312"/>
          <w:color w:val="000000"/>
          <w:sz w:val="32"/>
          <w:szCs w:val="32"/>
        </w:rPr>
        <w:t>公务用车购置及运行维护费0万元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公务用车购置支出0万元。</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公务用车运行维护费支出0万元。</w:t>
      </w:r>
    </w:p>
    <w:p>
      <w:pPr>
        <w:spacing w:line="600" w:lineRule="exact"/>
        <w:ind w:firstLine="643" w:firstLineChars="200"/>
        <w:rPr>
          <w:rFonts w:ascii="楷体_GB2312" w:eastAsia="楷体_GB2312"/>
          <w:b/>
          <w:color w:val="000000"/>
          <w:sz w:val="32"/>
          <w:szCs w:val="32"/>
        </w:rPr>
      </w:pPr>
      <w:r>
        <w:rPr>
          <w:rFonts w:hint="eastAsia" w:ascii="仿宋_GB2312" w:eastAsia="仿宋_GB2312"/>
          <w:b/>
          <w:color w:val="000000"/>
          <w:sz w:val="32"/>
          <w:szCs w:val="32"/>
        </w:rPr>
        <w:t>3.公务接待费</w:t>
      </w:r>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2017年</w:t>
      </w:r>
      <w:r>
        <w:rPr>
          <w:rFonts w:hint="eastAsia" w:ascii="仿宋_GB2312" w:eastAsia="仿宋_GB2312"/>
          <w:color w:val="000000"/>
          <w:sz w:val="32"/>
          <w:szCs w:val="32"/>
        </w:rPr>
        <w:t>公务接待费0万元。</w:t>
      </w:r>
    </w:p>
    <w:p>
      <w:pPr>
        <w:spacing w:line="600" w:lineRule="exact"/>
        <w:ind w:firstLine="640"/>
        <w:rPr>
          <w:rFonts w:ascii="黑体" w:eastAsia="黑体"/>
          <w:color w:val="000000"/>
          <w:sz w:val="32"/>
          <w:szCs w:val="32"/>
        </w:rPr>
      </w:pPr>
      <w:r>
        <w:rPr>
          <w:rFonts w:hint="eastAsia" w:ascii="黑体" w:eastAsia="黑体"/>
          <w:color w:val="000000"/>
          <w:sz w:val="32"/>
          <w:szCs w:val="32"/>
        </w:rPr>
        <w:t>八、政府性基金预算财政拨款支出决算情况</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妇幼保健计划服务中心2017年使用政府性基金预算财政拨款支出0万元。</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九、其他重要事项的情况说明</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2017年度，</w:t>
      </w:r>
      <w:r>
        <w:rPr>
          <w:rFonts w:hint="eastAsia" w:ascii="仿宋_GB2312" w:eastAsia="仿宋_GB2312"/>
          <w:color w:val="000000"/>
          <w:sz w:val="32"/>
          <w:szCs w:val="32"/>
          <w:lang w:eastAsia="zh-CN"/>
        </w:rPr>
        <w:t>妇幼保健计划生育服务中心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2017年度，</w:t>
      </w:r>
      <w:r>
        <w:rPr>
          <w:rFonts w:hint="eastAsia" w:ascii="仿宋_GB2312" w:eastAsia="仿宋_GB2312"/>
          <w:color w:val="000000"/>
          <w:sz w:val="32"/>
          <w:szCs w:val="32"/>
          <w:lang w:eastAsia="zh-CN"/>
        </w:rPr>
        <w:t>妇幼保健计划生育服务中心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0.55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截至2017年12月31日，</w:t>
      </w:r>
      <w:r>
        <w:rPr>
          <w:rFonts w:hint="eastAsia" w:ascii="仿宋_GB2312" w:eastAsia="仿宋_GB2312"/>
          <w:color w:val="000000"/>
          <w:sz w:val="32"/>
          <w:szCs w:val="32"/>
          <w:lang w:eastAsia="zh-CN"/>
        </w:rPr>
        <w:t>妇幼保健计划生育服务中心</w:t>
      </w:r>
      <w:r>
        <w:rPr>
          <w:rFonts w:hint="eastAsia" w:ascii="仿宋_GB2312" w:eastAsia="仿宋_GB2312"/>
          <w:color w:val="000000"/>
          <w:sz w:val="32"/>
          <w:szCs w:val="32"/>
        </w:rPr>
        <w:t>公有车辆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（四）预算绩效情况</w:t>
      </w:r>
    </w:p>
    <w:p>
      <w:pPr>
        <w:spacing w:line="600" w:lineRule="atLeast"/>
        <w:ind w:firstLine="640" w:firstLineChars="200"/>
        <w:rPr>
          <w:rFonts w:ascii="仿宋_GB2312" w:eastAsia="仿宋_GB2312"/>
          <w:sz w:val="32"/>
          <w:szCs w:val="32"/>
        </w:rPr>
      </w:pPr>
      <w:r>
        <w:rPr>
          <w:rFonts w:hint="eastAsia" w:ascii="仿宋_GB2312" w:eastAsia="仿宋_GB2312"/>
          <w:sz w:val="32"/>
          <w:szCs w:val="32"/>
        </w:rPr>
        <w:t>按照预算绩效管理要求，本部门对2017年一般公共预算</w:t>
      </w:r>
      <w:r>
        <w:rPr>
          <w:rFonts w:hint="eastAsia" w:ascii="仿宋_GB2312" w:eastAsia="仿宋_GB2312"/>
          <w:sz w:val="32"/>
          <w:szCs w:val="32"/>
          <w:lang w:eastAsia="zh-CN"/>
        </w:rPr>
        <w:t>预防艾滋病、梅毒和乙肝母婴传播</w:t>
      </w:r>
      <w:r>
        <w:rPr>
          <w:rFonts w:hint="eastAsia" w:ascii="仿宋_GB2312" w:eastAsia="仿宋_GB2312"/>
          <w:sz w:val="32"/>
          <w:szCs w:val="32"/>
        </w:rPr>
        <w:t>项目支出开展了绩效目标管理，共编制绩效目标</w:t>
      </w:r>
      <w:r>
        <w:rPr>
          <w:rFonts w:hint="eastAsia" w:ascii="仿宋_GB2312" w:eastAsia="仿宋_GB2312"/>
          <w:sz w:val="32"/>
          <w:szCs w:val="32"/>
          <w:lang w:val="en-US" w:eastAsia="zh-CN"/>
        </w:rPr>
        <w:t>1</w:t>
      </w:r>
      <w:r>
        <w:rPr>
          <w:rFonts w:hint="eastAsia" w:ascii="仿宋_GB2312" w:eastAsia="仿宋_GB2312"/>
          <w:sz w:val="32"/>
          <w:szCs w:val="32"/>
        </w:rPr>
        <w:t>个，涉及财政资金</w:t>
      </w:r>
      <w:r>
        <w:rPr>
          <w:rFonts w:hint="eastAsia" w:ascii="仿宋_GB2312" w:eastAsia="仿宋_GB2312"/>
          <w:sz w:val="32"/>
          <w:szCs w:val="32"/>
          <w:lang w:val="en-US" w:eastAsia="zh-CN"/>
        </w:rPr>
        <w:t>13.29</w:t>
      </w:r>
      <w:r>
        <w:rPr>
          <w:rFonts w:hint="eastAsia" w:ascii="仿宋_GB2312" w:eastAsia="仿宋_GB2312"/>
          <w:sz w:val="32"/>
          <w:szCs w:val="32"/>
        </w:rPr>
        <w:t>万元，覆盖率达到</w:t>
      </w:r>
      <w:r>
        <w:rPr>
          <w:rFonts w:hint="eastAsia" w:ascii="仿宋_GB2312" w:eastAsia="仿宋_GB2312"/>
          <w:sz w:val="32"/>
          <w:szCs w:val="32"/>
          <w:lang w:val="en-US" w:eastAsia="zh-CN"/>
        </w:rPr>
        <w:t>100</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黑体" w:eastAsia="黑体"/>
          <w:color w:val="000000"/>
          <w:sz w:val="32"/>
          <w:szCs w:val="32"/>
        </w:rPr>
      </w:pPr>
      <w:r>
        <w:rPr>
          <w:rFonts w:hint="eastAsia" w:ascii="黑体" w:eastAsia="黑体"/>
          <w:color w:val="000000"/>
          <w:sz w:val="32"/>
          <w:szCs w:val="32"/>
        </w:rPr>
        <w:t>十、名词解释</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3.经营收入：指事业单位在专业业务活动及其辅助活动之外开展非独立核算经营活动取得的收入。4.其他收入：指除上述“财政拨款收入”、“事业收入”、“经营收入”等以外的收入。 </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3"/>
        <w:spacing w:line="560" w:lineRule="exact"/>
        <w:ind w:firstLine="640" w:firstLineChars="200"/>
        <w:rPr>
          <w:rFonts w:ascii="仿宋_GB2312" w:eastAsia="仿宋_GB2312"/>
          <w:b/>
          <w:i/>
          <w:color w:val="404040"/>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xml:space="preserve">.项目支出：指在基本支出之外为完成特定行政任务和事业发展目标所发生的支出。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.经营支出：指事业单位在专业业务活动及其辅助活动之外开展非独立核算经营活动发生的支出。</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rPr>
          <w:rFonts w:hint="eastAsia" w:ascii="仿宋_GB2312" w:eastAsia="仿宋_GB2312"/>
          <w:color w:val="000000"/>
          <w:sz w:val="32"/>
          <w:szCs w:val="32"/>
          <w:lang w:val="en-US" w:eastAsia="zh-CN"/>
        </w:rPr>
      </w:pP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附件：1.茂县妇幼保健院2017年部门决算公开表</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2.茂县妇幼保健院2017年附表</w:t>
      </w:r>
    </w:p>
    <w:p>
      <w:pPr>
        <w:rPr>
          <w:rFonts w:ascii="仿宋_GB2312" w:eastAsia="仿宋_GB2312"/>
          <w:color w:val="000000"/>
          <w:sz w:val="32"/>
          <w:szCs w:val="32"/>
        </w:rPr>
      </w:pPr>
    </w:p>
    <w:p>
      <w:pPr>
        <w:rPr>
          <w:rFonts w:ascii="仿宋_GB2312" w:eastAsia="仿宋_GB2312"/>
          <w:color w:val="000000"/>
          <w:sz w:val="32"/>
          <w:szCs w:val="32"/>
        </w:rPr>
      </w:pPr>
    </w:p>
    <w:p>
      <w:pPr>
        <w:rPr>
          <w:rFonts w:ascii="仿宋_GB2312" w:eastAsia="仿宋_GB2312"/>
          <w:color w:val="000000"/>
          <w:sz w:val="32"/>
          <w:szCs w:val="32"/>
        </w:rPr>
      </w:pPr>
    </w:p>
    <w:p>
      <w:pPr>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茂县妇幼保健计划生育服务中心</w:t>
      </w:r>
    </w:p>
    <w:p>
      <w:pPr>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2018年9月6日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Cambria">
    <w:altName w:val="Palatino Linotype"/>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Lucida Sans Unicode">
    <w:panose1 w:val="020B0602030504020204"/>
    <w:charset w:val="00"/>
    <w:family w:val="auto"/>
    <w:pitch w:val="default"/>
    <w:sig w:usb0="80001AFF" w:usb1="0000396B" w:usb2="00000000" w:usb3="00000000" w:csb0="0000003F" w:csb1="D7F70000"/>
  </w:font>
  <w:font w:name="Tahoma">
    <w:panose1 w:val="020B0604030504040204"/>
    <w:charset w:val="00"/>
    <w:family w:val="auto"/>
    <w:pitch w:val="default"/>
    <w:sig w:usb0="61007A87" w:usb1="80000000" w:usb2="00000008" w:usb3="00000000" w:csb0="200101FF" w:csb1="2028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B047F"/>
    <w:rsid w:val="000B5A48"/>
    <w:rsid w:val="000C3CA6"/>
    <w:rsid w:val="000D5782"/>
    <w:rsid w:val="001379CE"/>
    <w:rsid w:val="0014729F"/>
    <w:rsid w:val="00191536"/>
    <w:rsid w:val="00215522"/>
    <w:rsid w:val="00216508"/>
    <w:rsid w:val="002449E3"/>
    <w:rsid w:val="00260C38"/>
    <w:rsid w:val="002B49F0"/>
    <w:rsid w:val="0037013F"/>
    <w:rsid w:val="00374C41"/>
    <w:rsid w:val="00386753"/>
    <w:rsid w:val="003A0BB8"/>
    <w:rsid w:val="003A484F"/>
    <w:rsid w:val="003B0C1B"/>
    <w:rsid w:val="00482E3F"/>
    <w:rsid w:val="00491A2B"/>
    <w:rsid w:val="004A5234"/>
    <w:rsid w:val="005637C0"/>
    <w:rsid w:val="0058486E"/>
    <w:rsid w:val="005D5CED"/>
    <w:rsid w:val="00607E6C"/>
    <w:rsid w:val="006564DE"/>
    <w:rsid w:val="0066343B"/>
    <w:rsid w:val="0068457C"/>
    <w:rsid w:val="0076182A"/>
    <w:rsid w:val="00767B7E"/>
    <w:rsid w:val="007770C3"/>
    <w:rsid w:val="00800112"/>
    <w:rsid w:val="00830110"/>
    <w:rsid w:val="00871F71"/>
    <w:rsid w:val="008C4AD2"/>
    <w:rsid w:val="00951248"/>
    <w:rsid w:val="0095152F"/>
    <w:rsid w:val="00971FFC"/>
    <w:rsid w:val="009B4EAE"/>
    <w:rsid w:val="009B7573"/>
    <w:rsid w:val="009D3447"/>
    <w:rsid w:val="00A307CD"/>
    <w:rsid w:val="00B03C9D"/>
    <w:rsid w:val="00B10517"/>
    <w:rsid w:val="00B310B9"/>
    <w:rsid w:val="00B31437"/>
    <w:rsid w:val="00C03E31"/>
    <w:rsid w:val="00C35554"/>
    <w:rsid w:val="00C533CC"/>
    <w:rsid w:val="00C62B85"/>
    <w:rsid w:val="00CC09B6"/>
    <w:rsid w:val="00CD5B36"/>
    <w:rsid w:val="00CE7B61"/>
    <w:rsid w:val="00DC410D"/>
    <w:rsid w:val="00E34066"/>
    <w:rsid w:val="00E37075"/>
    <w:rsid w:val="00E82267"/>
    <w:rsid w:val="00ED1B63"/>
    <w:rsid w:val="00EF4C34"/>
    <w:rsid w:val="00F1361C"/>
    <w:rsid w:val="00F160C7"/>
    <w:rsid w:val="00F37762"/>
    <w:rsid w:val="00FD4BCC"/>
    <w:rsid w:val="00FF1E02"/>
    <w:rsid w:val="01B859BD"/>
    <w:rsid w:val="03D51E52"/>
    <w:rsid w:val="04C40FC0"/>
    <w:rsid w:val="060E7A66"/>
    <w:rsid w:val="07AA1875"/>
    <w:rsid w:val="0B2A6BC2"/>
    <w:rsid w:val="0F476929"/>
    <w:rsid w:val="10466EDA"/>
    <w:rsid w:val="11DE3205"/>
    <w:rsid w:val="12F414B1"/>
    <w:rsid w:val="14D231D6"/>
    <w:rsid w:val="1572595F"/>
    <w:rsid w:val="1712436A"/>
    <w:rsid w:val="176223FE"/>
    <w:rsid w:val="19215F71"/>
    <w:rsid w:val="1A9431A6"/>
    <w:rsid w:val="1AD14D6D"/>
    <w:rsid w:val="1B49554F"/>
    <w:rsid w:val="1F1827A4"/>
    <w:rsid w:val="1F751E8B"/>
    <w:rsid w:val="202B2BDD"/>
    <w:rsid w:val="20EC3B14"/>
    <w:rsid w:val="234E5C27"/>
    <w:rsid w:val="24350BF5"/>
    <w:rsid w:val="25EE603E"/>
    <w:rsid w:val="25F52B9B"/>
    <w:rsid w:val="260C604B"/>
    <w:rsid w:val="267159E7"/>
    <w:rsid w:val="26F02920"/>
    <w:rsid w:val="27797C1F"/>
    <w:rsid w:val="29BA3B94"/>
    <w:rsid w:val="2B305DEC"/>
    <w:rsid w:val="2B5932EE"/>
    <w:rsid w:val="2D171DC7"/>
    <w:rsid w:val="2E053713"/>
    <w:rsid w:val="2E2F781B"/>
    <w:rsid w:val="2EDC53BC"/>
    <w:rsid w:val="322740DE"/>
    <w:rsid w:val="32CB00E9"/>
    <w:rsid w:val="32DD6A36"/>
    <w:rsid w:val="338F39AA"/>
    <w:rsid w:val="344418E2"/>
    <w:rsid w:val="34B24B00"/>
    <w:rsid w:val="373D3776"/>
    <w:rsid w:val="38265C60"/>
    <w:rsid w:val="38B46C18"/>
    <w:rsid w:val="39FA6DC2"/>
    <w:rsid w:val="3A853A8A"/>
    <w:rsid w:val="3B6703EB"/>
    <w:rsid w:val="3CD81B69"/>
    <w:rsid w:val="3D1A3873"/>
    <w:rsid w:val="404743C7"/>
    <w:rsid w:val="40952CCB"/>
    <w:rsid w:val="42071E67"/>
    <w:rsid w:val="45067F28"/>
    <w:rsid w:val="45560287"/>
    <w:rsid w:val="45BA6582"/>
    <w:rsid w:val="469B3F83"/>
    <w:rsid w:val="46D16EFC"/>
    <w:rsid w:val="473C0A07"/>
    <w:rsid w:val="4755453A"/>
    <w:rsid w:val="490E0836"/>
    <w:rsid w:val="49A045AD"/>
    <w:rsid w:val="4A964F13"/>
    <w:rsid w:val="4CDB0450"/>
    <w:rsid w:val="4D780FF7"/>
    <w:rsid w:val="50FF13BF"/>
    <w:rsid w:val="52141160"/>
    <w:rsid w:val="53831F24"/>
    <w:rsid w:val="540C0356"/>
    <w:rsid w:val="54EF0D76"/>
    <w:rsid w:val="567F58AD"/>
    <w:rsid w:val="56F60B40"/>
    <w:rsid w:val="58EC16BA"/>
    <w:rsid w:val="599B0475"/>
    <w:rsid w:val="5BB06C01"/>
    <w:rsid w:val="5BD6437E"/>
    <w:rsid w:val="5D9B50CA"/>
    <w:rsid w:val="60266A31"/>
    <w:rsid w:val="60F26F88"/>
    <w:rsid w:val="61287746"/>
    <w:rsid w:val="62463F93"/>
    <w:rsid w:val="631B3D4E"/>
    <w:rsid w:val="64FB4532"/>
    <w:rsid w:val="67B43CE6"/>
    <w:rsid w:val="68526F94"/>
    <w:rsid w:val="6870730D"/>
    <w:rsid w:val="68F9354E"/>
    <w:rsid w:val="6B05676D"/>
    <w:rsid w:val="6B646806"/>
    <w:rsid w:val="6BC82D2C"/>
    <w:rsid w:val="6DB93886"/>
    <w:rsid w:val="6E32222C"/>
    <w:rsid w:val="6E6D2F18"/>
    <w:rsid w:val="6F077CD1"/>
    <w:rsid w:val="731B46F6"/>
    <w:rsid w:val="78275E5F"/>
    <w:rsid w:val="789B5FFA"/>
    <w:rsid w:val="7AE9027A"/>
    <w:rsid w:val="7AF94BDC"/>
    <w:rsid w:val="7D01184E"/>
    <w:rsid w:val="7D19799F"/>
    <w:rsid w:val="7D8D6F44"/>
    <w:rsid w:val="7DDE63D4"/>
    <w:rsid w:val="7DDF1A49"/>
    <w:rsid w:val="7FB36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caption"/>
    <w:basedOn w:val="1"/>
    <w:next w:val="1"/>
    <w:semiHidden/>
    <w:unhideWhenUsed/>
    <w:qFormat/>
    <w:uiPriority w:val="35"/>
    <w:rPr>
      <w:rFonts w:eastAsia="黑体" w:asciiTheme="majorHAnsi" w:hAnsiTheme="majorHAnsi" w:cstheme="majorBidi"/>
      <w:sz w:val="20"/>
      <w:szCs w:val="20"/>
    </w:rPr>
  </w:style>
  <w:style w:type="paragraph" w:styleId="3">
    <w:name w:val="Body Text"/>
    <w:basedOn w:val="1"/>
    <w:link w:val="12"/>
    <w:qFormat/>
    <w:uiPriority w:val="0"/>
    <w:pPr>
      <w:spacing w:before="93" w:beforeLines="30"/>
    </w:pPr>
    <w:rPr>
      <w:rFonts w:ascii="仿宋_GB2312" w:eastAsia="仿宋_GB2312"/>
      <w:kern w:val="0"/>
      <w:sz w:val="30"/>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Calibri" w:hAnsi="Calibri"/>
      <w:kern w:val="0"/>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9">
    <w:name w:val="Strong"/>
    <w:qFormat/>
    <w:uiPriority w:val="22"/>
    <w:rPr>
      <w:b/>
      <w:bCs/>
    </w:rPr>
  </w:style>
  <w:style w:type="character" w:customStyle="1" w:styleId="10">
    <w:name w:val="页眉 Char"/>
    <w:link w:val="6"/>
    <w:semiHidden/>
    <w:uiPriority w:val="99"/>
    <w:rPr>
      <w:sz w:val="18"/>
      <w:szCs w:val="18"/>
    </w:rPr>
  </w:style>
  <w:style w:type="character" w:customStyle="1" w:styleId="11">
    <w:name w:val="页脚 Char"/>
    <w:link w:val="5"/>
    <w:uiPriority w:val="99"/>
    <w:rPr>
      <w:sz w:val="18"/>
      <w:szCs w:val="18"/>
    </w:rPr>
  </w:style>
  <w:style w:type="character" w:customStyle="1" w:styleId="12">
    <w:name w:val="正文文本 Char"/>
    <w:link w:val="3"/>
    <w:uiPriority w:val="0"/>
    <w:rPr>
      <w:rFonts w:ascii="仿宋_GB2312" w:hAnsi="Times New Roman" w:eastAsia="仿宋_GB2312" w:cs="Times New Roman"/>
      <w:sz w:val="30"/>
      <w:szCs w:val="24"/>
    </w:rPr>
  </w:style>
  <w:style w:type="paragraph" w:customStyle="1" w:styleId="1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4">
    <w:name w:val="批注框文本 Char"/>
    <w:basedOn w:val="8"/>
    <w:link w:val="4"/>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Documents%20and%20Settings\Administrator\&#26700;&#38754;\&#26032;&#24314;%20XLS%20&#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年事业收入（单位：万元）</a:t>
            </a:r>
            <a:endParaRPr altLang="en-US"/>
          </a:p>
        </c:rich>
      </c:tx>
      <c:layout>
        <c:manualLayout>
          <c:xMode val="edge"/>
          <c:yMode val="edge"/>
          <c:x val="0.222916666666667"/>
          <c:y val="0.024305555555555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工作表.xls]Sheet1'!$G$5:$G$6</c:f>
              <c:strCache>
                <c:ptCount val="2"/>
                <c:pt idx="0">
                  <c:v>事业收入</c:v>
                </c:pt>
                <c:pt idx="1">
                  <c:v>财政拨款收入</c:v>
                </c:pt>
              </c:strCache>
            </c:strRef>
          </c:cat>
          <c:val>
            <c:numRef>
              <c:f>'[新建 XLS 工作表.xls]Sheet1'!$H$5:$H$6</c:f>
              <c:numCache>
                <c:formatCode>General</c:formatCode>
                <c:ptCount val="2"/>
                <c:pt idx="0">
                  <c:v>530.8</c:v>
                </c:pt>
                <c:pt idx="1">
                  <c:v>662.93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0661157024793"/>
          <c:y val="0.0270855904658722"/>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2017年支出（单位：万元）</c:v>
                </c:pt>
              </c:strCache>
            </c:strRef>
          </c:tx>
          <c:explosion val="0"/>
          <c:dPt>
            <c:idx val="0"/>
            <c:bubble3D val="0"/>
          </c:dPt>
          <c:dPt>
            <c:idx val="1"/>
            <c:bubble3D val="0"/>
          </c:dPt>
          <c:dPt>
            <c:idx val="2"/>
            <c:bubble3D val="0"/>
          </c:dPt>
          <c:dPt>
            <c:idx val="3"/>
            <c:bubble3D val="0"/>
          </c:dPt>
          <c:dLbls>
            <c:dLbl>
              <c:idx val="0"/>
              <c:layout>
                <c:manualLayout>
                  <c:x val="-0.0673249890524988"/>
                  <c:y val="-0.217626528636238"/>
                </c:manualLayout>
              </c:layout>
              <c:tx>
                <c:rich>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r>
                      <a:rPr lang="en-US" altLang="en-US" sz="1050"/>
                      <a:t>1064.6</a:t>
                    </a:r>
                    <a:endParaRPr lang="en-US" altLang="en-US" sz="1050"/>
                  </a:p>
                </c:rich>
              </c:tx>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237685950413223"/>
                      <c:h val="0.110509209100758"/>
                    </c:manualLayout>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sz="1050"/>
                      <a:t>76.52</a:t>
                    </a:r>
                    <a:endParaRPr sz="1050"/>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基本支出</c:v>
                </c:pt>
                <c:pt idx="1">
                  <c:v>项目支出</c:v>
                </c:pt>
                <c:pt idx="2">
                  <c:v>上缴财政支出</c:v>
                </c:pt>
                <c:pt idx="3">
                  <c:v>经营支出</c:v>
                </c:pt>
              </c:strCache>
            </c:strRef>
          </c:cat>
          <c:val>
            <c:numRef>
              <c:f>Sheet1!$B$2:$B$5</c:f>
              <c:numCache>
                <c:formatCode>General</c:formatCode>
                <c:ptCount val="4"/>
                <c:pt idx="0">
                  <c:v>1064.6</c:v>
                </c:pt>
                <c:pt idx="1">
                  <c:v>76.52</c:v>
                </c:pt>
                <c:pt idx="2">
                  <c:v>0</c:v>
                </c:pt>
                <c:pt idx="3">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438149653676"/>
          <c:y val="0.384557828104304"/>
          <c:w val="0.192591034423946"/>
          <c:h val="0.31096657809414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财政拨款收支总决算（单位：万元）</a:t>
            </a:r>
            <a:endParaRPr lang="en-US" altLang="zh-CN"/>
          </a:p>
        </c:rich>
      </c:tx>
      <c:layout/>
      <c:overlay val="0"/>
    </c:title>
    <c:autoTitleDeleted val="0"/>
    <c:plotArea>
      <c:layout/>
      <c:barChart>
        <c:barDir val="col"/>
        <c:grouping val="stacked"/>
        <c:varyColors val="0"/>
        <c:ser>
          <c:idx val="0"/>
          <c:order val="0"/>
          <c:tx>
            <c:strRef>
              <c:f>Sheet1!$B$1</c:f>
              <c:strCache>
                <c:ptCount val="1"/>
                <c:pt idx="0">
                  <c:v>系列 1</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sz="1400"/>
                      <a:t>17.22</a:t>
                    </a:r>
                    <a:endParaRPr lang="en-US" altLang="en-US" sz="1400"/>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sz="1400"/>
                      <a:t>38.32</a:t>
                    </a:r>
                    <a:endParaRPr lang="en-US" altLang="en-US" sz="1400"/>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2016年</c:v>
                </c:pt>
                <c:pt idx="1">
                  <c:v>2017年</c:v>
                </c:pt>
              </c:strCache>
            </c:strRef>
          </c:cat>
          <c:val>
            <c:numRef>
              <c:f>Sheet1!$B$2:$B$3</c:f>
              <c:numCache>
                <c:formatCode>General</c:formatCode>
                <c:ptCount val="2"/>
                <c:pt idx="0">
                  <c:v>17.22</c:v>
                </c:pt>
                <c:pt idx="1">
                  <c:v>38.32</c:v>
                </c:pt>
              </c:numCache>
            </c:numRef>
          </c:val>
        </c:ser>
        <c:dLbls>
          <c:showLegendKey val="0"/>
          <c:showVal val="0"/>
          <c:showCatName val="0"/>
          <c:showSerName val="0"/>
          <c:showPercent val="0"/>
          <c:showBubbleSize val="0"/>
        </c:dLbls>
        <c:gapWidth val="150"/>
        <c:overlap val="100"/>
        <c:axId val="236568960"/>
        <c:axId val="236570880"/>
      </c:barChart>
      <c:catAx>
        <c:axId val="2365689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6570880"/>
        <c:crosses val="autoZero"/>
        <c:auto val="1"/>
        <c:lblAlgn val="ctr"/>
        <c:lblOffset val="100"/>
        <c:noMultiLvlLbl val="0"/>
      </c:catAx>
      <c:valAx>
        <c:axId val="2365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656896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一般公共预算财政拨款支出（单位：万元）</a:t>
            </a:r>
            <a:endParaRPr lang="zh-CN" altLang="en-US" sz="1600"/>
          </a:p>
        </c:rich>
      </c:tx>
      <c:layout>
        <c:manualLayout>
          <c:xMode val="edge"/>
          <c:yMode val="edge"/>
          <c:x val="0.10626945999981"/>
          <c:y val="0.0247678018575851"/>
        </c:manualLayout>
      </c:layout>
      <c:overlay val="0"/>
    </c:title>
    <c:autoTitleDeleted val="0"/>
    <c:plotArea>
      <c:layout/>
      <c:barChart>
        <c:barDir val="col"/>
        <c:grouping val="stacked"/>
        <c:varyColors val="0"/>
        <c:ser>
          <c:idx val="0"/>
          <c:order val="0"/>
          <c:tx>
            <c:strRef>
              <c:f>Sheet1!$B$1</c:f>
              <c:strCache>
                <c:ptCount val="1"/>
                <c:pt idx="0">
                  <c:v>系列 1</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sz="1400"/>
                      <a:t>690.16</a:t>
                    </a:r>
                    <a:endParaRPr lang="en-US" altLang="en-US" sz="1400"/>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sz="1400"/>
                      <a:t>641.83</a:t>
                    </a:r>
                    <a:endParaRPr lang="en-US" altLang="en-US" sz="1400"/>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2016年</c:v>
                </c:pt>
                <c:pt idx="1">
                  <c:v>2017年</c:v>
                </c:pt>
              </c:strCache>
            </c:strRef>
          </c:cat>
          <c:val>
            <c:numRef>
              <c:f>Sheet1!$B$2:$B$3</c:f>
              <c:numCache>
                <c:formatCode>General</c:formatCode>
                <c:ptCount val="2"/>
                <c:pt idx="0">
                  <c:v>690.16</c:v>
                </c:pt>
                <c:pt idx="1">
                  <c:v>641.83</c:v>
                </c:pt>
              </c:numCache>
            </c:numRef>
          </c:val>
        </c:ser>
        <c:dLbls>
          <c:showLegendKey val="0"/>
          <c:showVal val="0"/>
          <c:showCatName val="0"/>
          <c:showSerName val="0"/>
          <c:showPercent val="0"/>
          <c:showBubbleSize val="0"/>
        </c:dLbls>
        <c:gapWidth val="150"/>
        <c:overlap val="100"/>
        <c:axId val="249882112"/>
        <c:axId val="119246848"/>
      </c:barChart>
      <c:catAx>
        <c:axId val="2498821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246848"/>
        <c:crosses val="autoZero"/>
        <c:auto val="1"/>
        <c:lblAlgn val="ctr"/>
        <c:lblOffset val="100"/>
        <c:noMultiLvlLbl val="0"/>
      </c:catAx>
      <c:valAx>
        <c:axId val="119246848"/>
        <c:scaling>
          <c:orientation val="minMax"/>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988211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公共预算财政拨款支出决算（单位：万元）</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医疗支出</c:v>
                </c:pt>
                <c:pt idx="2">
                  <c:v>住房保障支出</c:v>
                </c:pt>
              </c:strCache>
            </c:strRef>
          </c:cat>
          <c:val>
            <c:numRef>
              <c:f>Sheet1!$B$2:$B$4</c:f>
              <c:numCache>
                <c:formatCode>General</c:formatCode>
                <c:ptCount val="3"/>
                <c:pt idx="0">
                  <c:v>98.22</c:v>
                </c:pt>
                <c:pt idx="1">
                  <c:v>492.84</c:v>
                </c:pt>
                <c:pt idx="2">
                  <c:v>50.77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11</Pages>
  <Words>640</Words>
  <Characters>3648</Characters>
  <Lines>30</Lines>
  <Paragraphs>8</Paragraphs>
  <TotalTime>6</TotalTime>
  <ScaleCrop>false</ScaleCrop>
  <LinksUpToDate>false</LinksUpToDate>
  <CharactersWithSpaces>4280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2018-09-04T13:50:00Z</dcterms:created>
  <dc:creator>张彬茜</dc:creator>
  <cp:lastModifiedBy>Administrator</cp:lastModifiedBy>
  <cp:lastPrinted>2017-08-03T09:26:00Z</cp:lastPrinted>
  <dcterms:modified xsi:type="dcterms:W3CDTF">2019-03-18T02:46:05Z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