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02A" w:rsidRDefault="005A402A" w:rsidP="005A402A">
      <w:pPr>
        <w:spacing w:line="576" w:lineRule="exact"/>
        <w:ind w:firstLineChars="200" w:firstLine="880"/>
        <w:rPr>
          <w:rFonts w:ascii="方正小标宋简体" w:eastAsia="方正小标宋简体"/>
          <w:sz w:val="44"/>
          <w:szCs w:val="44"/>
        </w:rPr>
      </w:pPr>
      <w:r w:rsidRPr="005A402A">
        <w:rPr>
          <w:rFonts w:ascii="方正小标宋简体" w:eastAsia="方正小标宋简体" w:hint="eastAsia"/>
          <w:sz w:val="44"/>
          <w:szCs w:val="44"/>
        </w:rPr>
        <w:t>茂县城乡居民养老保险事业管理局</w:t>
      </w:r>
    </w:p>
    <w:p w:rsidR="00B04EFF" w:rsidRDefault="005A402A" w:rsidP="005A402A">
      <w:pPr>
        <w:spacing w:line="576" w:lineRule="exact"/>
        <w:ind w:firstLineChars="400" w:firstLine="1760"/>
        <w:rPr>
          <w:rFonts w:ascii="方正小标宋简体" w:eastAsia="方正小标宋简体"/>
          <w:sz w:val="44"/>
          <w:szCs w:val="44"/>
        </w:rPr>
      </w:pPr>
      <w:r w:rsidRPr="005A402A">
        <w:rPr>
          <w:rFonts w:ascii="方正小标宋简体" w:eastAsia="方正小标宋简体" w:hint="eastAsia"/>
          <w:sz w:val="44"/>
          <w:szCs w:val="44"/>
        </w:rPr>
        <w:t>2017年部门决算编制说明</w:t>
      </w:r>
    </w:p>
    <w:p w:rsidR="005A402A" w:rsidRDefault="005A402A" w:rsidP="005A402A">
      <w:pPr>
        <w:spacing w:line="576" w:lineRule="exact"/>
        <w:ind w:firstLineChars="400" w:firstLine="1760"/>
        <w:rPr>
          <w:rFonts w:ascii="方正小标宋简体" w:eastAsia="方正小标宋简体"/>
          <w:sz w:val="44"/>
          <w:szCs w:val="44"/>
        </w:rPr>
      </w:pPr>
    </w:p>
    <w:p w:rsidR="005A402A" w:rsidRDefault="005A402A" w:rsidP="00B16EB8">
      <w:pPr>
        <w:spacing w:line="576" w:lineRule="exact"/>
        <w:ind w:firstLineChars="200" w:firstLine="640"/>
        <w:rPr>
          <w:rFonts w:ascii="黑体" w:eastAsia="黑体" w:hAnsi="黑体"/>
          <w:sz w:val="32"/>
          <w:szCs w:val="32"/>
        </w:rPr>
      </w:pPr>
      <w:r w:rsidRPr="005A402A">
        <w:rPr>
          <w:rFonts w:ascii="黑体" w:eastAsia="黑体" w:hAnsi="黑体" w:hint="eastAsia"/>
          <w:sz w:val="32"/>
          <w:szCs w:val="32"/>
        </w:rPr>
        <w:t>一、主要职能及主要工作</w:t>
      </w:r>
    </w:p>
    <w:p w:rsidR="005A402A" w:rsidRDefault="005A402A" w:rsidP="00B16EB8">
      <w:pPr>
        <w:spacing w:line="576" w:lineRule="exact"/>
        <w:ind w:firstLineChars="200" w:firstLine="643"/>
        <w:rPr>
          <w:rFonts w:ascii="楷体_GB2312" w:eastAsia="楷体_GB2312" w:hAnsi="黑体"/>
          <w:b/>
          <w:sz w:val="32"/>
          <w:szCs w:val="32"/>
        </w:rPr>
      </w:pPr>
      <w:r w:rsidRPr="005A402A">
        <w:rPr>
          <w:rFonts w:ascii="楷体_GB2312" w:eastAsia="楷体_GB2312" w:hAnsi="黑体" w:hint="eastAsia"/>
          <w:b/>
          <w:sz w:val="32"/>
          <w:szCs w:val="32"/>
        </w:rPr>
        <w:t>（一）主要职能</w:t>
      </w:r>
    </w:p>
    <w:p w:rsidR="005A402A" w:rsidRDefault="005A402A" w:rsidP="00B16EB8">
      <w:pPr>
        <w:spacing w:line="576" w:lineRule="exact"/>
        <w:ind w:firstLineChars="200" w:firstLine="640"/>
        <w:rPr>
          <w:rFonts w:ascii="仿宋_GB2312" w:eastAsia="仿宋_GB2312"/>
          <w:sz w:val="32"/>
          <w:szCs w:val="32"/>
        </w:rPr>
      </w:pPr>
      <w:r w:rsidRPr="00CE6DD3">
        <w:rPr>
          <w:rFonts w:ascii="仿宋_GB2312" w:eastAsia="仿宋_GB2312" w:hint="eastAsia"/>
          <w:sz w:val="32"/>
          <w:szCs w:val="32"/>
        </w:rPr>
        <w:t>我局负责宣传和贯彻执行城乡居民社会保险的有关政策；负责城乡居民养老保险基金的收缴、汇集、存储及保险基金运营管理，建立</w:t>
      </w:r>
      <w:proofErr w:type="gramStart"/>
      <w:r w:rsidRPr="00CE6DD3">
        <w:rPr>
          <w:rFonts w:ascii="仿宋_GB2312" w:eastAsia="仿宋_GB2312" w:hint="eastAsia"/>
          <w:sz w:val="32"/>
          <w:szCs w:val="32"/>
        </w:rPr>
        <w:t>业务台</w:t>
      </w:r>
      <w:proofErr w:type="gramEnd"/>
      <w:r w:rsidRPr="00CE6DD3">
        <w:rPr>
          <w:rFonts w:ascii="仿宋_GB2312" w:eastAsia="仿宋_GB2312" w:hint="eastAsia"/>
          <w:sz w:val="32"/>
          <w:szCs w:val="32"/>
        </w:rPr>
        <w:t>账，统计有关数据；负责为参保人员建立个人账户，办理保险关系转移、退保的等手续；负责养老金领取人员的资格审查，核算养老金给付标准和拨付养老金；负责跟踪监督养老金发放情况，掌握领取养老金人员动态，提出养老金的处理意见；负责指导各乡镇开展城乡居民养老保险业务。</w:t>
      </w:r>
    </w:p>
    <w:p w:rsidR="005A402A" w:rsidRDefault="005A402A" w:rsidP="00B16EB8">
      <w:pPr>
        <w:spacing w:line="576" w:lineRule="exact"/>
        <w:ind w:firstLineChars="200" w:firstLine="643"/>
        <w:rPr>
          <w:rFonts w:ascii="楷体_GB2312" w:eastAsia="楷体_GB2312"/>
          <w:b/>
          <w:sz w:val="32"/>
          <w:szCs w:val="32"/>
        </w:rPr>
      </w:pPr>
      <w:r w:rsidRPr="005A402A">
        <w:rPr>
          <w:rFonts w:ascii="楷体_GB2312" w:eastAsia="楷体_GB2312" w:hint="eastAsia"/>
          <w:b/>
          <w:sz w:val="32"/>
          <w:szCs w:val="32"/>
        </w:rPr>
        <w:t>（二）</w:t>
      </w:r>
      <w:r>
        <w:rPr>
          <w:rFonts w:ascii="楷体_GB2312" w:eastAsia="楷体_GB2312" w:hint="eastAsia"/>
          <w:b/>
          <w:sz w:val="32"/>
          <w:szCs w:val="32"/>
        </w:rPr>
        <w:t>2017年重点工作完成情况</w:t>
      </w:r>
    </w:p>
    <w:p w:rsidR="005A402A" w:rsidRDefault="005A402A" w:rsidP="00B16EB8">
      <w:pPr>
        <w:snapToGrid w:val="0"/>
        <w:spacing w:line="576" w:lineRule="exact"/>
        <w:ind w:firstLineChars="200" w:firstLine="640"/>
        <w:rPr>
          <w:rFonts w:ascii="仿宋_GB2312" w:eastAsia="仿宋_GB2312" w:hAnsi="仿宋" w:cs="仿宋"/>
          <w:sz w:val="32"/>
          <w:szCs w:val="32"/>
        </w:rPr>
      </w:pPr>
      <w:r w:rsidRPr="0080351A">
        <w:rPr>
          <w:rFonts w:ascii="仿宋_GB2312" w:eastAsia="仿宋_GB2312" w:hAnsi="仿宋" w:cs="仿宋" w:hint="eastAsia"/>
          <w:sz w:val="32"/>
          <w:szCs w:val="32"/>
        </w:rPr>
        <w:t>2017年，我局在州县</w:t>
      </w:r>
      <w:proofErr w:type="gramStart"/>
      <w:r w:rsidRPr="0080351A">
        <w:rPr>
          <w:rFonts w:ascii="仿宋_GB2312" w:eastAsia="仿宋_GB2312" w:hAnsi="仿宋" w:cs="仿宋" w:hint="eastAsia"/>
          <w:sz w:val="32"/>
          <w:szCs w:val="32"/>
        </w:rPr>
        <w:t>人社局</w:t>
      </w:r>
      <w:proofErr w:type="gramEnd"/>
      <w:r w:rsidRPr="0080351A">
        <w:rPr>
          <w:rFonts w:ascii="仿宋_GB2312" w:eastAsia="仿宋_GB2312" w:hAnsi="仿宋" w:cs="仿宋" w:hint="eastAsia"/>
          <w:sz w:val="32"/>
          <w:szCs w:val="32"/>
        </w:rPr>
        <w:t>的领导下认真贯彻执行国家、省有关城乡居民养老保险新政策，通过各乡镇的大力支持和职工们的共同努力，全面完成全年民生工程目标任务，全县城乡居民养老保险覆盖人数达36108人，缴费人数达22881人，待遇领取人数达13227人，累计发放养老金1265.51万元，按时足额发放基础养老金每人每月75元。</w:t>
      </w:r>
    </w:p>
    <w:p w:rsidR="005A402A" w:rsidRDefault="005A402A" w:rsidP="00B16EB8">
      <w:pPr>
        <w:snapToGrid w:val="0"/>
        <w:spacing w:line="576" w:lineRule="exact"/>
        <w:ind w:firstLineChars="200" w:firstLine="640"/>
        <w:rPr>
          <w:rFonts w:ascii="黑体" w:eastAsia="黑体" w:hAnsi="黑体" w:cs="仿宋"/>
          <w:sz w:val="32"/>
          <w:szCs w:val="32"/>
        </w:rPr>
      </w:pPr>
      <w:r w:rsidRPr="005A402A">
        <w:rPr>
          <w:rFonts w:ascii="黑体" w:eastAsia="黑体" w:hAnsi="黑体" w:cs="仿宋" w:hint="eastAsia"/>
          <w:sz w:val="32"/>
          <w:szCs w:val="32"/>
        </w:rPr>
        <w:t>二、部门概况</w:t>
      </w:r>
    </w:p>
    <w:p w:rsidR="005A402A" w:rsidRPr="00B05081" w:rsidRDefault="005A402A" w:rsidP="00B16EB8">
      <w:pPr>
        <w:widowControl/>
        <w:spacing w:line="576" w:lineRule="exact"/>
        <w:ind w:firstLineChars="200" w:firstLine="640"/>
        <w:jc w:val="left"/>
        <w:rPr>
          <w:rFonts w:ascii="仿宋_GB2312" w:eastAsia="仿宋_GB2312" w:hAnsi="宋体" w:cs="宋体"/>
          <w:kern w:val="0"/>
          <w:sz w:val="32"/>
          <w:szCs w:val="32"/>
        </w:rPr>
      </w:pPr>
      <w:r w:rsidRPr="00B05081">
        <w:rPr>
          <w:rFonts w:ascii="仿宋_GB2312" w:eastAsia="仿宋_GB2312" w:hAnsi="宋体" w:cs="Arial" w:hint="eastAsia"/>
          <w:kern w:val="0"/>
          <w:sz w:val="32"/>
          <w:szCs w:val="32"/>
        </w:rPr>
        <w:t>本</w:t>
      </w:r>
      <w:r>
        <w:rPr>
          <w:rFonts w:ascii="仿宋_GB2312" w:eastAsia="仿宋_GB2312" w:hAnsi="宋体" w:cs="Arial" w:hint="eastAsia"/>
          <w:kern w:val="0"/>
          <w:sz w:val="32"/>
          <w:szCs w:val="32"/>
        </w:rPr>
        <w:t>单位为</w:t>
      </w:r>
      <w:r>
        <w:rPr>
          <w:rFonts w:ascii="仿宋_GB2312" w:eastAsia="仿宋_GB2312" w:hAnsi="宋体" w:cs="宋体" w:hint="eastAsia"/>
          <w:kern w:val="0"/>
          <w:sz w:val="32"/>
          <w:szCs w:val="32"/>
        </w:rPr>
        <w:t>一级</w:t>
      </w:r>
      <w:r w:rsidRPr="00B05081">
        <w:rPr>
          <w:rFonts w:ascii="仿宋_GB2312" w:eastAsia="仿宋_GB2312" w:hAnsi="宋体" w:cs="宋体" w:hint="eastAsia"/>
          <w:kern w:val="0"/>
          <w:sz w:val="32"/>
          <w:szCs w:val="32"/>
        </w:rPr>
        <w:t>预算单位，属财政全额</w:t>
      </w:r>
      <w:r>
        <w:rPr>
          <w:rFonts w:ascii="仿宋_GB2312" w:eastAsia="仿宋_GB2312" w:hAnsi="宋体" w:cs="宋体" w:hint="eastAsia"/>
          <w:kern w:val="0"/>
          <w:sz w:val="32"/>
          <w:szCs w:val="32"/>
        </w:rPr>
        <w:t>拨款</w:t>
      </w:r>
      <w:r w:rsidRPr="00B05081">
        <w:rPr>
          <w:rFonts w:ascii="仿宋_GB2312" w:eastAsia="仿宋_GB2312" w:hAnsi="宋体" w:cs="宋体" w:hint="eastAsia"/>
          <w:kern w:val="0"/>
          <w:sz w:val="32"/>
          <w:szCs w:val="32"/>
        </w:rPr>
        <w:t>事业单位。无下属二级预算单位，其中内设机构4个。</w:t>
      </w:r>
    </w:p>
    <w:p w:rsidR="001D3365" w:rsidRDefault="001D3365" w:rsidP="005A402A">
      <w:pPr>
        <w:snapToGrid w:val="0"/>
        <w:spacing w:line="576" w:lineRule="exact"/>
        <w:rPr>
          <w:rFonts w:ascii="黑体" w:eastAsia="黑体" w:hAnsi="黑体" w:cs="仿宋"/>
          <w:sz w:val="32"/>
          <w:szCs w:val="32"/>
        </w:rPr>
      </w:pPr>
    </w:p>
    <w:p w:rsidR="005A402A" w:rsidRDefault="005A402A" w:rsidP="00B16EB8">
      <w:pPr>
        <w:snapToGrid w:val="0"/>
        <w:spacing w:line="576" w:lineRule="exact"/>
        <w:ind w:firstLineChars="200" w:firstLine="640"/>
        <w:rPr>
          <w:rFonts w:ascii="黑体" w:eastAsia="黑体" w:hAnsi="黑体" w:cs="仿宋"/>
          <w:sz w:val="32"/>
          <w:szCs w:val="32"/>
        </w:rPr>
      </w:pPr>
      <w:r>
        <w:rPr>
          <w:rFonts w:ascii="黑体" w:eastAsia="黑体" w:hAnsi="黑体" w:cs="仿宋" w:hint="eastAsia"/>
          <w:sz w:val="32"/>
          <w:szCs w:val="32"/>
        </w:rPr>
        <w:lastRenderedPageBreak/>
        <w:t>三、收支决算总体情况</w:t>
      </w:r>
    </w:p>
    <w:p w:rsidR="002B2426" w:rsidRDefault="002B2426" w:rsidP="00B16EB8">
      <w:pPr>
        <w:snapToGrid w:val="0"/>
        <w:spacing w:line="576" w:lineRule="exact"/>
        <w:ind w:firstLineChars="200" w:firstLine="640"/>
        <w:rPr>
          <w:rFonts w:ascii="仿宋_GB2312" w:eastAsia="仿宋_GB2312" w:hAnsi="黑体" w:cs="仿宋"/>
          <w:sz w:val="32"/>
          <w:szCs w:val="32"/>
        </w:rPr>
      </w:pPr>
      <w:r w:rsidRPr="002B2426">
        <w:rPr>
          <w:rFonts w:ascii="仿宋_GB2312" w:eastAsia="仿宋_GB2312" w:hAnsi="黑体" w:cs="仿宋" w:hint="eastAsia"/>
          <w:sz w:val="32"/>
          <w:szCs w:val="32"/>
        </w:rPr>
        <w:t>2017年收入合计</w:t>
      </w:r>
      <w:r>
        <w:rPr>
          <w:rFonts w:ascii="仿宋_GB2312" w:eastAsia="仿宋_GB2312" w:hAnsi="黑体" w:cs="仿宋" w:hint="eastAsia"/>
          <w:sz w:val="32"/>
          <w:szCs w:val="32"/>
        </w:rPr>
        <w:t>168.92万元，均为一般公共预算财政拨款收入，单位无事业收入、经营收入、附属单位上缴收入、其他收入。</w:t>
      </w:r>
    </w:p>
    <w:p w:rsidR="002B2426" w:rsidRDefault="001D3365" w:rsidP="005A402A">
      <w:pPr>
        <w:snapToGrid w:val="0"/>
        <w:spacing w:line="576" w:lineRule="exact"/>
        <w:rPr>
          <w:rFonts w:ascii="仿宋_GB2312" w:eastAsia="仿宋_GB2312" w:hAnsi="黑体" w:cs="仿宋"/>
          <w:sz w:val="32"/>
          <w:szCs w:val="32"/>
        </w:rPr>
      </w:pPr>
      <w:r>
        <w:rPr>
          <w:rFonts w:ascii="仿宋_GB2312" w:eastAsia="仿宋_GB2312" w:hAnsi="黑体" w:cs="仿宋" w:hint="eastAsia"/>
          <w:noProof/>
          <w:sz w:val="32"/>
          <w:szCs w:val="32"/>
        </w:rPr>
        <w:drawing>
          <wp:anchor distT="0" distB="0" distL="114300" distR="114300" simplePos="0" relativeHeight="251661312" behindDoc="0" locked="0" layoutInCell="1" allowOverlap="1">
            <wp:simplePos x="0" y="0"/>
            <wp:positionH relativeFrom="column">
              <wp:posOffset>485775</wp:posOffset>
            </wp:positionH>
            <wp:positionV relativeFrom="paragraph">
              <wp:posOffset>137160</wp:posOffset>
            </wp:positionV>
            <wp:extent cx="4067175" cy="1600200"/>
            <wp:effectExtent l="19050" t="0" r="9525" b="0"/>
            <wp:wrapSquare wrapText="bothSides"/>
            <wp:docPr id="7"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rsidR="002B2426" w:rsidRPr="002B2426" w:rsidRDefault="002B2426" w:rsidP="005A402A">
      <w:pPr>
        <w:snapToGrid w:val="0"/>
        <w:spacing w:line="576" w:lineRule="exact"/>
        <w:rPr>
          <w:rFonts w:ascii="仿宋_GB2312" w:eastAsia="仿宋_GB2312" w:hAnsi="黑体" w:cs="仿宋"/>
          <w:sz w:val="32"/>
          <w:szCs w:val="32"/>
        </w:rPr>
      </w:pPr>
    </w:p>
    <w:p w:rsidR="005A402A" w:rsidRPr="005A402A" w:rsidRDefault="005A402A" w:rsidP="005A402A">
      <w:pPr>
        <w:snapToGrid w:val="0"/>
        <w:spacing w:line="576" w:lineRule="exact"/>
        <w:rPr>
          <w:rFonts w:ascii="黑体" w:eastAsia="黑体" w:hAnsi="黑体" w:cs="仿宋"/>
          <w:sz w:val="32"/>
          <w:szCs w:val="32"/>
        </w:rPr>
      </w:pPr>
    </w:p>
    <w:p w:rsidR="005A402A" w:rsidRPr="005A402A" w:rsidRDefault="005A402A" w:rsidP="005A402A">
      <w:pPr>
        <w:spacing w:line="576" w:lineRule="exact"/>
        <w:rPr>
          <w:rFonts w:ascii="楷体_GB2312" w:eastAsia="楷体_GB2312"/>
          <w:b/>
          <w:sz w:val="32"/>
          <w:szCs w:val="32"/>
        </w:rPr>
      </w:pPr>
    </w:p>
    <w:p w:rsidR="005A402A" w:rsidRPr="005A402A" w:rsidRDefault="005A402A" w:rsidP="005A402A">
      <w:pPr>
        <w:spacing w:line="576" w:lineRule="exact"/>
        <w:rPr>
          <w:rFonts w:ascii="楷体_GB2312" w:eastAsia="楷体_GB2312"/>
          <w:b/>
          <w:sz w:val="32"/>
          <w:szCs w:val="32"/>
        </w:rPr>
      </w:pPr>
    </w:p>
    <w:p w:rsidR="005A402A" w:rsidRDefault="00951099" w:rsidP="00B16EB8">
      <w:pPr>
        <w:spacing w:line="576" w:lineRule="exact"/>
        <w:ind w:firstLineChars="200" w:firstLine="640"/>
        <w:rPr>
          <w:rFonts w:ascii="仿宋_GB2312" w:eastAsia="仿宋_GB2312" w:hAnsi="仿宋"/>
          <w:sz w:val="32"/>
          <w:szCs w:val="32"/>
        </w:rPr>
      </w:pPr>
      <w:r w:rsidRPr="00951099">
        <w:rPr>
          <w:rFonts w:ascii="仿宋_GB2312" w:eastAsia="仿宋_GB2312" w:hAnsi="仿宋" w:hint="eastAsia"/>
          <w:sz w:val="32"/>
          <w:szCs w:val="32"/>
        </w:rPr>
        <w:t>2017年</w:t>
      </w:r>
      <w:r>
        <w:rPr>
          <w:rFonts w:ascii="仿宋_GB2312" w:eastAsia="仿宋_GB2312" w:hAnsi="仿宋" w:hint="eastAsia"/>
          <w:sz w:val="32"/>
          <w:szCs w:val="32"/>
        </w:rPr>
        <w:t>支出合计168.92万元，其中：基本支出167.92万元，占99.41%；项目支出1.00万元，占0.59%。单位无上缴上级支出、经营支出、对附属单位补助支出。</w:t>
      </w:r>
    </w:p>
    <w:p w:rsidR="00951099" w:rsidRDefault="0087614A" w:rsidP="005A402A">
      <w:pPr>
        <w:spacing w:line="576" w:lineRule="exact"/>
        <w:rPr>
          <w:rFonts w:ascii="仿宋_GB2312" w:eastAsia="仿宋_GB2312" w:hAnsi="仿宋"/>
          <w:sz w:val="32"/>
          <w:szCs w:val="32"/>
        </w:rPr>
      </w:pPr>
      <w:r>
        <w:rPr>
          <w:rFonts w:ascii="仿宋_GB2312" w:eastAsia="仿宋_GB2312" w:hAnsi="仿宋" w:hint="eastAsia"/>
          <w:noProof/>
          <w:sz w:val="32"/>
          <w:szCs w:val="32"/>
        </w:rPr>
        <w:drawing>
          <wp:anchor distT="0" distB="0" distL="114300" distR="114300" simplePos="0" relativeHeight="251660288" behindDoc="1" locked="0" layoutInCell="1" allowOverlap="1">
            <wp:simplePos x="0" y="0"/>
            <wp:positionH relativeFrom="column">
              <wp:posOffset>485775</wp:posOffset>
            </wp:positionH>
            <wp:positionV relativeFrom="paragraph">
              <wp:posOffset>135255</wp:posOffset>
            </wp:positionV>
            <wp:extent cx="4114800" cy="1704975"/>
            <wp:effectExtent l="19050" t="0" r="0" b="0"/>
            <wp:wrapNone/>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4114800" cy="1704975"/>
                    </a:xfrm>
                    <a:prstGeom prst="rect">
                      <a:avLst/>
                    </a:prstGeom>
                    <a:noFill/>
                  </pic:spPr>
                </pic:pic>
              </a:graphicData>
            </a:graphic>
          </wp:anchor>
        </w:drawing>
      </w:r>
      <w:r>
        <w:rPr>
          <w:rFonts w:ascii="仿宋_GB2312" w:eastAsia="仿宋_GB2312" w:hAnsi="仿宋" w:hint="eastAsia"/>
          <w:sz w:val="32"/>
          <w:szCs w:val="32"/>
        </w:rPr>
        <w:t xml:space="preserve"> </w:t>
      </w:r>
    </w:p>
    <w:p w:rsidR="002F516B" w:rsidRDefault="0087614A" w:rsidP="005A402A">
      <w:pPr>
        <w:spacing w:line="576" w:lineRule="exact"/>
        <w:rPr>
          <w:rFonts w:ascii="仿宋_GB2312" w:eastAsia="仿宋_GB2312" w:hAnsi="仿宋"/>
          <w:sz w:val="32"/>
          <w:szCs w:val="32"/>
        </w:rPr>
      </w:pPr>
      <w:r>
        <w:rPr>
          <w:rFonts w:ascii="仿宋_GB2312" w:eastAsia="仿宋_GB2312" w:hAnsi="仿宋" w:hint="eastAsia"/>
          <w:sz w:val="32"/>
          <w:szCs w:val="32"/>
        </w:rPr>
        <w:t xml:space="preserve">   </w:t>
      </w:r>
    </w:p>
    <w:p w:rsidR="002F516B" w:rsidRPr="002F516B" w:rsidRDefault="002F516B" w:rsidP="002F516B">
      <w:pPr>
        <w:rPr>
          <w:rFonts w:ascii="仿宋_GB2312" w:eastAsia="仿宋_GB2312" w:hAnsi="仿宋"/>
          <w:sz w:val="32"/>
          <w:szCs w:val="32"/>
        </w:rPr>
      </w:pPr>
    </w:p>
    <w:p w:rsidR="002F516B" w:rsidRPr="002F516B" w:rsidRDefault="002F516B" w:rsidP="002F516B">
      <w:pPr>
        <w:rPr>
          <w:rFonts w:ascii="仿宋_GB2312" w:eastAsia="仿宋_GB2312" w:hAnsi="仿宋"/>
          <w:sz w:val="32"/>
          <w:szCs w:val="32"/>
        </w:rPr>
      </w:pPr>
    </w:p>
    <w:p w:rsidR="002F516B" w:rsidRPr="002F516B" w:rsidRDefault="002F516B" w:rsidP="002F516B">
      <w:pPr>
        <w:rPr>
          <w:rFonts w:ascii="仿宋_GB2312" w:eastAsia="仿宋_GB2312" w:hAnsi="仿宋"/>
          <w:sz w:val="32"/>
          <w:szCs w:val="32"/>
        </w:rPr>
      </w:pPr>
    </w:p>
    <w:p w:rsidR="002F516B" w:rsidRPr="002F516B" w:rsidRDefault="002F516B" w:rsidP="00B16EB8">
      <w:pPr>
        <w:spacing w:line="576" w:lineRule="exact"/>
        <w:ind w:firstLineChars="200" w:firstLine="640"/>
        <w:rPr>
          <w:rFonts w:ascii="黑体" w:eastAsia="黑体" w:hAnsi="黑体"/>
          <w:sz w:val="32"/>
          <w:szCs w:val="32"/>
        </w:rPr>
      </w:pPr>
      <w:r w:rsidRPr="002F516B">
        <w:rPr>
          <w:rFonts w:ascii="黑体" w:eastAsia="黑体" w:hAnsi="黑体" w:hint="eastAsia"/>
          <w:sz w:val="32"/>
          <w:szCs w:val="32"/>
        </w:rPr>
        <w:t>四、财政拨款收支决算情况</w:t>
      </w:r>
    </w:p>
    <w:p w:rsidR="002F516B" w:rsidRPr="002F516B" w:rsidRDefault="005D2DF9" w:rsidP="00B16EB8">
      <w:pPr>
        <w:spacing w:line="576" w:lineRule="exact"/>
        <w:ind w:firstLineChars="200" w:firstLine="640"/>
        <w:rPr>
          <w:rFonts w:ascii="仿宋_GB2312" w:eastAsia="仿宋_GB2312" w:hAnsi="仿宋"/>
          <w:sz w:val="32"/>
          <w:szCs w:val="32"/>
        </w:rPr>
      </w:pPr>
      <w:r>
        <w:rPr>
          <w:rFonts w:ascii="仿宋_GB2312" w:eastAsia="仿宋_GB2312" w:hAnsi="仿宋" w:hint="eastAsia"/>
          <w:sz w:val="32"/>
          <w:szCs w:val="32"/>
        </w:rPr>
        <w:t>2017年财政拨款收支总决算168.92万元，</w:t>
      </w:r>
      <w:r w:rsidR="003F5680">
        <w:rPr>
          <w:rFonts w:ascii="仿宋_GB2312" w:eastAsia="仿宋_GB2312" w:hAnsi="仿宋" w:hint="eastAsia"/>
          <w:sz w:val="32"/>
          <w:szCs w:val="32"/>
        </w:rPr>
        <w:t>财政</w:t>
      </w:r>
      <w:r>
        <w:rPr>
          <w:rFonts w:ascii="仿宋_GB2312" w:eastAsia="仿宋_GB2312" w:hAnsi="仿宋" w:hint="eastAsia"/>
          <w:sz w:val="32"/>
          <w:szCs w:val="32"/>
        </w:rPr>
        <w:t>拨款收入与2016年相比增加8.87万元，</w:t>
      </w:r>
      <w:r>
        <w:rPr>
          <w:rFonts w:ascii="仿宋_GB2312" w:eastAsia="仿宋_GB2312" w:hAnsi="仿宋" w:cs="仿宋" w:hint="eastAsia"/>
          <w:sz w:val="32"/>
          <w:szCs w:val="32"/>
        </w:rPr>
        <w:t>增长5.</w:t>
      </w:r>
      <w:r w:rsidR="003F5680">
        <w:rPr>
          <w:rFonts w:ascii="仿宋_GB2312" w:eastAsia="仿宋_GB2312" w:hAnsi="仿宋" w:cs="仿宋" w:hint="eastAsia"/>
          <w:sz w:val="32"/>
          <w:szCs w:val="32"/>
        </w:rPr>
        <w:t>5</w:t>
      </w:r>
      <w:r>
        <w:rPr>
          <w:rFonts w:ascii="仿宋_GB2312" w:eastAsia="仿宋_GB2312" w:hAnsi="仿宋" w:cs="仿宋" w:hint="eastAsia"/>
          <w:sz w:val="32"/>
          <w:szCs w:val="32"/>
        </w:rPr>
        <w:t>4%</w:t>
      </w:r>
      <w:r w:rsidR="003F5680">
        <w:rPr>
          <w:rFonts w:ascii="仿宋_GB2312" w:eastAsia="仿宋_GB2312" w:hAnsi="仿宋" w:cs="仿宋" w:hint="eastAsia"/>
          <w:sz w:val="32"/>
          <w:szCs w:val="32"/>
        </w:rPr>
        <w:t>；财政拨款支出与2016年相比减少4.96万元，下降2.85%。</w:t>
      </w:r>
    </w:p>
    <w:p w:rsidR="007171B5" w:rsidRDefault="007171B5" w:rsidP="007171B5">
      <w:pPr>
        <w:ind w:firstLineChars="350" w:firstLine="735"/>
      </w:pPr>
      <w:r w:rsidRPr="00EE0241">
        <w:rPr>
          <w:noProof/>
        </w:rPr>
        <w:lastRenderedPageBreak/>
        <w:drawing>
          <wp:inline distT="0" distB="0" distL="0" distR="0">
            <wp:extent cx="4114800" cy="2019300"/>
            <wp:effectExtent l="19050" t="0" r="19050" b="0"/>
            <wp:docPr id="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171B5" w:rsidRDefault="007171B5" w:rsidP="00B16EB8">
      <w:pPr>
        <w:spacing w:line="576" w:lineRule="exact"/>
        <w:ind w:firstLineChars="200" w:firstLine="640"/>
        <w:rPr>
          <w:rFonts w:ascii="黑体" w:eastAsia="黑体" w:hAnsi="黑体"/>
          <w:sz w:val="32"/>
          <w:szCs w:val="32"/>
        </w:rPr>
      </w:pPr>
      <w:r w:rsidRPr="007171B5">
        <w:rPr>
          <w:rFonts w:ascii="黑体" w:eastAsia="黑体" w:hAnsi="黑体" w:hint="eastAsia"/>
          <w:sz w:val="32"/>
          <w:szCs w:val="32"/>
        </w:rPr>
        <w:t>五、一般公共预算财政拨款支出决算表</w:t>
      </w:r>
    </w:p>
    <w:p w:rsidR="007171B5" w:rsidRDefault="00DA2DD1" w:rsidP="00B16EB8">
      <w:pPr>
        <w:spacing w:line="576" w:lineRule="exact"/>
        <w:ind w:firstLineChars="200" w:firstLine="643"/>
        <w:rPr>
          <w:rFonts w:ascii="楷体_GB2312" w:eastAsia="楷体_GB2312" w:hAnsi="黑体"/>
          <w:b/>
          <w:sz w:val="32"/>
          <w:szCs w:val="32"/>
        </w:rPr>
      </w:pPr>
      <w:r w:rsidRPr="00DA2DD1">
        <w:rPr>
          <w:rFonts w:ascii="楷体_GB2312" w:eastAsia="楷体_GB2312" w:hAnsi="黑体" w:hint="eastAsia"/>
          <w:b/>
          <w:sz w:val="32"/>
          <w:szCs w:val="32"/>
        </w:rPr>
        <w:t>（一）一般公共预算财政拨款支出总体情况</w:t>
      </w:r>
    </w:p>
    <w:p w:rsidR="00DA2DD1" w:rsidRDefault="00DA2DD1" w:rsidP="00B16EB8">
      <w:pPr>
        <w:spacing w:line="576" w:lineRule="exact"/>
        <w:ind w:firstLineChars="200" w:firstLine="640"/>
        <w:rPr>
          <w:rFonts w:ascii="仿宋_GB2312" w:eastAsia="仿宋_GB2312" w:hAnsi="仿宋" w:cs="仿宋"/>
          <w:sz w:val="32"/>
          <w:szCs w:val="32"/>
        </w:rPr>
      </w:pPr>
      <w:r w:rsidRPr="00DA2DD1">
        <w:rPr>
          <w:rFonts w:ascii="仿宋_GB2312" w:eastAsia="仿宋_GB2312" w:hAnsi="黑体" w:hint="eastAsia"/>
          <w:sz w:val="32"/>
          <w:szCs w:val="32"/>
        </w:rPr>
        <w:t>2017年一般公共预算财政拨款支出168.92万元</w:t>
      </w:r>
      <w:r>
        <w:rPr>
          <w:rFonts w:ascii="仿宋_GB2312" w:eastAsia="仿宋_GB2312" w:hAnsi="黑体" w:hint="eastAsia"/>
          <w:sz w:val="32"/>
          <w:szCs w:val="32"/>
        </w:rPr>
        <w:t>，占本年支出合计的100%。与2016年相比</w:t>
      </w:r>
      <w:r w:rsidRPr="00DA2DD1">
        <w:rPr>
          <w:rFonts w:ascii="仿宋_GB2312" w:eastAsia="仿宋_GB2312" w:hAnsi="黑体" w:hint="eastAsia"/>
          <w:sz w:val="32"/>
          <w:szCs w:val="32"/>
        </w:rPr>
        <w:t>一般公共预算财政拨款支出</w:t>
      </w:r>
      <w:r>
        <w:rPr>
          <w:rFonts w:ascii="仿宋_GB2312" w:eastAsia="仿宋_GB2312" w:hAnsi="黑体" w:hint="eastAsia"/>
          <w:sz w:val="32"/>
          <w:szCs w:val="32"/>
        </w:rPr>
        <w:t>减少4.96万元，</w:t>
      </w:r>
      <w:r>
        <w:rPr>
          <w:rFonts w:ascii="仿宋_GB2312" w:eastAsia="仿宋_GB2312" w:hAnsi="仿宋" w:cs="仿宋" w:hint="eastAsia"/>
          <w:sz w:val="32"/>
          <w:szCs w:val="32"/>
        </w:rPr>
        <w:t>下降2.85%。</w:t>
      </w:r>
    </w:p>
    <w:p w:rsidR="00F847D0" w:rsidRDefault="00F847D0" w:rsidP="00F847D0">
      <w:pPr>
        <w:ind w:firstLineChars="100" w:firstLine="210"/>
      </w:pPr>
      <w:r>
        <w:rPr>
          <w:noProof/>
        </w:rPr>
        <w:drawing>
          <wp:inline distT="0" distB="0" distL="0" distR="0">
            <wp:extent cx="4981575" cy="2171700"/>
            <wp:effectExtent l="19050" t="0" r="9525" b="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847D0" w:rsidRDefault="00F847D0" w:rsidP="00B16EB8">
      <w:pPr>
        <w:spacing w:line="576" w:lineRule="exact"/>
        <w:ind w:firstLineChars="200" w:firstLine="643"/>
        <w:rPr>
          <w:rFonts w:ascii="楷体_GB2312" w:eastAsia="楷体_GB2312"/>
          <w:b/>
          <w:sz w:val="32"/>
          <w:szCs w:val="32"/>
        </w:rPr>
      </w:pPr>
      <w:r w:rsidRPr="00F847D0">
        <w:rPr>
          <w:rFonts w:ascii="楷体_GB2312" w:eastAsia="楷体_GB2312" w:hint="eastAsia"/>
          <w:b/>
          <w:sz w:val="32"/>
          <w:szCs w:val="32"/>
        </w:rPr>
        <w:t>（二）一般公共预算财政拨款支出结算结构情况</w:t>
      </w:r>
    </w:p>
    <w:p w:rsidR="00F847D0" w:rsidRDefault="00F847D0" w:rsidP="00B16EB8">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2017年</w:t>
      </w:r>
      <w:r w:rsidRPr="007770C3">
        <w:rPr>
          <w:rFonts w:ascii="仿宋_GB2312" w:eastAsia="仿宋_GB2312" w:hint="eastAsia"/>
          <w:color w:val="000000"/>
          <w:sz w:val="32"/>
          <w:szCs w:val="32"/>
        </w:rPr>
        <w:t>一般公共预算财政拨款支出</w:t>
      </w:r>
      <w:r>
        <w:rPr>
          <w:rFonts w:ascii="仿宋_GB2312" w:eastAsia="仿宋_GB2312" w:hint="eastAsia"/>
          <w:color w:val="000000"/>
          <w:sz w:val="32"/>
          <w:szCs w:val="32"/>
        </w:rPr>
        <w:t>168.92</w:t>
      </w:r>
      <w:r w:rsidRPr="007770C3">
        <w:rPr>
          <w:rFonts w:ascii="仿宋_GB2312" w:eastAsia="仿宋_GB2312" w:hint="eastAsia"/>
          <w:color w:val="000000"/>
          <w:sz w:val="32"/>
          <w:szCs w:val="32"/>
        </w:rPr>
        <w:t>万元，主要用于以下方面:社会保障和就业支出</w:t>
      </w:r>
      <w:r w:rsidR="008A0BB6">
        <w:rPr>
          <w:rFonts w:ascii="仿宋_GB2312" w:eastAsia="仿宋_GB2312" w:hint="eastAsia"/>
          <w:color w:val="000000"/>
          <w:sz w:val="32"/>
          <w:szCs w:val="32"/>
        </w:rPr>
        <w:t>145.18</w:t>
      </w:r>
      <w:r w:rsidRPr="007770C3">
        <w:rPr>
          <w:rFonts w:ascii="仿宋_GB2312" w:eastAsia="仿宋_GB2312" w:hint="eastAsia"/>
          <w:color w:val="000000"/>
          <w:sz w:val="32"/>
          <w:szCs w:val="32"/>
        </w:rPr>
        <w:t>万元，占</w:t>
      </w:r>
      <w:r w:rsidR="008A0BB6">
        <w:rPr>
          <w:rFonts w:ascii="仿宋_GB2312" w:eastAsia="仿宋_GB2312" w:hint="eastAsia"/>
          <w:color w:val="000000"/>
          <w:sz w:val="32"/>
          <w:szCs w:val="32"/>
        </w:rPr>
        <w:t>85.94</w:t>
      </w:r>
      <w:r w:rsidRPr="007770C3">
        <w:rPr>
          <w:rFonts w:ascii="仿宋_GB2312" w:eastAsia="仿宋_GB2312" w:hint="eastAsia"/>
          <w:color w:val="000000"/>
          <w:sz w:val="32"/>
          <w:szCs w:val="32"/>
        </w:rPr>
        <w:t>%；医疗卫生支出</w:t>
      </w:r>
      <w:r w:rsidR="008A0BB6">
        <w:rPr>
          <w:rFonts w:ascii="仿宋_GB2312" w:eastAsia="仿宋_GB2312" w:hint="eastAsia"/>
          <w:color w:val="000000"/>
          <w:sz w:val="32"/>
          <w:szCs w:val="32"/>
        </w:rPr>
        <w:t>9.84</w:t>
      </w:r>
      <w:r w:rsidRPr="007770C3">
        <w:rPr>
          <w:rFonts w:ascii="仿宋_GB2312" w:eastAsia="仿宋_GB2312" w:hint="eastAsia"/>
          <w:color w:val="000000"/>
          <w:sz w:val="32"/>
          <w:szCs w:val="32"/>
        </w:rPr>
        <w:t>万元，占</w:t>
      </w:r>
      <w:r w:rsidR="001D5594">
        <w:rPr>
          <w:rFonts w:ascii="仿宋_GB2312" w:eastAsia="仿宋_GB2312" w:hint="eastAsia"/>
          <w:color w:val="000000"/>
          <w:sz w:val="32"/>
          <w:szCs w:val="32"/>
        </w:rPr>
        <w:t>5.83</w:t>
      </w:r>
      <w:r w:rsidRPr="007770C3">
        <w:rPr>
          <w:rFonts w:ascii="仿宋_GB2312" w:eastAsia="仿宋_GB2312" w:hint="eastAsia"/>
          <w:color w:val="000000"/>
          <w:sz w:val="32"/>
          <w:szCs w:val="32"/>
        </w:rPr>
        <w:t>%；住房保障支出</w:t>
      </w:r>
      <w:r w:rsidR="001D5594">
        <w:rPr>
          <w:rFonts w:ascii="仿宋_GB2312" w:eastAsia="仿宋_GB2312" w:hint="eastAsia"/>
          <w:color w:val="000000"/>
          <w:sz w:val="32"/>
          <w:szCs w:val="32"/>
        </w:rPr>
        <w:t>13.90</w:t>
      </w:r>
      <w:r w:rsidRPr="007770C3">
        <w:rPr>
          <w:rFonts w:ascii="仿宋_GB2312" w:eastAsia="仿宋_GB2312" w:hint="eastAsia"/>
          <w:color w:val="000000"/>
          <w:sz w:val="32"/>
          <w:szCs w:val="32"/>
        </w:rPr>
        <w:t>万元</w:t>
      </w:r>
      <w:r w:rsidR="001D5594">
        <w:rPr>
          <w:rFonts w:ascii="仿宋_GB2312" w:eastAsia="仿宋_GB2312" w:hint="eastAsia"/>
          <w:color w:val="000000"/>
          <w:sz w:val="32"/>
          <w:szCs w:val="32"/>
        </w:rPr>
        <w:t>，占8.23%。</w:t>
      </w:r>
    </w:p>
    <w:p w:rsidR="001D5594" w:rsidRDefault="001D5594" w:rsidP="001D5594">
      <w:pPr>
        <w:tabs>
          <w:tab w:val="left" w:pos="810"/>
        </w:tabs>
        <w:ind w:firstLineChars="450" w:firstLine="945"/>
      </w:pPr>
      <w:r w:rsidRPr="00D941D7">
        <w:rPr>
          <w:noProof/>
        </w:rPr>
        <w:lastRenderedPageBreak/>
        <w:drawing>
          <wp:inline distT="0" distB="0" distL="0" distR="0">
            <wp:extent cx="3838575" cy="1733550"/>
            <wp:effectExtent l="19050" t="0" r="9525" b="0"/>
            <wp:docPr id="4"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D5594" w:rsidRDefault="001D5594" w:rsidP="001D5594">
      <w:pPr>
        <w:spacing w:line="576" w:lineRule="exact"/>
        <w:ind w:firstLineChars="200" w:firstLine="643"/>
        <w:rPr>
          <w:rFonts w:ascii="楷体_GB2312" w:eastAsia="楷体_GB2312"/>
          <w:b/>
          <w:sz w:val="32"/>
          <w:szCs w:val="32"/>
        </w:rPr>
      </w:pPr>
      <w:r>
        <w:rPr>
          <w:rFonts w:ascii="楷体_GB2312" w:eastAsia="楷体_GB2312" w:hint="eastAsia"/>
          <w:b/>
          <w:sz w:val="32"/>
          <w:szCs w:val="32"/>
        </w:rPr>
        <w:t>（三）一般公共预算财政拨款支出决算具体情况</w:t>
      </w:r>
    </w:p>
    <w:p w:rsidR="001D5594" w:rsidRDefault="001D5594" w:rsidP="001D5594">
      <w:pPr>
        <w:spacing w:line="576" w:lineRule="exact"/>
        <w:ind w:firstLineChars="200" w:firstLine="640"/>
        <w:rPr>
          <w:rFonts w:ascii="仿宋_GB2312" w:eastAsia="仿宋_GB2312"/>
          <w:sz w:val="32"/>
          <w:szCs w:val="32"/>
        </w:rPr>
      </w:pPr>
      <w:r w:rsidRPr="00DE674A">
        <w:rPr>
          <w:rFonts w:ascii="仿宋_GB2312" w:eastAsia="仿宋_GB2312" w:hint="eastAsia"/>
          <w:sz w:val="32"/>
          <w:szCs w:val="32"/>
        </w:rPr>
        <w:t>1.</w:t>
      </w:r>
      <w:r>
        <w:rPr>
          <w:rFonts w:ascii="仿宋_GB2312" w:eastAsia="仿宋_GB2312" w:hint="eastAsia"/>
          <w:sz w:val="32"/>
          <w:szCs w:val="32"/>
        </w:rPr>
        <w:t>社会保障和就业支出（208）人力资源和社会保障管理事务（20801）社会保险经办机构（2080109）：2017年决算数为117.90万元，完成预算100%。</w:t>
      </w:r>
    </w:p>
    <w:p w:rsidR="001D5594" w:rsidRDefault="001D5594" w:rsidP="001D5594">
      <w:pPr>
        <w:spacing w:line="576" w:lineRule="exact"/>
        <w:ind w:firstLineChars="200" w:firstLine="640"/>
        <w:rPr>
          <w:rFonts w:ascii="仿宋_GB2312" w:eastAsia="仿宋_GB2312"/>
          <w:sz w:val="32"/>
          <w:szCs w:val="32"/>
        </w:rPr>
      </w:pPr>
      <w:r>
        <w:rPr>
          <w:rFonts w:ascii="仿宋_GB2312" w:eastAsia="仿宋_GB2312" w:hint="eastAsia"/>
          <w:sz w:val="32"/>
          <w:szCs w:val="32"/>
        </w:rPr>
        <w:t>2.</w:t>
      </w:r>
      <w:r w:rsidRPr="00E41BE3">
        <w:rPr>
          <w:rFonts w:ascii="仿宋_GB2312" w:eastAsia="仿宋_GB2312" w:hint="eastAsia"/>
          <w:sz w:val="32"/>
          <w:szCs w:val="32"/>
        </w:rPr>
        <w:t xml:space="preserve"> </w:t>
      </w:r>
      <w:r>
        <w:rPr>
          <w:rFonts w:ascii="仿宋_GB2312" w:eastAsia="仿宋_GB2312" w:hint="eastAsia"/>
          <w:sz w:val="32"/>
          <w:szCs w:val="32"/>
        </w:rPr>
        <w:t>社会保障和就业支出（208）行政事业单位离退休（20805）机关事业单位基本养老保险缴费支出（2080505）：</w:t>
      </w:r>
      <w:r w:rsidR="000B3CAE">
        <w:rPr>
          <w:rFonts w:ascii="仿宋_GB2312" w:eastAsia="仿宋_GB2312" w:hint="eastAsia"/>
          <w:sz w:val="32"/>
          <w:szCs w:val="32"/>
        </w:rPr>
        <w:t>2017</w:t>
      </w:r>
      <w:r>
        <w:rPr>
          <w:rFonts w:ascii="仿宋_GB2312" w:eastAsia="仿宋_GB2312" w:hint="eastAsia"/>
          <w:sz w:val="32"/>
          <w:szCs w:val="32"/>
        </w:rPr>
        <w:t>年决算数为</w:t>
      </w:r>
      <w:r w:rsidR="000B3CAE">
        <w:rPr>
          <w:rFonts w:ascii="仿宋_GB2312" w:eastAsia="仿宋_GB2312" w:hint="eastAsia"/>
          <w:sz w:val="32"/>
          <w:szCs w:val="32"/>
        </w:rPr>
        <w:t>19.49</w:t>
      </w:r>
      <w:r>
        <w:rPr>
          <w:rFonts w:ascii="仿宋_GB2312" w:eastAsia="仿宋_GB2312" w:hint="eastAsia"/>
          <w:sz w:val="32"/>
          <w:szCs w:val="32"/>
        </w:rPr>
        <w:t>万元，完成预算100%。</w:t>
      </w:r>
    </w:p>
    <w:p w:rsidR="001D5594" w:rsidRDefault="001D5594" w:rsidP="001D5594">
      <w:pPr>
        <w:spacing w:line="576" w:lineRule="exact"/>
        <w:ind w:firstLineChars="200" w:firstLine="640"/>
        <w:rPr>
          <w:rFonts w:ascii="仿宋_GB2312" w:eastAsia="仿宋_GB2312"/>
          <w:sz w:val="32"/>
          <w:szCs w:val="32"/>
        </w:rPr>
      </w:pPr>
      <w:r>
        <w:rPr>
          <w:rFonts w:ascii="仿宋_GB2312" w:eastAsia="仿宋_GB2312" w:hint="eastAsia"/>
          <w:sz w:val="32"/>
          <w:szCs w:val="32"/>
        </w:rPr>
        <w:t>3.</w:t>
      </w:r>
      <w:r w:rsidRPr="00411CF5">
        <w:rPr>
          <w:rFonts w:ascii="仿宋_GB2312" w:eastAsia="仿宋_GB2312" w:hint="eastAsia"/>
          <w:sz w:val="32"/>
          <w:szCs w:val="32"/>
        </w:rPr>
        <w:t xml:space="preserve"> </w:t>
      </w:r>
      <w:r>
        <w:rPr>
          <w:rFonts w:ascii="仿宋_GB2312" w:eastAsia="仿宋_GB2312" w:hint="eastAsia"/>
          <w:sz w:val="32"/>
          <w:szCs w:val="32"/>
        </w:rPr>
        <w:t>社会保障和就业支出（208）行政事业单位离退休（20805）机关事业单位职业年金缴费支出（2080506）：</w:t>
      </w:r>
      <w:r w:rsidR="000B3CAE">
        <w:rPr>
          <w:rFonts w:ascii="仿宋_GB2312" w:eastAsia="仿宋_GB2312" w:hint="eastAsia"/>
          <w:sz w:val="32"/>
          <w:szCs w:val="32"/>
        </w:rPr>
        <w:t>2017</w:t>
      </w:r>
      <w:r>
        <w:rPr>
          <w:rFonts w:ascii="仿宋_GB2312" w:eastAsia="仿宋_GB2312" w:hint="eastAsia"/>
          <w:sz w:val="32"/>
          <w:szCs w:val="32"/>
        </w:rPr>
        <w:t>年决算数为</w:t>
      </w:r>
      <w:r w:rsidR="000B3CAE">
        <w:rPr>
          <w:rFonts w:ascii="仿宋_GB2312" w:eastAsia="仿宋_GB2312" w:hint="eastAsia"/>
          <w:sz w:val="32"/>
          <w:szCs w:val="32"/>
        </w:rPr>
        <w:t>7.79</w:t>
      </w:r>
      <w:r>
        <w:rPr>
          <w:rFonts w:ascii="仿宋_GB2312" w:eastAsia="仿宋_GB2312" w:hint="eastAsia"/>
          <w:sz w:val="32"/>
          <w:szCs w:val="32"/>
        </w:rPr>
        <w:t>万元，完成预算100%。</w:t>
      </w:r>
    </w:p>
    <w:p w:rsidR="001D5594" w:rsidRDefault="001D5594" w:rsidP="001D5594">
      <w:pPr>
        <w:spacing w:line="576" w:lineRule="exact"/>
        <w:ind w:firstLineChars="200" w:firstLine="640"/>
        <w:rPr>
          <w:rFonts w:ascii="仿宋_GB2312" w:eastAsia="仿宋_GB2312"/>
          <w:sz w:val="32"/>
          <w:szCs w:val="32"/>
        </w:rPr>
      </w:pPr>
      <w:r>
        <w:rPr>
          <w:rFonts w:ascii="仿宋_GB2312" w:eastAsia="仿宋_GB2312" w:hint="eastAsia"/>
          <w:sz w:val="32"/>
          <w:szCs w:val="32"/>
        </w:rPr>
        <w:t>4.医疗卫生与计划生育支出（210）</w:t>
      </w:r>
      <w:r w:rsidR="000B3CAE">
        <w:rPr>
          <w:rFonts w:ascii="仿宋_GB2312" w:eastAsia="仿宋_GB2312" w:hint="eastAsia"/>
          <w:sz w:val="32"/>
          <w:szCs w:val="32"/>
        </w:rPr>
        <w:t>行政事业单位医疗</w:t>
      </w:r>
      <w:r>
        <w:rPr>
          <w:rFonts w:ascii="仿宋_GB2312" w:eastAsia="仿宋_GB2312" w:hint="eastAsia"/>
          <w:sz w:val="32"/>
          <w:szCs w:val="32"/>
        </w:rPr>
        <w:t>（</w:t>
      </w:r>
      <w:r w:rsidR="000B3CAE">
        <w:rPr>
          <w:rFonts w:ascii="仿宋_GB2312" w:eastAsia="仿宋_GB2312" w:hint="eastAsia"/>
          <w:sz w:val="32"/>
          <w:szCs w:val="32"/>
        </w:rPr>
        <w:t>21011</w:t>
      </w:r>
      <w:r>
        <w:rPr>
          <w:rFonts w:ascii="仿宋_GB2312" w:eastAsia="仿宋_GB2312" w:hint="eastAsia"/>
          <w:sz w:val="32"/>
          <w:szCs w:val="32"/>
        </w:rPr>
        <w:t>）事业单位医疗（21</w:t>
      </w:r>
      <w:r w:rsidR="000B3CAE">
        <w:rPr>
          <w:rFonts w:ascii="仿宋_GB2312" w:eastAsia="仿宋_GB2312" w:hint="eastAsia"/>
          <w:sz w:val="32"/>
          <w:szCs w:val="32"/>
        </w:rPr>
        <w:t>01102</w:t>
      </w:r>
      <w:r>
        <w:rPr>
          <w:rFonts w:ascii="仿宋_GB2312" w:eastAsia="仿宋_GB2312" w:hint="eastAsia"/>
          <w:sz w:val="32"/>
          <w:szCs w:val="32"/>
        </w:rPr>
        <w:t>）：</w:t>
      </w:r>
      <w:r w:rsidR="000B3CAE">
        <w:rPr>
          <w:rFonts w:ascii="仿宋_GB2312" w:eastAsia="仿宋_GB2312" w:hint="eastAsia"/>
          <w:sz w:val="32"/>
          <w:szCs w:val="32"/>
        </w:rPr>
        <w:t>2017</w:t>
      </w:r>
      <w:r>
        <w:rPr>
          <w:rFonts w:ascii="仿宋_GB2312" w:eastAsia="仿宋_GB2312" w:hint="eastAsia"/>
          <w:sz w:val="32"/>
          <w:szCs w:val="32"/>
        </w:rPr>
        <w:t>年决算数为</w:t>
      </w:r>
      <w:r w:rsidR="000B3CAE">
        <w:rPr>
          <w:rFonts w:ascii="仿宋_GB2312" w:eastAsia="仿宋_GB2312" w:hint="eastAsia"/>
          <w:sz w:val="32"/>
          <w:szCs w:val="32"/>
        </w:rPr>
        <w:t>9.84</w:t>
      </w:r>
      <w:r>
        <w:rPr>
          <w:rFonts w:ascii="仿宋_GB2312" w:eastAsia="仿宋_GB2312" w:hint="eastAsia"/>
          <w:sz w:val="32"/>
          <w:szCs w:val="32"/>
        </w:rPr>
        <w:t>万元，完成预算100%。</w:t>
      </w:r>
    </w:p>
    <w:p w:rsidR="001D5594" w:rsidRDefault="001D5594" w:rsidP="001D5594">
      <w:pPr>
        <w:spacing w:line="576" w:lineRule="exact"/>
        <w:ind w:firstLineChars="200" w:firstLine="640"/>
        <w:rPr>
          <w:rFonts w:ascii="仿宋_GB2312" w:eastAsia="仿宋_GB2312"/>
          <w:sz w:val="32"/>
          <w:szCs w:val="32"/>
        </w:rPr>
      </w:pPr>
      <w:r>
        <w:rPr>
          <w:rFonts w:ascii="仿宋_GB2312" w:eastAsia="仿宋_GB2312" w:hint="eastAsia"/>
          <w:sz w:val="32"/>
          <w:szCs w:val="32"/>
        </w:rPr>
        <w:t>5.住房保障支出（221）住房改革支出（22102）住房公积金（2210201）：2</w:t>
      </w:r>
      <w:r w:rsidR="000B3CAE">
        <w:rPr>
          <w:rFonts w:ascii="仿宋_GB2312" w:eastAsia="仿宋_GB2312" w:hint="eastAsia"/>
          <w:sz w:val="32"/>
          <w:szCs w:val="32"/>
        </w:rPr>
        <w:t>017</w:t>
      </w:r>
      <w:r>
        <w:rPr>
          <w:rFonts w:ascii="仿宋_GB2312" w:eastAsia="仿宋_GB2312" w:hint="eastAsia"/>
          <w:sz w:val="32"/>
          <w:szCs w:val="32"/>
        </w:rPr>
        <w:t>年决算数为</w:t>
      </w:r>
      <w:r w:rsidR="000B3CAE">
        <w:rPr>
          <w:rFonts w:ascii="仿宋_GB2312" w:eastAsia="仿宋_GB2312" w:hint="eastAsia"/>
          <w:sz w:val="32"/>
          <w:szCs w:val="32"/>
        </w:rPr>
        <w:t>13.90</w:t>
      </w:r>
      <w:r>
        <w:rPr>
          <w:rFonts w:ascii="仿宋_GB2312" w:eastAsia="仿宋_GB2312" w:hint="eastAsia"/>
          <w:sz w:val="32"/>
          <w:szCs w:val="32"/>
        </w:rPr>
        <w:t>万元，完成预算100%。</w:t>
      </w:r>
    </w:p>
    <w:p w:rsidR="000B3CAE" w:rsidRPr="00567C42" w:rsidRDefault="000B3CAE" w:rsidP="00567C42">
      <w:pPr>
        <w:spacing w:line="576" w:lineRule="exact"/>
        <w:ind w:firstLineChars="200" w:firstLine="640"/>
        <w:rPr>
          <w:rFonts w:ascii="黑体" w:eastAsia="黑体" w:hAnsi="黑体"/>
          <w:sz w:val="32"/>
          <w:szCs w:val="32"/>
        </w:rPr>
      </w:pPr>
      <w:r w:rsidRPr="00567C42">
        <w:rPr>
          <w:rFonts w:ascii="黑体" w:eastAsia="黑体" w:hAnsi="黑体" w:hint="eastAsia"/>
          <w:sz w:val="32"/>
          <w:szCs w:val="32"/>
        </w:rPr>
        <w:t>六、一般公共预算财政拨款基本支出决算情况</w:t>
      </w:r>
    </w:p>
    <w:p w:rsidR="000B3CAE" w:rsidRDefault="000B3CAE" w:rsidP="000B3CAE">
      <w:pPr>
        <w:spacing w:line="576" w:lineRule="exact"/>
        <w:ind w:firstLineChars="200" w:firstLine="640"/>
        <w:rPr>
          <w:rFonts w:ascii="仿宋_GB2312" w:eastAsia="仿宋_GB2312" w:hAnsi="黑体"/>
          <w:sz w:val="32"/>
          <w:szCs w:val="32"/>
        </w:rPr>
      </w:pPr>
      <w:r>
        <w:rPr>
          <w:rFonts w:ascii="仿宋_GB2312" w:eastAsia="仿宋_GB2312" w:hAnsi="黑体" w:hint="eastAsia"/>
          <w:sz w:val="32"/>
          <w:szCs w:val="32"/>
        </w:rPr>
        <w:t>我局2017年一般公共预算财政拨款基本支出167.92</w:t>
      </w:r>
      <w:r w:rsidR="00BD54AE">
        <w:rPr>
          <w:rFonts w:ascii="仿宋_GB2312" w:eastAsia="仿宋_GB2312" w:hAnsi="黑体" w:hint="eastAsia"/>
          <w:sz w:val="32"/>
          <w:szCs w:val="32"/>
        </w:rPr>
        <w:t>万元。</w:t>
      </w:r>
      <w:r>
        <w:rPr>
          <w:rFonts w:ascii="仿宋_GB2312" w:eastAsia="仿宋_GB2312" w:hAnsi="黑体" w:hint="eastAsia"/>
          <w:sz w:val="32"/>
          <w:szCs w:val="32"/>
        </w:rPr>
        <w:t>其中：</w:t>
      </w:r>
    </w:p>
    <w:p w:rsidR="000B3CAE" w:rsidRDefault="000B3CAE" w:rsidP="000B3CAE">
      <w:pPr>
        <w:spacing w:line="576" w:lineRule="exact"/>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1.人员经费153.93万元，主要包括：工资福利支出</w:t>
      </w:r>
      <w:r w:rsidR="00D410D9">
        <w:rPr>
          <w:rFonts w:ascii="仿宋_GB2312" w:eastAsia="仿宋_GB2312" w:hAnsi="黑体" w:hint="eastAsia"/>
          <w:sz w:val="32"/>
          <w:szCs w:val="32"/>
        </w:rPr>
        <w:t>138.73</w:t>
      </w:r>
      <w:r>
        <w:rPr>
          <w:rFonts w:ascii="仿宋_GB2312" w:eastAsia="仿宋_GB2312" w:hAnsi="黑体" w:hint="eastAsia"/>
          <w:sz w:val="32"/>
          <w:szCs w:val="32"/>
        </w:rPr>
        <w:t>万元</w:t>
      </w:r>
      <w:r w:rsidR="00D410D9">
        <w:rPr>
          <w:rFonts w:ascii="仿宋_GB2312" w:eastAsia="仿宋_GB2312" w:hAnsi="黑体" w:hint="eastAsia"/>
          <w:sz w:val="32"/>
          <w:szCs w:val="32"/>
        </w:rPr>
        <w:t>（其中：基本工资42.43万元、津贴补贴7.45万元、其他社会保障缴费11.06万元、绩效工资50.51万元、机关事业单位基本养老保险缴费19.49万元、职业年金缴费7.79）</w:t>
      </w:r>
      <w:r w:rsidR="001F0E18">
        <w:rPr>
          <w:rFonts w:ascii="仿宋_GB2312" w:eastAsia="仿宋_GB2312" w:hAnsi="黑体" w:hint="eastAsia"/>
          <w:sz w:val="32"/>
          <w:szCs w:val="32"/>
        </w:rPr>
        <w:t>；对个人和家庭的补助15.20万元（其中：医疗费1.25万元、奖励金0.05万元、住房公积金13.90万元）。</w:t>
      </w:r>
    </w:p>
    <w:p w:rsidR="001F0E18" w:rsidRDefault="001F0E18" w:rsidP="000B3CAE">
      <w:pPr>
        <w:spacing w:line="576" w:lineRule="exact"/>
        <w:ind w:firstLineChars="200" w:firstLine="640"/>
        <w:rPr>
          <w:rFonts w:ascii="仿宋_GB2312" w:eastAsia="仿宋_GB2312" w:hAnsi="黑体"/>
          <w:sz w:val="32"/>
          <w:szCs w:val="32"/>
        </w:rPr>
      </w:pPr>
      <w:r>
        <w:rPr>
          <w:rFonts w:ascii="仿宋_GB2312" w:eastAsia="仿宋_GB2312" w:hAnsi="黑体" w:hint="eastAsia"/>
          <w:sz w:val="32"/>
          <w:szCs w:val="32"/>
        </w:rPr>
        <w:t>2.日常公用金费13.99万元，其中：办公费</w:t>
      </w:r>
      <w:r w:rsidR="00C95229">
        <w:rPr>
          <w:rFonts w:ascii="仿宋_GB2312" w:eastAsia="仿宋_GB2312" w:hAnsi="黑体" w:hint="eastAsia"/>
          <w:sz w:val="32"/>
          <w:szCs w:val="32"/>
        </w:rPr>
        <w:t>4.88</w:t>
      </w:r>
      <w:r>
        <w:rPr>
          <w:rFonts w:ascii="仿宋_GB2312" w:eastAsia="仿宋_GB2312" w:hAnsi="黑体" w:hint="eastAsia"/>
          <w:sz w:val="32"/>
          <w:szCs w:val="32"/>
        </w:rPr>
        <w:t>万元、邮电费0.52万元、差旅费</w:t>
      </w:r>
      <w:r w:rsidR="00C95229">
        <w:rPr>
          <w:rFonts w:ascii="仿宋_GB2312" w:eastAsia="仿宋_GB2312" w:hAnsi="黑体" w:hint="eastAsia"/>
          <w:sz w:val="32"/>
          <w:szCs w:val="32"/>
        </w:rPr>
        <w:t>4.66</w:t>
      </w:r>
      <w:r>
        <w:rPr>
          <w:rFonts w:ascii="仿宋_GB2312" w:eastAsia="仿宋_GB2312" w:hAnsi="黑体" w:hint="eastAsia"/>
          <w:sz w:val="32"/>
          <w:szCs w:val="32"/>
        </w:rPr>
        <w:t>万元、</w:t>
      </w:r>
      <w:r w:rsidR="00D74E6D">
        <w:rPr>
          <w:rFonts w:ascii="仿宋_GB2312" w:eastAsia="仿宋_GB2312" w:hAnsi="黑体" w:hint="eastAsia"/>
          <w:sz w:val="32"/>
          <w:szCs w:val="32"/>
        </w:rPr>
        <w:t>培训费0.45万元</w:t>
      </w:r>
      <w:r w:rsidR="00C95229">
        <w:rPr>
          <w:rFonts w:ascii="仿宋_GB2312" w:eastAsia="仿宋_GB2312" w:hAnsi="黑体" w:hint="eastAsia"/>
          <w:sz w:val="32"/>
          <w:szCs w:val="32"/>
        </w:rPr>
        <w:t>、公务接待费0.18万元、其他交通费3.30万元。</w:t>
      </w:r>
    </w:p>
    <w:p w:rsidR="00F76A38" w:rsidRPr="00567C42" w:rsidRDefault="00F76A38" w:rsidP="00567C42">
      <w:pPr>
        <w:spacing w:line="576" w:lineRule="exact"/>
        <w:ind w:firstLineChars="200" w:firstLine="640"/>
        <w:rPr>
          <w:rFonts w:ascii="黑体" w:eastAsia="黑体" w:hAnsi="黑体"/>
          <w:sz w:val="32"/>
          <w:szCs w:val="32"/>
        </w:rPr>
      </w:pPr>
      <w:r w:rsidRPr="00567C42">
        <w:rPr>
          <w:rFonts w:ascii="黑体" w:eastAsia="黑体" w:hAnsi="黑体" w:hint="eastAsia"/>
          <w:sz w:val="32"/>
          <w:szCs w:val="32"/>
        </w:rPr>
        <w:t>七、“三公”经费财政拨款支出决算情况</w:t>
      </w:r>
    </w:p>
    <w:p w:rsidR="00F76A38" w:rsidRPr="00DA23E3" w:rsidRDefault="00F76A38" w:rsidP="00F76A38">
      <w:pPr>
        <w:spacing w:line="576" w:lineRule="exact"/>
        <w:ind w:firstLineChars="200" w:firstLine="643"/>
        <w:rPr>
          <w:rFonts w:ascii="楷体_GB2312" w:eastAsia="楷体_GB2312" w:hAnsi="仿宋"/>
          <w:b/>
          <w:sz w:val="32"/>
          <w:szCs w:val="32"/>
        </w:rPr>
      </w:pPr>
      <w:r w:rsidRPr="00DA23E3">
        <w:rPr>
          <w:rFonts w:ascii="楷体_GB2312" w:eastAsia="楷体_GB2312" w:hAnsi="仿宋" w:hint="eastAsia"/>
          <w:b/>
          <w:sz w:val="32"/>
          <w:szCs w:val="32"/>
        </w:rPr>
        <w:t>（一）“三公”经费财政拨款支出总体情况说明</w:t>
      </w:r>
    </w:p>
    <w:p w:rsidR="00F76A38" w:rsidRDefault="00F76A38" w:rsidP="000B3CAE">
      <w:pPr>
        <w:spacing w:line="576" w:lineRule="exact"/>
        <w:ind w:firstLineChars="200" w:firstLine="640"/>
        <w:rPr>
          <w:rFonts w:ascii="仿宋_GB2312" w:eastAsia="仿宋_GB2312"/>
          <w:sz w:val="32"/>
          <w:szCs w:val="32"/>
        </w:rPr>
      </w:pPr>
      <w:r>
        <w:rPr>
          <w:rFonts w:ascii="仿宋_GB2312" w:eastAsia="仿宋_GB2312" w:hAnsi="黑体" w:hint="eastAsia"/>
          <w:sz w:val="32"/>
          <w:szCs w:val="32"/>
        </w:rPr>
        <w:t>2017年度“三公”经费财政拨款支出决算为</w:t>
      </w:r>
      <w:r w:rsidR="00735231">
        <w:rPr>
          <w:rFonts w:ascii="仿宋_GB2312" w:eastAsia="仿宋_GB2312" w:hAnsi="黑体" w:hint="eastAsia"/>
          <w:sz w:val="32"/>
          <w:szCs w:val="32"/>
        </w:rPr>
        <w:t>0.18万元，均为公务接待支出，完成预算100%。</w:t>
      </w:r>
      <w:r w:rsidR="00735231" w:rsidRPr="00F76A38">
        <w:rPr>
          <w:rFonts w:ascii="仿宋_GB2312" w:eastAsia="仿宋_GB2312" w:hAnsi="黑体" w:hint="eastAsia"/>
          <w:sz w:val="32"/>
          <w:szCs w:val="32"/>
        </w:rPr>
        <w:t xml:space="preserve"> </w:t>
      </w:r>
      <w:r w:rsidR="00735231">
        <w:rPr>
          <w:rFonts w:ascii="仿宋_GB2312" w:eastAsia="仿宋_GB2312" w:hint="eastAsia"/>
          <w:sz w:val="32"/>
          <w:szCs w:val="32"/>
        </w:rPr>
        <w:t>2017年度“三公”经费与预算数持平的主要原因为单位在年底及时将的“三公”经费指标余额退回财政，故决算数与调整预算数一致。</w:t>
      </w:r>
    </w:p>
    <w:p w:rsidR="00735231" w:rsidRDefault="00735231" w:rsidP="000B3CAE">
      <w:pPr>
        <w:spacing w:line="576" w:lineRule="exact"/>
        <w:ind w:firstLineChars="200" w:firstLine="640"/>
        <w:rPr>
          <w:rFonts w:ascii="仿宋_GB2312" w:eastAsia="仿宋_GB2312"/>
          <w:sz w:val="32"/>
          <w:szCs w:val="32"/>
        </w:rPr>
      </w:pPr>
      <w:r>
        <w:rPr>
          <w:rFonts w:ascii="仿宋_GB2312" w:eastAsia="仿宋_GB2312" w:hAnsi="黑体" w:hint="eastAsia"/>
          <w:sz w:val="32"/>
          <w:szCs w:val="32"/>
        </w:rPr>
        <w:t>2017年度“三公”经费财政拨款支出决算数比2016年减少0.12万元，下降39.63%。</w:t>
      </w:r>
      <w:r w:rsidR="00AC5F50">
        <w:rPr>
          <w:rFonts w:ascii="仿宋_GB2312" w:eastAsia="仿宋_GB2312" w:hAnsi="黑体" w:hint="eastAsia"/>
          <w:sz w:val="32"/>
          <w:szCs w:val="32"/>
        </w:rPr>
        <w:t>公务接待支出下降原因为单位在部门经费预算执行过程中严格贯彻落实中央八项规定、省委省政府十项规定、州委州政府八条意见，厉行节约，切实减少不要的公务接待开支。</w:t>
      </w:r>
    </w:p>
    <w:p w:rsidR="00735231" w:rsidRDefault="00735231" w:rsidP="00735231">
      <w:pPr>
        <w:spacing w:line="576" w:lineRule="exact"/>
        <w:ind w:firstLineChars="200" w:firstLine="643"/>
        <w:rPr>
          <w:rFonts w:ascii="楷体_GB2312" w:eastAsia="楷体_GB2312" w:hAnsi="仿宋"/>
          <w:b/>
          <w:sz w:val="32"/>
          <w:szCs w:val="32"/>
        </w:rPr>
      </w:pPr>
      <w:r w:rsidRPr="00DA23E3">
        <w:rPr>
          <w:rFonts w:ascii="楷体_GB2312" w:eastAsia="楷体_GB2312" w:hAnsi="仿宋" w:hint="eastAsia"/>
          <w:b/>
          <w:sz w:val="32"/>
          <w:szCs w:val="32"/>
        </w:rPr>
        <w:t>（</w:t>
      </w:r>
      <w:r>
        <w:rPr>
          <w:rFonts w:ascii="楷体_GB2312" w:eastAsia="楷体_GB2312" w:hAnsi="仿宋" w:hint="eastAsia"/>
          <w:b/>
          <w:sz w:val="32"/>
          <w:szCs w:val="32"/>
        </w:rPr>
        <w:t>二</w:t>
      </w:r>
      <w:r w:rsidRPr="00DA23E3">
        <w:rPr>
          <w:rFonts w:ascii="楷体_GB2312" w:eastAsia="楷体_GB2312" w:hAnsi="仿宋" w:hint="eastAsia"/>
          <w:b/>
          <w:sz w:val="32"/>
          <w:szCs w:val="32"/>
        </w:rPr>
        <w:t>）“三公”经费财政拨款支出</w:t>
      </w:r>
      <w:r>
        <w:rPr>
          <w:rFonts w:ascii="楷体_GB2312" w:eastAsia="楷体_GB2312" w:hAnsi="仿宋" w:hint="eastAsia"/>
          <w:b/>
          <w:sz w:val="32"/>
          <w:szCs w:val="32"/>
        </w:rPr>
        <w:t>具体</w:t>
      </w:r>
      <w:r w:rsidRPr="00DA23E3">
        <w:rPr>
          <w:rFonts w:ascii="楷体_GB2312" w:eastAsia="楷体_GB2312" w:hAnsi="仿宋" w:hint="eastAsia"/>
          <w:b/>
          <w:sz w:val="32"/>
          <w:szCs w:val="32"/>
        </w:rPr>
        <w:t>情况说明</w:t>
      </w:r>
    </w:p>
    <w:p w:rsidR="000B3CAE" w:rsidRPr="00735231" w:rsidRDefault="00735231" w:rsidP="001D5594">
      <w:pPr>
        <w:spacing w:line="576" w:lineRule="exact"/>
        <w:ind w:firstLineChars="200" w:firstLine="640"/>
        <w:rPr>
          <w:rFonts w:ascii="仿宋_GB2312" w:eastAsia="仿宋_GB2312"/>
          <w:sz w:val="32"/>
          <w:szCs w:val="32"/>
        </w:rPr>
      </w:pPr>
      <w:r>
        <w:rPr>
          <w:rFonts w:ascii="仿宋_GB2312" w:eastAsia="仿宋_GB2312" w:hAnsi="仿宋" w:hint="eastAsia"/>
          <w:sz w:val="32"/>
          <w:szCs w:val="32"/>
        </w:rPr>
        <w:t>2017</w:t>
      </w:r>
      <w:r w:rsidRPr="00CA4F89">
        <w:rPr>
          <w:rFonts w:ascii="仿宋_GB2312" w:eastAsia="仿宋_GB2312" w:hAnsi="仿宋" w:hint="eastAsia"/>
          <w:sz w:val="32"/>
          <w:szCs w:val="32"/>
        </w:rPr>
        <w:t>年度</w:t>
      </w:r>
      <w:r w:rsidR="00C238CF">
        <w:rPr>
          <w:rFonts w:ascii="仿宋_GB2312" w:eastAsia="仿宋_GB2312" w:hAnsi="仿宋" w:hint="eastAsia"/>
          <w:sz w:val="32"/>
          <w:szCs w:val="32"/>
        </w:rPr>
        <w:t>“三公”</w:t>
      </w:r>
      <w:r w:rsidRPr="00CA4F89">
        <w:rPr>
          <w:rFonts w:ascii="仿宋_GB2312" w:eastAsia="仿宋_GB2312" w:hAnsi="仿宋" w:hint="eastAsia"/>
          <w:sz w:val="32"/>
          <w:szCs w:val="32"/>
        </w:rPr>
        <w:t>经费</w:t>
      </w:r>
      <w:r>
        <w:rPr>
          <w:rFonts w:ascii="仿宋_GB2312" w:eastAsia="仿宋_GB2312" w:hAnsi="仿宋" w:hint="eastAsia"/>
          <w:sz w:val="32"/>
          <w:szCs w:val="32"/>
        </w:rPr>
        <w:t>财政拨款</w:t>
      </w:r>
      <w:r w:rsidRPr="00CA4F89">
        <w:rPr>
          <w:rFonts w:ascii="仿宋_GB2312" w:eastAsia="仿宋_GB2312" w:hAnsi="仿宋" w:hint="eastAsia"/>
          <w:sz w:val="32"/>
          <w:szCs w:val="32"/>
        </w:rPr>
        <w:t>支出决算中，</w:t>
      </w:r>
      <w:r>
        <w:rPr>
          <w:rFonts w:ascii="仿宋_GB2312" w:eastAsia="仿宋_GB2312" w:hAnsi="仿宋" w:hint="eastAsia"/>
          <w:sz w:val="32"/>
          <w:szCs w:val="32"/>
        </w:rPr>
        <w:t>公务接待费支出决算</w:t>
      </w:r>
      <w:r w:rsidR="00AC5F50">
        <w:rPr>
          <w:rFonts w:ascii="仿宋_GB2312" w:eastAsia="仿宋_GB2312" w:hAnsi="仿宋" w:hint="eastAsia"/>
          <w:sz w:val="32"/>
          <w:szCs w:val="32"/>
        </w:rPr>
        <w:t>0.18万元，占100%</w:t>
      </w:r>
      <w:r w:rsidR="00C238CF">
        <w:rPr>
          <w:rFonts w:ascii="仿宋_GB2312" w:eastAsia="仿宋_GB2312" w:hAnsi="仿宋" w:hint="eastAsia"/>
          <w:sz w:val="32"/>
          <w:szCs w:val="32"/>
        </w:rPr>
        <w:t>。具体情况如下：</w:t>
      </w:r>
    </w:p>
    <w:p w:rsidR="001D5594" w:rsidRPr="00AC5F50" w:rsidRDefault="00AC5F50" w:rsidP="001D5594">
      <w:pPr>
        <w:tabs>
          <w:tab w:val="left" w:pos="810"/>
        </w:tabs>
        <w:ind w:firstLineChars="450" w:firstLine="945"/>
      </w:pPr>
      <w:r>
        <w:rPr>
          <w:noProof/>
        </w:rPr>
        <w:lastRenderedPageBreak/>
        <w:drawing>
          <wp:inline distT="0" distB="0" distL="0" distR="0">
            <wp:extent cx="4133850" cy="2276475"/>
            <wp:effectExtent l="19050" t="0" r="19050"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238CF" w:rsidRDefault="00C238CF" w:rsidP="00567C42">
      <w:pPr>
        <w:snapToGrid w:val="0"/>
        <w:spacing w:line="576" w:lineRule="exact"/>
        <w:ind w:firstLineChars="200" w:firstLine="640"/>
        <w:rPr>
          <w:rFonts w:ascii="仿宋_GB2312" w:eastAsia="仿宋_GB2312" w:hAnsi="仿宋"/>
          <w:sz w:val="32"/>
          <w:szCs w:val="32"/>
        </w:rPr>
      </w:pPr>
      <w:r>
        <w:rPr>
          <w:rFonts w:ascii="仿宋_GB2312" w:eastAsia="仿宋_GB2312" w:hAnsi="仿宋" w:hint="eastAsia"/>
          <w:sz w:val="32"/>
          <w:szCs w:val="32"/>
        </w:rPr>
        <w:t>2017年公务接待费0.18万元。主要用于执行公务、开展业务活动开支的交通费、住宿费、用餐费等。2017年公务接待</w:t>
      </w:r>
      <w:r w:rsidR="00BD54AE">
        <w:rPr>
          <w:rFonts w:ascii="仿宋_GB2312" w:eastAsia="仿宋_GB2312" w:hAnsi="仿宋" w:hint="eastAsia"/>
          <w:sz w:val="32"/>
          <w:szCs w:val="32"/>
        </w:rPr>
        <w:t>3批次</w:t>
      </w:r>
      <w:r>
        <w:rPr>
          <w:rFonts w:ascii="仿宋_GB2312" w:eastAsia="仿宋_GB2312" w:hAnsi="仿宋" w:hint="eastAsia"/>
          <w:sz w:val="32"/>
          <w:szCs w:val="32"/>
        </w:rPr>
        <w:t>，</w:t>
      </w:r>
      <w:r w:rsidR="00BD54AE">
        <w:rPr>
          <w:rFonts w:ascii="仿宋_GB2312" w:eastAsia="仿宋_GB2312" w:hAnsi="仿宋" w:hint="eastAsia"/>
          <w:sz w:val="32"/>
          <w:szCs w:val="32"/>
        </w:rPr>
        <w:t xml:space="preserve"> </w:t>
      </w:r>
      <w:r>
        <w:rPr>
          <w:rFonts w:ascii="仿宋_GB2312" w:eastAsia="仿宋_GB2312" w:hAnsi="仿宋" w:hint="eastAsia"/>
          <w:sz w:val="32"/>
          <w:szCs w:val="32"/>
        </w:rPr>
        <w:t>26人，主要用于</w:t>
      </w:r>
      <w:r w:rsidR="00BD54AE">
        <w:rPr>
          <w:rFonts w:ascii="仿宋_GB2312" w:eastAsia="仿宋_GB2312" w:hAnsi="仿宋" w:hint="eastAsia"/>
          <w:sz w:val="32"/>
          <w:szCs w:val="32"/>
        </w:rPr>
        <w:t>因上级部门检查本单位基金工作发生的公务接待。</w:t>
      </w:r>
    </w:p>
    <w:p w:rsidR="00C238CF" w:rsidRPr="00567C42" w:rsidRDefault="00C238CF" w:rsidP="00567C42">
      <w:pPr>
        <w:spacing w:line="576" w:lineRule="exact"/>
        <w:ind w:firstLineChars="196" w:firstLine="627"/>
        <w:rPr>
          <w:rFonts w:ascii="黑体" w:eastAsia="黑体" w:hAnsi="黑体"/>
          <w:sz w:val="32"/>
          <w:szCs w:val="32"/>
        </w:rPr>
      </w:pPr>
      <w:r w:rsidRPr="00567C42">
        <w:rPr>
          <w:rFonts w:ascii="黑体" w:eastAsia="黑体" w:hAnsi="黑体" w:hint="eastAsia"/>
          <w:sz w:val="32"/>
          <w:szCs w:val="32"/>
        </w:rPr>
        <w:t>八、政府性基金预算财政拨款支出决算情况</w:t>
      </w:r>
    </w:p>
    <w:p w:rsidR="00C238CF" w:rsidRPr="00944482" w:rsidRDefault="00C238CF" w:rsidP="00C238CF">
      <w:pPr>
        <w:spacing w:line="576" w:lineRule="exact"/>
        <w:ind w:firstLineChars="200" w:firstLine="640"/>
        <w:rPr>
          <w:rFonts w:ascii="仿宋_GB2312" w:eastAsia="仿宋_GB2312" w:hAnsi="黑体"/>
          <w:sz w:val="32"/>
          <w:szCs w:val="32"/>
        </w:rPr>
      </w:pPr>
      <w:r>
        <w:rPr>
          <w:rFonts w:ascii="仿宋_GB2312" w:eastAsia="仿宋_GB2312" w:hAnsi="黑体" w:hint="eastAsia"/>
          <w:sz w:val="32"/>
          <w:szCs w:val="32"/>
        </w:rPr>
        <w:t>我局2017年无政府性基金预算财政拨款支出。</w:t>
      </w:r>
    </w:p>
    <w:p w:rsidR="00C238CF" w:rsidRPr="00567C42" w:rsidRDefault="00C238CF" w:rsidP="00567C42">
      <w:pPr>
        <w:spacing w:line="576" w:lineRule="exact"/>
        <w:ind w:firstLineChars="200" w:firstLine="640"/>
        <w:rPr>
          <w:rFonts w:ascii="黑体" w:eastAsia="黑体" w:hAnsi="黑体"/>
          <w:sz w:val="32"/>
          <w:szCs w:val="32"/>
        </w:rPr>
      </w:pPr>
      <w:r w:rsidRPr="00567C42">
        <w:rPr>
          <w:rFonts w:ascii="黑体" w:eastAsia="黑体" w:hAnsi="黑体" w:hint="eastAsia"/>
          <w:sz w:val="32"/>
          <w:szCs w:val="32"/>
        </w:rPr>
        <w:t>九、其他重要事项的情况说明</w:t>
      </w:r>
    </w:p>
    <w:p w:rsidR="00C238CF" w:rsidRPr="00FC475F" w:rsidRDefault="00C238CF" w:rsidP="00C238CF">
      <w:pPr>
        <w:spacing w:line="576" w:lineRule="exact"/>
        <w:ind w:firstLineChars="200" w:firstLine="643"/>
        <w:rPr>
          <w:rFonts w:ascii="楷体_GB2312" w:eastAsia="楷体_GB2312" w:hAnsi="黑体"/>
          <w:b/>
          <w:sz w:val="32"/>
          <w:szCs w:val="32"/>
        </w:rPr>
      </w:pPr>
      <w:r w:rsidRPr="00FC475F">
        <w:rPr>
          <w:rFonts w:ascii="楷体_GB2312" w:eastAsia="楷体_GB2312" w:hAnsi="黑体" w:hint="eastAsia"/>
          <w:b/>
          <w:sz w:val="32"/>
          <w:szCs w:val="32"/>
        </w:rPr>
        <w:t>（一）机关运行经费支出情况</w:t>
      </w:r>
    </w:p>
    <w:p w:rsidR="00C238CF" w:rsidRDefault="00C238CF" w:rsidP="00C238CF">
      <w:pPr>
        <w:spacing w:line="576" w:lineRule="exact"/>
        <w:ind w:firstLineChars="200" w:firstLine="640"/>
        <w:rPr>
          <w:rFonts w:ascii="仿宋_GB2312" w:eastAsia="仿宋_GB2312" w:hAnsi="黑体"/>
          <w:sz w:val="32"/>
          <w:szCs w:val="32"/>
        </w:rPr>
      </w:pPr>
      <w:r>
        <w:rPr>
          <w:rFonts w:ascii="仿宋_GB2312" w:eastAsia="仿宋_GB2312" w:hAnsi="黑体" w:hint="eastAsia"/>
          <w:sz w:val="32"/>
          <w:szCs w:val="32"/>
        </w:rPr>
        <w:t>我局单位基本性质为财政补助事业单位，故不涉及机关运行经费支出。</w:t>
      </w:r>
    </w:p>
    <w:p w:rsidR="00C238CF" w:rsidRDefault="00C238CF" w:rsidP="00C238CF">
      <w:pPr>
        <w:spacing w:line="576" w:lineRule="exact"/>
        <w:ind w:firstLineChars="200" w:firstLine="643"/>
        <w:rPr>
          <w:rFonts w:ascii="楷体_GB2312" w:eastAsia="楷体_GB2312" w:hAnsi="黑体"/>
          <w:b/>
          <w:sz w:val="32"/>
          <w:szCs w:val="32"/>
        </w:rPr>
      </w:pPr>
      <w:r w:rsidRPr="00FC475F">
        <w:rPr>
          <w:rFonts w:ascii="楷体_GB2312" w:eastAsia="楷体_GB2312" w:hAnsi="黑体" w:hint="eastAsia"/>
          <w:b/>
          <w:sz w:val="32"/>
          <w:szCs w:val="32"/>
        </w:rPr>
        <w:t>（二）政府采购支出情况</w:t>
      </w:r>
    </w:p>
    <w:p w:rsidR="00C238CF" w:rsidRDefault="00C238CF" w:rsidP="00C238CF">
      <w:pPr>
        <w:spacing w:line="576" w:lineRule="exact"/>
        <w:ind w:firstLineChars="200" w:firstLine="640"/>
        <w:rPr>
          <w:rFonts w:ascii="楷体_GB2312" w:eastAsia="楷体_GB2312" w:hAnsi="黑体"/>
          <w:sz w:val="32"/>
          <w:szCs w:val="32"/>
        </w:rPr>
      </w:pPr>
      <w:r>
        <w:rPr>
          <w:rFonts w:ascii="楷体_GB2312" w:eastAsia="楷体_GB2312" w:hAnsi="黑体" w:hint="eastAsia"/>
          <w:sz w:val="32"/>
          <w:szCs w:val="32"/>
        </w:rPr>
        <w:t>2017</w:t>
      </w:r>
      <w:r w:rsidRPr="00FC475F">
        <w:rPr>
          <w:rFonts w:ascii="楷体_GB2312" w:eastAsia="楷体_GB2312" w:hAnsi="黑体" w:hint="eastAsia"/>
          <w:sz w:val="32"/>
          <w:szCs w:val="32"/>
        </w:rPr>
        <w:t>年度</w:t>
      </w:r>
      <w:r>
        <w:rPr>
          <w:rFonts w:ascii="楷体_GB2312" w:eastAsia="楷体_GB2312" w:hAnsi="黑体" w:hint="eastAsia"/>
          <w:sz w:val="32"/>
          <w:szCs w:val="32"/>
        </w:rPr>
        <w:t>单位</w:t>
      </w:r>
      <w:r w:rsidRPr="00FC475F">
        <w:rPr>
          <w:rFonts w:ascii="楷体_GB2312" w:eastAsia="楷体_GB2312" w:hAnsi="黑体" w:hint="eastAsia"/>
          <w:sz w:val="32"/>
          <w:szCs w:val="32"/>
        </w:rPr>
        <w:t>无政府采购支出</w:t>
      </w:r>
      <w:r>
        <w:rPr>
          <w:rFonts w:ascii="楷体_GB2312" w:eastAsia="楷体_GB2312" w:hAnsi="黑体" w:hint="eastAsia"/>
          <w:sz w:val="32"/>
          <w:szCs w:val="32"/>
        </w:rPr>
        <w:t>。</w:t>
      </w:r>
    </w:p>
    <w:p w:rsidR="00C238CF" w:rsidRDefault="00C238CF" w:rsidP="00C238CF">
      <w:pPr>
        <w:spacing w:line="576" w:lineRule="exact"/>
        <w:ind w:firstLineChars="200" w:firstLine="643"/>
        <w:rPr>
          <w:rFonts w:ascii="楷体_GB2312" w:eastAsia="楷体_GB2312" w:hAnsi="黑体"/>
          <w:b/>
          <w:sz w:val="32"/>
          <w:szCs w:val="32"/>
        </w:rPr>
      </w:pPr>
      <w:r w:rsidRPr="00FC475F">
        <w:rPr>
          <w:rFonts w:ascii="楷体_GB2312" w:eastAsia="楷体_GB2312" w:hAnsi="黑体" w:hint="eastAsia"/>
          <w:b/>
          <w:sz w:val="32"/>
          <w:szCs w:val="32"/>
        </w:rPr>
        <w:t>（三）国有资产占有使用情况</w:t>
      </w:r>
    </w:p>
    <w:p w:rsidR="00C238CF" w:rsidRDefault="00C238CF" w:rsidP="00C238CF">
      <w:pPr>
        <w:spacing w:line="576" w:lineRule="exact"/>
        <w:ind w:firstLineChars="200" w:firstLine="640"/>
        <w:rPr>
          <w:rFonts w:ascii="仿宋_GB2312" w:eastAsia="仿宋_GB2312" w:hAnsi="黑体"/>
          <w:sz w:val="32"/>
          <w:szCs w:val="32"/>
        </w:rPr>
      </w:pPr>
      <w:r w:rsidRPr="00FC475F">
        <w:rPr>
          <w:rFonts w:ascii="仿宋_GB2312" w:eastAsia="仿宋_GB2312" w:hAnsi="黑体" w:hint="eastAsia"/>
          <w:sz w:val="32"/>
          <w:szCs w:val="32"/>
        </w:rPr>
        <w:t>截止201</w:t>
      </w:r>
      <w:r>
        <w:rPr>
          <w:rFonts w:ascii="仿宋_GB2312" w:eastAsia="仿宋_GB2312" w:hAnsi="黑体" w:hint="eastAsia"/>
          <w:sz w:val="32"/>
          <w:szCs w:val="32"/>
        </w:rPr>
        <w:t>7</w:t>
      </w:r>
      <w:r w:rsidRPr="00FC475F">
        <w:rPr>
          <w:rFonts w:ascii="仿宋_GB2312" w:eastAsia="仿宋_GB2312" w:hAnsi="黑体" w:hint="eastAsia"/>
          <w:sz w:val="32"/>
          <w:szCs w:val="32"/>
        </w:rPr>
        <w:t>年12月31日，单位</w:t>
      </w:r>
      <w:r>
        <w:rPr>
          <w:rFonts w:ascii="仿宋_GB2312" w:eastAsia="仿宋_GB2312" w:hAnsi="黑体" w:hint="eastAsia"/>
          <w:sz w:val="32"/>
          <w:szCs w:val="32"/>
        </w:rPr>
        <w:t>持有</w:t>
      </w:r>
      <w:r w:rsidRPr="00FC475F">
        <w:rPr>
          <w:rFonts w:ascii="仿宋_GB2312" w:eastAsia="仿宋_GB2312" w:hAnsi="黑体" w:hint="eastAsia"/>
          <w:sz w:val="32"/>
          <w:szCs w:val="32"/>
        </w:rPr>
        <w:t>一般公务用车1</w:t>
      </w:r>
      <w:r>
        <w:rPr>
          <w:rFonts w:ascii="仿宋_GB2312" w:eastAsia="仿宋_GB2312" w:hAnsi="黑体" w:hint="eastAsia"/>
          <w:sz w:val="32"/>
          <w:szCs w:val="32"/>
        </w:rPr>
        <w:t>辆，</w:t>
      </w:r>
      <w:proofErr w:type="gramStart"/>
      <w:r>
        <w:rPr>
          <w:rFonts w:ascii="仿宋_GB2312" w:eastAsia="仿宋_GB2312" w:hAnsi="黑体" w:hint="eastAsia"/>
          <w:sz w:val="32"/>
          <w:szCs w:val="32"/>
        </w:rPr>
        <w:t>卫计局</w:t>
      </w:r>
      <w:proofErr w:type="gramEnd"/>
      <w:r>
        <w:rPr>
          <w:rFonts w:ascii="仿宋_GB2312" w:eastAsia="仿宋_GB2312" w:hAnsi="黑体" w:hint="eastAsia"/>
          <w:sz w:val="32"/>
          <w:szCs w:val="32"/>
        </w:rPr>
        <w:t>所有我局使用，由于本单位无车编，故公务车运行维护费支出在决算报表中列于其他交通运行费。无单价在50万元以上的通用设备和单价在100万元以上的专用设备。</w:t>
      </w:r>
    </w:p>
    <w:p w:rsidR="00B472DA" w:rsidRPr="00567C42" w:rsidRDefault="00B472DA" w:rsidP="00B472DA">
      <w:pPr>
        <w:autoSpaceDE w:val="0"/>
        <w:autoSpaceDN w:val="0"/>
        <w:adjustRightInd w:val="0"/>
        <w:spacing w:line="600" w:lineRule="exact"/>
        <w:ind w:firstLineChars="200" w:firstLine="643"/>
        <w:jc w:val="left"/>
        <w:rPr>
          <w:rFonts w:ascii="楷体_GB2312" w:eastAsia="楷体_GB2312"/>
          <w:b/>
          <w:color w:val="000000"/>
          <w:sz w:val="32"/>
          <w:szCs w:val="32"/>
        </w:rPr>
      </w:pPr>
      <w:r w:rsidRPr="00567C42">
        <w:rPr>
          <w:rFonts w:ascii="楷体_GB2312" w:eastAsia="楷体_GB2312" w:hint="eastAsia"/>
          <w:b/>
          <w:color w:val="000000"/>
          <w:sz w:val="32"/>
          <w:szCs w:val="32"/>
        </w:rPr>
        <w:lastRenderedPageBreak/>
        <w:t>（四）预算绩效情况</w:t>
      </w:r>
    </w:p>
    <w:p w:rsidR="00B472DA" w:rsidRDefault="00B472DA" w:rsidP="00B472DA">
      <w:pPr>
        <w:spacing w:line="560" w:lineRule="exact"/>
        <w:ind w:firstLineChars="200" w:firstLine="640"/>
        <w:rPr>
          <w:rFonts w:ascii="黑体" w:eastAsia="黑体"/>
          <w:sz w:val="32"/>
          <w:szCs w:val="32"/>
        </w:rPr>
      </w:pPr>
      <w:r>
        <w:rPr>
          <w:rFonts w:ascii="仿宋_GB2312" w:eastAsia="仿宋_GB2312" w:hint="eastAsia"/>
          <w:sz w:val="32"/>
          <w:szCs w:val="32"/>
        </w:rPr>
        <w:t>按照预算绩效管理要求，本部门对2017年一般公共预算项目支出开展了</w:t>
      </w:r>
      <w:r w:rsidR="00567C42">
        <w:rPr>
          <w:rFonts w:ascii="仿宋_GB2312" w:eastAsia="仿宋_GB2312" w:hint="eastAsia"/>
          <w:sz w:val="32"/>
          <w:szCs w:val="32"/>
        </w:rPr>
        <w:t>部门整体</w:t>
      </w:r>
      <w:r>
        <w:rPr>
          <w:rFonts w:ascii="仿宋_GB2312" w:eastAsia="仿宋_GB2312" w:hint="eastAsia"/>
          <w:sz w:val="32"/>
          <w:szCs w:val="32"/>
        </w:rPr>
        <w:t>绩效自评，共编制绩效目标4个，涉及财政资金168.92万元，覆盖率达到100%。</w:t>
      </w:r>
    </w:p>
    <w:p w:rsidR="00B472DA" w:rsidRPr="00503DFF" w:rsidRDefault="00B472DA" w:rsidP="00567C42">
      <w:pPr>
        <w:spacing w:line="576" w:lineRule="exact"/>
        <w:ind w:firstLineChars="200" w:firstLine="640"/>
      </w:pPr>
      <w:r w:rsidRPr="00503DFF">
        <w:rPr>
          <w:rFonts w:ascii="黑体" w:eastAsia="黑体"/>
          <w:sz w:val="32"/>
          <w:szCs w:val="32"/>
        </w:rPr>
        <w:t>十、名词解释</w:t>
      </w:r>
    </w:p>
    <w:p w:rsidR="00B472DA" w:rsidRPr="00535E0A" w:rsidRDefault="00B472DA" w:rsidP="00567C42">
      <w:pPr>
        <w:spacing w:line="576" w:lineRule="exact"/>
        <w:ind w:firstLineChars="200" w:firstLine="643"/>
        <w:rPr>
          <w:rFonts w:ascii="仿宋_GB2312" w:eastAsia="仿宋_GB2312"/>
          <w:sz w:val="32"/>
          <w:szCs w:val="32"/>
        </w:rPr>
      </w:pPr>
      <w:r w:rsidRPr="00567C42">
        <w:rPr>
          <w:rFonts w:ascii="楷体_GB2312" w:eastAsia="楷体_GB2312" w:hint="eastAsia"/>
          <w:b/>
          <w:sz w:val="32"/>
          <w:szCs w:val="32"/>
        </w:rPr>
        <w:t>（一）财政拨款收入</w:t>
      </w:r>
      <w:r w:rsidRPr="00535E0A">
        <w:rPr>
          <w:rFonts w:ascii="仿宋_GB2312" w:eastAsia="仿宋_GB2312" w:hint="eastAsia"/>
          <w:b/>
          <w:sz w:val="32"/>
          <w:szCs w:val="32"/>
        </w:rPr>
        <w:t>：</w:t>
      </w:r>
      <w:r w:rsidRPr="00535E0A">
        <w:rPr>
          <w:rFonts w:ascii="仿宋_GB2312" w:eastAsia="仿宋_GB2312" w:hint="eastAsia"/>
          <w:sz w:val="32"/>
          <w:szCs w:val="32"/>
        </w:rPr>
        <w:t>指由财政拨款形成的部门收入。按现行管理制度，部门预算中反映的财政拨款仅包括一般公共预算拨款和政府性基金预算拨款。</w:t>
      </w:r>
    </w:p>
    <w:p w:rsidR="00B472DA" w:rsidRPr="00535E0A" w:rsidRDefault="00B472DA" w:rsidP="00567C42">
      <w:pPr>
        <w:spacing w:line="576" w:lineRule="exact"/>
        <w:ind w:firstLineChars="200" w:firstLine="643"/>
        <w:rPr>
          <w:rFonts w:ascii="仿宋_GB2312" w:eastAsia="仿宋_GB2312"/>
          <w:sz w:val="32"/>
          <w:szCs w:val="32"/>
        </w:rPr>
      </w:pPr>
      <w:r w:rsidRPr="00567C42">
        <w:rPr>
          <w:rFonts w:ascii="楷体_GB2312" w:eastAsia="楷体_GB2312" w:hint="eastAsia"/>
          <w:b/>
          <w:sz w:val="32"/>
          <w:szCs w:val="32"/>
        </w:rPr>
        <w:t>（二）事业收入：</w:t>
      </w:r>
      <w:r w:rsidRPr="00535E0A">
        <w:rPr>
          <w:rFonts w:ascii="仿宋_GB2312" w:eastAsia="仿宋_GB2312" w:hint="eastAsia"/>
          <w:sz w:val="32"/>
          <w:szCs w:val="32"/>
        </w:rPr>
        <w:t>指所属事业单位开展专业业务活动及辅助活动所取得的收入。</w:t>
      </w:r>
    </w:p>
    <w:p w:rsidR="00B472DA" w:rsidRPr="00535E0A" w:rsidRDefault="00B472DA" w:rsidP="00567C42">
      <w:pPr>
        <w:spacing w:line="576" w:lineRule="exact"/>
        <w:ind w:firstLineChars="200" w:firstLine="643"/>
        <w:rPr>
          <w:rFonts w:ascii="仿宋_GB2312" w:eastAsia="仿宋_GB2312"/>
          <w:sz w:val="32"/>
          <w:szCs w:val="32"/>
        </w:rPr>
      </w:pPr>
      <w:r w:rsidRPr="00567C42">
        <w:rPr>
          <w:rFonts w:ascii="楷体_GB2312" w:eastAsia="楷体_GB2312" w:hint="eastAsia"/>
          <w:b/>
          <w:sz w:val="32"/>
          <w:szCs w:val="32"/>
        </w:rPr>
        <w:t>（三）事业单位经营收入：</w:t>
      </w:r>
      <w:r w:rsidRPr="00535E0A">
        <w:rPr>
          <w:rFonts w:ascii="仿宋_GB2312" w:eastAsia="仿宋_GB2312" w:hint="eastAsia"/>
          <w:sz w:val="32"/>
          <w:szCs w:val="32"/>
        </w:rPr>
        <w:t>指所属事业单位在专业业务活动及其辅助活动之外开展非独立核算经营活动取得的收入。</w:t>
      </w:r>
    </w:p>
    <w:p w:rsidR="00B472DA" w:rsidRPr="00535E0A" w:rsidRDefault="00B472DA" w:rsidP="00567C42">
      <w:pPr>
        <w:spacing w:line="576" w:lineRule="exact"/>
        <w:ind w:firstLineChars="200" w:firstLine="643"/>
        <w:rPr>
          <w:rFonts w:ascii="仿宋_GB2312" w:eastAsia="仿宋_GB2312"/>
          <w:sz w:val="32"/>
          <w:szCs w:val="32"/>
        </w:rPr>
      </w:pPr>
      <w:r w:rsidRPr="00567C42">
        <w:rPr>
          <w:rFonts w:ascii="楷体_GB2312" w:eastAsia="楷体_GB2312" w:hint="eastAsia"/>
          <w:b/>
          <w:sz w:val="32"/>
          <w:szCs w:val="32"/>
        </w:rPr>
        <w:t>（四）其他收入：</w:t>
      </w:r>
      <w:r w:rsidRPr="00535E0A">
        <w:rPr>
          <w:rFonts w:ascii="仿宋_GB2312" w:eastAsia="仿宋_GB2312" w:hint="eastAsia"/>
          <w:sz w:val="32"/>
          <w:szCs w:val="32"/>
        </w:rPr>
        <w:t>指除上述“财政拨款收入”、“事业收入”、“事业单位经营收入”等以外的收入，主要是所属行政事业单位按规定动用的售房收入、存款利息收入等。</w:t>
      </w:r>
    </w:p>
    <w:p w:rsidR="00B472DA" w:rsidRPr="00535E0A" w:rsidRDefault="00B472DA" w:rsidP="00567C42">
      <w:pPr>
        <w:spacing w:line="576" w:lineRule="exact"/>
        <w:ind w:firstLineChars="200" w:firstLine="643"/>
        <w:rPr>
          <w:rFonts w:ascii="仿宋_GB2312" w:eastAsia="仿宋_GB2312"/>
          <w:sz w:val="32"/>
          <w:szCs w:val="32"/>
        </w:rPr>
      </w:pPr>
      <w:r w:rsidRPr="00567C42">
        <w:rPr>
          <w:rFonts w:ascii="楷体_GB2312" w:eastAsia="楷体_GB2312" w:hint="eastAsia"/>
          <w:b/>
          <w:sz w:val="32"/>
          <w:szCs w:val="32"/>
        </w:rPr>
        <w:t>（五）用事业基金弥补收支差额</w:t>
      </w:r>
      <w:r w:rsidRPr="00535E0A">
        <w:rPr>
          <w:rFonts w:ascii="仿宋_GB2312" w:eastAsia="仿宋_GB2312" w:hint="eastAsia"/>
          <w:b/>
          <w:sz w:val="32"/>
          <w:szCs w:val="32"/>
        </w:rPr>
        <w:t>：</w:t>
      </w:r>
      <w:r w:rsidRPr="00535E0A">
        <w:rPr>
          <w:rFonts w:ascii="仿宋_GB2312" w:eastAsia="仿宋_GB2312" w:hint="eastAsia"/>
          <w:sz w:val="32"/>
          <w:szCs w:val="32"/>
        </w:rPr>
        <w:t>指所属事业单位在预计用当年的“财政拨款收入”、“事业收入”、“事业单位经营收入”、“其他收入”不足以安排当年支出的情况下，使用以前年度积累的事业基金弥补本年度收支缺口的资金。</w:t>
      </w:r>
    </w:p>
    <w:p w:rsidR="00B472DA" w:rsidRDefault="00B472DA" w:rsidP="00567C42">
      <w:pPr>
        <w:spacing w:line="576" w:lineRule="exact"/>
        <w:ind w:firstLineChars="200" w:firstLine="643"/>
        <w:rPr>
          <w:rFonts w:ascii="仿宋_GB2312" w:eastAsia="仿宋_GB2312"/>
          <w:sz w:val="32"/>
          <w:szCs w:val="32"/>
        </w:rPr>
      </w:pPr>
      <w:r w:rsidRPr="00567C42">
        <w:rPr>
          <w:rFonts w:ascii="楷体_GB2312" w:eastAsia="楷体_GB2312" w:hint="eastAsia"/>
          <w:b/>
          <w:sz w:val="32"/>
          <w:szCs w:val="32"/>
        </w:rPr>
        <w:t>（六）上年结转：</w:t>
      </w:r>
      <w:r w:rsidRPr="00535E0A">
        <w:rPr>
          <w:rFonts w:ascii="仿宋_GB2312" w:eastAsia="仿宋_GB2312" w:hint="eastAsia"/>
          <w:sz w:val="32"/>
          <w:szCs w:val="32"/>
        </w:rPr>
        <w:t>指所属行政事业单位以前年度尚未完成、结转至本年按原规定用途继续使用的资金和以前年度已完成项目剩余资金经批准用于新用途使用的资金。</w:t>
      </w:r>
    </w:p>
    <w:p w:rsidR="00B472DA" w:rsidRDefault="00B472DA" w:rsidP="00567C42">
      <w:pPr>
        <w:spacing w:line="576" w:lineRule="exact"/>
        <w:ind w:firstLineChars="200" w:firstLine="643"/>
        <w:rPr>
          <w:rFonts w:ascii="仿宋_GB2312" w:eastAsia="仿宋_GB2312"/>
          <w:sz w:val="32"/>
          <w:szCs w:val="32"/>
        </w:rPr>
      </w:pPr>
      <w:r w:rsidRPr="00567C42">
        <w:rPr>
          <w:rFonts w:ascii="楷体_GB2312" w:eastAsia="楷体_GB2312" w:hint="eastAsia"/>
          <w:b/>
          <w:sz w:val="32"/>
          <w:szCs w:val="32"/>
        </w:rPr>
        <w:t>（七）基本支出：</w:t>
      </w:r>
      <w:r w:rsidRPr="0043752F">
        <w:rPr>
          <w:rFonts w:ascii="仿宋_GB2312" w:eastAsia="仿宋_GB2312" w:hint="eastAsia"/>
          <w:sz w:val="32"/>
          <w:szCs w:val="32"/>
        </w:rPr>
        <w:t>指为保证机构正常运转，完成日常工</w:t>
      </w:r>
      <w:r w:rsidRPr="0043752F">
        <w:rPr>
          <w:rFonts w:ascii="仿宋_GB2312" w:eastAsia="仿宋_GB2312" w:hint="eastAsia"/>
          <w:sz w:val="32"/>
          <w:szCs w:val="32"/>
        </w:rPr>
        <w:lastRenderedPageBreak/>
        <w:t>作任务而发生的人员支出和公用支出。</w:t>
      </w:r>
      <w:r w:rsidRPr="0043752F">
        <w:rPr>
          <w:rFonts w:ascii="仿宋_GB2312" w:eastAsia="仿宋_GB2312" w:hint="eastAsia"/>
          <w:sz w:val="32"/>
          <w:szCs w:val="32"/>
        </w:rPr>
        <w:br/>
        <w:t xml:space="preserve">　　</w:t>
      </w:r>
      <w:r w:rsidRPr="00567C42">
        <w:rPr>
          <w:rFonts w:ascii="楷体_GB2312" w:eastAsia="楷体_GB2312" w:hint="eastAsia"/>
          <w:b/>
          <w:sz w:val="32"/>
          <w:szCs w:val="32"/>
        </w:rPr>
        <w:t>（八）项目支出：</w:t>
      </w:r>
      <w:r w:rsidRPr="0043752F">
        <w:rPr>
          <w:rFonts w:ascii="仿宋_GB2312" w:eastAsia="仿宋_GB2312" w:hint="eastAsia"/>
          <w:sz w:val="32"/>
          <w:szCs w:val="32"/>
        </w:rPr>
        <w:t>指在基本支出之外为完成特定行政任务和事业发展目标所发生的支出。</w:t>
      </w:r>
      <w:r w:rsidRPr="0043752F">
        <w:rPr>
          <w:rFonts w:ascii="仿宋_GB2312" w:eastAsia="仿宋_GB2312" w:hint="eastAsia"/>
          <w:sz w:val="32"/>
          <w:szCs w:val="32"/>
        </w:rPr>
        <w:br/>
        <w:t xml:space="preserve">　　</w:t>
      </w:r>
      <w:r w:rsidRPr="00567C42">
        <w:rPr>
          <w:rFonts w:ascii="楷体_GB2312" w:eastAsia="楷体_GB2312" w:hint="eastAsia"/>
          <w:b/>
          <w:sz w:val="32"/>
          <w:szCs w:val="32"/>
        </w:rPr>
        <w:t>（九）“三公”经费：</w:t>
      </w:r>
      <w:r w:rsidRPr="0043752F">
        <w:rPr>
          <w:rFonts w:ascii="仿宋_GB2312" w:eastAsia="仿宋_GB2312" w:hint="eastAsia"/>
          <w:sz w:val="32"/>
          <w:szCs w:val="32"/>
        </w:rPr>
        <w:t>纳入预决算管理的“三公”经费，是指部门用财政拨款安排的因公出国（境）费、公务用车购置及运行费和公务接待费。其中，因公出国（境）</w:t>
      </w:r>
      <w:proofErr w:type="gramStart"/>
      <w:r w:rsidRPr="0043752F">
        <w:rPr>
          <w:rFonts w:ascii="仿宋_GB2312" w:eastAsia="仿宋_GB2312" w:hint="eastAsia"/>
          <w:sz w:val="32"/>
          <w:szCs w:val="32"/>
        </w:rPr>
        <w:t>费反映</w:t>
      </w:r>
      <w:proofErr w:type="gramEnd"/>
      <w:r w:rsidRPr="0043752F">
        <w:rPr>
          <w:rFonts w:ascii="仿宋_GB2312" w:eastAsia="仿宋_GB2312" w:hint="eastAsia"/>
          <w:sz w:val="32"/>
          <w:szCs w:val="32"/>
        </w:rPr>
        <w:t>单位公务出国（境）的国际旅费、国外城市间交通费、住宿费、伙食费、培训费、公杂费等支出；公务用车购置及运行</w:t>
      </w:r>
      <w:proofErr w:type="gramStart"/>
      <w:r w:rsidRPr="0043752F">
        <w:rPr>
          <w:rFonts w:ascii="仿宋_GB2312" w:eastAsia="仿宋_GB2312" w:hint="eastAsia"/>
          <w:sz w:val="32"/>
          <w:szCs w:val="32"/>
        </w:rPr>
        <w:t>费反映</w:t>
      </w:r>
      <w:proofErr w:type="gramEnd"/>
      <w:r w:rsidRPr="0043752F">
        <w:rPr>
          <w:rFonts w:ascii="仿宋_GB2312" w:eastAsia="仿宋_GB2312" w:hint="eastAsia"/>
          <w:sz w:val="32"/>
          <w:szCs w:val="32"/>
        </w:rPr>
        <w:t>单位公务用车车辆购置支出（</w:t>
      </w:r>
      <w:proofErr w:type="gramStart"/>
      <w:r w:rsidRPr="0043752F">
        <w:rPr>
          <w:rFonts w:ascii="仿宋_GB2312" w:eastAsia="仿宋_GB2312" w:hint="eastAsia"/>
          <w:sz w:val="32"/>
          <w:szCs w:val="32"/>
        </w:rPr>
        <w:t>含车辆</w:t>
      </w:r>
      <w:proofErr w:type="gramEnd"/>
      <w:r w:rsidRPr="0043752F">
        <w:rPr>
          <w:rFonts w:ascii="仿宋_GB2312" w:eastAsia="仿宋_GB2312" w:hint="eastAsia"/>
          <w:sz w:val="32"/>
          <w:szCs w:val="32"/>
        </w:rPr>
        <w:t>购置税）及租用费、燃料费、维修费、过路过桥费、保险费等支出；公务接待</w:t>
      </w:r>
      <w:proofErr w:type="gramStart"/>
      <w:r w:rsidRPr="0043752F">
        <w:rPr>
          <w:rFonts w:ascii="仿宋_GB2312" w:eastAsia="仿宋_GB2312" w:hint="eastAsia"/>
          <w:sz w:val="32"/>
          <w:szCs w:val="32"/>
        </w:rPr>
        <w:t>费反映</w:t>
      </w:r>
      <w:proofErr w:type="gramEnd"/>
      <w:r w:rsidRPr="0043752F">
        <w:rPr>
          <w:rFonts w:ascii="仿宋_GB2312" w:eastAsia="仿宋_GB2312" w:hint="eastAsia"/>
          <w:sz w:val="32"/>
          <w:szCs w:val="32"/>
        </w:rPr>
        <w:t>单位按规定开支的各类公务接待（含外宾接待）支出。</w:t>
      </w:r>
    </w:p>
    <w:p w:rsidR="007A0703" w:rsidRDefault="007A0703" w:rsidP="007A0703">
      <w:pPr>
        <w:spacing w:line="576" w:lineRule="exact"/>
        <w:ind w:leftChars="-34" w:left="-71" w:firstLineChars="200" w:firstLine="640"/>
        <w:rPr>
          <w:rFonts w:ascii="仿宋_GB2312" w:eastAsia="仿宋_GB2312"/>
          <w:sz w:val="32"/>
          <w:szCs w:val="32"/>
        </w:rPr>
      </w:pPr>
      <w:r>
        <w:rPr>
          <w:rFonts w:ascii="仿宋_GB2312" w:eastAsia="仿宋_GB2312" w:hint="eastAsia"/>
          <w:sz w:val="32"/>
          <w:szCs w:val="32"/>
        </w:rPr>
        <w:t xml:space="preserve"> 附件：1.2017年度部门决算公开表</w:t>
      </w:r>
    </w:p>
    <w:p w:rsidR="00B472DA" w:rsidRDefault="007A0703" w:rsidP="007A0703">
      <w:pPr>
        <w:spacing w:line="576" w:lineRule="exact"/>
        <w:ind w:leftChars="-34" w:left="-71" w:firstLineChars="200" w:firstLine="640"/>
        <w:rPr>
          <w:rFonts w:ascii="仿宋_GB2312" w:eastAsia="仿宋_GB2312"/>
          <w:sz w:val="32"/>
          <w:szCs w:val="32"/>
        </w:rPr>
      </w:pPr>
      <w:r>
        <w:rPr>
          <w:rFonts w:ascii="仿宋_GB2312" w:eastAsia="仿宋_GB2312" w:hint="eastAsia"/>
          <w:sz w:val="32"/>
          <w:szCs w:val="32"/>
        </w:rPr>
        <w:t xml:space="preserve">       2.2017年部门决算公开补充表</w:t>
      </w:r>
    </w:p>
    <w:p w:rsidR="00B472DA" w:rsidRDefault="00B472DA" w:rsidP="007A0703">
      <w:pPr>
        <w:spacing w:line="576" w:lineRule="exact"/>
        <w:ind w:leftChars="300" w:left="630" w:firstLineChars="200" w:firstLine="640"/>
        <w:rPr>
          <w:rFonts w:ascii="仿宋_GB2312" w:eastAsia="仿宋_GB2312"/>
          <w:sz w:val="32"/>
          <w:szCs w:val="32"/>
        </w:rPr>
      </w:pPr>
    </w:p>
    <w:p w:rsidR="00B472DA" w:rsidRDefault="00B472DA" w:rsidP="00B472DA">
      <w:pPr>
        <w:spacing w:line="560" w:lineRule="exact"/>
        <w:ind w:leftChars="300" w:left="1270" w:hangingChars="200" w:hanging="640"/>
        <w:rPr>
          <w:rFonts w:ascii="仿宋_GB2312" w:eastAsia="仿宋_GB2312"/>
          <w:sz w:val="32"/>
          <w:szCs w:val="32"/>
        </w:rPr>
      </w:pPr>
    </w:p>
    <w:p w:rsidR="00B472DA" w:rsidRDefault="00B472DA" w:rsidP="00B472DA">
      <w:pPr>
        <w:spacing w:line="560" w:lineRule="exact"/>
        <w:ind w:leftChars="300" w:left="1270" w:hangingChars="200" w:hanging="640"/>
        <w:rPr>
          <w:rFonts w:ascii="仿宋_GB2312" w:eastAsia="仿宋_GB2312"/>
          <w:sz w:val="32"/>
          <w:szCs w:val="32"/>
        </w:rPr>
      </w:pPr>
    </w:p>
    <w:p w:rsidR="00B472DA" w:rsidRDefault="00B472DA" w:rsidP="00B472DA">
      <w:pPr>
        <w:ind w:firstLineChars="1095" w:firstLine="3504"/>
        <w:rPr>
          <w:rFonts w:ascii="仿宋_GB2312" w:eastAsia="仿宋_GB2312" w:hAnsi="黑体"/>
          <w:sz w:val="32"/>
          <w:szCs w:val="32"/>
        </w:rPr>
      </w:pPr>
    </w:p>
    <w:p w:rsidR="00B472DA" w:rsidRDefault="00B472DA" w:rsidP="00B472DA">
      <w:pPr>
        <w:ind w:firstLineChars="1095" w:firstLine="3504"/>
        <w:rPr>
          <w:rFonts w:ascii="仿宋_GB2312" w:eastAsia="仿宋_GB2312" w:hAnsi="黑体"/>
          <w:sz w:val="32"/>
          <w:szCs w:val="32"/>
        </w:rPr>
      </w:pPr>
      <w:r w:rsidRPr="005C3F82">
        <w:rPr>
          <w:rFonts w:ascii="仿宋_GB2312" w:eastAsia="仿宋_GB2312" w:hAnsi="黑体" w:hint="eastAsia"/>
          <w:sz w:val="32"/>
          <w:szCs w:val="32"/>
        </w:rPr>
        <w:t>茂县城乡居民养老保险事业管理局</w:t>
      </w:r>
    </w:p>
    <w:p w:rsidR="0087614A" w:rsidRPr="007A0703" w:rsidRDefault="00B472DA" w:rsidP="007A0703">
      <w:pPr>
        <w:ind w:firstLineChars="1450" w:firstLine="4640"/>
        <w:rPr>
          <w:rFonts w:ascii="仿宋_GB2312" w:eastAsia="仿宋_GB2312" w:hAnsi="黑体"/>
          <w:sz w:val="32"/>
          <w:szCs w:val="32"/>
        </w:rPr>
      </w:pPr>
      <w:r>
        <w:rPr>
          <w:rFonts w:ascii="仿宋_GB2312" w:eastAsia="仿宋_GB2312" w:hAnsi="黑体" w:hint="eastAsia"/>
          <w:sz w:val="32"/>
          <w:szCs w:val="32"/>
        </w:rPr>
        <w:t>2017年9月13日</w:t>
      </w:r>
    </w:p>
    <w:sectPr w:rsidR="0087614A" w:rsidRPr="007A0703" w:rsidSect="00B04EFF">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3E70" w:rsidRDefault="001F3E70" w:rsidP="00017186">
      <w:r>
        <w:separator/>
      </w:r>
    </w:p>
  </w:endnote>
  <w:endnote w:type="continuationSeparator" w:id="0">
    <w:p w:rsidR="001F3E70" w:rsidRDefault="001F3E70" w:rsidP="0001718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77779"/>
      <w:docPartObj>
        <w:docPartGallery w:val="Page Numbers (Bottom of Page)"/>
        <w:docPartUnique/>
      </w:docPartObj>
    </w:sdtPr>
    <w:sdtContent>
      <w:p w:rsidR="00B472DA" w:rsidRDefault="00A011DA">
        <w:pPr>
          <w:pStyle w:val="a5"/>
          <w:jc w:val="center"/>
        </w:pPr>
        <w:fldSimple w:instr=" PAGE   \* MERGEFORMAT ">
          <w:r w:rsidR="00BD54AE" w:rsidRPr="00BD54AE">
            <w:rPr>
              <w:noProof/>
              <w:lang w:val="zh-CN"/>
            </w:rPr>
            <w:t>8</w:t>
          </w:r>
        </w:fldSimple>
      </w:p>
    </w:sdtContent>
  </w:sdt>
  <w:p w:rsidR="00B472DA" w:rsidRDefault="00B472D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3E70" w:rsidRDefault="001F3E70" w:rsidP="00017186">
      <w:r>
        <w:separator/>
      </w:r>
    </w:p>
  </w:footnote>
  <w:footnote w:type="continuationSeparator" w:id="0">
    <w:p w:rsidR="001F3E70" w:rsidRDefault="001F3E70" w:rsidP="0001718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A402A"/>
    <w:rsid w:val="00017186"/>
    <w:rsid w:val="000B3CAE"/>
    <w:rsid w:val="000F1561"/>
    <w:rsid w:val="00156FCE"/>
    <w:rsid w:val="001D3365"/>
    <w:rsid w:val="001D5594"/>
    <w:rsid w:val="001F0E18"/>
    <w:rsid w:val="001F3E70"/>
    <w:rsid w:val="002B2426"/>
    <w:rsid w:val="002F516B"/>
    <w:rsid w:val="003F5680"/>
    <w:rsid w:val="00567C42"/>
    <w:rsid w:val="005A402A"/>
    <w:rsid w:val="005D2DF9"/>
    <w:rsid w:val="007171B5"/>
    <w:rsid w:val="00735231"/>
    <w:rsid w:val="007A0703"/>
    <w:rsid w:val="0087614A"/>
    <w:rsid w:val="008A0BB6"/>
    <w:rsid w:val="00951099"/>
    <w:rsid w:val="00A011DA"/>
    <w:rsid w:val="00AA1BC6"/>
    <w:rsid w:val="00AC5F50"/>
    <w:rsid w:val="00B04EFF"/>
    <w:rsid w:val="00B16EB8"/>
    <w:rsid w:val="00B472DA"/>
    <w:rsid w:val="00BD54AE"/>
    <w:rsid w:val="00C238CF"/>
    <w:rsid w:val="00C95229"/>
    <w:rsid w:val="00D410D9"/>
    <w:rsid w:val="00D60E9D"/>
    <w:rsid w:val="00D74E6D"/>
    <w:rsid w:val="00DA2DD1"/>
    <w:rsid w:val="00F76A38"/>
    <w:rsid w:val="00F847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4E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B2426"/>
    <w:rPr>
      <w:sz w:val="18"/>
      <w:szCs w:val="18"/>
    </w:rPr>
  </w:style>
  <w:style w:type="character" w:customStyle="1" w:styleId="Char">
    <w:name w:val="批注框文本 Char"/>
    <w:basedOn w:val="a0"/>
    <w:link w:val="a3"/>
    <w:uiPriority w:val="99"/>
    <w:semiHidden/>
    <w:rsid w:val="002B2426"/>
    <w:rPr>
      <w:sz w:val="18"/>
      <w:szCs w:val="18"/>
    </w:rPr>
  </w:style>
  <w:style w:type="paragraph" w:styleId="a4">
    <w:name w:val="header"/>
    <w:basedOn w:val="a"/>
    <w:link w:val="Char0"/>
    <w:uiPriority w:val="99"/>
    <w:semiHidden/>
    <w:unhideWhenUsed/>
    <w:rsid w:val="0001718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017186"/>
    <w:rPr>
      <w:sz w:val="18"/>
      <w:szCs w:val="18"/>
    </w:rPr>
  </w:style>
  <w:style w:type="paragraph" w:styleId="a5">
    <w:name w:val="footer"/>
    <w:basedOn w:val="a"/>
    <w:link w:val="Char1"/>
    <w:uiPriority w:val="99"/>
    <w:unhideWhenUsed/>
    <w:rsid w:val="00017186"/>
    <w:pPr>
      <w:tabs>
        <w:tab w:val="center" w:pos="4153"/>
        <w:tab w:val="right" w:pos="8306"/>
      </w:tabs>
      <w:snapToGrid w:val="0"/>
      <w:jc w:val="left"/>
    </w:pPr>
    <w:rPr>
      <w:sz w:val="18"/>
      <w:szCs w:val="18"/>
    </w:rPr>
  </w:style>
  <w:style w:type="character" w:customStyle="1" w:styleId="Char1">
    <w:name w:val="页脚 Char"/>
    <w:basedOn w:val="a0"/>
    <w:link w:val="a5"/>
    <w:uiPriority w:val="99"/>
    <w:rsid w:val="00017186"/>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5.xml"/><Relationship Id="rId5" Type="http://schemas.openxmlformats.org/officeDocument/2006/relationships/endnotes" Target="endnotes.xml"/><Relationship Id="rId10" Type="http://schemas.openxmlformats.org/officeDocument/2006/relationships/chart" Target="charts/chart4.xml"/><Relationship Id="rId4" Type="http://schemas.openxmlformats.org/officeDocument/2006/relationships/footnotes" Target="footnote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Office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___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layout/>
      <c:txPr>
        <a:bodyPr/>
        <a:lstStyle/>
        <a:p>
          <a:pPr>
            <a:defRPr sz="1800"/>
          </a:pPr>
          <a:endParaRPr lang="zh-CN"/>
        </a:p>
      </c:txPr>
    </c:title>
    <c:plotArea>
      <c:layout/>
      <c:pieChart>
        <c:varyColors val="1"/>
        <c:ser>
          <c:idx val="0"/>
          <c:order val="0"/>
          <c:tx>
            <c:strRef>
              <c:f>Sheet1!$B$1</c:f>
              <c:strCache>
                <c:ptCount val="1"/>
                <c:pt idx="0">
                  <c:v>2017年部门决算收入结构图</c:v>
                </c:pt>
              </c:strCache>
            </c:strRef>
          </c:tx>
          <c:dLbls>
            <c:dLbl>
              <c:idx val="0"/>
              <c:layout>
                <c:manualLayout>
                  <c:x val="5.1431218156553979E-4"/>
                  <c:y val="-0.32838403722262099"/>
                </c:manualLayout>
              </c:layout>
              <c:tx>
                <c:rich>
                  <a:bodyPr/>
                  <a:lstStyle/>
                  <a:p>
                    <a:r>
                      <a:rPr lang="en-US" altLang="en-US"/>
                      <a:t>100</a:t>
                    </a:r>
                    <a:r>
                      <a:rPr lang="en-US" altLang="zh-CN"/>
                      <a:t>%</a:t>
                    </a:r>
                    <a:endParaRPr lang="en-US" altLang="en-US"/>
                  </a:p>
                </c:rich>
              </c:tx>
              <c:showVal val="1"/>
            </c:dLbl>
            <c:showVal val="1"/>
            <c:showLeaderLines val="1"/>
          </c:dLbls>
          <c:cat>
            <c:strRef>
              <c:f>Sheet1!$A$2:$A$7</c:f>
              <c:strCache>
                <c:ptCount val="6"/>
                <c:pt idx="0">
                  <c:v>财政补助收入</c:v>
                </c:pt>
                <c:pt idx="1">
                  <c:v>事业收入</c:v>
                </c:pt>
                <c:pt idx="2">
                  <c:v>上级补助收入</c:v>
                </c:pt>
                <c:pt idx="3">
                  <c:v>经营收入</c:v>
                </c:pt>
                <c:pt idx="4">
                  <c:v>附属单位上缴收入</c:v>
                </c:pt>
                <c:pt idx="5">
                  <c:v>其他收入</c:v>
                </c:pt>
              </c:strCache>
            </c:strRef>
          </c:cat>
          <c:val>
            <c:numRef>
              <c:f>Sheet1!$B$2:$B$7</c:f>
              <c:numCache>
                <c:formatCode>General</c:formatCode>
                <c:ptCount val="6"/>
                <c:pt idx="0">
                  <c:v>100</c:v>
                </c:pt>
              </c:numCache>
            </c:numRef>
          </c:val>
        </c:ser>
        <c:firstSliceAng val="0"/>
      </c:pieChart>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en-US" sz="1600"/>
              <a:t>   财政拨款收支情况对比图</a:t>
            </a:r>
          </a:p>
        </c:rich>
      </c:tx>
      <c:layout>
        <c:manualLayout>
          <c:xMode val="edge"/>
          <c:yMode val="edge"/>
          <c:x val="0.19695730694213698"/>
          <c:y val="4.5662100456621044E-2"/>
        </c:manualLayout>
      </c:layout>
    </c:title>
    <c:plotArea>
      <c:layout/>
      <c:barChart>
        <c:barDir val="col"/>
        <c:grouping val="clustered"/>
        <c:ser>
          <c:idx val="0"/>
          <c:order val="0"/>
          <c:tx>
            <c:strRef>
              <c:f>'Sheet1'!$B$1</c:f>
              <c:strCache>
                <c:ptCount val="1"/>
                <c:pt idx="0">
                  <c:v>2016年</c:v>
                </c:pt>
              </c:strCache>
            </c:strRef>
          </c:tx>
          <c:dLbls>
            <c:showVal val="1"/>
          </c:dLbls>
          <c:cat>
            <c:strRef>
              <c:f>'Sheet1'!$A$2:$A$3</c:f>
              <c:strCache>
                <c:ptCount val="2"/>
                <c:pt idx="0">
                  <c:v>财政拨款收入情况</c:v>
                </c:pt>
                <c:pt idx="1">
                  <c:v>财政拨款支出情况</c:v>
                </c:pt>
              </c:strCache>
            </c:strRef>
          </c:cat>
          <c:val>
            <c:numRef>
              <c:f>'Sheet1'!$B$2:$B$3</c:f>
              <c:numCache>
                <c:formatCode>General</c:formatCode>
                <c:ptCount val="2"/>
                <c:pt idx="0">
                  <c:v>160.06</c:v>
                </c:pt>
                <c:pt idx="1">
                  <c:v>173.88000000000014</c:v>
                </c:pt>
              </c:numCache>
            </c:numRef>
          </c:val>
        </c:ser>
        <c:ser>
          <c:idx val="1"/>
          <c:order val="1"/>
          <c:tx>
            <c:strRef>
              <c:f>'Sheet1'!$C$1</c:f>
              <c:strCache>
                <c:ptCount val="1"/>
                <c:pt idx="0">
                  <c:v>2017年</c:v>
                </c:pt>
              </c:strCache>
            </c:strRef>
          </c:tx>
          <c:dLbls>
            <c:showVal val="1"/>
          </c:dLbls>
          <c:cat>
            <c:strRef>
              <c:f>'Sheet1'!$A$2:$A$3</c:f>
              <c:strCache>
                <c:ptCount val="2"/>
                <c:pt idx="0">
                  <c:v>财政拨款收入情况</c:v>
                </c:pt>
                <c:pt idx="1">
                  <c:v>财政拨款支出情况</c:v>
                </c:pt>
              </c:strCache>
            </c:strRef>
          </c:cat>
          <c:val>
            <c:numRef>
              <c:f>'Sheet1'!$C$2:$C$3</c:f>
              <c:numCache>
                <c:formatCode>General</c:formatCode>
                <c:ptCount val="2"/>
                <c:pt idx="0">
                  <c:v>168.92000000000004</c:v>
                </c:pt>
                <c:pt idx="1">
                  <c:v>168.92000000000004</c:v>
                </c:pt>
              </c:numCache>
            </c:numRef>
          </c:val>
        </c:ser>
        <c:axId val="120253440"/>
        <c:axId val="123888384"/>
      </c:barChart>
      <c:catAx>
        <c:axId val="120253440"/>
        <c:scaling>
          <c:orientation val="minMax"/>
        </c:scaling>
        <c:axPos val="b"/>
        <c:majorTickMark val="none"/>
        <c:tickLblPos val="nextTo"/>
        <c:crossAx val="123888384"/>
        <c:crosses val="autoZero"/>
        <c:auto val="1"/>
        <c:lblAlgn val="ctr"/>
        <c:lblOffset val="100"/>
      </c:catAx>
      <c:valAx>
        <c:axId val="123888384"/>
        <c:scaling>
          <c:orientation val="minMax"/>
        </c:scaling>
        <c:axPos val="l"/>
        <c:majorGridlines/>
        <c:numFmt formatCode="General" sourceLinked="1"/>
        <c:majorTickMark val="none"/>
        <c:tickLblPos val="nextTo"/>
        <c:crossAx val="120253440"/>
        <c:crosses val="autoZero"/>
        <c:crossBetween val="between"/>
      </c:valAx>
    </c:plotArea>
    <c:legend>
      <c:legendPos val="r"/>
      <c:layout/>
    </c:legend>
    <c:plotVisOnly val="1"/>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en-US" sz="1600"/>
              <a:t>一般公共预算财政拨款支出总体情况图</a:t>
            </a:r>
          </a:p>
        </c:rich>
      </c:tx>
      <c:layout/>
    </c:title>
    <c:plotArea>
      <c:layout>
        <c:manualLayout>
          <c:layoutTarget val="inner"/>
          <c:xMode val="edge"/>
          <c:yMode val="edge"/>
          <c:x val="7.4610707372149199E-2"/>
          <c:y val="0.16821384169084141"/>
          <c:w val="0.77064696614343953"/>
          <c:h val="0.7098761339043147"/>
        </c:manualLayout>
      </c:layout>
      <c:barChart>
        <c:barDir val="col"/>
        <c:grouping val="clustered"/>
        <c:ser>
          <c:idx val="0"/>
          <c:order val="0"/>
          <c:tx>
            <c:strRef>
              <c:f>Sheet1!$B$1</c:f>
              <c:strCache>
                <c:ptCount val="1"/>
                <c:pt idx="0">
                  <c:v>2016年</c:v>
                </c:pt>
              </c:strCache>
            </c:strRef>
          </c:tx>
          <c:dLbls>
            <c:dLbl>
              <c:idx val="0"/>
              <c:layout/>
              <c:showVal val="1"/>
            </c:dLbl>
            <c:delete val="1"/>
          </c:dLbls>
          <c:cat>
            <c:strRef>
              <c:f>Sheet1!$A$2</c:f>
              <c:strCache>
                <c:ptCount val="1"/>
                <c:pt idx="0">
                  <c:v>一般公共预算财政拨款支出</c:v>
                </c:pt>
              </c:strCache>
            </c:strRef>
          </c:cat>
          <c:val>
            <c:numRef>
              <c:f>Sheet1!$B$2</c:f>
              <c:numCache>
                <c:formatCode>General</c:formatCode>
                <c:ptCount val="1"/>
                <c:pt idx="0">
                  <c:v>173.88000000000014</c:v>
                </c:pt>
              </c:numCache>
            </c:numRef>
          </c:val>
        </c:ser>
        <c:ser>
          <c:idx val="1"/>
          <c:order val="1"/>
          <c:tx>
            <c:strRef>
              <c:f>Sheet1!$C$1</c:f>
              <c:strCache>
                <c:ptCount val="1"/>
                <c:pt idx="0">
                  <c:v>2017年</c:v>
                </c:pt>
              </c:strCache>
            </c:strRef>
          </c:tx>
          <c:dLbls>
            <c:showVal val="1"/>
          </c:dLbls>
          <c:cat>
            <c:strRef>
              <c:f>Sheet1!$A$2</c:f>
              <c:strCache>
                <c:ptCount val="1"/>
                <c:pt idx="0">
                  <c:v>一般公共预算财政拨款支出</c:v>
                </c:pt>
              </c:strCache>
            </c:strRef>
          </c:cat>
          <c:val>
            <c:numRef>
              <c:f>Sheet1!$C$2</c:f>
              <c:numCache>
                <c:formatCode>General</c:formatCode>
                <c:ptCount val="1"/>
                <c:pt idx="0">
                  <c:v>168.92000000000004</c:v>
                </c:pt>
              </c:numCache>
            </c:numRef>
          </c:val>
        </c:ser>
        <c:axId val="79165312"/>
        <c:axId val="79166848"/>
      </c:barChart>
      <c:catAx>
        <c:axId val="79165312"/>
        <c:scaling>
          <c:orientation val="minMax"/>
        </c:scaling>
        <c:axPos val="b"/>
        <c:tickLblPos val="nextTo"/>
        <c:crossAx val="79166848"/>
        <c:crosses val="autoZero"/>
        <c:auto val="1"/>
        <c:lblAlgn val="ctr"/>
        <c:lblOffset val="100"/>
      </c:catAx>
      <c:valAx>
        <c:axId val="79166848"/>
        <c:scaling>
          <c:orientation val="minMax"/>
        </c:scaling>
        <c:axPos val="l"/>
        <c:majorGridlines/>
        <c:numFmt formatCode="General" sourceLinked="1"/>
        <c:tickLblPos val="nextTo"/>
        <c:crossAx val="79165312"/>
        <c:crosses val="autoZero"/>
        <c:crossBetween val="between"/>
      </c:valAx>
    </c:plotArea>
    <c:legend>
      <c:legendPos val="r"/>
      <c:layout/>
    </c:legend>
    <c:plotVisOnly val="1"/>
  </c:chart>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en-US" altLang="zh-CN" sz="1600"/>
              <a:t>2017</a:t>
            </a:r>
            <a:r>
              <a:rPr lang="zh-CN" altLang="en-US" sz="1600"/>
              <a:t>一般公共预算财政拨款支出    结构图</a:t>
            </a:r>
          </a:p>
        </c:rich>
      </c:tx>
      <c:layout/>
    </c:title>
    <c:plotArea>
      <c:layout/>
      <c:pieChart>
        <c:varyColors val="1"/>
        <c:ser>
          <c:idx val="0"/>
          <c:order val="0"/>
          <c:tx>
            <c:strRef>
              <c:f>Sheet1!$B$1</c:f>
              <c:strCache>
                <c:ptCount val="1"/>
                <c:pt idx="0">
                  <c:v>2017年部门决算支出结构图</c:v>
                </c:pt>
              </c:strCache>
            </c:strRef>
          </c:tx>
          <c:dLbls>
            <c:dLbl>
              <c:idx val="0"/>
              <c:layout>
                <c:manualLayout>
                  <c:x val="-9.9434816305530097E-2"/>
                  <c:y val="-0.19067510891035513"/>
                </c:manualLayout>
              </c:layout>
              <c:tx>
                <c:rich>
                  <a:bodyPr/>
                  <a:lstStyle/>
                  <a:p>
                    <a:r>
                      <a:rPr lang="en-US" altLang="en-US"/>
                      <a:t>85.94</a:t>
                    </a:r>
                    <a:r>
                      <a:rPr lang="en-US" altLang="zh-CN"/>
                      <a:t>%</a:t>
                    </a:r>
                    <a:endParaRPr lang="en-US" altLang="en-US"/>
                  </a:p>
                </c:rich>
              </c:tx>
              <c:showVal val="1"/>
            </c:dLbl>
            <c:dLbl>
              <c:idx val="1"/>
              <c:layout/>
              <c:tx>
                <c:rich>
                  <a:bodyPr/>
                  <a:lstStyle/>
                  <a:p>
                    <a:r>
                      <a:rPr lang="en-US" altLang="en-US"/>
                      <a:t>5.83</a:t>
                    </a:r>
                    <a:r>
                      <a:rPr lang="en-US" altLang="zh-CN"/>
                      <a:t>%</a:t>
                    </a:r>
                    <a:endParaRPr lang="en-US" altLang="en-US"/>
                  </a:p>
                </c:rich>
              </c:tx>
              <c:showVal val="1"/>
            </c:dLbl>
            <c:dLbl>
              <c:idx val="2"/>
              <c:layout>
                <c:manualLayout>
                  <c:x val="5.7696931804120152E-2"/>
                  <c:y val="6.1585085369483458E-4"/>
                </c:manualLayout>
              </c:layout>
              <c:tx>
                <c:rich>
                  <a:bodyPr/>
                  <a:lstStyle/>
                  <a:p>
                    <a:r>
                      <a:rPr lang="en-US" altLang="en-US"/>
                      <a:t>8.23</a:t>
                    </a:r>
                    <a:r>
                      <a:rPr lang="en-US" altLang="zh-CN"/>
                      <a:t>%</a:t>
                    </a:r>
                    <a:endParaRPr lang="en-US" altLang="en-US"/>
                  </a:p>
                </c:rich>
              </c:tx>
              <c:showVal val="1"/>
            </c:dLbl>
            <c:showVal val="1"/>
            <c:showLeaderLines val="1"/>
          </c:dLbls>
          <c:cat>
            <c:strRef>
              <c:f>Sheet1!$A$2:$A$4</c:f>
              <c:strCache>
                <c:ptCount val="3"/>
                <c:pt idx="0">
                  <c:v>社会保障和就业支出</c:v>
                </c:pt>
                <c:pt idx="1">
                  <c:v>医疗卫生与计划生育支出</c:v>
                </c:pt>
                <c:pt idx="2">
                  <c:v>住房保障支出</c:v>
                </c:pt>
              </c:strCache>
            </c:strRef>
          </c:cat>
          <c:val>
            <c:numRef>
              <c:f>Sheet1!$B$2:$B$4</c:f>
              <c:numCache>
                <c:formatCode>General</c:formatCode>
                <c:ptCount val="3"/>
                <c:pt idx="0">
                  <c:v>85.940000000000026</c:v>
                </c:pt>
                <c:pt idx="1">
                  <c:v>5.83</c:v>
                </c:pt>
                <c:pt idx="2">
                  <c:v>8.2299999999999986</c:v>
                </c:pt>
              </c:numCache>
            </c:numRef>
          </c:val>
        </c:ser>
        <c:firstSliceAng val="0"/>
      </c:pieChart>
    </c:plotArea>
    <c:legend>
      <c:legendPos val="r"/>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en-US" altLang="zh-CN"/>
              <a:t>2017</a:t>
            </a:r>
            <a:r>
              <a:rPr lang="zh-CN" altLang="en-US"/>
              <a:t>年“三公”经费财政拨款支出          决算 情况图</a:t>
            </a:r>
          </a:p>
        </c:rich>
      </c:tx>
      <c:layout/>
    </c:title>
    <c:plotArea>
      <c:layout/>
      <c:pieChart>
        <c:varyColors val="1"/>
        <c:ser>
          <c:idx val="0"/>
          <c:order val="0"/>
          <c:tx>
            <c:strRef>
              <c:f>Sheet1!$B$1</c:f>
              <c:strCache>
                <c:ptCount val="1"/>
                <c:pt idx="0">
                  <c:v>2017年“三公”金费财政拨款支出决算情况图</c:v>
                </c:pt>
              </c:strCache>
            </c:strRef>
          </c:tx>
          <c:dLbls>
            <c:dLbl>
              <c:idx val="2"/>
              <c:layout>
                <c:manualLayout>
                  <c:x val="1.3628941543597384E-3"/>
                  <c:y val="-0.26322380093549758"/>
                </c:manualLayout>
              </c:layout>
              <c:tx>
                <c:rich>
                  <a:bodyPr/>
                  <a:lstStyle/>
                  <a:p>
                    <a:r>
                      <a:rPr lang="en-US" altLang="en-US"/>
                      <a:t>100</a:t>
                    </a:r>
                    <a:r>
                      <a:rPr lang="en-US" altLang="zh-CN"/>
                      <a:t>%</a:t>
                    </a:r>
                    <a:endParaRPr lang="en-US" altLang="en-US"/>
                  </a:p>
                </c:rich>
              </c:tx>
              <c:showVal val="1"/>
            </c:dLbl>
            <c:showVal val="1"/>
            <c:showLeaderLines val="1"/>
          </c:dLbls>
          <c:cat>
            <c:strRef>
              <c:f>Sheet1!$A$2:$A$4</c:f>
              <c:strCache>
                <c:ptCount val="3"/>
                <c:pt idx="0">
                  <c:v>因公出国（境）经费</c:v>
                </c:pt>
                <c:pt idx="1">
                  <c:v>公务车购置及运行维护费</c:v>
                </c:pt>
                <c:pt idx="2">
                  <c:v>公务接待费</c:v>
                </c:pt>
              </c:strCache>
            </c:strRef>
          </c:cat>
          <c:val>
            <c:numRef>
              <c:f>Sheet1!$B$2:$B$4</c:f>
              <c:numCache>
                <c:formatCode>General</c:formatCode>
                <c:ptCount val="3"/>
                <c:pt idx="2">
                  <c:v>100</c:v>
                </c:pt>
              </c:numCache>
            </c:numRef>
          </c:val>
        </c:ser>
        <c:firstSliceAng val="0"/>
      </c:pieChart>
    </c:plotArea>
    <c:legend>
      <c:legendPos val="r"/>
      <c:layout/>
    </c:legend>
    <c:plotVisOnly val="1"/>
  </c:chart>
  <c:externalData r:id="rId1"/>
</c:chartSpace>
</file>

<file path=word/drawings/drawing1.xml><?xml version="1.0" encoding="utf-8"?>
<c:userShapes xmlns:c="http://schemas.openxmlformats.org/drawingml/2006/chart">
  <cdr:relSizeAnchor xmlns:cdr="http://schemas.openxmlformats.org/drawingml/2006/chartDrawing">
    <cdr:from>
      <cdr:x>0.85321</cdr:x>
      <cdr:y>0.10274</cdr:y>
    </cdr:from>
    <cdr:to>
      <cdr:x>0.97706</cdr:x>
      <cdr:y>0.18493</cdr:y>
    </cdr:to>
    <cdr:sp macro="" textlink="">
      <cdr:nvSpPr>
        <cdr:cNvPr id="2" name="TextBox 1"/>
        <cdr:cNvSpPr txBox="1"/>
      </cdr:nvSpPr>
      <cdr:spPr>
        <a:xfrm xmlns:a="http://schemas.openxmlformats.org/drawingml/2006/main">
          <a:off x="3543300" y="285750"/>
          <a:ext cx="51435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CN" altLang="en-US" sz="1100"/>
        </a:p>
      </cdr:txBody>
    </cdr:sp>
  </cdr:relSizeAnchor>
  <cdr:relSizeAnchor xmlns:cdr="http://schemas.openxmlformats.org/drawingml/2006/chartDrawing">
    <cdr:from>
      <cdr:x>0.80734</cdr:x>
      <cdr:y>0.09932</cdr:y>
    </cdr:from>
    <cdr:to>
      <cdr:x>0.98394</cdr:x>
      <cdr:y>0.17808</cdr:y>
    </cdr:to>
    <cdr:sp macro="" textlink="">
      <cdr:nvSpPr>
        <cdr:cNvPr id="3" name="TextBox 2"/>
        <cdr:cNvSpPr txBox="1"/>
      </cdr:nvSpPr>
      <cdr:spPr>
        <a:xfrm xmlns:a="http://schemas.openxmlformats.org/drawingml/2006/main">
          <a:off x="3352800" y="276225"/>
          <a:ext cx="733425"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CN" altLang="en-US" sz="800"/>
            <a:t>单位：万元</a:t>
          </a:r>
        </a:p>
      </cdr:txBody>
    </cdr:sp>
  </cdr:relSizeAnchor>
</c:userShapes>
</file>

<file path=word/drawings/drawing2.xml><?xml version="1.0" encoding="utf-8"?>
<c:userShapes xmlns:c="http://schemas.openxmlformats.org/drawingml/2006/chart">
  <cdr:relSizeAnchor xmlns:cdr="http://schemas.openxmlformats.org/drawingml/2006/chartDrawing">
    <cdr:from>
      <cdr:x>0.84878</cdr:x>
      <cdr:y>0.04954</cdr:y>
    </cdr:from>
    <cdr:to>
      <cdr:x>1</cdr:x>
      <cdr:y>0.13003</cdr:y>
    </cdr:to>
    <cdr:sp macro="" textlink="">
      <cdr:nvSpPr>
        <cdr:cNvPr id="2" name="TextBox 1"/>
        <cdr:cNvSpPr txBox="1"/>
      </cdr:nvSpPr>
      <cdr:spPr>
        <a:xfrm xmlns:a="http://schemas.openxmlformats.org/drawingml/2006/main">
          <a:off x="4476750" y="152400"/>
          <a:ext cx="797560"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CN" altLang="en-US" sz="800"/>
            <a:t>单位：万元</a:t>
          </a:r>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8</Pages>
  <Words>490</Words>
  <Characters>2798</Characters>
  <Application>Microsoft Office Word</Application>
  <DocSecurity>0</DocSecurity>
  <Lines>23</Lines>
  <Paragraphs>6</Paragraphs>
  <ScaleCrop>false</ScaleCrop>
  <Company/>
  <LinksUpToDate>false</LinksUpToDate>
  <CharactersWithSpaces>3282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9</cp:revision>
  <dcterms:created xsi:type="dcterms:W3CDTF">2018-09-03T06:25:00Z</dcterms:created>
  <dcterms:modified xsi:type="dcterms:W3CDTF">2018-09-10T02:01:00Z</dcterms:modified>
</cp:coreProperties>
</file>