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597"/>
      <w:bookmarkStart w:id="3" w:name="_Toc15396475"/>
      <w:bookmarkStart w:id="4" w:name="_Toc15378441"/>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194"/>
      <w:bookmarkStart w:id="8" w:name="_Toc15378442"/>
      <w:bookmarkStart w:id="9" w:name="_Toc15396598"/>
      <w:bookmarkStart w:id="10" w:name="_Toc1537742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茂县综合执法局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both"/>
        <w:rPr>
          <w:rFonts w:hint="eastAsia" w:ascii="黑体" w:hAnsi="黑体" w:eastAsia="黑体"/>
          <w:color w:val="000000"/>
          <w:sz w:val="48"/>
          <w:szCs w:val="48"/>
        </w:rPr>
      </w:pPr>
      <w:r>
        <w:rPr>
          <w:rFonts w:ascii="方正小标宋简体" w:hAnsi="宋体" w:eastAsia="方正小标宋简体"/>
          <w:sz w:val="36"/>
          <w:szCs w:val="36"/>
        </w:rPr>
        <w:br w:type="page"/>
      </w:r>
    </w:p>
    <w:p>
      <w:pPr>
        <w:widowControl/>
        <w:jc w:val="center"/>
        <w:rPr>
          <w:rFonts w:hint="eastAsia" w:ascii="黑体" w:hAnsi="黑体" w:eastAsia="黑体"/>
          <w:color w:val="000000"/>
          <w:sz w:val="48"/>
          <w:szCs w:val="48"/>
        </w:rPr>
      </w:pPr>
    </w:p>
    <w:p>
      <w:pPr>
        <w:widowControl/>
        <w:jc w:val="center"/>
        <w:rPr>
          <w:rFonts w:ascii="方正小标宋简体" w:hAnsi="黑体" w:eastAsia="方正小标宋简体"/>
          <w:color w:val="000000"/>
          <w:sz w:val="44"/>
          <w:szCs w:val="44"/>
        </w:rPr>
      </w:pPr>
      <w:bookmarkStart w:id="12" w:name="_Toc15396599"/>
      <w:bookmarkStart w:id="13" w:name="_Toc15377196"/>
      <w:r>
        <w:rPr>
          <w:rFonts w:hint="eastAsia" w:ascii="方正小标宋简体" w:hAnsi="黑体" w:eastAsia="方正小标宋简体"/>
          <w:color w:val="000000"/>
          <w:sz w:val="44"/>
          <w:szCs w:val="44"/>
        </w:rPr>
        <w:t>目录</w:t>
      </w:r>
    </w:p>
    <w:p>
      <w:pPr>
        <w:widowControl/>
        <w:jc w:val="center"/>
        <w:rPr>
          <w:rFonts w:ascii="黑体" w:hAnsi="黑体" w:eastAsia="黑体"/>
          <w:sz w:val="28"/>
          <w:szCs w:val="28"/>
        </w:rPr>
      </w:pPr>
    </w:p>
    <w:p/>
    <w:p>
      <w:pPr>
        <w:pStyle w:val="10"/>
        <w:adjustRightInd w:val="0"/>
        <w:snapToGrid w:val="0"/>
        <w:spacing w:before="0" w:line="576" w:lineRule="exact"/>
        <w:jc w:val="left"/>
        <w:rPr>
          <w:rFonts w:ascii="仿宋_GB2312" w:eastAsia="仿宋_GB2312"/>
          <w:sz w:val="32"/>
          <w:szCs w:val="32"/>
        </w:rPr>
      </w:pPr>
      <w:r>
        <w:rPr>
          <w:rFonts w:hint="eastAsia" w:ascii="仿宋_GB2312" w:eastAsia="仿宋_GB2312"/>
          <w:sz w:val="32"/>
          <w:szCs w:val="32"/>
        </w:rPr>
        <w:t>第一部分</w:t>
      </w:r>
      <w:r>
        <w:rPr>
          <w:rFonts w:ascii="仿宋_GB2312" w:eastAsia="仿宋_GB2312"/>
          <w:sz w:val="32"/>
          <w:szCs w:val="32"/>
        </w:rPr>
        <w:t xml:space="preserve"> </w:t>
      </w:r>
      <w:r>
        <w:rPr>
          <w:rFonts w:hint="eastAsia" w:ascii="仿宋_GB2312" w:eastAsia="仿宋_GB2312"/>
          <w:sz w:val="32"/>
          <w:szCs w:val="32"/>
        </w:rPr>
        <w:t>部门概况</w:t>
      </w:r>
      <w:r>
        <w:rPr>
          <w:rFonts w:ascii="仿宋_GB2312" w:eastAsia="仿宋_GB2312"/>
          <w:sz w:val="32"/>
          <w:szCs w:val="32"/>
        </w:rPr>
        <w:tab/>
      </w:r>
      <w:r>
        <w:rPr>
          <w:rFonts w:ascii="仿宋_GB2312" w:eastAsia="仿宋_GB2312"/>
          <w:sz w:val="32"/>
          <w:szCs w:val="32"/>
        </w:rPr>
        <w:t>4</w:t>
      </w:r>
    </w:p>
    <w:p>
      <w:pPr>
        <w:pStyle w:val="11"/>
        <w:adjustRightInd w:val="0"/>
        <w:snapToGrid w:val="0"/>
        <w:spacing w:line="576" w:lineRule="exact"/>
        <w:jc w:val="left"/>
        <w:rPr>
          <w:rFonts w:ascii="仿宋_GB2312" w:hAnsi="仿宋" w:eastAsia="仿宋_GB2312"/>
          <w:sz w:val="32"/>
          <w:szCs w:val="32"/>
        </w:rPr>
      </w:pPr>
      <w:r>
        <w:rPr>
          <w:rFonts w:hint="eastAsia" w:ascii="仿宋_GB2312" w:eastAsia="仿宋_GB2312"/>
          <w:sz w:val="32"/>
          <w:szCs w:val="32"/>
        </w:rPr>
        <w:t>一、基本职能及主工作</w:t>
      </w:r>
      <w:r>
        <w:rPr>
          <w:rFonts w:ascii="仿宋_GB2312" w:eastAsia="仿宋_GB2312"/>
          <w:sz w:val="32"/>
          <w:szCs w:val="32"/>
        </w:rPr>
        <w:tab/>
      </w:r>
      <w:r>
        <w:rPr>
          <w:rFonts w:ascii="仿宋_GB2312" w:eastAsia="仿宋_GB2312"/>
          <w:sz w:val="32"/>
          <w:szCs w:val="32"/>
        </w:rPr>
        <w:t>4</w:t>
      </w:r>
    </w:p>
    <w:p>
      <w:pPr>
        <w:pStyle w:val="11"/>
        <w:adjustRightInd w:val="0"/>
        <w:snapToGrid w:val="0"/>
        <w:spacing w:line="576" w:lineRule="exact"/>
        <w:jc w:val="left"/>
        <w:rPr>
          <w:rFonts w:hint="eastAsia" w:ascii="仿宋_GB2312" w:hAnsi="仿宋" w:eastAsia="仿宋_GB2312"/>
          <w:sz w:val="32"/>
          <w:szCs w:val="32"/>
          <w:lang w:eastAsia="zh-CN"/>
        </w:rPr>
      </w:pPr>
      <w:r>
        <w:rPr>
          <w:rFonts w:hint="eastAsia" w:ascii="仿宋_GB2312" w:eastAsia="仿宋_GB2312"/>
          <w:sz w:val="32"/>
          <w:szCs w:val="32"/>
        </w:rPr>
        <w:t>二、机构设置</w:t>
      </w:r>
      <w:r>
        <w:rPr>
          <w:rFonts w:ascii="仿宋_GB2312" w:eastAsia="仿宋_GB2312"/>
          <w:sz w:val="32"/>
          <w:szCs w:val="32"/>
        </w:rPr>
        <w:tab/>
      </w:r>
      <w:r>
        <w:rPr>
          <w:rFonts w:hint="eastAsia" w:ascii="仿宋_GB2312" w:eastAsia="仿宋_GB2312"/>
          <w:sz w:val="32"/>
          <w:szCs w:val="32"/>
          <w:lang w:val="en-US" w:eastAsia="zh-CN"/>
        </w:rPr>
        <w:t>6</w:t>
      </w:r>
    </w:p>
    <w:p>
      <w:pPr>
        <w:pStyle w:val="10"/>
        <w:adjustRightInd w:val="0"/>
        <w:snapToGrid w:val="0"/>
        <w:spacing w:before="0" w:line="576" w:lineRule="exact"/>
        <w:jc w:val="left"/>
        <w:rPr>
          <w:rFonts w:hint="eastAsia" w:ascii="仿宋_GB2312" w:eastAsia="仿宋_GB2312"/>
          <w:sz w:val="32"/>
          <w:szCs w:val="32"/>
          <w:lang w:eastAsia="zh-CN"/>
        </w:rPr>
      </w:pPr>
      <w:r>
        <w:rPr>
          <w:rFonts w:hint="eastAsia" w:ascii="仿宋_GB2312" w:eastAsia="仿宋_GB2312"/>
          <w:sz w:val="32"/>
          <w:szCs w:val="32"/>
        </w:rPr>
        <w:t>第二部分度部门决算情况说明</w:t>
      </w:r>
      <w:r>
        <w:rPr>
          <w:rFonts w:ascii="仿宋_GB2312" w:eastAsia="仿宋_GB2312"/>
          <w:sz w:val="32"/>
          <w:szCs w:val="32"/>
        </w:rPr>
        <w:tab/>
      </w:r>
      <w:r>
        <w:rPr>
          <w:rFonts w:hint="eastAsia" w:ascii="仿宋_GB2312" w:eastAsia="仿宋_GB2312"/>
          <w:sz w:val="32"/>
          <w:szCs w:val="32"/>
          <w:lang w:val="en-US" w:eastAsia="zh-CN"/>
        </w:rPr>
        <w:t>8</w:t>
      </w:r>
    </w:p>
    <w:p>
      <w:pPr>
        <w:pStyle w:val="11"/>
        <w:adjustRightInd w:val="0"/>
        <w:snapToGrid w:val="0"/>
        <w:spacing w:line="576" w:lineRule="exact"/>
        <w:jc w:val="left"/>
        <w:rPr>
          <w:rFonts w:hint="eastAsia" w:ascii="仿宋_GB2312" w:hAnsi="仿宋" w:eastAsia="仿宋_GB2312"/>
          <w:sz w:val="32"/>
          <w:szCs w:val="32"/>
          <w:lang w:eastAsia="zh-CN"/>
        </w:rPr>
      </w:pPr>
      <w:r>
        <w:rPr>
          <w:rFonts w:hint="eastAsia" w:ascii="仿宋_GB2312" w:eastAsia="仿宋_GB2312"/>
          <w:sz w:val="32"/>
          <w:szCs w:val="32"/>
        </w:rPr>
        <w:t>一、收入支出决算总体情况说明</w:t>
      </w:r>
      <w:r>
        <w:rPr>
          <w:rFonts w:ascii="仿宋_GB2312" w:eastAsia="仿宋_GB2312"/>
          <w:sz w:val="32"/>
          <w:szCs w:val="32"/>
        </w:rPr>
        <w:tab/>
      </w:r>
      <w:r>
        <w:rPr>
          <w:rFonts w:hint="eastAsia" w:ascii="仿宋_GB2312" w:eastAsia="仿宋_GB2312"/>
          <w:sz w:val="32"/>
          <w:szCs w:val="32"/>
          <w:lang w:val="en-US" w:eastAsia="zh-CN"/>
        </w:rPr>
        <w:t>8</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eastAsia="仿宋_GB2312"/>
          <w:sz w:val="32"/>
          <w:szCs w:val="32"/>
        </w:rPr>
        <w:t>二、收入决算情况说明</w:t>
      </w:r>
      <w:r>
        <w:rPr>
          <w:rFonts w:ascii="仿宋_GB2312" w:eastAsia="仿宋_GB2312"/>
          <w:sz w:val="32"/>
          <w:szCs w:val="32"/>
        </w:rPr>
        <w:tab/>
      </w:r>
      <w:r>
        <w:rPr>
          <w:rFonts w:hint="eastAsia" w:ascii="仿宋_GB2312" w:eastAsia="仿宋_GB2312"/>
          <w:sz w:val="32"/>
          <w:szCs w:val="32"/>
          <w:lang w:val="en-US" w:eastAsia="zh-CN"/>
        </w:rPr>
        <w:t>8</w:t>
      </w:r>
    </w:p>
    <w:p>
      <w:pPr>
        <w:pStyle w:val="11"/>
        <w:adjustRightInd w:val="0"/>
        <w:snapToGrid w:val="0"/>
        <w:spacing w:line="576" w:lineRule="exact"/>
        <w:jc w:val="left"/>
        <w:rPr>
          <w:rFonts w:hint="eastAsia" w:ascii="仿宋_GB2312" w:hAnsi="仿宋" w:eastAsia="仿宋_GB2312"/>
          <w:sz w:val="32"/>
          <w:szCs w:val="32"/>
          <w:lang w:eastAsia="zh-CN"/>
        </w:rPr>
      </w:pPr>
      <w:r>
        <w:rPr>
          <w:rFonts w:hint="eastAsia" w:ascii="仿宋_GB2312" w:eastAsia="仿宋_GB2312"/>
          <w:sz w:val="32"/>
          <w:szCs w:val="32"/>
        </w:rPr>
        <w:t>三、支出决算情况说明</w:t>
      </w:r>
      <w:r>
        <w:rPr>
          <w:rFonts w:ascii="仿宋_GB2312" w:eastAsia="仿宋_GB2312"/>
          <w:sz w:val="32"/>
          <w:szCs w:val="32"/>
        </w:rPr>
        <w:tab/>
      </w:r>
      <w:r>
        <w:rPr>
          <w:rFonts w:hint="eastAsia" w:ascii="仿宋_GB2312" w:eastAsia="仿宋_GB2312"/>
          <w:sz w:val="32"/>
          <w:szCs w:val="32"/>
          <w:lang w:val="en-US" w:eastAsia="zh-CN"/>
        </w:rPr>
        <w:t>9</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eastAsia="仿宋_GB2312"/>
          <w:sz w:val="32"/>
          <w:szCs w:val="32"/>
        </w:rPr>
        <w:t>四、财政拨款收入支出决算总体情况说明</w:t>
      </w:r>
      <w:r>
        <w:rPr>
          <w:rFonts w:ascii="仿宋_GB2312" w:eastAsia="仿宋_GB2312"/>
          <w:sz w:val="32"/>
          <w:szCs w:val="32"/>
        </w:rPr>
        <w:tab/>
      </w:r>
      <w:r>
        <w:rPr>
          <w:rFonts w:hint="eastAsia" w:ascii="仿宋_GB2312" w:eastAsia="仿宋_GB2312"/>
          <w:sz w:val="32"/>
          <w:szCs w:val="32"/>
          <w:lang w:val="en-US" w:eastAsia="zh-CN"/>
        </w:rPr>
        <w:t>9</w:t>
      </w:r>
    </w:p>
    <w:p>
      <w:pPr>
        <w:pStyle w:val="11"/>
        <w:adjustRightInd w:val="0"/>
        <w:snapToGrid w:val="0"/>
        <w:spacing w:line="576" w:lineRule="exact"/>
        <w:jc w:val="left"/>
        <w:rPr>
          <w:rFonts w:hint="default" w:ascii="仿宋_GB2312" w:hAnsi="仿宋" w:eastAsia="仿宋_GB2312"/>
          <w:sz w:val="32"/>
          <w:szCs w:val="32"/>
          <w:lang w:val="en-US" w:eastAsia="zh-CN"/>
        </w:rPr>
      </w:pPr>
      <w:r>
        <w:rPr>
          <w:rFonts w:hint="eastAsia" w:ascii="仿宋_GB2312" w:eastAsia="仿宋_GB2312"/>
          <w:sz w:val="32"/>
          <w:szCs w:val="32"/>
        </w:rPr>
        <w:t>五、一般公共预算财政拨款支出决算情况说明</w:t>
      </w:r>
      <w:r>
        <w:rPr>
          <w:rFonts w:ascii="仿宋_GB2312" w:eastAsia="仿宋_GB2312"/>
          <w:sz w:val="32"/>
          <w:szCs w:val="32"/>
        </w:rPr>
        <w:tab/>
      </w:r>
      <w:r>
        <w:rPr>
          <w:rFonts w:hint="eastAsia" w:ascii="仿宋_GB2312" w:eastAsia="仿宋_GB2312"/>
          <w:sz w:val="32"/>
          <w:szCs w:val="32"/>
          <w:lang w:val="en-US" w:eastAsia="zh-CN"/>
        </w:rPr>
        <w:t>10</w:t>
      </w:r>
    </w:p>
    <w:p>
      <w:pPr>
        <w:pStyle w:val="11"/>
        <w:adjustRightInd w:val="0"/>
        <w:snapToGrid w:val="0"/>
        <w:spacing w:line="576" w:lineRule="exact"/>
        <w:jc w:val="left"/>
        <w:rPr>
          <w:rFonts w:hint="default" w:ascii="仿宋_GB2312" w:hAnsi="仿宋" w:eastAsia="仿宋_GB2312"/>
          <w:sz w:val="32"/>
          <w:szCs w:val="32"/>
          <w:lang w:val="en-US" w:eastAsia="zh-CN"/>
        </w:rPr>
      </w:pPr>
      <w:r>
        <w:rPr>
          <w:rFonts w:hint="eastAsia" w:ascii="仿宋_GB2312" w:eastAsia="仿宋_GB2312"/>
          <w:sz w:val="32"/>
          <w:szCs w:val="32"/>
        </w:rPr>
        <w:t>六、一般公共预算财政拨款基本支出决算情况说明</w:t>
      </w:r>
      <w:r>
        <w:rPr>
          <w:rFonts w:ascii="仿宋_GB2312" w:eastAsia="仿宋_GB2312"/>
          <w:sz w:val="32"/>
          <w:szCs w:val="32"/>
        </w:rPr>
        <w:tab/>
      </w:r>
      <w:r>
        <w:rPr>
          <w:rFonts w:hint="eastAsia" w:ascii="仿宋_GB2312" w:eastAsia="仿宋_GB2312"/>
          <w:sz w:val="32"/>
          <w:szCs w:val="32"/>
          <w:lang w:val="en-US" w:eastAsia="zh-CN"/>
        </w:rPr>
        <w:t>12</w:t>
      </w:r>
    </w:p>
    <w:p>
      <w:pPr>
        <w:pStyle w:val="11"/>
        <w:adjustRightInd w:val="0"/>
        <w:snapToGrid w:val="0"/>
        <w:spacing w:line="576" w:lineRule="exact"/>
        <w:jc w:val="left"/>
        <w:rPr>
          <w:rFonts w:hint="default" w:ascii="仿宋_GB2312" w:hAnsi="仿宋" w:eastAsia="仿宋_GB2312"/>
          <w:sz w:val="32"/>
          <w:szCs w:val="32"/>
          <w:lang w:val="en-US" w:eastAsia="zh-CN"/>
        </w:rPr>
      </w:pPr>
      <w:r>
        <w:rPr>
          <w:rFonts w:hint="eastAsia" w:ascii="仿宋_GB2312" w:eastAsia="仿宋_GB2312"/>
          <w:sz w:val="32"/>
          <w:szCs w:val="32"/>
        </w:rPr>
        <w:t>七、“三公”经费财政拨款支出决算情况说明</w:t>
      </w:r>
      <w:r>
        <w:rPr>
          <w:rFonts w:ascii="仿宋_GB2312" w:eastAsia="仿宋_GB2312"/>
          <w:sz w:val="32"/>
          <w:szCs w:val="32"/>
        </w:rPr>
        <w:tab/>
      </w:r>
      <w:r>
        <w:rPr>
          <w:rFonts w:hint="eastAsia" w:ascii="仿宋_GB2312" w:eastAsia="仿宋_GB2312"/>
          <w:sz w:val="32"/>
          <w:szCs w:val="32"/>
          <w:lang w:val="en-US" w:eastAsia="zh-CN"/>
        </w:rPr>
        <w:t>13</w:t>
      </w:r>
    </w:p>
    <w:p>
      <w:pPr>
        <w:pStyle w:val="11"/>
        <w:adjustRightInd w:val="0"/>
        <w:snapToGrid w:val="0"/>
        <w:spacing w:line="576" w:lineRule="exact"/>
        <w:jc w:val="left"/>
        <w:rPr>
          <w:rFonts w:hint="eastAsia" w:ascii="仿宋_GB2312" w:hAnsi="仿宋" w:eastAsia="仿宋_GB2312"/>
          <w:sz w:val="32"/>
          <w:szCs w:val="32"/>
          <w:lang w:eastAsia="zh-CN"/>
        </w:rPr>
      </w:pPr>
      <w:r>
        <w:rPr>
          <w:rFonts w:hint="eastAsia" w:ascii="仿宋_GB2312" w:eastAsia="仿宋_GB2312"/>
          <w:sz w:val="32"/>
          <w:szCs w:val="32"/>
        </w:rPr>
        <w:t>八、政府性基金预算支出决算情况说明</w:t>
      </w:r>
      <w:r>
        <w:rPr>
          <w:rFonts w:ascii="仿宋_GB2312" w:eastAsia="仿宋_GB2312"/>
          <w:sz w:val="32"/>
          <w:szCs w:val="32"/>
        </w:rPr>
        <w:tab/>
      </w:r>
      <w:r>
        <w:rPr>
          <w:rFonts w:ascii="仿宋_GB2312" w:eastAsia="仿宋_GB2312"/>
          <w:sz w:val="32"/>
          <w:szCs w:val="32"/>
        </w:rPr>
        <w:t>1</w:t>
      </w:r>
      <w:r>
        <w:rPr>
          <w:rFonts w:hint="eastAsia" w:ascii="仿宋_GB2312" w:eastAsia="仿宋_GB2312"/>
          <w:sz w:val="32"/>
          <w:szCs w:val="32"/>
          <w:lang w:val="en-US" w:eastAsia="zh-CN"/>
        </w:rPr>
        <w:t>4</w:t>
      </w:r>
    </w:p>
    <w:p>
      <w:pPr>
        <w:pStyle w:val="11"/>
        <w:adjustRightInd w:val="0"/>
        <w:snapToGrid w:val="0"/>
        <w:spacing w:line="576" w:lineRule="exact"/>
        <w:ind w:leftChars="0"/>
        <w:jc w:val="left"/>
        <w:rPr>
          <w:rFonts w:hint="eastAsia" w:ascii="仿宋_GB2312" w:eastAsia="仿宋_GB2312"/>
          <w:sz w:val="32"/>
          <w:szCs w:val="32"/>
          <w:lang w:val="en-US" w:eastAsia="zh-CN"/>
        </w:rPr>
      </w:pPr>
      <w:r>
        <w:rPr>
          <w:rFonts w:hint="eastAsia" w:ascii="仿宋_GB2312" w:hAnsi="仿宋" w:eastAsia="仿宋_GB2312"/>
          <w:sz w:val="32"/>
          <w:szCs w:val="32"/>
        </w:rPr>
        <w:t>九、</w:t>
      </w:r>
      <w:r>
        <w:rPr>
          <w:rFonts w:ascii="仿宋_GB2312" w:eastAsia="仿宋_GB2312"/>
          <w:sz w:val="32"/>
          <w:szCs w:val="32"/>
        </w:rPr>
        <w:t xml:space="preserve"> </w:t>
      </w:r>
      <w:r>
        <w:rPr>
          <w:rFonts w:hint="eastAsia" w:ascii="仿宋_GB2312" w:eastAsia="仿宋_GB2312"/>
          <w:sz w:val="32"/>
          <w:szCs w:val="32"/>
        </w:rPr>
        <w:t>国有资本经营预算支出决算情况说明</w:t>
      </w:r>
      <w:r>
        <w:rPr>
          <w:rFonts w:ascii="仿宋_GB2312" w:eastAsia="仿宋_GB2312"/>
          <w:sz w:val="32"/>
          <w:szCs w:val="32"/>
        </w:rPr>
        <w:tab/>
      </w:r>
      <w:r>
        <w:rPr>
          <w:rFonts w:ascii="仿宋_GB2312" w:eastAsia="仿宋_GB2312"/>
          <w:sz w:val="32"/>
          <w:szCs w:val="32"/>
        </w:rPr>
        <w:t>1</w:t>
      </w:r>
      <w:r>
        <w:rPr>
          <w:rFonts w:hint="eastAsia" w:ascii="仿宋_GB2312" w:eastAsia="仿宋_GB2312"/>
          <w:sz w:val="32"/>
          <w:szCs w:val="32"/>
          <w:lang w:val="en-US" w:eastAsia="zh-CN"/>
        </w:rPr>
        <w:t>4</w:t>
      </w:r>
    </w:p>
    <w:p>
      <w:pPr>
        <w:pStyle w:val="11"/>
        <w:adjustRightInd w:val="0"/>
        <w:snapToGrid w:val="0"/>
        <w:spacing w:line="576" w:lineRule="exact"/>
        <w:ind w:leftChars="0"/>
        <w:jc w:val="left"/>
        <w:rPr>
          <w:rFonts w:hint="default" w:ascii="仿宋_GB2312" w:hAnsi="仿宋" w:eastAsia="仿宋_GB2312"/>
          <w:sz w:val="32"/>
          <w:szCs w:val="32"/>
          <w:lang w:val="en-US" w:eastAsia="zh-CN"/>
        </w:rPr>
      </w:pPr>
      <w:r>
        <w:rPr>
          <w:rFonts w:hint="eastAsia" w:ascii="仿宋_GB2312" w:hAnsi="仿宋" w:eastAsia="仿宋_GB2312"/>
          <w:sz w:val="32"/>
          <w:szCs w:val="32"/>
        </w:rPr>
        <w:t>十、其他重要事项的情况说明</w:t>
      </w:r>
      <w:r>
        <w:rPr>
          <w:rFonts w:ascii="仿宋_GB2312" w:hAnsi="仿宋" w:eastAsia="仿宋_GB2312"/>
          <w:sz w:val="32"/>
          <w:szCs w:val="32"/>
        </w:rPr>
        <w:tab/>
      </w:r>
      <w:r>
        <w:rPr>
          <w:rFonts w:hint="eastAsia" w:ascii="仿宋_GB2312" w:hAnsi="仿宋" w:eastAsia="仿宋_GB2312"/>
          <w:sz w:val="32"/>
          <w:szCs w:val="32"/>
          <w:lang w:val="en-US" w:eastAsia="zh-CN"/>
        </w:rPr>
        <w:t>14</w:t>
      </w:r>
    </w:p>
    <w:p>
      <w:pPr>
        <w:pStyle w:val="10"/>
        <w:adjustRightInd w:val="0"/>
        <w:snapToGrid w:val="0"/>
        <w:spacing w:before="0" w:line="576" w:lineRule="exact"/>
        <w:jc w:val="left"/>
        <w:rPr>
          <w:rFonts w:hint="eastAsia" w:ascii="仿宋_GB2312" w:eastAsia="仿宋_GB2312"/>
          <w:sz w:val="32"/>
          <w:szCs w:val="32"/>
          <w:lang w:val="en-US" w:eastAsia="zh-CN"/>
        </w:rPr>
      </w:pPr>
      <w:r>
        <w:rPr>
          <w:rFonts w:hint="eastAsia" w:ascii="仿宋_GB2312" w:eastAsia="仿宋_GB2312"/>
          <w:sz w:val="32"/>
          <w:szCs w:val="32"/>
        </w:rPr>
        <w:t>第三部分</w:t>
      </w:r>
      <w:r>
        <w:rPr>
          <w:rFonts w:ascii="仿宋_GB2312" w:eastAsia="仿宋_GB2312"/>
          <w:sz w:val="32"/>
          <w:szCs w:val="32"/>
        </w:rPr>
        <w:t xml:space="preserve"> </w:t>
      </w:r>
      <w:r>
        <w:rPr>
          <w:rFonts w:hint="eastAsia" w:ascii="仿宋_GB2312" w:eastAsia="仿宋_GB2312"/>
          <w:sz w:val="32"/>
          <w:szCs w:val="32"/>
        </w:rPr>
        <w:t>名词解释</w:t>
      </w:r>
      <w:r>
        <w:rPr>
          <w:rFonts w:ascii="仿宋_GB2312" w:eastAsia="仿宋_GB2312"/>
          <w:sz w:val="32"/>
          <w:szCs w:val="32"/>
        </w:rPr>
        <w:tab/>
      </w:r>
      <w:r>
        <w:rPr>
          <w:rFonts w:hint="eastAsia" w:ascii="仿宋_GB2312" w:eastAsia="仿宋_GB2312"/>
          <w:sz w:val="32"/>
          <w:szCs w:val="32"/>
          <w:lang w:val="en-US" w:eastAsia="zh-CN"/>
        </w:rPr>
        <w:t>16</w:t>
      </w:r>
    </w:p>
    <w:p>
      <w:pPr>
        <w:pStyle w:val="10"/>
        <w:adjustRightInd w:val="0"/>
        <w:snapToGrid w:val="0"/>
        <w:spacing w:before="0" w:line="576" w:lineRule="exact"/>
        <w:jc w:val="left"/>
        <w:rPr>
          <w:rFonts w:hint="eastAsia" w:ascii="仿宋" w:hAnsi="仿宋" w:eastAsia="仿宋" w:cs="仿宋"/>
          <w:color w:val="000000"/>
          <w:sz w:val="32"/>
          <w:szCs w:val="32"/>
        </w:rPr>
      </w:pPr>
      <w:r>
        <w:rPr>
          <w:rFonts w:hint="eastAsia" w:ascii="仿宋_GB2312" w:eastAsia="仿宋_GB2312"/>
          <w:sz w:val="32"/>
          <w:szCs w:val="32"/>
        </w:rPr>
        <w:t>第四部分</w:t>
      </w:r>
      <w:r>
        <w:rPr>
          <w:rFonts w:ascii="仿宋_GB2312" w:eastAsia="仿宋_GB2312"/>
          <w:sz w:val="32"/>
          <w:szCs w:val="32"/>
        </w:rPr>
        <w:t xml:space="preserve"> </w:t>
      </w: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年部门整体支出绩效评价报告</w:t>
      </w:r>
    </w:p>
    <w:p>
      <w:pPr>
        <w:pStyle w:val="10"/>
        <w:adjustRightInd w:val="0"/>
        <w:snapToGrid w:val="0"/>
        <w:spacing w:before="0" w:line="576" w:lineRule="exact"/>
        <w:jc w:val="left"/>
        <w:rPr>
          <w:rFonts w:hint="eastAsia" w:ascii="仿宋_GB2312" w:eastAsia="仿宋_GB2312"/>
          <w:sz w:val="32"/>
          <w:szCs w:val="32"/>
          <w:lang w:val="en-US" w:eastAsia="zh-CN"/>
        </w:rPr>
      </w:pPr>
      <w:r>
        <w:rPr>
          <w:rFonts w:ascii="仿宋_GB2312" w:eastAsia="仿宋_GB2312"/>
          <w:sz w:val="32"/>
          <w:szCs w:val="32"/>
        </w:rPr>
        <w:tab/>
      </w:r>
      <w:r>
        <w:rPr>
          <w:rFonts w:hint="eastAsia" w:ascii="仿宋_GB2312" w:eastAsia="仿宋_GB2312"/>
          <w:sz w:val="32"/>
          <w:szCs w:val="32"/>
          <w:lang w:val="en-US" w:eastAsia="zh-CN"/>
        </w:rPr>
        <w:t>19</w:t>
      </w:r>
    </w:p>
    <w:p>
      <w:pPr>
        <w:pStyle w:val="10"/>
        <w:adjustRightInd w:val="0"/>
        <w:snapToGrid w:val="0"/>
        <w:spacing w:before="0" w:line="576" w:lineRule="exact"/>
        <w:jc w:val="left"/>
        <w:rPr>
          <w:rFonts w:hint="default" w:ascii="仿宋_GB2312" w:eastAsia="仿宋_GB2312"/>
          <w:sz w:val="32"/>
          <w:szCs w:val="32"/>
          <w:lang w:val="en-US" w:eastAsia="zh-CN"/>
        </w:rPr>
      </w:pPr>
      <w:r>
        <w:rPr>
          <w:rFonts w:hint="eastAsia" w:ascii="仿宋_GB2312" w:eastAsia="仿宋_GB2312"/>
          <w:sz w:val="32"/>
          <w:szCs w:val="32"/>
        </w:rPr>
        <w:t>第五部分</w:t>
      </w:r>
      <w:r>
        <w:rPr>
          <w:rFonts w:ascii="仿宋_GB2312" w:eastAsia="仿宋_GB2312"/>
          <w:sz w:val="32"/>
          <w:szCs w:val="32"/>
        </w:rPr>
        <w:t xml:space="preserve"> </w:t>
      </w:r>
      <w:r>
        <w:rPr>
          <w:rFonts w:hint="eastAsia" w:ascii="仿宋_GB2312" w:eastAsia="仿宋_GB2312"/>
          <w:sz w:val="32"/>
          <w:szCs w:val="32"/>
        </w:rPr>
        <w:t>附表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default" w:ascii="仿宋_GB2312" w:eastAsia="仿宋_GB2312"/>
          <w:sz w:val="32"/>
          <w:szCs w:val="32"/>
          <w:lang w:val="en-US" w:eastAsia="zh-CN"/>
        </w:rPr>
      </w:pPr>
      <w:r>
        <w:rPr>
          <w:rFonts w:hint="eastAsia" w:ascii="仿宋_GB2312" w:hAnsi="仿宋" w:eastAsia="仿宋_GB2312"/>
          <w:sz w:val="32"/>
          <w:szCs w:val="32"/>
        </w:rPr>
        <w:t>一、</w:t>
      </w:r>
      <w:r>
        <w:rPr>
          <w:rFonts w:hint="eastAsia" w:ascii="仿宋_GB2312" w:eastAsia="仿宋_GB2312"/>
          <w:sz w:val="32"/>
          <w:szCs w:val="32"/>
        </w:rPr>
        <w:t>收入支出决算总表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hAnsi="仿宋" w:eastAsia="仿宋_GB2312"/>
          <w:sz w:val="32"/>
          <w:szCs w:val="32"/>
        </w:rPr>
        <w:t>二、</w:t>
      </w:r>
      <w:r>
        <w:rPr>
          <w:rFonts w:hint="eastAsia" w:ascii="仿宋_GB2312" w:eastAsia="仿宋_GB2312"/>
          <w:sz w:val="32"/>
          <w:szCs w:val="32"/>
        </w:rPr>
        <w:t>收入</w:t>
      </w:r>
      <w:r>
        <w:rPr>
          <w:rFonts w:hint="eastAsia" w:ascii="仿宋_GB2312" w:hAnsi="仿宋" w:eastAsia="仿宋_GB2312"/>
          <w:sz w:val="32"/>
          <w:szCs w:val="32"/>
        </w:rPr>
        <w:t>决算</w:t>
      </w:r>
      <w:r>
        <w:rPr>
          <w:rFonts w:hint="eastAsia" w:ascii="仿宋_GB2312" w:eastAsia="仿宋_GB2312"/>
          <w:sz w:val="32"/>
          <w:szCs w:val="32"/>
        </w:rPr>
        <w:t>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default" w:ascii="仿宋_GB2312" w:hAnsi="仿宋" w:eastAsia="仿宋_GB2312"/>
          <w:sz w:val="32"/>
          <w:szCs w:val="32"/>
          <w:lang w:val="en-US" w:eastAsia="zh-CN"/>
        </w:rPr>
      </w:pPr>
      <w:r>
        <w:rPr>
          <w:rFonts w:hint="eastAsia" w:ascii="仿宋_GB2312" w:hAnsi="仿宋" w:eastAsia="仿宋_GB2312"/>
          <w:sz w:val="32"/>
          <w:szCs w:val="32"/>
        </w:rPr>
        <w:t>三、</w:t>
      </w:r>
      <w:r>
        <w:rPr>
          <w:rFonts w:hint="eastAsia" w:ascii="仿宋_GB2312" w:eastAsia="仿宋_GB2312"/>
          <w:sz w:val="32"/>
          <w:szCs w:val="32"/>
        </w:rPr>
        <w:t>支出</w:t>
      </w:r>
      <w:r>
        <w:rPr>
          <w:rFonts w:hint="eastAsia" w:ascii="仿宋_GB2312" w:hAnsi="仿宋" w:eastAsia="仿宋_GB2312"/>
          <w:sz w:val="32"/>
          <w:szCs w:val="32"/>
        </w:rPr>
        <w:t>决算</w:t>
      </w:r>
      <w:r>
        <w:rPr>
          <w:rFonts w:hint="eastAsia" w:ascii="仿宋_GB2312" w:eastAsia="仿宋_GB2312"/>
          <w:sz w:val="32"/>
          <w:szCs w:val="32"/>
        </w:rPr>
        <w:t>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hAnsi="仿宋" w:eastAsia="仿宋_GB2312"/>
          <w:sz w:val="32"/>
          <w:szCs w:val="32"/>
        </w:rPr>
        <w:t>四、</w:t>
      </w:r>
      <w:r>
        <w:rPr>
          <w:rFonts w:hint="eastAsia" w:ascii="仿宋_GB2312" w:eastAsia="仿宋_GB2312"/>
          <w:sz w:val="32"/>
          <w:szCs w:val="32"/>
        </w:rPr>
        <w:t>财政拨款收入支出决算总表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hAnsi="仿宋" w:eastAsia="仿宋_GB2312"/>
          <w:sz w:val="32"/>
          <w:szCs w:val="32"/>
        </w:rPr>
        <w:t>五、财政拨款支出决算明细表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hAnsi="仿宋" w:eastAsia="仿宋_GB2312"/>
          <w:sz w:val="32"/>
          <w:szCs w:val="32"/>
        </w:rPr>
        <w:t>六、</w:t>
      </w:r>
      <w:r>
        <w:rPr>
          <w:rFonts w:hint="eastAsia" w:ascii="仿宋_GB2312" w:eastAsia="仿宋_GB2312"/>
          <w:sz w:val="32"/>
          <w:szCs w:val="32"/>
        </w:rPr>
        <w:t>一般公共预算财政拨款支出决算表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hAnsi="仿宋" w:eastAsia="仿宋_GB2312"/>
          <w:sz w:val="32"/>
          <w:szCs w:val="32"/>
        </w:rPr>
        <w:t>七、</w:t>
      </w:r>
      <w:r>
        <w:rPr>
          <w:rFonts w:hint="eastAsia" w:ascii="仿宋_GB2312" w:eastAsia="仿宋_GB2312"/>
          <w:sz w:val="32"/>
          <w:szCs w:val="32"/>
        </w:rPr>
        <w:t>一般公共预算财政拨款支出决算明细表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hAnsi="仿宋" w:eastAsia="仿宋_GB2312"/>
          <w:sz w:val="32"/>
          <w:szCs w:val="32"/>
        </w:rPr>
        <w:t>八、</w:t>
      </w:r>
      <w:r>
        <w:rPr>
          <w:rFonts w:hint="eastAsia" w:ascii="仿宋_GB2312" w:eastAsia="仿宋_GB2312"/>
          <w:sz w:val="32"/>
          <w:szCs w:val="32"/>
        </w:rPr>
        <w:t>一般公共预算财政拨款基本支出决算表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hAnsi="仿宋" w:eastAsia="仿宋_GB2312"/>
          <w:sz w:val="32"/>
          <w:szCs w:val="32"/>
        </w:rPr>
        <w:t>九、</w:t>
      </w:r>
      <w:r>
        <w:rPr>
          <w:rFonts w:hint="eastAsia" w:ascii="仿宋_GB2312" w:eastAsia="仿宋_GB2312"/>
          <w:sz w:val="32"/>
          <w:szCs w:val="32"/>
        </w:rPr>
        <w:t>一般公共预算财政拨款项目支出决算表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default" w:ascii="仿宋_GB2312" w:hAnsi="仿宋" w:eastAsia="仿宋_GB2312"/>
          <w:sz w:val="32"/>
          <w:szCs w:val="32"/>
          <w:lang w:val="en-US" w:eastAsia="zh-CN"/>
        </w:rPr>
      </w:pPr>
      <w:r>
        <w:rPr>
          <w:rFonts w:hint="eastAsia" w:ascii="仿宋_GB2312" w:hAnsi="仿宋" w:eastAsia="仿宋_GB2312"/>
          <w:sz w:val="32"/>
          <w:szCs w:val="32"/>
        </w:rPr>
        <w:t>十、</w:t>
      </w:r>
      <w:r>
        <w:rPr>
          <w:rFonts w:hint="eastAsia" w:ascii="仿宋_GB2312" w:eastAsia="仿宋_GB2312"/>
          <w:sz w:val="32"/>
          <w:szCs w:val="32"/>
        </w:rPr>
        <w:t>一般公共预算财政拨款“三公”经费支出决算表</w:t>
      </w:r>
      <w:r>
        <w:rPr>
          <w:rFonts w:ascii="仿宋_GB2312" w:eastAsia="仿宋_GB2312"/>
          <w:sz w:val="32"/>
          <w:szCs w:val="32"/>
        </w:rPr>
        <w:tab/>
      </w:r>
      <w:r>
        <w:rPr>
          <w:rFonts w:hint="eastAsia" w:ascii="仿宋_GB2312" w:eastAsia="仿宋_GB2312"/>
          <w:sz w:val="32"/>
          <w:szCs w:val="32"/>
          <w:lang w:val="en-US" w:eastAsia="zh-CN"/>
        </w:rPr>
        <w:t>25</w:t>
      </w:r>
      <w:r>
        <w:rPr>
          <w:rFonts w:hint="eastAsia" w:ascii="仿宋_GB2312" w:hAnsi="仿宋" w:eastAsia="仿宋_GB2312"/>
          <w:sz w:val="32"/>
          <w:szCs w:val="32"/>
        </w:rPr>
        <w:t>十一、</w:t>
      </w:r>
      <w:r>
        <w:rPr>
          <w:rFonts w:hint="eastAsia" w:ascii="仿宋_GB2312" w:eastAsia="仿宋_GB2312"/>
          <w:sz w:val="32"/>
          <w:szCs w:val="32"/>
        </w:rPr>
        <w:t>政府性基金预算财政拨款收入支出决算表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eastAsia" w:ascii="仿宋_GB2312" w:eastAsia="仿宋_GB2312"/>
          <w:sz w:val="32"/>
          <w:szCs w:val="32"/>
          <w:lang w:val="en-US" w:eastAsia="zh-CN"/>
        </w:rPr>
      </w:pPr>
      <w:r>
        <w:rPr>
          <w:rFonts w:hint="eastAsia" w:ascii="仿宋_GB2312" w:hAnsi="仿宋" w:eastAsia="仿宋_GB2312"/>
          <w:sz w:val="32"/>
          <w:szCs w:val="32"/>
        </w:rPr>
        <w:t>十二、</w:t>
      </w:r>
      <w:r>
        <w:rPr>
          <w:rFonts w:hint="eastAsia" w:ascii="仿宋_GB2312" w:eastAsia="仿宋_GB2312"/>
          <w:sz w:val="32"/>
          <w:szCs w:val="32"/>
        </w:rPr>
        <w:t>政府性基金预算财政拨款“三公”经费支出决算表</w:t>
      </w:r>
      <w:r>
        <w:rPr>
          <w:rFonts w:ascii="仿宋_GB2312" w:eastAsia="仿宋_GB2312"/>
          <w:sz w:val="32"/>
          <w:szCs w:val="32"/>
        </w:rPr>
        <w:tab/>
      </w:r>
      <w:r>
        <w:rPr>
          <w:rFonts w:hint="eastAsia" w:ascii="仿宋_GB2312" w:eastAsia="仿宋_GB2312"/>
          <w:sz w:val="32"/>
          <w:szCs w:val="32"/>
          <w:lang w:val="en-US" w:eastAsia="zh-CN"/>
        </w:rPr>
        <w:t>25</w:t>
      </w:r>
    </w:p>
    <w:p>
      <w:pPr>
        <w:pStyle w:val="11"/>
        <w:adjustRightInd w:val="0"/>
        <w:snapToGrid w:val="0"/>
        <w:spacing w:line="576" w:lineRule="exact"/>
        <w:jc w:val="left"/>
        <w:rPr>
          <w:rFonts w:hint="default" w:ascii="仿宋_GB2312" w:hAnsi="仿宋" w:eastAsia="仿宋_GB2312"/>
          <w:sz w:val="32"/>
          <w:szCs w:val="32"/>
          <w:lang w:val="en-US" w:eastAsia="zh-CN"/>
        </w:rPr>
      </w:pPr>
      <w:r>
        <w:rPr>
          <w:rFonts w:hint="eastAsia" w:ascii="仿宋_GB2312" w:hAnsi="仿宋" w:eastAsia="仿宋_GB2312"/>
          <w:sz w:val="32"/>
          <w:szCs w:val="32"/>
        </w:rPr>
        <w:t>十三、</w:t>
      </w:r>
      <w:r>
        <w:rPr>
          <w:rFonts w:hint="eastAsia" w:ascii="仿宋_GB2312" w:eastAsia="仿宋_GB2312"/>
          <w:sz w:val="32"/>
          <w:szCs w:val="32"/>
        </w:rPr>
        <w:t>国有资本经营预算支出决算表</w:t>
      </w:r>
      <w:r>
        <w:rPr>
          <w:rFonts w:ascii="仿宋_GB2312" w:eastAsia="仿宋_GB2312"/>
          <w:sz w:val="32"/>
          <w:szCs w:val="32"/>
        </w:rPr>
        <w:tab/>
      </w:r>
      <w:r>
        <w:rPr>
          <w:rFonts w:hint="eastAsia" w:ascii="仿宋_GB2312" w:eastAsia="仿宋_GB2312"/>
          <w:sz w:val="32"/>
          <w:szCs w:val="32"/>
          <w:lang w:val="en-US" w:eastAsia="zh-CN"/>
        </w:rPr>
        <w:t>23</w:t>
      </w:r>
    </w:p>
    <w:p>
      <w:pPr>
        <w:pStyle w:val="2"/>
        <w:pageBreakBefore w:val="0"/>
        <w:kinsoku/>
        <w:wordWrap/>
        <w:overflowPunct/>
        <w:topLinePunct w:val="0"/>
        <w:autoSpaceDE/>
        <w:autoSpaceDN/>
        <w:bidi w:val="0"/>
        <w:adjustRightInd/>
        <w:spacing w:line="576" w:lineRule="exact"/>
        <w:ind w:firstLine="643" w:firstLineChars="200"/>
        <w:jc w:val="center"/>
        <w:textAlignment w:val="auto"/>
        <w:rPr>
          <w:rFonts w:ascii="黑体" w:eastAsia="黑体"/>
          <w:color w:val="000000"/>
          <w:sz w:val="32"/>
          <w:szCs w:val="32"/>
        </w:rPr>
      </w:pPr>
      <w:r>
        <w:rPr>
          <w:rFonts w:ascii="仿宋_GB2312" w:hAnsi="仿宋" w:eastAsia="仿宋_GB2312"/>
          <w:b/>
          <w:sz w:val="32"/>
          <w:szCs w:val="32"/>
        </w:rPr>
        <w:br w:type="page"/>
      </w: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pageBreakBefore w:val="0"/>
        <w:kinsoku/>
        <w:wordWrap/>
        <w:overflowPunct/>
        <w:topLinePunct w:val="0"/>
        <w:autoSpaceDE/>
        <w:autoSpaceDN/>
        <w:bidi w:val="0"/>
        <w:adjustRightInd/>
        <w:spacing w:line="576" w:lineRule="exact"/>
        <w:ind w:firstLine="640" w:firstLineChars="200"/>
        <w:textAlignment w:val="auto"/>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keepNext w:val="0"/>
        <w:keepLines w:val="0"/>
        <w:pageBreakBefore w:val="0"/>
        <w:kinsoku/>
        <w:wordWrap/>
        <w:overflowPunct/>
        <w:topLinePunct w:val="0"/>
        <w:autoSpaceDE/>
        <w:autoSpaceDN/>
        <w:bidi w:val="0"/>
        <w:adjustRightInd/>
        <w:snapToGrid w:val="0"/>
        <w:spacing w:line="576" w:lineRule="exact"/>
        <w:ind w:firstLine="643" w:firstLineChars="200"/>
        <w:textAlignment w:val="auto"/>
        <w:rPr>
          <w:rFonts w:hint="eastAsia" w:ascii="仿宋_GB2312" w:hAnsi="仿宋" w:eastAsia="仿宋_GB2312"/>
          <w:b/>
          <w:bCs/>
          <w:sz w:val="32"/>
          <w:szCs w:val="32"/>
          <w:lang w:eastAsia="zh-CN"/>
        </w:rPr>
      </w:pPr>
      <w:bookmarkStart w:id="16" w:name="_Toc15378446"/>
      <w:bookmarkStart w:id="17" w:name="_Toc15377199"/>
      <w:bookmarkStart w:id="18" w:name="YS060102"/>
      <w:r>
        <w:rPr>
          <w:rFonts w:hint="eastAsia" w:ascii="仿宋_GB2312" w:hAnsi="仿宋" w:eastAsia="仿宋_GB2312"/>
          <w:b/>
          <w:bCs/>
          <w:sz w:val="32"/>
          <w:szCs w:val="32"/>
          <w:lang w:eastAsia="zh-CN"/>
        </w:rPr>
        <w:t>（一）</w:t>
      </w:r>
      <w:r>
        <w:rPr>
          <w:rFonts w:hint="eastAsia" w:ascii="仿宋_GB2312" w:hAnsi="仿宋" w:eastAsia="仿宋_GB2312"/>
          <w:b/>
          <w:bCs/>
          <w:sz w:val="32"/>
          <w:szCs w:val="32"/>
        </w:rPr>
        <w:t>主要职能</w:t>
      </w:r>
    </w:p>
    <w:p>
      <w:pPr>
        <w:keepNext w:val="0"/>
        <w:keepLines w:val="0"/>
        <w:pageBreakBefore w:val="0"/>
        <w:kinsoku/>
        <w:wordWrap/>
        <w:overflowPunct/>
        <w:topLinePunct w:val="0"/>
        <w:autoSpaceDE/>
        <w:autoSpaceDN/>
        <w:bidi w:val="0"/>
        <w:adjustRightInd/>
        <w:snapToGrid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cs="仿宋_GB2312"/>
          <w:color w:val="000000"/>
          <w:sz w:val="32"/>
          <w:szCs w:val="32"/>
          <w:lang w:bidi="ar-SA"/>
        </w:rPr>
        <w:t>县综合执法局贯彻落实党中央关于综合行政执法工作的方针政策和省委、州委、县委的决策部署，在履行职责过程中坚持和加强党对综合行政执法工作的集中统一领导。</w:t>
      </w:r>
      <w:r>
        <w:rPr>
          <w:rFonts w:hint="eastAsia" w:ascii="仿宋_GB2312" w:eastAsia="仿宋_GB2312"/>
          <w:sz w:val="32"/>
          <w:szCs w:val="32"/>
        </w:rPr>
        <w:t>主要职责是：</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1.</w:t>
      </w:r>
      <w:r>
        <w:rPr>
          <w:rFonts w:hint="eastAsia" w:ascii="仿宋" w:hAnsi="仿宋" w:eastAsia="仿宋" w:cs="仿宋"/>
          <w:sz w:val="32"/>
          <w:szCs w:val="32"/>
        </w:rPr>
        <w:t>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sz w:val="32"/>
          <w:szCs w:val="32"/>
        </w:rPr>
        <w:t>集中行使自然资源管理、城市管理、文化市场管理等领域法律、法规、规章规定的全部或部分行政处罚权及相应的行政检查权、行政命令权和行政强制措施权。具体包括：</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行使土地、矿产资源及城乡规划管理方面法律、法规、规章规定的行政处罚权；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行使文化(文物)、广播影视、新闻出版（版权)、体育管理方面法律、法规、规章规定的行政处罚权；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行使城市管理方面法律、法规、规章规定的行政处罚权。</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除上述行政执法职责外，对省、州有关文件规定应予划转的行政执法职责，将结合县内实际，逐步将相关部门的行政执法职责划入县综合执法局。</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val="en-US" w:eastAsia="zh-CN"/>
        </w:rPr>
        <w:t>3.</w:t>
      </w:r>
      <w:r>
        <w:rPr>
          <w:rFonts w:hint="eastAsia" w:ascii="仿宋" w:hAnsi="仿宋" w:eastAsia="仿宋" w:cs="仿宋"/>
          <w:sz w:val="32"/>
          <w:szCs w:val="32"/>
        </w:rPr>
        <w:t>负责受理职责范围内行政违法行为的举报、投诉和各种方式移送的案件线索，办理有关行政复议和行政应诉工作。</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 w:cs="仿宋"/>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sz w:val="32"/>
          <w:szCs w:val="32"/>
        </w:rPr>
        <w:t>牵头实施由县人民政府组织的有关专项整治和重大执法活动。</w:t>
      </w:r>
    </w:p>
    <w:p>
      <w:pPr>
        <w:keepNext w:val="0"/>
        <w:keepLines w:val="0"/>
        <w:pageBreakBefore w:val="0"/>
        <w:kinsoku/>
        <w:wordWrap/>
        <w:overflowPunct/>
        <w:topLinePunct w:val="0"/>
        <w:autoSpaceDE/>
        <w:autoSpaceDN/>
        <w:bidi w:val="0"/>
        <w:adjustRightInd/>
        <w:spacing w:line="576" w:lineRule="exact"/>
        <w:ind w:firstLine="640" w:firstLineChars="200"/>
        <w:textAlignment w:val="auto"/>
        <w:outlineLvl w:val="1"/>
        <w:rPr>
          <w:rFonts w:hint="eastAsia" w:ascii="仿宋" w:hAnsi="仿宋" w:eastAsia="仿宋" w:cs="仿宋"/>
          <w:sz w:val="32"/>
          <w:szCs w:val="32"/>
        </w:rPr>
      </w:pPr>
      <w:r>
        <w:rPr>
          <w:rFonts w:hint="eastAsia" w:ascii="仿宋" w:hAnsi="仿宋" w:eastAsia="仿宋" w:cs="仿宋"/>
          <w:b w:val="0"/>
          <w:bCs w:val="0"/>
          <w:sz w:val="32"/>
          <w:szCs w:val="32"/>
          <w:lang w:val="en-US" w:eastAsia="zh-CN"/>
        </w:rPr>
        <w:t>5.</w:t>
      </w:r>
      <w:r>
        <w:rPr>
          <w:rFonts w:hint="eastAsia" w:ascii="仿宋" w:hAnsi="仿宋" w:eastAsia="仿宋" w:cs="仿宋"/>
          <w:sz w:val="32"/>
          <w:szCs w:val="32"/>
        </w:rPr>
        <w:t>配合协助划转行政处罚权涉及的行政主管部门组织开展行业整治活动。</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6.</w:t>
      </w:r>
      <w:r>
        <w:rPr>
          <w:rFonts w:hint="eastAsia" w:ascii="仿宋" w:hAnsi="仿宋" w:eastAsia="仿宋" w:cs="仿宋"/>
          <w:sz w:val="32"/>
          <w:szCs w:val="32"/>
        </w:rPr>
        <w:t xml:space="preserve">指导乡（镇）综合行政执法工作。   </w:t>
      </w:r>
    </w:p>
    <w:p>
      <w:pPr>
        <w:keepNext w:val="0"/>
        <w:keepLines w:val="0"/>
        <w:pageBreakBefore w:val="0"/>
        <w:kinsoku/>
        <w:wordWrap/>
        <w:overflowPunct/>
        <w:topLinePunct w:val="0"/>
        <w:autoSpaceDE/>
        <w:autoSpaceDN/>
        <w:bidi w:val="0"/>
        <w:adjustRightInd/>
        <w:spacing w:line="576" w:lineRule="exact"/>
        <w:ind w:left="319" w:leftChars="152" w:firstLine="640" w:firstLineChars="200"/>
        <w:textAlignment w:val="auto"/>
        <w:outlineLvl w:val="1"/>
        <w:rPr>
          <w:rFonts w:hint="eastAsia" w:ascii="仿宋_GB2312" w:hAnsi="仿宋" w:eastAsia="仿宋_GB2312"/>
          <w:sz w:val="32"/>
          <w:szCs w:val="32"/>
        </w:rPr>
      </w:pPr>
      <w:r>
        <w:rPr>
          <w:rFonts w:hint="eastAsia" w:ascii="仿宋" w:hAnsi="仿宋" w:eastAsia="仿宋" w:cs="仿宋"/>
          <w:b w:val="0"/>
          <w:bCs w:val="0"/>
          <w:sz w:val="32"/>
          <w:szCs w:val="32"/>
          <w:lang w:val="en-US" w:eastAsia="zh-CN"/>
        </w:rPr>
        <w:t>7.</w:t>
      </w:r>
      <w:r>
        <w:rPr>
          <w:rFonts w:hint="eastAsia" w:ascii="仿宋" w:hAnsi="仿宋" w:eastAsia="仿宋" w:cs="仿宋"/>
          <w:sz w:val="32"/>
          <w:szCs w:val="32"/>
        </w:rPr>
        <w:t>承办县委、县人民政府交办的其他任务。</w:t>
      </w:r>
    </w:p>
    <w:p>
      <w:pPr>
        <w:keepNext w:val="0"/>
        <w:keepLines w:val="0"/>
        <w:pageBreakBefore w:val="0"/>
        <w:kinsoku/>
        <w:wordWrap/>
        <w:overflowPunct/>
        <w:topLinePunct w:val="0"/>
        <w:autoSpaceDE/>
        <w:autoSpaceDN/>
        <w:bidi w:val="0"/>
        <w:adjustRightInd/>
        <w:snapToGrid w:val="0"/>
        <w:spacing w:line="576" w:lineRule="exact"/>
        <w:ind w:firstLine="643" w:firstLineChars="200"/>
        <w:textAlignment w:val="auto"/>
        <w:rPr>
          <w:rFonts w:hint="eastAsia" w:ascii="楷体_GB2312" w:hAnsi="仿宋" w:eastAsia="楷体_GB2312"/>
          <w:b/>
          <w:sz w:val="32"/>
          <w:szCs w:val="32"/>
          <w:lang w:val="en-US" w:eastAsia="zh-CN"/>
        </w:rPr>
      </w:pPr>
      <w:r>
        <w:rPr>
          <w:rFonts w:hint="eastAsia" w:ascii="楷体_GB2312" w:hAnsi="仿宋" w:eastAsia="楷体_GB2312"/>
          <w:b/>
          <w:sz w:val="32"/>
          <w:szCs w:val="32"/>
        </w:rPr>
        <w:t>（二）</w:t>
      </w:r>
      <w:r>
        <w:rPr>
          <w:rFonts w:hint="eastAsia" w:ascii="楷体_GB2312" w:hAnsi="仿宋" w:eastAsia="楷体_GB2312"/>
          <w:b/>
          <w:sz w:val="32"/>
          <w:szCs w:val="32"/>
          <w:lang w:eastAsia="zh-CN"/>
        </w:rPr>
        <w:t>主要工作</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76"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目前，</w:t>
      </w:r>
      <w:r>
        <w:rPr>
          <w:rFonts w:hint="eastAsia" w:ascii="仿宋" w:hAnsi="仿宋" w:eastAsia="仿宋" w:cs="仿宋"/>
          <w:sz w:val="32"/>
          <w:szCs w:val="32"/>
        </w:rPr>
        <w:t>我局整合了</w:t>
      </w:r>
      <w:r>
        <w:rPr>
          <w:rFonts w:hint="eastAsia" w:ascii="仿宋" w:hAnsi="仿宋" w:eastAsia="仿宋" w:cs="仿宋"/>
          <w:sz w:val="32"/>
          <w:szCs w:val="32"/>
          <w:lang w:eastAsia="zh-CN"/>
        </w:rPr>
        <w:t>自然资源、城管、文体三个</w:t>
      </w:r>
      <w:r>
        <w:rPr>
          <w:rFonts w:hint="eastAsia" w:ascii="仿宋" w:hAnsi="仿宋" w:eastAsia="仿宋" w:cs="仿宋"/>
          <w:sz w:val="32"/>
          <w:szCs w:val="32"/>
        </w:rPr>
        <w:t>行政执法部门的行政处罚权和行政执法人员，实行综合执法，实现了一支队伍管全面，快速反应、快速决策、快速处理，使案件办结效率大大提高。</w:t>
      </w:r>
      <w:r>
        <w:rPr>
          <w:rFonts w:hint="eastAsia" w:ascii="仿宋" w:hAnsi="仿宋" w:eastAsia="仿宋" w:cs="仿宋"/>
          <w:b w:val="0"/>
          <w:i w:val="0"/>
          <w:caps w:val="0"/>
          <w:color w:val="000000"/>
          <w:spacing w:val="0"/>
          <w:sz w:val="32"/>
          <w:szCs w:val="32"/>
          <w:lang w:eastAsia="zh-CN"/>
        </w:rPr>
        <w:t>自</w:t>
      </w:r>
      <w:r>
        <w:rPr>
          <w:rFonts w:hint="eastAsia" w:ascii="仿宋" w:hAnsi="仿宋" w:eastAsia="仿宋" w:cs="仿宋"/>
          <w:b w:val="0"/>
          <w:i w:val="0"/>
          <w:caps w:val="0"/>
          <w:color w:val="000000"/>
          <w:spacing w:val="0"/>
          <w:sz w:val="32"/>
          <w:szCs w:val="32"/>
          <w:lang w:val="en-US" w:eastAsia="zh-CN"/>
        </w:rPr>
        <w:t>4月30日人员转隶到位后共</w:t>
      </w:r>
      <w:r>
        <w:rPr>
          <w:rFonts w:hint="eastAsia" w:ascii="仿宋" w:hAnsi="仿宋" w:eastAsia="仿宋" w:cs="仿宋"/>
          <w:b w:val="0"/>
          <w:i w:val="0"/>
          <w:caps w:val="0"/>
          <w:color w:val="000000"/>
          <w:spacing w:val="0"/>
          <w:sz w:val="32"/>
          <w:szCs w:val="32"/>
          <w:lang w:eastAsia="zh-CN"/>
        </w:rPr>
        <w:t>处理</w:t>
      </w:r>
      <w:r>
        <w:rPr>
          <w:rFonts w:hint="eastAsia" w:ascii="仿宋" w:hAnsi="仿宋" w:eastAsia="仿宋" w:cs="仿宋"/>
          <w:b w:val="0"/>
          <w:i w:val="0"/>
          <w:caps w:val="0"/>
          <w:color w:val="000000"/>
          <w:spacing w:val="0"/>
          <w:sz w:val="32"/>
          <w:szCs w:val="32"/>
        </w:rPr>
        <w:t>案件</w:t>
      </w:r>
      <w:r>
        <w:rPr>
          <w:rFonts w:hint="eastAsia" w:ascii="仿宋" w:hAnsi="仿宋" w:eastAsia="仿宋" w:cs="仿宋"/>
          <w:b w:val="0"/>
          <w:i w:val="0"/>
          <w:caps w:val="0"/>
          <w:color w:val="000000"/>
          <w:spacing w:val="0"/>
          <w:sz w:val="32"/>
          <w:szCs w:val="32"/>
          <w:lang w:val="en-US" w:eastAsia="zh-CN"/>
        </w:rPr>
        <w:t>397</w:t>
      </w:r>
      <w:r>
        <w:rPr>
          <w:rFonts w:hint="eastAsia" w:ascii="仿宋" w:hAnsi="仿宋" w:eastAsia="仿宋" w:cs="仿宋"/>
          <w:b w:val="0"/>
          <w:i w:val="0"/>
          <w:caps w:val="0"/>
          <w:color w:val="000000"/>
          <w:spacing w:val="0"/>
          <w:sz w:val="32"/>
          <w:szCs w:val="32"/>
        </w:rPr>
        <w:t>件，</w:t>
      </w:r>
      <w:r>
        <w:rPr>
          <w:rFonts w:hint="eastAsia" w:ascii="仿宋" w:hAnsi="仿宋" w:eastAsia="仿宋" w:cs="仿宋"/>
          <w:b w:val="0"/>
          <w:i w:val="0"/>
          <w:caps w:val="0"/>
          <w:color w:val="000000"/>
          <w:spacing w:val="0"/>
          <w:sz w:val="32"/>
          <w:szCs w:val="32"/>
          <w:lang w:eastAsia="zh-CN"/>
        </w:rPr>
        <w:t>罚款及没收涉案金额共计</w:t>
      </w:r>
      <w:r>
        <w:rPr>
          <w:rFonts w:hint="eastAsia" w:ascii="仿宋" w:hAnsi="仿宋" w:eastAsia="仿宋" w:cs="仿宋"/>
          <w:b w:val="0"/>
          <w:i w:val="0"/>
          <w:caps w:val="0"/>
          <w:color w:val="000000"/>
          <w:spacing w:val="0"/>
          <w:sz w:val="32"/>
          <w:szCs w:val="32"/>
          <w:lang w:val="en-US" w:eastAsia="zh-CN"/>
        </w:rPr>
        <w:t>4798146.64元,并全部执行完毕。</w:t>
      </w:r>
      <w:r>
        <w:rPr>
          <w:rFonts w:hint="eastAsia" w:ascii="仿宋" w:hAnsi="仿宋" w:eastAsia="仿宋" w:cs="仿宋"/>
          <w:sz w:val="32"/>
          <w:szCs w:val="32"/>
        </w:rPr>
        <w:t>自成立以来，针对原有的执法难点，开展了多次专项整治工作。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 w:hAnsi="仿宋" w:eastAsia="仿宋" w:cs="仿宋"/>
          <w:i w:val="0"/>
          <w:caps w:val="0"/>
          <w:color w:val="333333"/>
          <w:spacing w:val="0"/>
          <w:sz w:val="32"/>
          <w:szCs w:val="32"/>
          <w:shd w:val="clear" w:color="auto" w:fill="FFFFFF"/>
          <w:lang w:val="en-US" w:eastAsia="zh-CN"/>
        </w:rPr>
      </w:pPr>
      <w:r>
        <w:rPr>
          <w:rFonts w:hint="eastAsia" w:ascii="仿宋" w:hAnsi="仿宋" w:eastAsia="仿宋" w:cs="仿宋"/>
          <w:b w:val="0"/>
          <w:bCs/>
          <w:kern w:val="44"/>
          <w:sz w:val="32"/>
          <w:szCs w:val="32"/>
          <w:lang w:val="en-US" w:eastAsia="zh-CN" w:bidi="ar-SA"/>
        </w:rPr>
        <w:t>1.有力处置违法建设行为</w:t>
      </w:r>
      <w:r>
        <w:rPr>
          <w:rFonts w:hint="eastAsia" w:ascii="仿宋" w:hAnsi="仿宋" w:eastAsia="仿宋" w:cs="仿宋"/>
          <w:b/>
          <w:bCs w:val="0"/>
          <w:kern w:val="44"/>
          <w:sz w:val="32"/>
          <w:szCs w:val="32"/>
          <w:lang w:val="en-US" w:eastAsia="zh-CN" w:bidi="ar-SA"/>
        </w:rPr>
        <w:t>。</w:t>
      </w:r>
      <w:r>
        <w:rPr>
          <w:rFonts w:hint="eastAsia" w:ascii="仿宋" w:hAnsi="仿宋" w:eastAsia="仿宋" w:cs="仿宋"/>
          <w:i w:val="0"/>
          <w:caps w:val="0"/>
          <w:color w:val="333333"/>
          <w:spacing w:val="0"/>
          <w:sz w:val="32"/>
          <w:szCs w:val="32"/>
          <w:shd w:val="clear" w:color="auto" w:fill="FFFFFF"/>
          <w:lang w:eastAsia="zh-CN"/>
        </w:rPr>
        <w:t>一是</w:t>
      </w:r>
      <w:r>
        <w:rPr>
          <w:rFonts w:hint="eastAsia" w:ascii="仿宋" w:hAnsi="仿宋" w:eastAsia="仿宋" w:cs="仿宋"/>
          <w:sz w:val="32"/>
          <w:szCs w:val="32"/>
          <w:lang w:eastAsia="zh-CN"/>
        </w:rPr>
        <w:t>控制新增违法建设。截止目前</w:t>
      </w:r>
      <w:r>
        <w:rPr>
          <w:rFonts w:hint="eastAsia" w:ascii="仿宋" w:hAnsi="仿宋" w:eastAsia="仿宋" w:cs="仿宋"/>
          <w:sz w:val="32"/>
          <w:szCs w:val="32"/>
          <w:lang w:val="en-US" w:eastAsia="zh-CN"/>
        </w:rPr>
        <w:t>立案查处违法建设28起，其中：制止违法建设18起；</w:t>
      </w:r>
      <w:r>
        <w:rPr>
          <w:rFonts w:hint="eastAsia" w:ascii="仿宋" w:hAnsi="仿宋" w:eastAsia="仿宋" w:cs="仿宋"/>
          <w:sz w:val="32"/>
          <w:szCs w:val="32"/>
          <w:lang w:eastAsia="zh-CN"/>
        </w:rPr>
        <w:t>处置新增违法建设共</w:t>
      </w:r>
      <w:r>
        <w:rPr>
          <w:rFonts w:hint="eastAsia" w:ascii="仿宋" w:hAnsi="仿宋" w:eastAsia="仿宋" w:cs="仿宋"/>
          <w:sz w:val="32"/>
          <w:szCs w:val="32"/>
          <w:lang w:val="en-US" w:eastAsia="zh-CN"/>
        </w:rPr>
        <w:t>7起，拆除面积</w:t>
      </w:r>
      <w:r>
        <w:rPr>
          <w:rFonts w:hint="eastAsia" w:ascii="仿宋" w:hAnsi="仿宋" w:eastAsia="仿宋" w:cs="仿宋"/>
          <w:sz w:val="32"/>
          <w:szCs w:val="32"/>
          <w:lang w:eastAsia="zh-CN"/>
        </w:rPr>
        <w:t>共计</w:t>
      </w:r>
      <w:r>
        <w:rPr>
          <w:rFonts w:hint="eastAsia" w:ascii="仿宋" w:hAnsi="仿宋" w:eastAsia="仿宋" w:cs="仿宋"/>
          <w:sz w:val="32"/>
          <w:szCs w:val="32"/>
          <w:lang w:val="en-US" w:eastAsia="zh-CN"/>
        </w:rPr>
        <w:t>1300余</w:t>
      </w:r>
      <w:r>
        <w:rPr>
          <w:rFonts w:hint="eastAsia" w:ascii="仿宋" w:hAnsi="仿宋" w:eastAsia="仿宋" w:cs="仿宋"/>
          <w:sz w:val="32"/>
          <w:szCs w:val="32"/>
          <w:lang w:eastAsia="zh-CN"/>
        </w:rPr>
        <w:t>平方米；处置小区内违法建设</w:t>
      </w:r>
      <w:r>
        <w:rPr>
          <w:rFonts w:hint="eastAsia" w:ascii="仿宋" w:hAnsi="仿宋" w:eastAsia="仿宋" w:cs="仿宋"/>
          <w:sz w:val="32"/>
          <w:szCs w:val="32"/>
          <w:lang w:val="en-US" w:eastAsia="zh-CN"/>
        </w:rPr>
        <w:t>3起，罚款114951.26元。</w:t>
      </w:r>
      <w:r>
        <w:rPr>
          <w:rFonts w:hint="eastAsia" w:ascii="仿宋" w:hAnsi="仿宋" w:eastAsia="仿宋" w:cs="仿宋"/>
          <w:sz w:val="32"/>
          <w:szCs w:val="32"/>
          <w:lang w:eastAsia="zh-CN"/>
        </w:rPr>
        <w:t>要求自行拆除违法建设</w:t>
      </w:r>
      <w:r>
        <w:rPr>
          <w:rFonts w:hint="eastAsia" w:ascii="仿宋" w:hAnsi="仿宋" w:eastAsia="仿宋" w:cs="仿宋"/>
          <w:sz w:val="32"/>
          <w:szCs w:val="32"/>
          <w:lang w:val="en-US" w:eastAsia="zh-CN"/>
        </w:rPr>
        <w:t>4起，拆除面积1000余平方米。二是开展</w:t>
      </w:r>
      <w:r>
        <w:rPr>
          <w:rFonts w:hint="eastAsia" w:ascii="仿宋" w:hAnsi="仿宋" w:eastAsia="仿宋" w:cs="仿宋"/>
          <w:sz w:val="32"/>
          <w:szCs w:val="32"/>
        </w:rPr>
        <w:t>县城规划区内违建构建筑物清理整治专项工作</w:t>
      </w:r>
      <w:r>
        <w:rPr>
          <w:rFonts w:hint="eastAsia" w:ascii="仿宋" w:hAnsi="仿宋" w:eastAsia="仿宋" w:cs="仿宋"/>
          <w:sz w:val="32"/>
          <w:szCs w:val="32"/>
          <w:lang w:eastAsia="zh-CN"/>
        </w:rPr>
        <w:t>。截止目前共处</w:t>
      </w:r>
      <w:r>
        <w:rPr>
          <w:rFonts w:hint="eastAsia" w:ascii="仿宋" w:hAnsi="仿宋" w:eastAsia="仿宋" w:cs="仿宋"/>
          <w:color w:val="auto"/>
          <w:sz w:val="32"/>
          <w:szCs w:val="32"/>
          <w:lang w:eastAsia="zh-CN"/>
        </w:rPr>
        <w:t>罚</w:t>
      </w:r>
      <w:r>
        <w:rPr>
          <w:rFonts w:hint="eastAsia" w:ascii="仿宋" w:hAnsi="仿宋" w:eastAsia="仿宋" w:cs="仿宋"/>
          <w:color w:val="auto"/>
          <w:sz w:val="32"/>
          <w:szCs w:val="32"/>
          <w:lang w:val="en-US" w:eastAsia="zh-CN"/>
        </w:rPr>
        <w:t>355户，涉案金额4271437.28元。</w:t>
      </w: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kern w:val="44"/>
          <w:sz w:val="32"/>
          <w:szCs w:val="32"/>
          <w:lang w:val="en-US" w:eastAsia="zh-CN" w:bidi="ar-SA"/>
        </w:rPr>
        <w:t>2.严厉打击非法开采国土资源行为。</w:t>
      </w:r>
      <w:r>
        <w:rPr>
          <w:rFonts w:hint="eastAsia" w:ascii="仿宋" w:hAnsi="仿宋" w:eastAsia="仿宋" w:cs="仿宋"/>
          <w:b w:val="0"/>
          <w:bCs/>
          <w:sz w:val="32"/>
          <w:szCs w:val="32"/>
          <w:lang w:val="en-US" w:eastAsia="zh-CN"/>
        </w:rPr>
        <w:t>截至目前已查处涉矿产资源案件共9起，总计涉案金额388758.1元。其中：非法开采矿产资源案件7起，涉案金额328358.1；非法转让矿产资源案件2起，涉案金额60400元。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kern w:val="44"/>
          <w:sz w:val="32"/>
          <w:szCs w:val="32"/>
          <w:lang w:val="en-US" w:eastAsia="zh-CN" w:bidi="ar-SA"/>
        </w:rPr>
        <w:t>3.深入开展市容市貌整治工作。</w:t>
      </w:r>
      <w:r>
        <w:rPr>
          <w:rFonts w:hint="eastAsia" w:ascii="仿宋" w:hAnsi="仿宋" w:eastAsia="仿宋" w:cs="仿宋"/>
          <w:i w:val="0"/>
          <w:caps w:val="0"/>
          <w:color w:val="000000"/>
          <w:spacing w:val="0"/>
          <w:sz w:val="32"/>
          <w:szCs w:val="32"/>
          <w:shd w:val="clear" w:color="auto" w:fill="FFFFFF"/>
          <w:lang w:val="en-US" w:eastAsia="zh-CN"/>
        </w:rPr>
        <w:t>一是开展路域环境整治工作。截至目前已查处占用城市道路堆放建筑材料案件1起，罚款1000元。二是开展开展“坐商归店 行商归市”集中整治工作。</w:t>
      </w:r>
      <w:r>
        <w:rPr>
          <w:rFonts w:hint="eastAsia" w:ascii="仿宋" w:hAnsi="仿宋" w:eastAsia="仿宋" w:cs="仿宋"/>
          <w:b w:val="0"/>
          <w:bCs w:val="0"/>
          <w:i w:val="0"/>
          <w:caps w:val="0"/>
          <w:color w:val="000000"/>
          <w:spacing w:val="0"/>
          <w:sz w:val="32"/>
          <w:szCs w:val="32"/>
          <w:shd w:val="clear" w:color="auto" w:fill="FFFFFF"/>
          <w:lang w:val="en-US" w:eastAsia="zh-CN"/>
        </w:rPr>
        <w:t>三是开展占道经营专项整治。</w:t>
      </w:r>
      <w:r>
        <w:rPr>
          <w:rFonts w:hint="eastAsia" w:ascii="仿宋" w:hAnsi="仿宋" w:eastAsia="仿宋" w:cs="仿宋"/>
          <w:b w:val="0"/>
          <w:bCs/>
          <w:sz w:val="32"/>
          <w:szCs w:val="32"/>
          <w:lang w:val="en-US" w:eastAsia="zh-CN"/>
        </w:rPr>
        <w:t>截止目前已规范占道店招店牌100余家，没收占道店招店牌30余个；清理占道建筑材料30余方；规范占道经营机电及三轮车商家4家；</w:t>
      </w:r>
      <w:r>
        <w:rPr>
          <w:rFonts w:hint="eastAsia" w:ascii="仿宋" w:hAnsi="仿宋" w:eastAsia="仿宋" w:cs="仿宋"/>
          <w:i w:val="0"/>
          <w:caps w:val="0"/>
          <w:color w:val="191919"/>
          <w:spacing w:val="0"/>
          <w:sz w:val="32"/>
          <w:szCs w:val="32"/>
          <w:shd w:val="clear" w:color="auto" w:fill="FFFFFF"/>
          <w:lang w:eastAsia="zh-CN"/>
        </w:rPr>
        <w:t>清理地桩地锁</w:t>
      </w:r>
      <w:r>
        <w:rPr>
          <w:rFonts w:hint="eastAsia" w:ascii="仿宋" w:hAnsi="仿宋" w:eastAsia="仿宋" w:cs="仿宋"/>
          <w:i w:val="0"/>
          <w:caps w:val="0"/>
          <w:color w:val="191919"/>
          <w:spacing w:val="0"/>
          <w:sz w:val="32"/>
          <w:szCs w:val="32"/>
          <w:shd w:val="clear" w:color="auto" w:fill="FFFFFF"/>
          <w:lang w:val="en-US" w:eastAsia="zh-CN"/>
        </w:rPr>
        <w:t>40余个</w:t>
      </w:r>
      <w:r>
        <w:rPr>
          <w:rFonts w:hint="eastAsia" w:ascii="仿宋" w:hAnsi="仿宋" w:eastAsia="仿宋" w:cs="仿宋"/>
          <w:b w:val="0"/>
          <w:bCs/>
          <w:sz w:val="32"/>
          <w:szCs w:val="32"/>
          <w:lang w:val="en-US" w:eastAsia="zh-CN"/>
        </w:rPr>
        <w:t>。</w:t>
      </w:r>
      <w:r>
        <w:rPr>
          <w:rFonts w:hint="eastAsia" w:ascii="仿宋" w:hAnsi="仿宋" w:eastAsia="仿宋" w:cs="仿宋"/>
          <w:b w:val="0"/>
          <w:bCs w:val="0"/>
          <w:i w:val="0"/>
          <w:caps w:val="0"/>
          <w:color w:val="000000"/>
          <w:spacing w:val="0"/>
          <w:sz w:val="32"/>
          <w:szCs w:val="32"/>
          <w:shd w:val="clear" w:color="auto" w:fill="FFFFFF"/>
          <w:lang w:val="en-US" w:eastAsia="zh-CN"/>
        </w:rPr>
        <w:t>四是</w:t>
      </w:r>
      <w:r>
        <w:rPr>
          <w:rFonts w:hint="eastAsia" w:ascii="仿宋" w:hAnsi="仿宋" w:eastAsia="仿宋" w:cs="仿宋"/>
          <w:b w:val="0"/>
          <w:bCs w:val="0"/>
          <w:color w:val="333333"/>
          <w:sz w:val="32"/>
          <w:szCs w:val="32"/>
          <w:lang w:eastAsia="zh-CN"/>
        </w:rPr>
        <w:t>开展</w:t>
      </w:r>
      <w:r>
        <w:rPr>
          <w:rFonts w:hint="eastAsia" w:ascii="仿宋" w:hAnsi="仿宋" w:eastAsia="仿宋" w:cs="仿宋"/>
          <w:b w:val="0"/>
          <w:bCs w:val="0"/>
          <w:sz w:val="32"/>
          <w:szCs w:val="32"/>
          <w:lang w:bidi="ar"/>
        </w:rPr>
        <w:t>校园周边</w:t>
      </w:r>
      <w:r>
        <w:rPr>
          <w:rFonts w:hint="eastAsia" w:ascii="仿宋" w:hAnsi="仿宋" w:eastAsia="仿宋" w:cs="仿宋"/>
          <w:b w:val="0"/>
          <w:bCs w:val="0"/>
          <w:sz w:val="32"/>
          <w:szCs w:val="32"/>
          <w:lang w:eastAsia="zh-CN" w:bidi="ar"/>
        </w:rPr>
        <w:t>综合</w:t>
      </w:r>
      <w:r>
        <w:rPr>
          <w:rFonts w:hint="eastAsia" w:ascii="仿宋" w:hAnsi="仿宋" w:eastAsia="仿宋" w:cs="仿宋"/>
          <w:b w:val="0"/>
          <w:bCs w:val="0"/>
          <w:sz w:val="32"/>
          <w:szCs w:val="32"/>
          <w:lang w:bidi="ar"/>
        </w:rPr>
        <w:t>治理工作</w:t>
      </w:r>
      <w:r>
        <w:rPr>
          <w:rFonts w:hint="eastAsia" w:ascii="仿宋" w:hAnsi="仿宋" w:eastAsia="仿宋" w:cs="仿宋"/>
          <w:b w:val="0"/>
          <w:bCs w:val="0"/>
          <w:sz w:val="32"/>
          <w:szCs w:val="32"/>
          <w:lang w:eastAsia="zh-CN" w:bidi="ar"/>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 w:hAnsi="仿宋" w:eastAsia="仿宋" w:cs="仿宋"/>
          <w:b w:val="0"/>
          <w:bCs w:val="0"/>
          <w:i w:val="0"/>
          <w:caps w:val="0"/>
          <w:color w:val="000000"/>
          <w:spacing w:val="0"/>
          <w:sz w:val="32"/>
          <w:szCs w:val="32"/>
          <w:shd w:val="clear" w:color="auto" w:fill="FFFFFF"/>
          <w:lang w:val="en-US" w:eastAsia="zh-CN"/>
        </w:rPr>
      </w:pPr>
      <w:r>
        <w:rPr>
          <w:rFonts w:hint="eastAsia" w:ascii="仿宋" w:hAnsi="仿宋" w:eastAsia="仿宋" w:cs="仿宋"/>
          <w:b w:val="0"/>
          <w:bCs w:val="0"/>
          <w:i w:val="0"/>
          <w:caps w:val="0"/>
          <w:color w:val="000000"/>
          <w:spacing w:val="0"/>
          <w:sz w:val="32"/>
          <w:szCs w:val="32"/>
          <w:shd w:val="clear" w:color="auto" w:fill="FFFFFF"/>
          <w:lang w:val="en-US" w:eastAsia="zh-CN"/>
        </w:rPr>
        <w:t>4.扎实开展文化市场综合执法与监管工作。一是开展娱乐场所专项整治工作。截至目前查处娱乐场所违法经营案件2起，共计罚款10000元。二是开展网吧市场专项整治行动。截至目前查处网吧接纳未成年案件2起，共计罚款12000元。三是开展全县乡镇地面卫星接收情况专项检查工作。对全县21个乡镇地面卫星接收设备进行了摸排和检查。</w:t>
      </w:r>
    </w:p>
    <w:p>
      <w:pPr>
        <w:keepNext w:val="0"/>
        <w:keepLines w:val="0"/>
        <w:pageBreakBefore w:val="0"/>
        <w:widowControl/>
        <w:kinsoku/>
        <w:wordWrap/>
        <w:overflowPunct/>
        <w:topLinePunct w:val="0"/>
        <w:autoSpaceDE/>
        <w:autoSpaceDN/>
        <w:bidi w:val="0"/>
        <w:adjustRightInd/>
        <w:spacing w:line="576" w:lineRule="exact"/>
        <w:ind w:left="210" w:leftChars="100" w:firstLine="640" w:firstLineChars="200"/>
        <w:jc w:val="left"/>
        <w:textAlignment w:val="auto"/>
        <w:rPr>
          <w:rFonts w:hint="eastAsia" w:ascii="黑体" w:hAnsi="黑体" w:eastAsia="黑体" w:cs="仿宋"/>
          <w:sz w:val="32"/>
          <w:szCs w:val="32"/>
        </w:rPr>
      </w:pPr>
      <w:r>
        <w:rPr>
          <w:rFonts w:hint="eastAsia" w:ascii="黑体" w:hAnsi="黑体" w:eastAsia="黑体" w:cs="仿宋"/>
          <w:sz w:val="32"/>
          <w:szCs w:val="32"/>
        </w:rPr>
        <w:t>二、机构设置</w:t>
      </w:r>
    </w:p>
    <w:p>
      <w:pPr>
        <w:keepNext w:val="0"/>
        <w:keepLines w:val="0"/>
        <w:pageBreakBefore w:val="0"/>
        <w:numPr>
          <w:ilvl w:val="0"/>
          <w:numId w:val="0"/>
        </w:numPr>
        <w:kinsoku/>
        <w:wordWrap/>
        <w:overflowPunct/>
        <w:topLinePunct w:val="0"/>
        <w:autoSpaceDE/>
        <w:autoSpaceDN/>
        <w:bidi w:val="0"/>
        <w:adjustRightInd/>
        <w:spacing w:line="576" w:lineRule="exact"/>
        <w:ind w:firstLine="640" w:firstLineChars="200"/>
        <w:textAlignment w:val="auto"/>
        <w:outlineLvl w:val="1"/>
        <w:rPr>
          <w:rFonts w:hint="eastAsia" w:ascii="仿宋_GB2312" w:eastAsia="仿宋_GB2312"/>
          <w:sz w:val="32"/>
          <w:szCs w:val="32"/>
          <w:lang w:val="en-US" w:eastAsia="zh-CN"/>
        </w:rPr>
      </w:pPr>
      <w:r>
        <w:rPr>
          <w:rFonts w:hint="eastAsia" w:ascii="仿宋_GB2312" w:eastAsia="仿宋_GB2312"/>
          <w:sz w:val="32"/>
          <w:szCs w:val="32"/>
          <w:lang w:val="en-US" w:eastAsia="zh-CN"/>
        </w:rPr>
        <w:t>1.机构情况</w:t>
      </w:r>
    </w:p>
    <w:p>
      <w:pPr>
        <w:keepNext w:val="0"/>
        <w:keepLines w:val="0"/>
        <w:pageBreakBefore w:val="0"/>
        <w:numPr>
          <w:ilvl w:val="0"/>
          <w:numId w:val="0"/>
        </w:numPr>
        <w:kinsoku/>
        <w:wordWrap/>
        <w:overflowPunct/>
        <w:topLinePunct w:val="0"/>
        <w:autoSpaceDE/>
        <w:autoSpaceDN/>
        <w:bidi w:val="0"/>
        <w:adjustRightInd/>
        <w:spacing w:line="576" w:lineRule="exact"/>
        <w:ind w:firstLine="640" w:firstLineChars="200"/>
        <w:textAlignment w:val="auto"/>
        <w:outlineLvl w:val="1"/>
        <w:rPr>
          <w:rFonts w:hint="eastAsia" w:ascii="仿宋_GB2312" w:eastAsia="仿宋_GB2312"/>
          <w:sz w:val="32"/>
          <w:szCs w:val="32"/>
          <w:lang w:eastAsia="zh-CN"/>
        </w:rPr>
      </w:pPr>
      <w:r>
        <w:rPr>
          <w:rFonts w:hint="eastAsia" w:ascii="仿宋_GB2312" w:eastAsia="仿宋_GB2312"/>
          <w:sz w:val="32"/>
          <w:szCs w:val="32"/>
        </w:rPr>
        <w:t>县综合执法局设内设机构</w:t>
      </w:r>
      <w:r>
        <w:rPr>
          <w:rFonts w:hint="eastAsia" w:ascii="仿宋_GB2312" w:eastAsia="仿宋_GB2312"/>
          <w:sz w:val="32"/>
          <w:szCs w:val="32"/>
          <w:lang w:val="en-US" w:eastAsia="zh-CN"/>
        </w:rPr>
        <w:t>3个，分别是</w:t>
      </w:r>
      <w:r>
        <w:rPr>
          <w:rFonts w:hint="eastAsia" w:ascii="仿宋_GB2312" w:eastAsia="仿宋_GB2312"/>
          <w:sz w:val="32"/>
          <w:szCs w:val="32"/>
        </w:rPr>
        <w:t>办公室</w:t>
      </w:r>
      <w:r>
        <w:rPr>
          <w:rFonts w:hint="eastAsia" w:ascii="仿宋_GB2312" w:eastAsia="仿宋_GB2312"/>
          <w:sz w:val="32"/>
          <w:szCs w:val="32"/>
          <w:lang w:eastAsia="zh-CN"/>
        </w:rPr>
        <w:t>、</w:t>
      </w:r>
      <w:r>
        <w:rPr>
          <w:rFonts w:hint="eastAsia" w:ascii="仿宋_GB2312" w:eastAsia="仿宋_GB2312"/>
          <w:sz w:val="32"/>
          <w:szCs w:val="32"/>
        </w:rPr>
        <w:t>案件管理和审理股</w:t>
      </w:r>
      <w:r>
        <w:rPr>
          <w:rFonts w:hint="eastAsia" w:ascii="仿宋_GB2312" w:eastAsia="仿宋_GB2312"/>
          <w:sz w:val="32"/>
          <w:szCs w:val="32"/>
          <w:lang w:eastAsia="zh-CN"/>
        </w:rPr>
        <w:t>、</w:t>
      </w:r>
      <w:r>
        <w:rPr>
          <w:rFonts w:hint="eastAsia" w:ascii="仿宋_GB2312" w:eastAsia="仿宋_GB2312"/>
          <w:sz w:val="32"/>
          <w:szCs w:val="32"/>
        </w:rPr>
        <w:t>政工督查股。</w:t>
      </w:r>
      <w:r>
        <w:rPr>
          <w:rFonts w:hint="eastAsia" w:ascii="仿宋_GB2312" w:eastAsia="仿宋_GB2312"/>
          <w:sz w:val="32"/>
          <w:szCs w:val="32"/>
          <w:lang w:eastAsia="zh-CN"/>
        </w:rPr>
        <w:t>直属事业单位</w:t>
      </w:r>
      <w:r>
        <w:rPr>
          <w:rFonts w:hint="eastAsia" w:ascii="仿宋_GB2312" w:eastAsia="仿宋_GB2312"/>
          <w:sz w:val="32"/>
          <w:szCs w:val="32"/>
          <w:lang w:val="en-US" w:eastAsia="zh-CN"/>
        </w:rPr>
        <w:t>4</w:t>
      </w:r>
      <w:r>
        <w:rPr>
          <w:rFonts w:hint="eastAsia" w:ascii="仿宋_GB2312" w:eastAsia="仿宋_GB2312"/>
          <w:sz w:val="32"/>
          <w:szCs w:val="32"/>
          <w:lang w:eastAsia="zh-CN"/>
        </w:rPr>
        <w:t>个，分别是茂县城建监察大队、茂县文化市场综合执法大队、茂县土地执法监察大队、茂县综合行政执法信息服务中心。</w:t>
      </w:r>
    </w:p>
    <w:p>
      <w:pPr>
        <w:pStyle w:val="1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仿宋_GB2312" w:hAnsi="仿宋" w:eastAsia="仿宋_GB2312"/>
          <w:b w:val="0"/>
          <w:bCs w:val="0"/>
          <w:sz w:val="32"/>
          <w:szCs w:val="32"/>
          <w:lang w:eastAsia="zh-CN"/>
        </w:rPr>
      </w:pPr>
      <w:r>
        <w:rPr>
          <w:rFonts w:hint="eastAsia" w:ascii="仿宋_GB2312" w:hAnsi="仿宋" w:eastAsia="仿宋_GB2312"/>
          <w:b w:val="0"/>
          <w:bCs w:val="0"/>
          <w:sz w:val="32"/>
          <w:szCs w:val="32"/>
        </w:rPr>
        <w:t>人员情况</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0" w:firstLineChars="200"/>
        <w:textAlignment w:val="auto"/>
        <w:rPr>
          <w:rFonts w:hint="eastAsia" w:ascii="仿宋_GB2312" w:hAnsi="仿宋" w:eastAsia="仿宋_GB2312"/>
          <w:b/>
          <w:bCs/>
          <w:sz w:val="32"/>
          <w:szCs w:val="32"/>
          <w:lang w:eastAsia="zh-CN"/>
        </w:rPr>
      </w:pPr>
      <w:r>
        <w:rPr>
          <w:rFonts w:hint="eastAsia" w:ascii="仿宋_GB2312" w:hAnsi="仿宋_GB2312" w:eastAsia="仿宋_GB2312" w:cs="仿宋_GB2312"/>
          <w:sz w:val="32"/>
          <w:szCs w:val="32"/>
          <w:lang w:val="en-US" w:eastAsia="zh-CN"/>
        </w:rPr>
        <w:t>目前，我局核定编制44名，其中：行政编制7名、行政工勤编制2名、参公编制32名、事业编制3名；在岗人员共30名；空编共14名，其中：行政2名、行政工勤2名、事业参公9名、事业人员1名。</w:t>
      </w:r>
      <w:r>
        <w:rPr>
          <w:rFonts w:hint="eastAsia" w:ascii="仿宋" w:hAnsi="仿宋" w:eastAsia="仿宋" w:cs="仿宋"/>
          <w:sz w:val="32"/>
          <w:szCs w:val="32"/>
          <w:lang w:val="en-US" w:eastAsia="zh-CN"/>
        </w:rPr>
        <w:t>我局设党组书记、局长1名，党组成员、副局长2名。</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 w:hAnsi="仿宋" w:eastAsia="仿宋"/>
          <w:sz w:val="32"/>
          <w:szCs w:val="32"/>
        </w:rPr>
      </w:pPr>
    </w:p>
    <w:bookmarkEnd w:id="16"/>
    <w:bookmarkEnd w:id="17"/>
    <w:bookmarkEnd w:id="18"/>
    <w:p>
      <w:pPr>
        <w:pStyle w:val="2"/>
        <w:ind w:right="440"/>
        <w:jc w:val="both"/>
        <w:rPr>
          <w:rFonts w:hint="eastAsia" w:ascii="黑体" w:hAnsi="黑体" w:eastAsia="黑体"/>
          <w:b w:val="0"/>
          <w:color w:val="000000"/>
        </w:rPr>
      </w:pPr>
      <w:bookmarkStart w:id="19" w:name="_Toc15377204"/>
      <w:bookmarkStart w:id="20" w:name="_Toc15396602"/>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pStyle w:val="2"/>
        <w:ind w:right="440"/>
        <w:jc w:val="both"/>
        <w:rPr>
          <w:rFonts w:hint="eastAsia" w:ascii="黑体" w:hAnsi="黑体" w:eastAsia="黑体"/>
          <w:b w:val="0"/>
          <w:color w:val="000000"/>
        </w:rPr>
      </w:pPr>
    </w:p>
    <w:p>
      <w:pPr>
        <w:rPr>
          <w:rFonts w:hint="eastAsia"/>
        </w:rPr>
      </w:pPr>
    </w:p>
    <w:p>
      <w:pPr>
        <w:pStyle w:val="2"/>
        <w:ind w:right="440"/>
        <w:jc w:val="both"/>
        <w:rPr>
          <w:rStyle w:val="25"/>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19"/>
      <w:bookmarkEnd w:id="20"/>
    </w:p>
    <w:p/>
    <w:p>
      <w:pPr>
        <w:pStyle w:val="24"/>
        <w:numPr>
          <w:ilvl w:val="0"/>
          <w:numId w:val="2"/>
        </w:numPr>
        <w:spacing w:line="600" w:lineRule="exact"/>
        <w:ind w:firstLineChars="0"/>
        <w:outlineLvl w:val="1"/>
        <w:rPr>
          <w:rStyle w:val="26"/>
          <w:rFonts w:ascii="黑体" w:hAnsi="黑体" w:eastAsia="黑体"/>
          <w:b w:val="0"/>
        </w:rPr>
      </w:pPr>
      <w:bookmarkStart w:id="21" w:name="_Toc15377205"/>
      <w:bookmarkStart w:id="22"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1"/>
      <w:bookmarkEnd w:id="22"/>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376.96万元</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年相比，收入增加</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万元，支出增加</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万元，增长</w:t>
      </w:r>
      <w:r>
        <w:rPr>
          <w:rFonts w:ascii="仿宋" w:hAnsi="仿宋" w:eastAsia="仿宋"/>
          <w:color w:val="000000"/>
          <w:sz w:val="32"/>
          <w:szCs w:val="32"/>
        </w:rPr>
        <w:t>100%</w:t>
      </w:r>
      <w:r>
        <w:rPr>
          <w:rFonts w:hint="eastAsia" w:ascii="仿宋" w:hAnsi="仿宋" w:eastAsia="仿宋"/>
          <w:color w:val="000000"/>
          <w:sz w:val="32"/>
          <w:szCs w:val="32"/>
        </w:rPr>
        <w:t>。主要变动原因是我局是新成立单位。</w:t>
      </w:r>
    </w:p>
    <w:p>
      <w:pPr>
        <w:pStyle w:val="24"/>
        <w:numPr>
          <w:ilvl w:val="0"/>
          <w:numId w:val="2"/>
        </w:numPr>
        <w:spacing w:line="600" w:lineRule="exact"/>
        <w:ind w:firstLineChars="0"/>
        <w:outlineLvl w:val="1"/>
        <w:rPr>
          <w:rStyle w:val="26"/>
          <w:rFonts w:ascii="黑体" w:hAnsi="黑体" w:eastAsia="黑体"/>
          <w:b w:val="0"/>
        </w:rPr>
      </w:pPr>
      <w:bookmarkStart w:id="23" w:name="_Toc15396604"/>
      <w:bookmarkStart w:id="24" w:name="_Toc15377206"/>
      <w:r>
        <w:rPr>
          <w:rStyle w:val="26"/>
          <w:rFonts w:ascii="黑体" w:hAnsi="黑体" w:eastAsia="黑体"/>
          <w:b w:val="0"/>
        </w:rPr>
        <w:drawing>
          <wp:anchor distT="0" distB="0" distL="114300" distR="114300" simplePos="0" relativeHeight="251662336" behindDoc="0" locked="0" layoutInCell="1" allowOverlap="1">
            <wp:simplePos x="0" y="0"/>
            <wp:positionH relativeFrom="column">
              <wp:posOffset>614045</wp:posOffset>
            </wp:positionH>
            <wp:positionV relativeFrom="paragraph">
              <wp:posOffset>120015</wp:posOffset>
            </wp:positionV>
            <wp:extent cx="4271010" cy="3429000"/>
            <wp:effectExtent l="4445" t="4445" r="10795" b="1460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23"/>
      <w:bookmarkEnd w:id="24"/>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420" w:firstLineChars="200"/>
        <w:outlineLvl w:val="1"/>
        <w:rPr>
          <w:rFonts w:ascii="仿宋" w:hAnsi="仿宋" w:eastAsia="仿宋"/>
          <w:color w:val="000000"/>
          <w:sz w:val="32"/>
          <w:szCs w:val="32"/>
        </w:rPr>
      </w:pPr>
      <w:r>
        <w:drawing>
          <wp:anchor distT="0" distB="0" distL="0" distR="0" simplePos="0" relativeHeight="251659264" behindDoc="1" locked="0" layoutInCell="1" allowOverlap="1">
            <wp:simplePos x="0" y="0"/>
            <wp:positionH relativeFrom="column">
              <wp:posOffset>409575</wp:posOffset>
            </wp:positionH>
            <wp:positionV relativeFrom="paragraph">
              <wp:posOffset>-314325</wp:posOffset>
            </wp:positionV>
            <wp:extent cx="4677410" cy="2743835"/>
            <wp:effectExtent l="0" t="0" r="8890" b="18415"/>
            <wp:wrapTight wrapText="bothSides">
              <wp:wrapPolygon>
                <wp:start x="0" y="0"/>
                <wp:lineTo x="0" y="21445"/>
                <wp:lineTo x="21553" y="21445"/>
                <wp:lineTo x="21553"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pStyle w:val="24"/>
        <w:numPr>
          <w:ilvl w:val="0"/>
          <w:numId w:val="2"/>
        </w:numPr>
        <w:spacing w:line="600" w:lineRule="exact"/>
        <w:ind w:firstLineChars="0"/>
        <w:outlineLvl w:val="1"/>
        <w:rPr>
          <w:rStyle w:val="26"/>
          <w:rFonts w:ascii="黑体" w:hAnsi="黑体" w:eastAsia="黑体"/>
          <w:b w:val="0"/>
        </w:rPr>
      </w:pPr>
      <w:bookmarkStart w:id="25" w:name="_Toc15377207"/>
      <w:bookmarkStart w:id="26"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5"/>
      <w:bookmarkEnd w:id="26"/>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309.27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67.7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占18%；</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420" w:firstLineChars="200"/>
        <w:rPr>
          <w:rFonts w:ascii="仿宋_GB2312" w:eastAsia="仿宋_GB2312"/>
          <w:color w:val="FF0000"/>
          <w:sz w:val="32"/>
          <w:szCs w:val="32"/>
        </w:rPr>
      </w:pPr>
      <w:r>
        <w:drawing>
          <wp:anchor distT="0" distB="0" distL="0" distR="0" simplePos="0" relativeHeight="251660288" behindDoc="1" locked="0" layoutInCell="1" allowOverlap="1">
            <wp:simplePos x="0" y="0"/>
            <wp:positionH relativeFrom="column">
              <wp:posOffset>9525</wp:posOffset>
            </wp:positionH>
            <wp:positionV relativeFrom="paragraph">
              <wp:posOffset>114300</wp:posOffset>
            </wp:positionV>
            <wp:extent cx="5274310" cy="2343150"/>
            <wp:effectExtent l="0" t="0" r="2540" b="0"/>
            <wp:wrapTight wrapText="bothSides">
              <wp:wrapPolygon>
                <wp:start x="0" y="0"/>
                <wp:lineTo x="0" y="21424"/>
                <wp:lineTo x="21532" y="21424"/>
                <wp:lineTo x="21532" y="0"/>
                <wp:lineTo x="0" y="0"/>
              </wp:wrapPolygon>
            </wp:wrapTight>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hint="eastAsia" w:ascii="黑体" w:hAnsi="黑体" w:eastAsia="黑体"/>
          <w:color w:val="000000"/>
          <w:sz w:val="32"/>
          <w:szCs w:val="32"/>
        </w:rPr>
      </w:pPr>
      <w:bookmarkStart w:id="27" w:name="_Toc15396606"/>
      <w:bookmarkStart w:id="28" w:name="_Toc15377208"/>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7"/>
      <w:bookmarkEnd w:id="28"/>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376.96万元</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年相比，收入增加</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万元，支出增加</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万元，增</w:t>
      </w:r>
    </w:p>
    <w:p>
      <w:pPr>
        <w:spacing w:line="600" w:lineRule="exact"/>
        <w:ind w:firstLine="640" w:firstLineChars="200"/>
        <w:jc w:val="both"/>
        <w:rPr>
          <w:rFonts w:hint="eastAsia" w:ascii="楷体" w:hAnsi="楷体" w:eastAsia="楷体" w:cs="楷体"/>
          <w:b/>
          <w:color w:val="00B050"/>
          <w:sz w:val="32"/>
          <w:szCs w:val="32"/>
        </w:rPr>
      </w:pPr>
      <w:r>
        <w:rPr>
          <w:rFonts w:hint="eastAsia" w:ascii="仿宋" w:hAnsi="仿宋" w:eastAsia="仿宋"/>
          <w:color w:val="000000"/>
          <w:sz w:val="32"/>
          <w:szCs w:val="32"/>
        </w:rPr>
        <w:t>长</w:t>
      </w:r>
      <w:r>
        <w:rPr>
          <w:rFonts w:ascii="仿宋" w:hAnsi="仿宋" w:eastAsia="仿宋"/>
          <w:color w:val="000000"/>
          <w:sz w:val="32"/>
          <w:szCs w:val="32"/>
        </w:rPr>
        <w:t>100%</w:t>
      </w:r>
      <w:r>
        <w:rPr>
          <w:rFonts w:hint="eastAsia" w:ascii="仿宋" w:hAnsi="仿宋" w:eastAsia="仿宋"/>
          <w:color w:val="000000"/>
          <w:sz w:val="32"/>
          <w:szCs w:val="32"/>
        </w:rPr>
        <w:t>。主要变动原因是我局是新成立单位。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6"/>
          <w:rFonts w:hint="eastAsia" w:ascii="黑体" w:hAnsi="黑体" w:eastAsia="黑体" w:cs="黑体"/>
          <w:b w:val="0"/>
        </w:rPr>
      </w:pPr>
      <w:bookmarkStart w:id="29" w:name="_Toc15396607"/>
      <w:bookmarkStart w:id="30" w:name="_Toc15377209"/>
      <w:r>
        <w:rPr>
          <w:rStyle w:val="26"/>
          <w:rFonts w:ascii="黑体" w:hAnsi="黑体" w:eastAsia="黑体"/>
          <w:b w:val="0"/>
        </w:rPr>
        <w:drawing>
          <wp:anchor distT="0" distB="0" distL="114300" distR="114300" simplePos="0" relativeHeight="251663360" behindDoc="0" locked="0" layoutInCell="1" allowOverlap="1">
            <wp:simplePos x="0" y="0"/>
            <wp:positionH relativeFrom="column">
              <wp:posOffset>118745</wp:posOffset>
            </wp:positionH>
            <wp:positionV relativeFrom="paragraph">
              <wp:posOffset>128270</wp:posOffset>
            </wp:positionV>
            <wp:extent cx="5241925" cy="3429000"/>
            <wp:effectExtent l="4445" t="4445" r="11430" b="1460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黑体" w:hAnsi="黑体" w:eastAsia="黑体" w:cs="黑体"/>
          <w:color w:val="000000"/>
          <w:sz w:val="32"/>
          <w:szCs w:val="32"/>
        </w:rPr>
        <w:t>五、</w:t>
      </w:r>
      <w:r>
        <w:rPr>
          <w:rFonts w:hint="eastAsia" w:ascii="黑体" w:hAnsi="黑体" w:eastAsia="黑体" w:cs="黑体"/>
          <w:b/>
          <w:color w:val="000000"/>
          <w:sz w:val="32"/>
          <w:szCs w:val="32"/>
        </w:rPr>
        <w:t>一</w:t>
      </w:r>
      <w:r>
        <w:rPr>
          <w:rStyle w:val="26"/>
          <w:rFonts w:hint="eastAsia" w:ascii="黑体" w:hAnsi="黑体" w:eastAsia="黑体" w:cs="黑体"/>
          <w:b w:val="0"/>
        </w:rPr>
        <w:t>般公共预算财政拨款支出决算情况说明</w:t>
      </w:r>
      <w:bookmarkEnd w:id="29"/>
      <w:bookmarkEnd w:id="30"/>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color w:val="000000"/>
          <w:sz w:val="32"/>
          <w:szCs w:val="32"/>
        </w:rPr>
      </w:pPr>
      <w:bookmarkStart w:id="31" w:name="_Toc15377210"/>
      <w:r>
        <w:rPr>
          <w:rFonts w:hint="eastAsia" w:ascii="楷体" w:hAnsi="楷体" w:eastAsia="楷体" w:cs="楷体"/>
          <w:b/>
          <w:color w:val="000000"/>
          <w:sz w:val="32"/>
          <w:szCs w:val="32"/>
        </w:rPr>
        <w:t>（一）一般公共预算财政拨款支出决算总体情况</w:t>
      </w:r>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376.96</w:t>
      </w:r>
      <w:r>
        <w:rPr>
          <w:rFonts w:hint="eastAsia" w:ascii="仿宋" w:hAnsi="仿宋" w:eastAsia="仿宋"/>
          <w:color w:val="000000"/>
          <w:sz w:val="32"/>
          <w:szCs w:val="32"/>
        </w:rPr>
        <w:t>万元，增长</w:t>
      </w:r>
      <w:r>
        <w:rPr>
          <w:rFonts w:ascii="仿宋" w:hAnsi="仿宋" w:eastAsia="仿宋"/>
          <w:color w:val="000000"/>
          <w:sz w:val="32"/>
          <w:szCs w:val="32"/>
        </w:rPr>
        <w:t>100%</w:t>
      </w:r>
      <w:r>
        <w:rPr>
          <w:rFonts w:hint="eastAsia" w:ascii="仿宋" w:hAnsi="仿宋" w:eastAsia="仿宋"/>
          <w:color w:val="000000"/>
          <w:sz w:val="32"/>
          <w:szCs w:val="32"/>
        </w:rPr>
        <w:t>。主要变动原因是我局是新成立单位。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olor w:val="000000"/>
          <w:sz w:val="32"/>
          <w:szCs w:val="32"/>
          <w:lang w:eastAsia="zh-CN"/>
        </w:rPr>
      </w:pPr>
      <w:r>
        <w:rPr>
          <w:rStyle w:val="26"/>
          <w:rFonts w:ascii="黑体" w:hAnsi="黑体" w:eastAsia="黑体"/>
          <w:b w:val="0"/>
        </w:rPr>
        <w:drawing>
          <wp:anchor distT="0" distB="0" distL="114300" distR="114300" simplePos="0" relativeHeight="251664384" behindDoc="0" locked="0" layoutInCell="1" allowOverlap="1">
            <wp:simplePos x="0" y="0"/>
            <wp:positionH relativeFrom="column">
              <wp:posOffset>395605</wp:posOffset>
            </wp:positionH>
            <wp:positionV relativeFrom="paragraph">
              <wp:posOffset>162560</wp:posOffset>
            </wp:positionV>
            <wp:extent cx="4508500" cy="3076575"/>
            <wp:effectExtent l="5080" t="4445" r="20320" b="508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outlineLvl w:val="2"/>
        <w:rPr>
          <w:rFonts w:hint="eastAsia" w:ascii="楷体" w:hAnsi="楷体" w:eastAsia="楷体" w:cs="楷体"/>
          <w:b/>
          <w:color w:val="000000"/>
          <w:sz w:val="32"/>
          <w:szCs w:val="32"/>
          <w:lang w:eastAsia="zh-CN"/>
        </w:rPr>
      </w:pPr>
      <w:bookmarkStart w:id="32" w:name="_Toc15377211"/>
    </w:p>
    <w:p>
      <w:pPr>
        <w:spacing w:line="600" w:lineRule="exact"/>
        <w:ind w:firstLine="643" w:firstLineChars="200"/>
        <w:outlineLvl w:val="2"/>
        <w:rPr>
          <w:rFonts w:hint="eastAsia" w:ascii="楷体" w:hAnsi="楷体" w:eastAsia="楷体" w:cs="楷体"/>
          <w:b/>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lang w:eastAsia="zh-CN"/>
        </w:rPr>
        <w:t>（</w:t>
      </w:r>
      <w:r>
        <w:rPr>
          <w:rFonts w:hint="eastAsia" w:ascii="楷体" w:hAnsi="楷体" w:eastAsia="楷体" w:cs="楷体"/>
          <w:b/>
          <w:color w:val="000000"/>
          <w:sz w:val="32"/>
          <w:szCs w:val="32"/>
        </w:rPr>
        <w:t>二）一般公共预算财政拨款支出决算结构情况</w:t>
      </w:r>
      <w:bookmarkEnd w:id="32"/>
    </w:p>
    <w:p>
      <w:pPr>
        <w:snapToGrid w:val="0"/>
        <w:spacing w:line="576" w:lineRule="exact"/>
        <w:ind w:firstLine="640" w:firstLineChars="200"/>
        <w:rPr>
          <w:rFonts w:ascii="仿宋_GB2312" w:hAnsi="仿宋" w:eastAsia="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376.96</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282.1</w:t>
      </w:r>
      <w:r>
        <w:rPr>
          <w:rFonts w:hint="eastAsia" w:ascii="仿宋" w:hAnsi="仿宋" w:eastAsia="仿宋"/>
          <w:color w:val="000000" w:themeColor="text1"/>
          <w:sz w:val="32"/>
          <w:szCs w:val="32"/>
          <w14:textFill>
            <w14:solidFill>
              <w14:schemeClr w14:val="tx1"/>
            </w14:solidFill>
          </w14:textFill>
        </w:rPr>
        <w:t>万元，占</w:t>
      </w:r>
      <w:r>
        <w:rPr>
          <w:rFonts w:ascii="仿宋" w:hAnsi="仿宋" w:eastAsia="仿宋"/>
          <w:color w:val="000000" w:themeColor="text1"/>
          <w:sz w:val="32"/>
          <w:szCs w:val="32"/>
          <w14:textFill>
            <w14:solidFill>
              <w14:schemeClr w14:val="tx1"/>
            </w14:solidFill>
          </w14:textFill>
        </w:rPr>
        <w:t>7</w:t>
      </w:r>
      <w:r>
        <w:rPr>
          <w:rFonts w:hint="eastAsia" w:ascii="仿宋" w:hAnsi="仿宋" w:eastAsia="仿宋"/>
          <w:color w:val="000000" w:themeColor="text1"/>
          <w:sz w:val="32"/>
          <w:szCs w:val="32"/>
          <w:lang w:val="en-US" w:eastAsia="zh-CN"/>
          <w14:textFill>
            <w14:solidFill>
              <w14:schemeClr w14:val="tx1"/>
            </w14:solidFill>
          </w14:textFill>
        </w:rPr>
        <w:t>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42.27</w:t>
      </w:r>
      <w:r>
        <w:rPr>
          <w:rFonts w:hint="eastAsia" w:ascii="仿宋" w:hAnsi="仿宋" w:eastAsia="仿宋"/>
          <w:color w:val="000000" w:themeColor="text1"/>
          <w:sz w:val="32"/>
          <w:szCs w:val="32"/>
          <w14:textFill>
            <w14:solidFill>
              <w14:schemeClr w14:val="tx1"/>
            </w14:solidFill>
          </w14:textFill>
        </w:rPr>
        <w:t>万元，占</w:t>
      </w:r>
      <w:r>
        <w:rPr>
          <w:rFonts w:ascii="仿宋" w:hAnsi="仿宋" w:eastAsia="仿宋"/>
          <w:color w:val="000000" w:themeColor="text1"/>
          <w:sz w:val="32"/>
          <w:szCs w:val="32"/>
          <w14:textFill>
            <w14:solidFill>
              <w14:schemeClr w14:val="tx1"/>
            </w14:solidFill>
          </w14:textFill>
        </w:rPr>
        <w:t>11%</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default" w:ascii="仿宋" w:hAnsi="仿宋" w:eastAsia="仿宋"/>
          <w:b/>
          <w:bCs/>
          <w:color w:val="000000" w:themeColor="text1"/>
          <w:sz w:val="32"/>
          <w:szCs w:val="32"/>
          <w14:textFill>
            <w14:solidFill>
              <w14:schemeClr w14:val="tx1"/>
            </w14:solidFill>
          </w14:textFill>
        </w:rPr>
        <w:t>（类）</w:t>
      </w:r>
      <w:r>
        <w:rPr>
          <w:rFonts w:hint="eastAsia" w:ascii="仿宋" w:hAnsi="仿宋" w:eastAsia="仿宋"/>
          <w:color w:val="000000" w:themeColor="text1"/>
          <w:sz w:val="32"/>
          <w:szCs w:val="32"/>
          <w:lang w:val="en-US" w:eastAsia="zh-CN"/>
          <w14:textFill>
            <w14:solidFill>
              <w14:schemeClr w14:val="tx1"/>
            </w14:solidFill>
          </w14:textFill>
        </w:rPr>
        <w:t>20.43</w:t>
      </w:r>
      <w:r>
        <w:rPr>
          <w:rFonts w:hint="eastAsia" w:ascii="仿宋" w:hAnsi="仿宋" w:eastAsia="仿宋"/>
          <w:color w:val="000000" w:themeColor="text1"/>
          <w:sz w:val="32"/>
          <w:szCs w:val="32"/>
          <w14:textFill>
            <w14:solidFill>
              <w14:schemeClr w14:val="tx1"/>
            </w14:solidFill>
          </w14:textFill>
        </w:rPr>
        <w:t>万元，占</w:t>
      </w:r>
      <w:r>
        <w:rPr>
          <w:rFonts w:ascii="仿宋" w:hAnsi="仿宋" w:eastAsia="仿宋"/>
          <w:color w:val="000000" w:themeColor="text1"/>
          <w:sz w:val="32"/>
          <w:szCs w:val="32"/>
          <w14:textFill>
            <w14:solidFill>
              <w14:schemeClr w14:val="tx1"/>
            </w14:solidFill>
          </w14:textFill>
        </w:rPr>
        <w:t>5%</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default" w:ascii="仿宋" w:hAnsi="仿宋" w:eastAsia="仿宋"/>
          <w:b/>
          <w:bCs/>
          <w:color w:val="000000" w:themeColor="text1"/>
          <w:sz w:val="32"/>
          <w:szCs w:val="32"/>
          <w14:textFill>
            <w14:solidFill>
              <w14:schemeClr w14:val="tx1"/>
            </w14:solidFill>
          </w14:textFill>
        </w:rPr>
        <w:t>（类）</w:t>
      </w:r>
      <w:r>
        <w:rPr>
          <w:rFonts w:hint="eastAsia" w:ascii="仿宋" w:hAnsi="仿宋" w:eastAsia="仿宋"/>
          <w:color w:val="000000" w:themeColor="text1"/>
          <w:sz w:val="32"/>
          <w:szCs w:val="32"/>
          <w:lang w:val="en-US" w:eastAsia="zh-CN"/>
          <w14:textFill>
            <w14:solidFill>
              <w14:schemeClr w14:val="tx1"/>
            </w14:solidFill>
          </w14:textFill>
        </w:rPr>
        <w:t>31.87</w:t>
      </w:r>
      <w:bookmarkStart w:id="69" w:name="_GoBack"/>
      <w:bookmarkEnd w:id="69"/>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b/>
          <w:bCs/>
          <w:color w:val="000000" w:themeColor="text1"/>
          <w:sz w:val="32"/>
          <w:szCs w:val="32"/>
          <w14:textFill>
            <w14:solidFill>
              <w14:schemeClr w14:val="tx1"/>
            </w14:solidFill>
          </w14:textFill>
        </w:rPr>
        <w:t>农林水支出（类）</w:t>
      </w:r>
      <w:r>
        <w:rPr>
          <w:rFonts w:hint="eastAsia" w:ascii="仿宋" w:hAnsi="仿宋" w:eastAsia="仿宋"/>
          <w:color w:val="000000" w:themeColor="text1"/>
          <w:sz w:val="32"/>
          <w:szCs w:val="32"/>
          <w:lang w:val="en-US" w:eastAsia="zh-CN"/>
          <w14:textFill>
            <w14:solidFill>
              <w14:schemeClr w14:val="tx1"/>
            </w14:solidFill>
          </w14:textFill>
        </w:rPr>
        <w:t>0.3</w:t>
      </w:r>
      <w:r>
        <w:rPr>
          <w:rFonts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hAnsi="仿宋" w:eastAsia="仿宋"/>
          <w:color w:val="000000"/>
          <w:sz w:val="32"/>
          <w:szCs w:val="32"/>
        </w:rPr>
      </w:pPr>
      <w:r>
        <w:rPr>
          <w:rFonts w:hint="eastAsia" w:eastAsiaTheme="minorEastAsia"/>
          <w:lang w:eastAsia="zh-CN"/>
        </w:rPr>
        <w:drawing>
          <wp:anchor distT="0" distB="0" distL="114300" distR="114300" simplePos="0" relativeHeight="251665408" behindDoc="0" locked="0" layoutInCell="1" allowOverlap="1">
            <wp:simplePos x="0" y="0"/>
            <wp:positionH relativeFrom="column">
              <wp:posOffset>133350</wp:posOffset>
            </wp:positionH>
            <wp:positionV relativeFrom="paragraph">
              <wp:posOffset>91440</wp:posOffset>
            </wp:positionV>
            <wp:extent cx="5080000" cy="3810000"/>
            <wp:effectExtent l="0" t="0" r="6350"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color w:val="000000"/>
          <w:sz w:val="32"/>
          <w:szCs w:val="32"/>
        </w:rPr>
      </w:pPr>
      <w:bookmarkStart w:id="33" w:name="_Toc15377212"/>
      <w:r>
        <w:rPr>
          <w:rFonts w:hint="eastAsia" w:ascii="楷体" w:hAnsi="楷体" w:eastAsia="楷体" w:cs="楷体"/>
          <w:b/>
          <w:color w:val="000000"/>
          <w:sz w:val="32"/>
          <w:szCs w:val="32"/>
        </w:rPr>
        <w:t>（三）一般公共预算财政拨款支出决算具体情况</w:t>
      </w:r>
      <w:bookmarkEnd w:id="33"/>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color w:val="FF0000"/>
          <w:sz w:val="32"/>
          <w:szCs w:val="32"/>
        </w:rPr>
      </w:pPr>
      <w:bookmarkStart w:id="34" w:name="_Toc15377444"/>
      <w:bookmarkStart w:id="35" w:name="_Toc15377213"/>
      <w:bookmarkStart w:id="36" w:name="_Toc15378460"/>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FF0000"/>
          <w:sz w:val="32"/>
          <w:szCs w:val="32"/>
          <w:lang w:val="en-US" w:eastAsia="zh-CN"/>
        </w:rPr>
        <w:t>376.96</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4"/>
      <w:bookmarkEnd w:id="35"/>
      <w:bookmarkEnd w:id="36"/>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 w:hAnsi="仿宋" w:eastAsia="仿宋"/>
          <w:b/>
          <w:color w:val="000000" w:themeColor="text1"/>
          <w:sz w:val="32"/>
          <w:szCs w:val="32"/>
          <w14:textFill>
            <w14:solidFill>
              <w14:schemeClr w14:val="tx1"/>
            </w14:solidFill>
          </w14:textFill>
        </w:rPr>
      </w:pPr>
      <w:r>
        <w:rPr>
          <w:rStyle w:val="15"/>
          <w:rFonts w:ascii="楷体" w:hAnsi="楷体" w:eastAsia="楷体"/>
          <w:b/>
          <w:bCs w:val="0"/>
          <w:color w:val="000000"/>
          <w:sz w:val="32"/>
          <w:szCs w:val="32"/>
        </w:rPr>
        <w:t>1.</w:t>
      </w:r>
      <w:r>
        <w:rPr>
          <w:rStyle w:val="15"/>
          <w:rFonts w:hint="eastAsia" w:ascii="楷体" w:hAnsi="楷体" w:eastAsia="楷体"/>
          <w:b/>
          <w:bCs w:val="0"/>
          <w:color w:val="000000"/>
          <w:sz w:val="32"/>
          <w:szCs w:val="32"/>
        </w:rPr>
        <w:t>一般公共</w:t>
      </w:r>
      <w:r>
        <w:rPr>
          <w:rStyle w:val="15"/>
          <w:rFonts w:hint="eastAsia" w:ascii="楷体" w:hAnsi="楷体" w:eastAsia="楷体"/>
          <w:b/>
          <w:bCs w:val="0"/>
          <w:color w:val="000000" w:themeColor="text1"/>
          <w:sz w:val="32"/>
          <w:szCs w:val="32"/>
          <w14:textFill>
            <w14:solidFill>
              <w14:schemeClr w14:val="tx1"/>
            </w14:solidFill>
          </w14:textFill>
        </w:rPr>
        <w:t>服务支出（</w:t>
      </w:r>
      <w:r>
        <w:rPr>
          <w:rStyle w:val="15"/>
          <w:rFonts w:hint="eastAsia" w:ascii="楷体" w:hAnsi="楷体" w:eastAsia="楷体"/>
          <w:b/>
          <w:bCs w:val="0"/>
          <w:color w:val="000000" w:themeColor="text1"/>
          <w:sz w:val="32"/>
          <w:szCs w:val="32"/>
          <w:lang w:val="en-US" w:eastAsia="zh-CN"/>
          <w14:textFill>
            <w14:solidFill>
              <w14:schemeClr w14:val="tx1"/>
            </w14:solidFill>
          </w14:textFill>
        </w:rPr>
        <w:t>类</w:t>
      </w:r>
      <w:r>
        <w:rPr>
          <w:rStyle w:val="15"/>
          <w:rFonts w:hint="eastAsia" w:ascii="楷体" w:hAnsi="楷体" w:eastAsia="楷体"/>
          <w:b/>
          <w:bCs w:val="0"/>
          <w:color w:val="000000" w:themeColor="text1"/>
          <w:sz w:val="32"/>
          <w:szCs w:val="32"/>
          <w14:textFill>
            <w14:solidFill>
              <w14:schemeClr w14:val="tx1"/>
            </w14:solidFill>
          </w14:textFill>
        </w:rPr>
        <w:t>）政府办公厅（室）及相关机构事务（</w:t>
      </w:r>
      <w:r>
        <w:rPr>
          <w:rStyle w:val="15"/>
          <w:rFonts w:hint="eastAsia" w:ascii="楷体" w:hAnsi="楷体" w:eastAsia="楷体"/>
          <w:b/>
          <w:bCs w:val="0"/>
          <w:color w:val="000000" w:themeColor="text1"/>
          <w:sz w:val="32"/>
          <w:szCs w:val="32"/>
          <w:lang w:val="en-US" w:eastAsia="zh-CN"/>
          <w14:textFill>
            <w14:solidFill>
              <w14:schemeClr w14:val="tx1"/>
            </w14:solidFill>
          </w14:textFill>
        </w:rPr>
        <w:t>款</w:t>
      </w:r>
      <w:r>
        <w:rPr>
          <w:rStyle w:val="15"/>
          <w:rFonts w:hint="eastAsia" w:ascii="楷体" w:hAnsi="楷体" w:eastAsia="楷体"/>
          <w:b/>
          <w:bCs w:val="0"/>
          <w:color w:val="000000" w:themeColor="text1"/>
          <w:sz w:val="32"/>
          <w:szCs w:val="32"/>
          <w14:textFill>
            <w14:solidFill>
              <w14:schemeClr w14:val="tx1"/>
            </w14:solidFill>
          </w14:textFill>
        </w:rPr>
        <w:t>）行政运行（</w:t>
      </w:r>
      <w:r>
        <w:rPr>
          <w:rStyle w:val="15"/>
          <w:rFonts w:hint="eastAsia" w:ascii="楷体" w:hAnsi="楷体" w:eastAsia="楷体"/>
          <w:b/>
          <w:bCs w:val="0"/>
          <w:color w:val="000000" w:themeColor="text1"/>
          <w:sz w:val="32"/>
          <w:szCs w:val="32"/>
          <w:lang w:val="en-US" w:eastAsia="zh-CN"/>
          <w14:textFill>
            <w14:solidFill>
              <w14:schemeClr w14:val="tx1"/>
            </w14:solidFill>
          </w14:textFill>
        </w:rPr>
        <w:t>项</w:t>
      </w:r>
      <w:r>
        <w:rPr>
          <w:rStyle w:val="15"/>
          <w:rFonts w:hint="eastAsia" w:ascii="楷体" w:hAnsi="楷体" w:eastAsia="楷体"/>
          <w:b/>
          <w:bCs w:val="0"/>
          <w:color w:val="000000" w:themeColor="text1"/>
          <w:sz w:val="32"/>
          <w:szCs w:val="32"/>
          <w14:textFill>
            <w14:solidFill>
              <w14:schemeClr w14:val="tx1"/>
            </w14:solidFill>
          </w14:textFill>
        </w:rPr>
        <w:t>）</w:t>
      </w:r>
      <w:r>
        <w:rPr>
          <w:rStyle w:val="15"/>
          <w:rFonts w:ascii="楷体" w:hAnsi="楷体" w:eastAsia="楷体"/>
          <w:b/>
          <w:bCs w:val="0"/>
          <w:color w:val="000000" w:themeColor="text1"/>
          <w:sz w:val="32"/>
          <w:szCs w:val="32"/>
          <w14:textFill>
            <w14:solidFill>
              <w14:schemeClr w14:val="tx1"/>
            </w14:solidFill>
          </w14:textFill>
        </w:rPr>
        <w:t>:</w:t>
      </w:r>
      <w:r>
        <w:rPr>
          <w:rStyle w:val="15"/>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171.16</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楷体" w:hAnsi="楷体" w:eastAsia="楷体"/>
          <w:b/>
          <w:bCs w:val="0"/>
          <w:color w:val="000000" w:themeColor="text1"/>
          <w:sz w:val="32"/>
          <w:szCs w:val="32"/>
          <w:lang w:val="en-US" w:eastAsia="zh-CN"/>
          <w14:textFill>
            <w14:solidFill>
              <w14:schemeClr w14:val="tx1"/>
            </w14:solidFill>
          </w14:textFill>
        </w:rPr>
        <w:t>2</w:t>
      </w:r>
      <w:r>
        <w:rPr>
          <w:rStyle w:val="15"/>
          <w:rFonts w:ascii="楷体" w:hAnsi="楷体" w:eastAsia="楷体"/>
          <w:b/>
          <w:bCs w:val="0"/>
          <w:color w:val="000000" w:themeColor="text1"/>
          <w:sz w:val="32"/>
          <w:szCs w:val="32"/>
          <w14:textFill>
            <w14:solidFill>
              <w14:schemeClr w14:val="tx1"/>
            </w14:solidFill>
          </w14:textFill>
        </w:rPr>
        <w:t>.</w:t>
      </w:r>
      <w:r>
        <w:rPr>
          <w:rStyle w:val="15"/>
          <w:rFonts w:hint="eastAsia" w:ascii="楷体" w:hAnsi="楷体" w:eastAsia="楷体"/>
          <w:b/>
          <w:bCs w:val="0"/>
          <w:color w:val="000000" w:themeColor="text1"/>
          <w:sz w:val="32"/>
          <w:szCs w:val="32"/>
          <w14:textFill>
            <w14:solidFill>
              <w14:schemeClr w14:val="tx1"/>
            </w14:solidFill>
          </w14:textFill>
        </w:rPr>
        <w:t>一般公共服务支出（</w:t>
      </w:r>
      <w:r>
        <w:rPr>
          <w:rStyle w:val="15"/>
          <w:rFonts w:hint="eastAsia" w:ascii="楷体" w:hAnsi="楷体" w:eastAsia="楷体"/>
          <w:b/>
          <w:bCs w:val="0"/>
          <w:color w:val="000000" w:themeColor="text1"/>
          <w:sz w:val="32"/>
          <w:szCs w:val="32"/>
          <w:lang w:val="en-US" w:eastAsia="zh-CN"/>
          <w14:textFill>
            <w14:solidFill>
              <w14:schemeClr w14:val="tx1"/>
            </w14:solidFill>
          </w14:textFill>
        </w:rPr>
        <w:t>类</w:t>
      </w:r>
      <w:r>
        <w:rPr>
          <w:rStyle w:val="15"/>
          <w:rFonts w:hint="eastAsia" w:ascii="楷体" w:hAnsi="楷体" w:eastAsia="楷体"/>
          <w:b/>
          <w:bCs w:val="0"/>
          <w:color w:val="000000" w:themeColor="text1"/>
          <w:sz w:val="32"/>
          <w:szCs w:val="32"/>
          <w14:textFill>
            <w14:solidFill>
              <w14:schemeClr w14:val="tx1"/>
            </w14:solidFill>
          </w14:textFill>
        </w:rPr>
        <w:t>）政府办公厅（室）及相关机构事务（</w:t>
      </w:r>
      <w:r>
        <w:rPr>
          <w:rStyle w:val="15"/>
          <w:rFonts w:hint="eastAsia" w:ascii="楷体" w:hAnsi="楷体" w:eastAsia="楷体"/>
          <w:b/>
          <w:bCs w:val="0"/>
          <w:color w:val="000000" w:themeColor="text1"/>
          <w:sz w:val="32"/>
          <w:szCs w:val="32"/>
          <w:lang w:val="en-US" w:eastAsia="zh-CN"/>
          <w14:textFill>
            <w14:solidFill>
              <w14:schemeClr w14:val="tx1"/>
            </w14:solidFill>
          </w14:textFill>
        </w:rPr>
        <w:t>款</w:t>
      </w:r>
      <w:r>
        <w:rPr>
          <w:rStyle w:val="15"/>
          <w:rFonts w:hint="eastAsia" w:ascii="楷体" w:hAnsi="楷体" w:eastAsia="楷体"/>
          <w:b/>
          <w:bCs w:val="0"/>
          <w:color w:val="000000" w:themeColor="text1"/>
          <w:sz w:val="32"/>
          <w:szCs w:val="32"/>
          <w14:textFill>
            <w14:solidFill>
              <w14:schemeClr w14:val="tx1"/>
            </w14:solidFill>
          </w14:textFill>
        </w:rPr>
        <w:t>） 一般行政管理事务（</w:t>
      </w:r>
      <w:r>
        <w:rPr>
          <w:rStyle w:val="15"/>
          <w:rFonts w:hint="eastAsia" w:ascii="楷体" w:hAnsi="楷体" w:eastAsia="楷体"/>
          <w:b/>
          <w:bCs w:val="0"/>
          <w:color w:val="000000" w:themeColor="text1"/>
          <w:sz w:val="32"/>
          <w:szCs w:val="32"/>
          <w:lang w:val="en-US" w:eastAsia="zh-CN"/>
          <w14:textFill>
            <w14:solidFill>
              <w14:schemeClr w14:val="tx1"/>
            </w14:solidFill>
          </w14:textFill>
        </w:rPr>
        <w:t>项</w:t>
      </w:r>
      <w:r>
        <w:rPr>
          <w:rStyle w:val="15"/>
          <w:rFonts w:hint="eastAsia" w:ascii="楷体" w:hAnsi="楷体" w:eastAsia="楷体"/>
          <w:b/>
          <w:bCs w:val="0"/>
          <w:color w:val="000000" w:themeColor="text1"/>
          <w:sz w:val="32"/>
          <w:szCs w:val="32"/>
          <w14:textFill>
            <w14:solidFill>
              <w14:schemeClr w14:val="tx1"/>
            </w14:solidFill>
          </w14:textFill>
        </w:rPr>
        <w:t>）</w:t>
      </w:r>
      <w:r>
        <w:rPr>
          <w:rStyle w:val="15"/>
          <w:rFonts w:ascii="楷体" w:hAnsi="楷体" w:eastAsia="楷体"/>
          <w:b/>
          <w:bCs w:val="0"/>
          <w:color w:val="000000" w:themeColor="text1"/>
          <w:sz w:val="32"/>
          <w:szCs w:val="32"/>
          <w14:textFill>
            <w14:solidFill>
              <w14:schemeClr w14:val="tx1"/>
            </w14:solidFill>
          </w14:textFill>
        </w:rPr>
        <w:t>:</w:t>
      </w:r>
      <w:r>
        <w:rPr>
          <w:rStyle w:val="15"/>
          <w:rFonts w:hint="eastAsia" w:ascii="仿宋_GB2312" w:hAnsi="仿宋_GB2312" w:eastAsia="仿宋_GB2312" w:cs="仿宋_GB2312"/>
          <w:b w:val="0"/>
          <w:bCs/>
          <w:color w:val="000000" w:themeColor="text1"/>
          <w:sz w:val="32"/>
          <w:szCs w:val="32"/>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67.4</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15"/>
          <w:rFonts w:hint="eastAsia" w:ascii="仿宋" w:hAnsi="仿宋" w:eastAsia="仿宋"/>
          <w:b w:val="0"/>
          <w:bCs/>
          <w:color w:val="000000"/>
          <w:sz w:val="32"/>
          <w:szCs w:val="32"/>
        </w:rPr>
      </w:pPr>
      <w:r>
        <w:rPr>
          <w:rStyle w:val="15"/>
          <w:rFonts w:hint="eastAsia" w:ascii="楷体" w:hAnsi="楷体" w:eastAsia="楷体"/>
          <w:b/>
          <w:bCs w:val="0"/>
          <w:color w:val="000000" w:themeColor="text1"/>
          <w:sz w:val="32"/>
          <w:szCs w:val="32"/>
          <w:lang w:val="en-US" w:eastAsia="zh-CN"/>
          <w14:textFill>
            <w14:solidFill>
              <w14:schemeClr w14:val="tx1"/>
            </w14:solidFill>
          </w14:textFill>
        </w:rPr>
        <w:t>3</w:t>
      </w:r>
      <w:r>
        <w:rPr>
          <w:rStyle w:val="15"/>
          <w:rFonts w:ascii="楷体" w:hAnsi="楷体" w:eastAsia="楷体"/>
          <w:b/>
          <w:bCs w:val="0"/>
          <w:color w:val="000000" w:themeColor="text1"/>
          <w:sz w:val="32"/>
          <w:szCs w:val="32"/>
          <w14:textFill>
            <w14:solidFill>
              <w14:schemeClr w14:val="tx1"/>
            </w14:solidFill>
          </w14:textFill>
        </w:rPr>
        <w:t>.</w:t>
      </w:r>
      <w:r>
        <w:rPr>
          <w:rStyle w:val="15"/>
          <w:rFonts w:hint="eastAsia" w:ascii="楷体" w:hAnsi="楷体" w:eastAsia="楷体"/>
          <w:b/>
          <w:bCs w:val="0"/>
          <w:color w:val="000000" w:themeColor="text1"/>
          <w:sz w:val="32"/>
          <w:szCs w:val="32"/>
          <w14:textFill>
            <w14:solidFill>
              <w14:schemeClr w14:val="tx1"/>
            </w14:solidFill>
          </w14:textFill>
        </w:rPr>
        <w:t>一般公共服务支出（</w:t>
      </w:r>
      <w:r>
        <w:rPr>
          <w:rStyle w:val="15"/>
          <w:rFonts w:hint="eastAsia" w:ascii="楷体" w:hAnsi="楷体" w:eastAsia="楷体"/>
          <w:b/>
          <w:bCs w:val="0"/>
          <w:color w:val="000000" w:themeColor="text1"/>
          <w:sz w:val="32"/>
          <w:szCs w:val="32"/>
          <w:lang w:val="en-US" w:eastAsia="zh-CN"/>
          <w14:textFill>
            <w14:solidFill>
              <w14:schemeClr w14:val="tx1"/>
            </w14:solidFill>
          </w14:textFill>
        </w:rPr>
        <w:t>类</w:t>
      </w:r>
      <w:r>
        <w:rPr>
          <w:rStyle w:val="15"/>
          <w:rFonts w:hint="eastAsia" w:ascii="楷体" w:hAnsi="楷体" w:eastAsia="楷体"/>
          <w:b/>
          <w:bCs w:val="0"/>
          <w:color w:val="000000" w:themeColor="text1"/>
          <w:sz w:val="32"/>
          <w:szCs w:val="32"/>
          <w14:textFill>
            <w14:solidFill>
              <w14:schemeClr w14:val="tx1"/>
            </w14:solidFill>
          </w14:textFill>
        </w:rPr>
        <w:t>）政府办公厅（室）及相关机构事务（</w:t>
      </w:r>
      <w:r>
        <w:rPr>
          <w:rStyle w:val="15"/>
          <w:rFonts w:hint="eastAsia" w:ascii="楷体" w:hAnsi="楷体" w:eastAsia="楷体"/>
          <w:b/>
          <w:bCs w:val="0"/>
          <w:color w:val="000000" w:themeColor="text1"/>
          <w:sz w:val="32"/>
          <w:szCs w:val="32"/>
          <w:lang w:val="en-US" w:eastAsia="zh-CN"/>
          <w14:textFill>
            <w14:solidFill>
              <w14:schemeClr w14:val="tx1"/>
            </w14:solidFill>
          </w14:textFill>
        </w:rPr>
        <w:t>款</w:t>
      </w:r>
      <w:r>
        <w:rPr>
          <w:rStyle w:val="15"/>
          <w:rFonts w:hint="eastAsia" w:ascii="楷体" w:hAnsi="楷体" w:eastAsia="楷体"/>
          <w:b/>
          <w:bCs w:val="0"/>
          <w:color w:val="000000" w:themeColor="text1"/>
          <w:sz w:val="32"/>
          <w:szCs w:val="32"/>
          <w14:textFill>
            <w14:solidFill>
              <w14:schemeClr w14:val="tx1"/>
            </w14:solidFill>
          </w14:textFill>
        </w:rPr>
        <w:t xml:space="preserve">） </w:t>
      </w:r>
      <w:r>
        <w:rPr>
          <w:rStyle w:val="15"/>
          <w:rFonts w:hint="eastAsia" w:ascii="楷体" w:hAnsi="楷体" w:eastAsia="楷体"/>
          <w:b/>
          <w:bCs w:val="0"/>
          <w:color w:val="000000" w:themeColor="text1"/>
          <w:sz w:val="32"/>
          <w:szCs w:val="32"/>
          <w:lang w:eastAsia="zh-CN"/>
          <w14:textFill>
            <w14:solidFill>
              <w14:schemeClr w14:val="tx1"/>
            </w14:solidFill>
          </w14:textFill>
        </w:rPr>
        <w:t>事业运行</w:t>
      </w:r>
      <w:r>
        <w:rPr>
          <w:rStyle w:val="15"/>
          <w:rFonts w:hint="eastAsia" w:ascii="楷体" w:hAnsi="楷体" w:eastAsia="楷体"/>
          <w:b/>
          <w:bCs w:val="0"/>
          <w:color w:val="000000" w:themeColor="text1"/>
          <w:sz w:val="32"/>
          <w:szCs w:val="32"/>
          <w14:textFill>
            <w14:solidFill>
              <w14:schemeClr w14:val="tx1"/>
            </w14:solidFill>
          </w14:textFill>
        </w:rPr>
        <w:t>（</w:t>
      </w:r>
      <w:r>
        <w:rPr>
          <w:rStyle w:val="15"/>
          <w:rFonts w:hint="eastAsia" w:ascii="楷体" w:hAnsi="楷体" w:eastAsia="楷体"/>
          <w:b/>
          <w:bCs w:val="0"/>
          <w:color w:val="000000" w:themeColor="text1"/>
          <w:sz w:val="32"/>
          <w:szCs w:val="32"/>
          <w:lang w:val="en-US" w:eastAsia="zh-CN"/>
          <w14:textFill>
            <w14:solidFill>
              <w14:schemeClr w14:val="tx1"/>
            </w14:solidFill>
          </w14:textFill>
        </w:rPr>
        <w:t>项</w:t>
      </w:r>
      <w:r>
        <w:rPr>
          <w:rStyle w:val="15"/>
          <w:rFonts w:hint="eastAsia" w:ascii="楷体" w:hAnsi="楷体" w:eastAsia="楷体"/>
          <w:b/>
          <w:bCs w:val="0"/>
          <w:color w:val="000000" w:themeColor="text1"/>
          <w:sz w:val="32"/>
          <w:szCs w:val="32"/>
          <w14:textFill>
            <w14:solidFill>
              <w14:schemeClr w14:val="tx1"/>
            </w14:solidFill>
          </w14:textFill>
        </w:rPr>
        <w:t>）</w:t>
      </w:r>
      <w:r>
        <w:rPr>
          <w:rStyle w:val="15"/>
          <w:rFonts w:ascii="楷体" w:hAnsi="楷体" w:eastAsia="楷体"/>
          <w:b/>
          <w:bCs w:val="0"/>
          <w:color w:val="000000"/>
          <w:sz w:val="32"/>
          <w:szCs w:val="32"/>
        </w:rPr>
        <w:t>:</w:t>
      </w:r>
      <w:r>
        <w:rPr>
          <w:rStyle w:val="15"/>
          <w:rFonts w:hint="eastAsia" w:ascii="仿宋_GB2312" w:hAnsi="仿宋_GB2312" w:eastAsia="仿宋_GB2312" w:cs="仿宋_GB2312"/>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43.54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pPr>
      <w:r>
        <w:rPr>
          <w:rStyle w:val="15"/>
          <w:rFonts w:hint="eastAsia" w:ascii="仿宋" w:hAnsi="仿宋" w:eastAsia="仿宋"/>
          <w:b/>
          <w:bCs w:val="0"/>
          <w:color w:val="000000"/>
          <w:sz w:val="32"/>
          <w:szCs w:val="32"/>
          <w:lang w:val="en-US" w:eastAsia="zh-CN"/>
        </w:rPr>
        <w:t>4.</w:t>
      </w:r>
      <w:r>
        <w:rPr>
          <w:rStyle w:val="15"/>
          <w:rFonts w:hint="eastAsia" w:ascii="仿宋" w:hAnsi="仿宋" w:eastAsia="仿宋"/>
          <w:b/>
          <w:bCs w:val="0"/>
          <w:color w:val="000000"/>
          <w:sz w:val="32"/>
          <w:szCs w:val="32"/>
        </w:rPr>
        <w:t>社会保障和就业支出（</w:t>
      </w:r>
      <w:r>
        <w:rPr>
          <w:rStyle w:val="15"/>
          <w:rFonts w:hint="eastAsia" w:ascii="仿宋" w:hAnsi="仿宋" w:eastAsia="仿宋"/>
          <w:b/>
          <w:bCs w:val="0"/>
          <w:color w:val="000000"/>
          <w:sz w:val="32"/>
          <w:szCs w:val="32"/>
          <w:lang w:val="en-US" w:eastAsia="zh-CN"/>
        </w:rPr>
        <w:t>类</w:t>
      </w:r>
      <w:r>
        <w:rPr>
          <w:rStyle w:val="15"/>
          <w:rFonts w:hint="eastAsia" w:ascii="仿宋" w:hAnsi="仿宋" w:eastAsia="仿宋"/>
          <w:b/>
          <w:bCs w:val="0"/>
          <w:color w:val="000000"/>
          <w:sz w:val="32"/>
          <w:szCs w:val="32"/>
        </w:rPr>
        <w:t>）行政事业单位离退休（</w:t>
      </w:r>
      <w:r>
        <w:rPr>
          <w:rStyle w:val="15"/>
          <w:rFonts w:hint="eastAsia" w:ascii="仿宋" w:hAnsi="仿宋" w:eastAsia="仿宋"/>
          <w:b/>
          <w:bCs w:val="0"/>
          <w:color w:val="000000"/>
          <w:sz w:val="32"/>
          <w:szCs w:val="32"/>
          <w:lang w:val="en-US" w:eastAsia="zh-CN"/>
        </w:rPr>
        <w:t>类</w:t>
      </w:r>
      <w:r>
        <w:rPr>
          <w:rStyle w:val="15"/>
          <w:rFonts w:hint="eastAsia" w:ascii="仿宋" w:hAnsi="仿宋" w:eastAsia="仿宋"/>
          <w:b/>
          <w:bCs w:val="0"/>
          <w:color w:val="000000"/>
          <w:sz w:val="32"/>
          <w:szCs w:val="32"/>
        </w:rPr>
        <w:t>）机关事业单位职业年金缴费支出（</w:t>
      </w:r>
      <w:r>
        <w:rPr>
          <w:rStyle w:val="15"/>
          <w:rFonts w:hint="eastAsia" w:ascii="仿宋" w:hAnsi="仿宋" w:eastAsia="仿宋"/>
          <w:b/>
          <w:bCs w:val="0"/>
          <w:color w:val="000000"/>
          <w:sz w:val="32"/>
          <w:szCs w:val="32"/>
          <w:lang w:val="en-US" w:eastAsia="zh-CN"/>
        </w:rPr>
        <w:t>类</w:t>
      </w:r>
      <w:r>
        <w:rPr>
          <w:rStyle w:val="15"/>
          <w:rFonts w:hint="eastAsia" w:ascii="仿宋" w:hAnsi="仿宋" w:eastAsia="仿宋"/>
          <w:b/>
          <w:bCs w:val="0"/>
          <w:color w:val="000000"/>
          <w:sz w:val="32"/>
          <w:szCs w:val="32"/>
        </w:rPr>
        <w:t>）</w:t>
      </w:r>
      <w:r>
        <w:rPr>
          <w:rStyle w:val="15"/>
          <w:rFonts w:ascii="仿宋" w:hAnsi="仿宋" w:eastAsia="仿宋"/>
          <w:b/>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14.09</w:t>
      </w:r>
      <w:r>
        <w:rPr>
          <w:rStyle w:val="15"/>
          <w:rFonts w:hint="eastAsia" w:ascii="仿宋_GB2312" w:hAnsi="仿宋_GB2312" w:eastAsia="仿宋_GB2312" w:cs="仿宋_GB2312"/>
          <w:b w:val="0"/>
          <w:bCs/>
          <w:color w:val="000000"/>
          <w:sz w:val="32"/>
          <w:szCs w:val="32"/>
        </w:rPr>
        <w:t>万元，完成预算100%</w:t>
      </w:r>
      <w:r>
        <w:rPr>
          <w:rStyle w:val="1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pPr>
      <w:r>
        <w:rPr>
          <w:rStyle w:val="15"/>
          <w:rFonts w:hint="eastAsia" w:ascii="仿宋" w:hAnsi="仿宋" w:eastAsia="仿宋"/>
          <w:b/>
          <w:bCs w:val="0"/>
          <w:color w:val="000000"/>
          <w:sz w:val="32"/>
          <w:szCs w:val="32"/>
          <w:lang w:val="en-US" w:eastAsia="zh-CN"/>
        </w:rPr>
        <w:t>5.</w:t>
      </w:r>
      <w:r>
        <w:rPr>
          <w:rStyle w:val="15"/>
          <w:rFonts w:hint="eastAsia" w:ascii="仿宋" w:hAnsi="仿宋" w:eastAsia="仿宋"/>
          <w:b/>
          <w:bCs w:val="0"/>
          <w:color w:val="000000"/>
          <w:sz w:val="32"/>
          <w:szCs w:val="32"/>
        </w:rPr>
        <w:t>社会保障和就业支出（</w:t>
      </w:r>
      <w:r>
        <w:rPr>
          <w:rStyle w:val="15"/>
          <w:rFonts w:hint="eastAsia" w:ascii="仿宋" w:hAnsi="仿宋" w:eastAsia="仿宋"/>
          <w:b/>
          <w:bCs w:val="0"/>
          <w:color w:val="000000"/>
          <w:sz w:val="32"/>
          <w:szCs w:val="32"/>
          <w:lang w:val="en-US" w:eastAsia="zh-CN"/>
        </w:rPr>
        <w:t>类</w:t>
      </w:r>
      <w:r>
        <w:rPr>
          <w:rStyle w:val="15"/>
          <w:rFonts w:hint="eastAsia" w:ascii="仿宋" w:hAnsi="仿宋" w:eastAsia="仿宋"/>
          <w:b/>
          <w:bCs w:val="0"/>
          <w:color w:val="000000"/>
          <w:sz w:val="32"/>
          <w:szCs w:val="32"/>
        </w:rPr>
        <w:t>）行政事业单位离退休（</w:t>
      </w:r>
      <w:r>
        <w:rPr>
          <w:rStyle w:val="15"/>
          <w:rFonts w:hint="eastAsia" w:ascii="仿宋" w:hAnsi="仿宋" w:eastAsia="仿宋"/>
          <w:b/>
          <w:bCs w:val="0"/>
          <w:color w:val="000000"/>
          <w:sz w:val="32"/>
          <w:szCs w:val="32"/>
          <w:lang w:val="en-US" w:eastAsia="zh-CN"/>
        </w:rPr>
        <w:t>款</w:t>
      </w:r>
      <w:r>
        <w:rPr>
          <w:rStyle w:val="15"/>
          <w:rFonts w:hint="eastAsia" w:ascii="仿宋" w:hAnsi="仿宋" w:eastAsia="仿宋"/>
          <w:b/>
          <w:bCs w:val="0"/>
          <w:color w:val="000000"/>
          <w:sz w:val="32"/>
          <w:szCs w:val="32"/>
        </w:rPr>
        <w:t>）机关事业</w:t>
      </w:r>
      <w:r>
        <w:rPr>
          <w:rStyle w:val="15"/>
          <w:rFonts w:hint="eastAsia" w:ascii="仿宋" w:hAnsi="仿宋" w:eastAsia="仿宋"/>
          <w:b/>
          <w:bCs w:val="0"/>
          <w:color w:val="000000"/>
          <w:sz w:val="32"/>
          <w:szCs w:val="32"/>
          <w:lang w:eastAsia="zh-CN"/>
        </w:rPr>
        <w:t>基本养老保险</w:t>
      </w:r>
      <w:r>
        <w:rPr>
          <w:rStyle w:val="15"/>
          <w:rFonts w:hint="eastAsia" w:ascii="仿宋" w:hAnsi="仿宋" w:eastAsia="仿宋"/>
          <w:b/>
          <w:bCs w:val="0"/>
          <w:color w:val="000000"/>
          <w:sz w:val="32"/>
          <w:szCs w:val="32"/>
        </w:rPr>
        <w:t>缴费支出（</w:t>
      </w:r>
      <w:r>
        <w:rPr>
          <w:rStyle w:val="15"/>
          <w:rFonts w:hint="eastAsia" w:ascii="仿宋" w:hAnsi="仿宋" w:eastAsia="仿宋"/>
          <w:b/>
          <w:bCs w:val="0"/>
          <w:color w:val="000000"/>
          <w:sz w:val="32"/>
          <w:szCs w:val="32"/>
          <w:lang w:val="en-US" w:eastAsia="zh-CN"/>
        </w:rPr>
        <w:t>项</w:t>
      </w:r>
      <w:r>
        <w:rPr>
          <w:rStyle w:val="15"/>
          <w:rFonts w:hint="eastAsia" w:ascii="仿宋" w:hAnsi="仿宋" w:eastAsia="仿宋"/>
          <w:b/>
          <w:bCs w:val="0"/>
          <w:color w:val="000000"/>
          <w:sz w:val="32"/>
          <w:szCs w:val="32"/>
        </w:rPr>
        <w:t>）</w:t>
      </w:r>
      <w:r>
        <w:rPr>
          <w:rStyle w:val="15"/>
          <w:rFonts w:ascii="仿宋" w:hAnsi="仿宋" w:eastAsia="仿宋"/>
          <w:b/>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28.18</w:t>
      </w:r>
      <w:r>
        <w:rPr>
          <w:rStyle w:val="15"/>
          <w:rFonts w:hint="eastAsia" w:ascii="仿宋_GB2312" w:hAnsi="仿宋_GB2312" w:eastAsia="仿宋_GB2312" w:cs="仿宋_GB2312"/>
          <w:b w:val="0"/>
          <w:bCs/>
          <w:color w:val="000000"/>
          <w:sz w:val="32"/>
          <w:szCs w:val="32"/>
        </w:rPr>
        <w:t>万元，完成预算100%</w:t>
      </w:r>
      <w:r>
        <w:rPr>
          <w:rStyle w:val="15"/>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 w:hAnsi="仿宋" w:eastAsia="仿宋"/>
          <w:b/>
          <w:bCs w:val="0"/>
          <w:color w:val="000000"/>
          <w:sz w:val="32"/>
          <w:szCs w:val="32"/>
          <w:lang w:val="en-US" w:eastAsia="zh-CN"/>
        </w:rPr>
        <w:t>6</w:t>
      </w:r>
      <w:r>
        <w:rPr>
          <w:rStyle w:val="15"/>
          <w:rFonts w:ascii="仿宋" w:hAnsi="仿宋" w:eastAsia="仿宋"/>
          <w:b/>
          <w:bCs w:val="0"/>
          <w:color w:val="000000"/>
          <w:sz w:val="32"/>
          <w:szCs w:val="32"/>
        </w:rPr>
        <w:t>.</w:t>
      </w:r>
      <w:r>
        <w:rPr>
          <w:rStyle w:val="15"/>
          <w:rFonts w:hint="eastAsia" w:ascii="仿宋" w:hAnsi="仿宋" w:eastAsia="仿宋"/>
          <w:b/>
          <w:bCs w:val="0"/>
          <w:color w:val="000000"/>
          <w:sz w:val="32"/>
          <w:szCs w:val="32"/>
          <w:lang w:eastAsia="zh-CN"/>
        </w:rPr>
        <w:t>卫生健康支出</w:t>
      </w:r>
      <w:r>
        <w:rPr>
          <w:rStyle w:val="15"/>
          <w:rFonts w:hint="eastAsia" w:ascii="仿宋" w:hAnsi="仿宋" w:eastAsia="仿宋"/>
          <w:b/>
          <w:bCs w:val="0"/>
          <w:color w:val="000000"/>
          <w:sz w:val="32"/>
          <w:szCs w:val="32"/>
        </w:rPr>
        <w:t>（</w:t>
      </w:r>
      <w:r>
        <w:rPr>
          <w:rStyle w:val="15"/>
          <w:rFonts w:hint="eastAsia" w:ascii="仿宋" w:hAnsi="仿宋" w:eastAsia="仿宋"/>
          <w:b/>
          <w:bCs w:val="0"/>
          <w:color w:val="000000"/>
          <w:sz w:val="32"/>
          <w:szCs w:val="32"/>
          <w:lang w:val="en-US" w:eastAsia="zh-CN"/>
        </w:rPr>
        <w:t>类</w:t>
      </w:r>
      <w:r>
        <w:rPr>
          <w:rStyle w:val="15"/>
          <w:rFonts w:hint="eastAsia" w:ascii="仿宋" w:hAnsi="仿宋" w:eastAsia="仿宋"/>
          <w:b/>
          <w:bCs w:val="0"/>
          <w:color w:val="000000"/>
          <w:sz w:val="32"/>
          <w:szCs w:val="32"/>
        </w:rPr>
        <w:t>）行政事业单位医疗（</w:t>
      </w:r>
      <w:r>
        <w:rPr>
          <w:rStyle w:val="15"/>
          <w:rFonts w:hint="eastAsia" w:ascii="仿宋" w:hAnsi="仿宋" w:eastAsia="仿宋"/>
          <w:b/>
          <w:bCs w:val="0"/>
          <w:color w:val="000000"/>
          <w:sz w:val="32"/>
          <w:szCs w:val="32"/>
          <w:lang w:val="en-US" w:eastAsia="zh-CN"/>
        </w:rPr>
        <w:t>款</w:t>
      </w:r>
      <w:r>
        <w:rPr>
          <w:rStyle w:val="15"/>
          <w:rFonts w:hint="eastAsia" w:ascii="仿宋" w:hAnsi="仿宋" w:eastAsia="仿宋"/>
          <w:b/>
          <w:bCs w:val="0"/>
          <w:color w:val="000000"/>
          <w:sz w:val="32"/>
          <w:szCs w:val="32"/>
        </w:rPr>
        <w:t>）行政单位医疗（</w:t>
      </w:r>
      <w:r>
        <w:rPr>
          <w:rStyle w:val="15"/>
          <w:rFonts w:hint="eastAsia" w:ascii="仿宋" w:hAnsi="仿宋" w:eastAsia="仿宋"/>
          <w:b/>
          <w:bCs w:val="0"/>
          <w:color w:val="000000"/>
          <w:sz w:val="32"/>
          <w:szCs w:val="32"/>
          <w:lang w:val="en-US" w:eastAsia="zh-CN"/>
        </w:rPr>
        <w:t>项</w:t>
      </w:r>
      <w:r>
        <w:rPr>
          <w:rStyle w:val="15"/>
          <w:rFonts w:hint="eastAsia" w:ascii="仿宋" w:hAnsi="仿宋" w:eastAsia="仿宋"/>
          <w:b/>
          <w:bCs w:val="0"/>
          <w:color w:val="000000"/>
          <w:sz w:val="32"/>
          <w:szCs w:val="32"/>
        </w:rPr>
        <w:t>）</w:t>
      </w:r>
      <w:r>
        <w:rPr>
          <w:rStyle w:val="15"/>
          <w:rFonts w:ascii="仿宋" w:hAnsi="仿宋" w:eastAsia="仿宋"/>
          <w:b/>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16</w:t>
      </w:r>
      <w:r>
        <w:rPr>
          <w:rStyle w:val="15"/>
          <w:rFonts w:hint="eastAsia" w:ascii="仿宋_GB2312" w:hAnsi="仿宋_GB2312" w:eastAsia="仿宋_GB2312" w:cs="仿宋_GB2312"/>
          <w:b w:val="0"/>
          <w:bCs/>
          <w:color w:val="000000"/>
          <w:sz w:val="32"/>
          <w:szCs w:val="32"/>
        </w:rPr>
        <w:t>万元，完成预算100%。</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 w:hAnsi="仿宋" w:eastAsia="仿宋"/>
          <w:b/>
          <w:bCs w:val="0"/>
          <w:color w:val="000000"/>
          <w:sz w:val="32"/>
          <w:szCs w:val="32"/>
          <w:lang w:val="en-US" w:eastAsia="zh-CN"/>
        </w:rPr>
        <w:t>7</w:t>
      </w:r>
      <w:r>
        <w:rPr>
          <w:rStyle w:val="15"/>
          <w:rFonts w:ascii="仿宋" w:hAnsi="仿宋" w:eastAsia="仿宋"/>
          <w:b/>
          <w:bCs w:val="0"/>
          <w:color w:val="000000"/>
          <w:sz w:val="32"/>
          <w:szCs w:val="32"/>
        </w:rPr>
        <w:t>.</w:t>
      </w:r>
      <w:r>
        <w:rPr>
          <w:rStyle w:val="15"/>
          <w:rFonts w:hint="eastAsia" w:ascii="仿宋" w:hAnsi="仿宋" w:eastAsia="仿宋"/>
          <w:b/>
          <w:bCs w:val="0"/>
          <w:color w:val="000000"/>
          <w:sz w:val="32"/>
          <w:szCs w:val="32"/>
          <w:lang w:eastAsia="zh-CN"/>
        </w:rPr>
        <w:t>卫生健康支出</w:t>
      </w:r>
      <w:r>
        <w:rPr>
          <w:rStyle w:val="15"/>
          <w:rFonts w:hint="eastAsia" w:ascii="仿宋" w:hAnsi="仿宋" w:eastAsia="仿宋"/>
          <w:b/>
          <w:bCs w:val="0"/>
          <w:color w:val="000000"/>
          <w:sz w:val="32"/>
          <w:szCs w:val="32"/>
        </w:rPr>
        <w:t>（</w:t>
      </w:r>
      <w:r>
        <w:rPr>
          <w:rStyle w:val="15"/>
          <w:rFonts w:hint="eastAsia" w:ascii="仿宋" w:hAnsi="仿宋" w:eastAsia="仿宋"/>
          <w:b/>
          <w:bCs w:val="0"/>
          <w:color w:val="000000"/>
          <w:sz w:val="32"/>
          <w:szCs w:val="32"/>
          <w:lang w:val="en-US" w:eastAsia="zh-CN"/>
        </w:rPr>
        <w:t>类</w:t>
      </w:r>
      <w:r>
        <w:rPr>
          <w:rStyle w:val="15"/>
          <w:rFonts w:hint="eastAsia" w:ascii="仿宋" w:hAnsi="仿宋" w:eastAsia="仿宋"/>
          <w:b/>
          <w:bCs w:val="0"/>
          <w:color w:val="000000"/>
          <w:sz w:val="32"/>
          <w:szCs w:val="32"/>
        </w:rPr>
        <w:t>）行政事业单位医疗（</w:t>
      </w:r>
      <w:r>
        <w:rPr>
          <w:rStyle w:val="15"/>
          <w:rFonts w:hint="eastAsia" w:ascii="仿宋" w:hAnsi="仿宋" w:eastAsia="仿宋"/>
          <w:b/>
          <w:bCs w:val="0"/>
          <w:color w:val="000000"/>
          <w:sz w:val="32"/>
          <w:szCs w:val="32"/>
          <w:lang w:val="en-US" w:eastAsia="zh-CN"/>
        </w:rPr>
        <w:t>款</w:t>
      </w:r>
      <w:r>
        <w:rPr>
          <w:rStyle w:val="15"/>
          <w:rFonts w:hint="eastAsia" w:ascii="仿宋" w:hAnsi="仿宋" w:eastAsia="仿宋"/>
          <w:b/>
          <w:bCs w:val="0"/>
          <w:color w:val="000000"/>
          <w:sz w:val="32"/>
          <w:szCs w:val="32"/>
        </w:rPr>
        <w:t>）行政单位医疗（</w:t>
      </w:r>
      <w:r>
        <w:rPr>
          <w:rStyle w:val="15"/>
          <w:rFonts w:hint="eastAsia" w:ascii="仿宋" w:hAnsi="仿宋" w:eastAsia="仿宋"/>
          <w:b/>
          <w:bCs w:val="0"/>
          <w:color w:val="000000"/>
          <w:sz w:val="32"/>
          <w:szCs w:val="32"/>
          <w:lang w:val="en-US" w:eastAsia="zh-CN"/>
        </w:rPr>
        <w:t>项</w:t>
      </w:r>
      <w:r>
        <w:rPr>
          <w:rStyle w:val="15"/>
          <w:rFonts w:hint="eastAsia" w:ascii="仿宋" w:hAnsi="仿宋" w:eastAsia="仿宋"/>
          <w:b/>
          <w:bCs w:val="0"/>
          <w:color w:val="000000"/>
          <w:sz w:val="32"/>
          <w:szCs w:val="32"/>
        </w:rPr>
        <w:t>）</w:t>
      </w:r>
      <w:r>
        <w:rPr>
          <w:rStyle w:val="15"/>
          <w:rFonts w:ascii="仿宋" w:hAnsi="仿宋" w:eastAsia="仿宋"/>
          <w:b/>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4.43</w:t>
      </w:r>
      <w:r>
        <w:rPr>
          <w:rStyle w:val="15"/>
          <w:rFonts w:hint="eastAsia" w:ascii="仿宋_GB2312" w:hAnsi="仿宋_GB2312" w:eastAsia="仿宋_GB2312" w:cs="仿宋_GB2312"/>
          <w:b w:val="0"/>
          <w:bCs/>
          <w:color w:val="000000"/>
          <w:sz w:val="32"/>
          <w:szCs w:val="32"/>
        </w:rPr>
        <w:t>万元，完成预算100%。</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lang w:eastAsia="zh-CN"/>
        </w:rPr>
      </w:pPr>
      <w:r>
        <w:rPr>
          <w:rStyle w:val="15"/>
          <w:rFonts w:hint="eastAsia" w:ascii="仿宋" w:hAnsi="仿宋" w:eastAsia="仿宋"/>
          <w:b/>
          <w:bCs w:val="0"/>
          <w:color w:val="000000"/>
          <w:sz w:val="32"/>
          <w:szCs w:val="32"/>
          <w:lang w:val="en-US" w:eastAsia="zh-CN"/>
        </w:rPr>
        <w:t>8</w:t>
      </w:r>
      <w:r>
        <w:rPr>
          <w:rStyle w:val="15"/>
          <w:rFonts w:ascii="仿宋" w:hAnsi="仿宋" w:eastAsia="仿宋"/>
          <w:b/>
          <w:bCs w:val="0"/>
          <w:color w:val="000000"/>
          <w:sz w:val="32"/>
          <w:szCs w:val="32"/>
        </w:rPr>
        <w:t>.</w:t>
      </w:r>
      <w:r>
        <w:rPr>
          <w:rStyle w:val="15"/>
          <w:rFonts w:hint="eastAsia" w:ascii="仿宋" w:hAnsi="仿宋" w:eastAsia="仿宋"/>
          <w:b/>
          <w:bCs w:val="0"/>
          <w:color w:val="000000"/>
          <w:sz w:val="32"/>
          <w:szCs w:val="32"/>
        </w:rPr>
        <w:t>住房保障支出（</w:t>
      </w:r>
      <w:r>
        <w:rPr>
          <w:rStyle w:val="15"/>
          <w:rFonts w:hint="eastAsia" w:ascii="仿宋" w:hAnsi="仿宋" w:eastAsia="仿宋"/>
          <w:b/>
          <w:bCs w:val="0"/>
          <w:color w:val="000000"/>
          <w:sz w:val="32"/>
          <w:szCs w:val="32"/>
          <w:lang w:val="en-US" w:eastAsia="zh-CN"/>
        </w:rPr>
        <w:t>类</w:t>
      </w:r>
      <w:r>
        <w:rPr>
          <w:rStyle w:val="15"/>
          <w:rFonts w:hint="eastAsia" w:ascii="仿宋" w:hAnsi="仿宋" w:eastAsia="仿宋"/>
          <w:b/>
          <w:bCs w:val="0"/>
          <w:color w:val="000000"/>
          <w:sz w:val="32"/>
          <w:szCs w:val="32"/>
        </w:rPr>
        <w:t>）住房改革支出（</w:t>
      </w:r>
      <w:r>
        <w:rPr>
          <w:rStyle w:val="15"/>
          <w:rFonts w:hint="eastAsia" w:ascii="仿宋" w:hAnsi="仿宋" w:eastAsia="仿宋"/>
          <w:b/>
          <w:bCs w:val="0"/>
          <w:color w:val="000000"/>
          <w:sz w:val="32"/>
          <w:szCs w:val="32"/>
          <w:lang w:val="en-US" w:eastAsia="zh-CN"/>
        </w:rPr>
        <w:t>款</w:t>
      </w:r>
      <w:r>
        <w:rPr>
          <w:rStyle w:val="15"/>
          <w:rFonts w:hint="eastAsia" w:ascii="仿宋" w:hAnsi="仿宋" w:eastAsia="仿宋"/>
          <w:b/>
          <w:bCs w:val="0"/>
          <w:color w:val="000000"/>
          <w:sz w:val="32"/>
          <w:szCs w:val="32"/>
        </w:rPr>
        <w:t>）住房公积金（</w:t>
      </w:r>
      <w:r>
        <w:rPr>
          <w:rStyle w:val="15"/>
          <w:rFonts w:hint="eastAsia" w:ascii="仿宋" w:hAnsi="仿宋" w:eastAsia="仿宋"/>
          <w:b/>
          <w:bCs w:val="0"/>
          <w:color w:val="000000"/>
          <w:sz w:val="32"/>
          <w:szCs w:val="32"/>
          <w:lang w:val="en-US" w:eastAsia="zh-CN"/>
        </w:rPr>
        <w:t>项</w:t>
      </w:r>
      <w:r>
        <w:rPr>
          <w:rStyle w:val="15"/>
          <w:rFonts w:hint="eastAsia" w:ascii="仿宋" w:hAnsi="仿宋" w:eastAsia="仿宋"/>
          <w:b/>
          <w:bCs w:val="0"/>
          <w:color w:val="000000"/>
          <w:sz w:val="32"/>
          <w:szCs w:val="32"/>
        </w:rPr>
        <w:t>）</w:t>
      </w:r>
      <w:r>
        <w:rPr>
          <w:rStyle w:val="15"/>
          <w:rFonts w:ascii="仿宋" w:hAnsi="仿宋" w:eastAsia="仿宋"/>
          <w:b/>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30.85</w:t>
      </w:r>
      <w:r>
        <w:rPr>
          <w:rStyle w:val="15"/>
          <w:rFonts w:hint="eastAsia" w:ascii="仿宋_GB2312" w:hAnsi="仿宋_GB2312" w:eastAsia="仿宋_GB2312" w:cs="仿宋_GB2312"/>
          <w:b w:val="0"/>
          <w:bCs/>
          <w:color w:val="000000"/>
          <w:sz w:val="32"/>
          <w:szCs w:val="32"/>
        </w:rPr>
        <w:t>万元，完成预算100%</w:t>
      </w:r>
      <w:r>
        <w:rPr>
          <w:rStyle w:val="15"/>
          <w:rFonts w:hint="eastAsia" w:ascii="仿宋_GB2312" w:hAnsi="仿宋_GB2312" w:eastAsia="仿宋_GB2312" w:cs="仿宋_GB2312"/>
          <w:b w:val="0"/>
          <w:bCs/>
          <w:color w:val="000000"/>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Style w:val="15"/>
          <w:rFonts w:hint="eastAsia" w:ascii="仿宋_GB2312" w:hAnsi="仿宋_GB2312" w:eastAsia="仿宋_GB2312" w:cs="仿宋_GB2312"/>
          <w:b w:val="0"/>
          <w:bCs/>
          <w:color w:val="000000"/>
          <w:sz w:val="32"/>
          <w:szCs w:val="32"/>
          <w:lang w:eastAsia="zh-CN"/>
        </w:rPr>
      </w:pPr>
      <w:r>
        <w:rPr>
          <w:rStyle w:val="15"/>
          <w:rFonts w:hint="eastAsia" w:ascii="仿宋" w:hAnsi="仿宋" w:eastAsia="仿宋"/>
          <w:b/>
          <w:bCs w:val="0"/>
          <w:color w:val="000000"/>
          <w:sz w:val="32"/>
          <w:szCs w:val="32"/>
          <w:lang w:val="en-US" w:eastAsia="zh-CN"/>
        </w:rPr>
        <w:t>9</w:t>
      </w:r>
      <w:r>
        <w:rPr>
          <w:rStyle w:val="15"/>
          <w:rFonts w:ascii="仿宋" w:hAnsi="仿宋" w:eastAsia="仿宋"/>
          <w:b/>
          <w:bCs w:val="0"/>
          <w:color w:val="000000"/>
          <w:sz w:val="32"/>
          <w:szCs w:val="32"/>
        </w:rPr>
        <w:t>.</w:t>
      </w:r>
      <w:r>
        <w:rPr>
          <w:rStyle w:val="15"/>
          <w:rFonts w:hint="eastAsia" w:ascii="仿宋" w:hAnsi="仿宋" w:eastAsia="仿宋"/>
          <w:b/>
          <w:bCs w:val="0"/>
          <w:color w:val="000000"/>
          <w:sz w:val="32"/>
          <w:szCs w:val="32"/>
        </w:rPr>
        <w:t>住房保障支出（</w:t>
      </w:r>
      <w:r>
        <w:rPr>
          <w:rStyle w:val="15"/>
          <w:rFonts w:hint="eastAsia" w:ascii="仿宋" w:hAnsi="仿宋" w:eastAsia="仿宋"/>
          <w:b/>
          <w:bCs w:val="0"/>
          <w:color w:val="000000"/>
          <w:sz w:val="32"/>
          <w:szCs w:val="32"/>
          <w:lang w:val="en-US" w:eastAsia="zh-CN"/>
        </w:rPr>
        <w:t>类</w:t>
      </w:r>
      <w:r>
        <w:rPr>
          <w:rStyle w:val="15"/>
          <w:rFonts w:hint="eastAsia" w:ascii="仿宋" w:hAnsi="仿宋" w:eastAsia="仿宋"/>
          <w:b/>
          <w:bCs w:val="0"/>
          <w:color w:val="000000"/>
          <w:sz w:val="32"/>
          <w:szCs w:val="32"/>
        </w:rPr>
        <w:t>）住房改革支出（</w:t>
      </w:r>
      <w:r>
        <w:rPr>
          <w:rStyle w:val="15"/>
          <w:rFonts w:hint="eastAsia" w:ascii="仿宋" w:hAnsi="仿宋" w:eastAsia="仿宋"/>
          <w:b/>
          <w:bCs w:val="0"/>
          <w:color w:val="000000"/>
          <w:sz w:val="32"/>
          <w:szCs w:val="32"/>
          <w:lang w:val="en-US" w:eastAsia="zh-CN"/>
        </w:rPr>
        <w:t>款</w:t>
      </w:r>
      <w:r>
        <w:rPr>
          <w:rStyle w:val="15"/>
          <w:rFonts w:hint="eastAsia" w:ascii="仿宋" w:hAnsi="仿宋" w:eastAsia="仿宋"/>
          <w:b/>
          <w:bCs w:val="0"/>
          <w:color w:val="000000"/>
          <w:sz w:val="32"/>
          <w:szCs w:val="32"/>
        </w:rPr>
        <w:t>）</w:t>
      </w:r>
      <w:r>
        <w:rPr>
          <w:rStyle w:val="15"/>
          <w:rFonts w:hint="eastAsia" w:ascii="仿宋" w:hAnsi="仿宋" w:eastAsia="仿宋"/>
          <w:b/>
          <w:bCs w:val="0"/>
          <w:color w:val="000000"/>
          <w:sz w:val="32"/>
          <w:szCs w:val="32"/>
          <w:lang w:eastAsia="zh-CN"/>
        </w:rPr>
        <w:t>购房补贴</w:t>
      </w:r>
      <w:r>
        <w:rPr>
          <w:rStyle w:val="15"/>
          <w:rFonts w:hint="eastAsia" w:ascii="仿宋" w:hAnsi="仿宋" w:eastAsia="仿宋"/>
          <w:b/>
          <w:bCs w:val="0"/>
          <w:color w:val="000000"/>
          <w:sz w:val="32"/>
          <w:szCs w:val="32"/>
        </w:rPr>
        <w:t>（</w:t>
      </w:r>
      <w:r>
        <w:rPr>
          <w:rStyle w:val="15"/>
          <w:rFonts w:hint="eastAsia" w:ascii="仿宋" w:hAnsi="仿宋" w:eastAsia="仿宋"/>
          <w:b/>
          <w:bCs w:val="0"/>
          <w:color w:val="000000"/>
          <w:sz w:val="32"/>
          <w:szCs w:val="32"/>
          <w:lang w:val="en-US" w:eastAsia="zh-CN"/>
        </w:rPr>
        <w:t>项</w:t>
      </w:r>
      <w:r>
        <w:rPr>
          <w:rStyle w:val="15"/>
          <w:rFonts w:hint="eastAsia" w:ascii="仿宋" w:hAnsi="仿宋" w:eastAsia="仿宋"/>
          <w:b/>
          <w:bCs w:val="0"/>
          <w:color w:val="000000"/>
          <w:sz w:val="32"/>
          <w:szCs w:val="32"/>
        </w:rPr>
        <w:t>）</w:t>
      </w:r>
      <w:r>
        <w:rPr>
          <w:rStyle w:val="15"/>
          <w:rFonts w:ascii="仿宋" w:hAnsi="仿宋" w:eastAsia="仿宋"/>
          <w:b/>
          <w:bCs w:val="0"/>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1.02</w:t>
      </w:r>
      <w:r>
        <w:rPr>
          <w:rStyle w:val="15"/>
          <w:rFonts w:hint="eastAsia" w:ascii="仿宋_GB2312" w:hAnsi="仿宋_GB2312" w:eastAsia="仿宋_GB2312" w:cs="仿宋_GB2312"/>
          <w:b w:val="0"/>
          <w:bCs/>
          <w:color w:val="000000"/>
          <w:sz w:val="32"/>
          <w:szCs w:val="32"/>
        </w:rPr>
        <w:t>万元，完成预算100%</w:t>
      </w:r>
      <w:r>
        <w:rPr>
          <w:rStyle w:val="15"/>
          <w:rFonts w:hint="eastAsia" w:ascii="仿宋_GB2312" w:hAnsi="仿宋_GB2312" w:eastAsia="仿宋_GB2312" w:cs="仿宋_GB2312"/>
          <w:b w:val="0"/>
          <w:bCs/>
          <w:color w:val="000000"/>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10</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农林水支出</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val="en-US" w:eastAsia="zh-CN"/>
        </w:rPr>
        <w:t>类</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扶贫</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val="en-US" w:eastAsia="zh-CN"/>
        </w:rPr>
        <w:t>款</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eastAsia="zh-CN"/>
        </w:rPr>
        <w:t>其他扶贫支出</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val="en-US" w:eastAsia="zh-CN"/>
        </w:rPr>
        <w:t>项</w:t>
      </w:r>
      <w:r>
        <w:rPr>
          <w:rStyle w:val="15"/>
          <w:rFonts w:hint="eastAsia" w:ascii="仿宋" w:hAnsi="仿宋" w:eastAsia="仿宋"/>
          <w:bCs/>
          <w:color w:val="000000"/>
          <w:sz w:val="32"/>
          <w:szCs w:val="32"/>
        </w:rPr>
        <w:t>）</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keepNext w:val="0"/>
        <w:keepLines w:val="0"/>
        <w:pageBreakBefore w:val="0"/>
        <w:tabs>
          <w:tab w:val="right" w:pos="8306"/>
        </w:tabs>
        <w:kinsoku/>
        <w:wordWrap/>
        <w:overflowPunct/>
        <w:topLinePunct w:val="0"/>
        <w:autoSpaceDE/>
        <w:autoSpaceDN/>
        <w:bidi w:val="0"/>
        <w:adjustRightInd/>
        <w:snapToGrid/>
        <w:spacing w:line="576" w:lineRule="exact"/>
        <w:ind w:firstLine="640" w:firstLineChars="200"/>
        <w:textAlignment w:val="auto"/>
        <w:outlineLvl w:val="1"/>
        <w:rPr>
          <w:rStyle w:val="26"/>
        </w:rPr>
      </w:pPr>
      <w:bookmarkStart w:id="37" w:name="_Toc15396608"/>
      <w:bookmarkStart w:id="3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7"/>
      <w:bookmarkEnd w:id="38"/>
      <w:r>
        <w:rPr>
          <w:rStyle w:val="26"/>
          <w:rFonts w:ascii="黑体" w:hAnsi="黑体" w:eastAsia="黑体"/>
          <w:b w:val="0"/>
        </w:rPr>
        <w:tab/>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309.27</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288.74</w:t>
      </w:r>
      <w:r>
        <w:rPr>
          <w:rFonts w:hint="eastAsia" w:ascii="仿宋" w:hAnsi="仿宋" w:eastAsia="仿宋"/>
          <w:color w:val="000000"/>
          <w:sz w:val="32"/>
          <w:szCs w:val="32"/>
        </w:rPr>
        <w:t>万元，主要包括：基本工资、津贴补贴、奖金、绩效工资、机关事业单位基本养老保险缴费、职业年金缴费、其他社会保障缴费、住房公积金</w:t>
      </w:r>
      <w:r>
        <w:rPr>
          <w:rFonts w:hint="eastAsia" w:ascii="仿宋" w:hAnsi="仿宋" w:eastAsia="仿宋"/>
          <w:color w:val="000000"/>
          <w:sz w:val="32"/>
          <w:szCs w:val="32"/>
          <w:lang w:eastAsia="zh-CN"/>
        </w:rPr>
        <w:t>。</w:t>
      </w:r>
    </w:p>
    <w:p>
      <w:pPr>
        <w:spacing w:line="600" w:lineRule="exact"/>
        <w:rPr>
          <w:rFonts w:ascii="仿宋" w:hAnsi="仿宋" w:eastAsia="仿宋"/>
          <w:color w:val="000000"/>
          <w:sz w:val="32"/>
          <w:szCs w:val="32"/>
        </w:rPr>
      </w:pP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20.52</w:t>
      </w:r>
      <w:r>
        <w:rPr>
          <w:rFonts w:hint="eastAsia" w:ascii="仿宋" w:hAnsi="仿宋" w:eastAsia="仿宋"/>
          <w:color w:val="000000"/>
          <w:sz w:val="32"/>
          <w:szCs w:val="32"/>
        </w:rPr>
        <w:t>万元，主要包括：办公费、电费、邮电费、差旅费、培训费。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outlineLvl w:val="1"/>
        <w:rPr>
          <w:rStyle w:val="26"/>
          <w:rFonts w:ascii="黑体" w:hAnsi="黑体" w:eastAsia="黑体"/>
          <w:b w:val="0"/>
        </w:rPr>
      </w:pPr>
      <w:bookmarkStart w:id="39" w:name="_Toc15396609"/>
      <w:bookmarkStart w:id="40"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9"/>
      <w:bookmarkEnd w:id="40"/>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（一）“三公”经费财政拨款支出决算总体情况说明</w:t>
      </w:r>
    </w:p>
    <w:p>
      <w:pPr>
        <w:snapToGrid w:val="0"/>
        <w:spacing w:line="576" w:lineRule="exact"/>
        <w:ind w:firstLine="640" w:firstLineChars="200"/>
        <w:rPr>
          <w:rFonts w:hint="eastAsia" w:ascii="仿宋" w:hAnsi="仿宋" w:eastAsia="仿宋_GB2312"/>
          <w:color w:val="000000"/>
          <w:sz w:val="32"/>
          <w:szCs w:val="32"/>
          <w:lang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lang w:val="en-US" w:eastAsia="zh-CN"/>
        </w:rPr>
        <w:t>由于</w:t>
      </w:r>
      <w:r>
        <w:rPr>
          <w:rFonts w:hint="eastAsia" w:ascii="仿宋_GB2312" w:hAnsi="仿宋" w:eastAsia="仿宋_GB2312" w:cs="仿宋"/>
          <w:sz w:val="32"/>
          <w:szCs w:val="32"/>
          <w:lang w:val="en-US" w:eastAsia="zh-CN"/>
        </w:rPr>
        <w:t>我单位为新成立单位，无上年对比数据。</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41" w:name="_Toc15377217"/>
      <w:r>
        <w:rPr>
          <w:rFonts w:hint="eastAsia" w:ascii="仿宋" w:hAnsi="仿宋" w:eastAsia="仿宋"/>
          <w:b/>
          <w:color w:val="000000"/>
          <w:sz w:val="32"/>
          <w:szCs w:val="32"/>
        </w:rPr>
        <w:t>（二）“三公”经费财政拨款支出决算具体情况说明</w:t>
      </w:r>
      <w:bookmarkEnd w:id="41"/>
    </w:p>
    <w:p>
      <w:pPr>
        <w:numPr>
          <w:ilvl w:val="0"/>
          <w:numId w:val="0"/>
        </w:numPr>
        <w:tabs>
          <w:tab w:val="left" w:pos="1200"/>
        </w:tabs>
        <w:spacing w:line="576" w:lineRule="exact"/>
        <w:ind w:leftChars="200" w:firstLine="640" w:firstLineChars="200"/>
        <w:rPr>
          <w:rFonts w:hint="default" w:ascii="仿宋_GB2312" w:hAnsi="仿宋" w:eastAsia="仿宋_GB2312" w:cs="黑体"/>
          <w:sz w:val="32"/>
          <w:szCs w:val="32"/>
          <w:lang w:val="en-US" w:eastAsia="zh-CN"/>
        </w:rPr>
      </w:pPr>
      <w:r>
        <w:rPr>
          <w:rFonts w:hint="eastAsia" w:ascii="仿宋_GB2312" w:hAnsi="仿宋" w:eastAsia="仿宋_GB2312" w:cs="黑体"/>
          <w:sz w:val="32"/>
          <w:szCs w:val="32"/>
          <w:lang w:val="en-US" w:eastAsia="zh-CN"/>
        </w:rPr>
        <w:t>本单位无“三公”经费。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b/>
          <w:color w:val="000000"/>
          <w:sz w:val="32"/>
          <w:szCs w:val="32"/>
          <w:lang w:eastAsia="zh-CN"/>
        </w:rPr>
      </w:pPr>
      <w:r>
        <w:rPr>
          <w:rFonts w:ascii="楷体" w:hAnsi="楷体" w:eastAsia="楷体"/>
          <w:sz w:val="32"/>
          <w:szCs w:val="32"/>
        </w:rPr>
        <w:drawing>
          <wp:anchor distT="0" distB="0" distL="0" distR="0" simplePos="0" relativeHeight="251661312" behindDoc="0" locked="0" layoutInCell="1" allowOverlap="1">
            <wp:simplePos x="0" y="0"/>
            <wp:positionH relativeFrom="column">
              <wp:posOffset>6350</wp:posOffset>
            </wp:positionH>
            <wp:positionV relativeFrom="paragraph">
              <wp:posOffset>133350</wp:posOffset>
            </wp:positionV>
            <wp:extent cx="5274310" cy="2381250"/>
            <wp:effectExtent l="0" t="0" r="2540" b="0"/>
            <wp:wrapSquare wrapText="bothSides"/>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6"/>
          <w:rFonts w:ascii="黑体" w:hAnsi="黑体" w:eastAsia="黑体"/>
        </w:rPr>
      </w:pPr>
      <w:bookmarkStart w:id="42" w:name="_Toc15396610"/>
      <w:bookmarkStart w:id="43" w:name="_Toc1537721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2"/>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firstLine="640" w:firstLineChars="200"/>
        <w:textAlignment w:val="auto"/>
        <w:outlineLvl w:val="1"/>
        <w:rPr>
          <w:rStyle w:val="26"/>
          <w:rFonts w:ascii="黑体" w:hAnsi="黑体" w:eastAsia="黑体"/>
          <w:b w:val="0"/>
        </w:rPr>
      </w:pPr>
      <w:bookmarkStart w:id="44" w:name="_Toc15377219"/>
      <w:bookmarkStart w:id="45" w:name="_Toc15396611"/>
      <w:r>
        <w:rPr>
          <w:rStyle w:val="26"/>
          <w:rFonts w:hint="eastAsia" w:ascii="黑体" w:hAnsi="黑体" w:eastAsia="黑体"/>
          <w:b w:val="0"/>
        </w:rPr>
        <w:t>国有资本经营预算支出决算情况说明</w:t>
      </w:r>
      <w:bookmarkEnd w:id="44"/>
      <w:bookmarkEnd w:id="4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26"/>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46"/>
      <w:bookmarkEnd w:id="47"/>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 w:hAnsi="楷体" w:eastAsia="楷体" w:cs="楷体"/>
          <w:color w:val="000000"/>
          <w:sz w:val="32"/>
          <w:szCs w:val="32"/>
        </w:rPr>
      </w:pPr>
      <w:bookmarkStart w:id="48" w:name="_Toc15377222"/>
      <w:r>
        <w:rPr>
          <w:rFonts w:hint="eastAsia" w:ascii="楷体" w:hAnsi="楷体" w:eastAsia="楷体" w:cs="楷体"/>
          <w:b/>
          <w:color w:val="000000"/>
          <w:sz w:val="32"/>
          <w:szCs w:val="32"/>
        </w:rPr>
        <w:t>（一）机关运行经费支出情况</w:t>
      </w:r>
      <w:bookmarkEnd w:id="48"/>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茂县综合执法局</w:t>
      </w:r>
      <w:r>
        <w:rPr>
          <w:rFonts w:hint="eastAsia" w:ascii="仿宋_GB2312" w:eastAsia="仿宋_GB2312"/>
          <w:color w:val="000000"/>
          <w:sz w:val="32"/>
          <w:szCs w:val="32"/>
        </w:rPr>
        <w:t>机关运行经费支出</w:t>
      </w:r>
      <w:r>
        <w:rPr>
          <w:rFonts w:hint="eastAsia" w:ascii="仿宋_GB2312" w:eastAsia="仿宋_GB2312"/>
          <w:color w:val="000000" w:themeColor="text1"/>
          <w:sz w:val="32"/>
          <w:szCs w:val="32"/>
          <w:lang w:val="en-US" w:eastAsia="zh-CN"/>
          <w14:textFill>
            <w14:solidFill>
              <w14:schemeClr w14:val="tx1"/>
            </w14:solidFill>
          </w14:textFill>
        </w:rPr>
        <w:t>20.52</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sz w:val="32"/>
          <w:szCs w:val="32"/>
        </w:rPr>
        <w:t>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color w:val="000000"/>
          <w:sz w:val="32"/>
          <w:szCs w:val="32"/>
        </w:rPr>
      </w:pPr>
      <w:bookmarkStart w:id="49" w:name="_Toc15377223"/>
      <w:r>
        <w:rPr>
          <w:rFonts w:hint="eastAsia" w:ascii="楷体" w:hAnsi="楷体" w:eastAsia="楷体" w:cs="楷体"/>
          <w:b/>
          <w:color w:val="000000"/>
          <w:sz w:val="32"/>
          <w:szCs w:val="32"/>
        </w:rPr>
        <w:t>（二）政府采购支出情况</w:t>
      </w:r>
      <w:bookmarkEnd w:id="49"/>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年，政府采购支出情况我单位不涉及。</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color w:val="000000"/>
          <w:sz w:val="32"/>
          <w:szCs w:val="32"/>
        </w:rPr>
      </w:pPr>
      <w:bookmarkStart w:id="50" w:name="_Toc15377224"/>
      <w:r>
        <w:rPr>
          <w:rFonts w:hint="eastAsia" w:ascii="楷体" w:hAnsi="楷体" w:eastAsia="楷体" w:cs="楷体"/>
          <w:b/>
          <w:color w:val="000000"/>
          <w:sz w:val="32"/>
          <w:szCs w:val="32"/>
        </w:rPr>
        <w:t>（三）国有资产占有使用情况</w:t>
      </w:r>
      <w:bookmarkEnd w:id="50"/>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 w:hAnsi="仿宋" w:eastAsia="仿宋"/>
          <w:b/>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lang w:eastAsia="zh-CN"/>
          <w14:textFill>
            <w14:solidFill>
              <w14:schemeClr w14:val="tx1"/>
            </w14:solidFill>
          </w14:textFill>
        </w:rPr>
        <w:t>我单位</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w:t>
      </w:r>
      <w:r>
        <w:rPr>
          <w:rFonts w:hint="eastAsia" w:ascii="仿宋_GB2312" w:hAnsi="仿宋_GB2312" w:eastAsia="仿宋_GB2312" w:cs="仿宋_GB2312"/>
          <w:color w:val="000000" w:themeColor="text1"/>
          <w:sz w:val="32"/>
          <w:szCs w:val="32"/>
          <w14:textFill>
            <w14:solidFill>
              <w14:schemeClr w14:val="tx1"/>
            </w14:solidFill>
          </w14:textFill>
        </w:rPr>
        <w:t>不涉及车辆占有使用情况。单价50万元以上通用设备0台，单价100万元以上专用设备0台。</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left"/>
        <w:textAlignment w:val="auto"/>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本部门无专项预算项</w:t>
      </w:r>
      <w:r>
        <w:rPr>
          <w:rFonts w:hint="eastAsia" w:ascii="仿宋_GB2312" w:hAnsi="仿宋_GB2312" w:eastAsia="仿宋_GB2312" w:cs="仿宋_GB2312"/>
          <w:sz w:val="32"/>
          <w:szCs w:val="32"/>
          <w:lang w:val="en-US" w:eastAsia="zh-CN"/>
        </w:rPr>
        <w:t>目</w:t>
      </w:r>
      <w:r>
        <w:rPr>
          <w:rFonts w:hint="eastAsia" w:ascii="仿宋_GB2312" w:hAnsi="仿宋_GB2312" w:eastAsia="仿宋_GB2312" w:cs="仿宋_GB2312"/>
          <w:sz w:val="32"/>
          <w:szCs w:val="32"/>
          <w:lang w:eastAsia="zh-CN"/>
        </w:rPr>
        <w:t>。</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自查自评结果良好，全年基本支出保证了部门的正常运行和日常工作的正常开展，项目支出保障了重点工作的开展，绩效目标得到较好实现，绩效管理水平不断提高，绩效指标体系逐渐 丰富和完善。</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numPr>
          <w:ilvl w:val="0"/>
          <w:numId w:val="4"/>
        </w:numPr>
        <w:spacing w:line="600" w:lineRule="exact"/>
        <w:ind w:firstLine="660" w:firstLineChars="150"/>
        <w:jc w:val="center"/>
        <w:outlineLvl w:val="0"/>
        <w:rPr>
          <w:rStyle w:val="25"/>
          <w:rFonts w:ascii="黑体" w:hAnsi="黑体" w:eastAsia="黑体"/>
          <w:b w:val="0"/>
        </w:rPr>
      </w:pPr>
      <w:bookmarkStart w:id="51" w:name="_Toc15396613"/>
      <w:bookmarkStart w:id="52"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51"/>
      <w:bookmarkEnd w:id="52"/>
    </w:p>
    <w:p>
      <w:pPr>
        <w:spacing w:line="600" w:lineRule="exact"/>
        <w:jc w:val="left"/>
        <w:rPr>
          <w:rFonts w:ascii="宋体"/>
          <w:b/>
          <w:color w:val="000000"/>
          <w:sz w:val="44"/>
          <w:szCs w:val="44"/>
        </w:rPr>
      </w:pP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bookmarkStart w:id="53" w:name="_Toc15377226"/>
      <w:r>
        <w:rPr>
          <w:rFonts w:hint="eastAsia" w:ascii="仿宋_GB2312" w:hAnsi="仿宋_GB2312" w:eastAsia="仿宋_GB2312" w:cs="仿宋_GB2312"/>
          <w:sz w:val="32"/>
          <w:szCs w:val="32"/>
        </w:rPr>
        <w:t>1.财政拨款收入：指单位从同级财政部门取得的财政预算资金。</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年末结转和结余：指单位按有关规定结转到下年或以后年度继续使用的资金。</w:t>
      </w:r>
    </w:p>
    <w:p>
      <w:pPr>
        <w:keepNext w:val="0"/>
        <w:keepLines w:val="0"/>
        <w:pageBreakBefore w:val="0"/>
        <w:kinsoku/>
        <w:wordWrap/>
        <w:overflowPunct/>
        <w:topLinePunct w:val="0"/>
        <w:autoSpaceDE w:val="0"/>
        <w:autoSpaceDN w:val="0"/>
        <w:bidi w:val="0"/>
        <w:adjustRightInd w:val="0"/>
        <w:snapToGrid/>
        <w:spacing w:line="576" w:lineRule="exact"/>
        <w:ind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w:t>
      </w:r>
      <w:r>
        <w:rPr>
          <w:rFonts w:hint="eastAsia" w:ascii="仿宋_GB2312" w:hAnsi="仿宋_GB2312" w:eastAsia="仿宋_GB2312" w:cs="仿宋_GB2312"/>
          <w:color w:val="000000" w:themeColor="text1"/>
          <w:kern w:val="0"/>
          <w:sz w:val="32"/>
          <w:szCs w:val="32"/>
          <w14:textFill>
            <w14:solidFill>
              <w14:schemeClr w14:val="tx1"/>
            </w14:solidFill>
          </w14:textFill>
        </w:rPr>
        <w:t>一般公共服务支出（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类</w:t>
      </w:r>
      <w:r>
        <w:rPr>
          <w:rFonts w:hint="eastAsia" w:ascii="仿宋_GB2312" w:hAnsi="仿宋_GB2312" w:eastAsia="仿宋_GB2312" w:cs="仿宋_GB2312"/>
          <w:color w:val="000000" w:themeColor="text1"/>
          <w:kern w:val="0"/>
          <w:sz w:val="32"/>
          <w:szCs w:val="32"/>
          <w14:textFill>
            <w14:solidFill>
              <w14:schemeClr w14:val="tx1"/>
            </w14:solidFill>
          </w14:textFill>
        </w:rPr>
        <w:t>）政府办公厅（室）及相关机构事务（</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款</w:t>
      </w:r>
      <w:r>
        <w:rPr>
          <w:rFonts w:hint="eastAsia" w:ascii="仿宋_GB2312" w:hAnsi="仿宋_GB2312" w:eastAsia="仿宋_GB2312" w:cs="仿宋_GB2312"/>
          <w:color w:val="000000" w:themeColor="text1"/>
          <w:kern w:val="0"/>
          <w:sz w:val="32"/>
          <w:szCs w:val="32"/>
          <w14:textFill>
            <w14:solidFill>
              <w14:schemeClr w14:val="tx1"/>
            </w14:solidFill>
          </w14:textFill>
        </w:rPr>
        <w:t>）行政运行（</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项</w:t>
      </w:r>
      <w:r>
        <w:rPr>
          <w:rFonts w:hint="eastAsia" w:ascii="仿宋_GB2312" w:hAnsi="仿宋_GB2312" w:eastAsia="仿宋_GB2312" w:cs="仿宋_GB2312"/>
          <w:color w:val="000000" w:themeColor="text1"/>
          <w:kern w:val="0"/>
          <w:sz w:val="32"/>
          <w:szCs w:val="32"/>
          <w14:textFill>
            <w14:solidFill>
              <w14:schemeClr w14:val="tx1"/>
            </w14:solidFill>
          </w14:textFill>
        </w:rPr>
        <w:t>）：指机关及参公管理事业单位用于保障机构正常运行、开展日常工作的基本支出。</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10.社会保障和就业（类）行政事业单位离退休（款）机关事业单位基本养老保险缴费支出（项）：指部门实施养老保险制度由单位缴纳的养老保险费的支出。</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11.社会保障和就业（类）行政事业单位离退休（款）机关事业单位职业年金缴费支出（项）：指部门实施养老保险制度由单位缴纳的职业年金的支出。</w:t>
      </w:r>
    </w:p>
    <w:p>
      <w:pPr>
        <w:keepNext w:val="0"/>
        <w:keepLines w:val="0"/>
        <w:pageBreakBefore w:val="0"/>
        <w:widowControl/>
        <w:kinsoku/>
        <w:wordWrap/>
        <w:overflowPunct/>
        <w:topLinePunct w:val="0"/>
        <w:bidi w:val="0"/>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12.医疗卫生与计划生育（类）行政事业单位医疗（款）行政单位医疗（项）：指本</w:t>
      </w:r>
      <w:r>
        <w:rPr>
          <w:rFonts w:hint="eastAsia" w:ascii="仿宋_GB2312" w:hAnsi="仿宋_GB2312" w:eastAsia="仿宋_GB2312" w:cs="仿宋_GB2312"/>
          <w:color w:val="000000"/>
          <w:kern w:val="0"/>
          <w:sz w:val="32"/>
          <w:szCs w:val="32"/>
        </w:rPr>
        <w:t>单位用于缴纳单位基本医疗保险支出。</w:t>
      </w:r>
    </w:p>
    <w:p>
      <w:pPr>
        <w:keepNext w:val="0"/>
        <w:keepLines w:val="0"/>
        <w:pageBreakBefore w:val="0"/>
        <w:widowControl/>
        <w:kinsoku/>
        <w:wordWrap/>
        <w:overflowPunct/>
        <w:topLinePunct w:val="0"/>
        <w:bidi w:val="0"/>
        <w:snapToGrid/>
        <w:spacing w:line="576"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13.住房保障（类）住房改革（款）住房公积金（项）：指</w:t>
      </w:r>
      <w:r>
        <w:rPr>
          <w:rFonts w:hint="eastAsia" w:ascii="仿宋_GB2312" w:hAnsi="仿宋_GB2312" w:eastAsia="仿宋_GB2312" w:cs="仿宋_GB2312"/>
          <w:color w:val="000000"/>
          <w:kern w:val="0"/>
          <w:sz w:val="32"/>
          <w:szCs w:val="32"/>
        </w:rPr>
        <w:t>行政事业单位按规定为职工缴纳的住房公积金。</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bidi w:val="0"/>
        <w:snapToGrid/>
        <w:spacing w:line="576" w:lineRule="exact"/>
        <w:ind w:firstLine="883" w:firstLineChars="200"/>
        <w:jc w:val="both"/>
        <w:textAlignment w:val="auto"/>
        <w:outlineLvl w:val="0"/>
        <w:rPr>
          <w:rFonts w:ascii="黑体" w:hAnsi="宋体" w:eastAsia="黑体" w:cs="宋体"/>
          <w:color w:val="000000"/>
          <w:kern w:val="0"/>
          <w:sz w:val="24"/>
          <w:szCs w:val="32"/>
          <w:shd w:val="clear" w:color="auto" w:fill="FFFFFF"/>
        </w:rPr>
      </w:pPr>
      <w:r>
        <w:rPr>
          <w:rFonts w:ascii="宋体"/>
          <w:b/>
          <w:color w:val="000000"/>
          <w:sz w:val="44"/>
          <w:szCs w:val="44"/>
        </w:rPr>
        <w:br w:type="page"/>
      </w:r>
      <w:bookmarkStart w:id="54" w:name="_Toc15396614"/>
      <w:r>
        <w:rPr>
          <w:rFonts w:hint="eastAsia" w:ascii="宋体"/>
          <w:b/>
          <w:color w:val="000000"/>
          <w:sz w:val="44"/>
          <w:szCs w:val="44"/>
          <w:lang w:val="en-US" w:eastAsia="zh-CN"/>
        </w:rPr>
        <w:t xml:space="preserve">          </w:t>
      </w:r>
      <w:r>
        <w:rPr>
          <w:rFonts w:hint="eastAsia" w:ascii="黑体" w:hAnsi="黑体" w:eastAsia="黑体"/>
          <w:color w:val="000000"/>
          <w:sz w:val="44"/>
          <w:szCs w:val="44"/>
        </w:rPr>
        <w:t>第</w:t>
      </w:r>
      <w:r>
        <w:rPr>
          <w:rStyle w:val="25"/>
          <w:rFonts w:hint="eastAsia" w:ascii="黑体" w:hAnsi="黑体" w:eastAsia="黑体"/>
          <w:b w:val="0"/>
        </w:rPr>
        <w:t xml:space="preserve">四部分 </w:t>
      </w:r>
      <w:bookmarkEnd w:id="54"/>
    </w:p>
    <w:p>
      <w:pPr>
        <w:keepNext w:val="0"/>
        <w:keepLines w:val="0"/>
        <w:pageBreakBefore w:val="0"/>
        <w:kinsoku/>
        <w:wordWrap/>
        <w:overflowPunct/>
        <w:topLinePunct w:val="0"/>
        <w:autoSpaceDE/>
        <w:autoSpaceDN/>
        <w:bidi w:val="0"/>
        <w:spacing w:line="576" w:lineRule="exact"/>
        <w:ind w:firstLine="2640" w:firstLineChars="600"/>
        <w:jc w:val="both"/>
        <w:textAlignment w:val="auto"/>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茂县</w:t>
      </w:r>
      <w:r>
        <w:rPr>
          <w:rFonts w:hint="eastAsia" w:ascii="方正小标宋简体" w:hAnsi="宋体" w:eastAsia="方正小标宋简体"/>
          <w:color w:val="000000"/>
          <w:sz w:val="44"/>
          <w:szCs w:val="44"/>
          <w:lang w:eastAsia="zh-CN"/>
        </w:rPr>
        <w:t>综合执法局</w:t>
      </w:r>
    </w:p>
    <w:p>
      <w:pPr>
        <w:keepNext w:val="0"/>
        <w:keepLines w:val="0"/>
        <w:pageBreakBefore w:val="0"/>
        <w:kinsoku/>
        <w:wordWrap/>
        <w:overflowPunct/>
        <w:topLinePunct w:val="0"/>
        <w:autoSpaceDE/>
        <w:autoSpaceDN/>
        <w:bidi w:val="0"/>
        <w:spacing w:line="576" w:lineRule="exact"/>
        <w:ind w:firstLine="880" w:firstLineChars="200"/>
        <w:jc w:val="center"/>
        <w:textAlignment w:val="auto"/>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201</w:t>
      </w:r>
      <w:r>
        <w:rPr>
          <w:rFonts w:hint="eastAsia" w:ascii="方正小标宋简体" w:hAnsi="宋体" w:eastAsia="方正小标宋简体"/>
          <w:color w:val="000000"/>
          <w:sz w:val="44"/>
          <w:szCs w:val="44"/>
          <w:lang w:val="en-US" w:eastAsia="zh-CN"/>
        </w:rPr>
        <w:t>9</w:t>
      </w:r>
      <w:r>
        <w:rPr>
          <w:rFonts w:hint="eastAsia" w:ascii="方正小标宋简体" w:hAnsi="宋体" w:eastAsia="方正小标宋简体"/>
          <w:color w:val="000000"/>
          <w:sz w:val="44"/>
          <w:szCs w:val="44"/>
        </w:rPr>
        <w:t>年部门整体支出绩效评价报告</w:t>
      </w:r>
    </w:p>
    <w:p>
      <w:pPr>
        <w:keepNext w:val="0"/>
        <w:keepLines w:val="0"/>
        <w:pageBreakBefore w:val="0"/>
        <w:kinsoku/>
        <w:wordWrap/>
        <w:overflowPunct/>
        <w:topLinePunct w:val="0"/>
        <w:autoSpaceDE/>
        <w:autoSpaceDN/>
        <w:bidi w:val="0"/>
        <w:spacing w:line="576" w:lineRule="exact"/>
        <w:ind w:firstLine="420" w:firstLineChars="200"/>
        <w:textAlignment w:val="auto"/>
        <w:rPr>
          <w:rFonts w:ascii="仿宋" w:hAnsi="仿宋" w:eastAsia="仿宋"/>
          <w:szCs w:val="32"/>
        </w:rPr>
      </w:pPr>
    </w:p>
    <w:tbl>
      <w:tblPr>
        <w:tblStyle w:val="13"/>
        <w:tblW w:w="17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61"/>
        <w:gridCol w:w="83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61"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spacing w:line="576"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一、单位概况</w:t>
            </w:r>
          </w:p>
          <w:p>
            <w:pPr>
              <w:keepNext w:val="0"/>
              <w:keepLines w:val="0"/>
              <w:pageBreakBefore w:val="0"/>
              <w:kinsoku/>
              <w:wordWrap/>
              <w:overflowPunct/>
              <w:topLinePunct w:val="0"/>
              <w:autoSpaceDE/>
              <w:autoSpaceDN/>
              <w:bidi w:val="0"/>
              <w:spacing w:line="576"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(一)机构组成</w:t>
            </w:r>
          </w:p>
          <w:p>
            <w:pPr>
              <w:keepNext w:val="0"/>
              <w:keepLines w:val="0"/>
              <w:pageBreakBefore w:val="0"/>
              <w:kinsoku/>
              <w:wordWrap/>
              <w:overflowPunct/>
              <w:topLinePunct w:val="0"/>
              <w:autoSpaceDE/>
              <w:autoSpaceDN/>
              <w:bidi w:val="0"/>
              <w:spacing w:line="576" w:lineRule="exact"/>
              <w:ind w:firstLine="640" w:firstLineChars="200"/>
              <w:jc w:val="left"/>
              <w:textAlignment w:val="auto"/>
              <w:rPr>
                <w:rFonts w:hint="default" w:ascii="仿宋" w:hAnsi="仿宋" w:eastAsia="仿宋" w:cs="仿宋"/>
                <w:color w:val="FF0000"/>
                <w:sz w:val="32"/>
                <w:szCs w:val="32"/>
                <w:lang w:val="en-US" w:eastAsia="zh-CN"/>
              </w:rPr>
            </w:pPr>
            <w:r>
              <w:rPr>
                <w:rFonts w:hint="eastAsia" w:ascii="仿宋" w:hAnsi="仿宋" w:eastAsia="仿宋" w:cs="仿宋"/>
                <w:sz w:val="32"/>
                <w:szCs w:val="32"/>
              </w:rPr>
              <w:t>茂县</w:t>
            </w:r>
            <w:r>
              <w:rPr>
                <w:rFonts w:hint="eastAsia" w:ascii="仿宋" w:hAnsi="仿宋" w:eastAsia="仿宋" w:cs="仿宋"/>
                <w:sz w:val="32"/>
                <w:szCs w:val="32"/>
                <w:lang w:eastAsia="zh-CN"/>
              </w:rPr>
              <w:t>综合执法局</w:t>
            </w:r>
            <w:r>
              <w:rPr>
                <w:rFonts w:hint="eastAsia" w:ascii="仿宋" w:hAnsi="仿宋" w:eastAsia="仿宋" w:cs="仿宋"/>
                <w:sz w:val="32"/>
                <w:szCs w:val="32"/>
              </w:rPr>
              <w:t>属一级</w:t>
            </w:r>
            <w:r>
              <w:rPr>
                <w:rFonts w:hint="eastAsia" w:ascii="仿宋" w:hAnsi="仿宋" w:eastAsia="仿宋" w:cs="仿宋"/>
                <w:sz w:val="32"/>
                <w:szCs w:val="32"/>
                <w:lang w:eastAsia="zh-CN"/>
              </w:rPr>
              <w:t>预</w:t>
            </w:r>
            <w:r>
              <w:rPr>
                <w:rFonts w:hint="eastAsia" w:ascii="仿宋" w:hAnsi="仿宋" w:eastAsia="仿宋" w:cs="仿宋"/>
                <w:sz w:val="32"/>
                <w:szCs w:val="32"/>
              </w:rPr>
              <w:t>算单位，属</w:t>
            </w:r>
            <w:r>
              <w:rPr>
                <w:rFonts w:hint="eastAsia" w:ascii="仿宋" w:hAnsi="仿宋" w:eastAsia="仿宋" w:cs="仿宋"/>
                <w:color w:val="FF0000"/>
                <w:sz w:val="32"/>
                <w:szCs w:val="32"/>
                <w:lang w:val="en-US" w:eastAsia="zh-CN"/>
              </w:rPr>
              <w:t>行政单位。</w:t>
            </w:r>
          </w:p>
          <w:p>
            <w:pPr>
              <w:keepNext w:val="0"/>
              <w:keepLines w:val="0"/>
              <w:pageBreakBefore w:val="0"/>
              <w:tabs>
                <w:tab w:val="left" w:pos="720"/>
                <w:tab w:val="left" w:pos="1620"/>
              </w:tabs>
              <w:kinsoku/>
              <w:wordWrap/>
              <w:overflowPunct/>
              <w:topLinePunct w:val="0"/>
              <w:autoSpaceDE/>
              <w:autoSpaceDN/>
              <w:bidi w:val="0"/>
              <w:spacing w:line="576"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（二）机构职能</w:t>
            </w:r>
          </w:p>
          <w:p>
            <w:pPr>
              <w:keepNext w:val="0"/>
              <w:keepLines w:val="0"/>
              <w:pageBreakBefore w:val="0"/>
              <w:widowControl/>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sz w:val="32"/>
                <w:szCs w:val="32"/>
              </w:rPr>
            </w:pPr>
            <w:r>
              <w:rPr>
                <w:rFonts w:hint="eastAsia" w:ascii="仿宋" w:hAnsi="仿宋" w:eastAsia="仿宋" w:cs="仿宋"/>
                <w:b w:val="0"/>
                <w:bCs w:val="0"/>
                <w:sz w:val="32"/>
                <w:szCs w:val="32"/>
                <w:lang w:val="en-US" w:eastAsia="zh-CN"/>
              </w:rPr>
              <w:t>全面</w:t>
            </w:r>
            <w:r>
              <w:rPr>
                <w:rFonts w:hint="eastAsia" w:ascii="仿宋" w:hAnsi="仿宋" w:eastAsia="仿宋" w:cs="仿宋"/>
                <w:sz w:val="32"/>
                <w:szCs w:val="32"/>
              </w:rPr>
              <w:t>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r>
              <w:rPr>
                <w:rFonts w:hint="eastAsia" w:ascii="仿宋" w:hAnsi="仿宋" w:eastAsia="仿宋" w:cs="仿宋"/>
                <w:sz w:val="32"/>
                <w:szCs w:val="32"/>
                <w:lang w:eastAsia="zh-CN"/>
              </w:rPr>
              <w:t>；</w:t>
            </w:r>
            <w:r>
              <w:rPr>
                <w:rFonts w:hint="eastAsia" w:ascii="仿宋" w:hAnsi="仿宋" w:eastAsia="仿宋" w:cs="仿宋"/>
                <w:sz w:val="32"/>
                <w:szCs w:val="32"/>
              </w:rPr>
              <w:t>集中行使自然资源管理、城市管理、文化市场管理等领域法律、法规、规章规定的全部或部分行政处罚权及相应的行政检查权、行政命令权和行政强制措施权</w:t>
            </w:r>
            <w:r>
              <w:rPr>
                <w:rFonts w:hint="eastAsia" w:ascii="仿宋" w:hAnsi="仿宋" w:eastAsia="仿宋" w:cs="仿宋"/>
                <w:sz w:val="32"/>
                <w:szCs w:val="32"/>
                <w:lang w:eastAsia="zh-CN"/>
              </w:rPr>
              <w:t>；</w:t>
            </w:r>
            <w:r>
              <w:rPr>
                <w:rFonts w:hint="eastAsia" w:ascii="仿宋" w:hAnsi="仿宋" w:eastAsia="仿宋" w:cs="仿宋"/>
                <w:sz w:val="32"/>
                <w:szCs w:val="32"/>
              </w:rPr>
              <w:t>负责受理职责范围内行政违法行为的举报、投诉和各种方式移送的案件线索，办理有关行政复议和行政应诉工作</w:t>
            </w:r>
            <w:r>
              <w:rPr>
                <w:rFonts w:hint="eastAsia" w:ascii="仿宋" w:hAnsi="仿宋" w:eastAsia="仿宋" w:cs="仿宋"/>
                <w:sz w:val="32"/>
                <w:szCs w:val="32"/>
                <w:lang w:eastAsia="zh-CN"/>
              </w:rPr>
              <w:t>；</w:t>
            </w:r>
            <w:r>
              <w:rPr>
                <w:rFonts w:hint="eastAsia" w:ascii="仿宋" w:hAnsi="仿宋" w:eastAsia="仿宋" w:cs="仿宋"/>
                <w:sz w:val="32"/>
                <w:szCs w:val="32"/>
              </w:rPr>
              <w:t>牵头实施由县人民政府组织的有关专项整治和重大执法活动</w:t>
            </w:r>
            <w:r>
              <w:rPr>
                <w:rFonts w:hint="eastAsia" w:ascii="仿宋" w:hAnsi="仿宋" w:eastAsia="仿宋" w:cs="仿宋"/>
                <w:sz w:val="32"/>
                <w:szCs w:val="32"/>
                <w:lang w:eastAsia="zh-CN"/>
              </w:rPr>
              <w:t>；</w:t>
            </w:r>
            <w:r>
              <w:rPr>
                <w:rFonts w:hint="eastAsia" w:ascii="仿宋" w:hAnsi="仿宋" w:eastAsia="仿宋" w:cs="仿宋"/>
                <w:sz w:val="32"/>
                <w:szCs w:val="32"/>
              </w:rPr>
              <w:t>配合协助划转行政处罚权涉及的行政主管部门组织开展行业整治活动</w:t>
            </w:r>
            <w:r>
              <w:rPr>
                <w:rFonts w:hint="eastAsia" w:ascii="仿宋" w:hAnsi="仿宋" w:eastAsia="仿宋" w:cs="仿宋"/>
                <w:sz w:val="32"/>
                <w:szCs w:val="32"/>
                <w:lang w:eastAsia="zh-CN"/>
              </w:rPr>
              <w:t>；</w:t>
            </w:r>
            <w:r>
              <w:rPr>
                <w:rFonts w:hint="eastAsia" w:ascii="仿宋" w:hAnsi="仿宋" w:eastAsia="仿宋" w:cs="仿宋"/>
                <w:sz w:val="32"/>
                <w:szCs w:val="32"/>
              </w:rPr>
              <w:t>指导乡（镇）综合行政执法工作</w:t>
            </w:r>
            <w:r>
              <w:rPr>
                <w:rFonts w:hint="eastAsia" w:ascii="仿宋" w:hAnsi="仿宋" w:eastAsia="仿宋" w:cs="仿宋"/>
                <w:sz w:val="32"/>
                <w:szCs w:val="32"/>
                <w:lang w:eastAsia="zh-CN"/>
              </w:rPr>
              <w:t>；</w:t>
            </w:r>
            <w:r>
              <w:rPr>
                <w:rFonts w:hint="eastAsia" w:ascii="仿宋" w:hAnsi="仿宋" w:eastAsia="仿宋" w:cs="仿宋"/>
                <w:sz w:val="32"/>
                <w:szCs w:val="32"/>
              </w:rPr>
              <w:t>承办县委、县人民政府交办的其他任务。</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rightChars="0" w:firstLine="643" w:firstLineChars="200"/>
              <w:textAlignment w:val="auto"/>
              <w:rPr>
                <w:rFonts w:hint="default" w:ascii="仿宋" w:hAnsi="仿宋" w:eastAsia="仿宋" w:cs="仿宋"/>
                <w:sz w:val="32"/>
                <w:szCs w:val="32"/>
                <w:lang w:val="en-US" w:eastAsia="zh-CN"/>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人员概况</w:t>
            </w:r>
            <w:r>
              <w:rPr>
                <w:rFonts w:hint="eastAsia" w:ascii="仿宋" w:hAnsi="仿宋" w:eastAsia="仿宋" w:cs="仿宋"/>
                <w:sz w:val="32"/>
                <w:szCs w:val="32"/>
              </w:rPr>
              <w:br w:type="textWrapping"/>
            </w:r>
            <w:r>
              <w:rPr>
                <w:rFonts w:hint="eastAsia" w:ascii="仿宋" w:hAnsi="仿宋" w:eastAsia="仿宋" w:cs="仿宋"/>
                <w:sz w:val="32"/>
                <w:szCs w:val="32"/>
              </w:rPr>
              <w:t xml:space="preserve">     茂县</w:t>
            </w:r>
            <w:r>
              <w:rPr>
                <w:rFonts w:hint="eastAsia" w:ascii="仿宋" w:hAnsi="仿宋" w:eastAsia="仿宋" w:cs="仿宋"/>
                <w:sz w:val="32"/>
                <w:szCs w:val="32"/>
                <w:lang w:eastAsia="zh-CN"/>
              </w:rPr>
              <w:t>综合执法局</w:t>
            </w:r>
            <w:r>
              <w:rPr>
                <w:rFonts w:hint="eastAsia" w:ascii="仿宋" w:hAnsi="仿宋" w:eastAsia="仿宋" w:cs="仿宋"/>
                <w:sz w:val="32"/>
                <w:szCs w:val="32"/>
              </w:rPr>
              <w:t>编制共</w:t>
            </w:r>
            <w:r>
              <w:rPr>
                <w:rFonts w:hint="eastAsia" w:ascii="仿宋" w:hAnsi="仿宋" w:eastAsia="仿宋" w:cs="仿宋"/>
                <w:sz w:val="32"/>
                <w:szCs w:val="32"/>
                <w:lang w:val="en-US" w:eastAsia="zh-CN"/>
              </w:rPr>
              <w:t>44</w:t>
            </w:r>
            <w:r>
              <w:rPr>
                <w:rFonts w:hint="eastAsia" w:ascii="仿宋" w:hAnsi="仿宋" w:eastAsia="仿宋" w:cs="仿宋"/>
                <w:sz w:val="32"/>
                <w:szCs w:val="32"/>
              </w:rPr>
              <w:t>名，其中：</w:t>
            </w:r>
            <w:r>
              <w:rPr>
                <w:rFonts w:hint="eastAsia" w:ascii="仿宋_GB2312" w:hAnsi="仿宋_GB2312" w:eastAsia="仿宋_GB2312" w:cs="仿宋_GB2312"/>
                <w:sz w:val="32"/>
                <w:szCs w:val="32"/>
                <w:lang w:val="en-US" w:eastAsia="zh-CN"/>
              </w:rPr>
              <w:t>行政编制7名、行政工勤编制2名、参公编制32名、事业编制3名</w:t>
            </w:r>
            <w:r>
              <w:rPr>
                <w:rFonts w:hint="eastAsia" w:ascii="仿宋" w:hAnsi="仿宋" w:eastAsia="仿宋" w:cs="仿宋"/>
                <w:sz w:val="32"/>
                <w:szCs w:val="32"/>
                <w:lang w:eastAsia="zh-CN"/>
              </w:rPr>
              <w:t>；</w:t>
            </w:r>
            <w:r>
              <w:rPr>
                <w:rFonts w:hint="eastAsia" w:ascii="仿宋_GB2312" w:hAnsi="仿宋_GB2312" w:eastAsia="仿宋_GB2312" w:cs="仿宋_GB2312"/>
                <w:sz w:val="32"/>
                <w:szCs w:val="32"/>
                <w:lang w:val="en-US" w:eastAsia="zh-CN"/>
              </w:rPr>
              <w:t>在岗人员共30名，空编共14名，其中：行政2名、行政工勤2名、事业参公9名、事业人员1名。</w:t>
            </w:r>
            <w:r>
              <w:rPr>
                <w:rFonts w:hint="eastAsia" w:ascii="仿宋" w:hAnsi="仿宋" w:eastAsia="仿宋" w:cs="仿宋"/>
                <w:sz w:val="32"/>
                <w:szCs w:val="32"/>
                <w:lang w:val="en-US" w:eastAsia="zh-CN"/>
              </w:rPr>
              <w:t>我局设党组书记、局长1名，党组成员、副局长2名。</w:t>
            </w:r>
          </w:p>
          <w:p>
            <w:pPr>
              <w:keepNext w:val="0"/>
              <w:keepLines w:val="0"/>
              <w:pageBreakBefore w:val="0"/>
              <w:kinsoku/>
              <w:wordWrap/>
              <w:overflowPunct/>
              <w:topLinePunct w:val="0"/>
              <w:autoSpaceDE/>
              <w:autoSpaceDN/>
              <w:bidi w:val="0"/>
              <w:spacing w:line="576" w:lineRule="exact"/>
              <w:ind w:firstLine="960" w:firstLineChars="300"/>
              <w:jc w:val="left"/>
              <w:textAlignment w:val="auto"/>
              <w:rPr>
                <w:rFonts w:hint="eastAsia" w:ascii="黑体" w:hAnsi="黑体" w:eastAsia="黑体" w:cs="黑体"/>
                <w:sz w:val="32"/>
                <w:szCs w:val="32"/>
              </w:rPr>
            </w:pPr>
            <w:r>
              <w:rPr>
                <w:rFonts w:hint="eastAsia" w:ascii="黑体" w:hAnsi="黑体" w:eastAsia="黑体" w:cs="黑体"/>
                <w:sz w:val="32"/>
                <w:szCs w:val="32"/>
              </w:rPr>
              <w:t>二、部门财政资金收支情况</w:t>
            </w:r>
          </w:p>
          <w:p>
            <w:pPr>
              <w:keepNext w:val="0"/>
              <w:keepLines w:val="0"/>
              <w:pageBreakBefore w:val="0"/>
              <w:tabs>
                <w:tab w:val="left" w:pos="720"/>
                <w:tab w:val="left" w:pos="1620"/>
              </w:tabs>
              <w:kinsoku/>
              <w:wordWrap/>
              <w:overflowPunct/>
              <w:topLinePunct w:val="0"/>
              <w:autoSpaceDE/>
              <w:autoSpaceDN/>
              <w:bidi w:val="0"/>
              <w:spacing w:line="576"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sz w:val="32"/>
                <w:szCs w:val="32"/>
              </w:rPr>
              <w:t xml:space="preserve"> 201</w:t>
            </w:r>
            <w:r>
              <w:rPr>
                <w:rFonts w:hint="eastAsia" w:ascii="仿宋" w:hAnsi="仿宋" w:eastAsia="仿宋" w:cs="仿宋"/>
                <w:sz w:val="32"/>
                <w:szCs w:val="32"/>
                <w:lang w:val="en-US" w:eastAsia="zh-CN"/>
              </w:rPr>
              <w:t>9</w:t>
            </w:r>
            <w:r>
              <w:rPr>
                <w:rFonts w:hint="eastAsia" w:ascii="仿宋" w:hAnsi="仿宋" w:eastAsia="仿宋" w:cs="仿宋"/>
                <w:sz w:val="32"/>
                <w:szCs w:val="32"/>
              </w:rPr>
              <w:t>年决算总收入</w:t>
            </w:r>
            <w:r>
              <w:rPr>
                <w:rFonts w:hint="eastAsia" w:ascii="仿宋" w:hAnsi="仿宋" w:eastAsia="仿宋" w:cs="仿宋"/>
                <w:sz w:val="32"/>
                <w:szCs w:val="32"/>
                <w:lang w:val="en-US" w:eastAsia="zh-CN"/>
              </w:rPr>
              <w:t>376.96</w:t>
            </w:r>
            <w:r>
              <w:rPr>
                <w:rFonts w:hint="eastAsia" w:ascii="仿宋" w:hAnsi="仿宋" w:eastAsia="仿宋" w:cs="仿宋"/>
                <w:sz w:val="32"/>
                <w:szCs w:val="32"/>
              </w:rPr>
              <w:t>万元，其中：公共财政预算拨款</w:t>
            </w:r>
            <w:r>
              <w:rPr>
                <w:rFonts w:hint="eastAsia" w:ascii="仿宋" w:hAnsi="仿宋" w:eastAsia="仿宋" w:cs="仿宋"/>
                <w:sz w:val="32"/>
                <w:szCs w:val="32"/>
                <w:lang w:val="en-US" w:eastAsia="zh-CN"/>
              </w:rPr>
              <w:t>376.96</w:t>
            </w:r>
            <w:r>
              <w:rPr>
                <w:rFonts w:hint="eastAsia" w:ascii="仿宋" w:hAnsi="仿宋" w:eastAsia="仿宋" w:cs="仿宋"/>
                <w:sz w:val="32"/>
                <w:szCs w:val="32"/>
              </w:rPr>
              <w:t>万元。</w:t>
            </w:r>
            <w:r>
              <w:rPr>
                <w:rFonts w:hint="eastAsia" w:ascii="仿宋" w:hAnsi="仿宋" w:eastAsia="仿宋"/>
                <w:color w:val="000000"/>
                <w:sz w:val="32"/>
                <w:szCs w:val="32"/>
              </w:rPr>
              <w:t>无政府性基金预算财政拨款收、上级补助收入、事业收入、经营收入、附属单位上缴收入、其他收入。</w:t>
            </w:r>
          </w:p>
          <w:p>
            <w:pPr>
              <w:keepNext w:val="0"/>
              <w:keepLines w:val="0"/>
              <w:pageBreakBefore w:val="0"/>
              <w:tabs>
                <w:tab w:val="left" w:pos="720"/>
                <w:tab w:val="left" w:pos="1620"/>
              </w:tabs>
              <w:kinsoku/>
              <w:wordWrap/>
              <w:overflowPunct/>
              <w:topLinePunct w:val="0"/>
              <w:autoSpaceDE/>
              <w:autoSpaceDN/>
              <w:bidi w:val="0"/>
              <w:spacing w:line="576" w:lineRule="exact"/>
              <w:ind w:firstLine="643" w:firstLineChars="200"/>
              <w:jc w:val="left"/>
              <w:textAlignment w:val="auto"/>
              <w:rPr>
                <w:rFonts w:hint="eastAsia" w:ascii="仿宋" w:hAnsi="仿宋" w:eastAsia="仿宋" w:cs="仿宋"/>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 xml:space="preserve">部门财政资金支出情况  </w:t>
            </w:r>
            <w:r>
              <w:rPr>
                <w:rFonts w:hint="eastAsia" w:ascii="仿宋" w:hAnsi="仿宋" w:eastAsia="仿宋" w:cs="仿宋"/>
                <w:sz w:val="32"/>
                <w:szCs w:val="32"/>
              </w:rPr>
              <w:t xml:space="preserve">  </w:t>
            </w:r>
          </w:p>
          <w:p>
            <w:pPr>
              <w:snapToGrid w:val="0"/>
              <w:spacing w:line="576" w:lineRule="exact"/>
              <w:ind w:firstLine="960" w:firstLineChars="300"/>
              <w:rPr>
                <w:rFonts w:hint="eastAsia" w:ascii="仿宋" w:hAnsi="仿宋" w:eastAsia="仿宋"/>
                <w:b w:val="0"/>
                <w:bCs w:val="0"/>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376.96</w:t>
            </w:r>
            <w:r>
              <w:rPr>
                <w:rFonts w:hint="eastAsia" w:ascii="仿宋" w:hAnsi="仿宋" w:eastAsia="仿宋"/>
                <w:color w:val="000000" w:themeColor="text1"/>
                <w:sz w:val="32"/>
                <w:szCs w:val="32"/>
                <w14:textFill>
                  <w14:solidFill>
                    <w14:schemeClr w14:val="tx1"/>
                  </w14:solidFill>
                </w14:textFill>
              </w:rPr>
              <w:t>万元，主要用于以下方</w:t>
            </w:r>
            <w:r>
              <w:rPr>
                <w:rFonts w:hint="eastAsia" w:ascii="仿宋" w:hAnsi="仿宋" w:eastAsia="仿宋"/>
                <w:b w:val="0"/>
                <w:bCs w:val="0"/>
                <w:color w:val="000000" w:themeColor="text1"/>
                <w:sz w:val="32"/>
                <w:szCs w:val="32"/>
                <w14:textFill>
                  <w14:solidFill>
                    <w14:schemeClr w14:val="tx1"/>
                  </w14:solidFill>
                </w14:textFill>
              </w:rPr>
              <w:t>面</w:t>
            </w:r>
            <w:r>
              <w:rPr>
                <w:rFonts w:ascii="仿宋" w:hAnsi="仿宋" w:eastAsia="仿宋"/>
                <w:b w:val="0"/>
                <w:bCs w:val="0"/>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一般公共服务（类）支出</w:t>
            </w:r>
            <w:r>
              <w:rPr>
                <w:rFonts w:hint="eastAsia" w:ascii="仿宋" w:hAnsi="仿宋" w:eastAsia="仿宋"/>
                <w:b w:val="0"/>
                <w:bCs w:val="0"/>
                <w:color w:val="000000" w:themeColor="text1"/>
                <w:sz w:val="32"/>
                <w:szCs w:val="32"/>
                <w:lang w:val="en-US" w:eastAsia="zh-CN"/>
                <w14:textFill>
                  <w14:solidFill>
                    <w14:schemeClr w14:val="tx1"/>
                  </w14:solidFill>
                </w14:textFill>
              </w:rPr>
              <w:t>282</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b/>
                <w:bCs/>
                <w:color w:val="000000" w:themeColor="text1"/>
                <w:sz w:val="32"/>
                <w:szCs w:val="32"/>
                <w14:textFill>
                  <w14:solidFill>
                    <w14:schemeClr w14:val="tx1"/>
                  </w14:solidFill>
                </w14:textFill>
              </w:rPr>
              <w:t>社会保障和就业（类）支出</w:t>
            </w:r>
            <w:r>
              <w:rPr>
                <w:rFonts w:hint="eastAsia" w:ascii="仿宋" w:hAnsi="仿宋" w:eastAsia="仿宋"/>
                <w:b w:val="0"/>
                <w:bCs w:val="0"/>
                <w:color w:val="000000" w:themeColor="text1"/>
                <w:sz w:val="32"/>
                <w:szCs w:val="32"/>
                <w:lang w:val="en-US" w:eastAsia="zh-CN"/>
                <w14:textFill>
                  <w14:solidFill>
                    <w14:schemeClr w14:val="tx1"/>
                  </w14:solidFill>
                </w14:textFill>
              </w:rPr>
              <w:t>42.2</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b/>
                <w:bCs/>
                <w:color w:val="000000" w:themeColor="text1"/>
                <w:sz w:val="32"/>
                <w:szCs w:val="32"/>
                <w14:textFill>
                  <w14:solidFill>
                    <w14:schemeClr w14:val="tx1"/>
                  </w14:solidFill>
                </w14:textFill>
              </w:rPr>
              <w:t>卫生健康支出</w:t>
            </w:r>
            <w:r>
              <w:rPr>
                <w:rFonts w:hint="default" w:ascii="仿宋" w:hAnsi="仿宋" w:eastAsia="仿宋"/>
                <w:b/>
                <w:bCs/>
                <w:color w:val="000000" w:themeColor="text1"/>
                <w:sz w:val="32"/>
                <w:szCs w:val="32"/>
                <w14:textFill>
                  <w14:solidFill>
                    <w14:schemeClr w14:val="tx1"/>
                  </w14:solidFill>
                </w14:textFill>
              </w:rPr>
              <w:t>（类）</w:t>
            </w:r>
            <w:r>
              <w:rPr>
                <w:rFonts w:hint="eastAsia" w:ascii="仿宋" w:hAnsi="仿宋" w:eastAsia="仿宋"/>
                <w:b w:val="0"/>
                <w:bCs w:val="0"/>
                <w:color w:val="000000" w:themeColor="text1"/>
                <w:sz w:val="32"/>
                <w:szCs w:val="32"/>
                <w:lang w:val="en-US" w:eastAsia="zh-CN"/>
                <w14:textFill>
                  <w14:solidFill>
                    <w14:schemeClr w14:val="tx1"/>
                  </w14:solidFill>
                </w14:textFill>
              </w:rPr>
              <w:t>20.4</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b/>
                <w:bCs/>
                <w:color w:val="000000" w:themeColor="text1"/>
                <w:sz w:val="32"/>
                <w:szCs w:val="32"/>
                <w14:textFill>
                  <w14:solidFill>
                    <w14:schemeClr w14:val="tx1"/>
                  </w14:solidFill>
                </w14:textFill>
              </w:rPr>
              <w:t>住房保障支出</w:t>
            </w:r>
            <w:r>
              <w:rPr>
                <w:rFonts w:hint="default" w:ascii="仿宋" w:hAnsi="仿宋" w:eastAsia="仿宋"/>
                <w:b/>
                <w:bCs/>
                <w:color w:val="000000" w:themeColor="text1"/>
                <w:sz w:val="32"/>
                <w:szCs w:val="32"/>
                <w14:textFill>
                  <w14:solidFill>
                    <w14:schemeClr w14:val="tx1"/>
                  </w14:solidFill>
                </w14:textFill>
              </w:rPr>
              <w:t>（类）</w:t>
            </w:r>
            <w:r>
              <w:rPr>
                <w:rFonts w:hint="eastAsia" w:ascii="仿宋" w:hAnsi="仿宋" w:eastAsia="仿宋"/>
                <w:b w:val="0"/>
                <w:bCs w:val="0"/>
                <w:color w:val="000000" w:themeColor="text1"/>
                <w:sz w:val="32"/>
                <w:szCs w:val="32"/>
                <w:lang w:val="en-US" w:eastAsia="zh-CN"/>
                <w14:textFill>
                  <w14:solidFill>
                    <w14:schemeClr w14:val="tx1"/>
                  </w14:solidFill>
                </w14:textFill>
              </w:rPr>
              <w:t>31.8</w:t>
            </w:r>
            <w:r>
              <w:rPr>
                <w:rFonts w:hint="eastAsia" w:ascii="仿宋" w:hAnsi="仿宋" w:eastAsia="仿宋"/>
                <w:b w:val="0"/>
                <w:bCs w:val="0"/>
                <w:color w:val="000000" w:themeColor="text1"/>
                <w:sz w:val="32"/>
                <w:szCs w:val="32"/>
                <w14:textFill>
                  <w14:solidFill>
                    <w14:schemeClr w14:val="tx1"/>
                  </w14:solidFill>
                </w14:textFill>
              </w:rPr>
              <w:t>万元；</w:t>
            </w:r>
            <w:r>
              <w:rPr>
                <w:rFonts w:ascii="仿宋" w:hAnsi="仿宋" w:eastAsia="仿宋"/>
                <w:b/>
                <w:bCs/>
                <w:color w:val="000000" w:themeColor="text1"/>
                <w:sz w:val="32"/>
                <w:szCs w:val="32"/>
                <w14:textFill>
                  <w14:solidFill>
                    <w14:schemeClr w14:val="tx1"/>
                  </w14:solidFill>
                </w14:textFill>
              </w:rPr>
              <w:t>农林水支出（类）</w:t>
            </w:r>
            <w:r>
              <w:rPr>
                <w:rFonts w:hint="eastAsia" w:ascii="仿宋" w:hAnsi="仿宋" w:eastAsia="仿宋"/>
                <w:b w:val="0"/>
                <w:bCs w:val="0"/>
                <w:color w:val="000000" w:themeColor="text1"/>
                <w:sz w:val="32"/>
                <w:szCs w:val="32"/>
                <w:lang w:val="en-US" w:eastAsia="zh-CN"/>
                <w14:textFill>
                  <w14:solidFill>
                    <w14:schemeClr w14:val="tx1"/>
                  </w14:solidFill>
                </w14:textFill>
              </w:rPr>
              <w:t>0.3</w:t>
            </w:r>
            <w:r>
              <w:rPr>
                <w:rFonts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b w:val="0"/>
                <w:bCs w:val="0"/>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spacing w:line="576"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三、部门财政支出管理情况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单</w:t>
            </w:r>
            <w:r>
              <w:rPr>
                <w:rFonts w:hint="eastAsia" w:ascii="仿宋_GB2312" w:hAnsi="仿宋_GB2312" w:eastAsia="仿宋_GB2312" w:cs="仿宋_GB2312"/>
                <w:color w:val="000000"/>
                <w:kern w:val="0"/>
                <w:sz w:val="32"/>
                <w:szCs w:val="32"/>
              </w:rPr>
              <w:t>位严格按照县财政部门预算编制通知和有关文件要求，秉承强化规划约束、坚持限额控制、实时滚动管理、强化绩效管理的基本编制原则。</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我</w:t>
            </w:r>
            <w:r>
              <w:rPr>
                <w:rFonts w:hint="eastAsia" w:ascii="仿宋_GB2312" w:hAnsi="仿宋_GB2312" w:eastAsia="仿宋_GB2312" w:cs="仿宋_GB2312"/>
                <w:color w:val="000000"/>
                <w:kern w:val="0"/>
                <w:sz w:val="32"/>
                <w:szCs w:val="32"/>
                <w:lang w:eastAsia="zh-CN"/>
              </w:rPr>
              <w:t>局</w:t>
            </w:r>
            <w:r>
              <w:rPr>
                <w:rFonts w:hint="eastAsia" w:ascii="仿宋_GB2312" w:hAnsi="仿宋_GB2312" w:eastAsia="仿宋_GB2312" w:cs="仿宋_GB2312"/>
                <w:color w:val="000000"/>
                <w:kern w:val="0"/>
                <w:sz w:val="32"/>
                <w:szCs w:val="32"/>
              </w:rPr>
              <w:t>对部门预算绩效管理工作开展情况认真进行了自查自评。绩效评价自查开展覆盖重点支出，将评价结果作为预算安排的重要依据，参照年度预算执行情况、调整支出结构，优化财政资金配置，不断强化绩效理念，推动</w:t>
            </w:r>
            <w:r>
              <w:rPr>
                <w:rFonts w:hint="eastAsia" w:ascii="仿宋_GB2312" w:hAnsi="仿宋_GB2312" w:eastAsia="仿宋_GB2312" w:cs="仿宋_GB2312"/>
                <w:color w:val="000000"/>
                <w:kern w:val="0"/>
                <w:sz w:val="32"/>
                <w:szCs w:val="32"/>
                <w:lang w:eastAsia="zh-CN"/>
              </w:rPr>
              <w:t>单位</w:t>
            </w:r>
            <w:r>
              <w:rPr>
                <w:rFonts w:hint="eastAsia" w:ascii="仿宋_GB2312" w:hAnsi="仿宋_GB2312" w:eastAsia="仿宋_GB2312" w:cs="仿宋_GB2312"/>
                <w:color w:val="000000"/>
                <w:kern w:val="0"/>
                <w:sz w:val="32"/>
                <w:szCs w:val="32"/>
              </w:rPr>
              <w:t>整体绩效管理水平不断提升。</w:t>
            </w:r>
          </w:p>
          <w:p>
            <w:pPr>
              <w:keepNext w:val="0"/>
              <w:keepLines w:val="0"/>
              <w:pageBreakBefore w:val="0"/>
              <w:kinsoku/>
              <w:wordWrap/>
              <w:overflowPunct/>
              <w:topLinePunct w:val="0"/>
              <w:autoSpaceDE/>
              <w:autoSpaceDN/>
              <w:bidi w:val="0"/>
              <w:spacing w:line="576"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四、评价结论及建议</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widowControl/>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单位对照《县级部门整体支出绩效评价指标体系表》中各项具体指标认真开展自评工作，经自评，单位部门整体支出均按照相应的规章制度和要求执行办理，不存在扣分事项。</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widowControl/>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单位对部门支出相关规章制度落实力度不够，执行能力不强，在票据报销规范性方面的管理不够严谨细致。</w:t>
            </w:r>
          </w:p>
          <w:p>
            <w:pPr>
              <w:widowControl/>
              <w:ind w:firstLine="643" w:firstLineChars="200"/>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（三）改进建议</w:t>
            </w:r>
          </w:p>
          <w:p>
            <w:pPr>
              <w:widowControl/>
              <w:ind w:firstLine="640" w:firstLineChars="200"/>
              <w:jc w:val="lef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p>
            <w:pPr>
              <w:keepNext w:val="0"/>
              <w:keepLines w:val="0"/>
              <w:pageBreakBefore w:val="0"/>
              <w:widowControl/>
              <w:kinsoku/>
              <w:wordWrap/>
              <w:overflowPunct/>
              <w:topLinePunct w:val="0"/>
              <w:autoSpaceDE/>
              <w:autoSpaceDN/>
              <w:bidi w:val="0"/>
              <w:spacing w:line="576" w:lineRule="exact"/>
              <w:ind w:firstLine="562" w:firstLineChars="200"/>
              <w:jc w:val="left"/>
              <w:textAlignment w:val="auto"/>
              <w:rPr>
                <w:rFonts w:ascii="宋体" w:hAnsi="宋体" w:cs="宋体"/>
                <w:b/>
                <w:bCs/>
                <w:kern w:val="0"/>
                <w:sz w:val="28"/>
                <w:szCs w:val="28"/>
              </w:rPr>
            </w:pPr>
          </w:p>
        </w:tc>
        <w:tc>
          <w:tcPr>
            <w:tcW w:w="837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spacing w:line="576" w:lineRule="exact"/>
              <w:ind w:firstLine="562" w:firstLineChars="200"/>
              <w:jc w:val="left"/>
              <w:textAlignment w:val="auto"/>
              <w:rPr>
                <w:rFonts w:hint="eastAsia" w:ascii="宋体" w:hAnsi="宋体" w:cs="宋体"/>
                <w:b/>
                <w:bCs/>
                <w:kern w:val="0"/>
                <w:sz w:val="28"/>
                <w:szCs w:val="28"/>
              </w:rPr>
            </w:pPr>
          </w:p>
        </w:tc>
      </w:tr>
    </w:tbl>
    <w:p>
      <w:pPr>
        <w:spacing w:line="600" w:lineRule="exact"/>
        <w:jc w:val="center"/>
        <w:outlineLvl w:val="0"/>
        <w:rPr>
          <w:rFonts w:hint="eastAsia" w:ascii="黑体" w:hAnsi="黑体" w:eastAsia="黑体"/>
          <w:color w:val="000000"/>
          <w:sz w:val="44"/>
          <w:szCs w:val="44"/>
        </w:rPr>
      </w:pPr>
      <w:bookmarkStart w:id="55" w:name="_Toc15396618"/>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3"/>
      <w:bookmarkEnd w:id="55"/>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6"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56"/>
    </w:p>
    <w:p>
      <w:pPr>
        <w:pStyle w:val="3"/>
        <w:rPr>
          <w:rFonts w:ascii="仿宋" w:hAnsi="仿宋" w:eastAsia="仿宋"/>
          <w:color w:val="000000"/>
        </w:rPr>
      </w:pPr>
      <w:bookmarkStart w:id="57"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57"/>
    </w:p>
    <w:p>
      <w:pPr>
        <w:pStyle w:val="3"/>
        <w:rPr>
          <w:rFonts w:ascii="仿宋" w:hAnsi="仿宋" w:eastAsia="仿宋"/>
          <w:color w:val="000000"/>
        </w:rPr>
      </w:pPr>
      <w:bookmarkStart w:id="58"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58"/>
    </w:p>
    <w:p>
      <w:pPr>
        <w:pStyle w:val="3"/>
        <w:rPr>
          <w:rFonts w:ascii="仿宋" w:hAnsi="仿宋" w:eastAsia="仿宋"/>
          <w:b w:val="0"/>
          <w:color w:val="000000"/>
        </w:rPr>
      </w:pPr>
      <w:bookmarkStart w:id="59"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59"/>
    </w:p>
    <w:p>
      <w:pPr>
        <w:pStyle w:val="3"/>
        <w:rPr>
          <w:rStyle w:val="26"/>
          <w:rFonts w:ascii="仿宋" w:hAnsi="仿宋" w:eastAsia="仿宋"/>
          <w:b w:val="0"/>
          <w:bCs w:val="0"/>
        </w:rPr>
      </w:pPr>
      <w:bookmarkStart w:id="60"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0"/>
      <w:bookmarkStart w:id="61" w:name="_Toc15396624"/>
    </w:p>
    <w:p>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1"/>
    </w:p>
    <w:p>
      <w:pPr>
        <w:pStyle w:val="3"/>
        <w:rPr>
          <w:rFonts w:ascii="仿宋" w:hAnsi="仿宋" w:eastAsia="仿宋"/>
          <w:color w:val="000000"/>
        </w:rPr>
      </w:pPr>
      <w:bookmarkStart w:id="62"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2"/>
    </w:p>
    <w:p>
      <w:pPr>
        <w:pStyle w:val="3"/>
        <w:rPr>
          <w:rFonts w:ascii="仿宋" w:hAnsi="仿宋" w:eastAsia="仿宋"/>
          <w:color w:val="000000"/>
        </w:rPr>
      </w:pPr>
      <w:bookmarkStart w:id="63"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3"/>
    </w:p>
    <w:p>
      <w:pPr>
        <w:pStyle w:val="3"/>
        <w:rPr>
          <w:rFonts w:ascii="仿宋" w:hAnsi="仿宋" w:eastAsia="仿宋"/>
          <w:color w:val="000000"/>
        </w:rPr>
      </w:pPr>
      <w:bookmarkStart w:id="64"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4"/>
    </w:p>
    <w:p>
      <w:pPr>
        <w:pStyle w:val="3"/>
        <w:rPr>
          <w:rFonts w:ascii="仿宋" w:hAnsi="仿宋" w:eastAsia="仿宋"/>
          <w:color w:val="000000"/>
        </w:rPr>
      </w:pPr>
      <w:bookmarkStart w:id="65"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5"/>
    </w:p>
    <w:p>
      <w:pPr>
        <w:pStyle w:val="3"/>
        <w:rPr>
          <w:rFonts w:ascii="仿宋" w:hAnsi="仿宋" w:eastAsia="仿宋"/>
          <w:color w:val="000000"/>
        </w:rPr>
      </w:pPr>
      <w:bookmarkStart w:id="66"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66"/>
    </w:p>
    <w:p>
      <w:pPr>
        <w:pStyle w:val="3"/>
        <w:rPr>
          <w:rFonts w:ascii="仿宋" w:hAnsi="仿宋" w:eastAsia="仿宋"/>
          <w:color w:val="000000"/>
        </w:rPr>
      </w:pPr>
      <w:bookmarkStart w:id="67"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67"/>
    </w:p>
    <w:p>
      <w:pPr>
        <w:pStyle w:val="3"/>
        <w:rPr>
          <w:rFonts w:ascii="仿宋" w:hAnsi="仿宋" w:eastAsia="仿宋"/>
          <w:color w:val="000000" w:themeColor="text1"/>
          <w14:textFill>
            <w14:solidFill>
              <w14:schemeClr w14:val="tx1"/>
            </w14:solidFill>
          </w14:textFill>
        </w:rPr>
      </w:pPr>
      <w:bookmarkStart w:id="68"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97C8CEA"/>
    <w:multiLevelType w:val="singleLevel"/>
    <w:tmpl w:val="697C8CEA"/>
    <w:lvl w:ilvl="0" w:tentative="0">
      <w:start w:val="2"/>
      <w:numFmt w:val="decimal"/>
      <w:lvlText w:val="%1."/>
      <w:lvlJc w:val="left"/>
      <w:pPr>
        <w:tabs>
          <w:tab w:val="left" w:pos="312"/>
        </w:tabs>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3B3B"/>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2FD1"/>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26EE9"/>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05B61"/>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3921"/>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AF65BF"/>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24A4"/>
    <w:rsid w:val="00F1361C"/>
    <w:rsid w:val="00F156F0"/>
    <w:rsid w:val="00F160C7"/>
    <w:rsid w:val="00F21E85"/>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B11666"/>
    <w:rsid w:val="020C6870"/>
    <w:rsid w:val="02B54A08"/>
    <w:rsid w:val="040D5BBB"/>
    <w:rsid w:val="046B0BDD"/>
    <w:rsid w:val="052568B0"/>
    <w:rsid w:val="05563128"/>
    <w:rsid w:val="059736E5"/>
    <w:rsid w:val="061D0F3F"/>
    <w:rsid w:val="07E54BCE"/>
    <w:rsid w:val="08602BD8"/>
    <w:rsid w:val="09DB2C9B"/>
    <w:rsid w:val="0CCF30DC"/>
    <w:rsid w:val="0F4B6821"/>
    <w:rsid w:val="0F775600"/>
    <w:rsid w:val="10C055FF"/>
    <w:rsid w:val="12754B2C"/>
    <w:rsid w:val="13100887"/>
    <w:rsid w:val="14AC30EA"/>
    <w:rsid w:val="155357D8"/>
    <w:rsid w:val="16BB723D"/>
    <w:rsid w:val="1870653D"/>
    <w:rsid w:val="18C87182"/>
    <w:rsid w:val="194210D8"/>
    <w:rsid w:val="19D55A99"/>
    <w:rsid w:val="1AA3743B"/>
    <w:rsid w:val="1B946B7E"/>
    <w:rsid w:val="1D8D41A7"/>
    <w:rsid w:val="1D98316F"/>
    <w:rsid w:val="1EDF436A"/>
    <w:rsid w:val="1F431D26"/>
    <w:rsid w:val="1F514ABD"/>
    <w:rsid w:val="1FD95496"/>
    <w:rsid w:val="20CD5003"/>
    <w:rsid w:val="240371BF"/>
    <w:rsid w:val="25DB68E9"/>
    <w:rsid w:val="25F064FC"/>
    <w:rsid w:val="26E0774F"/>
    <w:rsid w:val="26F43E8A"/>
    <w:rsid w:val="293511E2"/>
    <w:rsid w:val="299A1BB4"/>
    <w:rsid w:val="29F34C54"/>
    <w:rsid w:val="29FD04D3"/>
    <w:rsid w:val="2B8640EF"/>
    <w:rsid w:val="2C584CC7"/>
    <w:rsid w:val="2C9E1803"/>
    <w:rsid w:val="2DDC3A8E"/>
    <w:rsid w:val="2F347E62"/>
    <w:rsid w:val="2FBB6786"/>
    <w:rsid w:val="301A5CF4"/>
    <w:rsid w:val="304B43A2"/>
    <w:rsid w:val="30B54F31"/>
    <w:rsid w:val="319F7F4E"/>
    <w:rsid w:val="3386724F"/>
    <w:rsid w:val="341B73E4"/>
    <w:rsid w:val="34525020"/>
    <w:rsid w:val="34A27479"/>
    <w:rsid w:val="356951A2"/>
    <w:rsid w:val="36B736EF"/>
    <w:rsid w:val="36BC0755"/>
    <w:rsid w:val="37282D2C"/>
    <w:rsid w:val="385945AA"/>
    <w:rsid w:val="3E0D0056"/>
    <w:rsid w:val="3E8F2E03"/>
    <w:rsid w:val="40A3150C"/>
    <w:rsid w:val="41422F6B"/>
    <w:rsid w:val="41715728"/>
    <w:rsid w:val="41821DD8"/>
    <w:rsid w:val="41D630DF"/>
    <w:rsid w:val="42BA7AA8"/>
    <w:rsid w:val="42E81740"/>
    <w:rsid w:val="432E5F9C"/>
    <w:rsid w:val="469D7A76"/>
    <w:rsid w:val="492A6D95"/>
    <w:rsid w:val="49A66016"/>
    <w:rsid w:val="4A3F5EB2"/>
    <w:rsid w:val="4A8A579A"/>
    <w:rsid w:val="4BE81621"/>
    <w:rsid w:val="4D602DD5"/>
    <w:rsid w:val="4D717E54"/>
    <w:rsid w:val="4E4F0D1B"/>
    <w:rsid w:val="4E766B04"/>
    <w:rsid w:val="4ECE2238"/>
    <w:rsid w:val="509D3914"/>
    <w:rsid w:val="510C0087"/>
    <w:rsid w:val="51251BD2"/>
    <w:rsid w:val="51324737"/>
    <w:rsid w:val="53C84FEA"/>
    <w:rsid w:val="53E41152"/>
    <w:rsid w:val="55256431"/>
    <w:rsid w:val="56940FA4"/>
    <w:rsid w:val="580265C5"/>
    <w:rsid w:val="59506F18"/>
    <w:rsid w:val="5A6F5E03"/>
    <w:rsid w:val="5A7F053E"/>
    <w:rsid w:val="5B7C32F8"/>
    <w:rsid w:val="5C2B0E6F"/>
    <w:rsid w:val="5D9F6BEF"/>
    <w:rsid w:val="5EA71E8E"/>
    <w:rsid w:val="5F8A5620"/>
    <w:rsid w:val="61862A5E"/>
    <w:rsid w:val="6348001C"/>
    <w:rsid w:val="644E4721"/>
    <w:rsid w:val="6458794E"/>
    <w:rsid w:val="648A48A4"/>
    <w:rsid w:val="64AB09EC"/>
    <w:rsid w:val="657E4F38"/>
    <w:rsid w:val="66C10845"/>
    <w:rsid w:val="66CC04CE"/>
    <w:rsid w:val="66ED60FA"/>
    <w:rsid w:val="66F604CE"/>
    <w:rsid w:val="683F4599"/>
    <w:rsid w:val="68832135"/>
    <w:rsid w:val="68C96B22"/>
    <w:rsid w:val="6A1A258C"/>
    <w:rsid w:val="6B960BB4"/>
    <w:rsid w:val="6C77143C"/>
    <w:rsid w:val="6DAD6B7C"/>
    <w:rsid w:val="6E6B5554"/>
    <w:rsid w:val="6EA07084"/>
    <w:rsid w:val="6EA84F07"/>
    <w:rsid w:val="6FC13D0C"/>
    <w:rsid w:val="6FD71F93"/>
    <w:rsid w:val="70E561DC"/>
    <w:rsid w:val="71873B86"/>
    <w:rsid w:val="724772F1"/>
    <w:rsid w:val="72734D90"/>
    <w:rsid w:val="733D061C"/>
    <w:rsid w:val="7427693A"/>
    <w:rsid w:val="764E45CA"/>
    <w:rsid w:val="76E31783"/>
    <w:rsid w:val="76EB58F8"/>
    <w:rsid w:val="79E315F5"/>
    <w:rsid w:val="7B7D4CD0"/>
    <w:rsid w:val="7C7D765D"/>
    <w:rsid w:val="7E001116"/>
    <w:rsid w:val="7E0129CA"/>
    <w:rsid w:val="7F1326B1"/>
    <w:rsid w:val="7FFE47E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图</a:t>
            </a:r>
            <a:r>
              <a:rPr lang="en-US" altLang="zh-CN"/>
              <a:t>1</a:t>
            </a:r>
            <a:r>
              <a:rPr altLang="en-US"/>
              <a:t>：</a:t>
            </a:r>
            <a:r>
              <a:t>收、支决算总计变动情况图</a:t>
            </a:r>
          </a:p>
          <a:p>
            <a:pPr defTabSz="914400">
              <a:defRPr lang="zh-CN" sz="1400" b="0" i="0" u="none" strike="noStrike" kern="1200" cap="none" spc="20" baseline="0">
                <a:solidFill>
                  <a:schemeClr val="tx1">
                    <a:lumMod val="50000"/>
                    <a:lumOff val="50000"/>
                  </a:schemeClr>
                </a:solidFill>
                <a:latin typeface="+mn-lt"/>
                <a:ea typeface="+mn-ea"/>
                <a:cs typeface="+mn-cs"/>
              </a:defRPr>
            </a:pPr>
            <a:r>
              <a:t> （单位：万元）</a:t>
            </a:r>
          </a:p>
        </c:rich>
      </c:tx>
      <c:layout>
        <c:manualLayout>
          <c:xMode val="edge"/>
          <c:yMode val="edge"/>
          <c:x val="0.230151650312221"/>
          <c:y val="0.0111111111111111"/>
        </c:manualLayout>
      </c:layout>
      <c:overlay val="0"/>
      <c:spPr>
        <a:noFill/>
        <a:ln>
          <a:noFill/>
        </a:ln>
        <a:effectLst/>
      </c:spPr>
    </c:title>
    <c:autoTitleDeleted val="0"/>
    <c:plotArea>
      <c:layout>
        <c:manualLayout>
          <c:layoutTarget val="inner"/>
          <c:xMode val="edge"/>
          <c:yMode val="edge"/>
          <c:x val="0.0696699375557538"/>
          <c:y val="0.212666666666667"/>
          <c:w val="0.887213797204877"/>
          <c:h val="0.71905641025641"/>
        </c:manualLayout>
      </c:layout>
      <c:barChart>
        <c:barDir val="col"/>
        <c:grouping val="clustered"/>
        <c:varyColors val="0"/>
        <c:ser>
          <c:idx val="0"/>
          <c:order val="0"/>
          <c:tx>
            <c:strRef>
              <c:f>Sheet1!$B$1</c:f>
              <c:strCache>
                <c:ptCount val="1"/>
                <c:pt idx="0">
                  <c:v>收入</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376.96</c:v>
                </c:pt>
              </c:numCache>
            </c:numRef>
          </c:val>
        </c:ser>
        <c:ser>
          <c:idx val="1"/>
          <c:order val="1"/>
          <c:tx>
            <c:strRef>
              <c:f>Sheet1!$C$1</c:f>
              <c:strCache>
                <c:ptCount val="1"/>
                <c:pt idx="0">
                  <c:v>支出</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376.96</c:v>
                </c:pt>
              </c:numCache>
            </c:numRef>
          </c:val>
        </c:ser>
        <c:ser>
          <c:idx val="2"/>
          <c:order val="2"/>
          <c:tx>
            <c:strRef>
              <c:f>Sheet1!#REF!</c:f>
              <c:strCache>
                <c:ptCount val="1"/>
                <c:pt idx="0">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elete val="1"/>
          </c:dLbls>
          <c:cat>
            <c:numRef>
              <c:f>Sheet1!$A$2</c:f>
              <c:numCache>
                <c:formatCode>General</c:formatCode>
                <c:ptCount val="1"/>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00"/>
        <c:overlap val="-24"/>
        <c:axId val="90634221"/>
        <c:axId val="481971735"/>
      </c:barChart>
      <c:catAx>
        <c:axId val="90634221"/>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481971735"/>
        <c:crosses val="autoZero"/>
        <c:auto val="1"/>
        <c:lblAlgn val="ctr"/>
        <c:lblOffset val="100"/>
        <c:noMultiLvlLbl val="0"/>
      </c:catAx>
      <c:valAx>
        <c:axId val="481971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90634221"/>
        <c:crosses val="autoZero"/>
        <c:crossBetween val="between"/>
      </c:valAx>
      <c:spPr>
        <a:noFill/>
        <a:ln>
          <a:noFill/>
        </a:ln>
        <a:effectLst/>
      </c:spPr>
    </c:plotArea>
    <c:legend>
      <c:legendPos val="b"/>
      <c:legendEntry>
        <c:idx val="2"/>
        <c:delete val="1"/>
      </c:legendEntry>
      <c:layout>
        <c:manualLayout>
          <c:xMode val="edge"/>
          <c:yMode val="edge"/>
          <c:x val="0.639087124591139"/>
          <c:y val="0.9193846153846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600">
                <a:latin typeface="仿宋_GB2312" panose="02010609030101010101" pitchFamily="3" charset="-122"/>
                <a:ea typeface="仿宋_GB2312" panose="02010609030101010101" pitchFamily="3" charset="-122"/>
                <a:cs typeface="仿宋_GB2312" panose="02010609030101010101" pitchFamily="3" charset="-122"/>
              </a:rPr>
              <a:t>图2：收入决算结构图（单位：万元）</a:t>
            </a:r>
            <a:endParaRPr sz="16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title>
    <c:autoTitleDeleted val="0"/>
    <c:plotArea>
      <c:layout>
        <c:manualLayout>
          <c:layoutTarget val="inner"/>
          <c:xMode val="edge"/>
          <c:yMode val="edge"/>
          <c:x val="0.0933971488858012"/>
          <c:y val="0.349634295713036"/>
          <c:w val="0.829842660041827"/>
          <c:h val="0.648801584012525"/>
        </c:manualLayout>
      </c:layout>
      <c:pieChart>
        <c:varyColors val="1"/>
        <c:ser>
          <c:idx val="0"/>
          <c:order val="0"/>
          <c:tx>
            <c:strRef>
              <c:f>Sheet1!$B$1</c:f>
              <c:strCache>
                <c:ptCount val="1"/>
                <c:pt idx="0">
                  <c:v>图2：收入决算结构图（单位：万元）</c:v>
                </c:pt>
              </c:strCache>
            </c:strRef>
          </c:tx>
          <c:explosion val="0"/>
          <c:dPt>
            <c:idx val="0"/>
            <c:bubble3D val="0"/>
          </c:dPt>
          <c:dPt>
            <c:idx val="1"/>
            <c:bubble3D val="0"/>
          </c:dPt>
          <c:dLbls>
            <c:dLbl>
              <c:idx val="1"/>
              <c:layout>
                <c:manualLayout>
                  <c:x val="0.0726735320806045"/>
                  <c:y val="-0.42904584966814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一般公共预算财政拨款收入</c:v>
                </c:pt>
              </c:strCache>
            </c:strRef>
          </c:cat>
          <c:val>
            <c:numRef>
              <c:f>Sheet1!$B$2:$B$3</c:f>
              <c:numCache>
                <c:formatCode>General</c:formatCode>
                <c:ptCount val="2"/>
                <c:pt idx="1" c:formatCode="0.00%">
                  <c:v>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latin typeface="仿宋_GB2312" panose="02010609030101010101" pitchFamily="3" charset="-122"/>
                <a:ea typeface="仿宋_GB2312" panose="02010609030101010101" pitchFamily="3" charset="-122"/>
                <a:cs typeface="仿宋_GB2312" panose="02010609030101010101" pitchFamily="3" charset="-122"/>
              </a:rPr>
              <a:t>图</a:t>
            </a:r>
            <a:r>
              <a:rPr lang="en-US" altLang="zh-CN" sz="1600">
                <a:latin typeface="仿宋_GB2312" panose="02010609030101010101" pitchFamily="3" charset="-122"/>
                <a:ea typeface="仿宋_GB2312" panose="02010609030101010101" pitchFamily="3" charset="-122"/>
                <a:cs typeface="仿宋_GB2312" panose="02010609030101010101" pitchFamily="3" charset="-122"/>
              </a:rPr>
              <a:t>3</a:t>
            </a:r>
            <a:r>
              <a:rPr lang="zh-CN" altLang="en-US" sz="1600">
                <a:latin typeface="仿宋_GB2312" panose="02010609030101010101" pitchFamily="3" charset="-122"/>
                <a:ea typeface="仿宋_GB2312" panose="02010609030101010101" pitchFamily="3" charset="-122"/>
                <a:cs typeface="仿宋_GB2312" panose="02010609030101010101" pitchFamily="3" charset="-122"/>
              </a:rPr>
              <a:t>：支出决算结构图（单位：万元）</a:t>
            </a:r>
            <a:endParaRPr lang="zh-CN" altLang="en-US" sz="16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title>
    <c:autoTitleDeleted val="0"/>
    <c:plotArea>
      <c:layout>
        <c:manualLayout>
          <c:layoutTarget val="inner"/>
          <c:xMode val="edge"/>
          <c:yMode val="edge"/>
          <c:x val="0.0889868058570697"/>
          <c:y val="0.324404693315776"/>
          <c:w val="0.82202638828586"/>
          <c:h val="0.641086083751725"/>
        </c:manualLayout>
      </c:layout>
      <c:pieChart>
        <c:varyColors val="1"/>
        <c:ser>
          <c:idx val="0"/>
          <c:order val="0"/>
          <c:tx>
            <c:strRef>
              <c:f>Sheet1!$B$1</c:f>
              <c:strCache>
                <c:ptCount val="1"/>
                <c:pt idx="0">
                  <c:v>图2：收入决算结构图（单位：万元）</c:v>
                </c:pt>
              </c:strCache>
            </c:strRef>
          </c:tx>
          <c:explosion val="0"/>
          <c:dPt>
            <c:idx val="0"/>
            <c:bubble3D val="0"/>
          </c:dPt>
          <c:dPt>
            <c:idx val="1"/>
            <c:bubble3D val="0"/>
          </c:dPt>
          <c:dLbls>
            <c:dLbl>
              <c:idx val="1"/>
              <c:layout>
                <c:manualLayout>
                  <c:x val="0.061401396580785"/>
                  <c:y val="-0.41431491819209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基本支出占</a:t>
                    </a:r>
                  </a:p>
                  <a:p>
                    <a:pPr defTabSz="914400">
                      <a:defRPr lang="zh-CN" sz="1000" b="0" i="0" u="none" strike="noStrike" kern="1200" baseline="0">
                        <a:solidFill>
                          <a:schemeClr val="tx1"/>
                        </a:solidFill>
                        <a:latin typeface="+mn-lt"/>
                        <a:ea typeface="+mn-ea"/>
                        <a:cs typeface="+mn-cs"/>
                      </a:defRPr>
                    </a:pPr>
                    <a:r>
                      <a:rPr lang="en-US" altLang="zh-CN"/>
                      <a:t>82</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1">
                  <c:v>基本支出占</c:v>
                </c:pt>
              </c:strCache>
            </c:strRef>
          </c:cat>
          <c:val>
            <c:numRef>
              <c:f>Sheet1!$B$2:$B$3</c:f>
              <c:numCache>
                <c:formatCode>General</c:formatCode>
                <c:ptCount val="2"/>
                <c:pt idx="1" c:formatCode="0.00%">
                  <c:v>1</c:v>
                </c:pt>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rPr sz="1600" b="1"/>
              <a:t>图</a:t>
            </a:r>
            <a:r>
              <a:rPr lang="en-US" altLang="zh-CN" sz="1600" b="1"/>
              <a:t>4</a:t>
            </a:r>
            <a:r>
              <a:rPr altLang="en-US" sz="1600" b="1"/>
              <a:t>：财政拨款收支决算总计变动情况图</a:t>
            </a:r>
            <a:endParaRPr sz="1600" b="1"/>
          </a:p>
          <a:p>
            <a:pPr defTabSz="914400">
              <a:defRPr lang="zh-CN" sz="1400" b="0" i="0" u="none" strike="noStrike" kern="1200" cap="none" spc="20" baseline="0">
                <a:solidFill>
                  <a:schemeClr val="tx1">
                    <a:lumMod val="50000"/>
                    <a:lumOff val="50000"/>
                  </a:schemeClr>
                </a:solidFill>
                <a:latin typeface="+mn-lt"/>
                <a:ea typeface="+mn-ea"/>
                <a:cs typeface="+mn-cs"/>
              </a:defRPr>
            </a:pPr>
            <a:r>
              <a:rPr sz="1600" b="1"/>
              <a:t> （单位：万元）</a:t>
            </a:r>
            <a:endParaRPr sz="1600" b="1"/>
          </a:p>
        </c:rich>
      </c:tx>
      <c:layout>
        <c:manualLayout>
          <c:xMode val="edge"/>
          <c:yMode val="edge"/>
          <c:x val="0.111953612845674"/>
          <c:y val="0.00833333333333334"/>
        </c:manualLayout>
      </c:layout>
      <c:overlay val="0"/>
      <c:spPr>
        <a:noFill/>
        <a:ln>
          <a:noFill/>
        </a:ln>
        <a:effectLst/>
      </c:spPr>
    </c:title>
    <c:autoTitleDeleted val="0"/>
    <c:plotArea>
      <c:layout>
        <c:manualLayout>
          <c:layoutTarget val="inner"/>
          <c:xMode val="edge"/>
          <c:yMode val="edge"/>
          <c:x val="0.0696699375557538"/>
          <c:y val="0.208721367521368"/>
          <c:w val="0.887213797204877"/>
          <c:h val="0.71905641025641"/>
        </c:manualLayout>
      </c:layout>
      <c:barChart>
        <c:barDir val="col"/>
        <c:grouping val="clustered"/>
        <c:varyColors val="0"/>
        <c:ser>
          <c:idx val="0"/>
          <c:order val="0"/>
          <c:tx>
            <c:strRef>
              <c:f>Sheet1!$B$1</c:f>
              <c:strCache>
                <c:ptCount val="1"/>
                <c:pt idx="0">
                  <c:v>收入</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376.96</c:v>
                </c:pt>
              </c:numCache>
            </c:numRef>
          </c:val>
        </c:ser>
        <c:ser>
          <c:idx val="1"/>
          <c:order val="1"/>
          <c:tx>
            <c:strRef>
              <c:f>Sheet1!$C$1</c:f>
              <c:strCache>
                <c:ptCount val="1"/>
                <c:pt idx="0">
                  <c:v>支出</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376.96</c:v>
                </c:pt>
              </c:numCache>
            </c:numRef>
          </c:val>
        </c:ser>
        <c:ser>
          <c:idx val="2"/>
          <c:order val="2"/>
          <c:tx>
            <c:strRef>
              <c:f>Sheet1!#REF!</c:f>
              <c:strCache>
                <c:ptCount val="1"/>
                <c:pt idx="0">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elete val="1"/>
          </c:dLbls>
          <c:cat>
            <c:numRef>
              <c:f>Sheet1!$A$2</c:f>
              <c:numCache>
                <c:formatCode>General</c:formatCode>
                <c:ptCount val="1"/>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00"/>
        <c:overlap val="-24"/>
        <c:axId val="90634221"/>
        <c:axId val="481971735"/>
      </c:barChart>
      <c:catAx>
        <c:axId val="90634221"/>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481971735"/>
        <c:crosses val="autoZero"/>
        <c:auto val="1"/>
        <c:lblAlgn val="ctr"/>
        <c:lblOffset val="100"/>
        <c:noMultiLvlLbl val="0"/>
      </c:catAx>
      <c:valAx>
        <c:axId val="481971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90634221"/>
        <c:crosses val="autoZero"/>
        <c:crossBetween val="between"/>
      </c:valAx>
      <c:spPr>
        <a:noFill/>
        <a:ln>
          <a:noFill/>
        </a:ln>
        <a:effectLst/>
      </c:spPr>
    </c:plotArea>
    <c:legend>
      <c:legendPos val="b"/>
      <c:legendEntry>
        <c:idx val="2"/>
        <c:delete val="1"/>
      </c:legendEntry>
      <c:layout>
        <c:manualLayout>
          <c:xMode val="edge"/>
          <c:yMode val="edge"/>
          <c:x val="0.639087124591139"/>
          <c:y val="0.9193846153846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图</a:t>
            </a:r>
            <a:r>
              <a:rPr lang="en-US" altLang="zh-CN"/>
              <a:t>5</a:t>
            </a:r>
            <a:r>
              <a:rPr altLang="en-US"/>
              <a:t>：一般公共预算财政拨款支出</a:t>
            </a:r>
            <a:r>
              <a:t>变动情况</a:t>
            </a:r>
          </a:p>
          <a:p>
            <a:pPr defTabSz="914400">
              <a:defRPr lang="zh-CN" sz="1400" b="0" i="0" u="none" strike="noStrike" kern="1200" cap="none" spc="20" baseline="0">
                <a:solidFill>
                  <a:schemeClr val="tx1">
                    <a:lumMod val="50000"/>
                    <a:lumOff val="50000"/>
                  </a:schemeClr>
                </a:solidFill>
                <a:latin typeface="+mn-lt"/>
                <a:ea typeface="+mn-ea"/>
                <a:cs typeface="+mn-cs"/>
              </a:defRPr>
            </a:pPr>
            <a:r>
              <a:t> （单位：万元）</a:t>
            </a:r>
          </a:p>
        </c:rich>
      </c:tx>
      <c:layout>
        <c:manualLayout>
          <c:xMode val="edge"/>
          <c:yMode val="edge"/>
          <c:x val="0.120760513123343"/>
          <c:y val="0.00619195046439629"/>
        </c:manualLayout>
      </c:layout>
      <c:overlay val="0"/>
      <c:spPr>
        <a:noFill/>
        <a:ln>
          <a:noFill/>
        </a:ln>
        <a:effectLst/>
      </c:spPr>
    </c:title>
    <c:autoTitleDeleted val="0"/>
    <c:plotArea>
      <c:layout>
        <c:manualLayout>
          <c:layoutTarget val="inner"/>
          <c:xMode val="edge"/>
          <c:yMode val="edge"/>
          <c:x val="0.0712112676056338"/>
          <c:y val="0.219607843137255"/>
          <c:w val="0.887239436619718"/>
          <c:h val="0.702786377708978"/>
        </c:manualLayout>
      </c:layout>
      <c:barChart>
        <c:barDir val="col"/>
        <c:grouping val="clustered"/>
        <c:varyColors val="0"/>
        <c:ser>
          <c:idx val="0"/>
          <c:order val="0"/>
          <c:tx>
            <c:strRef>
              <c:f>Sheet1!$B$1</c:f>
              <c:strCache>
                <c:ptCount val="1"/>
                <c:pt idx="0">
                  <c:v>收入</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Sheet1!$B$2</c:f>
              <c:numCache>
                <c:formatCode>General</c:formatCode>
                <c:ptCount val="1"/>
                <c:pt idx="0">
                  <c:v>376.96</c:v>
                </c:pt>
              </c:numCache>
            </c:numRef>
          </c:val>
        </c:ser>
        <c:ser>
          <c:idx val="1"/>
          <c:order val="1"/>
          <c:tx>
            <c:strRef>
              <c:f>Sheet1!$C$1</c:f>
              <c:strCache>
                <c:ptCount val="1"/>
                <c:pt idx="0">
                  <c:v>支出</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Sheet1!$A$2</c:f>
              <c:numCache>
                <c:formatCode>General</c:formatCode>
                <c:ptCount val="1"/>
              </c:numCache>
            </c:numRef>
          </c:cat>
          <c:val>
            <c:numRef>
              <c:f>Sheet1!$C$2</c:f>
              <c:numCache>
                <c:formatCode>General</c:formatCode>
                <c:ptCount val="1"/>
                <c:pt idx="0">
                  <c:v>376.96</c:v>
                </c:pt>
              </c:numCache>
            </c:numRef>
          </c:val>
        </c:ser>
        <c:ser>
          <c:idx val="2"/>
          <c:order val="2"/>
          <c:tx>
            <c:strRef>
              <c:f>Sheet1!#REF!</c:f>
              <c:strCache>
                <c:ptCount val="1"/>
                <c:pt idx="0">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elete val="1"/>
          </c:dLbls>
          <c:cat>
            <c:numRef>
              <c:f>Sheet1!$A$2</c:f>
              <c:numCache>
                <c:formatCode>General</c:formatCode>
                <c:ptCount val="1"/>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00"/>
        <c:overlap val="-24"/>
        <c:axId val="90634221"/>
        <c:axId val="481971735"/>
      </c:barChart>
      <c:catAx>
        <c:axId val="90634221"/>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481971735"/>
        <c:crosses val="autoZero"/>
        <c:auto val="1"/>
        <c:lblAlgn val="ctr"/>
        <c:lblOffset val="100"/>
        <c:noMultiLvlLbl val="0"/>
      </c:catAx>
      <c:valAx>
        <c:axId val="481971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90634221"/>
        <c:crosses val="autoZero"/>
        <c:crossBetween val="between"/>
      </c:valAx>
      <c:spPr>
        <a:noFill/>
        <a:ln>
          <a:noFill/>
        </a:ln>
        <a:effectLst/>
      </c:spPr>
    </c:plotArea>
    <c:legend>
      <c:legendPos val="b"/>
      <c:legendEntry>
        <c:idx val="2"/>
        <c:delete val="1"/>
      </c:legendEntry>
      <c:layout>
        <c:manualLayout>
          <c:xMode val="edge"/>
          <c:yMode val="edge"/>
          <c:x val="0.639087124591139"/>
          <c:y val="0.9193846153846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t>图6：一般公共预算财政拨款支出决算结构图</a:t>
            </a:r>
          </a:p>
        </c:rich>
      </c:tx>
      <c:layout>
        <c:manualLayout>
          <c:xMode val="edge"/>
          <c:yMode val="edge"/>
          <c:x val="0.113125"/>
          <c:y val="0.005"/>
        </c:manualLayout>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manualLayout>
                  <c:x val="0.0660098913539171"/>
                  <c:y val="0.018595774315809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663929771159273"/>
                  <c:y val="0.06396936944716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98578801954944"/>
                  <c:y val="0.10230547314694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879994434882499"/>
                  <c:y val="0.03748103135559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lumMod val="8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Sheet1!$A$2:$A$6</c:f>
              <c:strCache>
                <c:ptCount val="5"/>
                <c:pt idx="0">
                  <c:v>卫生健康支出</c:v>
                </c:pt>
                <c:pt idx="1">
                  <c:v>一般公共服务支出</c:v>
                </c:pt>
                <c:pt idx="2">
                  <c:v>社会保障和就业</c:v>
                </c:pt>
                <c:pt idx="3">
                  <c:v>住房保障支出</c:v>
                </c:pt>
                <c:pt idx="4">
                  <c:v>农林水支出</c:v>
                </c:pt>
              </c:strCache>
            </c:strRef>
          </c:cat>
          <c:val>
            <c:numRef>
              <c:f>Sheet1!$B$2:$B$6</c:f>
              <c:numCache>
                <c:formatCode>0%</c:formatCode>
                <c:ptCount val="5"/>
                <c:pt idx="0">
                  <c:v>0.05</c:v>
                </c:pt>
                <c:pt idx="1">
                  <c:v>0.75</c:v>
                </c:pt>
                <c:pt idx="2">
                  <c:v>0.11</c:v>
                </c:pt>
                <c:pt idx="3">
                  <c:v>0.08</c:v>
                </c:pt>
                <c:pt idx="4" c:formatCode="0.00%">
                  <c:v>0.008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600">
                <a:latin typeface="仿宋_GB2312" panose="02010609030101010101" pitchFamily="3" charset="-122"/>
                <a:ea typeface="仿宋_GB2312" panose="02010609030101010101" pitchFamily="3" charset="-122"/>
                <a:cs typeface="仿宋_GB2312" panose="02010609030101010101" pitchFamily="3" charset="-122"/>
              </a:rPr>
              <a:t>图7：“三公”经费财政拨款支出结构图</a:t>
            </a:r>
            <a:endParaRPr sz="16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title>
    <c:autoTitleDeleted val="0"/>
    <c:plotArea>
      <c:layout/>
      <c:pieChart>
        <c:varyColors val="1"/>
        <c:ser>
          <c:idx val="0"/>
          <c:order val="0"/>
          <c:tx>
            <c:strRef>
              <c:f>Sheet1!$B$1</c:f>
              <c:strCache>
                <c:ptCount val="1"/>
                <c:pt idx="0">
                  <c:v>图7：“三公”经费财政拨款支出结构图</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0</a:t>
                    </a:r>
                    <a:r>
                      <a:t>%</a:t>
                    </a:r>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strCache>
            </c:strRef>
          </c:cat>
          <c:val>
            <c:numRef>
              <c:f>Sheet1!$B$2:$B$3</c:f>
              <c:numCache>
                <c:formatCode>0%</c:formatCode>
                <c:ptCount val="2"/>
                <c:pt idx="0">
                  <c:v>1</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5B71F-98CA-443D-9074-CB2698FBC81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9265</Words>
  <Characters>1059</Characters>
  <Lines>8</Lines>
  <Paragraphs>20</Paragraphs>
  <TotalTime>7</TotalTime>
  <ScaleCrop>false</ScaleCrop>
  <LinksUpToDate>false</LinksUpToDate>
  <CharactersWithSpaces>10304</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2020-09-18T02:11:00Z</dcterms:created>
  <dc:creator>曹颖</dc:creator>
  <cp:lastModifiedBy>Administrator</cp:lastModifiedBy>
  <cp:lastPrinted>2020-09-22T09:42:00Z</cp:lastPrinted>
  <dcterms:modified xsi:type="dcterms:W3CDTF">2021-06-08T03:33:20Z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A01D8F1AC6914E589514E1DA20DF96F5</vt:lpwstr>
  </property>
</Properties>
</file>